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BB944" w14:textId="04134186" w:rsidR="00A8479A" w:rsidRDefault="00324F50" w:rsidP="004C0986">
      <w:r>
        <w:rPr>
          <w:noProof/>
          <w:lang w:eastAsia="en-AU"/>
        </w:rPr>
        <w:drawing>
          <wp:anchor distT="0" distB="0" distL="114300" distR="114300" simplePos="0" relativeHeight="251660297" behindDoc="1" locked="0" layoutInCell="1" allowOverlap="1" wp14:anchorId="361333FE" wp14:editId="73874BFB">
            <wp:simplePos x="0" y="0"/>
            <wp:positionH relativeFrom="page">
              <wp:posOffset>0</wp:posOffset>
            </wp:positionH>
            <wp:positionV relativeFrom="paragraph">
              <wp:posOffset>-810883</wp:posOffset>
            </wp:positionV>
            <wp:extent cx="7565805" cy="10701953"/>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B18_0291 Update Corporate Templates_01_report cover.jpg"/>
                    <pic:cNvPicPr/>
                  </pic:nvPicPr>
                  <pic:blipFill>
                    <a:blip r:embed="rId11">
                      <a:extLst>
                        <a:ext uri="{28A0092B-C50C-407E-A947-70E740481C1C}">
                          <a14:useLocalDpi xmlns:a14="http://schemas.microsoft.com/office/drawing/2010/main" val="0"/>
                        </a:ext>
                      </a:extLst>
                    </a:blip>
                    <a:stretch>
                      <a:fillRect/>
                    </a:stretch>
                  </pic:blipFill>
                  <pic:spPr>
                    <a:xfrm>
                      <a:off x="0" y="0"/>
                      <a:ext cx="7565805" cy="10701953"/>
                    </a:xfrm>
                    <a:prstGeom prst="rect">
                      <a:avLst/>
                    </a:prstGeom>
                  </pic:spPr>
                </pic:pic>
              </a:graphicData>
            </a:graphic>
            <wp14:sizeRelH relativeFrom="page">
              <wp14:pctWidth>0</wp14:pctWidth>
            </wp14:sizeRelH>
            <wp14:sizeRelV relativeFrom="page">
              <wp14:pctHeight>0</wp14:pctHeight>
            </wp14:sizeRelV>
          </wp:anchor>
        </w:drawing>
      </w:r>
    </w:p>
    <w:p w14:paraId="788C9CE7" w14:textId="71C56813" w:rsidR="00324F50" w:rsidRDefault="00324F50" w:rsidP="004673A3">
      <w:pPr>
        <w:spacing w:before="2400" w:after="1560"/>
        <w:ind w:left="1276" w:right="545"/>
        <w:jc w:val="center"/>
        <w:rPr>
          <w:sz w:val="84"/>
          <w:szCs w:val="84"/>
        </w:rPr>
      </w:pPr>
      <w:r w:rsidRPr="003C539C">
        <w:rPr>
          <w:noProof/>
          <w:lang w:eastAsia="en-AU"/>
        </w:rPr>
        <w:drawing>
          <wp:anchor distT="0" distB="0" distL="114300" distR="114300" simplePos="0" relativeHeight="251661321" behindDoc="0" locked="0" layoutInCell="1" allowOverlap="1" wp14:anchorId="010DDEEE" wp14:editId="5CBAE840">
            <wp:simplePos x="0" y="0"/>
            <wp:positionH relativeFrom="column">
              <wp:posOffset>-103122</wp:posOffset>
            </wp:positionH>
            <wp:positionV relativeFrom="paragraph">
              <wp:posOffset>1945532</wp:posOffset>
            </wp:positionV>
            <wp:extent cx="1429200" cy="846000"/>
            <wp:effectExtent l="0" t="0" r="0" b="0"/>
            <wp:wrapNone/>
            <wp:docPr id="3" name="Picture 3"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1429200" cy="846000"/>
                    </a:xfrm>
                    <a:prstGeom prst="rect">
                      <a:avLst/>
                    </a:prstGeom>
                  </pic:spPr>
                </pic:pic>
              </a:graphicData>
            </a:graphic>
            <wp14:sizeRelH relativeFrom="margin">
              <wp14:pctWidth>0</wp14:pctWidth>
            </wp14:sizeRelH>
            <wp14:sizeRelV relativeFrom="margin">
              <wp14:pctHeight>0</wp14:pctHeight>
            </wp14:sizeRelV>
          </wp:anchor>
        </w:drawing>
      </w:r>
    </w:p>
    <w:p w14:paraId="42F3AC57" w14:textId="77777777" w:rsidR="00324F50" w:rsidRDefault="00324F50" w:rsidP="00324F50">
      <w:pPr>
        <w:spacing w:before="2400" w:after="100" w:afterAutospacing="1"/>
        <w:ind w:left="1701" w:right="544"/>
        <w:jc w:val="center"/>
        <w:rPr>
          <w:sz w:val="84"/>
          <w:szCs w:val="84"/>
        </w:rPr>
      </w:pPr>
    </w:p>
    <w:p w14:paraId="506E9756" w14:textId="594C8765" w:rsidR="00BF10F4" w:rsidRDefault="00A8479A" w:rsidP="00B80BC9">
      <w:pPr>
        <w:pStyle w:val="Title"/>
      </w:pPr>
      <w:r w:rsidRPr="00B80BC9">
        <w:t>The Evalu</w:t>
      </w:r>
      <w:r w:rsidR="00453FD1">
        <w:t>ation of Job Services Australia</w:t>
      </w:r>
      <w:r w:rsidR="00453FD1">
        <w:br/>
      </w:r>
      <w:r w:rsidRPr="00B80BC9">
        <w:t>2012</w:t>
      </w:r>
      <w:r w:rsidR="004673A3" w:rsidRPr="00B80BC9">
        <w:t xml:space="preserve"> – 2015</w:t>
      </w:r>
    </w:p>
    <w:p w14:paraId="3DB09562" w14:textId="77777777" w:rsidR="00F632B5" w:rsidRPr="00F632B5" w:rsidRDefault="00F632B5" w:rsidP="00F632B5">
      <w:pPr>
        <w:spacing w:before="8760"/>
        <w:rPr>
          <w:color w:val="1E3D6B"/>
          <w:sz w:val="36"/>
          <w:szCs w:val="36"/>
        </w:rPr>
        <w:sectPr w:rsidR="00F632B5" w:rsidRPr="00F632B5" w:rsidSect="00861BD8">
          <w:pgSz w:w="11906" w:h="16838"/>
          <w:pgMar w:top="1276" w:right="1274" w:bottom="1134" w:left="1440" w:header="708" w:footer="708" w:gutter="0"/>
          <w:cols w:space="708"/>
          <w:docGrid w:linePitch="360"/>
        </w:sectPr>
      </w:pPr>
    </w:p>
    <w:p w14:paraId="3A5FB3F5" w14:textId="77777777" w:rsidR="001A400D" w:rsidRPr="001A400D" w:rsidRDefault="001A400D" w:rsidP="001A400D">
      <w:pPr>
        <w:spacing w:before="600"/>
        <w:rPr>
          <w:b/>
        </w:rPr>
      </w:pPr>
      <w:r w:rsidRPr="001A400D">
        <w:rPr>
          <w:b/>
        </w:rPr>
        <w:lastRenderedPageBreak/>
        <w:t xml:space="preserve">Evaluation </w:t>
      </w:r>
      <w:r w:rsidR="00091DA1">
        <w:rPr>
          <w:b/>
        </w:rPr>
        <w:t>t</w:t>
      </w:r>
      <w:r w:rsidRPr="001A400D">
        <w:rPr>
          <w:b/>
        </w:rPr>
        <w:t>eam:</w:t>
      </w:r>
    </w:p>
    <w:p w14:paraId="0487924D" w14:textId="77777777" w:rsidR="001A400D" w:rsidRDefault="001A400D" w:rsidP="001A400D">
      <w:pPr>
        <w:spacing w:after="0"/>
      </w:pPr>
      <w:r>
        <w:t>Shelley Evans</w:t>
      </w:r>
    </w:p>
    <w:p w14:paraId="600454B6" w14:textId="77777777" w:rsidR="001A400D" w:rsidRDefault="001A400D" w:rsidP="001A400D">
      <w:pPr>
        <w:spacing w:after="0"/>
      </w:pPr>
      <w:r>
        <w:t>Anne Aisbett</w:t>
      </w:r>
    </w:p>
    <w:p w14:paraId="2132A190" w14:textId="77777777" w:rsidR="001A400D" w:rsidRDefault="001A400D" w:rsidP="001A400D">
      <w:pPr>
        <w:spacing w:after="0"/>
      </w:pPr>
      <w:r>
        <w:t>Mohammad Ali Raza</w:t>
      </w:r>
    </w:p>
    <w:p w14:paraId="2E6CC3D1" w14:textId="77777777" w:rsidR="00406A43" w:rsidRDefault="00406A43" w:rsidP="001A400D">
      <w:pPr>
        <w:spacing w:after="0"/>
      </w:pPr>
      <w:r>
        <w:t>Genevieve Chan</w:t>
      </w:r>
    </w:p>
    <w:p w14:paraId="1DA0ECBD" w14:textId="77777777" w:rsidR="001A400D" w:rsidRDefault="001A400D" w:rsidP="001A400D">
      <w:pPr>
        <w:spacing w:after="0"/>
      </w:pPr>
      <w:r>
        <w:t>Robin Collins</w:t>
      </w:r>
    </w:p>
    <w:p w14:paraId="41A6D0E6" w14:textId="77777777" w:rsidR="001A400D" w:rsidRDefault="001A400D" w:rsidP="001A400D">
      <w:pPr>
        <w:spacing w:after="0"/>
      </w:pPr>
      <w:r>
        <w:t>Karen Costanzo</w:t>
      </w:r>
    </w:p>
    <w:p w14:paraId="37A8D0E9" w14:textId="77777777" w:rsidR="001A400D" w:rsidRDefault="001A400D" w:rsidP="001A400D">
      <w:pPr>
        <w:spacing w:after="0"/>
      </w:pPr>
      <w:r>
        <w:t>Anthony Flint</w:t>
      </w:r>
    </w:p>
    <w:p w14:paraId="62634DD0" w14:textId="77777777" w:rsidR="001A400D" w:rsidRDefault="001A400D" w:rsidP="001A400D">
      <w:pPr>
        <w:spacing w:after="0"/>
      </w:pPr>
      <w:r>
        <w:t>Mark Jones</w:t>
      </w:r>
    </w:p>
    <w:p w14:paraId="16AD163B" w14:textId="77777777" w:rsidR="001A400D" w:rsidRDefault="001A400D" w:rsidP="001A400D">
      <w:pPr>
        <w:spacing w:after="0"/>
      </w:pPr>
      <w:r>
        <w:t>Suet-Lam Mui</w:t>
      </w:r>
    </w:p>
    <w:p w14:paraId="093A9DF8" w14:textId="77777777" w:rsidR="001A400D" w:rsidRDefault="001A400D" w:rsidP="001A400D">
      <w:pPr>
        <w:spacing w:after="0"/>
      </w:pPr>
      <w:r>
        <w:t>Athos Nicolaou</w:t>
      </w:r>
    </w:p>
    <w:p w14:paraId="28CADFFA" w14:textId="77777777" w:rsidR="001A400D" w:rsidRDefault="001A400D" w:rsidP="001A400D">
      <w:pPr>
        <w:spacing w:after="0"/>
      </w:pPr>
      <w:r>
        <w:t>Sacha Stokes</w:t>
      </w:r>
    </w:p>
    <w:p w14:paraId="09FF4C18" w14:textId="77777777" w:rsidR="001A400D" w:rsidRDefault="001A400D" w:rsidP="001A400D">
      <w:pPr>
        <w:spacing w:after="0"/>
      </w:pPr>
      <w:r>
        <w:t>Jo Virgona</w:t>
      </w:r>
    </w:p>
    <w:p w14:paraId="2216F921" w14:textId="77777777" w:rsidR="00130923" w:rsidRPr="008E4DA0" w:rsidRDefault="00130923" w:rsidP="009866F9">
      <w:pPr>
        <w:spacing w:before="4200"/>
      </w:pPr>
      <w:r w:rsidRPr="008E4DA0">
        <w:t>ISBN</w:t>
      </w:r>
      <w:bookmarkStart w:id="0" w:name="_GoBack"/>
      <w:bookmarkEnd w:id="0"/>
    </w:p>
    <w:p w14:paraId="66603A9B" w14:textId="36391431" w:rsidR="00130923" w:rsidRPr="007D58FB" w:rsidRDefault="009866F9" w:rsidP="007D58FB">
      <w:pPr>
        <w:rPr>
          <w:szCs w:val="20"/>
        </w:rPr>
      </w:pPr>
      <w:r w:rsidRPr="009866F9">
        <w:rPr>
          <w:szCs w:val="20"/>
        </w:rPr>
        <w:t>978-1-76051-854-7</w:t>
      </w:r>
      <w:r w:rsidR="00DC3052" w:rsidRPr="008E4DA0">
        <w:rPr>
          <w:szCs w:val="20"/>
        </w:rPr>
        <w:t xml:space="preserve"> [</w:t>
      </w:r>
      <w:r>
        <w:rPr>
          <w:szCs w:val="20"/>
        </w:rPr>
        <w:t>PDF</w:t>
      </w:r>
      <w:r w:rsidR="00DC3052" w:rsidRPr="008E4DA0">
        <w:rPr>
          <w:szCs w:val="20"/>
        </w:rPr>
        <w:t>]</w:t>
      </w:r>
      <w:r w:rsidR="00DC3052">
        <w:rPr>
          <w:szCs w:val="20"/>
          <w:highlight w:val="yellow"/>
        </w:rPr>
        <w:br/>
      </w:r>
      <w:r w:rsidRPr="009866F9">
        <w:rPr>
          <w:szCs w:val="20"/>
        </w:rPr>
        <w:t>978-1-76051-855-4</w:t>
      </w:r>
      <w:r w:rsidR="00130923" w:rsidRPr="008E4DA0">
        <w:rPr>
          <w:szCs w:val="20"/>
        </w:rPr>
        <w:t xml:space="preserve"> [DOCX]</w:t>
      </w:r>
    </w:p>
    <w:p w14:paraId="14B5416D"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76857AA8" wp14:editId="79BF835A">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89BA268"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5"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55B21EE9"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6" w:history="1">
        <w:r w:rsidRPr="00EC78E7">
          <w:rPr>
            <w:rStyle w:val="Hyperlink"/>
          </w:rPr>
          <w:t>CC BY 3.0 AU licence</w:t>
        </w:r>
      </w:hyperlink>
      <w:r w:rsidRPr="000462F1">
        <w:t xml:space="preserve"> (</w:t>
      </w:r>
      <w:r w:rsidRPr="00EC78E7">
        <w:t>http://creativec</w:t>
      </w:r>
      <w:r w:rsidR="008D3BC4">
        <w:t>7</w:t>
      </w:r>
      <w:r w:rsidRPr="00EC78E7">
        <w:t>ommons.org/licenses/by/3.0/au/legalcode</w:t>
      </w:r>
      <w:r w:rsidRPr="000462F1">
        <w:t xml:space="preserve">). </w:t>
      </w:r>
      <w:r w:rsidR="00904F45" w:rsidRPr="000462F1">
        <w:t xml:space="preserve">The document must be attributed as </w:t>
      </w:r>
      <w:r w:rsidR="004673A3" w:rsidRPr="004673A3">
        <w:rPr>
          <w:i/>
        </w:rPr>
        <w:t>T</w:t>
      </w:r>
      <w:r w:rsidR="00904F45" w:rsidRPr="004673A3">
        <w:rPr>
          <w:i/>
        </w:rPr>
        <w:t>he</w:t>
      </w:r>
      <w:r w:rsidR="00904F45" w:rsidRPr="004673A3">
        <w:t xml:space="preserve"> </w:t>
      </w:r>
      <w:r w:rsidR="00E139BE" w:rsidRPr="004673A3">
        <w:rPr>
          <w:i/>
        </w:rPr>
        <w:t xml:space="preserve">Evaluation of </w:t>
      </w:r>
      <w:r w:rsidR="00904F45" w:rsidRPr="004673A3">
        <w:rPr>
          <w:i/>
        </w:rPr>
        <w:t xml:space="preserve">Job Services Australia 2012 </w:t>
      </w:r>
      <w:r w:rsidR="00334F93" w:rsidRPr="004673A3">
        <w:rPr>
          <w:i/>
        </w:rPr>
        <w:t>–</w:t>
      </w:r>
      <w:r w:rsidR="00904F45" w:rsidRPr="004673A3">
        <w:rPr>
          <w:i/>
        </w:rPr>
        <w:t xml:space="preserve"> 2015</w:t>
      </w:r>
      <w:r w:rsidR="00904F45" w:rsidRPr="004673A3">
        <w:t>.</w:t>
      </w:r>
    </w:p>
    <w:p w14:paraId="2D58B427" w14:textId="77777777" w:rsidR="007418ED" w:rsidRDefault="007418ED">
      <w:pPr>
        <w:sectPr w:rsidR="007418ED" w:rsidSect="00861BD8">
          <w:pgSz w:w="11906" w:h="16838"/>
          <w:pgMar w:top="1985" w:right="1440" w:bottom="1440" w:left="1440" w:header="708" w:footer="283" w:gutter="0"/>
          <w:pgNumType w:start="1"/>
          <w:cols w:space="708"/>
          <w:docGrid w:linePitch="360"/>
        </w:sectPr>
      </w:pPr>
      <w:bookmarkStart w:id="1" w:name="_Toc388960912"/>
      <w:bookmarkStart w:id="2" w:name="_Toc388970183"/>
      <w:bookmarkStart w:id="3" w:name="_Toc272393972"/>
      <w:bookmarkStart w:id="4" w:name="_Toc315696443"/>
      <w:bookmarkStart w:id="5" w:name="_Toc315774275"/>
      <w:bookmarkStart w:id="6" w:name="_Toc320776768"/>
      <w:bookmarkStart w:id="7" w:name="_Toc358281684"/>
      <w:bookmarkStart w:id="8" w:name="_Toc365029189"/>
      <w:bookmarkStart w:id="9" w:name="_Toc367103680"/>
      <w:bookmarkStart w:id="10" w:name="_Toc378688406"/>
      <w:bookmarkStart w:id="11" w:name="_Toc378688565"/>
      <w:bookmarkStart w:id="12" w:name="_Toc380742359"/>
      <w:bookmarkStart w:id="13" w:name="_Toc381351271"/>
      <w:bookmarkStart w:id="14" w:name="_Toc381352366"/>
      <w:bookmarkStart w:id="15" w:name="_Toc381887772"/>
      <w:bookmarkStart w:id="16" w:name="_Toc400093470"/>
      <w:bookmarkStart w:id="17" w:name="_Toc400104763"/>
      <w:bookmarkStart w:id="18" w:name="_Toc400110875"/>
      <w:bookmarkStart w:id="19" w:name="_Toc401826401"/>
      <w:bookmarkStart w:id="20" w:name="_Toc402170603"/>
    </w:p>
    <w:bookmarkEnd w:id="20" w:displacedByCustomXml="next"/>
    <w:bookmarkEnd w:id="19" w:displacedByCustomXml="next"/>
    <w:bookmarkEnd w:id="18" w:displacedByCustomXml="next"/>
    <w:bookmarkEnd w:id="17" w:displacedByCustomXml="next"/>
    <w:bookmarkEnd w:id="16" w:displacedByCustomXml="next"/>
    <w:sdt>
      <w:sdtPr>
        <w:rPr>
          <w:rFonts w:asciiTheme="minorHAnsi" w:eastAsiaTheme="minorEastAsia" w:hAnsiTheme="minorHAnsi" w:cstheme="minorBidi"/>
          <w:b w:val="0"/>
          <w:bCs w:val="0"/>
          <w:color w:val="auto"/>
          <w:sz w:val="22"/>
          <w:szCs w:val="22"/>
          <w:lang w:bidi="ar-SA"/>
        </w:rPr>
        <w:id w:val="1603911468"/>
        <w:docPartObj>
          <w:docPartGallery w:val="Table of Contents"/>
          <w:docPartUnique/>
        </w:docPartObj>
      </w:sdtPr>
      <w:sdtEndPr>
        <w:rPr>
          <w:b/>
          <w:bCs/>
          <w:noProof/>
        </w:rPr>
      </w:sdtEndPr>
      <w:sdtContent>
        <w:p w14:paraId="3F03F809" w14:textId="77777777" w:rsidR="00EF0748" w:rsidRDefault="00EF0748">
          <w:pPr>
            <w:pStyle w:val="TOCHeading"/>
          </w:pPr>
          <w:r>
            <w:t>Contents</w:t>
          </w:r>
        </w:p>
        <w:p w14:paraId="3B04A809" w14:textId="223A034F" w:rsidR="002D333E" w:rsidRDefault="00EF0748">
          <w:pPr>
            <w:pStyle w:val="TOC1"/>
            <w:rPr>
              <w:b w:val="0"/>
              <w:bCs w:val="0"/>
              <w:noProof/>
              <w:lang w:eastAsia="en-AU"/>
            </w:rPr>
          </w:pPr>
          <w:r>
            <w:fldChar w:fldCharType="begin"/>
          </w:r>
          <w:r>
            <w:instrText xml:space="preserve"> TOC \o "1-3" \h \z \u </w:instrText>
          </w:r>
          <w:r>
            <w:fldChar w:fldCharType="separate"/>
          </w:r>
          <w:hyperlink w:anchor="_Toc22543020" w:history="1">
            <w:r w:rsidR="002D333E" w:rsidRPr="004D78F1">
              <w:rPr>
                <w:rStyle w:val="Hyperlink"/>
                <w:noProof/>
              </w:rPr>
              <w:t>List of tables</w:t>
            </w:r>
            <w:r w:rsidR="002D333E">
              <w:rPr>
                <w:noProof/>
                <w:webHidden/>
              </w:rPr>
              <w:tab/>
            </w:r>
            <w:r w:rsidR="002D333E">
              <w:rPr>
                <w:noProof/>
                <w:webHidden/>
              </w:rPr>
              <w:fldChar w:fldCharType="begin"/>
            </w:r>
            <w:r w:rsidR="002D333E">
              <w:rPr>
                <w:noProof/>
                <w:webHidden/>
              </w:rPr>
              <w:instrText xml:space="preserve"> PAGEREF _Toc22543020 \h </w:instrText>
            </w:r>
            <w:r w:rsidR="002D333E">
              <w:rPr>
                <w:noProof/>
                <w:webHidden/>
              </w:rPr>
            </w:r>
            <w:r w:rsidR="002D333E">
              <w:rPr>
                <w:noProof/>
                <w:webHidden/>
              </w:rPr>
              <w:fldChar w:fldCharType="separate"/>
            </w:r>
            <w:r w:rsidR="00D87DBB">
              <w:rPr>
                <w:noProof/>
                <w:webHidden/>
              </w:rPr>
              <w:t>viii</w:t>
            </w:r>
            <w:r w:rsidR="002D333E">
              <w:rPr>
                <w:noProof/>
                <w:webHidden/>
              </w:rPr>
              <w:fldChar w:fldCharType="end"/>
            </w:r>
          </w:hyperlink>
        </w:p>
        <w:p w14:paraId="3CAF3ABC" w14:textId="0A621452" w:rsidR="002D333E" w:rsidRDefault="00864C5E">
          <w:pPr>
            <w:pStyle w:val="TOC1"/>
            <w:rPr>
              <w:b w:val="0"/>
              <w:bCs w:val="0"/>
              <w:noProof/>
              <w:lang w:eastAsia="en-AU"/>
            </w:rPr>
          </w:pPr>
          <w:hyperlink w:anchor="_Toc22543021" w:history="1">
            <w:r w:rsidR="002D333E" w:rsidRPr="004D78F1">
              <w:rPr>
                <w:rStyle w:val="Hyperlink"/>
                <w:noProof/>
              </w:rPr>
              <w:t>List of figures</w:t>
            </w:r>
            <w:r w:rsidR="002D333E">
              <w:rPr>
                <w:noProof/>
                <w:webHidden/>
              </w:rPr>
              <w:tab/>
            </w:r>
            <w:r w:rsidR="002D333E">
              <w:rPr>
                <w:noProof/>
                <w:webHidden/>
              </w:rPr>
              <w:fldChar w:fldCharType="begin"/>
            </w:r>
            <w:r w:rsidR="002D333E">
              <w:rPr>
                <w:noProof/>
                <w:webHidden/>
              </w:rPr>
              <w:instrText xml:space="preserve"> PAGEREF _Toc22543021 \h </w:instrText>
            </w:r>
            <w:r w:rsidR="002D333E">
              <w:rPr>
                <w:noProof/>
                <w:webHidden/>
              </w:rPr>
            </w:r>
            <w:r w:rsidR="002D333E">
              <w:rPr>
                <w:noProof/>
                <w:webHidden/>
              </w:rPr>
              <w:fldChar w:fldCharType="separate"/>
            </w:r>
            <w:r w:rsidR="00D87DBB">
              <w:rPr>
                <w:noProof/>
                <w:webHidden/>
              </w:rPr>
              <w:t>x</w:t>
            </w:r>
            <w:r w:rsidR="002D333E">
              <w:rPr>
                <w:noProof/>
                <w:webHidden/>
              </w:rPr>
              <w:fldChar w:fldCharType="end"/>
            </w:r>
          </w:hyperlink>
        </w:p>
        <w:p w14:paraId="296D137E" w14:textId="27336036" w:rsidR="002D333E" w:rsidRDefault="00864C5E">
          <w:pPr>
            <w:pStyle w:val="TOC1"/>
            <w:rPr>
              <w:b w:val="0"/>
              <w:bCs w:val="0"/>
              <w:noProof/>
              <w:lang w:eastAsia="en-AU"/>
            </w:rPr>
          </w:pPr>
          <w:hyperlink w:anchor="_Toc22543022" w:history="1">
            <w:r w:rsidR="002D333E" w:rsidRPr="004D78F1">
              <w:rPr>
                <w:rStyle w:val="Hyperlink"/>
                <w:noProof/>
              </w:rPr>
              <w:t>List of acronyms</w:t>
            </w:r>
            <w:r w:rsidR="002D333E">
              <w:rPr>
                <w:noProof/>
                <w:webHidden/>
              </w:rPr>
              <w:tab/>
            </w:r>
            <w:r w:rsidR="002D333E">
              <w:rPr>
                <w:noProof/>
                <w:webHidden/>
              </w:rPr>
              <w:fldChar w:fldCharType="begin"/>
            </w:r>
            <w:r w:rsidR="002D333E">
              <w:rPr>
                <w:noProof/>
                <w:webHidden/>
              </w:rPr>
              <w:instrText xml:space="preserve"> PAGEREF _Toc22543022 \h </w:instrText>
            </w:r>
            <w:r w:rsidR="002D333E">
              <w:rPr>
                <w:noProof/>
                <w:webHidden/>
              </w:rPr>
            </w:r>
            <w:r w:rsidR="002D333E">
              <w:rPr>
                <w:noProof/>
                <w:webHidden/>
              </w:rPr>
              <w:fldChar w:fldCharType="separate"/>
            </w:r>
            <w:r w:rsidR="00D87DBB">
              <w:rPr>
                <w:noProof/>
                <w:webHidden/>
              </w:rPr>
              <w:t>xii</w:t>
            </w:r>
            <w:r w:rsidR="002D333E">
              <w:rPr>
                <w:noProof/>
                <w:webHidden/>
              </w:rPr>
              <w:fldChar w:fldCharType="end"/>
            </w:r>
          </w:hyperlink>
        </w:p>
        <w:p w14:paraId="58919067" w14:textId="5D8C02AA" w:rsidR="002D333E" w:rsidRDefault="00864C5E">
          <w:pPr>
            <w:pStyle w:val="TOC1"/>
            <w:rPr>
              <w:b w:val="0"/>
              <w:bCs w:val="0"/>
              <w:noProof/>
              <w:lang w:eastAsia="en-AU"/>
            </w:rPr>
          </w:pPr>
          <w:hyperlink w:anchor="_Toc22543023" w:history="1">
            <w:r w:rsidR="002D333E" w:rsidRPr="004D78F1">
              <w:rPr>
                <w:rStyle w:val="Hyperlink"/>
                <w:noProof/>
              </w:rPr>
              <w:t>Executive summary</w:t>
            </w:r>
            <w:r w:rsidR="002D333E">
              <w:rPr>
                <w:noProof/>
                <w:webHidden/>
              </w:rPr>
              <w:tab/>
            </w:r>
            <w:r w:rsidR="002D333E">
              <w:rPr>
                <w:noProof/>
                <w:webHidden/>
              </w:rPr>
              <w:fldChar w:fldCharType="begin"/>
            </w:r>
            <w:r w:rsidR="002D333E">
              <w:rPr>
                <w:noProof/>
                <w:webHidden/>
              </w:rPr>
              <w:instrText xml:space="preserve"> PAGEREF _Toc22543023 \h </w:instrText>
            </w:r>
            <w:r w:rsidR="002D333E">
              <w:rPr>
                <w:noProof/>
                <w:webHidden/>
              </w:rPr>
            </w:r>
            <w:r w:rsidR="002D333E">
              <w:rPr>
                <w:noProof/>
                <w:webHidden/>
              </w:rPr>
              <w:fldChar w:fldCharType="separate"/>
            </w:r>
            <w:r w:rsidR="00D87DBB">
              <w:rPr>
                <w:noProof/>
                <w:webHidden/>
              </w:rPr>
              <w:t>1</w:t>
            </w:r>
            <w:r w:rsidR="002D333E">
              <w:rPr>
                <w:noProof/>
                <w:webHidden/>
              </w:rPr>
              <w:fldChar w:fldCharType="end"/>
            </w:r>
          </w:hyperlink>
        </w:p>
        <w:p w14:paraId="635DB222" w14:textId="791F5D5A" w:rsidR="002D333E" w:rsidRDefault="00864C5E">
          <w:pPr>
            <w:pStyle w:val="TOC2"/>
            <w:tabs>
              <w:tab w:val="right" w:leader="dot" w:pos="9016"/>
            </w:tabs>
            <w:rPr>
              <w:noProof/>
              <w:lang w:eastAsia="en-AU"/>
            </w:rPr>
          </w:pPr>
          <w:hyperlink w:anchor="_Toc22543024" w:history="1">
            <w:r w:rsidR="002D333E" w:rsidRPr="004D78F1">
              <w:rPr>
                <w:rStyle w:val="Hyperlink"/>
                <w:noProof/>
              </w:rPr>
              <w:t>Background</w:t>
            </w:r>
            <w:r w:rsidR="002D333E">
              <w:rPr>
                <w:noProof/>
                <w:webHidden/>
              </w:rPr>
              <w:tab/>
            </w:r>
            <w:r w:rsidR="002D333E">
              <w:rPr>
                <w:noProof/>
                <w:webHidden/>
              </w:rPr>
              <w:fldChar w:fldCharType="begin"/>
            </w:r>
            <w:r w:rsidR="002D333E">
              <w:rPr>
                <w:noProof/>
                <w:webHidden/>
              </w:rPr>
              <w:instrText xml:space="preserve"> PAGEREF _Toc22543024 \h </w:instrText>
            </w:r>
            <w:r w:rsidR="002D333E">
              <w:rPr>
                <w:noProof/>
                <w:webHidden/>
              </w:rPr>
            </w:r>
            <w:r w:rsidR="002D333E">
              <w:rPr>
                <w:noProof/>
                <w:webHidden/>
              </w:rPr>
              <w:fldChar w:fldCharType="separate"/>
            </w:r>
            <w:r w:rsidR="00D87DBB">
              <w:rPr>
                <w:noProof/>
                <w:webHidden/>
              </w:rPr>
              <w:t>1</w:t>
            </w:r>
            <w:r w:rsidR="002D333E">
              <w:rPr>
                <w:noProof/>
                <w:webHidden/>
              </w:rPr>
              <w:fldChar w:fldCharType="end"/>
            </w:r>
          </w:hyperlink>
        </w:p>
        <w:p w14:paraId="1C879FB7" w14:textId="047431D8" w:rsidR="002D333E" w:rsidRDefault="00864C5E">
          <w:pPr>
            <w:pStyle w:val="TOC3"/>
            <w:tabs>
              <w:tab w:val="right" w:leader="dot" w:pos="9016"/>
            </w:tabs>
            <w:rPr>
              <w:noProof/>
              <w:lang w:eastAsia="en-AU"/>
            </w:rPr>
          </w:pPr>
          <w:hyperlink w:anchor="_Toc22543025" w:history="1">
            <w:r w:rsidR="002D333E" w:rsidRPr="004D78F1">
              <w:rPr>
                <w:rStyle w:val="Hyperlink"/>
                <w:noProof/>
              </w:rPr>
              <w:t>Changes to Job Services Australia for the 2012 - 2015 period</w:t>
            </w:r>
            <w:r w:rsidR="002D333E">
              <w:rPr>
                <w:noProof/>
                <w:webHidden/>
              </w:rPr>
              <w:tab/>
            </w:r>
            <w:r w:rsidR="002D333E">
              <w:rPr>
                <w:noProof/>
                <w:webHidden/>
              </w:rPr>
              <w:fldChar w:fldCharType="begin"/>
            </w:r>
            <w:r w:rsidR="002D333E">
              <w:rPr>
                <w:noProof/>
                <w:webHidden/>
              </w:rPr>
              <w:instrText xml:space="preserve"> PAGEREF _Toc22543025 \h </w:instrText>
            </w:r>
            <w:r w:rsidR="002D333E">
              <w:rPr>
                <w:noProof/>
                <w:webHidden/>
              </w:rPr>
            </w:r>
            <w:r w:rsidR="002D333E">
              <w:rPr>
                <w:noProof/>
                <w:webHidden/>
              </w:rPr>
              <w:fldChar w:fldCharType="separate"/>
            </w:r>
            <w:r w:rsidR="00D87DBB">
              <w:rPr>
                <w:noProof/>
                <w:webHidden/>
              </w:rPr>
              <w:t>1</w:t>
            </w:r>
            <w:r w:rsidR="002D333E">
              <w:rPr>
                <w:noProof/>
                <w:webHidden/>
              </w:rPr>
              <w:fldChar w:fldCharType="end"/>
            </w:r>
          </w:hyperlink>
        </w:p>
        <w:p w14:paraId="1A06EF66" w14:textId="7FE2AE13" w:rsidR="002D333E" w:rsidRDefault="00864C5E">
          <w:pPr>
            <w:pStyle w:val="TOC2"/>
            <w:tabs>
              <w:tab w:val="right" w:leader="dot" w:pos="9016"/>
            </w:tabs>
            <w:rPr>
              <w:noProof/>
              <w:lang w:eastAsia="en-AU"/>
            </w:rPr>
          </w:pPr>
          <w:hyperlink w:anchor="_Toc22543026" w:history="1">
            <w:r w:rsidR="002D333E" w:rsidRPr="004D78F1">
              <w:rPr>
                <w:rStyle w:val="Hyperlink"/>
                <w:noProof/>
              </w:rPr>
              <w:t>Policy context</w:t>
            </w:r>
            <w:r w:rsidR="002D333E">
              <w:rPr>
                <w:noProof/>
                <w:webHidden/>
              </w:rPr>
              <w:tab/>
            </w:r>
            <w:r w:rsidR="002D333E">
              <w:rPr>
                <w:noProof/>
                <w:webHidden/>
              </w:rPr>
              <w:fldChar w:fldCharType="begin"/>
            </w:r>
            <w:r w:rsidR="002D333E">
              <w:rPr>
                <w:noProof/>
                <w:webHidden/>
              </w:rPr>
              <w:instrText xml:space="preserve"> PAGEREF _Toc22543026 \h </w:instrText>
            </w:r>
            <w:r w:rsidR="002D333E">
              <w:rPr>
                <w:noProof/>
                <w:webHidden/>
              </w:rPr>
            </w:r>
            <w:r w:rsidR="002D333E">
              <w:rPr>
                <w:noProof/>
                <w:webHidden/>
              </w:rPr>
              <w:fldChar w:fldCharType="separate"/>
            </w:r>
            <w:r w:rsidR="00D87DBB">
              <w:rPr>
                <w:noProof/>
                <w:webHidden/>
              </w:rPr>
              <w:t>1</w:t>
            </w:r>
            <w:r w:rsidR="002D333E">
              <w:rPr>
                <w:noProof/>
                <w:webHidden/>
              </w:rPr>
              <w:fldChar w:fldCharType="end"/>
            </w:r>
          </w:hyperlink>
        </w:p>
        <w:p w14:paraId="171ACD36" w14:textId="617EB946" w:rsidR="002D333E" w:rsidRDefault="00864C5E">
          <w:pPr>
            <w:pStyle w:val="TOC3"/>
            <w:tabs>
              <w:tab w:val="right" w:leader="dot" w:pos="9016"/>
            </w:tabs>
            <w:rPr>
              <w:noProof/>
              <w:lang w:eastAsia="en-AU"/>
            </w:rPr>
          </w:pPr>
          <w:hyperlink w:anchor="_Toc22543027" w:history="1">
            <w:r w:rsidR="002D333E" w:rsidRPr="004D78F1">
              <w:rPr>
                <w:rStyle w:val="Hyperlink"/>
                <w:noProof/>
              </w:rPr>
              <w:t>The labour market</w:t>
            </w:r>
            <w:r w:rsidR="002D333E">
              <w:rPr>
                <w:noProof/>
                <w:webHidden/>
              </w:rPr>
              <w:tab/>
            </w:r>
            <w:r w:rsidR="002D333E">
              <w:rPr>
                <w:noProof/>
                <w:webHidden/>
              </w:rPr>
              <w:fldChar w:fldCharType="begin"/>
            </w:r>
            <w:r w:rsidR="002D333E">
              <w:rPr>
                <w:noProof/>
                <w:webHidden/>
              </w:rPr>
              <w:instrText xml:space="preserve"> PAGEREF _Toc22543027 \h </w:instrText>
            </w:r>
            <w:r w:rsidR="002D333E">
              <w:rPr>
                <w:noProof/>
                <w:webHidden/>
              </w:rPr>
            </w:r>
            <w:r w:rsidR="002D333E">
              <w:rPr>
                <w:noProof/>
                <w:webHidden/>
              </w:rPr>
              <w:fldChar w:fldCharType="separate"/>
            </w:r>
            <w:r w:rsidR="00D87DBB">
              <w:rPr>
                <w:noProof/>
                <w:webHidden/>
              </w:rPr>
              <w:t>1</w:t>
            </w:r>
            <w:r w:rsidR="002D333E">
              <w:rPr>
                <w:noProof/>
                <w:webHidden/>
              </w:rPr>
              <w:fldChar w:fldCharType="end"/>
            </w:r>
          </w:hyperlink>
        </w:p>
        <w:p w14:paraId="7A3F4A15" w14:textId="105B6D85" w:rsidR="002D333E" w:rsidRDefault="00864C5E">
          <w:pPr>
            <w:pStyle w:val="TOC3"/>
            <w:tabs>
              <w:tab w:val="right" w:leader="dot" w:pos="9016"/>
            </w:tabs>
            <w:rPr>
              <w:noProof/>
              <w:lang w:eastAsia="en-AU"/>
            </w:rPr>
          </w:pPr>
          <w:hyperlink w:anchor="_Toc22543028" w:history="1">
            <w:r w:rsidR="002D333E" w:rsidRPr="004D78F1">
              <w:rPr>
                <w:rStyle w:val="Hyperlink"/>
                <w:noProof/>
              </w:rPr>
              <w:t>Policy and programme context</w:t>
            </w:r>
            <w:r w:rsidR="002D333E">
              <w:rPr>
                <w:noProof/>
                <w:webHidden/>
              </w:rPr>
              <w:tab/>
            </w:r>
            <w:r w:rsidR="002D333E">
              <w:rPr>
                <w:noProof/>
                <w:webHidden/>
              </w:rPr>
              <w:fldChar w:fldCharType="begin"/>
            </w:r>
            <w:r w:rsidR="002D333E">
              <w:rPr>
                <w:noProof/>
                <w:webHidden/>
              </w:rPr>
              <w:instrText xml:space="preserve"> PAGEREF _Toc22543028 \h </w:instrText>
            </w:r>
            <w:r w:rsidR="002D333E">
              <w:rPr>
                <w:noProof/>
                <w:webHidden/>
              </w:rPr>
            </w:r>
            <w:r w:rsidR="002D333E">
              <w:rPr>
                <w:noProof/>
                <w:webHidden/>
              </w:rPr>
              <w:fldChar w:fldCharType="separate"/>
            </w:r>
            <w:r w:rsidR="00D87DBB">
              <w:rPr>
                <w:noProof/>
                <w:webHidden/>
              </w:rPr>
              <w:t>2</w:t>
            </w:r>
            <w:r w:rsidR="002D333E">
              <w:rPr>
                <w:noProof/>
                <w:webHidden/>
              </w:rPr>
              <w:fldChar w:fldCharType="end"/>
            </w:r>
          </w:hyperlink>
        </w:p>
        <w:p w14:paraId="690A140B" w14:textId="78DCA787" w:rsidR="002D333E" w:rsidRDefault="00864C5E">
          <w:pPr>
            <w:pStyle w:val="TOC2"/>
            <w:tabs>
              <w:tab w:val="right" w:leader="dot" w:pos="9016"/>
            </w:tabs>
            <w:rPr>
              <w:noProof/>
              <w:lang w:eastAsia="en-AU"/>
            </w:rPr>
          </w:pPr>
          <w:hyperlink w:anchor="_Toc22543029" w:history="1">
            <w:r w:rsidR="002D333E" w:rsidRPr="004D78F1">
              <w:rPr>
                <w:rStyle w:val="Hyperlink"/>
                <w:noProof/>
              </w:rPr>
              <w:t>Evaluation approach</w:t>
            </w:r>
            <w:r w:rsidR="002D333E">
              <w:rPr>
                <w:noProof/>
                <w:webHidden/>
              </w:rPr>
              <w:tab/>
            </w:r>
            <w:r w:rsidR="002D333E">
              <w:rPr>
                <w:noProof/>
                <w:webHidden/>
              </w:rPr>
              <w:fldChar w:fldCharType="begin"/>
            </w:r>
            <w:r w:rsidR="002D333E">
              <w:rPr>
                <w:noProof/>
                <w:webHidden/>
              </w:rPr>
              <w:instrText xml:space="preserve"> PAGEREF _Toc22543029 \h </w:instrText>
            </w:r>
            <w:r w:rsidR="002D333E">
              <w:rPr>
                <w:noProof/>
                <w:webHidden/>
              </w:rPr>
            </w:r>
            <w:r w:rsidR="002D333E">
              <w:rPr>
                <w:noProof/>
                <w:webHidden/>
              </w:rPr>
              <w:fldChar w:fldCharType="separate"/>
            </w:r>
            <w:r w:rsidR="00D87DBB">
              <w:rPr>
                <w:noProof/>
                <w:webHidden/>
              </w:rPr>
              <w:t>2</w:t>
            </w:r>
            <w:r w:rsidR="002D333E">
              <w:rPr>
                <w:noProof/>
                <w:webHidden/>
              </w:rPr>
              <w:fldChar w:fldCharType="end"/>
            </w:r>
          </w:hyperlink>
        </w:p>
        <w:p w14:paraId="42AFD31F" w14:textId="47361615" w:rsidR="002D333E" w:rsidRDefault="00864C5E">
          <w:pPr>
            <w:pStyle w:val="TOC3"/>
            <w:tabs>
              <w:tab w:val="right" w:leader="dot" w:pos="9016"/>
            </w:tabs>
            <w:rPr>
              <w:noProof/>
              <w:lang w:eastAsia="en-AU"/>
            </w:rPr>
          </w:pPr>
          <w:hyperlink w:anchor="_Toc22543030" w:history="1">
            <w:r w:rsidR="002D333E" w:rsidRPr="004D78F1">
              <w:rPr>
                <w:rStyle w:val="Hyperlink"/>
                <w:noProof/>
              </w:rPr>
              <w:t>Evaluation questions</w:t>
            </w:r>
            <w:r w:rsidR="002D333E">
              <w:rPr>
                <w:noProof/>
                <w:webHidden/>
              </w:rPr>
              <w:tab/>
            </w:r>
            <w:r w:rsidR="002D333E">
              <w:rPr>
                <w:noProof/>
                <w:webHidden/>
              </w:rPr>
              <w:fldChar w:fldCharType="begin"/>
            </w:r>
            <w:r w:rsidR="002D333E">
              <w:rPr>
                <w:noProof/>
                <w:webHidden/>
              </w:rPr>
              <w:instrText xml:space="preserve"> PAGEREF _Toc22543030 \h </w:instrText>
            </w:r>
            <w:r w:rsidR="002D333E">
              <w:rPr>
                <w:noProof/>
                <w:webHidden/>
              </w:rPr>
            </w:r>
            <w:r w:rsidR="002D333E">
              <w:rPr>
                <w:noProof/>
                <w:webHidden/>
              </w:rPr>
              <w:fldChar w:fldCharType="separate"/>
            </w:r>
            <w:r w:rsidR="00D87DBB">
              <w:rPr>
                <w:noProof/>
                <w:webHidden/>
              </w:rPr>
              <w:t>2</w:t>
            </w:r>
            <w:r w:rsidR="002D333E">
              <w:rPr>
                <w:noProof/>
                <w:webHidden/>
              </w:rPr>
              <w:fldChar w:fldCharType="end"/>
            </w:r>
          </w:hyperlink>
        </w:p>
        <w:p w14:paraId="6E432007" w14:textId="13C53C04" w:rsidR="002D333E" w:rsidRDefault="00864C5E">
          <w:pPr>
            <w:pStyle w:val="TOC3"/>
            <w:tabs>
              <w:tab w:val="right" w:leader="dot" w:pos="9016"/>
            </w:tabs>
            <w:rPr>
              <w:noProof/>
              <w:lang w:eastAsia="en-AU"/>
            </w:rPr>
          </w:pPr>
          <w:hyperlink w:anchor="_Toc22543031" w:history="1">
            <w:r w:rsidR="002D333E" w:rsidRPr="004D78F1">
              <w:rPr>
                <w:rStyle w:val="Hyperlink"/>
                <w:noProof/>
              </w:rPr>
              <w:t>Methodology</w:t>
            </w:r>
            <w:r w:rsidR="002D333E">
              <w:rPr>
                <w:noProof/>
                <w:webHidden/>
              </w:rPr>
              <w:tab/>
            </w:r>
            <w:r w:rsidR="002D333E">
              <w:rPr>
                <w:noProof/>
                <w:webHidden/>
              </w:rPr>
              <w:fldChar w:fldCharType="begin"/>
            </w:r>
            <w:r w:rsidR="002D333E">
              <w:rPr>
                <w:noProof/>
                <w:webHidden/>
              </w:rPr>
              <w:instrText xml:space="preserve"> PAGEREF _Toc22543031 \h </w:instrText>
            </w:r>
            <w:r w:rsidR="002D333E">
              <w:rPr>
                <w:noProof/>
                <w:webHidden/>
              </w:rPr>
            </w:r>
            <w:r w:rsidR="002D333E">
              <w:rPr>
                <w:noProof/>
                <w:webHidden/>
              </w:rPr>
              <w:fldChar w:fldCharType="separate"/>
            </w:r>
            <w:r w:rsidR="00D87DBB">
              <w:rPr>
                <w:noProof/>
                <w:webHidden/>
              </w:rPr>
              <w:t>2</w:t>
            </w:r>
            <w:r w:rsidR="002D333E">
              <w:rPr>
                <w:noProof/>
                <w:webHidden/>
              </w:rPr>
              <w:fldChar w:fldCharType="end"/>
            </w:r>
          </w:hyperlink>
        </w:p>
        <w:p w14:paraId="2030AF98" w14:textId="5080939B" w:rsidR="002D333E" w:rsidRDefault="00864C5E">
          <w:pPr>
            <w:pStyle w:val="TOC2"/>
            <w:tabs>
              <w:tab w:val="right" w:leader="dot" w:pos="9016"/>
            </w:tabs>
            <w:rPr>
              <w:noProof/>
              <w:lang w:eastAsia="en-AU"/>
            </w:rPr>
          </w:pPr>
          <w:hyperlink w:anchor="_Toc22543032" w:history="1">
            <w:r w:rsidR="002D333E" w:rsidRPr="004D78F1">
              <w:rPr>
                <w:rStyle w:val="Hyperlink"/>
                <w:rFonts w:eastAsia="Times New Roman"/>
                <w:noProof/>
              </w:rPr>
              <w:t xml:space="preserve">What </w:t>
            </w:r>
            <w:r w:rsidR="002D333E" w:rsidRPr="004D78F1">
              <w:rPr>
                <w:rStyle w:val="Hyperlink"/>
                <w:noProof/>
              </w:rPr>
              <w:t>worked</w:t>
            </w:r>
            <w:r w:rsidR="002D333E" w:rsidRPr="004D78F1">
              <w:rPr>
                <w:rStyle w:val="Hyperlink"/>
                <w:rFonts w:eastAsia="Times New Roman"/>
                <w:noProof/>
              </w:rPr>
              <w:t xml:space="preserve"> well</w:t>
            </w:r>
            <w:r w:rsidR="002D333E">
              <w:rPr>
                <w:noProof/>
                <w:webHidden/>
              </w:rPr>
              <w:tab/>
            </w:r>
            <w:r w:rsidR="002D333E">
              <w:rPr>
                <w:noProof/>
                <w:webHidden/>
              </w:rPr>
              <w:fldChar w:fldCharType="begin"/>
            </w:r>
            <w:r w:rsidR="002D333E">
              <w:rPr>
                <w:noProof/>
                <w:webHidden/>
              </w:rPr>
              <w:instrText xml:space="preserve"> PAGEREF _Toc22543032 \h </w:instrText>
            </w:r>
            <w:r w:rsidR="002D333E">
              <w:rPr>
                <w:noProof/>
                <w:webHidden/>
              </w:rPr>
            </w:r>
            <w:r w:rsidR="002D333E">
              <w:rPr>
                <w:noProof/>
                <w:webHidden/>
              </w:rPr>
              <w:fldChar w:fldCharType="separate"/>
            </w:r>
            <w:r w:rsidR="00D87DBB">
              <w:rPr>
                <w:noProof/>
                <w:webHidden/>
              </w:rPr>
              <w:t>3</w:t>
            </w:r>
            <w:r w:rsidR="002D333E">
              <w:rPr>
                <w:noProof/>
                <w:webHidden/>
              </w:rPr>
              <w:fldChar w:fldCharType="end"/>
            </w:r>
          </w:hyperlink>
        </w:p>
        <w:p w14:paraId="06CD2839" w14:textId="22CF494A" w:rsidR="002D333E" w:rsidRDefault="00864C5E">
          <w:pPr>
            <w:pStyle w:val="TOC3"/>
            <w:tabs>
              <w:tab w:val="right" w:leader="dot" w:pos="9016"/>
            </w:tabs>
            <w:rPr>
              <w:noProof/>
              <w:lang w:eastAsia="en-AU"/>
            </w:rPr>
          </w:pPr>
          <w:hyperlink w:anchor="_Toc22543033" w:history="1">
            <w:r w:rsidR="002D333E" w:rsidRPr="004D78F1">
              <w:rPr>
                <w:rStyle w:val="Hyperlink"/>
                <w:noProof/>
              </w:rPr>
              <w:t>Effectiveness</w:t>
            </w:r>
            <w:r w:rsidR="002D333E">
              <w:rPr>
                <w:noProof/>
                <w:webHidden/>
              </w:rPr>
              <w:tab/>
            </w:r>
            <w:r w:rsidR="002D333E">
              <w:rPr>
                <w:noProof/>
                <w:webHidden/>
              </w:rPr>
              <w:fldChar w:fldCharType="begin"/>
            </w:r>
            <w:r w:rsidR="002D333E">
              <w:rPr>
                <w:noProof/>
                <w:webHidden/>
              </w:rPr>
              <w:instrText xml:space="preserve"> PAGEREF _Toc22543033 \h </w:instrText>
            </w:r>
            <w:r w:rsidR="002D333E">
              <w:rPr>
                <w:noProof/>
                <w:webHidden/>
              </w:rPr>
            </w:r>
            <w:r w:rsidR="002D333E">
              <w:rPr>
                <w:noProof/>
                <w:webHidden/>
              </w:rPr>
              <w:fldChar w:fldCharType="separate"/>
            </w:r>
            <w:r w:rsidR="00D87DBB">
              <w:rPr>
                <w:noProof/>
                <w:webHidden/>
              </w:rPr>
              <w:t>3</w:t>
            </w:r>
            <w:r w:rsidR="002D333E">
              <w:rPr>
                <w:noProof/>
                <w:webHidden/>
              </w:rPr>
              <w:fldChar w:fldCharType="end"/>
            </w:r>
          </w:hyperlink>
        </w:p>
        <w:p w14:paraId="078CC98F" w14:textId="4F6BCD93" w:rsidR="002D333E" w:rsidRDefault="00864C5E">
          <w:pPr>
            <w:pStyle w:val="TOC3"/>
            <w:tabs>
              <w:tab w:val="right" w:leader="dot" w:pos="9016"/>
            </w:tabs>
            <w:rPr>
              <w:noProof/>
              <w:lang w:eastAsia="en-AU"/>
            </w:rPr>
          </w:pPr>
          <w:hyperlink w:anchor="_Toc22543034" w:history="1">
            <w:r w:rsidR="002D333E" w:rsidRPr="004D78F1">
              <w:rPr>
                <w:rStyle w:val="Hyperlink"/>
                <w:noProof/>
              </w:rPr>
              <w:t>Efficiency</w:t>
            </w:r>
            <w:r w:rsidR="002D333E">
              <w:rPr>
                <w:noProof/>
                <w:webHidden/>
              </w:rPr>
              <w:tab/>
            </w:r>
            <w:r w:rsidR="002D333E">
              <w:rPr>
                <w:noProof/>
                <w:webHidden/>
              </w:rPr>
              <w:fldChar w:fldCharType="begin"/>
            </w:r>
            <w:r w:rsidR="002D333E">
              <w:rPr>
                <w:noProof/>
                <w:webHidden/>
              </w:rPr>
              <w:instrText xml:space="preserve"> PAGEREF _Toc22543034 \h </w:instrText>
            </w:r>
            <w:r w:rsidR="002D333E">
              <w:rPr>
                <w:noProof/>
                <w:webHidden/>
              </w:rPr>
            </w:r>
            <w:r w:rsidR="002D333E">
              <w:rPr>
                <w:noProof/>
                <w:webHidden/>
              </w:rPr>
              <w:fldChar w:fldCharType="separate"/>
            </w:r>
            <w:r w:rsidR="00D87DBB">
              <w:rPr>
                <w:noProof/>
                <w:webHidden/>
              </w:rPr>
              <w:t>3</w:t>
            </w:r>
            <w:r w:rsidR="002D333E">
              <w:rPr>
                <w:noProof/>
                <w:webHidden/>
              </w:rPr>
              <w:fldChar w:fldCharType="end"/>
            </w:r>
          </w:hyperlink>
        </w:p>
        <w:p w14:paraId="3F1D24ED" w14:textId="0C5AE936" w:rsidR="002D333E" w:rsidRDefault="00864C5E">
          <w:pPr>
            <w:pStyle w:val="TOC3"/>
            <w:tabs>
              <w:tab w:val="right" w:leader="dot" w:pos="9016"/>
            </w:tabs>
            <w:rPr>
              <w:noProof/>
              <w:lang w:eastAsia="en-AU"/>
            </w:rPr>
          </w:pPr>
          <w:hyperlink w:anchor="_Toc22543035" w:history="1">
            <w:r w:rsidR="002D333E" w:rsidRPr="004D78F1">
              <w:rPr>
                <w:rStyle w:val="Hyperlink"/>
                <w:noProof/>
              </w:rPr>
              <w:t>Pilots</w:t>
            </w:r>
            <w:r w:rsidR="002D333E">
              <w:rPr>
                <w:noProof/>
                <w:webHidden/>
              </w:rPr>
              <w:tab/>
            </w:r>
            <w:r w:rsidR="002D333E">
              <w:rPr>
                <w:noProof/>
                <w:webHidden/>
              </w:rPr>
              <w:fldChar w:fldCharType="begin"/>
            </w:r>
            <w:r w:rsidR="002D333E">
              <w:rPr>
                <w:noProof/>
                <w:webHidden/>
              </w:rPr>
              <w:instrText xml:space="preserve"> PAGEREF _Toc22543035 \h </w:instrText>
            </w:r>
            <w:r w:rsidR="002D333E">
              <w:rPr>
                <w:noProof/>
                <w:webHidden/>
              </w:rPr>
            </w:r>
            <w:r w:rsidR="002D333E">
              <w:rPr>
                <w:noProof/>
                <w:webHidden/>
              </w:rPr>
              <w:fldChar w:fldCharType="separate"/>
            </w:r>
            <w:r w:rsidR="00D87DBB">
              <w:rPr>
                <w:noProof/>
                <w:webHidden/>
              </w:rPr>
              <w:t>4</w:t>
            </w:r>
            <w:r w:rsidR="002D333E">
              <w:rPr>
                <w:noProof/>
                <w:webHidden/>
              </w:rPr>
              <w:fldChar w:fldCharType="end"/>
            </w:r>
          </w:hyperlink>
        </w:p>
        <w:p w14:paraId="5C1E77DB" w14:textId="31AD08CE" w:rsidR="002D333E" w:rsidRDefault="00864C5E">
          <w:pPr>
            <w:pStyle w:val="TOC2"/>
            <w:tabs>
              <w:tab w:val="right" w:leader="dot" w:pos="9016"/>
            </w:tabs>
            <w:rPr>
              <w:noProof/>
              <w:lang w:eastAsia="en-AU"/>
            </w:rPr>
          </w:pPr>
          <w:hyperlink w:anchor="_Toc22543036" w:history="1">
            <w:r w:rsidR="002D333E" w:rsidRPr="004D78F1">
              <w:rPr>
                <w:rStyle w:val="Hyperlink"/>
                <w:rFonts w:eastAsia="Times New Roman"/>
                <w:noProof/>
              </w:rPr>
              <w:t>Where there was negligible impact</w:t>
            </w:r>
            <w:r w:rsidR="002D333E">
              <w:rPr>
                <w:noProof/>
                <w:webHidden/>
              </w:rPr>
              <w:tab/>
            </w:r>
            <w:r w:rsidR="002D333E">
              <w:rPr>
                <w:noProof/>
                <w:webHidden/>
              </w:rPr>
              <w:fldChar w:fldCharType="begin"/>
            </w:r>
            <w:r w:rsidR="002D333E">
              <w:rPr>
                <w:noProof/>
                <w:webHidden/>
              </w:rPr>
              <w:instrText xml:space="preserve"> PAGEREF _Toc22543036 \h </w:instrText>
            </w:r>
            <w:r w:rsidR="002D333E">
              <w:rPr>
                <w:noProof/>
                <w:webHidden/>
              </w:rPr>
            </w:r>
            <w:r w:rsidR="002D333E">
              <w:rPr>
                <w:noProof/>
                <w:webHidden/>
              </w:rPr>
              <w:fldChar w:fldCharType="separate"/>
            </w:r>
            <w:r w:rsidR="00D87DBB">
              <w:rPr>
                <w:noProof/>
                <w:webHidden/>
              </w:rPr>
              <w:t>5</w:t>
            </w:r>
            <w:r w:rsidR="002D333E">
              <w:rPr>
                <w:noProof/>
                <w:webHidden/>
              </w:rPr>
              <w:fldChar w:fldCharType="end"/>
            </w:r>
          </w:hyperlink>
        </w:p>
        <w:p w14:paraId="17E8EBA5" w14:textId="2B89C7A6" w:rsidR="002D333E" w:rsidRDefault="00864C5E">
          <w:pPr>
            <w:pStyle w:val="TOC3"/>
            <w:tabs>
              <w:tab w:val="right" w:leader="dot" w:pos="9016"/>
            </w:tabs>
            <w:rPr>
              <w:noProof/>
              <w:lang w:eastAsia="en-AU"/>
            </w:rPr>
          </w:pPr>
          <w:hyperlink w:anchor="_Toc22543037" w:history="1">
            <w:r w:rsidR="002D333E" w:rsidRPr="004D78F1">
              <w:rPr>
                <w:rStyle w:val="Hyperlink"/>
                <w:noProof/>
              </w:rPr>
              <w:t>Indigenous servicing</w:t>
            </w:r>
            <w:r w:rsidR="002D333E">
              <w:rPr>
                <w:noProof/>
                <w:webHidden/>
              </w:rPr>
              <w:tab/>
            </w:r>
            <w:r w:rsidR="002D333E">
              <w:rPr>
                <w:noProof/>
                <w:webHidden/>
              </w:rPr>
              <w:fldChar w:fldCharType="begin"/>
            </w:r>
            <w:r w:rsidR="002D333E">
              <w:rPr>
                <w:noProof/>
                <w:webHidden/>
              </w:rPr>
              <w:instrText xml:space="preserve"> PAGEREF _Toc22543037 \h </w:instrText>
            </w:r>
            <w:r w:rsidR="002D333E">
              <w:rPr>
                <w:noProof/>
                <w:webHidden/>
              </w:rPr>
            </w:r>
            <w:r w:rsidR="002D333E">
              <w:rPr>
                <w:noProof/>
                <w:webHidden/>
              </w:rPr>
              <w:fldChar w:fldCharType="separate"/>
            </w:r>
            <w:r w:rsidR="00D87DBB">
              <w:rPr>
                <w:noProof/>
                <w:webHidden/>
              </w:rPr>
              <w:t>5</w:t>
            </w:r>
            <w:r w:rsidR="002D333E">
              <w:rPr>
                <w:noProof/>
                <w:webHidden/>
              </w:rPr>
              <w:fldChar w:fldCharType="end"/>
            </w:r>
          </w:hyperlink>
        </w:p>
        <w:p w14:paraId="5DA4DFAC" w14:textId="6C95E67F" w:rsidR="002D333E" w:rsidRDefault="00864C5E">
          <w:pPr>
            <w:pStyle w:val="TOC2"/>
            <w:tabs>
              <w:tab w:val="right" w:leader="dot" w:pos="9016"/>
            </w:tabs>
            <w:rPr>
              <w:noProof/>
              <w:lang w:eastAsia="en-AU"/>
            </w:rPr>
          </w:pPr>
          <w:hyperlink w:anchor="_Toc22543038" w:history="1">
            <w:r w:rsidR="002D333E" w:rsidRPr="004D78F1">
              <w:rPr>
                <w:rStyle w:val="Hyperlink"/>
                <w:rFonts w:eastAsia="Times New Roman"/>
                <w:noProof/>
              </w:rPr>
              <w:t>Where results were mixed</w:t>
            </w:r>
            <w:r w:rsidR="002D333E">
              <w:rPr>
                <w:noProof/>
                <w:webHidden/>
              </w:rPr>
              <w:tab/>
            </w:r>
            <w:r w:rsidR="002D333E">
              <w:rPr>
                <w:noProof/>
                <w:webHidden/>
              </w:rPr>
              <w:fldChar w:fldCharType="begin"/>
            </w:r>
            <w:r w:rsidR="002D333E">
              <w:rPr>
                <w:noProof/>
                <w:webHidden/>
              </w:rPr>
              <w:instrText xml:space="preserve"> PAGEREF _Toc22543038 \h </w:instrText>
            </w:r>
            <w:r w:rsidR="002D333E">
              <w:rPr>
                <w:noProof/>
                <w:webHidden/>
              </w:rPr>
            </w:r>
            <w:r w:rsidR="002D333E">
              <w:rPr>
                <w:noProof/>
                <w:webHidden/>
              </w:rPr>
              <w:fldChar w:fldCharType="separate"/>
            </w:r>
            <w:r w:rsidR="00D87DBB">
              <w:rPr>
                <w:noProof/>
                <w:webHidden/>
              </w:rPr>
              <w:t>5</w:t>
            </w:r>
            <w:r w:rsidR="002D333E">
              <w:rPr>
                <w:noProof/>
                <w:webHidden/>
              </w:rPr>
              <w:fldChar w:fldCharType="end"/>
            </w:r>
          </w:hyperlink>
        </w:p>
        <w:p w14:paraId="1925B54F" w14:textId="3C69A4FE" w:rsidR="002D333E" w:rsidRDefault="00864C5E">
          <w:pPr>
            <w:pStyle w:val="TOC3"/>
            <w:tabs>
              <w:tab w:val="right" w:leader="dot" w:pos="9016"/>
            </w:tabs>
            <w:rPr>
              <w:noProof/>
              <w:lang w:eastAsia="en-AU"/>
            </w:rPr>
          </w:pPr>
          <w:hyperlink w:anchor="_Toc22543039" w:history="1">
            <w:r w:rsidR="002D333E" w:rsidRPr="004D78F1">
              <w:rPr>
                <w:rStyle w:val="Hyperlink"/>
                <w:noProof/>
              </w:rPr>
              <w:t>Effectiveness</w:t>
            </w:r>
            <w:r w:rsidR="002D333E">
              <w:rPr>
                <w:noProof/>
                <w:webHidden/>
              </w:rPr>
              <w:tab/>
            </w:r>
            <w:r w:rsidR="002D333E">
              <w:rPr>
                <w:noProof/>
                <w:webHidden/>
              </w:rPr>
              <w:fldChar w:fldCharType="begin"/>
            </w:r>
            <w:r w:rsidR="002D333E">
              <w:rPr>
                <w:noProof/>
                <w:webHidden/>
              </w:rPr>
              <w:instrText xml:space="preserve"> PAGEREF _Toc22543039 \h </w:instrText>
            </w:r>
            <w:r w:rsidR="002D333E">
              <w:rPr>
                <w:noProof/>
                <w:webHidden/>
              </w:rPr>
            </w:r>
            <w:r w:rsidR="002D333E">
              <w:rPr>
                <w:noProof/>
                <w:webHidden/>
              </w:rPr>
              <w:fldChar w:fldCharType="separate"/>
            </w:r>
            <w:r w:rsidR="00D87DBB">
              <w:rPr>
                <w:noProof/>
                <w:webHidden/>
              </w:rPr>
              <w:t>5</w:t>
            </w:r>
            <w:r w:rsidR="002D333E">
              <w:rPr>
                <w:noProof/>
                <w:webHidden/>
              </w:rPr>
              <w:fldChar w:fldCharType="end"/>
            </w:r>
          </w:hyperlink>
        </w:p>
        <w:p w14:paraId="56A959C9" w14:textId="53635AF1" w:rsidR="002D333E" w:rsidRDefault="00864C5E">
          <w:pPr>
            <w:pStyle w:val="TOC3"/>
            <w:tabs>
              <w:tab w:val="right" w:leader="dot" w:pos="9016"/>
            </w:tabs>
            <w:rPr>
              <w:noProof/>
              <w:lang w:eastAsia="en-AU"/>
            </w:rPr>
          </w:pPr>
          <w:hyperlink w:anchor="_Toc22543040" w:history="1">
            <w:r w:rsidR="002D333E" w:rsidRPr="004D78F1">
              <w:rPr>
                <w:rStyle w:val="Hyperlink"/>
                <w:noProof/>
              </w:rPr>
              <w:t>The Compulsory Activity Phase</w:t>
            </w:r>
            <w:r w:rsidR="002D333E">
              <w:rPr>
                <w:noProof/>
                <w:webHidden/>
              </w:rPr>
              <w:tab/>
            </w:r>
            <w:r w:rsidR="002D333E">
              <w:rPr>
                <w:noProof/>
                <w:webHidden/>
              </w:rPr>
              <w:fldChar w:fldCharType="begin"/>
            </w:r>
            <w:r w:rsidR="002D333E">
              <w:rPr>
                <w:noProof/>
                <w:webHidden/>
              </w:rPr>
              <w:instrText xml:space="preserve"> PAGEREF _Toc22543040 \h </w:instrText>
            </w:r>
            <w:r w:rsidR="002D333E">
              <w:rPr>
                <w:noProof/>
                <w:webHidden/>
              </w:rPr>
            </w:r>
            <w:r w:rsidR="002D333E">
              <w:rPr>
                <w:noProof/>
                <w:webHidden/>
              </w:rPr>
              <w:fldChar w:fldCharType="separate"/>
            </w:r>
            <w:r w:rsidR="00D87DBB">
              <w:rPr>
                <w:noProof/>
                <w:webHidden/>
              </w:rPr>
              <w:t>5</w:t>
            </w:r>
            <w:r w:rsidR="002D333E">
              <w:rPr>
                <w:noProof/>
                <w:webHidden/>
              </w:rPr>
              <w:fldChar w:fldCharType="end"/>
            </w:r>
          </w:hyperlink>
        </w:p>
        <w:p w14:paraId="39E655CD" w14:textId="38765956" w:rsidR="002D333E" w:rsidRDefault="00864C5E">
          <w:pPr>
            <w:pStyle w:val="TOC3"/>
            <w:tabs>
              <w:tab w:val="right" w:leader="dot" w:pos="9016"/>
            </w:tabs>
            <w:rPr>
              <w:noProof/>
              <w:lang w:eastAsia="en-AU"/>
            </w:rPr>
          </w:pPr>
          <w:hyperlink w:anchor="_Toc22543041" w:history="1">
            <w:r w:rsidR="002D333E" w:rsidRPr="004D78F1">
              <w:rPr>
                <w:rStyle w:val="Hyperlink"/>
                <w:noProof/>
              </w:rPr>
              <w:t>Wage subsidies in Job Services Australia</w:t>
            </w:r>
            <w:r w:rsidR="002D333E">
              <w:rPr>
                <w:noProof/>
                <w:webHidden/>
              </w:rPr>
              <w:tab/>
            </w:r>
            <w:r w:rsidR="002D333E">
              <w:rPr>
                <w:noProof/>
                <w:webHidden/>
              </w:rPr>
              <w:fldChar w:fldCharType="begin"/>
            </w:r>
            <w:r w:rsidR="002D333E">
              <w:rPr>
                <w:noProof/>
                <w:webHidden/>
              </w:rPr>
              <w:instrText xml:space="preserve"> PAGEREF _Toc22543041 \h </w:instrText>
            </w:r>
            <w:r w:rsidR="002D333E">
              <w:rPr>
                <w:noProof/>
                <w:webHidden/>
              </w:rPr>
            </w:r>
            <w:r w:rsidR="002D333E">
              <w:rPr>
                <w:noProof/>
                <w:webHidden/>
              </w:rPr>
              <w:fldChar w:fldCharType="separate"/>
            </w:r>
            <w:r w:rsidR="00D87DBB">
              <w:rPr>
                <w:noProof/>
                <w:webHidden/>
              </w:rPr>
              <w:t>6</w:t>
            </w:r>
            <w:r w:rsidR="002D333E">
              <w:rPr>
                <w:noProof/>
                <w:webHidden/>
              </w:rPr>
              <w:fldChar w:fldCharType="end"/>
            </w:r>
          </w:hyperlink>
        </w:p>
        <w:p w14:paraId="547674E2" w14:textId="628B509E" w:rsidR="002D333E" w:rsidRDefault="00864C5E">
          <w:pPr>
            <w:pStyle w:val="TOC3"/>
            <w:tabs>
              <w:tab w:val="right" w:leader="dot" w:pos="9016"/>
            </w:tabs>
            <w:rPr>
              <w:noProof/>
              <w:lang w:eastAsia="en-AU"/>
            </w:rPr>
          </w:pPr>
          <w:hyperlink w:anchor="_Toc22543042" w:history="1">
            <w:r w:rsidR="002D333E" w:rsidRPr="004D78F1">
              <w:rPr>
                <w:rStyle w:val="Hyperlink"/>
                <w:noProof/>
              </w:rPr>
              <w:t>Employer servicing</w:t>
            </w:r>
            <w:r w:rsidR="002D333E">
              <w:rPr>
                <w:noProof/>
                <w:webHidden/>
              </w:rPr>
              <w:tab/>
            </w:r>
            <w:r w:rsidR="002D333E">
              <w:rPr>
                <w:noProof/>
                <w:webHidden/>
              </w:rPr>
              <w:fldChar w:fldCharType="begin"/>
            </w:r>
            <w:r w:rsidR="002D333E">
              <w:rPr>
                <w:noProof/>
                <w:webHidden/>
              </w:rPr>
              <w:instrText xml:space="preserve"> PAGEREF _Toc22543042 \h </w:instrText>
            </w:r>
            <w:r w:rsidR="002D333E">
              <w:rPr>
                <w:noProof/>
                <w:webHidden/>
              </w:rPr>
            </w:r>
            <w:r w:rsidR="002D333E">
              <w:rPr>
                <w:noProof/>
                <w:webHidden/>
              </w:rPr>
              <w:fldChar w:fldCharType="separate"/>
            </w:r>
            <w:r w:rsidR="00D87DBB">
              <w:rPr>
                <w:noProof/>
                <w:webHidden/>
              </w:rPr>
              <w:t>6</w:t>
            </w:r>
            <w:r w:rsidR="002D333E">
              <w:rPr>
                <w:noProof/>
                <w:webHidden/>
              </w:rPr>
              <w:fldChar w:fldCharType="end"/>
            </w:r>
          </w:hyperlink>
        </w:p>
        <w:p w14:paraId="5F6EF304" w14:textId="4D97682B" w:rsidR="002D333E" w:rsidRDefault="00864C5E">
          <w:pPr>
            <w:pStyle w:val="TOC3"/>
            <w:tabs>
              <w:tab w:val="right" w:leader="dot" w:pos="9016"/>
            </w:tabs>
            <w:rPr>
              <w:noProof/>
              <w:lang w:eastAsia="en-AU"/>
            </w:rPr>
          </w:pPr>
          <w:hyperlink w:anchor="_Toc22543043" w:history="1">
            <w:r w:rsidR="002D333E" w:rsidRPr="004D78F1">
              <w:rPr>
                <w:rStyle w:val="Hyperlink"/>
                <w:noProof/>
              </w:rPr>
              <w:t>Indigenous Opportunity Policy</w:t>
            </w:r>
            <w:r w:rsidR="002D333E">
              <w:rPr>
                <w:noProof/>
                <w:webHidden/>
              </w:rPr>
              <w:tab/>
            </w:r>
            <w:r w:rsidR="002D333E">
              <w:rPr>
                <w:noProof/>
                <w:webHidden/>
              </w:rPr>
              <w:fldChar w:fldCharType="begin"/>
            </w:r>
            <w:r w:rsidR="002D333E">
              <w:rPr>
                <w:noProof/>
                <w:webHidden/>
              </w:rPr>
              <w:instrText xml:space="preserve"> PAGEREF _Toc22543043 \h </w:instrText>
            </w:r>
            <w:r w:rsidR="002D333E">
              <w:rPr>
                <w:noProof/>
                <w:webHidden/>
              </w:rPr>
            </w:r>
            <w:r w:rsidR="002D333E">
              <w:rPr>
                <w:noProof/>
                <w:webHidden/>
              </w:rPr>
              <w:fldChar w:fldCharType="separate"/>
            </w:r>
            <w:r w:rsidR="00D87DBB">
              <w:rPr>
                <w:noProof/>
                <w:webHidden/>
              </w:rPr>
              <w:t>6</w:t>
            </w:r>
            <w:r w:rsidR="002D333E">
              <w:rPr>
                <w:noProof/>
                <w:webHidden/>
              </w:rPr>
              <w:fldChar w:fldCharType="end"/>
            </w:r>
          </w:hyperlink>
        </w:p>
        <w:p w14:paraId="3E6DD664" w14:textId="18B7D561" w:rsidR="002D333E" w:rsidRDefault="00864C5E">
          <w:pPr>
            <w:pStyle w:val="TOC2"/>
            <w:tabs>
              <w:tab w:val="right" w:leader="dot" w:pos="9016"/>
            </w:tabs>
            <w:rPr>
              <w:noProof/>
              <w:lang w:eastAsia="en-AU"/>
            </w:rPr>
          </w:pPr>
          <w:hyperlink w:anchor="_Toc22543044" w:history="1">
            <w:r w:rsidR="002D333E" w:rsidRPr="004D78F1">
              <w:rPr>
                <w:rStyle w:val="Hyperlink"/>
                <w:rFonts w:eastAsia="Times New Roman"/>
                <w:noProof/>
              </w:rPr>
              <w:t>Where more work is required</w:t>
            </w:r>
            <w:r w:rsidR="002D333E">
              <w:rPr>
                <w:noProof/>
                <w:webHidden/>
              </w:rPr>
              <w:tab/>
            </w:r>
            <w:r w:rsidR="002D333E">
              <w:rPr>
                <w:noProof/>
                <w:webHidden/>
              </w:rPr>
              <w:fldChar w:fldCharType="begin"/>
            </w:r>
            <w:r w:rsidR="002D333E">
              <w:rPr>
                <w:noProof/>
                <w:webHidden/>
              </w:rPr>
              <w:instrText xml:space="preserve"> PAGEREF _Toc22543044 \h </w:instrText>
            </w:r>
            <w:r w:rsidR="002D333E">
              <w:rPr>
                <w:noProof/>
                <w:webHidden/>
              </w:rPr>
            </w:r>
            <w:r w:rsidR="002D333E">
              <w:rPr>
                <w:noProof/>
                <w:webHidden/>
              </w:rPr>
              <w:fldChar w:fldCharType="separate"/>
            </w:r>
            <w:r w:rsidR="00D87DBB">
              <w:rPr>
                <w:noProof/>
                <w:webHidden/>
              </w:rPr>
              <w:t>6</w:t>
            </w:r>
            <w:r w:rsidR="002D333E">
              <w:rPr>
                <w:noProof/>
                <w:webHidden/>
              </w:rPr>
              <w:fldChar w:fldCharType="end"/>
            </w:r>
          </w:hyperlink>
        </w:p>
        <w:p w14:paraId="16C6906C" w14:textId="0D524736" w:rsidR="002D333E" w:rsidRDefault="00864C5E">
          <w:pPr>
            <w:pStyle w:val="TOC3"/>
            <w:tabs>
              <w:tab w:val="right" w:leader="dot" w:pos="9016"/>
            </w:tabs>
            <w:rPr>
              <w:noProof/>
              <w:lang w:eastAsia="en-AU"/>
            </w:rPr>
          </w:pPr>
          <w:hyperlink w:anchor="_Toc22543045" w:history="1">
            <w:r w:rsidR="002D333E" w:rsidRPr="004D78F1">
              <w:rPr>
                <w:rStyle w:val="Hyperlink"/>
                <w:noProof/>
              </w:rPr>
              <w:t>Effectiveness</w:t>
            </w:r>
            <w:r w:rsidR="002D333E">
              <w:rPr>
                <w:noProof/>
                <w:webHidden/>
              </w:rPr>
              <w:tab/>
            </w:r>
            <w:r w:rsidR="002D333E">
              <w:rPr>
                <w:noProof/>
                <w:webHidden/>
              </w:rPr>
              <w:fldChar w:fldCharType="begin"/>
            </w:r>
            <w:r w:rsidR="002D333E">
              <w:rPr>
                <w:noProof/>
                <w:webHidden/>
              </w:rPr>
              <w:instrText xml:space="preserve"> PAGEREF _Toc22543045 \h </w:instrText>
            </w:r>
            <w:r w:rsidR="002D333E">
              <w:rPr>
                <w:noProof/>
                <w:webHidden/>
              </w:rPr>
            </w:r>
            <w:r w:rsidR="002D333E">
              <w:rPr>
                <w:noProof/>
                <w:webHidden/>
              </w:rPr>
              <w:fldChar w:fldCharType="separate"/>
            </w:r>
            <w:r w:rsidR="00D87DBB">
              <w:rPr>
                <w:noProof/>
                <w:webHidden/>
              </w:rPr>
              <w:t>6</w:t>
            </w:r>
            <w:r w:rsidR="002D333E">
              <w:rPr>
                <w:noProof/>
                <w:webHidden/>
              </w:rPr>
              <w:fldChar w:fldCharType="end"/>
            </w:r>
          </w:hyperlink>
        </w:p>
        <w:p w14:paraId="5A9F4DC2" w14:textId="3762AA42" w:rsidR="002D333E" w:rsidRDefault="00864C5E">
          <w:pPr>
            <w:pStyle w:val="TOC3"/>
            <w:tabs>
              <w:tab w:val="right" w:leader="dot" w:pos="9016"/>
            </w:tabs>
            <w:rPr>
              <w:noProof/>
              <w:lang w:eastAsia="en-AU"/>
            </w:rPr>
          </w:pPr>
          <w:hyperlink w:anchor="_Toc22543046" w:history="1">
            <w:r w:rsidR="002D333E" w:rsidRPr="004D78F1">
              <w:rPr>
                <w:rStyle w:val="Hyperlink"/>
                <w:noProof/>
              </w:rPr>
              <w:t>Total cost to government</w:t>
            </w:r>
            <w:r w:rsidR="002D333E">
              <w:rPr>
                <w:noProof/>
                <w:webHidden/>
              </w:rPr>
              <w:tab/>
            </w:r>
            <w:r w:rsidR="002D333E">
              <w:rPr>
                <w:noProof/>
                <w:webHidden/>
              </w:rPr>
              <w:fldChar w:fldCharType="begin"/>
            </w:r>
            <w:r w:rsidR="002D333E">
              <w:rPr>
                <w:noProof/>
                <w:webHidden/>
              </w:rPr>
              <w:instrText xml:space="preserve"> PAGEREF _Toc22543046 \h </w:instrText>
            </w:r>
            <w:r w:rsidR="002D333E">
              <w:rPr>
                <w:noProof/>
                <w:webHidden/>
              </w:rPr>
            </w:r>
            <w:r w:rsidR="002D333E">
              <w:rPr>
                <w:noProof/>
                <w:webHidden/>
              </w:rPr>
              <w:fldChar w:fldCharType="separate"/>
            </w:r>
            <w:r w:rsidR="00D87DBB">
              <w:rPr>
                <w:noProof/>
                <w:webHidden/>
              </w:rPr>
              <w:t>7</w:t>
            </w:r>
            <w:r w:rsidR="002D333E">
              <w:rPr>
                <w:noProof/>
                <w:webHidden/>
              </w:rPr>
              <w:fldChar w:fldCharType="end"/>
            </w:r>
          </w:hyperlink>
        </w:p>
        <w:p w14:paraId="2C76F31B" w14:textId="7C39E94F" w:rsidR="002D333E" w:rsidRDefault="00864C5E">
          <w:pPr>
            <w:pStyle w:val="TOC2"/>
            <w:tabs>
              <w:tab w:val="right" w:leader="dot" w:pos="9016"/>
            </w:tabs>
            <w:rPr>
              <w:noProof/>
              <w:lang w:eastAsia="en-AU"/>
            </w:rPr>
          </w:pPr>
          <w:hyperlink w:anchor="_Toc22543047" w:history="1">
            <w:r w:rsidR="002D333E" w:rsidRPr="004D78F1">
              <w:rPr>
                <w:rStyle w:val="Hyperlink"/>
                <w:noProof/>
              </w:rPr>
              <w:t>Overall conclusion</w:t>
            </w:r>
            <w:r w:rsidR="002D333E">
              <w:rPr>
                <w:noProof/>
                <w:webHidden/>
              </w:rPr>
              <w:tab/>
            </w:r>
            <w:r w:rsidR="002D333E">
              <w:rPr>
                <w:noProof/>
                <w:webHidden/>
              </w:rPr>
              <w:fldChar w:fldCharType="begin"/>
            </w:r>
            <w:r w:rsidR="002D333E">
              <w:rPr>
                <w:noProof/>
                <w:webHidden/>
              </w:rPr>
              <w:instrText xml:space="preserve"> PAGEREF _Toc22543047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6A590E4D" w14:textId="45DD6E6D" w:rsidR="002D333E" w:rsidRDefault="00864C5E">
          <w:pPr>
            <w:pStyle w:val="TOC2"/>
            <w:tabs>
              <w:tab w:val="right" w:leader="dot" w:pos="9016"/>
            </w:tabs>
            <w:rPr>
              <w:noProof/>
              <w:lang w:eastAsia="en-AU"/>
            </w:rPr>
          </w:pPr>
          <w:hyperlink w:anchor="_Toc22543048" w:history="1">
            <w:r w:rsidR="002D333E" w:rsidRPr="004D78F1">
              <w:rPr>
                <w:rStyle w:val="Hyperlink"/>
                <w:noProof/>
              </w:rPr>
              <w:t>Recommendations</w:t>
            </w:r>
            <w:r w:rsidR="002D333E">
              <w:rPr>
                <w:noProof/>
                <w:webHidden/>
              </w:rPr>
              <w:tab/>
            </w:r>
            <w:r w:rsidR="002D333E">
              <w:rPr>
                <w:noProof/>
                <w:webHidden/>
              </w:rPr>
              <w:fldChar w:fldCharType="begin"/>
            </w:r>
            <w:r w:rsidR="002D333E">
              <w:rPr>
                <w:noProof/>
                <w:webHidden/>
              </w:rPr>
              <w:instrText xml:space="preserve"> PAGEREF _Toc22543048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7586825A" w14:textId="2E3C4876" w:rsidR="002D333E" w:rsidRDefault="00864C5E">
          <w:pPr>
            <w:pStyle w:val="TOC3"/>
            <w:tabs>
              <w:tab w:val="right" w:leader="dot" w:pos="9016"/>
            </w:tabs>
            <w:rPr>
              <w:noProof/>
              <w:lang w:eastAsia="en-AU"/>
            </w:rPr>
          </w:pPr>
          <w:hyperlink w:anchor="_Toc22543049" w:history="1">
            <w:r w:rsidR="002D333E" w:rsidRPr="004D78F1">
              <w:rPr>
                <w:rStyle w:val="Hyperlink"/>
                <w:noProof/>
              </w:rPr>
              <w:t>Referral effects</w:t>
            </w:r>
            <w:r w:rsidR="002D333E">
              <w:rPr>
                <w:noProof/>
                <w:webHidden/>
              </w:rPr>
              <w:tab/>
            </w:r>
            <w:r w:rsidR="002D333E">
              <w:rPr>
                <w:noProof/>
                <w:webHidden/>
              </w:rPr>
              <w:fldChar w:fldCharType="begin"/>
            </w:r>
            <w:r w:rsidR="002D333E">
              <w:rPr>
                <w:noProof/>
                <w:webHidden/>
              </w:rPr>
              <w:instrText xml:space="preserve"> PAGEREF _Toc22543049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4443A37E" w14:textId="7F14F929" w:rsidR="002D333E" w:rsidRDefault="00864C5E">
          <w:pPr>
            <w:pStyle w:val="TOC3"/>
            <w:tabs>
              <w:tab w:val="right" w:leader="dot" w:pos="9016"/>
            </w:tabs>
            <w:rPr>
              <w:noProof/>
              <w:lang w:eastAsia="en-AU"/>
            </w:rPr>
          </w:pPr>
          <w:hyperlink w:anchor="_Toc22543050" w:history="1">
            <w:r w:rsidR="002D333E" w:rsidRPr="004D78F1">
              <w:rPr>
                <w:rStyle w:val="Hyperlink"/>
                <w:noProof/>
              </w:rPr>
              <w:t>Cost shifting</w:t>
            </w:r>
            <w:r w:rsidR="002D333E">
              <w:rPr>
                <w:noProof/>
                <w:webHidden/>
              </w:rPr>
              <w:tab/>
            </w:r>
            <w:r w:rsidR="002D333E">
              <w:rPr>
                <w:noProof/>
                <w:webHidden/>
              </w:rPr>
              <w:fldChar w:fldCharType="begin"/>
            </w:r>
            <w:r w:rsidR="002D333E">
              <w:rPr>
                <w:noProof/>
                <w:webHidden/>
              </w:rPr>
              <w:instrText xml:space="preserve"> PAGEREF _Toc22543050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71E3E8B8" w14:textId="54760FE4" w:rsidR="002D333E" w:rsidRDefault="00864C5E">
          <w:pPr>
            <w:pStyle w:val="TOC3"/>
            <w:tabs>
              <w:tab w:val="right" w:leader="dot" w:pos="9016"/>
            </w:tabs>
            <w:rPr>
              <w:noProof/>
              <w:lang w:eastAsia="en-AU"/>
            </w:rPr>
          </w:pPr>
          <w:hyperlink w:anchor="_Toc22543051" w:history="1">
            <w:r w:rsidR="002D333E" w:rsidRPr="004D78F1">
              <w:rPr>
                <w:rStyle w:val="Hyperlink"/>
                <w:noProof/>
              </w:rPr>
              <w:t>Indigenous Servicing</w:t>
            </w:r>
            <w:r w:rsidR="002D333E">
              <w:rPr>
                <w:noProof/>
                <w:webHidden/>
              </w:rPr>
              <w:tab/>
            </w:r>
            <w:r w:rsidR="002D333E">
              <w:rPr>
                <w:noProof/>
                <w:webHidden/>
              </w:rPr>
              <w:fldChar w:fldCharType="begin"/>
            </w:r>
            <w:r w:rsidR="002D333E">
              <w:rPr>
                <w:noProof/>
                <w:webHidden/>
              </w:rPr>
              <w:instrText xml:space="preserve"> PAGEREF _Toc22543051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4F63D3C7" w14:textId="23D0A7AE" w:rsidR="002D333E" w:rsidRDefault="00864C5E">
          <w:pPr>
            <w:pStyle w:val="TOC3"/>
            <w:tabs>
              <w:tab w:val="right" w:leader="dot" w:pos="9016"/>
            </w:tabs>
            <w:rPr>
              <w:noProof/>
              <w:lang w:eastAsia="en-AU"/>
            </w:rPr>
          </w:pPr>
          <w:hyperlink w:anchor="_Toc22543052" w:history="1">
            <w:r w:rsidR="002D333E" w:rsidRPr="004D78F1">
              <w:rPr>
                <w:rStyle w:val="Hyperlink"/>
                <w:noProof/>
              </w:rPr>
              <w:t>Red tape reduction</w:t>
            </w:r>
            <w:r w:rsidR="002D333E">
              <w:rPr>
                <w:noProof/>
                <w:webHidden/>
              </w:rPr>
              <w:tab/>
            </w:r>
            <w:r w:rsidR="002D333E">
              <w:rPr>
                <w:noProof/>
                <w:webHidden/>
              </w:rPr>
              <w:fldChar w:fldCharType="begin"/>
            </w:r>
            <w:r w:rsidR="002D333E">
              <w:rPr>
                <w:noProof/>
                <w:webHidden/>
              </w:rPr>
              <w:instrText xml:space="preserve"> PAGEREF _Toc22543052 \h </w:instrText>
            </w:r>
            <w:r w:rsidR="002D333E">
              <w:rPr>
                <w:noProof/>
                <w:webHidden/>
              </w:rPr>
            </w:r>
            <w:r w:rsidR="002D333E">
              <w:rPr>
                <w:noProof/>
                <w:webHidden/>
              </w:rPr>
              <w:fldChar w:fldCharType="separate"/>
            </w:r>
            <w:r w:rsidR="00D87DBB">
              <w:rPr>
                <w:noProof/>
                <w:webHidden/>
              </w:rPr>
              <w:t>8</w:t>
            </w:r>
            <w:r w:rsidR="002D333E">
              <w:rPr>
                <w:noProof/>
                <w:webHidden/>
              </w:rPr>
              <w:fldChar w:fldCharType="end"/>
            </w:r>
          </w:hyperlink>
        </w:p>
        <w:p w14:paraId="43C059BA" w14:textId="7DA81421" w:rsidR="002D333E" w:rsidRDefault="00864C5E">
          <w:pPr>
            <w:pStyle w:val="TOC3"/>
            <w:tabs>
              <w:tab w:val="right" w:leader="dot" w:pos="9016"/>
            </w:tabs>
            <w:rPr>
              <w:noProof/>
              <w:lang w:eastAsia="en-AU"/>
            </w:rPr>
          </w:pPr>
          <w:hyperlink w:anchor="_Toc22543053" w:history="1">
            <w:r w:rsidR="002D333E" w:rsidRPr="004D78F1">
              <w:rPr>
                <w:rStyle w:val="Hyperlink"/>
                <w:noProof/>
              </w:rPr>
              <w:t>Wage subsidies</w:t>
            </w:r>
            <w:r w:rsidR="002D333E">
              <w:rPr>
                <w:noProof/>
                <w:webHidden/>
              </w:rPr>
              <w:tab/>
            </w:r>
            <w:r w:rsidR="002D333E">
              <w:rPr>
                <w:noProof/>
                <w:webHidden/>
              </w:rPr>
              <w:fldChar w:fldCharType="begin"/>
            </w:r>
            <w:r w:rsidR="002D333E">
              <w:rPr>
                <w:noProof/>
                <w:webHidden/>
              </w:rPr>
              <w:instrText xml:space="preserve"> PAGEREF _Toc22543053 \h </w:instrText>
            </w:r>
            <w:r w:rsidR="002D333E">
              <w:rPr>
                <w:noProof/>
                <w:webHidden/>
              </w:rPr>
            </w:r>
            <w:r w:rsidR="002D333E">
              <w:rPr>
                <w:noProof/>
                <w:webHidden/>
              </w:rPr>
              <w:fldChar w:fldCharType="separate"/>
            </w:r>
            <w:r w:rsidR="00D87DBB">
              <w:rPr>
                <w:noProof/>
                <w:webHidden/>
              </w:rPr>
              <w:t>9</w:t>
            </w:r>
            <w:r w:rsidR="002D333E">
              <w:rPr>
                <w:noProof/>
                <w:webHidden/>
              </w:rPr>
              <w:fldChar w:fldCharType="end"/>
            </w:r>
          </w:hyperlink>
        </w:p>
        <w:p w14:paraId="453F05A5" w14:textId="47E7549D" w:rsidR="002D333E" w:rsidRDefault="00864C5E">
          <w:pPr>
            <w:pStyle w:val="TOC1"/>
            <w:rPr>
              <w:b w:val="0"/>
              <w:bCs w:val="0"/>
              <w:noProof/>
              <w:lang w:eastAsia="en-AU"/>
            </w:rPr>
          </w:pPr>
          <w:hyperlink w:anchor="_Toc22543054" w:history="1">
            <w:r w:rsidR="002D333E" w:rsidRPr="004D78F1">
              <w:rPr>
                <w:rStyle w:val="Hyperlink"/>
                <w:noProof/>
              </w:rPr>
              <w:t>1</w:t>
            </w:r>
            <w:r w:rsidR="002D333E">
              <w:rPr>
                <w:b w:val="0"/>
                <w:bCs w:val="0"/>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_Toc22543054 \h </w:instrText>
            </w:r>
            <w:r w:rsidR="002D333E">
              <w:rPr>
                <w:noProof/>
                <w:webHidden/>
              </w:rPr>
            </w:r>
            <w:r w:rsidR="002D333E">
              <w:rPr>
                <w:noProof/>
                <w:webHidden/>
              </w:rPr>
              <w:fldChar w:fldCharType="separate"/>
            </w:r>
            <w:r w:rsidR="00D87DBB">
              <w:rPr>
                <w:noProof/>
                <w:webHidden/>
              </w:rPr>
              <w:t>10</w:t>
            </w:r>
            <w:r w:rsidR="002D333E">
              <w:rPr>
                <w:noProof/>
                <w:webHidden/>
              </w:rPr>
              <w:fldChar w:fldCharType="end"/>
            </w:r>
          </w:hyperlink>
        </w:p>
        <w:p w14:paraId="1DC852F3" w14:textId="44C37425" w:rsidR="002D333E" w:rsidRDefault="00864C5E">
          <w:pPr>
            <w:pStyle w:val="TOC2"/>
            <w:tabs>
              <w:tab w:val="left" w:pos="880"/>
              <w:tab w:val="right" w:leader="dot" w:pos="9016"/>
            </w:tabs>
            <w:rPr>
              <w:noProof/>
              <w:lang w:eastAsia="en-AU"/>
            </w:rPr>
          </w:pPr>
          <w:hyperlink w:anchor="_Toc22543055" w:history="1">
            <w:r w:rsidR="002D333E" w:rsidRPr="004D78F1">
              <w:rPr>
                <w:rStyle w:val="Hyperlink"/>
                <w:noProof/>
              </w:rPr>
              <w:t>1.1</w:t>
            </w:r>
            <w:r w:rsidR="002D333E">
              <w:rPr>
                <w:noProof/>
                <w:lang w:eastAsia="en-AU"/>
              </w:rPr>
              <w:tab/>
            </w:r>
            <w:r w:rsidR="002D333E" w:rsidRPr="004D78F1">
              <w:rPr>
                <w:rStyle w:val="Hyperlink"/>
                <w:noProof/>
              </w:rPr>
              <w:t>Job Services Australia</w:t>
            </w:r>
            <w:r w:rsidR="002D333E">
              <w:rPr>
                <w:noProof/>
                <w:webHidden/>
              </w:rPr>
              <w:tab/>
            </w:r>
            <w:r w:rsidR="002D333E">
              <w:rPr>
                <w:noProof/>
                <w:webHidden/>
              </w:rPr>
              <w:fldChar w:fldCharType="begin"/>
            </w:r>
            <w:r w:rsidR="002D333E">
              <w:rPr>
                <w:noProof/>
                <w:webHidden/>
              </w:rPr>
              <w:instrText xml:space="preserve"> PAGEREF _Toc22543055 \h </w:instrText>
            </w:r>
            <w:r w:rsidR="002D333E">
              <w:rPr>
                <w:noProof/>
                <w:webHidden/>
              </w:rPr>
            </w:r>
            <w:r w:rsidR="002D333E">
              <w:rPr>
                <w:noProof/>
                <w:webHidden/>
              </w:rPr>
              <w:fldChar w:fldCharType="separate"/>
            </w:r>
            <w:r w:rsidR="00D87DBB">
              <w:rPr>
                <w:noProof/>
                <w:webHidden/>
              </w:rPr>
              <w:t>10</w:t>
            </w:r>
            <w:r w:rsidR="002D333E">
              <w:rPr>
                <w:noProof/>
                <w:webHidden/>
              </w:rPr>
              <w:fldChar w:fldCharType="end"/>
            </w:r>
          </w:hyperlink>
        </w:p>
        <w:p w14:paraId="2922FD1C" w14:textId="02C7365B" w:rsidR="002D333E" w:rsidRDefault="00864C5E">
          <w:pPr>
            <w:pStyle w:val="TOC3"/>
            <w:tabs>
              <w:tab w:val="left" w:pos="1320"/>
              <w:tab w:val="right" w:leader="dot" w:pos="9016"/>
            </w:tabs>
            <w:rPr>
              <w:noProof/>
              <w:lang w:eastAsia="en-AU"/>
            </w:rPr>
          </w:pPr>
          <w:hyperlink w:anchor="_Toc22543056" w:history="1">
            <w:r w:rsidR="002D333E" w:rsidRPr="004D78F1">
              <w:rPr>
                <w:rStyle w:val="Hyperlink"/>
                <w:noProof/>
              </w:rPr>
              <w:t>1.1.1</w:t>
            </w:r>
            <w:r w:rsidR="002D333E">
              <w:rPr>
                <w:noProof/>
                <w:lang w:eastAsia="en-AU"/>
              </w:rPr>
              <w:tab/>
            </w:r>
            <w:r w:rsidR="002D333E" w:rsidRPr="004D78F1">
              <w:rPr>
                <w:rStyle w:val="Hyperlink"/>
                <w:noProof/>
              </w:rPr>
              <w:t>The Job Services Australia service model</w:t>
            </w:r>
            <w:r w:rsidR="002D333E">
              <w:rPr>
                <w:noProof/>
                <w:webHidden/>
              </w:rPr>
              <w:tab/>
            </w:r>
            <w:r w:rsidR="002D333E">
              <w:rPr>
                <w:noProof/>
                <w:webHidden/>
              </w:rPr>
              <w:fldChar w:fldCharType="begin"/>
            </w:r>
            <w:r w:rsidR="002D333E">
              <w:rPr>
                <w:noProof/>
                <w:webHidden/>
              </w:rPr>
              <w:instrText xml:space="preserve"> PAGEREF _Toc22543056 \h </w:instrText>
            </w:r>
            <w:r w:rsidR="002D333E">
              <w:rPr>
                <w:noProof/>
                <w:webHidden/>
              </w:rPr>
            </w:r>
            <w:r w:rsidR="002D333E">
              <w:rPr>
                <w:noProof/>
                <w:webHidden/>
              </w:rPr>
              <w:fldChar w:fldCharType="separate"/>
            </w:r>
            <w:r w:rsidR="00D87DBB">
              <w:rPr>
                <w:noProof/>
                <w:webHidden/>
              </w:rPr>
              <w:t>10</w:t>
            </w:r>
            <w:r w:rsidR="002D333E">
              <w:rPr>
                <w:noProof/>
                <w:webHidden/>
              </w:rPr>
              <w:fldChar w:fldCharType="end"/>
            </w:r>
          </w:hyperlink>
        </w:p>
        <w:p w14:paraId="3E54E3ED" w14:textId="69648A6E" w:rsidR="002D333E" w:rsidRDefault="00864C5E">
          <w:pPr>
            <w:pStyle w:val="TOC3"/>
            <w:tabs>
              <w:tab w:val="left" w:pos="1320"/>
              <w:tab w:val="right" w:leader="dot" w:pos="9016"/>
            </w:tabs>
            <w:rPr>
              <w:noProof/>
              <w:lang w:eastAsia="en-AU"/>
            </w:rPr>
          </w:pPr>
          <w:hyperlink w:anchor="_Toc22543057" w:history="1">
            <w:r w:rsidR="002D333E" w:rsidRPr="004D78F1">
              <w:rPr>
                <w:rStyle w:val="Hyperlink"/>
                <w:noProof/>
              </w:rPr>
              <w:t>1.1.2</w:t>
            </w:r>
            <w:r w:rsidR="002D333E">
              <w:rPr>
                <w:noProof/>
                <w:lang w:eastAsia="en-AU"/>
              </w:rPr>
              <w:tab/>
            </w:r>
            <w:r w:rsidR="002D333E" w:rsidRPr="004D78F1">
              <w:rPr>
                <w:rStyle w:val="Hyperlink"/>
                <w:noProof/>
              </w:rPr>
              <w:t>Changes to the model for the second contract period</w:t>
            </w:r>
            <w:r w:rsidR="002D333E">
              <w:rPr>
                <w:noProof/>
                <w:webHidden/>
              </w:rPr>
              <w:tab/>
            </w:r>
            <w:r w:rsidR="002D333E">
              <w:rPr>
                <w:noProof/>
                <w:webHidden/>
              </w:rPr>
              <w:fldChar w:fldCharType="begin"/>
            </w:r>
            <w:r w:rsidR="002D333E">
              <w:rPr>
                <w:noProof/>
                <w:webHidden/>
              </w:rPr>
              <w:instrText xml:space="preserve"> PAGEREF _Toc22543057 \h </w:instrText>
            </w:r>
            <w:r w:rsidR="002D333E">
              <w:rPr>
                <w:noProof/>
                <w:webHidden/>
              </w:rPr>
            </w:r>
            <w:r w:rsidR="002D333E">
              <w:rPr>
                <w:noProof/>
                <w:webHidden/>
              </w:rPr>
              <w:fldChar w:fldCharType="separate"/>
            </w:r>
            <w:r w:rsidR="00D87DBB">
              <w:rPr>
                <w:noProof/>
                <w:webHidden/>
              </w:rPr>
              <w:t>13</w:t>
            </w:r>
            <w:r w:rsidR="002D333E">
              <w:rPr>
                <w:noProof/>
                <w:webHidden/>
              </w:rPr>
              <w:fldChar w:fldCharType="end"/>
            </w:r>
          </w:hyperlink>
        </w:p>
        <w:p w14:paraId="59B8E33F" w14:textId="43D89061" w:rsidR="002D333E" w:rsidRDefault="00864C5E">
          <w:pPr>
            <w:pStyle w:val="TOC2"/>
            <w:tabs>
              <w:tab w:val="left" w:pos="880"/>
              <w:tab w:val="right" w:leader="dot" w:pos="9016"/>
            </w:tabs>
            <w:rPr>
              <w:noProof/>
              <w:lang w:eastAsia="en-AU"/>
            </w:rPr>
          </w:pPr>
          <w:hyperlink w:anchor="_Toc22543058" w:history="1">
            <w:r w:rsidR="002D333E" w:rsidRPr="004D78F1">
              <w:rPr>
                <w:rStyle w:val="Hyperlink"/>
                <w:noProof/>
              </w:rPr>
              <w:t>1.2</w:t>
            </w:r>
            <w:r w:rsidR="002D333E">
              <w:rPr>
                <w:noProof/>
                <w:lang w:eastAsia="en-AU"/>
              </w:rPr>
              <w:tab/>
            </w:r>
            <w:r w:rsidR="002D333E" w:rsidRPr="004D78F1">
              <w:rPr>
                <w:rStyle w:val="Hyperlink"/>
                <w:noProof/>
              </w:rPr>
              <w:t>Policy context</w:t>
            </w:r>
            <w:r w:rsidR="002D333E">
              <w:rPr>
                <w:noProof/>
                <w:webHidden/>
              </w:rPr>
              <w:tab/>
            </w:r>
            <w:r w:rsidR="002D333E">
              <w:rPr>
                <w:noProof/>
                <w:webHidden/>
              </w:rPr>
              <w:fldChar w:fldCharType="begin"/>
            </w:r>
            <w:r w:rsidR="002D333E">
              <w:rPr>
                <w:noProof/>
                <w:webHidden/>
              </w:rPr>
              <w:instrText xml:space="preserve"> PAGEREF _Toc22543058 \h </w:instrText>
            </w:r>
            <w:r w:rsidR="002D333E">
              <w:rPr>
                <w:noProof/>
                <w:webHidden/>
              </w:rPr>
            </w:r>
            <w:r w:rsidR="002D333E">
              <w:rPr>
                <w:noProof/>
                <w:webHidden/>
              </w:rPr>
              <w:fldChar w:fldCharType="separate"/>
            </w:r>
            <w:r w:rsidR="00D87DBB">
              <w:rPr>
                <w:noProof/>
                <w:webHidden/>
              </w:rPr>
              <w:t>16</w:t>
            </w:r>
            <w:r w:rsidR="002D333E">
              <w:rPr>
                <w:noProof/>
                <w:webHidden/>
              </w:rPr>
              <w:fldChar w:fldCharType="end"/>
            </w:r>
          </w:hyperlink>
        </w:p>
        <w:p w14:paraId="24F2D429" w14:textId="1CF98D56" w:rsidR="002D333E" w:rsidRDefault="00864C5E">
          <w:pPr>
            <w:pStyle w:val="TOC3"/>
            <w:tabs>
              <w:tab w:val="left" w:pos="1320"/>
              <w:tab w:val="right" w:leader="dot" w:pos="9016"/>
            </w:tabs>
            <w:rPr>
              <w:noProof/>
              <w:lang w:eastAsia="en-AU"/>
            </w:rPr>
          </w:pPr>
          <w:hyperlink w:anchor="_Toc22543059" w:history="1">
            <w:r w:rsidR="002D333E" w:rsidRPr="004D78F1">
              <w:rPr>
                <w:rStyle w:val="Hyperlink"/>
                <w:noProof/>
              </w:rPr>
              <w:t>1.2.1</w:t>
            </w:r>
            <w:r w:rsidR="002D333E">
              <w:rPr>
                <w:noProof/>
                <w:lang w:eastAsia="en-AU"/>
              </w:rPr>
              <w:tab/>
            </w:r>
            <w:r w:rsidR="002D333E" w:rsidRPr="004D78F1">
              <w:rPr>
                <w:rStyle w:val="Hyperlink"/>
                <w:noProof/>
              </w:rPr>
              <w:t>The labour market</w:t>
            </w:r>
            <w:r w:rsidR="002D333E">
              <w:rPr>
                <w:noProof/>
                <w:webHidden/>
              </w:rPr>
              <w:tab/>
            </w:r>
            <w:r w:rsidR="002D333E">
              <w:rPr>
                <w:noProof/>
                <w:webHidden/>
              </w:rPr>
              <w:fldChar w:fldCharType="begin"/>
            </w:r>
            <w:r w:rsidR="002D333E">
              <w:rPr>
                <w:noProof/>
                <w:webHidden/>
              </w:rPr>
              <w:instrText xml:space="preserve"> PAGEREF _Toc22543059 \h </w:instrText>
            </w:r>
            <w:r w:rsidR="002D333E">
              <w:rPr>
                <w:noProof/>
                <w:webHidden/>
              </w:rPr>
            </w:r>
            <w:r w:rsidR="002D333E">
              <w:rPr>
                <w:noProof/>
                <w:webHidden/>
              </w:rPr>
              <w:fldChar w:fldCharType="separate"/>
            </w:r>
            <w:r w:rsidR="00D87DBB">
              <w:rPr>
                <w:noProof/>
                <w:webHidden/>
              </w:rPr>
              <w:t>16</w:t>
            </w:r>
            <w:r w:rsidR="002D333E">
              <w:rPr>
                <w:noProof/>
                <w:webHidden/>
              </w:rPr>
              <w:fldChar w:fldCharType="end"/>
            </w:r>
          </w:hyperlink>
        </w:p>
        <w:p w14:paraId="12C1EE6E" w14:textId="70C90B9D" w:rsidR="002D333E" w:rsidRDefault="00864C5E">
          <w:pPr>
            <w:pStyle w:val="TOC3"/>
            <w:tabs>
              <w:tab w:val="left" w:pos="1320"/>
              <w:tab w:val="right" w:leader="dot" w:pos="9016"/>
            </w:tabs>
            <w:rPr>
              <w:noProof/>
              <w:lang w:eastAsia="en-AU"/>
            </w:rPr>
          </w:pPr>
          <w:hyperlink w:anchor="_Toc22543060" w:history="1">
            <w:r w:rsidR="002D333E" w:rsidRPr="004D78F1">
              <w:rPr>
                <w:rStyle w:val="Hyperlink"/>
                <w:noProof/>
              </w:rPr>
              <w:t>1.2.2</w:t>
            </w:r>
            <w:r w:rsidR="002D333E">
              <w:rPr>
                <w:noProof/>
                <w:lang w:eastAsia="en-AU"/>
              </w:rPr>
              <w:tab/>
            </w:r>
            <w:r w:rsidR="002D333E" w:rsidRPr="004D78F1">
              <w:rPr>
                <w:rStyle w:val="Hyperlink"/>
                <w:noProof/>
              </w:rPr>
              <w:t>JSA 2012 policy and programme context</w:t>
            </w:r>
            <w:r w:rsidR="002D333E">
              <w:rPr>
                <w:noProof/>
                <w:webHidden/>
              </w:rPr>
              <w:tab/>
            </w:r>
            <w:r w:rsidR="002D333E">
              <w:rPr>
                <w:noProof/>
                <w:webHidden/>
              </w:rPr>
              <w:fldChar w:fldCharType="begin"/>
            </w:r>
            <w:r w:rsidR="002D333E">
              <w:rPr>
                <w:noProof/>
                <w:webHidden/>
              </w:rPr>
              <w:instrText xml:space="preserve"> PAGEREF _Toc22543060 \h </w:instrText>
            </w:r>
            <w:r w:rsidR="002D333E">
              <w:rPr>
                <w:noProof/>
                <w:webHidden/>
              </w:rPr>
            </w:r>
            <w:r w:rsidR="002D333E">
              <w:rPr>
                <w:noProof/>
                <w:webHidden/>
              </w:rPr>
              <w:fldChar w:fldCharType="separate"/>
            </w:r>
            <w:r w:rsidR="00D87DBB">
              <w:rPr>
                <w:noProof/>
                <w:webHidden/>
              </w:rPr>
              <w:t>18</w:t>
            </w:r>
            <w:r w:rsidR="002D333E">
              <w:rPr>
                <w:noProof/>
                <w:webHidden/>
              </w:rPr>
              <w:fldChar w:fldCharType="end"/>
            </w:r>
          </w:hyperlink>
        </w:p>
        <w:p w14:paraId="34E4BB04" w14:textId="13F8DCED" w:rsidR="002D333E" w:rsidRDefault="00864C5E">
          <w:pPr>
            <w:pStyle w:val="TOC2"/>
            <w:tabs>
              <w:tab w:val="left" w:pos="880"/>
              <w:tab w:val="right" w:leader="dot" w:pos="9016"/>
            </w:tabs>
            <w:rPr>
              <w:noProof/>
              <w:lang w:eastAsia="en-AU"/>
            </w:rPr>
          </w:pPr>
          <w:hyperlink w:anchor="_Toc22543061" w:history="1">
            <w:r w:rsidR="002D333E" w:rsidRPr="004D78F1">
              <w:rPr>
                <w:rStyle w:val="Hyperlink"/>
                <w:noProof/>
              </w:rPr>
              <w:t>1.3</w:t>
            </w:r>
            <w:r w:rsidR="002D333E">
              <w:rPr>
                <w:noProof/>
                <w:lang w:eastAsia="en-AU"/>
              </w:rPr>
              <w:tab/>
            </w:r>
            <w:r w:rsidR="002D333E" w:rsidRPr="004D78F1">
              <w:rPr>
                <w:rStyle w:val="Hyperlink"/>
                <w:noProof/>
              </w:rPr>
              <w:t>Evaluation approach</w:t>
            </w:r>
            <w:r w:rsidR="002D333E">
              <w:rPr>
                <w:noProof/>
                <w:webHidden/>
              </w:rPr>
              <w:tab/>
            </w:r>
            <w:r w:rsidR="002D333E">
              <w:rPr>
                <w:noProof/>
                <w:webHidden/>
              </w:rPr>
              <w:fldChar w:fldCharType="begin"/>
            </w:r>
            <w:r w:rsidR="002D333E">
              <w:rPr>
                <w:noProof/>
                <w:webHidden/>
              </w:rPr>
              <w:instrText xml:space="preserve"> PAGEREF _Toc22543061 \h </w:instrText>
            </w:r>
            <w:r w:rsidR="002D333E">
              <w:rPr>
                <w:noProof/>
                <w:webHidden/>
              </w:rPr>
            </w:r>
            <w:r w:rsidR="002D333E">
              <w:rPr>
                <w:noProof/>
                <w:webHidden/>
              </w:rPr>
              <w:fldChar w:fldCharType="separate"/>
            </w:r>
            <w:r w:rsidR="00D87DBB">
              <w:rPr>
                <w:noProof/>
                <w:webHidden/>
              </w:rPr>
              <w:t>19</w:t>
            </w:r>
            <w:r w:rsidR="002D333E">
              <w:rPr>
                <w:noProof/>
                <w:webHidden/>
              </w:rPr>
              <w:fldChar w:fldCharType="end"/>
            </w:r>
          </w:hyperlink>
        </w:p>
        <w:p w14:paraId="45E7661D" w14:textId="32C3B781" w:rsidR="002D333E" w:rsidRDefault="00864C5E">
          <w:pPr>
            <w:pStyle w:val="TOC3"/>
            <w:tabs>
              <w:tab w:val="left" w:pos="1320"/>
              <w:tab w:val="right" w:leader="dot" w:pos="9016"/>
            </w:tabs>
            <w:rPr>
              <w:noProof/>
              <w:lang w:eastAsia="en-AU"/>
            </w:rPr>
          </w:pPr>
          <w:hyperlink w:anchor="_Toc22543062" w:history="1">
            <w:r w:rsidR="002D333E" w:rsidRPr="004D78F1">
              <w:rPr>
                <w:rStyle w:val="Hyperlink"/>
                <w:noProof/>
              </w:rPr>
              <w:t>1.3.1</w:t>
            </w:r>
            <w:r w:rsidR="002D333E">
              <w:rPr>
                <w:noProof/>
                <w:lang w:eastAsia="en-AU"/>
              </w:rPr>
              <w:tab/>
            </w:r>
            <w:r w:rsidR="002D333E" w:rsidRPr="004D78F1">
              <w:rPr>
                <w:rStyle w:val="Hyperlink"/>
                <w:noProof/>
              </w:rPr>
              <w:t>Evaluation questions</w:t>
            </w:r>
            <w:r w:rsidR="002D333E">
              <w:rPr>
                <w:noProof/>
                <w:webHidden/>
              </w:rPr>
              <w:tab/>
            </w:r>
            <w:r w:rsidR="002D333E">
              <w:rPr>
                <w:noProof/>
                <w:webHidden/>
              </w:rPr>
              <w:fldChar w:fldCharType="begin"/>
            </w:r>
            <w:r w:rsidR="002D333E">
              <w:rPr>
                <w:noProof/>
                <w:webHidden/>
              </w:rPr>
              <w:instrText xml:space="preserve"> PAGEREF _Toc22543062 \h </w:instrText>
            </w:r>
            <w:r w:rsidR="002D333E">
              <w:rPr>
                <w:noProof/>
                <w:webHidden/>
              </w:rPr>
            </w:r>
            <w:r w:rsidR="002D333E">
              <w:rPr>
                <w:noProof/>
                <w:webHidden/>
              </w:rPr>
              <w:fldChar w:fldCharType="separate"/>
            </w:r>
            <w:r w:rsidR="00D87DBB">
              <w:rPr>
                <w:noProof/>
                <w:webHidden/>
              </w:rPr>
              <w:t>19</w:t>
            </w:r>
            <w:r w:rsidR="002D333E">
              <w:rPr>
                <w:noProof/>
                <w:webHidden/>
              </w:rPr>
              <w:fldChar w:fldCharType="end"/>
            </w:r>
          </w:hyperlink>
        </w:p>
        <w:p w14:paraId="59454252" w14:textId="1D054C00" w:rsidR="002D333E" w:rsidRDefault="00864C5E">
          <w:pPr>
            <w:pStyle w:val="TOC3"/>
            <w:tabs>
              <w:tab w:val="left" w:pos="1320"/>
              <w:tab w:val="right" w:leader="dot" w:pos="9016"/>
            </w:tabs>
            <w:rPr>
              <w:noProof/>
              <w:lang w:eastAsia="en-AU"/>
            </w:rPr>
          </w:pPr>
          <w:hyperlink w:anchor="_Toc22543063" w:history="1">
            <w:r w:rsidR="002D333E" w:rsidRPr="004D78F1">
              <w:rPr>
                <w:rStyle w:val="Hyperlink"/>
                <w:noProof/>
              </w:rPr>
              <w:t>1.3.2</w:t>
            </w:r>
            <w:r w:rsidR="002D333E">
              <w:rPr>
                <w:noProof/>
                <w:lang w:eastAsia="en-AU"/>
              </w:rPr>
              <w:tab/>
            </w:r>
            <w:r w:rsidR="002D333E" w:rsidRPr="004D78F1">
              <w:rPr>
                <w:rStyle w:val="Hyperlink"/>
                <w:noProof/>
              </w:rPr>
              <w:t>Methodology</w:t>
            </w:r>
            <w:r w:rsidR="002D333E">
              <w:rPr>
                <w:noProof/>
                <w:webHidden/>
              </w:rPr>
              <w:tab/>
            </w:r>
            <w:r w:rsidR="002D333E">
              <w:rPr>
                <w:noProof/>
                <w:webHidden/>
              </w:rPr>
              <w:fldChar w:fldCharType="begin"/>
            </w:r>
            <w:r w:rsidR="002D333E">
              <w:rPr>
                <w:noProof/>
                <w:webHidden/>
              </w:rPr>
              <w:instrText xml:space="preserve"> PAGEREF _Toc22543063 \h </w:instrText>
            </w:r>
            <w:r w:rsidR="002D333E">
              <w:rPr>
                <w:noProof/>
                <w:webHidden/>
              </w:rPr>
            </w:r>
            <w:r w:rsidR="002D333E">
              <w:rPr>
                <w:noProof/>
                <w:webHidden/>
              </w:rPr>
              <w:fldChar w:fldCharType="separate"/>
            </w:r>
            <w:r w:rsidR="00D87DBB">
              <w:rPr>
                <w:noProof/>
                <w:webHidden/>
              </w:rPr>
              <w:t>20</w:t>
            </w:r>
            <w:r w:rsidR="002D333E">
              <w:rPr>
                <w:noProof/>
                <w:webHidden/>
              </w:rPr>
              <w:fldChar w:fldCharType="end"/>
            </w:r>
          </w:hyperlink>
        </w:p>
        <w:p w14:paraId="510E312F" w14:textId="38AC8052" w:rsidR="002D333E" w:rsidRDefault="00864C5E">
          <w:pPr>
            <w:pStyle w:val="TOC3"/>
            <w:tabs>
              <w:tab w:val="left" w:pos="1320"/>
              <w:tab w:val="right" w:leader="dot" w:pos="9016"/>
            </w:tabs>
            <w:rPr>
              <w:noProof/>
              <w:lang w:eastAsia="en-AU"/>
            </w:rPr>
          </w:pPr>
          <w:hyperlink w:anchor="_Toc22543064" w:history="1">
            <w:r w:rsidR="002D333E" w:rsidRPr="004D78F1">
              <w:rPr>
                <w:rStyle w:val="Hyperlink"/>
                <w:noProof/>
              </w:rPr>
              <w:t>1.3.3</w:t>
            </w:r>
            <w:r w:rsidR="002D333E">
              <w:rPr>
                <w:noProof/>
                <w:lang w:eastAsia="en-AU"/>
              </w:rPr>
              <w:tab/>
            </w:r>
            <w:r w:rsidR="002D333E" w:rsidRPr="004D78F1">
              <w:rPr>
                <w:rStyle w:val="Hyperlink"/>
                <w:noProof/>
              </w:rPr>
              <w:t>Data sources</w:t>
            </w:r>
            <w:r w:rsidR="002D333E">
              <w:rPr>
                <w:noProof/>
                <w:webHidden/>
              </w:rPr>
              <w:tab/>
            </w:r>
            <w:r w:rsidR="002D333E">
              <w:rPr>
                <w:noProof/>
                <w:webHidden/>
              </w:rPr>
              <w:fldChar w:fldCharType="begin"/>
            </w:r>
            <w:r w:rsidR="002D333E">
              <w:rPr>
                <w:noProof/>
                <w:webHidden/>
              </w:rPr>
              <w:instrText xml:space="preserve"> PAGEREF _Toc22543064 \h </w:instrText>
            </w:r>
            <w:r w:rsidR="002D333E">
              <w:rPr>
                <w:noProof/>
                <w:webHidden/>
              </w:rPr>
            </w:r>
            <w:r w:rsidR="002D333E">
              <w:rPr>
                <w:noProof/>
                <w:webHidden/>
              </w:rPr>
              <w:fldChar w:fldCharType="separate"/>
            </w:r>
            <w:r w:rsidR="00D87DBB">
              <w:rPr>
                <w:noProof/>
                <w:webHidden/>
              </w:rPr>
              <w:t>21</w:t>
            </w:r>
            <w:r w:rsidR="002D333E">
              <w:rPr>
                <w:noProof/>
                <w:webHidden/>
              </w:rPr>
              <w:fldChar w:fldCharType="end"/>
            </w:r>
          </w:hyperlink>
        </w:p>
        <w:p w14:paraId="2881B968" w14:textId="054FCCDC" w:rsidR="002D333E" w:rsidRDefault="00864C5E">
          <w:pPr>
            <w:pStyle w:val="TOC2"/>
            <w:tabs>
              <w:tab w:val="left" w:pos="880"/>
              <w:tab w:val="right" w:leader="dot" w:pos="9016"/>
            </w:tabs>
            <w:rPr>
              <w:noProof/>
              <w:lang w:eastAsia="en-AU"/>
            </w:rPr>
          </w:pPr>
          <w:hyperlink w:anchor="_Toc22543065" w:history="1">
            <w:r w:rsidR="002D333E" w:rsidRPr="004D78F1">
              <w:rPr>
                <w:rStyle w:val="Hyperlink"/>
                <w:noProof/>
              </w:rPr>
              <w:t>1.4</w:t>
            </w:r>
            <w:r w:rsidR="002D333E">
              <w:rPr>
                <w:noProof/>
                <w:lang w:eastAsia="en-AU"/>
              </w:rPr>
              <w:tab/>
            </w:r>
            <w:r w:rsidR="002D333E" w:rsidRPr="004D78F1">
              <w:rPr>
                <w:rStyle w:val="Hyperlink"/>
                <w:noProof/>
              </w:rPr>
              <w:t>Scope and limitations</w:t>
            </w:r>
            <w:r w:rsidR="002D333E">
              <w:rPr>
                <w:noProof/>
                <w:webHidden/>
              </w:rPr>
              <w:tab/>
            </w:r>
            <w:r w:rsidR="002D333E">
              <w:rPr>
                <w:noProof/>
                <w:webHidden/>
              </w:rPr>
              <w:fldChar w:fldCharType="begin"/>
            </w:r>
            <w:r w:rsidR="002D333E">
              <w:rPr>
                <w:noProof/>
                <w:webHidden/>
              </w:rPr>
              <w:instrText xml:space="preserve"> PAGEREF _Toc22543065 \h </w:instrText>
            </w:r>
            <w:r w:rsidR="002D333E">
              <w:rPr>
                <w:noProof/>
                <w:webHidden/>
              </w:rPr>
            </w:r>
            <w:r w:rsidR="002D333E">
              <w:rPr>
                <w:noProof/>
                <w:webHidden/>
              </w:rPr>
              <w:fldChar w:fldCharType="separate"/>
            </w:r>
            <w:r w:rsidR="00D87DBB">
              <w:rPr>
                <w:noProof/>
                <w:webHidden/>
              </w:rPr>
              <w:t>22</w:t>
            </w:r>
            <w:r w:rsidR="002D333E">
              <w:rPr>
                <w:noProof/>
                <w:webHidden/>
              </w:rPr>
              <w:fldChar w:fldCharType="end"/>
            </w:r>
          </w:hyperlink>
        </w:p>
        <w:p w14:paraId="13B2A2C0" w14:textId="0941BDC9" w:rsidR="002D333E" w:rsidRDefault="00864C5E">
          <w:pPr>
            <w:pStyle w:val="TOC1"/>
            <w:rPr>
              <w:b w:val="0"/>
              <w:bCs w:val="0"/>
              <w:noProof/>
              <w:lang w:eastAsia="en-AU"/>
            </w:rPr>
          </w:pPr>
          <w:hyperlink w:anchor="_Toc22543066" w:history="1">
            <w:r w:rsidR="002D333E" w:rsidRPr="004D78F1">
              <w:rPr>
                <w:rStyle w:val="Hyperlink"/>
                <w:noProof/>
              </w:rPr>
              <w:t>2</w:t>
            </w:r>
            <w:r w:rsidR="002D333E">
              <w:rPr>
                <w:b w:val="0"/>
                <w:bCs w:val="0"/>
                <w:noProof/>
                <w:lang w:eastAsia="en-AU"/>
              </w:rPr>
              <w:tab/>
            </w:r>
            <w:r w:rsidR="002D333E" w:rsidRPr="004D78F1">
              <w:rPr>
                <w:rStyle w:val="Hyperlink"/>
                <w:noProof/>
              </w:rPr>
              <w:t>Populations</w:t>
            </w:r>
            <w:r w:rsidR="002D333E">
              <w:rPr>
                <w:noProof/>
                <w:webHidden/>
              </w:rPr>
              <w:tab/>
            </w:r>
            <w:r w:rsidR="002D333E">
              <w:rPr>
                <w:noProof/>
                <w:webHidden/>
              </w:rPr>
              <w:fldChar w:fldCharType="begin"/>
            </w:r>
            <w:r w:rsidR="002D333E">
              <w:rPr>
                <w:noProof/>
                <w:webHidden/>
              </w:rPr>
              <w:instrText xml:space="preserve"> PAGEREF _Toc22543066 \h </w:instrText>
            </w:r>
            <w:r w:rsidR="002D333E">
              <w:rPr>
                <w:noProof/>
                <w:webHidden/>
              </w:rPr>
            </w:r>
            <w:r w:rsidR="002D333E">
              <w:rPr>
                <w:noProof/>
                <w:webHidden/>
              </w:rPr>
              <w:fldChar w:fldCharType="separate"/>
            </w:r>
            <w:r w:rsidR="00D87DBB">
              <w:rPr>
                <w:noProof/>
                <w:webHidden/>
              </w:rPr>
              <w:t>23</w:t>
            </w:r>
            <w:r w:rsidR="002D333E">
              <w:rPr>
                <w:noProof/>
                <w:webHidden/>
              </w:rPr>
              <w:fldChar w:fldCharType="end"/>
            </w:r>
          </w:hyperlink>
        </w:p>
        <w:p w14:paraId="471A5CAB" w14:textId="24D28AE1" w:rsidR="002D333E" w:rsidRDefault="00864C5E">
          <w:pPr>
            <w:pStyle w:val="TOC2"/>
            <w:tabs>
              <w:tab w:val="left" w:pos="880"/>
              <w:tab w:val="right" w:leader="dot" w:pos="9016"/>
            </w:tabs>
            <w:rPr>
              <w:noProof/>
              <w:lang w:eastAsia="en-AU"/>
            </w:rPr>
          </w:pPr>
          <w:hyperlink w:anchor="_Toc22543067" w:history="1">
            <w:r w:rsidR="002D333E" w:rsidRPr="004D78F1">
              <w:rPr>
                <w:rStyle w:val="Hyperlink"/>
                <w:rFonts w:eastAsia="Times New Roman"/>
                <w:noProof/>
              </w:rPr>
              <w:t xml:space="preserve">2.1 </w:t>
            </w:r>
            <w:r w:rsidR="002D333E">
              <w:rPr>
                <w:noProof/>
                <w:lang w:eastAsia="en-AU"/>
              </w:rPr>
              <w:tab/>
            </w:r>
            <w:r w:rsidR="002D333E" w:rsidRPr="004D78F1">
              <w:rPr>
                <w:rStyle w:val="Hyperlink"/>
                <w:rFonts w:eastAsia="Times New Roman"/>
                <w:noProof/>
              </w:rPr>
              <w:t>Caseload overview JSA 2012 – 2015</w:t>
            </w:r>
            <w:r w:rsidR="002D333E">
              <w:rPr>
                <w:noProof/>
                <w:webHidden/>
              </w:rPr>
              <w:tab/>
            </w:r>
            <w:r w:rsidR="002D333E">
              <w:rPr>
                <w:noProof/>
                <w:webHidden/>
              </w:rPr>
              <w:fldChar w:fldCharType="begin"/>
            </w:r>
            <w:r w:rsidR="002D333E">
              <w:rPr>
                <w:noProof/>
                <w:webHidden/>
              </w:rPr>
              <w:instrText xml:space="preserve"> PAGEREF _Toc22543067 \h </w:instrText>
            </w:r>
            <w:r w:rsidR="002D333E">
              <w:rPr>
                <w:noProof/>
                <w:webHidden/>
              </w:rPr>
            </w:r>
            <w:r w:rsidR="002D333E">
              <w:rPr>
                <w:noProof/>
                <w:webHidden/>
              </w:rPr>
              <w:fldChar w:fldCharType="separate"/>
            </w:r>
            <w:r w:rsidR="00D87DBB">
              <w:rPr>
                <w:noProof/>
                <w:webHidden/>
              </w:rPr>
              <w:t>23</w:t>
            </w:r>
            <w:r w:rsidR="002D333E">
              <w:rPr>
                <w:noProof/>
                <w:webHidden/>
              </w:rPr>
              <w:fldChar w:fldCharType="end"/>
            </w:r>
          </w:hyperlink>
        </w:p>
        <w:p w14:paraId="5961D972" w14:textId="3214D9D6" w:rsidR="002D333E" w:rsidRDefault="00864C5E">
          <w:pPr>
            <w:pStyle w:val="TOC2"/>
            <w:tabs>
              <w:tab w:val="left" w:pos="880"/>
              <w:tab w:val="right" w:leader="dot" w:pos="9016"/>
            </w:tabs>
            <w:rPr>
              <w:noProof/>
              <w:lang w:eastAsia="en-AU"/>
            </w:rPr>
          </w:pPr>
          <w:hyperlink w:anchor="_Toc22543068" w:history="1">
            <w:r w:rsidR="002D333E" w:rsidRPr="004D78F1">
              <w:rPr>
                <w:rStyle w:val="Hyperlink"/>
                <w:noProof/>
              </w:rPr>
              <w:t xml:space="preserve">2.2 </w:t>
            </w:r>
            <w:r w:rsidR="002D333E">
              <w:rPr>
                <w:noProof/>
                <w:lang w:eastAsia="en-AU"/>
              </w:rPr>
              <w:tab/>
            </w:r>
            <w:r w:rsidR="002D333E" w:rsidRPr="004D78F1">
              <w:rPr>
                <w:rStyle w:val="Hyperlink"/>
                <w:noProof/>
              </w:rPr>
              <w:t>Study populations overview</w:t>
            </w:r>
            <w:r w:rsidR="002D333E">
              <w:rPr>
                <w:noProof/>
                <w:webHidden/>
              </w:rPr>
              <w:tab/>
            </w:r>
            <w:r w:rsidR="002D333E">
              <w:rPr>
                <w:noProof/>
                <w:webHidden/>
              </w:rPr>
              <w:fldChar w:fldCharType="begin"/>
            </w:r>
            <w:r w:rsidR="002D333E">
              <w:rPr>
                <w:noProof/>
                <w:webHidden/>
              </w:rPr>
              <w:instrText xml:space="preserve"> PAGEREF _Toc22543068 \h </w:instrText>
            </w:r>
            <w:r w:rsidR="002D333E">
              <w:rPr>
                <w:noProof/>
                <w:webHidden/>
              </w:rPr>
            </w:r>
            <w:r w:rsidR="002D333E">
              <w:rPr>
                <w:noProof/>
                <w:webHidden/>
              </w:rPr>
              <w:fldChar w:fldCharType="separate"/>
            </w:r>
            <w:r w:rsidR="00D87DBB">
              <w:rPr>
                <w:noProof/>
                <w:webHidden/>
              </w:rPr>
              <w:t>25</w:t>
            </w:r>
            <w:r w:rsidR="002D333E">
              <w:rPr>
                <w:noProof/>
                <w:webHidden/>
              </w:rPr>
              <w:fldChar w:fldCharType="end"/>
            </w:r>
          </w:hyperlink>
        </w:p>
        <w:p w14:paraId="19DFD5A4" w14:textId="437F5F13" w:rsidR="002D333E" w:rsidRDefault="00864C5E">
          <w:pPr>
            <w:pStyle w:val="TOC3"/>
            <w:tabs>
              <w:tab w:val="left" w:pos="1320"/>
              <w:tab w:val="right" w:leader="dot" w:pos="9016"/>
            </w:tabs>
            <w:rPr>
              <w:noProof/>
              <w:lang w:eastAsia="en-AU"/>
            </w:rPr>
          </w:pPr>
          <w:hyperlink w:anchor="_Toc22543069" w:history="1">
            <w:r w:rsidR="002D333E" w:rsidRPr="004D78F1">
              <w:rPr>
                <w:rStyle w:val="Hyperlink"/>
                <w:noProof/>
              </w:rPr>
              <w:t>2.2.1</w:t>
            </w:r>
            <w:r w:rsidR="002D333E">
              <w:rPr>
                <w:noProof/>
                <w:lang w:eastAsia="en-AU"/>
              </w:rPr>
              <w:tab/>
            </w:r>
            <w:r w:rsidR="002D333E" w:rsidRPr="004D78F1">
              <w:rPr>
                <w:rStyle w:val="Hyperlink"/>
                <w:noProof/>
              </w:rPr>
              <w:t>The new entrant populations</w:t>
            </w:r>
            <w:r w:rsidR="002D333E">
              <w:rPr>
                <w:noProof/>
                <w:webHidden/>
              </w:rPr>
              <w:tab/>
            </w:r>
            <w:r w:rsidR="002D333E">
              <w:rPr>
                <w:noProof/>
                <w:webHidden/>
              </w:rPr>
              <w:fldChar w:fldCharType="begin"/>
            </w:r>
            <w:r w:rsidR="002D333E">
              <w:rPr>
                <w:noProof/>
                <w:webHidden/>
              </w:rPr>
              <w:instrText xml:space="preserve"> PAGEREF _Toc22543069 \h </w:instrText>
            </w:r>
            <w:r w:rsidR="002D333E">
              <w:rPr>
                <w:noProof/>
                <w:webHidden/>
              </w:rPr>
            </w:r>
            <w:r w:rsidR="002D333E">
              <w:rPr>
                <w:noProof/>
                <w:webHidden/>
              </w:rPr>
              <w:fldChar w:fldCharType="separate"/>
            </w:r>
            <w:r w:rsidR="00D87DBB">
              <w:rPr>
                <w:noProof/>
                <w:webHidden/>
              </w:rPr>
              <w:t>25</w:t>
            </w:r>
            <w:r w:rsidR="002D333E">
              <w:rPr>
                <w:noProof/>
                <w:webHidden/>
              </w:rPr>
              <w:fldChar w:fldCharType="end"/>
            </w:r>
          </w:hyperlink>
        </w:p>
        <w:p w14:paraId="3B13A548" w14:textId="2FBDB10E" w:rsidR="002D333E" w:rsidRDefault="00864C5E">
          <w:pPr>
            <w:pStyle w:val="TOC3"/>
            <w:tabs>
              <w:tab w:val="left" w:pos="1320"/>
              <w:tab w:val="right" w:leader="dot" w:pos="9016"/>
            </w:tabs>
            <w:rPr>
              <w:noProof/>
              <w:lang w:eastAsia="en-AU"/>
            </w:rPr>
          </w:pPr>
          <w:hyperlink w:anchor="_Toc22543070" w:history="1">
            <w:r w:rsidR="002D333E" w:rsidRPr="004D78F1">
              <w:rPr>
                <w:rStyle w:val="Hyperlink"/>
                <w:noProof/>
              </w:rPr>
              <w:t>2.2.2</w:t>
            </w:r>
            <w:r w:rsidR="002D333E">
              <w:rPr>
                <w:noProof/>
                <w:lang w:eastAsia="en-AU"/>
              </w:rPr>
              <w:tab/>
            </w:r>
            <w:r w:rsidR="002D333E" w:rsidRPr="004D78F1">
              <w:rPr>
                <w:rStyle w:val="Hyperlink"/>
                <w:noProof/>
              </w:rPr>
              <w:t>The long-term unemployed populations</w:t>
            </w:r>
            <w:r w:rsidR="002D333E">
              <w:rPr>
                <w:noProof/>
                <w:webHidden/>
              </w:rPr>
              <w:tab/>
            </w:r>
            <w:r w:rsidR="002D333E">
              <w:rPr>
                <w:noProof/>
                <w:webHidden/>
              </w:rPr>
              <w:fldChar w:fldCharType="begin"/>
            </w:r>
            <w:r w:rsidR="002D333E">
              <w:rPr>
                <w:noProof/>
                <w:webHidden/>
              </w:rPr>
              <w:instrText xml:space="preserve"> PAGEREF _Toc22543070 \h </w:instrText>
            </w:r>
            <w:r w:rsidR="002D333E">
              <w:rPr>
                <w:noProof/>
                <w:webHidden/>
              </w:rPr>
            </w:r>
            <w:r w:rsidR="002D333E">
              <w:rPr>
                <w:noProof/>
                <w:webHidden/>
              </w:rPr>
              <w:fldChar w:fldCharType="separate"/>
            </w:r>
            <w:r w:rsidR="00D87DBB">
              <w:rPr>
                <w:noProof/>
                <w:webHidden/>
              </w:rPr>
              <w:t>26</w:t>
            </w:r>
            <w:r w:rsidR="002D333E">
              <w:rPr>
                <w:noProof/>
                <w:webHidden/>
              </w:rPr>
              <w:fldChar w:fldCharType="end"/>
            </w:r>
          </w:hyperlink>
        </w:p>
        <w:p w14:paraId="7BB8978A" w14:textId="3D584215" w:rsidR="002D333E" w:rsidRDefault="00864C5E">
          <w:pPr>
            <w:pStyle w:val="TOC1"/>
            <w:rPr>
              <w:b w:val="0"/>
              <w:bCs w:val="0"/>
              <w:noProof/>
              <w:lang w:eastAsia="en-AU"/>
            </w:rPr>
          </w:pPr>
          <w:hyperlink w:anchor="_Toc22543071" w:history="1">
            <w:r w:rsidR="002D333E" w:rsidRPr="004D78F1">
              <w:rPr>
                <w:rStyle w:val="Hyperlink"/>
                <w:noProof/>
              </w:rPr>
              <w:t>3</w:t>
            </w:r>
            <w:r w:rsidR="002D333E">
              <w:rPr>
                <w:b w:val="0"/>
                <w:bCs w:val="0"/>
                <w:noProof/>
                <w:lang w:eastAsia="en-AU"/>
              </w:rPr>
              <w:tab/>
            </w:r>
            <w:r w:rsidR="002D333E" w:rsidRPr="004D78F1">
              <w:rPr>
                <w:rStyle w:val="Hyperlink"/>
                <w:noProof/>
              </w:rPr>
              <w:t>Overall effectiveness</w:t>
            </w:r>
            <w:r w:rsidR="002D333E">
              <w:rPr>
                <w:noProof/>
                <w:webHidden/>
              </w:rPr>
              <w:tab/>
            </w:r>
            <w:r w:rsidR="002D333E">
              <w:rPr>
                <w:noProof/>
                <w:webHidden/>
              </w:rPr>
              <w:fldChar w:fldCharType="begin"/>
            </w:r>
            <w:r w:rsidR="002D333E">
              <w:rPr>
                <w:noProof/>
                <w:webHidden/>
              </w:rPr>
              <w:instrText xml:space="preserve"> PAGEREF _Toc22543071 \h </w:instrText>
            </w:r>
            <w:r w:rsidR="002D333E">
              <w:rPr>
                <w:noProof/>
                <w:webHidden/>
              </w:rPr>
            </w:r>
            <w:r w:rsidR="002D333E">
              <w:rPr>
                <w:noProof/>
                <w:webHidden/>
              </w:rPr>
              <w:fldChar w:fldCharType="separate"/>
            </w:r>
            <w:r w:rsidR="00D87DBB">
              <w:rPr>
                <w:noProof/>
                <w:webHidden/>
              </w:rPr>
              <w:t>28</w:t>
            </w:r>
            <w:r w:rsidR="002D333E">
              <w:rPr>
                <w:noProof/>
                <w:webHidden/>
              </w:rPr>
              <w:fldChar w:fldCharType="end"/>
            </w:r>
          </w:hyperlink>
        </w:p>
        <w:p w14:paraId="739A87E9" w14:textId="5F3614A1" w:rsidR="002D333E" w:rsidRDefault="00864C5E">
          <w:pPr>
            <w:pStyle w:val="TOC2"/>
            <w:tabs>
              <w:tab w:val="left" w:pos="880"/>
              <w:tab w:val="right" w:leader="dot" w:pos="9016"/>
            </w:tabs>
            <w:rPr>
              <w:noProof/>
              <w:lang w:eastAsia="en-AU"/>
            </w:rPr>
          </w:pPr>
          <w:hyperlink w:anchor="_Toc22543072" w:history="1">
            <w:r w:rsidR="002D333E" w:rsidRPr="004D78F1">
              <w:rPr>
                <w:rStyle w:val="Hyperlink"/>
                <w:noProof/>
              </w:rPr>
              <w:t>3.1</w:t>
            </w:r>
            <w:r w:rsidR="002D333E">
              <w:rPr>
                <w:noProof/>
                <w:lang w:eastAsia="en-AU"/>
              </w:rPr>
              <w:tab/>
            </w:r>
            <w:r w:rsidR="002D333E" w:rsidRPr="004D78F1">
              <w:rPr>
                <w:rStyle w:val="Hyperlink"/>
                <w:noProof/>
              </w:rPr>
              <w:t>Effectiveness for new entrant job seekers</w:t>
            </w:r>
            <w:r w:rsidR="002D333E">
              <w:rPr>
                <w:noProof/>
                <w:webHidden/>
              </w:rPr>
              <w:tab/>
            </w:r>
            <w:r w:rsidR="002D333E">
              <w:rPr>
                <w:noProof/>
                <w:webHidden/>
              </w:rPr>
              <w:fldChar w:fldCharType="begin"/>
            </w:r>
            <w:r w:rsidR="002D333E">
              <w:rPr>
                <w:noProof/>
                <w:webHidden/>
              </w:rPr>
              <w:instrText xml:space="preserve"> PAGEREF _Toc22543072 \h </w:instrText>
            </w:r>
            <w:r w:rsidR="002D333E">
              <w:rPr>
                <w:noProof/>
                <w:webHidden/>
              </w:rPr>
            </w:r>
            <w:r w:rsidR="002D333E">
              <w:rPr>
                <w:noProof/>
                <w:webHidden/>
              </w:rPr>
              <w:fldChar w:fldCharType="separate"/>
            </w:r>
            <w:r w:rsidR="00D87DBB">
              <w:rPr>
                <w:noProof/>
                <w:webHidden/>
              </w:rPr>
              <w:t>28</w:t>
            </w:r>
            <w:r w:rsidR="002D333E">
              <w:rPr>
                <w:noProof/>
                <w:webHidden/>
              </w:rPr>
              <w:fldChar w:fldCharType="end"/>
            </w:r>
          </w:hyperlink>
        </w:p>
        <w:p w14:paraId="0A5CDC60" w14:textId="10425E27" w:rsidR="002D333E" w:rsidRDefault="00864C5E">
          <w:pPr>
            <w:pStyle w:val="TOC3"/>
            <w:tabs>
              <w:tab w:val="left" w:pos="1320"/>
              <w:tab w:val="right" w:leader="dot" w:pos="9016"/>
            </w:tabs>
            <w:rPr>
              <w:noProof/>
              <w:lang w:eastAsia="en-AU"/>
            </w:rPr>
          </w:pPr>
          <w:hyperlink w:anchor="_Toc22543073" w:history="1">
            <w:r w:rsidR="002D333E" w:rsidRPr="004D78F1">
              <w:rPr>
                <w:rStyle w:val="Hyperlink"/>
                <w:noProof/>
              </w:rPr>
              <w:t>3.1.1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_Toc22543073 \h </w:instrText>
            </w:r>
            <w:r w:rsidR="002D333E">
              <w:rPr>
                <w:noProof/>
                <w:webHidden/>
              </w:rPr>
            </w:r>
            <w:r w:rsidR="002D333E">
              <w:rPr>
                <w:noProof/>
                <w:webHidden/>
              </w:rPr>
              <w:fldChar w:fldCharType="separate"/>
            </w:r>
            <w:r w:rsidR="00D87DBB">
              <w:rPr>
                <w:noProof/>
                <w:webHidden/>
              </w:rPr>
              <w:t>28</w:t>
            </w:r>
            <w:r w:rsidR="002D333E">
              <w:rPr>
                <w:noProof/>
                <w:webHidden/>
              </w:rPr>
              <w:fldChar w:fldCharType="end"/>
            </w:r>
          </w:hyperlink>
        </w:p>
        <w:p w14:paraId="277F038D" w14:textId="1ADCEC63" w:rsidR="002D333E" w:rsidRDefault="00864C5E">
          <w:pPr>
            <w:pStyle w:val="TOC3"/>
            <w:tabs>
              <w:tab w:val="left" w:pos="1320"/>
              <w:tab w:val="right" w:leader="dot" w:pos="9016"/>
            </w:tabs>
            <w:rPr>
              <w:noProof/>
              <w:lang w:eastAsia="en-AU"/>
            </w:rPr>
          </w:pPr>
          <w:hyperlink w:anchor="_Toc22543074" w:history="1">
            <w:r w:rsidR="002D333E" w:rsidRPr="004D78F1">
              <w:rPr>
                <w:rStyle w:val="Hyperlink"/>
                <w:noProof/>
              </w:rPr>
              <w:t>3.1.2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_Toc22543074 \h </w:instrText>
            </w:r>
            <w:r w:rsidR="002D333E">
              <w:rPr>
                <w:noProof/>
                <w:webHidden/>
              </w:rPr>
            </w:r>
            <w:r w:rsidR="002D333E">
              <w:rPr>
                <w:noProof/>
                <w:webHidden/>
              </w:rPr>
              <w:fldChar w:fldCharType="separate"/>
            </w:r>
            <w:r w:rsidR="00D87DBB">
              <w:rPr>
                <w:noProof/>
                <w:webHidden/>
              </w:rPr>
              <w:t>28</w:t>
            </w:r>
            <w:r w:rsidR="002D333E">
              <w:rPr>
                <w:noProof/>
                <w:webHidden/>
              </w:rPr>
              <w:fldChar w:fldCharType="end"/>
            </w:r>
          </w:hyperlink>
        </w:p>
        <w:p w14:paraId="4EB8064C" w14:textId="5195C12B" w:rsidR="002D333E" w:rsidRDefault="00864C5E">
          <w:pPr>
            <w:pStyle w:val="TOC3"/>
            <w:tabs>
              <w:tab w:val="left" w:pos="1320"/>
              <w:tab w:val="right" w:leader="dot" w:pos="9016"/>
            </w:tabs>
            <w:rPr>
              <w:noProof/>
              <w:lang w:eastAsia="en-AU"/>
            </w:rPr>
          </w:pPr>
          <w:hyperlink w:anchor="_Toc22543075" w:history="1">
            <w:r w:rsidR="002D333E" w:rsidRPr="004D78F1">
              <w:rPr>
                <w:rStyle w:val="Hyperlink"/>
                <w:noProof/>
              </w:rPr>
              <w:t>3.1.3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_Toc22543075 \h </w:instrText>
            </w:r>
            <w:r w:rsidR="002D333E">
              <w:rPr>
                <w:noProof/>
                <w:webHidden/>
              </w:rPr>
            </w:r>
            <w:r w:rsidR="002D333E">
              <w:rPr>
                <w:noProof/>
                <w:webHidden/>
              </w:rPr>
              <w:fldChar w:fldCharType="separate"/>
            </w:r>
            <w:r w:rsidR="00D87DBB">
              <w:rPr>
                <w:noProof/>
                <w:webHidden/>
              </w:rPr>
              <w:t>35</w:t>
            </w:r>
            <w:r w:rsidR="002D333E">
              <w:rPr>
                <w:noProof/>
                <w:webHidden/>
              </w:rPr>
              <w:fldChar w:fldCharType="end"/>
            </w:r>
          </w:hyperlink>
        </w:p>
        <w:p w14:paraId="04D675CB" w14:textId="6CB2F8C2" w:rsidR="002D333E" w:rsidRDefault="00864C5E">
          <w:pPr>
            <w:pStyle w:val="TOC2"/>
            <w:tabs>
              <w:tab w:val="left" w:pos="880"/>
              <w:tab w:val="right" w:leader="dot" w:pos="9016"/>
            </w:tabs>
            <w:rPr>
              <w:noProof/>
              <w:lang w:eastAsia="en-AU"/>
            </w:rPr>
          </w:pPr>
          <w:hyperlink w:anchor="_Toc22543076" w:history="1">
            <w:r w:rsidR="002D333E" w:rsidRPr="004D78F1">
              <w:rPr>
                <w:rStyle w:val="Hyperlink"/>
                <w:noProof/>
              </w:rPr>
              <w:t>3.2</w:t>
            </w:r>
            <w:r w:rsidR="002D333E">
              <w:rPr>
                <w:noProof/>
                <w:lang w:eastAsia="en-AU"/>
              </w:rPr>
              <w:tab/>
            </w:r>
            <w:r w:rsidR="002D333E" w:rsidRPr="004D78F1">
              <w:rPr>
                <w:rStyle w:val="Hyperlink"/>
                <w:noProof/>
              </w:rPr>
              <w:t>Effectiveness for long term unemployed job seekers</w:t>
            </w:r>
            <w:r w:rsidR="002D333E">
              <w:rPr>
                <w:noProof/>
                <w:webHidden/>
              </w:rPr>
              <w:tab/>
            </w:r>
            <w:r w:rsidR="002D333E">
              <w:rPr>
                <w:noProof/>
                <w:webHidden/>
              </w:rPr>
              <w:fldChar w:fldCharType="begin"/>
            </w:r>
            <w:r w:rsidR="002D333E">
              <w:rPr>
                <w:noProof/>
                <w:webHidden/>
              </w:rPr>
              <w:instrText xml:space="preserve"> PAGEREF _Toc22543076 \h </w:instrText>
            </w:r>
            <w:r w:rsidR="002D333E">
              <w:rPr>
                <w:noProof/>
                <w:webHidden/>
              </w:rPr>
            </w:r>
            <w:r w:rsidR="002D333E">
              <w:rPr>
                <w:noProof/>
                <w:webHidden/>
              </w:rPr>
              <w:fldChar w:fldCharType="separate"/>
            </w:r>
            <w:r w:rsidR="00D87DBB">
              <w:rPr>
                <w:noProof/>
                <w:webHidden/>
              </w:rPr>
              <w:t>35</w:t>
            </w:r>
            <w:r w:rsidR="002D333E">
              <w:rPr>
                <w:noProof/>
                <w:webHidden/>
              </w:rPr>
              <w:fldChar w:fldCharType="end"/>
            </w:r>
          </w:hyperlink>
        </w:p>
        <w:p w14:paraId="32719A9A" w14:textId="390BAEB8" w:rsidR="002D333E" w:rsidRDefault="00864C5E">
          <w:pPr>
            <w:pStyle w:val="TOC3"/>
            <w:tabs>
              <w:tab w:val="left" w:pos="1320"/>
              <w:tab w:val="right" w:leader="dot" w:pos="9016"/>
            </w:tabs>
            <w:rPr>
              <w:noProof/>
              <w:lang w:eastAsia="en-AU"/>
            </w:rPr>
          </w:pPr>
          <w:hyperlink w:anchor="_Toc22543077" w:history="1">
            <w:r w:rsidR="002D333E" w:rsidRPr="004D78F1">
              <w:rPr>
                <w:rStyle w:val="Hyperlink"/>
                <w:noProof/>
              </w:rPr>
              <w:t>3.2.1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_Toc22543077 \h </w:instrText>
            </w:r>
            <w:r w:rsidR="002D333E">
              <w:rPr>
                <w:noProof/>
                <w:webHidden/>
              </w:rPr>
            </w:r>
            <w:r w:rsidR="002D333E">
              <w:rPr>
                <w:noProof/>
                <w:webHidden/>
              </w:rPr>
              <w:fldChar w:fldCharType="separate"/>
            </w:r>
            <w:r w:rsidR="00D87DBB">
              <w:rPr>
                <w:noProof/>
                <w:webHidden/>
              </w:rPr>
              <w:t>35</w:t>
            </w:r>
            <w:r w:rsidR="002D333E">
              <w:rPr>
                <w:noProof/>
                <w:webHidden/>
              </w:rPr>
              <w:fldChar w:fldCharType="end"/>
            </w:r>
          </w:hyperlink>
        </w:p>
        <w:p w14:paraId="4B44E614" w14:textId="32499EB9" w:rsidR="002D333E" w:rsidRDefault="00864C5E">
          <w:pPr>
            <w:pStyle w:val="TOC3"/>
            <w:tabs>
              <w:tab w:val="left" w:pos="1320"/>
              <w:tab w:val="right" w:leader="dot" w:pos="9016"/>
            </w:tabs>
            <w:rPr>
              <w:noProof/>
              <w:lang w:eastAsia="en-AU"/>
            </w:rPr>
          </w:pPr>
          <w:hyperlink w:anchor="_Toc22543078" w:history="1">
            <w:r w:rsidR="002D333E" w:rsidRPr="004D78F1">
              <w:rPr>
                <w:rStyle w:val="Hyperlink"/>
                <w:noProof/>
              </w:rPr>
              <w:t>3.2.2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_Toc22543078 \h </w:instrText>
            </w:r>
            <w:r w:rsidR="002D333E">
              <w:rPr>
                <w:noProof/>
                <w:webHidden/>
              </w:rPr>
            </w:r>
            <w:r w:rsidR="002D333E">
              <w:rPr>
                <w:noProof/>
                <w:webHidden/>
              </w:rPr>
              <w:fldChar w:fldCharType="separate"/>
            </w:r>
            <w:r w:rsidR="00D87DBB">
              <w:rPr>
                <w:noProof/>
                <w:webHidden/>
              </w:rPr>
              <w:t>36</w:t>
            </w:r>
            <w:r w:rsidR="002D333E">
              <w:rPr>
                <w:noProof/>
                <w:webHidden/>
              </w:rPr>
              <w:fldChar w:fldCharType="end"/>
            </w:r>
          </w:hyperlink>
        </w:p>
        <w:p w14:paraId="2D3B68D4" w14:textId="36EE6913" w:rsidR="002D333E" w:rsidRDefault="00864C5E">
          <w:pPr>
            <w:pStyle w:val="TOC3"/>
            <w:tabs>
              <w:tab w:val="left" w:pos="1320"/>
              <w:tab w:val="right" w:leader="dot" w:pos="9016"/>
            </w:tabs>
            <w:rPr>
              <w:noProof/>
              <w:lang w:eastAsia="en-AU"/>
            </w:rPr>
          </w:pPr>
          <w:hyperlink w:anchor="_Toc22543079" w:history="1">
            <w:r w:rsidR="002D333E" w:rsidRPr="004D78F1">
              <w:rPr>
                <w:rStyle w:val="Hyperlink"/>
                <w:noProof/>
              </w:rPr>
              <w:t>3.2.3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_Toc22543079 \h </w:instrText>
            </w:r>
            <w:r w:rsidR="002D333E">
              <w:rPr>
                <w:noProof/>
                <w:webHidden/>
              </w:rPr>
            </w:r>
            <w:r w:rsidR="002D333E">
              <w:rPr>
                <w:noProof/>
                <w:webHidden/>
              </w:rPr>
              <w:fldChar w:fldCharType="separate"/>
            </w:r>
            <w:r w:rsidR="00D87DBB">
              <w:rPr>
                <w:noProof/>
                <w:webHidden/>
              </w:rPr>
              <w:t>41</w:t>
            </w:r>
            <w:r w:rsidR="002D333E">
              <w:rPr>
                <w:noProof/>
                <w:webHidden/>
              </w:rPr>
              <w:fldChar w:fldCharType="end"/>
            </w:r>
          </w:hyperlink>
        </w:p>
        <w:p w14:paraId="5B316581" w14:textId="3E5D9873" w:rsidR="002D333E" w:rsidRDefault="00864C5E">
          <w:pPr>
            <w:pStyle w:val="TOC2"/>
            <w:tabs>
              <w:tab w:val="left" w:pos="880"/>
              <w:tab w:val="right" w:leader="dot" w:pos="9016"/>
            </w:tabs>
            <w:rPr>
              <w:noProof/>
              <w:lang w:eastAsia="en-AU"/>
            </w:rPr>
          </w:pPr>
          <w:hyperlink w:anchor="_Toc22543080" w:history="1">
            <w:r w:rsidR="002D333E" w:rsidRPr="004D78F1">
              <w:rPr>
                <w:rStyle w:val="Hyperlink"/>
                <w:noProof/>
              </w:rPr>
              <w:t>3.3</w:t>
            </w:r>
            <w:r w:rsidR="002D333E">
              <w:rPr>
                <w:noProof/>
                <w:lang w:eastAsia="en-AU"/>
              </w:rPr>
              <w:tab/>
            </w:r>
            <w:r w:rsidR="002D333E" w:rsidRPr="004D78F1">
              <w:rPr>
                <w:rStyle w:val="Hyperlink"/>
                <w:noProof/>
              </w:rPr>
              <w:t>Cost effectiveness</w:t>
            </w:r>
            <w:r w:rsidR="002D333E">
              <w:rPr>
                <w:noProof/>
                <w:webHidden/>
              </w:rPr>
              <w:tab/>
            </w:r>
            <w:r w:rsidR="002D333E">
              <w:rPr>
                <w:noProof/>
                <w:webHidden/>
              </w:rPr>
              <w:fldChar w:fldCharType="begin"/>
            </w:r>
            <w:r w:rsidR="002D333E">
              <w:rPr>
                <w:noProof/>
                <w:webHidden/>
              </w:rPr>
              <w:instrText xml:space="preserve"> PAGEREF _Toc22543080 \h </w:instrText>
            </w:r>
            <w:r w:rsidR="002D333E">
              <w:rPr>
                <w:noProof/>
                <w:webHidden/>
              </w:rPr>
            </w:r>
            <w:r w:rsidR="002D333E">
              <w:rPr>
                <w:noProof/>
                <w:webHidden/>
              </w:rPr>
              <w:fldChar w:fldCharType="separate"/>
            </w:r>
            <w:r w:rsidR="00D87DBB">
              <w:rPr>
                <w:noProof/>
                <w:webHidden/>
              </w:rPr>
              <w:t>41</w:t>
            </w:r>
            <w:r w:rsidR="002D333E">
              <w:rPr>
                <w:noProof/>
                <w:webHidden/>
              </w:rPr>
              <w:fldChar w:fldCharType="end"/>
            </w:r>
          </w:hyperlink>
        </w:p>
        <w:p w14:paraId="110FF390" w14:textId="626654C7" w:rsidR="002D333E" w:rsidRDefault="00864C5E">
          <w:pPr>
            <w:pStyle w:val="TOC3"/>
            <w:tabs>
              <w:tab w:val="left" w:pos="1320"/>
              <w:tab w:val="right" w:leader="dot" w:pos="9016"/>
            </w:tabs>
            <w:rPr>
              <w:noProof/>
              <w:lang w:eastAsia="en-AU"/>
            </w:rPr>
          </w:pPr>
          <w:hyperlink w:anchor="_Toc22543081" w:history="1">
            <w:r w:rsidR="002D333E" w:rsidRPr="004D78F1">
              <w:rPr>
                <w:rStyle w:val="Hyperlink"/>
                <w:noProof/>
              </w:rPr>
              <w:t>3.3.1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_Toc22543081 \h </w:instrText>
            </w:r>
            <w:r w:rsidR="002D333E">
              <w:rPr>
                <w:noProof/>
                <w:webHidden/>
              </w:rPr>
            </w:r>
            <w:r w:rsidR="002D333E">
              <w:rPr>
                <w:noProof/>
                <w:webHidden/>
              </w:rPr>
              <w:fldChar w:fldCharType="separate"/>
            </w:r>
            <w:r w:rsidR="00D87DBB">
              <w:rPr>
                <w:noProof/>
                <w:webHidden/>
              </w:rPr>
              <w:t>41</w:t>
            </w:r>
            <w:r w:rsidR="002D333E">
              <w:rPr>
                <w:noProof/>
                <w:webHidden/>
              </w:rPr>
              <w:fldChar w:fldCharType="end"/>
            </w:r>
          </w:hyperlink>
        </w:p>
        <w:p w14:paraId="2BFF8BCB" w14:textId="4E44A2AC" w:rsidR="002D333E" w:rsidRDefault="00864C5E">
          <w:pPr>
            <w:pStyle w:val="TOC3"/>
            <w:tabs>
              <w:tab w:val="left" w:pos="1320"/>
              <w:tab w:val="right" w:leader="dot" w:pos="9016"/>
            </w:tabs>
            <w:rPr>
              <w:noProof/>
              <w:lang w:eastAsia="en-AU"/>
            </w:rPr>
          </w:pPr>
          <w:hyperlink w:anchor="_Toc22543082" w:history="1">
            <w:r w:rsidR="002D333E" w:rsidRPr="004D78F1">
              <w:rPr>
                <w:rStyle w:val="Hyperlink"/>
                <w:noProof/>
              </w:rPr>
              <w:t>3.3.2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_Toc22543082 \h </w:instrText>
            </w:r>
            <w:r w:rsidR="002D333E">
              <w:rPr>
                <w:noProof/>
                <w:webHidden/>
              </w:rPr>
            </w:r>
            <w:r w:rsidR="002D333E">
              <w:rPr>
                <w:noProof/>
                <w:webHidden/>
              </w:rPr>
              <w:fldChar w:fldCharType="separate"/>
            </w:r>
            <w:r w:rsidR="00D87DBB">
              <w:rPr>
                <w:noProof/>
                <w:webHidden/>
              </w:rPr>
              <w:t>41</w:t>
            </w:r>
            <w:r w:rsidR="002D333E">
              <w:rPr>
                <w:noProof/>
                <w:webHidden/>
              </w:rPr>
              <w:fldChar w:fldCharType="end"/>
            </w:r>
          </w:hyperlink>
        </w:p>
        <w:p w14:paraId="05A2B23B" w14:textId="316FD30D" w:rsidR="002D333E" w:rsidRDefault="00864C5E">
          <w:pPr>
            <w:pStyle w:val="TOC3"/>
            <w:tabs>
              <w:tab w:val="left" w:pos="1320"/>
              <w:tab w:val="right" w:leader="dot" w:pos="9016"/>
            </w:tabs>
            <w:rPr>
              <w:noProof/>
              <w:lang w:eastAsia="en-AU"/>
            </w:rPr>
          </w:pPr>
          <w:hyperlink w:anchor="_Toc22543083" w:history="1">
            <w:r w:rsidR="002D333E" w:rsidRPr="004D78F1">
              <w:rPr>
                <w:rStyle w:val="Hyperlink"/>
                <w:noProof/>
              </w:rPr>
              <w:t>3.3.3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_Toc22543083 \h </w:instrText>
            </w:r>
            <w:r w:rsidR="002D333E">
              <w:rPr>
                <w:noProof/>
                <w:webHidden/>
              </w:rPr>
            </w:r>
            <w:r w:rsidR="002D333E">
              <w:rPr>
                <w:noProof/>
                <w:webHidden/>
              </w:rPr>
              <w:fldChar w:fldCharType="separate"/>
            </w:r>
            <w:r w:rsidR="00D87DBB">
              <w:rPr>
                <w:noProof/>
                <w:webHidden/>
              </w:rPr>
              <w:t>45</w:t>
            </w:r>
            <w:r w:rsidR="002D333E">
              <w:rPr>
                <w:noProof/>
                <w:webHidden/>
              </w:rPr>
              <w:fldChar w:fldCharType="end"/>
            </w:r>
          </w:hyperlink>
        </w:p>
        <w:p w14:paraId="4D9C3FD9" w14:textId="6A985870" w:rsidR="002D333E" w:rsidRDefault="00864C5E">
          <w:pPr>
            <w:pStyle w:val="TOC1"/>
            <w:rPr>
              <w:b w:val="0"/>
              <w:bCs w:val="0"/>
              <w:noProof/>
              <w:lang w:eastAsia="en-AU"/>
            </w:rPr>
          </w:pPr>
          <w:hyperlink w:anchor="_Toc22543084" w:history="1">
            <w:r w:rsidR="002D333E" w:rsidRPr="004D78F1">
              <w:rPr>
                <w:rStyle w:val="Hyperlink"/>
                <w:noProof/>
              </w:rPr>
              <w:t>4</w:t>
            </w:r>
            <w:r w:rsidR="002D333E">
              <w:rPr>
                <w:b w:val="0"/>
                <w:bCs w:val="0"/>
                <w:noProof/>
                <w:lang w:eastAsia="en-AU"/>
              </w:rPr>
              <w:tab/>
            </w:r>
            <w:r w:rsidR="002D333E" w:rsidRPr="004D78F1">
              <w:rPr>
                <w:rStyle w:val="Hyperlink"/>
                <w:noProof/>
              </w:rPr>
              <w:t>Changes to Stream 1 servicing</w:t>
            </w:r>
            <w:r w:rsidR="002D333E">
              <w:rPr>
                <w:noProof/>
                <w:webHidden/>
              </w:rPr>
              <w:tab/>
            </w:r>
            <w:r w:rsidR="002D333E">
              <w:rPr>
                <w:noProof/>
                <w:webHidden/>
              </w:rPr>
              <w:fldChar w:fldCharType="begin"/>
            </w:r>
            <w:r w:rsidR="002D333E">
              <w:rPr>
                <w:noProof/>
                <w:webHidden/>
              </w:rPr>
              <w:instrText xml:space="preserve"> PAGEREF _Toc22543084 \h </w:instrText>
            </w:r>
            <w:r w:rsidR="002D333E">
              <w:rPr>
                <w:noProof/>
                <w:webHidden/>
              </w:rPr>
            </w:r>
            <w:r w:rsidR="002D333E">
              <w:rPr>
                <w:noProof/>
                <w:webHidden/>
              </w:rPr>
              <w:fldChar w:fldCharType="separate"/>
            </w:r>
            <w:r w:rsidR="00D87DBB">
              <w:rPr>
                <w:noProof/>
                <w:webHidden/>
              </w:rPr>
              <w:t>46</w:t>
            </w:r>
            <w:r w:rsidR="002D333E">
              <w:rPr>
                <w:noProof/>
                <w:webHidden/>
              </w:rPr>
              <w:fldChar w:fldCharType="end"/>
            </w:r>
          </w:hyperlink>
        </w:p>
        <w:p w14:paraId="7E4A4D6E" w14:textId="2DFEB949" w:rsidR="002D333E" w:rsidRDefault="00864C5E">
          <w:pPr>
            <w:pStyle w:val="TOC2"/>
            <w:tabs>
              <w:tab w:val="left" w:pos="880"/>
              <w:tab w:val="right" w:leader="dot" w:pos="9016"/>
            </w:tabs>
            <w:rPr>
              <w:noProof/>
              <w:lang w:eastAsia="en-AU"/>
            </w:rPr>
          </w:pPr>
          <w:hyperlink w:anchor="_Toc22543085" w:history="1">
            <w:r w:rsidR="002D333E" w:rsidRPr="004D78F1">
              <w:rPr>
                <w:rStyle w:val="Hyperlink"/>
                <w:noProof/>
              </w:rPr>
              <w:t>4.1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_Toc22543085 \h </w:instrText>
            </w:r>
            <w:r w:rsidR="002D333E">
              <w:rPr>
                <w:noProof/>
                <w:webHidden/>
              </w:rPr>
            </w:r>
            <w:r w:rsidR="002D333E">
              <w:rPr>
                <w:noProof/>
                <w:webHidden/>
              </w:rPr>
              <w:fldChar w:fldCharType="separate"/>
            </w:r>
            <w:r w:rsidR="00D87DBB">
              <w:rPr>
                <w:noProof/>
                <w:webHidden/>
              </w:rPr>
              <w:t>46</w:t>
            </w:r>
            <w:r w:rsidR="002D333E">
              <w:rPr>
                <w:noProof/>
                <w:webHidden/>
              </w:rPr>
              <w:fldChar w:fldCharType="end"/>
            </w:r>
          </w:hyperlink>
        </w:p>
        <w:p w14:paraId="038980DB" w14:textId="2A4CE0C1" w:rsidR="002D333E" w:rsidRDefault="00864C5E">
          <w:pPr>
            <w:pStyle w:val="TOC2"/>
            <w:tabs>
              <w:tab w:val="left" w:pos="880"/>
              <w:tab w:val="right" w:leader="dot" w:pos="9016"/>
            </w:tabs>
            <w:rPr>
              <w:noProof/>
              <w:lang w:eastAsia="en-AU"/>
            </w:rPr>
          </w:pPr>
          <w:hyperlink w:anchor="_Toc22543086" w:history="1">
            <w:r w:rsidR="002D333E" w:rsidRPr="004D78F1">
              <w:rPr>
                <w:rStyle w:val="Hyperlink"/>
                <w:noProof/>
              </w:rPr>
              <w:t>4.2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_Toc22543086 \h </w:instrText>
            </w:r>
            <w:r w:rsidR="002D333E">
              <w:rPr>
                <w:noProof/>
                <w:webHidden/>
              </w:rPr>
            </w:r>
            <w:r w:rsidR="002D333E">
              <w:rPr>
                <w:noProof/>
                <w:webHidden/>
              </w:rPr>
              <w:fldChar w:fldCharType="separate"/>
            </w:r>
            <w:r w:rsidR="00D87DBB">
              <w:rPr>
                <w:noProof/>
                <w:webHidden/>
              </w:rPr>
              <w:t>46</w:t>
            </w:r>
            <w:r w:rsidR="002D333E">
              <w:rPr>
                <w:noProof/>
                <w:webHidden/>
              </w:rPr>
              <w:fldChar w:fldCharType="end"/>
            </w:r>
          </w:hyperlink>
        </w:p>
        <w:p w14:paraId="4D2109D4" w14:textId="4310220E" w:rsidR="002D333E" w:rsidRDefault="00864C5E">
          <w:pPr>
            <w:pStyle w:val="TOC3"/>
            <w:tabs>
              <w:tab w:val="left" w:pos="1320"/>
              <w:tab w:val="right" w:leader="dot" w:pos="9016"/>
            </w:tabs>
            <w:rPr>
              <w:noProof/>
              <w:lang w:eastAsia="en-AU"/>
            </w:rPr>
          </w:pPr>
          <w:hyperlink w:anchor="_Toc22543087" w:history="1">
            <w:r w:rsidR="002D333E" w:rsidRPr="004D78F1">
              <w:rPr>
                <w:rStyle w:val="Hyperlink"/>
                <w:noProof/>
              </w:rPr>
              <w:t>4.2.1</w:t>
            </w:r>
            <w:r w:rsidR="002D333E">
              <w:rPr>
                <w:noProof/>
                <w:lang w:eastAsia="en-AU"/>
              </w:rPr>
              <w:tab/>
            </w:r>
            <w:r w:rsidR="002D333E" w:rsidRPr="004D78F1">
              <w:rPr>
                <w:rStyle w:val="Hyperlink"/>
                <w:noProof/>
              </w:rPr>
              <w:t>Changes in provider practices</w:t>
            </w:r>
            <w:r w:rsidR="002D333E">
              <w:rPr>
                <w:noProof/>
                <w:webHidden/>
              </w:rPr>
              <w:tab/>
            </w:r>
            <w:r w:rsidR="002D333E">
              <w:rPr>
                <w:noProof/>
                <w:webHidden/>
              </w:rPr>
              <w:fldChar w:fldCharType="begin"/>
            </w:r>
            <w:r w:rsidR="002D333E">
              <w:rPr>
                <w:noProof/>
                <w:webHidden/>
              </w:rPr>
              <w:instrText xml:space="preserve"> PAGEREF _Toc22543087 \h </w:instrText>
            </w:r>
            <w:r w:rsidR="002D333E">
              <w:rPr>
                <w:noProof/>
                <w:webHidden/>
              </w:rPr>
            </w:r>
            <w:r w:rsidR="002D333E">
              <w:rPr>
                <w:noProof/>
                <w:webHidden/>
              </w:rPr>
              <w:fldChar w:fldCharType="separate"/>
            </w:r>
            <w:r w:rsidR="00D87DBB">
              <w:rPr>
                <w:noProof/>
                <w:webHidden/>
              </w:rPr>
              <w:t>46</w:t>
            </w:r>
            <w:r w:rsidR="002D333E">
              <w:rPr>
                <w:noProof/>
                <w:webHidden/>
              </w:rPr>
              <w:fldChar w:fldCharType="end"/>
            </w:r>
          </w:hyperlink>
        </w:p>
        <w:p w14:paraId="0782F3AB" w14:textId="17A7E241" w:rsidR="002D333E" w:rsidRDefault="00864C5E">
          <w:pPr>
            <w:pStyle w:val="TOC3"/>
            <w:tabs>
              <w:tab w:val="left" w:pos="1320"/>
              <w:tab w:val="right" w:leader="dot" w:pos="9016"/>
            </w:tabs>
            <w:rPr>
              <w:noProof/>
              <w:lang w:eastAsia="en-AU"/>
            </w:rPr>
          </w:pPr>
          <w:hyperlink w:anchor="_Toc22543088" w:history="1">
            <w:r w:rsidR="002D333E" w:rsidRPr="004D78F1">
              <w:rPr>
                <w:rStyle w:val="Hyperlink"/>
                <w:noProof/>
              </w:rPr>
              <w:t>4.2.2</w:t>
            </w:r>
            <w:r w:rsidR="002D333E">
              <w:rPr>
                <w:noProof/>
                <w:lang w:eastAsia="en-AU"/>
              </w:rPr>
              <w:tab/>
            </w:r>
            <w:r w:rsidR="002D333E" w:rsidRPr="004D78F1">
              <w:rPr>
                <w:rStyle w:val="Hyperlink"/>
                <w:noProof/>
              </w:rPr>
              <w:t>Outcomes achieved</w:t>
            </w:r>
            <w:r w:rsidR="002D333E">
              <w:rPr>
                <w:noProof/>
                <w:webHidden/>
              </w:rPr>
              <w:tab/>
            </w:r>
            <w:r w:rsidR="002D333E">
              <w:rPr>
                <w:noProof/>
                <w:webHidden/>
              </w:rPr>
              <w:fldChar w:fldCharType="begin"/>
            </w:r>
            <w:r w:rsidR="002D333E">
              <w:rPr>
                <w:noProof/>
                <w:webHidden/>
              </w:rPr>
              <w:instrText xml:space="preserve"> PAGEREF _Toc22543088 \h </w:instrText>
            </w:r>
            <w:r w:rsidR="002D333E">
              <w:rPr>
                <w:noProof/>
                <w:webHidden/>
              </w:rPr>
            </w:r>
            <w:r w:rsidR="002D333E">
              <w:rPr>
                <w:noProof/>
                <w:webHidden/>
              </w:rPr>
              <w:fldChar w:fldCharType="separate"/>
            </w:r>
            <w:r w:rsidR="00D87DBB">
              <w:rPr>
                <w:noProof/>
                <w:webHidden/>
              </w:rPr>
              <w:t>51</w:t>
            </w:r>
            <w:r w:rsidR="002D333E">
              <w:rPr>
                <w:noProof/>
                <w:webHidden/>
              </w:rPr>
              <w:fldChar w:fldCharType="end"/>
            </w:r>
          </w:hyperlink>
        </w:p>
        <w:p w14:paraId="45CA9EF1" w14:textId="6A377C8F" w:rsidR="002D333E" w:rsidRDefault="00864C5E">
          <w:pPr>
            <w:pStyle w:val="TOC3"/>
            <w:tabs>
              <w:tab w:val="left" w:pos="1320"/>
              <w:tab w:val="right" w:leader="dot" w:pos="9016"/>
            </w:tabs>
            <w:rPr>
              <w:noProof/>
              <w:lang w:eastAsia="en-AU"/>
            </w:rPr>
          </w:pPr>
          <w:hyperlink w:anchor="_Toc22543089" w:history="1">
            <w:r w:rsidR="002D333E" w:rsidRPr="004D78F1">
              <w:rPr>
                <w:rStyle w:val="Hyperlink"/>
                <w:noProof/>
              </w:rPr>
              <w:t>4.2.3</w:t>
            </w:r>
            <w:r w:rsidR="002D333E">
              <w:rPr>
                <w:noProof/>
                <w:lang w:eastAsia="en-AU"/>
              </w:rPr>
              <w:tab/>
            </w:r>
            <w:r w:rsidR="002D333E" w:rsidRPr="004D78F1">
              <w:rPr>
                <w:rStyle w:val="Hyperlink"/>
                <w:noProof/>
              </w:rPr>
              <w:t>Leaving service</w:t>
            </w:r>
            <w:r w:rsidR="002D333E">
              <w:rPr>
                <w:noProof/>
                <w:webHidden/>
              </w:rPr>
              <w:tab/>
            </w:r>
            <w:r w:rsidR="002D333E">
              <w:rPr>
                <w:noProof/>
                <w:webHidden/>
              </w:rPr>
              <w:fldChar w:fldCharType="begin"/>
            </w:r>
            <w:r w:rsidR="002D333E">
              <w:rPr>
                <w:noProof/>
                <w:webHidden/>
              </w:rPr>
              <w:instrText xml:space="preserve"> PAGEREF _Toc22543089 \h </w:instrText>
            </w:r>
            <w:r w:rsidR="002D333E">
              <w:rPr>
                <w:noProof/>
                <w:webHidden/>
              </w:rPr>
            </w:r>
            <w:r w:rsidR="002D333E">
              <w:rPr>
                <w:noProof/>
                <w:webHidden/>
              </w:rPr>
              <w:fldChar w:fldCharType="separate"/>
            </w:r>
            <w:r w:rsidR="00D87DBB">
              <w:rPr>
                <w:noProof/>
                <w:webHidden/>
              </w:rPr>
              <w:t>53</w:t>
            </w:r>
            <w:r w:rsidR="002D333E">
              <w:rPr>
                <w:noProof/>
                <w:webHidden/>
              </w:rPr>
              <w:fldChar w:fldCharType="end"/>
            </w:r>
          </w:hyperlink>
        </w:p>
        <w:p w14:paraId="094069C2" w14:textId="70D1952F" w:rsidR="002D333E" w:rsidRDefault="00864C5E">
          <w:pPr>
            <w:pStyle w:val="TOC3"/>
            <w:tabs>
              <w:tab w:val="left" w:pos="1320"/>
              <w:tab w:val="right" w:leader="dot" w:pos="9016"/>
            </w:tabs>
            <w:rPr>
              <w:noProof/>
              <w:lang w:eastAsia="en-AU"/>
            </w:rPr>
          </w:pPr>
          <w:hyperlink w:anchor="_Toc22543090" w:history="1">
            <w:r w:rsidR="002D333E" w:rsidRPr="004D78F1">
              <w:rPr>
                <w:rStyle w:val="Hyperlink"/>
                <w:noProof/>
              </w:rPr>
              <w:t>4.2.4</w:t>
            </w:r>
            <w:r w:rsidR="002D333E">
              <w:rPr>
                <w:noProof/>
                <w:lang w:eastAsia="en-AU"/>
              </w:rPr>
              <w:tab/>
            </w:r>
            <w:r w:rsidR="002D333E" w:rsidRPr="004D78F1">
              <w:rPr>
                <w:rStyle w:val="Hyperlink"/>
                <w:noProof/>
              </w:rPr>
              <w:t>Leaving income support</w:t>
            </w:r>
            <w:r w:rsidR="002D333E">
              <w:rPr>
                <w:noProof/>
                <w:webHidden/>
              </w:rPr>
              <w:tab/>
            </w:r>
            <w:r w:rsidR="002D333E">
              <w:rPr>
                <w:noProof/>
                <w:webHidden/>
              </w:rPr>
              <w:fldChar w:fldCharType="begin"/>
            </w:r>
            <w:r w:rsidR="002D333E">
              <w:rPr>
                <w:noProof/>
                <w:webHidden/>
              </w:rPr>
              <w:instrText xml:space="preserve"> PAGEREF _Toc22543090 \h </w:instrText>
            </w:r>
            <w:r w:rsidR="002D333E">
              <w:rPr>
                <w:noProof/>
                <w:webHidden/>
              </w:rPr>
            </w:r>
            <w:r w:rsidR="002D333E">
              <w:rPr>
                <w:noProof/>
                <w:webHidden/>
              </w:rPr>
              <w:fldChar w:fldCharType="separate"/>
            </w:r>
            <w:r w:rsidR="00D87DBB">
              <w:rPr>
                <w:noProof/>
                <w:webHidden/>
              </w:rPr>
              <w:t>55</w:t>
            </w:r>
            <w:r w:rsidR="002D333E">
              <w:rPr>
                <w:noProof/>
                <w:webHidden/>
              </w:rPr>
              <w:fldChar w:fldCharType="end"/>
            </w:r>
          </w:hyperlink>
        </w:p>
        <w:p w14:paraId="0725E1AA" w14:textId="65D56E6F" w:rsidR="002D333E" w:rsidRDefault="00864C5E">
          <w:pPr>
            <w:pStyle w:val="TOC3"/>
            <w:tabs>
              <w:tab w:val="left" w:pos="1320"/>
              <w:tab w:val="right" w:leader="dot" w:pos="9016"/>
            </w:tabs>
            <w:rPr>
              <w:noProof/>
              <w:lang w:eastAsia="en-AU"/>
            </w:rPr>
          </w:pPr>
          <w:hyperlink w:anchor="_Toc22543091" w:history="1">
            <w:r w:rsidR="002D333E" w:rsidRPr="004D78F1">
              <w:rPr>
                <w:rStyle w:val="Hyperlink"/>
                <w:noProof/>
              </w:rPr>
              <w:t>4.2.5</w:t>
            </w:r>
            <w:r w:rsidR="002D333E">
              <w:rPr>
                <w:noProof/>
                <w:lang w:eastAsia="en-AU"/>
              </w:rPr>
              <w:tab/>
            </w:r>
            <w:r w:rsidR="002D333E" w:rsidRPr="004D78F1">
              <w:rPr>
                <w:rStyle w:val="Hyperlink"/>
                <w:noProof/>
              </w:rPr>
              <w:t>Cost effectiveness</w:t>
            </w:r>
            <w:r w:rsidR="002D333E">
              <w:rPr>
                <w:noProof/>
                <w:webHidden/>
              </w:rPr>
              <w:tab/>
            </w:r>
            <w:r w:rsidR="002D333E">
              <w:rPr>
                <w:noProof/>
                <w:webHidden/>
              </w:rPr>
              <w:fldChar w:fldCharType="begin"/>
            </w:r>
            <w:r w:rsidR="002D333E">
              <w:rPr>
                <w:noProof/>
                <w:webHidden/>
              </w:rPr>
              <w:instrText xml:space="preserve"> PAGEREF _Toc22543091 \h </w:instrText>
            </w:r>
            <w:r w:rsidR="002D333E">
              <w:rPr>
                <w:noProof/>
                <w:webHidden/>
              </w:rPr>
            </w:r>
            <w:r w:rsidR="002D333E">
              <w:rPr>
                <w:noProof/>
                <w:webHidden/>
              </w:rPr>
              <w:fldChar w:fldCharType="separate"/>
            </w:r>
            <w:r w:rsidR="00D87DBB">
              <w:rPr>
                <w:noProof/>
                <w:webHidden/>
              </w:rPr>
              <w:t>56</w:t>
            </w:r>
            <w:r w:rsidR="002D333E">
              <w:rPr>
                <w:noProof/>
                <w:webHidden/>
              </w:rPr>
              <w:fldChar w:fldCharType="end"/>
            </w:r>
          </w:hyperlink>
        </w:p>
        <w:p w14:paraId="534EF459" w14:textId="71617FBE" w:rsidR="002D333E" w:rsidRDefault="00864C5E">
          <w:pPr>
            <w:pStyle w:val="TOC2"/>
            <w:tabs>
              <w:tab w:val="left" w:pos="880"/>
              <w:tab w:val="right" w:leader="dot" w:pos="9016"/>
            </w:tabs>
            <w:rPr>
              <w:noProof/>
              <w:lang w:eastAsia="en-AU"/>
            </w:rPr>
          </w:pPr>
          <w:hyperlink w:anchor="_Toc22543092" w:history="1">
            <w:r w:rsidR="002D333E" w:rsidRPr="004D78F1">
              <w:rPr>
                <w:rStyle w:val="Hyperlink"/>
                <w:noProof/>
              </w:rPr>
              <w:t>4.3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_Toc22543092 \h </w:instrText>
            </w:r>
            <w:r w:rsidR="002D333E">
              <w:rPr>
                <w:noProof/>
                <w:webHidden/>
              </w:rPr>
            </w:r>
            <w:r w:rsidR="002D333E">
              <w:rPr>
                <w:noProof/>
                <w:webHidden/>
              </w:rPr>
              <w:fldChar w:fldCharType="separate"/>
            </w:r>
            <w:r w:rsidR="00D87DBB">
              <w:rPr>
                <w:noProof/>
                <w:webHidden/>
              </w:rPr>
              <w:t>58</w:t>
            </w:r>
            <w:r w:rsidR="002D333E">
              <w:rPr>
                <w:noProof/>
                <w:webHidden/>
              </w:rPr>
              <w:fldChar w:fldCharType="end"/>
            </w:r>
          </w:hyperlink>
        </w:p>
        <w:p w14:paraId="1700E003" w14:textId="5F3333DB" w:rsidR="002D333E" w:rsidRDefault="00864C5E">
          <w:pPr>
            <w:pStyle w:val="TOC1"/>
            <w:rPr>
              <w:b w:val="0"/>
              <w:bCs w:val="0"/>
              <w:noProof/>
              <w:lang w:eastAsia="en-AU"/>
            </w:rPr>
          </w:pPr>
          <w:hyperlink w:anchor="_Toc22543093" w:history="1">
            <w:r w:rsidR="002D333E" w:rsidRPr="004D78F1">
              <w:rPr>
                <w:rStyle w:val="Hyperlink"/>
                <w:noProof/>
              </w:rPr>
              <w:t>5</w:t>
            </w:r>
            <w:r w:rsidR="002D333E">
              <w:rPr>
                <w:b w:val="0"/>
                <w:bCs w:val="0"/>
                <w:noProof/>
                <w:lang w:eastAsia="en-AU"/>
              </w:rPr>
              <w:tab/>
            </w:r>
            <w:r w:rsidR="002D333E" w:rsidRPr="004D78F1">
              <w:rPr>
                <w:rStyle w:val="Hyperlink"/>
                <w:noProof/>
              </w:rPr>
              <w:t>Cessation of the Stream Services Review</w:t>
            </w:r>
            <w:r w:rsidR="002D333E">
              <w:rPr>
                <w:noProof/>
                <w:webHidden/>
              </w:rPr>
              <w:tab/>
            </w:r>
            <w:r w:rsidR="002D333E">
              <w:rPr>
                <w:noProof/>
                <w:webHidden/>
              </w:rPr>
              <w:fldChar w:fldCharType="begin"/>
            </w:r>
            <w:r w:rsidR="002D333E">
              <w:rPr>
                <w:noProof/>
                <w:webHidden/>
              </w:rPr>
              <w:instrText xml:space="preserve"> PAGEREF _Toc22543093 \h </w:instrText>
            </w:r>
            <w:r w:rsidR="002D333E">
              <w:rPr>
                <w:noProof/>
                <w:webHidden/>
              </w:rPr>
            </w:r>
            <w:r w:rsidR="002D333E">
              <w:rPr>
                <w:noProof/>
                <w:webHidden/>
              </w:rPr>
              <w:fldChar w:fldCharType="separate"/>
            </w:r>
            <w:r w:rsidR="00D87DBB">
              <w:rPr>
                <w:noProof/>
                <w:webHidden/>
              </w:rPr>
              <w:t>59</w:t>
            </w:r>
            <w:r w:rsidR="002D333E">
              <w:rPr>
                <w:noProof/>
                <w:webHidden/>
              </w:rPr>
              <w:fldChar w:fldCharType="end"/>
            </w:r>
          </w:hyperlink>
        </w:p>
        <w:p w14:paraId="179E993A" w14:textId="5FA3AE8A" w:rsidR="002D333E" w:rsidRDefault="00864C5E">
          <w:pPr>
            <w:pStyle w:val="TOC2"/>
            <w:tabs>
              <w:tab w:val="left" w:pos="880"/>
              <w:tab w:val="right" w:leader="dot" w:pos="9016"/>
            </w:tabs>
            <w:rPr>
              <w:noProof/>
              <w:lang w:eastAsia="en-AU"/>
            </w:rPr>
          </w:pPr>
          <w:hyperlink w:anchor="_Toc22543094" w:history="1">
            <w:r w:rsidR="002D333E" w:rsidRPr="004D78F1">
              <w:rPr>
                <w:rStyle w:val="Hyperlink"/>
                <w:noProof/>
              </w:rPr>
              <w:t>5.1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_Toc22543094 \h </w:instrText>
            </w:r>
            <w:r w:rsidR="002D333E">
              <w:rPr>
                <w:noProof/>
                <w:webHidden/>
              </w:rPr>
            </w:r>
            <w:r w:rsidR="002D333E">
              <w:rPr>
                <w:noProof/>
                <w:webHidden/>
              </w:rPr>
              <w:fldChar w:fldCharType="separate"/>
            </w:r>
            <w:r w:rsidR="00D87DBB">
              <w:rPr>
                <w:noProof/>
                <w:webHidden/>
              </w:rPr>
              <w:t>59</w:t>
            </w:r>
            <w:r w:rsidR="002D333E">
              <w:rPr>
                <w:noProof/>
                <w:webHidden/>
              </w:rPr>
              <w:fldChar w:fldCharType="end"/>
            </w:r>
          </w:hyperlink>
        </w:p>
        <w:p w14:paraId="3A68FA25" w14:textId="31442C8D" w:rsidR="002D333E" w:rsidRDefault="00864C5E">
          <w:pPr>
            <w:pStyle w:val="TOC2"/>
            <w:tabs>
              <w:tab w:val="left" w:pos="880"/>
              <w:tab w:val="right" w:leader="dot" w:pos="9016"/>
            </w:tabs>
            <w:rPr>
              <w:noProof/>
              <w:lang w:eastAsia="en-AU"/>
            </w:rPr>
          </w:pPr>
          <w:hyperlink w:anchor="_Toc22543095" w:history="1">
            <w:r w:rsidR="002D333E" w:rsidRPr="004D78F1">
              <w:rPr>
                <w:rStyle w:val="Hyperlink"/>
                <w:noProof/>
              </w:rPr>
              <w:t>5.2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_Toc22543095 \h </w:instrText>
            </w:r>
            <w:r w:rsidR="002D333E">
              <w:rPr>
                <w:noProof/>
                <w:webHidden/>
              </w:rPr>
            </w:r>
            <w:r w:rsidR="002D333E">
              <w:rPr>
                <w:noProof/>
                <w:webHidden/>
              </w:rPr>
              <w:fldChar w:fldCharType="separate"/>
            </w:r>
            <w:r w:rsidR="00D87DBB">
              <w:rPr>
                <w:noProof/>
                <w:webHidden/>
              </w:rPr>
              <w:t>60</w:t>
            </w:r>
            <w:r w:rsidR="002D333E">
              <w:rPr>
                <w:noProof/>
                <w:webHidden/>
              </w:rPr>
              <w:fldChar w:fldCharType="end"/>
            </w:r>
          </w:hyperlink>
        </w:p>
        <w:p w14:paraId="6851407F" w14:textId="59A6073B" w:rsidR="002D333E" w:rsidRDefault="00864C5E">
          <w:pPr>
            <w:pStyle w:val="TOC3"/>
            <w:tabs>
              <w:tab w:val="left" w:pos="1320"/>
              <w:tab w:val="right" w:leader="dot" w:pos="9016"/>
            </w:tabs>
            <w:rPr>
              <w:noProof/>
              <w:lang w:eastAsia="en-AU"/>
            </w:rPr>
          </w:pPr>
          <w:hyperlink w:anchor="_Toc22543096" w:history="1">
            <w:r w:rsidR="002D333E" w:rsidRPr="004D78F1">
              <w:rPr>
                <w:rStyle w:val="Hyperlink"/>
                <w:noProof/>
              </w:rPr>
              <w:t>5.2.1</w:t>
            </w:r>
            <w:r w:rsidR="002D333E">
              <w:rPr>
                <w:noProof/>
                <w:lang w:eastAsia="en-AU"/>
              </w:rPr>
              <w:tab/>
            </w:r>
            <w:r w:rsidR="002D333E" w:rsidRPr="004D78F1">
              <w:rPr>
                <w:rStyle w:val="Hyperlink"/>
                <w:noProof/>
              </w:rPr>
              <w:t>Assessments conducted</w:t>
            </w:r>
            <w:r w:rsidR="002D333E">
              <w:rPr>
                <w:noProof/>
                <w:webHidden/>
              </w:rPr>
              <w:tab/>
            </w:r>
            <w:r w:rsidR="002D333E">
              <w:rPr>
                <w:noProof/>
                <w:webHidden/>
              </w:rPr>
              <w:fldChar w:fldCharType="begin"/>
            </w:r>
            <w:r w:rsidR="002D333E">
              <w:rPr>
                <w:noProof/>
                <w:webHidden/>
              </w:rPr>
              <w:instrText xml:space="preserve"> PAGEREF _Toc22543096 \h </w:instrText>
            </w:r>
            <w:r w:rsidR="002D333E">
              <w:rPr>
                <w:noProof/>
                <w:webHidden/>
              </w:rPr>
            </w:r>
            <w:r w:rsidR="002D333E">
              <w:rPr>
                <w:noProof/>
                <w:webHidden/>
              </w:rPr>
              <w:fldChar w:fldCharType="separate"/>
            </w:r>
            <w:r w:rsidR="00D87DBB">
              <w:rPr>
                <w:noProof/>
                <w:webHidden/>
              </w:rPr>
              <w:t>60</w:t>
            </w:r>
            <w:r w:rsidR="002D333E">
              <w:rPr>
                <w:noProof/>
                <w:webHidden/>
              </w:rPr>
              <w:fldChar w:fldCharType="end"/>
            </w:r>
          </w:hyperlink>
        </w:p>
        <w:p w14:paraId="102426ED" w14:textId="5D76D08D" w:rsidR="002D333E" w:rsidRDefault="00864C5E">
          <w:pPr>
            <w:pStyle w:val="TOC3"/>
            <w:tabs>
              <w:tab w:val="left" w:pos="1320"/>
              <w:tab w:val="right" w:leader="dot" w:pos="9016"/>
            </w:tabs>
            <w:rPr>
              <w:noProof/>
              <w:lang w:eastAsia="en-AU"/>
            </w:rPr>
          </w:pPr>
          <w:hyperlink w:anchor="_Toc22543097" w:history="1">
            <w:r w:rsidR="002D333E" w:rsidRPr="004D78F1">
              <w:rPr>
                <w:rStyle w:val="Hyperlink"/>
                <w:noProof/>
              </w:rPr>
              <w:t>5.2.2</w:t>
            </w:r>
            <w:r w:rsidR="002D333E">
              <w:rPr>
                <w:noProof/>
                <w:lang w:eastAsia="en-AU"/>
              </w:rPr>
              <w:tab/>
            </w:r>
            <w:r w:rsidR="002D333E" w:rsidRPr="004D78F1">
              <w:rPr>
                <w:rStyle w:val="Hyperlink"/>
                <w:noProof/>
              </w:rPr>
              <w:t>SSR outcomes</w:t>
            </w:r>
            <w:r w:rsidR="002D333E">
              <w:rPr>
                <w:noProof/>
                <w:webHidden/>
              </w:rPr>
              <w:tab/>
            </w:r>
            <w:r w:rsidR="002D333E">
              <w:rPr>
                <w:noProof/>
                <w:webHidden/>
              </w:rPr>
              <w:fldChar w:fldCharType="begin"/>
            </w:r>
            <w:r w:rsidR="002D333E">
              <w:rPr>
                <w:noProof/>
                <w:webHidden/>
              </w:rPr>
              <w:instrText xml:space="preserve"> PAGEREF _Toc22543097 \h </w:instrText>
            </w:r>
            <w:r w:rsidR="002D333E">
              <w:rPr>
                <w:noProof/>
                <w:webHidden/>
              </w:rPr>
            </w:r>
            <w:r w:rsidR="002D333E">
              <w:rPr>
                <w:noProof/>
                <w:webHidden/>
              </w:rPr>
              <w:fldChar w:fldCharType="separate"/>
            </w:r>
            <w:r w:rsidR="00D87DBB">
              <w:rPr>
                <w:noProof/>
                <w:webHidden/>
              </w:rPr>
              <w:t>60</w:t>
            </w:r>
            <w:r w:rsidR="002D333E">
              <w:rPr>
                <w:noProof/>
                <w:webHidden/>
              </w:rPr>
              <w:fldChar w:fldCharType="end"/>
            </w:r>
          </w:hyperlink>
        </w:p>
        <w:p w14:paraId="55F5FCF5" w14:textId="4F3A2BAD" w:rsidR="002D333E" w:rsidRDefault="00864C5E">
          <w:pPr>
            <w:pStyle w:val="TOC3"/>
            <w:tabs>
              <w:tab w:val="left" w:pos="1320"/>
              <w:tab w:val="right" w:leader="dot" w:pos="9016"/>
            </w:tabs>
            <w:rPr>
              <w:noProof/>
              <w:lang w:eastAsia="en-AU"/>
            </w:rPr>
          </w:pPr>
          <w:hyperlink w:anchor="_Toc22543098" w:history="1">
            <w:r w:rsidR="002D333E" w:rsidRPr="004D78F1">
              <w:rPr>
                <w:rStyle w:val="Hyperlink"/>
                <w:noProof/>
              </w:rPr>
              <w:t>5.2.3</w:t>
            </w:r>
            <w:r w:rsidR="002D333E">
              <w:rPr>
                <w:noProof/>
                <w:lang w:eastAsia="en-AU"/>
              </w:rPr>
              <w:tab/>
            </w:r>
            <w:r w:rsidR="002D333E" w:rsidRPr="004D78F1">
              <w:rPr>
                <w:rStyle w:val="Hyperlink"/>
                <w:noProof/>
              </w:rPr>
              <w:t>Timing of recommendations to changes in service</w:t>
            </w:r>
            <w:r w:rsidR="002D333E">
              <w:rPr>
                <w:noProof/>
                <w:webHidden/>
              </w:rPr>
              <w:tab/>
            </w:r>
            <w:r w:rsidR="002D333E">
              <w:rPr>
                <w:noProof/>
                <w:webHidden/>
              </w:rPr>
              <w:fldChar w:fldCharType="begin"/>
            </w:r>
            <w:r w:rsidR="002D333E">
              <w:rPr>
                <w:noProof/>
                <w:webHidden/>
              </w:rPr>
              <w:instrText xml:space="preserve"> PAGEREF _Toc22543098 \h </w:instrText>
            </w:r>
            <w:r w:rsidR="002D333E">
              <w:rPr>
                <w:noProof/>
                <w:webHidden/>
              </w:rPr>
            </w:r>
            <w:r w:rsidR="002D333E">
              <w:rPr>
                <w:noProof/>
                <w:webHidden/>
              </w:rPr>
              <w:fldChar w:fldCharType="separate"/>
            </w:r>
            <w:r w:rsidR="00D87DBB">
              <w:rPr>
                <w:noProof/>
                <w:webHidden/>
              </w:rPr>
              <w:t>61</w:t>
            </w:r>
            <w:r w:rsidR="002D333E">
              <w:rPr>
                <w:noProof/>
                <w:webHidden/>
              </w:rPr>
              <w:fldChar w:fldCharType="end"/>
            </w:r>
          </w:hyperlink>
        </w:p>
        <w:p w14:paraId="58F618F2" w14:textId="77872606" w:rsidR="002D333E" w:rsidRDefault="00864C5E">
          <w:pPr>
            <w:pStyle w:val="TOC3"/>
            <w:tabs>
              <w:tab w:val="left" w:pos="1320"/>
              <w:tab w:val="right" w:leader="dot" w:pos="9016"/>
            </w:tabs>
            <w:rPr>
              <w:noProof/>
              <w:lang w:eastAsia="en-AU"/>
            </w:rPr>
          </w:pPr>
          <w:hyperlink w:anchor="_Toc22543099" w:history="1">
            <w:r w:rsidR="002D333E" w:rsidRPr="004D78F1">
              <w:rPr>
                <w:rStyle w:val="Hyperlink"/>
                <w:noProof/>
              </w:rPr>
              <w:t>5.2.4</w:t>
            </w:r>
            <w:r w:rsidR="002D333E">
              <w:rPr>
                <w:noProof/>
                <w:lang w:eastAsia="en-AU"/>
              </w:rPr>
              <w:tab/>
            </w:r>
            <w:r w:rsidR="002D333E" w:rsidRPr="004D78F1">
              <w:rPr>
                <w:rStyle w:val="Hyperlink"/>
                <w:noProof/>
              </w:rPr>
              <w:t>Time to transition to the Work Experience Phase</w:t>
            </w:r>
            <w:r w:rsidR="002D333E">
              <w:rPr>
                <w:noProof/>
                <w:webHidden/>
              </w:rPr>
              <w:tab/>
            </w:r>
            <w:r w:rsidR="002D333E">
              <w:rPr>
                <w:noProof/>
                <w:webHidden/>
              </w:rPr>
              <w:fldChar w:fldCharType="begin"/>
            </w:r>
            <w:r w:rsidR="002D333E">
              <w:rPr>
                <w:noProof/>
                <w:webHidden/>
              </w:rPr>
              <w:instrText xml:space="preserve"> PAGEREF _Toc22543099 \h </w:instrText>
            </w:r>
            <w:r w:rsidR="002D333E">
              <w:rPr>
                <w:noProof/>
                <w:webHidden/>
              </w:rPr>
            </w:r>
            <w:r w:rsidR="002D333E">
              <w:rPr>
                <w:noProof/>
                <w:webHidden/>
              </w:rPr>
              <w:fldChar w:fldCharType="separate"/>
            </w:r>
            <w:r w:rsidR="00D87DBB">
              <w:rPr>
                <w:noProof/>
                <w:webHidden/>
              </w:rPr>
              <w:t>62</w:t>
            </w:r>
            <w:r w:rsidR="002D333E">
              <w:rPr>
                <w:noProof/>
                <w:webHidden/>
              </w:rPr>
              <w:fldChar w:fldCharType="end"/>
            </w:r>
          </w:hyperlink>
        </w:p>
        <w:p w14:paraId="7427E2DD" w14:textId="7AE3F4FF" w:rsidR="002D333E" w:rsidRDefault="00864C5E">
          <w:pPr>
            <w:pStyle w:val="TOC2"/>
            <w:tabs>
              <w:tab w:val="left" w:pos="880"/>
              <w:tab w:val="right" w:leader="dot" w:pos="9016"/>
            </w:tabs>
            <w:rPr>
              <w:noProof/>
              <w:lang w:eastAsia="en-AU"/>
            </w:rPr>
          </w:pPr>
          <w:hyperlink w:anchor="_Toc22543100" w:history="1">
            <w:r w:rsidR="002D333E" w:rsidRPr="004D78F1">
              <w:rPr>
                <w:rStyle w:val="Hyperlink"/>
                <w:noProof/>
              </w:rPr>
              <w:t>5.3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_Toc22543100 \h </w:instrText>
            </w:r>
            <w:r w:rsidR="002D333E">
              <w:rPr>
                <w:noProof/>
                <w:webHidden/>
              </w:rPr>
            </w:r>
            <w:r w:rsidR="002D333E">
              <w:rPr>
                <w:noProof/>
                <w:webHidden/>
              </w:rPr>
              <w:fldChar w:fldCharType="separate"/>
            </w:r>
            <w:r w:rsidR="00D87DBB">
              <w:rPr>
                <w:noProof/>
                <w:webHidden/>
              </w:rPr>
              <w:t>63</w:t>
            </w:r>
            <w:r w:rsidR="002D333E">
              <w:rPr>
                <w:noProof/>
                <w:webHidden/>
              </w:rPr>
              <w:fldChar w:fldCharType="end"/>
            </w:r>
          </w:hyperlink>
        </w:p>
        <w:p w14:paraId="39372827" w14:textId="693DEF32" w:rsidR="002D333E" w:rsidRDefault="00864C5E">
          <w:pPr>
            <w:pStyle w:val="TOC1"/>
            <w:rPr>
              <w:b w:val="0"/>
              <w:bCs w:val="0"/>
              <w:noProof/>
              <w:lang w:eastAsia="en-AU"/>
            </w:rPr>
          </w:pPr>
          <w:hyperlink w:anchor="_Toc22543101" w:history="1">
            <w:r w:rsidR="002D333E" w:rsidRPr="004D78F1">
              <w:rPr>
                <w:rStyle w:val="Hyperlink"/>
                <w:noProof/>
              </w:rPr>
              <w:t>6</w:t>
            </w:r>
            <w:r w:rsidR="002D333E">
              <w:rPr>
                <w:b w:val="0"/>
                <w:bCs w:val="0"/>
                <w:noProof/>
                <w:lang w:eastAsia="en-AU"/>
              </w:rPr>
              <w:tab/>
            </w:r>
            <w:r w:rsidR="002D333E" w:rsidRPr="004D78F1">
              <w:rPr>
                <w:rStyle w:val="Hyperlink"/>
                <w:noProof/>
              </w:rPr>
              <w:t>The Compulsory Activity Phase</w:t>
            </w:r>
            <w:r w:rsidR="002D333E">
              <w:rPr>
                <w:noProof/>
                <w:webHidden/>
              </w:rPr>
              <w:tab/>
            </w:r>
            <w:r w:rsidR="002D333E">
              <w:rPr>
                <w:noProof/>
                <w:webHidden/>
              </w:rPr>
              <w:fldChar w:fldCharType="begin"/>
            </w:r>
            <w:r w:rsidR="002D333E">
              <w:rPr>
                <w:noProof/>
                <w:webHidden/>
              </w:rPr>
              <w:instrText xml:space="preserve"> PAGEREF _Toc22543101 \h </w:instrText>
            </w:r>
            <w:r w:rsidR="002D333E">
              <w:rPr>
                <w:noProof/>
                <w:webHidden/>
              </w:rPr>
            </w:r>
            <w:r w:rsidR="002D333E">
              <w:rPr>
                <w:noProof/>
                <w:webHidden/>
              </w:rPr>
              <w:fldChar w:fldCharType="separate"/>
            </w:r>
            <w:r w:rsidR="00D87DBB">
              <w:rPr>
                <w:noProof/>
                <w:webHidden/>
              </w:rPr>
              <w:t>65</w:t>
            </w:r>
            <w:r w:rsidR="002D333E">
              <w:rPr>
                <w:noProof/>
                <w:webHidden/>
              </w:rPr>
              <w:fldChar w:fldCharType="end"/>
            </w:r>
          </w:hyperlink>
        </w:p>
        <w:p w14:paraId="140C415A" w14:textId="24A29F5F" w:rsidR="002D333E" w:rsidRDefault="00864C5E">
          <w:pPr>
            <w:pStyle w:val="TOC2"/>
            <w:tabs>
              <w:tab w:val="left" w:pos="880"/>
              <w:tab w:val="right" w:leader="dot" w:pos="9016"/>
            </w:tabs>
            <w:rPr>
              <w:noProof/>
              <w:lang w:eastAsia="en-AU"/>
            </w:rPr>
          </w:pPr>
          <w:hyperlink w:anchor="_Toc22543102" w:history="1">
            <w:r w:rsidR="002D333E" w:rsidRPr="004D78F1">
              <w:rPr>
                <w:rStyle w:val="Hyperlink"/>
                <w:noProof/>
              </w:rPr>
              <w:t>6.1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_Toc22543102 \h </w:instrText>
            </w:r>
            <w:r w:rsidR="002D333E">
              <w:rPr>
                <w:noProof/>
                <w:webHidden/>
              </w:rPr>
            </w:r>
            <w:r w:rsidR="002D333E">
              <w:rPr>
                <w:noProof/>
                <w:webHidden/>
              </w:rPr>
              <w:fldChar w:fldCharType="separate"/>
            </w:r>
            <w:r w:rsidR="00D87DBB">
              <w:rPr>
                <w:noProof/>
                <w:webHidden/>
              </w:rPr>
              <w:t>65</w:t>
            </w:r>
            <w:r w:rsidR="002D333E">
              <w:rPr>
                <w:noProof/>
                <w:webHidden/>
              </w:rPr>
              <w:fldChar w:fldCharType="end"/>
            </w:r>
          </w:hyperlink>
        </w:p>
        <w:p w14:paraId="3533E3BA" w14:textId="696D2FB9" w:rsidR="002D333E" w:rsidRDefault="00864C5E">
          <w:pPr>
            <w:pStyle w:val="TOC2"/>
            <w:tabs>
              <w:tab w:val="left" w:pos="880"/>
              <w:tab w:val="right" w:leader="dot" w:pos="9016"/>
            </w:tabs>
            <w:rPr>
              <w:noProof/>
              <w:lang w:eastAsia="en-AU"/>
            </w:rPr>
          </w:pPr>
          <w:hyperlink w:anchor="_Toc22543103" w:history="1">
            <w:r w:rsidR="002D333E" w:rsidRPr="004D78F1">
              <w:rPr>
                <w:rStyle w:val="Hyperlink"/>
                <w:noProof/>
              </w:rPr>
              <w:t>6.2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_Toc22543103 \h </w:instrText>
            </w:r>
            <w:r w:rsidR="002D333E">
              <w:rPr>
                <w:noProof/>
                <w:webHidden/>
              </w:rPr>
            </w:r>
            <w:r w:rsidR="002D333E">
              <w:rPr>
                <w:noProof/>
                <w:webHidden/>
              </w:rPr>
              <w:fldChar w:fldCharType="separate"/>
            </w:r>
            <w:r w:rsidR="00D87DBB">
              <w:rPr>
                <w:noProof/>
                <w:webHidden/>
              </w:rPr>
              <w:t>66</w:t>
            </w:r>
            <w:r w:rsidR="002D333E">
              <w:rPr>
                <w:noProof/>
                <w:webHidden/>
              </w:rPr>
              <w:fldChar w:fldCharType="end"/>
            </w:r>
          </w:hyperlink>
        </w:p>
        <w:p w14:paraId="22B41BBB" w14:textId="76D654CE" w:rsidR="002D333E" w:rsidRDefault="00864C5E">
          <w:pPr>
            <w:pStyle w:val="TOC3"/>
            <w:tabs>
              <w:tab w:val="left" w:pos="1320"/>
              <w:tab w:val="right" w:leader="dot" w:pos="9016"/>
            </w:tabs>
            <w:rPr>
              <w:noProof/>
              <w:lang w:eastAsia="en-AU"/>
            </w:rPr>
          </w:pPr>
          <w:hyperlink w:anchor="_Toc22543104" w:history="1">
            <w:r w:rsidR="002D333E" w:rsidRPr="004D78F1">
              <w:rPr>
                <w:rStyle w:val="Hyperlink"/>
                <w:noProof/>
              </w:rPr>
              <w:t>6.2.1</w:t>
            </w:r>
            <w:r w:rsidR="002D333E">
              <w:rPr>
                <w:noProof/>
                <w:lang w:eastAsia="en-AU"/>
              </w:rPr>
              <w:tab/>
            </w:r>
            <w:r w:rsidR="002D333E" w:rsidRPr="004D78F1">
              <w:rPr>
                <w:rStyle w:val="Hyperlink"/>
                <w:noProof/>
              </w:rPr>
              <w:t>Compulsory Activity Phase and the threat effect</w:t>
            </w:r>
            <w:r w:rsidR="002D333E">
              <w:rPr>
                <w:noProof/>
                <w:webHidden/>
              </w:rPr>
              <w:tab/>
            </w:r>
            <w:r w:rsidR="002D333E">
              <w:rPr>
                <w:noProof/>
                <w:webHidden/>
              </w:rPr>
              <w:fldChar w:fldCharType="begin"/>
            </w:r>
            <w:r w:rsidR="002D333E">
              <w:rPr>
                <w:noProof/>
                <w:webHidden/>
              </w:rPr>
              <w:instrText xml:space="preserve"> PAGEREF _Toc22543104 \h </w:instrText>
            </w:r>
            <w:r w:rsidR="002D333E">
              <w:rPr>
                <w:noProof/>
                <w:webHidden/>
              </w:rPr>
            </w:r>
            <w:r w:rsidR="002D333E">
              <w:rPr>
                <w:noProof/>
                <w:webHidden/>
              </w:rPr>
              <w:fldChar w:fldCharType="separate"/>
            </w:r>
            <w:r w:rsidR="00D87DBB">
              <w:rPr>
                <w:noProof/>
                <w:webHidden/>
              </w:rPr>
              <w:t>66</w:t>
            </w:r>
            <w:r w:rsidR="002D333E">
              <w:rPr>
                <w:noProof/>
                <w:webHidden/>
              </w:rPr>
              <w:fldChar w:fldCharType="end"/>
            </w:r>
          </w:hyperlink>
        </w:p>
        <w:p w14:paraId="7298A182" w14:textId="3413A06B" w:rsidR="002D333E" w:rsidRDefault="00864C5E">
          <w:pPr>
            <w:pStyle w:val="TOC3"/>
            <w:tabs>
              <w:tab w:val="left" w:pos="1320"/>
              <w:tab w:val="right" w:leader="dot" w:pos="9016"/>
            </w:tabs>
            <w:rPr>
              <w:noProof/>
              <w:lang w:eastAsia="en-AU"/>
            </w:rPr>
          </w:pPr>
          <w:hyperlink w:anchor="_Toc22543105" w:history="1">
            <w:r w:rsidR="002D333E" w:rsidRPr="004D78F1">
              <w:rPr>
                <w:rStyle w:val="Hyperlink"/>
                <w:noProof/>
              </w:rPr>
              <w:t>6.2.2</w:t>
            </w:r>
            <w:r w:rsidR="002D333E">
              <w:rPr>
                <w:noProof/>
                <w:lang w:eastAsia="en-AU"/>
              </w:rPr>
              <w:tab/>
            </w:r>
            <w:r w:rsidR="002D333E" w:rsidRPr="004D78F1">
              <w:rPr>
                <w:rStyle w:val="Hyperlink"/>
                <w:noProof/>
              </w:rPr>
              <w:t>What is the overall impact of the Compulsory Activity Phase over 18 months</w:t>
            </w:r>
            <w:r w:rsidR="002D333E">
              <w:rPr>
                <w:noProof/>
                <w:webHidden/>
              </w:rPr>
              <w:tab/>
            </w:r>
            <w:r w:rsidR="002D333E">
              <w:rPr>
                <w:noProof/>
                <w:webHidden/>
              </w:rPr>
              <w:fldChar w:fldCharType="begin"/>
            </w:r>
            <w:r w:rsidR="002D333E">
              <w:rPr>
                <w:noProof/>
                <w:webHidden/>
              </w:rPr>
              <w:instrText xml:space="preserve"> PAGEREF _Toc22543105 \h </w:instrText>
            </w:r>
            <w:r w:rsidR="002D333E">
              <w:rPr>
                <w:noProof/>
                <w:webHidden/>
              </w:rPr>
            </w:r>
            <w:r w:rsidR="002D333E">
              <w:rPr>
                <w:noProof/>
                <w:webHidden/>
              </w:rPr>
              <w:fldChar w:fldCharType="separate"/>
            </w:r>
            <w:r w:rsidR="00D87DBB">
              <w:rPr>
                <w:noProof/>
                <w:webHidden/>
              </w:rPr>
              <w:t>69</w:t>
            </w:r>
            <w:r w:rsidR="002D333E">
              <w:rPr>
                <w:noProof/>
                <w:webHidden/>
              </w:rPr>
              <w:fldChar w:fldCharType="end"/>
            </w:r>
          </w:hyperlink>
        </w:p>
        <w:p w14:paraId="6478EA7E" w14:textId="7B7C1729" w:rsidR="002D333E" w:rsidRDefault="00864C5E">
          <w:pPr>
            <w:pStyle w:val="TOC2"/>
            <w:tabs>
              <w:tab w:val="left" w:pos="880"/>
              <w:tab w:val="right" w:leader="dot" w:pos="9016"/>
            </w:tabs>
            <w:rPr>
              <w:noProof/>
              <w:lang w:eastAsia="en-AU"/>
            </w:rPr>
          </w:pPr>
          <w:hyperlink w:anchor="_Toc22543106" w:history="1">
            <w:r w:rsidR="002D333E" w:rsidRPr="004D78F1">
              <w:rPr>
                <w:rStyle w:val="Hyperlink"/>
                <w:noProof/>
              </w:rPr>
              <w:t>6.3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_Toc22543106 \h </w:instrText>
            </w:r>
            <w:r w:rsidR="002D333E">
              <w:rPr>
                <w:noProof/>
                <w:webHidden/>
              </w:rPr>
            </w:r>
            <w:r w:rsidR="002D333E">
              <w:rPr>
                <w:noProof/>
                <w:webHidden/>
              </w:rPr>
              <w:fldChar w:fldCharType="separate"/>
            </w:r>
            <w:r w:rsidR="00D87DBB">
              <w:rPr>
                <w:noProof/>
                <w:webHidden/>
              </w:rPr>
              <w:t>72</w:t>
            </w:r>
            <w:r w:rsidR="002D333E">
              <w:rPr>
                <w:noProof/>
                <w:webHidden/>
              </w:rPr>
              <w:fldChar w:fldCharType="end"/>
            </w:r>
          </w:hyperlink>
        </w:p>
        <w:p w14:paraId="0DC8BDC4" w14:textId="031FCE81" w:rsidR="002D333E" w:rsidRDefault="00864C5E">
          <w:pPr>
            <w:pStyle w:val="TOC1"/>
            <w:rPr>
              <w:b w:val="0"/>
              <w:bCs w:val="0"/>
              <w:noProof/>
              <w:lang w:eastAsia="en-AU"/>
            </w:rPr>
          </w:pPr>
          <w:hyperlink w:anchor="_Toc22543107" w:history="1">
            <w:r w:rsidR="002D333E" w:rsidRPr="004D78F1">
              <w:rPr>
                <w:rStyle w:val="Hyperlink"/>
                <w:noProof/>
              </w:rPr>
              <w:t>7</w:t>
            </w:r>
            <w:r w:rsidR="002D333E">
              <w:rPr>
                <w:b w:val="0"/>
                <w:bCs w:val="0"/>
                <w:noProof/>
                <w:lang w:eastAsia="en-AU"/>
              </w:rPr>
              <w:tab/>
            </w:r>
            <w:r w:rsidR="002D333E" w:rsidRPr="004D78F1">
              <w:rPr>
                <w:rStyle w:val="Hyperlink"/>
                <w:noProof/>
              </w:rPr>
              <w:t>Other changes to the Job Services Australia model</w:t>
            </w:r>
            <w:r w:rsidR="002D333E">
              <w:rPr>
                <w:noProof/>
                <w:webHidden/>
              </w:rPr>
              <w:tab/>
            </w:r>
            <w:r w:rsidR="002D333E">
              <w:rPr>
                <w:noProof/>
                <w:webHidden/>
              </w:rPr>
              <w:fldChar w:fldCharType="begin"/>
            </w:r>
            <w:r w:rsidR="002D333E">
              <w:rPr>
                <w:noProof/>
                <w:webHidden/>
              </w:rPr>
              <w:instrText xml:space="preserve"> PAGEREF _Toc22543107 \h </w:instrText>
            </w:r>
            <w:r w:rsidR="002D333E">
              <w:rPr>
                <w:noProof/>
                <w:webHidden/>
              </w:rPr>
            </w:r>
            <w:r w:rsidR="002D333E">
              <w:rPr>
                <w:noProof/>
                <w:webHidden/>
              </w:rPr>
              <w:fldChar w:fldCharType="separate"/>
            </w:r>
            <w:r w:rsidR="00D87DBB">
              <w:rPr>
                <w:noProof/>
                <w:webHidden/>
              </w:rPr>
              <w:t>74</w:t>
            </w:r>
            <w:r w:rsidR="002D333E">
              <w:rPr>
                <w:noProof/>
                <w:webHidden/>
              </w:rPr>
              <w:fldChar w:fldCharType="end"/>
            </w:r>
          </w:hyperlink>
        </w:p>
        <w:p w14:paraId="6924C172" w14:textId="595751A1" w:rsidR="002D333E" w:rsidRDefault="00864C5E">
          <w:pPr>
            <w:pStyle w:val="TOC2"/>
            <w:tabs>
              <w:tab w:val="left" w:pos="880"/>
              <w:tab w:val="right" w:leader="dot" w:pos="9016"/>
            </w:tabs>
            <w:rPr>
              <w:noProof/>
              <w:lang w:eastAsia="en-AU"/>
            </w:rPr>
          </w:pPr>
          <w:hyperlink w:anchor="_Toc22543108" w:history="1">
            <w:r w:rsidR="002D333E" w:rsidRPr="004D78F1">
              <w:rPr>
                <w:rStyle w:val="Hyperlink"/>
                <w:noProof/>
              </w:rPr>
              <w:t>7.1</w:t>
            </w:r>
            <w:r w:rsidR="002D333E">
              <w:rPr>
                <w:noProof/>
                <w:lang w:eastAsia="en-AU"/>
              </w:rPr>
              <w:tab/>
            </w:r>
            <w:r w:rsidR="002D333E" w:rsidRPr="004D78F1">
              <w:rPr>
                <w:rStyle w:val="Hyperlink"/>
                <w:noProof/>
              </w:rPr>
              <w:t>Changes to encourage better servicing of Indigenous job seekers</w:t>
            </w:r>
            <w:r w:rsidR="002D333E">
              <w:rPr>
                <w:noProof/>
                <w:webHidden/>
              </w:rPr>
              <w:tab/>
            </w:r>
            <w:r w:rsidR="002D333E">
              <w:rPr>
                <w:noProof/>
                <w:webHidden/>
              </w:rPr>
              <w:fldChar w:fldCharType="begin"/>
            </w:r>
            <w:r w:rsidR="002D333E">
              <w:rPr>
                <w:noProof/>
                <w:webHidden/>
              </w:rPr>
              <w:instrText xml:space="preserve"> PAGEREF _Toc22543108 \h </w:instrText>
            </w:r>
            <w:r w:rsidR="002D333E">
              <w:rPr>
                <w:noProof/>
                <w:webHidden/>
              </w:rPr>
            </w:r>
            <w:r w:rsidR="002D333E">
              <w:rPr>
                <w:noProof/>
                <w:webHidden/>
              </w:rPr>
              <w:fldChar w:fldCharType="separate"/>
            </w:r>
            <w:r w:rsidR="00D87DBB">
              <w:rPr>
                <w:noProof/>
                <w:webHidden/>
              </w:rPr>
              <w:t>74</w:t>
            </w:r>
            <w:r w:rsidR="002D333E">
              <w:rPr>
                <w:noProof/>
                <w:webHidden/>
              </w:rPr>
              <w:fldChar w:fldCharType="end"/>
            </w:r>
          </w:hyperlink>
        </w:p>
        <w:p w14:paraId="421E29ED" w14:textId="0363EC23" w:rsidR="002D333E" w:rsidRDefault="00864C5E">
          <w:pPr>
            <w:pStyle w:val="TOC3"/>
            <w:tabs>
              <w:tab w:val="left" w:pos="1320"/>
              <w:tab w:val="right" w:leader="dot" w:pos="9016"/>
            </w:tabs>
            <w:rPr>
              <w:noProof/>
              <w:lang w:eastAsia="en-AU"/>
            </w:rPr>
          </w:pPr>
          <w:hyperlink w:anchor="_Toc22543109" w:history="1">
            <w:r w:rsidR="002D333E" w:rsidRPr="004D78F1">
              <w:rPr>
                <w:rStyle w:val="Hyperlink"/>
                <w:noProof/>
              </w:rPr>
              <w:t>7.1.1</w:t>
            </w:r>
            <w:r w:rsidR="002D333E">
              <w:rPr>
                <w:noProof/>
                <w:lang w:eastAsia="en-AU"/>
              </w:rPr>
              <w:tab/>
            </w:r>
            <w:r w:rsidR="002D333E" w:rsidRPr="004D78F1">
              <w:rPr>
                <w:rStyle w:val="Hyperlink"/>
                <w:noProof/>
              </w:rPr>
              <w:t>Indigenous Cultural Capability Training</w:t>
            </w:r>
            <w:r w:rsidR="002D333E">
              <w:rPr>
                <w:noProof/>
                <w:webHidden/>
              </w:rPr>
              <w:tab/>
            </w:r>
            <w:r w:rsidR="002D333E">
              <w:rPr>
                <w:noProof/>
                <w:webHidden/>
              </w:rPr>
              <w:fldChar w:fldCharType="begin"/>
            </w:r>
            <w:r w:rsidR="002D333E">
              <w:rPr>
                <w:noProof/>
                <w:webHidden/>
              </w:rPr>
              <w:instrText xml:space="preserve"> PAGEREF _Toc22543109 \h </w:instrText>
            </w:r>
            <w:r w:rsidR="002D333E">
              <w:rPr>
                <w:noProof/>
                <w:webHidden/>
              </w:rPr>
            </w:r>
            <w:r w:rsidR="002D333E">
              <w:rPr>
                <w:noProof/>
                <w:webHidden/>
              </w:rPr>
              <w:fldChar w:fldCharType="separate"/>
            </w:r>
            <w:r w:rsidR="00D87DBB">
              <w:rPr>
                <w:noProof/>
                <w:webHidden/>
              </w:rPr>
              <w:t>74</w:t>
            </w:r>
            <w:r w:rsidR="002D333E">
              <w:rPr>
                <w:noProof/>
                <w:webHidden/>
              </w:rPr>
              <w:fldChar w:fldCharType="end"/>
            </w:r>
          </w:hyperlink>
        </w:p>
        <w:p w14:paraId="1A3B3813" w14:textId="1A9A7D7B" w:rsidR="002D333E" w:rsidRDefault="00864C5E">
          <w:pPr>
            <w:pStyle w:val="TOC3"/>
            <w:tabs>
              <w:tab w:val="left" w:pos="1320"/>
              <w:tab w:val="right" w:leader="dot" w:pos="9016"/>
            </w:tabs>
            <w:rPr>
              <w:noProof/>
              <w:lang w:eastAsia="en-AU"/>
            </w:rPr>
          </w:pPr>
          <w:hyperlink w:anchor="_Toc22543110" w:history="1">
            <w:r w:rsidR="002D333E" w:rsidRPr="004D78F1">
              <w:rPr>
                <w:rStyle w:val="Hyperlink"/>
                <w:noProof/>
              </w:rPr>
              <w:t>7.1.2</w:t>
            </w:r>
            <w:r w:rsidR="002D333E">
              <w:rPr>
                <w:noProof/>
                <w:lang w:eastAsia="en-AU"/>
              </w:rPr>
              <w:tab/>
            </w:r>
            <w:r w:rsidR="002D333E" w:rsidRPr="004D78F1">
              <w:rPr>
                <w:rStyle w:val="Hyperlink"/>
                <w:noProof/>
              </w:rPr>
              <w:t>Indigenous Mentoring Pilot</w:t>
            </w:r>
            <w:r w:rsidR="002D333E">
              <w:rPr>
                <w:noProof/>
                <w:webHidden/>
              </w:rPr>
              <w:tab/>
            </w:r>
            <w:r w:rsidR="002D333E">
              <w:rPr>
                <w:noProof/>
                <w:webHidden/>
              </w:rPr>
              <w:fldChar w:fldCharType="begin"/>
            </w:r>
            <w:r w:rsidR="002D333E">
              <w:rPr>
                <w:noProof/>
                <w:webHidden/>
              </w:rPr>
              <w:instrText xml:space="preserve"> PAGEREF _Toc22543110 \h </w:instrText>
            </w:r>
            <w:r w:rsidR="002D333E">
              <w:rPr>
                <w:noProof/>
                <w:webHidden/>
              </w:rPr>
            </w:r>
            <w:r w:rsidR="002D333E">
              <w:rPr>
                <w:noProof/>
                <w:webHidden/>
              </w:rPr>
              <w:fldChar w:fldCharType="separate"/>
            </w:r>
            <w:r w:rsidR="00D87DBB">
              <w:rPr>
                <w:noProof/>
                <w:webHidden/>
              </w:rPr>
              <w:t>75</w:t>
            </w:r>
            <w:r w:rsidR="002D333E">
              <w:rPr>
                <w:noProof/>
                <w:webHidden/>
              </w:rPr>
              <w:fldChar w:fldCharType="end"/>
            </w:r>
          </w:hyperlink>
        </w:p>
        <w:p w14:paraId="6CE2F59C" w14:textId="487F3B84" w:rsidR="002D333E" w:rsidRDefault="00864C5E">
          <w:pPr>
            <w:pStyle w:val="TOC3"/>
            <w:tabs>
              <w:tab w:val="left" w:pos="1320"/>
              <w:tab w:val="right" w:leader="dot" w:pos="9016"/>
            </w:tabs>
            <w:rPr>
              <w:noProof/>
              <w:lang w:eastAsia="en-AU"/>
            </w:rPr>
          </w:pPr>
          <w:hyperlink w:anchor="_Toc22543111" w:history="1">
            <w:r w:rsidR="002D333E" w:rsidRPr="004D78F1">
              <w:rPr>
                <w:rStyle w:val="Hyperlink"/>
                <w:noProof/>
              </w:rPr>
              <w:t>7.1.3</w:t>
            </w:r>
            <w:r w:rsidR="002D333E">
              <w:rPr>
                <w:noProof/>
                <w:lang w:eastAsia="en-AU"/>
              </w:rPr>
              <w:tab/>
            </w:r>
            <w:r w:rsidR="002D333E" w:rsidRPr="004D78F1">
              <w:rPr>
                <w:rStyle w:val="Hyperlink"/>
                <w:noProof/>
              </w:rPr>
              <w:t>Indigenous Opportunity Policy</w:t>
            </w:r>
            <w:r w:rsidR="002D333E">
              <w:rPr>
                <w:noProof/>
                <w:webHidden/>
              </w:rPr>
              <w:tab/>
            </w:r>
            <w:r w:rsidR="002D333E">
              <w:rPr>
                <w:noProof/>
                <w:webHidden/>
              </w:rPr>
              <w:fldChar w:fldCharType="begin"/>
            </w:r>
            <w:r w:rsidR="002D333E">
              <w:rPr>
                <w:noProof/>
                <w:webHidden/>
              </w:rPr>
              <w:instrText xml:space="preserve"> PAGEREF _Toc22543111 \h </w:instrText>
            </w:r>
            <w:r w:rsidR="002D333E">
              <w:rPr>
                <w:noProof/>
                <w:webHidden/>
              </w:rPr>
            </w:r>
            <w:r w:rsidR="002D333E">
              <w:rPr>
                <w:noProof/>
                <w:webHidden/>
              </w:rPr>
              <w:fldChar w:fldCharType="separate"/>
            </w:r>
            <w:r w:rsidR="00D87DBB">
              <w:rPr>
                <w:noProof/>
                <w:webHidden/>
              </w:rPr>
              <w:t>78</w:t>
            </w:r>
            <w:r w:rsidR="002D333E">
              <w:rPr>
                <w:noProof/>
                <w:webHidden/>
              </w:rPr>
              <w:fldChar w:fldCharType="end"/>
            </w:r>
          </w:hyperlink>
        </w:p>
        <w:p w14:paraId="59F5512A" w14:textId="2CF89213" w:rsidR="002D333E" w:rsidRDefault="00864C5E">
          <w:pPr>
            <w:pStyle w:val="TOC2"/>
            <w:tabs>
              <w:tab w:val="left" w:pos="880"/>
              <w:tab w:val="right" w:leader="dot" w:pos="9016"/>
            </w:tabs>
            <w:rPr>
              <w:noProof/>
              <w:lang w:eastAsia="en-AU"/>
            </w:rPr>
          </w:pPr>
          <w:hyperlink w:anchor="_Toc22543112" w:history="1">
            <w:r w:rsidR="002D333E" w:rsidRPr="004D78F1">
              <w:rPr>
                <w:rStyle w:val="Hyperlink"/>
                <w:noProof/>
              </w:rPr>
              <w:t>7.2</w:t>
            </w:r>
            <w:r w:rsidR="002D333E">
              <w:rPr>
                <w:noProof/>
                <w:lang w:eastAsia="en-AU"/>
              </w:rPr>
              <w:tab/>
            </w:r>
            <w:r w:rsidR="002D333E" w:rsidRPr="004D78F1">
              <w:rPr>
                <w:rStyle w:val="Hyperlink"/>
                <w:noProof/>
              </w:rPr>
              <w:t>Changes to administrative procedures</w:t>
            </w:r>
            <w:r w:rsidR="002D333E">
              <w:rPr>
                <w:noProof/>
                <w:webHidden/>
              </w:rPr>
              <w:tab/>
            </w:r>
            <w:r w:rsidR="002D333E">
              <w:rPr>
                <w:noProof/>
                <w:webHidden/>
              </w:rPr>
              <w:fldChar w:fldCharType="begin"/>
            </w:r>
            <w:r w:rsidR="002D333E">
              <w:rPr>
                <w:noProof/>
                <w:webHidden/>
              </w:rPr>
              <w:instrText xml:space="preserve"> PAGEREF _Toc22543112 \h </w:instrText>
            </w:r>
            <w:r w:rsidR="002D333E">
              <w:rPr>
                <w:noProof/>
                <w:webHidden/>
              </w:rPr>
            </w:r>
            <w:r w:rsidR="002D333E">
              <w:rPr>
                <w:noProof/>
                <w:webHidden/>
              </w:rPr>
              <w:fldChar w:fldCharType="separate"/>
            </w:r>
            <w:r w:rsidR="00D87DBB">
              <w:rPr>
                <w:noProof/>
                <w:webHidden/>
              </w:rPr>
              <w:t>79</w:t>
            </w:r>
            <w:r w:rsidR="002D333E">
              <w:rPr>
                <w:noProof/>
                <w:webHidden/>
              </w:rPr>
              <w:fldChar w:fldCharType="end"/>
            </w:r>
          </w:hyperlink>
        </w:p>
        <w:p w14:paraId="33379CE3" w14:textId="0468E045" w:rsidR="002D333E" w:rsidRDefault="00864C5E">
          <w:pPr>
            <w:pStyle w:val="TOC3"/>
            <w:tabs>
              <w:tab w:val="left" w:pos="1320"/>
              <w:tab w:val="right" w:leader="dot" w:pos="9016"/>
            </w:tabs>
            <w:rPr>
              <w:noProof/>
              <w:lang w:eastAsia="en-AU"/>
            </w:rPr>
          </w:pPr>
          <w:hyperlink w:anchor="_Toc22543113" w:history="1">
            <w:r w:rsidR="002D333E" w:rsidRPr="004D78F1">
              <w:rPr>
                <w:rStyle w:val="Hyperlink"/>
                <w:noProof/>
              </w:rPr>
              <w:t>7.2.1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_Toc22543113 \h </w:instrText>
            </w:r>
            <w:r w:rsidR="002D333E">
              <w:rPr>
                <w:noProof/>
                <w:webHidden/>
              </w:rPr>
            </w:r>
            <w:r w:rsidR="002D333E">
              <w:rPr>
                <w:noProof/>
                <w:webHidden/>
              </w:rPr>
              <w:fldChar w:fldCharType="separate"/>
            </w:r>
            <w:r w:rsidR="00D87DBB">
              <w:rPr>
                <w:noProof/>
                <w:webHidden/>
              </w:rPr>
              <w:t>79</w:t>
            </w:r>
            <w:r w:rsidR="002D333E">
              <w:rPr>
                <w:noProof/>
                <w:webHidden/>
              </w:rPr>
              <w:fldChar w:fldCharType="end"/>
            </w:r>
          </w:hyperlink>
        </w:p>
        <w:p w14:paraId="778A8821" w14:textId="61582C4E" w:rsidR="002D333E" w:rsidRDefault="00864C5E">
          <w:pPr>
            <w:pStyle w:val="TOC3"/>
            <w:tabs>
              <w:tab w:val="left" w:pos="1320"/>
              <w:tab w:val="right" w:leader="dot" w:pos="9016"/>
            </w:tabs>
            <w:rPr>
              <w:noProof/>
              <w:lang w:eastAsia="en-AU"/>
            </w:rPr>
          </w:pPr>
          <w:hyperlink w:anchor="_Toc22543114" w:history="1">
            <w:r w:rsidR="002D333E" w:rsidRPr="004D78F1">
              <w:rPr>
                <w:rStyle w:val="Hyperlink"/>
                <w:rFonts w:eastAsiaTheme="minorHAnsi"/>
                <w:noProof/>
              </w:rPr>
              <w:t>7.2.2</w:t>
            </w:r>
            <w:r w:rsidR="002D333E">
              <w:rPr>
                <w:noProof/>
                <w:lang w:eastAsia="en-AU"/>
              </w:rPr>
              <w:tab/>
            </w:r>
            <w:r w:rsidR="002D333E" w:rsidRPr="004D78F1">
              <w:rPr>
                <w:rStyle w:val="Hyperlink"/>
                <w:rFonts w:eastAsiaTheme="minorHAnsi"/>
                <w:noProof/>
              </w:rPr>
              <w:t>Key findings</w:t>
            </w:r>
            <w:r w:rsidR="002D333E">
              <w:rPr>
                <w:noProof/>
                <w:webHidden/>
              </w:rPr>
              <w:tab/>
            </w:r>
            <w:r w:rsidR="002D333E">
              <w:rPr>
                <w:noProof/>
                <w:webHidden/>
              </w:rPr>
              <w:fldChar w:fldCharType="begin"/>
            </w:r>
            <w:r w:rsidR="002D333E">
              <w:rPr>
                <w:noProof/>
                <w:webHidden/>
              </w:rPr>
              <w:instrText xml:space="preserve"> PAGEREF _Toc22543114 \h </w:instrText>
            </w:r>
            <w:r w:rsidR="002D333E">
              <w:rPr>
                <w:noProof/>
                <w:webHidden/>
              </w:rPr>
            </w:r>
            <w:r w:rsidR="002D333E">
              <w:rPr>
                <w:noProof/>
                <w:webHidden/>
              </w:rPr>
              <w:fldChar w:fldCharType="separate"/>
            </w:r>
            <w:r w:rsidR="00D87DBB">
              <w:rPr>
                <w:noProof/>
                <w:webHidden/>
              </w:rPr>
              <w:t>81</w:t>
            </w:r>
            <w:r w:rsidR="002D333E">
              <w:rPr>
                <w:noProof/>
                <w:webHidden/>
              </w:rPr>
              <w:fldChar w:fldCharType="end"/>
            </w:r>
          </w:hyperlink>
        </w:p>
        <w:p w14:paraId="189547C3" w14:textId="74A2E1D3" w:rsidR="002D333E" w:rsidRDefault="00864C5E">
          <w:pPr>
            <w:pStyle w:val="TOC3"/>
            <w:tabs>
              <w:tab w:val="left" w:pos="1320"/>
              <w:tab w:val="right" w:leader="dot" w:pos="9016"/>
            </w:tabs>
            <w:rPr>
              <w:noProof/>
              <w:lang w:eastAsia="en-AU"/>
            </w:rPr>
          </w:pPr>
          <w:hyperlink w:anchor="_Toc22543115" w:history="1">
            <w:r w:rsidR="002D333E" w:rsidRPr="004D78F1">
              <w:rPr>
                <w:rStyle w:val="Hyperlink"/>
                <w:noProof/>
              </w:rPr>
              <w:t>7.2.3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_Toc22543115 \h </w:instrText>
            </w:r>
            <w:r w:rsidR="002D333E">
              <w:rPr>
                <w:noProof/>
                <w:webHidden/>
              </w:rPr>
            </w:r>
            <w:r w:rsidR="002D333E">
              <w:rPr>
                <w:noProof/>
                <w:webHidden/>
              </w:rPr>
              <w:fldChar w:fldCharType="separate"/>
            </w:r>
            <w:r w:rsidR="00D87DBB">
              <w:rPr>
                <w:noProof/>
                <w:webHidden/>
              </w:rPr>
              <w:t>85</w:t>
            </w:r>
            <w:r w:rsidR="002D333E">
              <w:rPr>
                <w:noProof/>
                <w:webHidden/>
              </w:rPr>
              <w:fldChar w:fldCharType="end"/>
            </w:r>
          </w:hyperlink>
        </w:p>
        <w:p w14:paraId="31EEBB5D" w14:textId="4A5E4EC2" w:rsidR="002D333E" w:rsidRDefault="00864C5E">
          <w:pPr>
            <w:pStyle w:val="TOC2"/>
            <w:tabs>
              <w:tab w:val="left" w:pos="880"/>
              <w:tab w:val="right" w:leader="dot" w:pos="9016"/>
            </w:tabs>
            <w:rPr>
              <w:noProof/>
              <w:lang w:eastAsia="en-AU"/>
            </w:rPr>
          </w:pPr>
          <w:hyperlink w:anchor="_Toc22543116" w:history="1">
            <w:r w:rsidR="002D333E" w:rsidRPr="004D78F1">
              <w:rPr>
                <w:rStyle w:val="Hyperlink"/>
                <w:noProof/>
              </w:rPr>
              <w:t>7.3</w:t>
            </w:r>
            <w:r w:rsidR="002D333E">
              <w:rPr>
                <w:noProof/>
                <w:lang w:eastAsia="en-AU"/>
              </w:rPr>
              <w:tab/>
            </w:r>
            <w:r w:rsidR="002D333E" w:rsidRPr="004D78F1">
              <w:rPr>
                <w:rStyle w:val="Hyperlink"/>
                <w:noProof/>
              </w:rPr>
              <w:t>The Quality Assurance Framework pilot</w:t>
            </w:r>
            <w:r w:rsidR="002D333E">
              <w:rPr>
                <w:noProof/>
                <w:webHidden/>
              </w:rPr>
              <w:tab/>
            </w:r>
            <w:r w:rsidR="002D333E">
              <w:rPr>
                <w:noProof/>
                <w:webHidden/>
              </w:rPr>
              <w:fldChar w:fldCharType="begin"/>
            </w:r>
            <w:r w:rsidR="002D333E">
              <w:rPr>
                <w:noProof/>
                <w:webHidden/>
              </w:rPr>
              <w:instrText xml:space="preserve"> PAGEREF _Toc22543116 \h </w:instrText>
            </w:r>
            <w:r w:rsidR="002D333E">
              <w:rPr>
                <w:noProof/>
                <w:webHidden/>
              </w:rPr>
            </w:r>
            <w:r w:rsidR="002D333E">
              <w:rPr>
                <w:noProof/>
                <w:webHidden/>
              </w:rPr>
              <w:fldChar w:fldCharType="separate"/>
            </w:r>
            <w:r w:rsidR="00D87DBB">
              <w:rPr>
                <w:noProof/>
                <w:webHidden/>
              </w:rPr>
              <w:t>86</w:t>
            </w:r>
            <w:r w:rsidR="002D333E">
              <w:rPr>
                <w:noProof/>
                <w:webHidden/>
              </w:rPr>
              <w:fldChar w:fldCharType="end"/>
            </w:r>
          </w:hyperlink>
        </w:p>
        <w:p w14:paraId="2E96A91E" w14:textId="66DA9C28" w:rsidR="002D333E" w:rsidRDefault="00864C5E">
          <w:pPr>
            <w:pStyle w:val="TOC3"/>
            <w:tabs>
              <w:tab w:val="left" w:pos="1320"/>
              <w:tab w:val="right" w:leader="dot" w:pos="9016"/>
            </w:tabs>
            <w:rPr>
              <w:noProof/>
              <w:lang w:eastAsia="en-AU"/>
            </w:rPr>
          </w:pPr>
          <w:hyperlink w:anchor="_Toc22543117" w:history="1">
            <w:r w:rsidR="002D333E" w:rsidRPr="004D78F1">
              <w:rPr>
                <w:rStyle w:val="Hyperlink"/>
                <w:rFonts w:cs="Calibri"/>
                <w:noProof/>
              </w:rPr>
              <w:t>7.3.1</w:t>
            </w:r>
            <w:r w:rsidR="002D333E">
              <w:rPr>
                <w:noProof/>
                <w:lang w:eastAsia="en-AU"/>
              </w:rPr>
              <w:tab/>
            </w:r>
            <w:r w:rsidR="002D333E" w:rsidRPr="004D78F1">
              <w:rPr>
                <w:rStyle w:val="Hyperlink"/>
                <w:rFonts w:cs="Calibri"/>
                <w:noProof/>
              </w:rPr>
              <w:t>Introduction</w:t>
            </w:r>
            <w:r w:rsidR="002D333E">
              <w:rPr>
                <w:noProof/>
                <w:webHidden/>
              </w:rPr>
              <w:tab/>
            </w:r>
            <w:r w:rsidR="002D333E">
              <w:rPr>
                <w:noProof/>
                <w:webHidden/>
              </w:rPr>
              <w:fldChar w:fldCharType="begin"/>
            </w:r>
            <w:r w:rsidR="002D333E">
              <w:rPr>
                <w:noProof/>
                <w:webHidden/>
              </w:rPr>
              <w:instrText xml:space="preserve"> PAGEREF _Toc22543117 \h </w:instrText>
            </w:r>
            <w:r w:rsidR="002D333E">
              <w:rPr>
                <w:noProof/>
                <w:webHidden/>
              </w:rPr>
            </w:r>
            <w:r w:rsidR="002D333E">
              <w:rPr>
                <w:noProof/>
                <w:webHidden/>
              </w:rPr>
              <w:fldChar w:fldCharType="separate"/>
            </w:r>
            <w:r w:rsidR="00D87DBB">
              <w:rPr>
                <w:noProof/>
                <w:webHidden/>
              </w:rPr>
              <w:t>86</w:t>
            </w:r>
            <w:r w:rsidR="002D333E">
              <w:rPr>
                <w:noProof/>
                <w:webHidden/>
              </w:rPr>
              <w:fldChar w:fldCharType="end"/>
            </w:r>
          </w:hyperlink>
        </w:p>
        <w:p w14:paraId="64E29E91" w14:textId="4CA52AB4" w:rsidR="002D333E" w:rsidRDefault="00864C5E">
          <w:pPr>
            <w:pStyle w:val="TOC3"/>
            <w:tabs>
              <w:tab w:val="left" w:pos="1320"/>
              <w:tab w:val="right" w:leader="dot" w:pos="9016"/>
            </w:tabs>
            <w:rPr>
              <w:noProof/>
              <w:lang w:eastAsia="en-AU"/>
            </w:rPr>
          </w:pPr>
          <w:hyperlink w:anchor="_Toc22543118" w:history="1">
            <w:r w:rsidR="002D333E" w:rsidRPr="004D78F1">
              <w:rPr>
                <w:rStyle w:val="Hyperlink"/>
                <w:rFonts w:cs="Calibri"/>
                <w:noProof/>
              </w:rPr>
              <w:t>7.3.2</w:t>
            </w:r>
            <w:r w:rsidR="002D333E">
              <w:rPr>
                <w:noProof/>
                <w:lang w:eastAsia="en-AU"/>
              </w:rPr>
              <w:tab/>
            </w:r>
            <w:r w:rsidR="002D333E" w:rsidRPr="004D78F1">
              <w:rPr>
                <w:rStyle w:val="Hyperlink"/>
                <w:rFonts w:cs="Calibri"/>
                <w:noProof/>
              </w:rPr>
              <w:t>Key findings</w:t>
            </w:r>
            <w:r w:rsidR="002D333E">
              <w:rPr>
                <w:noProof/>
                <w:webHidden/>
              </w:rPr>
              <w:tab/>
            </w:r>
            <w:r w:rsidR="002D333E">
              <w:rPr>
                <w:noProof/>
                <w:webHidden/>
              </w:rPr>
              <w:fldChar w:fldCharType="begin"/>
            </w:r>
            <w:r w:rsidR="002D333E">
              <w:rPr>
                <w:noProof/>
                <w:webHidden/>
              </w:rPr>
              <w:instrText xml:space="preserve"> PAGEREF _Toc22543118 \h </w:instrText>
            </w:r>
            <w:r w:rsidR="002D333E">
              <w:rPr>
                <w:noProof/>
                <w:webHidden/>
              </w:rPr>
            </w:r>
            <w:r w:rsidR="002D333E">
              <w:rPr>
                <w:noProof/>
                <w:webHidden/>
              </w:rPr>
              <w:fldChar w:fldCharType="separate"/>
            </w:r>
            <w:r w:rsidR="00D87DBB">
              <w:rPr>
                <w:noProof/>
                <w:webHidden/>
              </w:rPr>
              <w:t>87</w:t>
            </w:r>
            <w:r w:rsidR="002D333E">
              <w:rPr>
                <w:noProof/>
                <w:webHidden/>
              </w:rPr>
              <w:fldChar w:fldCharType="end"/>
            </w:r>
          </w:hyperlink>
        </w:p>
        <w:p w14:paraId="64EA0321" w14:textId="55055050" w:rsidR="002D333E" w:rsidRDefault="00864C5E">
          <w:pPr>
            <w:pStyle w:val="TOC3"/>
            <w:tabs>
              <w:tab w:val="left" w:pos="1320"/>
              <w:tab w:val="right" w:leader="dot" w:pos="9016"/>
            </w:tabs>
            <w:rPr>
              <w:noProof/>
              <w:lang w:eastAsia="en-AU"/>
            </w:rPr>
          </w:pPr>
          <w:hyperlink w:anchor="_Toc22543119" w:history="1">
            <w:r w:rsidR="002D333E" w:rsidRPr="004D78F1">
              <w:rPr>
                <w:rStyle w:val="Hyperlink"/>
                <w:noProof/>
              </w:rPr>
              <w:t>7.3.3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_Toc22543119 \h </w:instrText>
            </w:r>
            <w:r w:rsidR="002D333E">
              <w:rPr>
                <w:noProof/>
                <w:webHidden/>
              </w:rPr>
            </w:r>
            <w:r w:rsidR="002D333E">
              <w:rPr>
                <w:noProof/>
                <w:webHidden/>
              </w:rPr>
              <w:fldChar w:fldCharType="separate"/>
            </w:r>
            <w:r w:rsidR="00D87DBB">
              <w:rPr>
                <w:noProof/>
                <w:webHidden/>
              </w:rPr>
              <w:t>88</w:t>
            </w:r>
            <w:r w:rsidR="002D333E">
              <w:rPr>
                <w:noProof/>
                <w:webHidden/>
              </w:rPr>
              <w:fldChar w:fldCharType="end"/>
            </w:r>
          </w:hyperlink>
        </w:p>
        <w:p w14:paraId="0086FCC2" w14:textId="010F73C4" w:rsidR="002D333E" w:rsidRDefault="00864C5E">
          <w:pPr>
            <w:pStyle w:val="TOC2"/>
            <w:tabs>
              <w:tab w:val="left" w:pos="880"/>
              <w:tab w:val="right" w:leader="dot" w:pos="9016"/>
            </w:tabs>
            <w:rPr>
              <w:noProof/>
              <w:lang w:eastAsia="en-AU"/>
            </w:rPr>
          </w:pPr>
          <w:hyperlink w:anchor="_Toc22543120" w:history="1">
            <w:r w:rsidR="002D333E" w:rsidRPr="004D78F1">
              <w:rPr>
                <w:rStyle w:val="Hyperlink"/>
                <w:noProof/>
              </w:rPr>
              <w:t>7.4</w:t>
            </w:r>
            <w:r w:rsidR="002D333E">
              <w:rPr>
                <w:noProof/>
                <w:lang w:eastAsia="en-AU"/>
              </w:rPr>
              <w:tab/>
            </w:r>
            <w:r w:rsidR="002D333E" w:rsidRPr="004D78F1">
              <w:rPr>
                <w:rStyle w:val="Hyperlink"/>
                <w:noProof/>
              </w:rPr>
              <w:t>Changes to the job seeker participation and compliance framework</w:t>
            </w:r>
            <w:r w:rsidR="002D333E">
              <w:rPr>
                <w:noProof/>
                <w:webHidden/>
              </w:rPr>
              <w:tab/>
            </w:r>
            <w:r w:rsidR="002D333E">
              <w:rPr>
                <w:noProof/>
                <w:webHidden/>
              </w:rPr>
              <w:fldChar w:fldCharType="begin"/>
            </w:r>
            <w:r w:rsidR="002D333E">
              <w:rPr>
                <w:noProof/>
                <w:webHidden/>
              </w:rPr>
              <w:instrText xml:space="preserve"> PAGEREF _Toc22543120 \h </w:instrText>
            </w:r>
            <w:r w:rsidR="002D333E">
              <w:rPr>
                <w:noProof/>
                <w:webHidden/>
              </w:rPr>
            </w:r>
            <w:r w:rsidR="002D333E">
              <w:rPr>
                <w:noProof/>
                <w:webHidden/>
              </w:rPr>
              <w:fldChar w:fldCharType="separate"/>
            </w:r>
            <w:r w:rsidR="00D87DBB">
              <w:rPr>
                <w:noProof/>
                <w:webHidden/>
              </w:rPr>
              <w:t>88</w:t>
            </w:r>
            <w:r w:rsidR="002D333E">
              <w:rPr>
                <w:noProof/>
                <w:webHidden/>
              </w:rPr>
              <w:fldChar w:fldCharType="end"/>
            </w:r>
          </w:hyperlink>
        </w:p>
        <w:p w14:paraId="559B43F1" w14:textId="41210586" w:rsidR="002D333E" w:rsidRDefault="00864C5E">
          <w:pPr>
            <w:pStyle w:val="TOC3"/>
            <w:tabs>
              <w:tab w:val="left" w:pos="1320"/>
              <w:tab w:val="right" w:leader="dot" w:pos="9016"/>
            </w:tabs>
            <w:rPr>
              <w:noProof/>
              <w:lang w:eastAsia="en-AU"/>
            </w:rPr>
          </w:pPr>
          <w:hyperlink w:anchor="_Toc22543121" w:history="1">
            <w:r w:rsidR="002D333E" w:rsidRPr="004D78F1">
              <w:rPr>
                <w:rStyle w:val="Hyperlink"/>
                <w:noProof/>
              </w:rPr>
              <w:t>7.4.1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_Toc22543121 \h </w:instrText>
            </w:r>
            <w:r w:rsidR="002D333E">
              <w:rPr>
                <w:noProof/>
                <w:webHidden/>
              </w:rPr>
            </w:r>
            <w:r w:rsidR="002D333E">
              <w:rPr>
                <w:noProof/>
                <w:webHidden/>
              </w:rPr>
              <w:fldChar w:fldCharType="separate"/>
            </w:r>
            <w:r w:rsidR="00D87DBB">
              <w:rPr>
                <w:noProof/>
                <w:webHidden/>
              </w:rPr>
              <w:t>88</w:t>
            </w:r>
            <w:r w:rsidR="002D333E">
              <w:rPr>
                <w:noProof/>
                <w:webHidden/>
              </w:rPr>
              <w:fldChar w:fldCharType="end"/>
            </w:r>
          </w:hyperlink>
        </w:p>
        <w:p w14:paraId="408A477F" w14:textId="17C705F7" w:rsidR="002D333E" w:rsidRDefault="00864C5E">
          <w:pPr>
            <w:pStyle w:val="TOC3"/>
            <w:tabs>
              <w:tab w:val="left" w:pos="1320"/>
              <w:tab w:val="right" w:leader="dot" w:pos="9016"/>
            </w:tabs>
            <w:rPr>
              <w:noProof/>
              <w:lang w:eastAsia="en-AU"/>
            </w:rPr>
          </w:pPr>
          <w:hyperlink w:anchor="_Toc22543122" w:history="1">
            <w:r w:rsidR="002D333E" w:rsidRPr="004D78F1">
              <w:rPr>
                <w:rStyle w:val="Hyperlink"/>
                <w:noProof/>
              </w:rPr>
              <w:t>7.4.2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_Toc22543122 \h </w:instrText>
            </w:r>
            <w:r w:rsidR="002D333E">
              <w:rPr>
                <w:noProof/>
                <w:webHidden/>
              </w:rPr>
            </w:r>
            <w:r w:rsidR="002D333E">
              <w:rPr>
                <w:noProof/>
                <w:webHidden/>
              </w:rPr>
              <w:fldChar w:fldCharType="separate"/>
            </w:r>
            <w:r w:rsidR="00D87DBB">
              <w:rPr>
                <w:noProof/>
                <w:webHidden/>
              </w:rPr>
              <w:t>88</w:t>
            </w:r>
            <w:r w:rsidR="002D333E">
              <w:rPr>
                <w:noProof/>
                <w:webHidden/>
              </w:rPr>
              <w:fldChar w:fldCharType="end"/>
            </w:r>
          </w:hyperlink>
        </w:p>
        <w:p w14:paraId="13E5BB5D" w14:textId="34E5AC89" w:rsidR="002D333E" w:rsidRDefault="00864C5E">
          <w:pPr>
            <w:pStyle w:val="TOC3"/>
            <w:tabs>
              <w:tab w:val="left" w:pos="1320"/>
              <w:tab w:val="right" w:leader="dot" w:pos="9016"/>
            </w:tabs>
            <w:rPr>
              <w:noProof/>
              <w:lang w:eastAsia="en-AU"/>
            </w:rPr>
          </w:pPr>
          <w:hyperlink w:anchor="_Toc22543123" w:history="1">
            <w:r w:rsidR="002D333E" w:rsidRPr="004D78F1">
              <w:rPr>
                <w:rStyle w:val="Hyperlink"/>
                <w:noProof/>
              </w:rPr>
              <w:t>7.4.3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_Toc22543123 \h </w:instrText>
            </w:r>
            <w:r w:rsidR="002D333E">
              <w:rPr>
                <w:noProof/>
                <w:webHidden/>
              </w:rPr>
            </w:r>
            <w:r w:rsidR="002D333E">
              <w:rPr>
                <w:noProof/>
                <w:webHidden/>
              </w:rPr>
              <w:fldChar w:fldCharType="separate"/>
            </w:r>
            <w:r w:rsidR="00D87DBB">
              <w:rPr>
                <w:noProof/>
                <w:webHidden/>
              </w:rPr>
              <w:t>89</w:t>
            </w:r>
            <w:r w:rsidR="002D333E">
              <w:rPr>
                <w:noProof/>
                <w:webHidden/>
              </w:rPr>
              <w:fldChar w:fldCharType="end"/>
            </w:r>
          </w:hyperlink>
        </w:p>
        <w:p w14:paraId="6F51ABA9" w14:textId="5581EC49" w:rsidR="002D333E" w:rsidRDefault="00864C5E">
          <w:pPr>
            <w:pStyle w:val="TOC1"/>
            <w:rPr>
              <w:b w:val="0"/>
              <w:bCs w:val="0"/>
              <w:noProof/>
              <w:lang w:eastAsia="en-AU"/>
            </w:rPr>
          </w:pPr>
          <w:hyperlink w:anchor="_Toc22543124" w:history="1">
            <w:r w:rsidR="002D333E" w:rsidRPr="004D78F1">
              <w:rPr>
                <w:rStyle w:val="Hyperlink"/>
                <w:noProof/>
              </w:rPr>
              <w:t>8</w:t>
            </w:r>
            <w:r w:rsidR="002D333E">
              <w:rPr>
                <w:b w:val="0"/>
                <w:bCs w:val="0"/>
                <w:noProof/>
                <w:lang w:eastAsia="en-AU"/>
              </w:rPr>
              <w:tab/>
            </w:r>
            <w:r w:rsidR="002D333E" w:rsidRPr="004D78F1">
              <w:rPr>
                <w:rStyle w:val="Hyperlink"/>
                <w:noProof/>
              </w:rPr>
              <w:t>Wage subsidies in Job Services Australia</w:t>
            </w:r>
            <w:r w:rsidR="002D333E">
              <w:rPr>
                <w:noProof/>
                <w:webHidden/>
              </w:rPr>
              <w:tab/>
            </w:r>
            <w:r w:rsidR="002D333E">
              <w:rPr>
                <w:noProof/>
                <w:webHidden/>
              </w:rPr>
              <w:fldChar w:fldCharType="begin"/>
            </w:r>
            <w:r w:rsidR="002D333E">
              <w:rPr>
                <w:noProof/>
                <w:webHidden/>
              </w:rPr>
              <w:instrText xml:space="preserve"> PAGEREF _Toc22543124 \h </w:instrText>
            </w:r>
            <w:r w:rsidR="002D333E">
              <w:rPr>
                <w:noProof/>
                <w:webHidden/>
              </w:rPr>
            </w:r>
            <w:r w:rsidR="002D333E">
              <w:rPr>
                <w:noProof/>
                <w:webHidden/>
              </w:rPr>
              <w:fldChar w:fldCharType="separate"/>
            </w:r>
            <w:r w:rsidR="00D87DBB">
              <w:rPr>
                <w:noProof/>
                <w:webHidden/>
              </w:rPr>
              <w:t>90</w:t>
            </w:r>
            <w:r w:rsidR="002D333E">
              <w:rPr>
                <w:noProof/>
                <w:webHidden/>
              </w:rPr>
              <w:fldChar w:fldCharType="end"/>
            </w:r>
          </w:hyperlink>
        </w:p>
        <w:p w14:paraId="2B335A2C" w14:textId="1D526516" w:rsidR="002D333E" w:rsidRDefault="00864C5E">
          <w:pPr>
            <w:pStyle w:val="TOC2"/>
            <w:tabs>
              <w:tab w:val="left" w:pos="880"/>
              <w:tab w:val="right" w:leader="dot" w:pos="9016"/>
            </w:tabs>
            <w:rPr>
              <w:noProof/>
              <w:lang w:eastAsia="en-AU"/>
            </w:rPr>
          </w:pPr>
          <w:hyperlink w:anchor="_Toc22543125" w:history="1">
            <w:r w:rsidR="002D333E" w:rsidRPr="004D78F1">
              <w:rPr>
                <w:rStyle w:val="Hyperlink"/>
                <w:noProof/>
              </w:rPr>
              <w:t>8.1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_Toc22543125 \h </w:instrText>
            </w:r>
            <w:r w:rsidR="002D333E">
              <w:rPr>
                <w:noProof/>
                <w:webHidden/>
              </w:rPr>
            </w:r>
            <w:r w:rsidR="002D333E">
              <w:rPr>
                <w:noProof/>
                <w:webHidden/>
              </w:rPr>
              <w:fldChar w:fldCharType="separate"/>
            </w:r>
            <w:r w:rsidR="00D87DBB">
              <w:rPr>
                <w:noProof/>
                <w:webHidden/>
              </w:rPr>
              <w:t>90</w:t>
            </w:r>
            <w:r w:rsidR="002D333E">
              <w:rPr>
                <w:noProof/>
                <w:webHidden/>
              </w:rPr>
              <w:fldChar w:fldCharType="end"/>
            </w:r>
          </w:hyperlink>
        </w:p>
        <w:p w14:paraId="6C17137D" w14:textId="08D6518F" w:rsidR="002D333E" w:rsidRDefault="00864C5E">
          <w:pPr>
            <w:pStyle w:val="TOC3"/>
            <w:tabs>
              <w:tab w:val="left" w:pos="1320"/>
              <w:tab w:val="right" w:leader="dot" w:pos="9016"/>
            </w:tabs>
            <w:rPr>
              <w:noProof/>
              <w:lang w:eastAsia="en-AU"/>
            </w:rPr>
          </w:pPr>
          <w:hyperlink w:anchor="_Toc22543126" w:history="1">
            <w:r w:rsidR="002D333E" w:rsidRPr="004D78F1">
              <w:rPr>
                <w:rStyle w:val="Hyperlink"/>
                <w:noProof/>
              </w:rPr>
              <w:t>8.1.1</w:t>
            </w:r>
            <w:r w:rsidR="002D333E">
              <w:rPr>
                <w:noProof/>
                <w:lang w:eastAsia="en-AU"/>
              </w:rPr>
              <w:tab/>
            </w:r>
            <w:r w:rsidR="002D333E" w:rsidRPr="004D78F1">
              <w:rPr>
                <w:rStyle w:val="Hyperlink"/>
                <w:noProof/>
              </w:rPr>
              <w:t>The role of wage subsidies</w:t>
            </w:r>
            <w:r w:rsidR="002D333E">
              <w:rPr>
                <w:noProof/>
                <w:webHidden/>
              </w:rPr>
              <w:tab/>
            </w:r>
            <w:r w:rsidR="002D333E">
              <w:rPr>
                <w:noProof/>
                <w:webHidden/>
              </w:rPr>
              <w:fldChar w:fldCharType="begin"/>
            </w:r>
            <w:r w:rsidR="002D333E">
              <w:rPr>
                <w:noProof/>
                <w:webHidden/>
              </w:rPr>
              <w:instrText xml:space="preserve"> PAGEREF _Toc22543126 \h </w:instrText>
            </w:r>
            <w:r w:rsidR="002D333E">
              <w:rPr>
                <w:noProof/>
                <w:webHidden/>
              </w:rPr>
            </w:r>
            <w:r w:rsidR="002D333E">
              <w:rPr>
                <w:noProof/>
                <w:webHidden/>
              </w:rPr>
              <w:fldChar w:fldCharType="separate"/>
            </w:r>
            <w:r w:rsidR="00D87DBB">
              <w:rPr>
                <w:noProof/>
                <w:webHidden/>
              </w:rPr>
              <w:t>90</w:t>
            </w:r>
            <w:r w:rsidR="002D333E">
              <w:rPr>
                <w:noProof/>
                <w:webHidden/>
              </w:rPr>
              <w:fldChar w:fldCharType="end"/>
            </w:r>
          </w:hyperlink>
        </w:p>
        <w:p w14:paraId="4C538384" w14:textId="1EA4527B" w:rsidR="002D333E" w:rsidRDefault="00864C5E">
          <w:pPr>
            <w:pStyle w:val="TOC3"/>
            <w:tabs>
              <w:tab w:val="left" w:pos="1320"/>
              <w:tab w:val="right" w:leader="dot" w:pos="9016"/>
            </w:tabs>
            <w:rPr>
              <w:noProof/>
              <w:lang w:eastAsia="en-AU"/>
            </w:rPr>
          </w:pPr>
          <w:hyperlink w:anchor="_Toc22543127" w:history="1">
            <w:r w:rsidR="002D333E" w:rsidRPr="004D78F1">
              <w:rPr>
                <w:rStyle w:val="Hyperlink"/>
                <w:noProof/>
              </w:rPr>
              <w:t>8.1.2</w:t>
            </w:r>
            <w:r w:rsidR="002D333E">
              <w:rPr>
                <w:noProof/>
                <w:lang w:eastAsia="en-AU"/>
              </w:rPr>
              <w:tab/>
            </w:r>
            <w:r w:rsidR="002D333E" w:rsidRPr="004D78F1">
              <w:rPr>
                <w:rStyle w:val="Hyperlink"/>
                <w:noProof/>
              </w:rPr>
              <w:t>Wage subsidies in JSA</w:t>
            </w:r>
            <w:r w:rsidR="002D333E">
              <w:rPr>
                <w:noProof/>
                <w:webHidden/>
              </w:rPr>
              <w:tab/>
            </w:r>
            <w:r w:rsidR="002D333E">
              <w:rPr>
                <w:noProof/>
                <w:webHidden/>
              </w:rPr>
              <w:fldChar w:fldCharType="begin"/>
            </w:r>
            <w:r w:rsidR="002D333E">
              <w:rPr>
                <w:noProof/>
                <w:webHidden/>
              </w:rPr>
              <w:instrText xml:space="preserve"> PAGEREF _Toc22543127 \h </w:instrText>
            </w:r>
            <w:r w:rsidR="002D333E">
              <w:rPr>
                <w:noProof/>
                <w:webHidden/>
              </w:rPr>
            </w:r>
            <w:r w:rsidR="002D333E">
              <w:rPr>
                <w:noProof/>
                <w:webHidden/>
              </w:rPr>
              <w:fldChar w:fldCharType="separate"/>
            </w:r>
            <w:r w:rsidR="00D87DBB">
              <w:rPr>
                <w:noProof/>
                <w:webHidden/>
              </w:rPr>
              <w:t>91</w:t>
            </w:r>
            <w:r w:rsidR="002D333E">
              <w:rPr>
                <w:noProof/>
                <w:webHidden/>
              </w:rPr>
              <w:fldChar w:fldCharType="end"/>
            </w:r>
          </w:hyperlink>
        </w:p>
        <w:p w14:paraId="3AE94861" w14:textId="2577CA7A" w:rsidR="002D333E" w:rsidRDefault="00864C5E">
          <w:pPr>
            <w:pStyle w:val="TOC2"/>
            <w:tabs>
              <w:tab w:val="left" w:pos="880"/>
              <w:tab w:val="right" w:leader="dot" w:pos="9016"/>
            </w:tabs>
            <w:rPr>
              <w:noProof/>
              <w:lang w:eastAsia="en-AU"/>
            </w:rPr>
          </w:pPr>
          <w:hyperlink w:anchor="_Toc22543128" w:history="1">
            <w:r w:rsidR="002D333E" w:rsidRPr="004D78F1">
              <w:rPr>
                <w:rStyle w:val="Hyperlink"/>
                <w:rFonts w:eastAsiaTheme="majorEastAsia" w:cstheme="majorBidi"/>
                <w:noProof/>
              </w:rPr>
              <w:t>8.2</w:t>
            </w:r>
            <w:r w:rsidR="002D333E">
              <w:rPr>
                <w:noProof/>
                <w:lang w:eastAsia="en-AU"/>
              </w:rPr>
              <w:tab/>
            </w:r>
            <w:r w:rsidR="002D333E" w:rsidRPr="004D78F1">
              <w:rPr>
                <w:rStyle w:val="Hyperlink"/>
                <w:rFonts w:eastAsiaTheme="majorEastAsia" w:cstheme="majorBidi"/>
                <w:noProof/>
              </w:rPr>
              <w:t>Key findings</w:t>
            </w:r>
            <w:r w:rsidR="002D333E">
              <w:rPr>
                <w:noProof/>
                <w:webHidden/>
              </w:rPr>
              <w:tab/>
            </w:r>
            <w:r w:rsidR="002D333E">
              <w:rPr>
                <w:noProof/>
                <w:webHidden/>
              </w:rPr>
              <w:fldChar w:fldCharType="begin"/>
            </w:r>
            <w:r w:rsidR="002D333E">
              <w:rPr>
                <w:noProof/>
                <w:webHidden/>
              </w:rPr>
              <w:instrText xml:space="preserve"> PAGEREF _Toc22543128 \h </w:instrText>
            </w:r>
            <w:r w:rsidR="002D333E">
              <w:rPr>
                <w:noProof/>
                <w:webHidden/>
              </w:rPr>
            </w:r>
            <w:r w:rsidR="002D333E">
              <w:rPr>
                <w:noProof/>
                <w:webHidden/>
              </w:rPr>
              <w:fldChar w:fldCharType="separate"/>
            </w:r>
            <w:r w:rsidR="00D87DBB">
              <w:rPr>
                <w:noProof/>
                <w:webHidden/>
              </w:rPr>
              <w:t>91</w:t>
            </w:r>
            <w:r w:rsidR="002D333E">
              <w:rPr>
                <w:noProof/>
                <w:webHidden/>
              </w:rPr>
              <w:fldChar w:fldCharType="end"/>
            </w:r>
          </w:hyperlink>
        </w:p>
        <w:p w14:paraId="228A7A85" w14:textId="23D1FF43" w:rsidR="002D333E" w:rsidRDefault="00864C5E">
          <w:pPr>
            <w:pStyle w:val="TOC3"/>
            <w:tabs>
              <w:tab w:val="left" w:pos="1320"/>
              <w:tab w:val="right" w:leader="dot" w:pos="9016"/>
            </w:tabs>
            <w:rPr>
              <w:noProof/>
              <w:lang w:eastAsia="en-AU"/>
            </w:rPr>
          </w:pPr>
          <w:hyperlink w:anchor="_Toc22543129" w:history="1">
            <w:r w:rsidR="002D333E" w:rsidRPr="004D78F1">
              <w:rPr>
                <w:rStyle w:val="Hyperlink"/>
                <w:noProof/>
              </w:rPr>
              <w:t>8.2.1</w:t>
            </w:r>
            <w:r w:rsidR="002D333E">
              <w:rPr>
                <w:noProof/>
                <w:lang w:eastAsia="en-AU"/>
              </w:rPr>
              <w:tab/>
            </w:r>
            <w:r w:rsidR="002D333E" w:rsidRPr="004D78F1">
              <w:rPr>
                <w:rStyle w:val="Hyperlink"/>
                <w:noProof/>
              </w:rPr>
              <w:t>Impact of wage subsidies on employment outcomes and welfare dependency</w:t>
            </w:r>
            <w:r w:rsidR="002D333E">
              <w:rPr>
                <w:noProof/>
                <w:webHidden/>
              </w:rPr>
              <w:tab/>
            </w:r>
            <w:r w:rsidR="002D333E">
              <w:rPr>
                <w:noProof/>
                <w:webHidden/>
              </w:rPr>
              <w:fldChar w:fldCharType="begin"/>
            </w:r>
            <w:r w:rsidR="002D333E">
              <w:rPr>
                <w:noProof/>
                <w:webHidden/>
              </w:rPr>
              <w:instrText xml:space="preserve"> PAGEREF _Toc22543129 \h </w:instrText>
            </w:r>
            <w:r w:rsidR="002D333E">
              <w:rPr>
                <w:noProof/>
                <w:webHidden/>
              </w:rPr>
            </w:r>
            <w:r w:rsidR="002D333E">
              <w:rPr>
                <w:noProof/>
                <w:webHidden/>
              </w:rPr>
              <w:fldChar w:fldCharType="separate"/>
            </w:r>
            <w:r w:rsidR="00D87DBB">
              <w:rPr>
                <w:noProof/>
                <w:webHidden/>
              </w:rPr>
              <w:t>92</w:t>
            </w:r>
            <w:r w:rsidR="002D333E">
              <w:rPr>
                <w:noProof/>
                <w:webHidden/>
              </w:rPr>
              <w:fldChar w:fldCharType="end"/>
            </w:r>
          </w:hyperlink>
        </w:p>
        <w:p w14:paraId="358B0C85" w14:textId="3DA977B3" w:rsidR="002D333E" w:rsidRDefault="00864C5E">
          <w:pPr>
            <w:pStyle w:val="TOC3"/>
            <w:tabs>
              <w:tab w:val="left" w:pos="1320"/>
              <w:tab w:val="right" w:leader="dot" w:pos="9016"/>
            </w:tabs>
            <w:rPr>
              <w:noProof/>
              <w:lang w:eastAsia="en-AU"/>
            </w:rPr>
          </w:pPr>
          <w:hyperlink w:anchor="_Toc22543130" w:history="1">
            <w:r w:rsidR="002D333E" w:rsidRPr="004D78F1">
              <w:rPr>
                <w:rStyle w:val="Hyperlink"/>
                <w:noProof/>
              </w:rPr>
              <w:t>8.2.2</w:t>
            </w:r>
            <w:r w:rsidR="002D333E">
              <w:rPr>
                <w:noProof/>
                <w:lang w:eastAsia="en-AU"/>
              </w:rPr>
              <w:tab/>
            </w:r>
            <w:r w:rsidR="002D333E" w:rsidRPr="004D78F1">
              <w:rPr>
                <w:rStyle w:val="Hyperlink"/>
                <w:noProof/>
              </w:rPr>
              <w:t>The net cost of wage subsidies for Newstart Allowance and Youth Allowance recipients</w:t>
            </w:r>
            <w:r w:rsidR="002D333E">
              <w:rPr>
                <w:noProof/>
                <w:webHidden/>
              </w:rPr>
              <w:tab/>
            </w:r>
            <w:r w:rsidR="002D333E">
              <w:rPr>
                <w:noProof/>
                <w:webHidden/>
              </w:rPr>
              <w:fldChar w:fldCharType="begin"/>
            </w:r>
            <w:r w:rsidR="002D333E">
              <w:rPr>
                <w:noProof/>
                <w:webHidden/>
              </w:rPr>
              <w:instrText xml:space="preserve"> PAGEREF _Toc22543130 \h </w:instrText>
            </w:r>
            <w:r w:rsidR="002D333E">
              <w:rPr>
                <w:noProof/>
                <w:webHidden/>
              </w:rPr>
            </w:r>
            <w:r w:rsidR="002D333E">
              <w:rPr>
                <w:noProof/>
                <w:webHidden/>
              </w:rPr>
              <w:fldChar w:fldCharType="separate"/>
            </w:r>
            <w:r w:rsidR="00D87DBB">
              <w:rPr>
                <w:noProof/>
                <w:webHidden/>
              </w:rPr>
              <w:t>95</w:t>
            </w:r>
            <w:r w:rsidR="002D333E">
              <w:rPr>
                <w:noProof/>
                <w:webHidden/>
              </w:rPr>
              <w:fldChar w:fldCharType="end"/>
            </w:r>
          </w:hyperlink>
        </w:p>
        <w:p w14:paraId="326C19BE" w14:textId="2CA43A57" w:rsidR="002D333E" w:rsidRDefault="00864C5E">
          <w:pPr>
            <w:pStyle w:val="TOC3"/>
            <w:tabs>
              <w:tab w:val="left" w:pos="1320"/>
              <w:tab w:val="right" w:leader="dot" w:pos="9016"/>
            </w:tabs>
            <w:rPr>
              <w:noProof/>
              <w:lang w:eastAsia="en-AU"/>
            </w:rPr>
          </w:pPr>
          <w:hyperlink w:anchor="_Toc22543131" w:history="1">
            <w:r w:rsidR="002D333E" w:rsidRPr="004D78F1">
              <w:rPr>
                <w:rStyle w:val="Hyperlink"/>
                <w:noProof/>
              </w:rPr>
              <w:t>8.2.3</w:t>
            </w:r>
            <w:r w:rsidR="002D333E">
              <w:rPr>
                <w:noProof/>
                <w:lang w:eastAsia="en-AU"/>
              </w:rPr>
              <w:tab/>
            </w:r>
            <w:r w:rsidR="002D333E" w:rsidRPr="004D78F1">
              <w:rPr>
                <w:rStyle w:val="Hyperlink"/>
                <w:noProof/>
              </w:rPr>
              <w:t>Employer and provider perspectives</w:t>
            </w:r>
            <w:r w:rsidR="002D333E">
              <w:rPr>
                <w:noProof/>
                <w:webHidden/>
              </w:rPr>
              <w:tab/>
            </w:r>
            <w:r w:rsidR="002D333E">
              <w:rPr>
                <w:noProof/>
                <w:webHidden/>
              </w:rPr>
              <w:fldChar w:fldCharType="begin"/>
            </w:r>
            <w:r w:rsidR="002D333E">
              <w:rPr>
                <w:noProof/>
                <w:webHidden/>
              </w:rPr>
              <w:instrText xml:space="preserve"> PAGEREF _Toc22543131 \h </w:instrText>
            </w:r>
            <w:r w:rsidR="002D333E">
              <w:rPr>
                <w:noProof/>
                <w:webHidden/>
              </w:rPr>
            </w:r>
            <w:r w:rsidR="002D333E">
              <w:rPr>
                <w:noProof/>
                <w:webHidden/>
              </w:rPr>
              <w:fldChar w:fldCharType="separate"/>
            </w:r>
            <w:r w:rsidR="00D87DBB">
              <w:rPr>
                <w:noProof/>
                <w:webHidden/>
              </w:rPr>
              <w:t>96</w:t>
            </w:r>
            <w:r w:rsidR="002D333E">
              <w:rPr>
                <w:noProof/>
                <w:webHidden/>
              </w:rPr>
              <w:fldChar w:fldCharType="end"/>
            </w:r>
          </w:hyperlink>
        </w:p>
        <w:p w14:paraId="7824562D" w14:textId="584F1DE2" w:rsidR="002D333E" w:rsidRDefault="00864C5E">
          <w:pPr>
            <w:pStyle w:val="TOC2"/>
            <w:tabs>
              <w:tab w:val="left" w:pos="880"/>
              <w:tab w:val="right" w:leader="dot" w:pos="9016"/>
            </w:tabs>
            <w:rPr>
              <w:noProof/>
              <w:lang w:eastAsia="en-AU"/>
            </w:rPr>
          </w:pPr>
          <w:hyperlink w:anchor="_Toc22543132" w:history="1">
            <w:r w:rsidR="002D333E" w:rsidRPr="004D78F1">
              <w:rPr>
                <w:rStyle w:val="Hyperlink"/>
                <w:rFonts w:eastAsiaTheme="majorEastAsia"/>
                <w:noProof/>
              </w:rPr>
              <w:t>8.3</w:t>
            </w:r>
            <w:r w:rsidR="002D333E">
              <w:rPr>
                <w:noProof/>
                <w:lang w:eastAsia="en-AU"/>
              </w:rPr>
              <w:tab/>
            </w:r>
            <w:r w:rsidR="002D333E" w:rsidRPr="004D78F1">
              <w:rPr>
                <w:rStyle w:val="Hyperlink"/>
                <w:rFonts w:eastAsiaTheme="majorEastAsia"/>
                <w:noProof/>
              </w:rPr>
              <w:t>Conclusion</w:t>
            </w:r>
            <w:r w:rsidR="002D333E">
              <w:rPr>
                <w:noProof/>
                <w:webHidden/>
              </w:rPr>
              <w:tab/>
            </w:r>
            <w:r w:rsidR="002D333E">
              <w:rPr>
                <w:noProof/>
                <w:webHidden/>
              </w:rPr>
              <w:fldChar w:fldCharType="begin"/>
            </w:r>
            <w:r w:rsidR="002D333E">
              <w:rPr>
                <w:noProof/>
                <w:webHidden/>
              </w:rPr>
              <w:instrText xml:space="preserve"> PAGEREF _Toc22543132 \h </w:instrText>
            </w:r>
            <w:r w:rsidR="002D333E">
              <w:rPr>
                <w:noProof/>
                <w:webHidden/>
              </w:rPr>
            </w:r>
            <w:r w:rsidR="002D333E">
              <w:rPr>
                <w:noProof/>
                <w:webHidden/>
              </w:rPr>
              <w:fldChar w:fldCharType="separate"/>
            </w:r>
            <w:r w:rsidR="00D87DBB">
              <w:rPr>
                <w:noProof/>
                <w:webHidden/>
              </w:rPr>
              <w:t>99</w:t>
            </w:r>
            <w:r w:rsidR="002D333E">
              <w:rPr>
                <w:noProof/>
                <w:webHidden/>
              </w:rPr>
              <w:fldChar w:fldCharType="end"/>
            </w:r>
          </w:hyperlink>
        </w:p>
        <w:p w14:paraId="250AF97B" w14:textId="4FBCC27A" w:rsidR="002D333E" w:rsidRDefault="00864C5E">
          <w:pPr>
            <w:pStyle w:val="TOC1"/>
            <w:rPr>
              <w:b w:val="0"/>
              <w:bCs w:val="0"/>
              <w:noProof/>
              <w:lang w:eastAsia="en-AU"/>
            </w:rPr>
          </w:pPr>
          <w:hyperlink w:anchor="_Toc22543133" w:history="1">
            <w:r w:rsidR="002D333E" w:rsidRPr="004D78F1">
              <w:rPr>
                <w:rStyle w:val="Hyperlink"/>
                <w:noProof/>
              </w:rPr>
              <w:t>9</w:t>
            </w:r>
            <w:r w:rsidR="002D333E">
              <w:rPr>
                <w:b w:val="0"/>
                <w:bCs w:val="0"/>
                <w:noProof/>
                <w:lang w:eastAsia="en-AU"/>
              </w:rPr>
              <w:tab/>
            </w:r>
            <w:r w:rsidR="002D333E" w:rsidRPr="004D78F1">
              <w:rPr>
                <w:rStyle w:val="Hyperlink"/>
                <w:noProof/>
              </w:rPr>
              <w:t>Employer servicing</w:t>
            </w:r>
            <w:r w:rsidR="002D333E">
              <w:rPr>
                <w:noProof/>
                <w:webHidden/>
              </w:rPr>
              <w:tab/>
            </w:r>
            <w:r w:rsidR="002D333E">
              <w:rPr>
                <w:noProof/>
                <w:webHidden/>
              </w:rPr>
              <w:fldChar w:fldCharType="begin"/>
            </w:r>
            <w:r w:rsidR="002D333E">
              <w:rPr>
                <w:noProof/>
                <w:webHidden/>
              </w:rPr>
              <w:instrText xml:space="preserve"> PAGEREF _Toc22543133 \h </w:instrText>
            </w:r>
            <w:r w:rsidR="002D333E">
              <w:rPr>
                <w:noProof/>
                <w:webHidden/>
              </w:rPr>
            </w:r>
            <w:r w:rsidR="002D333E">
              <w:rPr>
                <w:noProof/>
                <w:webHidden/>
              </w:rPr>
              <w:fldChar w:fldCharType="separate"/>
            </w:r>
            <w:r w:rsidR="00D87DBB">
              <w:rPr>
                <w:noProof/>
                <w:webHidden/>
              </w:rPr>
              <w:t>100</w:t>
            </w:r>
            <w:r w:rsidR="002D333E">
              <w:rPr>
                <w:noProof/>
                <w:webHidden/>
              </w:rPr>
              <w:fldChar w:fldCharType="end"/>
            </w:r>
          </w:hyperlink>
        </w:p>
        <w:p w14:paraId="3111A459" w14:textId="47D42E77" w:rsidR="002D333E" w:rsidRDefault="00864C5E">
          <w:pPr>
            <w:pStyle w:val="TOC2"/>
            <w:tabs>
              <w:tab w:val="left" w:pos="880"/>
              <w:tab w:val="right" w:leader="dot" w:pos="9016"/>
            </w:tabs>
            <w:rPr>
              <w:noProof/>
              <w:lang w:eastAsia="en-AU"/>
            </w:rPr>
          </w:pPr>
          <w:hyperlink w:anchor="_Toc22543134" w:history="1">
            <w:r w:rsidR="002D333E" w:rsidRPr="004D78F1">
              <w:rPr>
                <w:rStyle w:val="Hyperlink"/>
                <w:noProof/>
              </w:rPr>
              <w:t>9.1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_Toc22543134 \h </w:instrText>
            </w:r>
            <w:r w:rsidR="002D333E">
              <w:rPr>
                <w:noProof/>
                <w:webHidden/>
              </w:rPr>
            </w:r>
            <w:r w:rsidR="002D333E">
              <w:rPr>
                <w:noProof/>
                <w:webHidden/>
              </w:rPr>
              <w:fldChar w:fldCharType="separate"/>
            </w:r>
            <w:r w:rsidR="00D87DBB">
              <w:rPr>
                <w:noProof/>
                <w:webHidden/>
              </w:rPr>
              <w:t>100</w:t>
            </w:r>
            <w:r w:rsidR="002D333E">
              <w:rPr>
                <w:noProof/>
                <w:webHidden/>
              </w:rPr>
              <w:fldChar w:fldCharType="end"/>
            </w:r>
          </w:hyperlink>
        </w:p>
        <w:p w14:paraId="0CDABACF" w14:textId="5FFF7DBF" w:rsidR="002D333E" w:rsidRDefault="00864C5E">
          <w:pPr>
            <w:pStyle w:val="TOC2"/>
            <w:tabs>
              <w:tab w:val="left" w:pos="880"/>
              <w:tab w:val="right" w:leader="dot" w:pos="9016"/>
            </w:tabs>
            <w:rPr>
              <w:noProof/>
              <w:lang w:eastAsia="en-AU"/>
            </w:rPr>
          </w:pPr>
          <w:hyperlink w:anchor="_Toc22543135" w:history="1">
            <w:r w:rsidR="002D333E" w:rsidRPr="004D78F1">
              <w:rPr>
                <w:rStyle w:val="Hyperlink"/>
                <w:noProof/>
              </w:rPr>
              <w:t>9.2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_Toc22543135 \h </w:instrText>
            </w:r>
            <w:r w:rsidR="002D333E">
              <w:rPr>
                <w:noProof/>
                <w:webHidden/>
              </w:rPr>
            </w:r>
            <w:r w:rsidR="002D333E">
              <w:rPr>
                <w:noProof/>
                <w:webHidden/>
              </w:rPr>
              <w:fldChar w:fldCharType="separate"/>
            </w:r>
            <w:r w:rsidR="00D87DBB">
              <w:rPr>
                <w:noProof/>
                <w:webHidden/>
              </w:rPr>
              <w:t>100</w:t>
            </w:r>
            <w:r w:rsidR="002D333E">
              <w:rPr>
                <w:noProof/>
                <w:webHidden/>
              </w:rPr>
              <w:fldChar w:fldCharType="end"/>
            </w:r>
          </w:hyperlink>
        </w:p>
        <w:p w14:paraId="3E3D4DD3" w14:textId="63719791" w:rsidR="002D333E" w:rsidRDefault="00864C5E">
          <w:pPr>
            <w:pStyle w:val="TOC3"/>
            <w:tabs>
              <w:tab w:val="left" w:pos="1320"/>
              <w:tab w:val="right" w:leader="dot" w:pos="9016"/>
            </w:tabs>
            <w:rPr>
              <w:noProof/>
              <w:lang w:eastAsia="en-AU"/>
            </w:rPr>
          </w:pPr>
          <w:hyperlink w:anchor="_Toc22543136" w:history="1">
            <w:r w:rsidR="002D333E" w:rsidRPr="004D78F1">
              <w:rPr>
                <w:rStyle w:val="Hyperlink"/>
                <w:noProof/>
              </w:rPr>
              <w:t xml:space="preserve">9.2.1 </w:t>
            </w:r>
            <w:r w:rsidR="002D333E">
              <w:rPr>
                <w:noProof/>
                <w:lang w:eastAsia="en-AU"/>
              </w:rPr>
              <w:tab/>
            </w:r>
            <w:r w:rsidR="002D333E" w:rsidRPr="004D78F1">
              <w:rPr>
                <w:rStyle w:val="Hyperlink"/>
                <w:noProof/>
              </w:rPr>
              <w:t>Changes to provider services between contracts</w:t>
            </w:r>
            <w:r w:rsidR="002D333E">
              <w:rPr>
                <w:noProof/>
                <w:webHidden/>
              </w:rPr>
              <w:tab/>
            </w:r>
            <w:r w:rsidR="002D333E">
              <w:rPr>
                <w:noProof/>
                <w:webHidden/>
              </w:rPr>
              <w:fldChar w:fldCharType="begin"/>
            </w:r>
            <w:r w:rsidR="002D333E">
              <w:rPr>
                <w:noProof/>
                <w:webHidden/>
              </w:rPr>
              <w:instrText xml:space="preserve"> PAGEREF _Toc22543136 \h </w:instrText>
            </w:r>
            <w:r w:rsidR="002D333E">
              <w:rPr>
                <w:noProof/>
                <w:webHidden/>
              </w:rPr>
            </w:r>
            <w:r w:rsidR="002D333E">
              <w:rPr>
                <w:noProof/>
                <w:webHidden/>
              </w:rPr>
              <w:fldChar w:fldCharType="separate"/>
            </w:r>
            <w:r w:rsidR="00D87DBB">
              <w:rPr>
                <w:noProof/>
                <w:webHidden/>
              </w:rPr>
              <w:t>100</w:t>
            </w:r>
            <w:r w:rsidR="002D333E">
              <w:rPr>
                <w:noProof/>
                <w:webHidden/>
              </w:rPr>
              <w:fldChar w:fldCharType="end"/>
            </w:r>
          </w:hyperlink>
        </w:p>
        <w:p w14:paraId="50DF5B16" w14:textId="364C7ED8" w:rsidR="002D333E" w:rsidRDefault="00864C5E">
          <w:pPr>
            <w:pStyle w:val="TOC3"/>
            <w:tabs>
              <w:tab w:val="left" w:pos="1320"/>
              <w:tab w:val="right" w:leader="dot" w:pos="9016"/>
            </w:tabs>
            <w:rPr>
              <w:noProof/>
              <w:lang w:eastAsia="en-AU"/>
            </w:rPr>
          </w:pPr>
          <w:hyperlink w:anchor="_Toc22543137" w:history="1">
            <w:r w:rsidR="002D333E" w:rsidRPr="004D78F1">
              <w:rPr>
                <w:rStyle w:val="Hyperlink"/>
                <w:noProof/>
              </w:rPr>
              <w:t xml:space="preserve">9.2.2 </w:t>
            </w:r>
            <w:r w:rsidR="002D333E">
              <w:rPr>
                <w:noProof/>
                <w:lang w:eastAsia="en-AU"/>
              </w:rPr>
              <w:tab/>
            </w:r>
            <w:r w:rsidR="002D333E" w:rsidRPr="004D78F1">
              <w:rPr>
                <w:rStyle w:val="Hyperlink"/>
                <w:noProof/>
              </w:rPr>
              <w:t>Employer awareness and use of Job Services Australia</w:t>
            </w:r>
            <w:r w:rsidR="002D333E">
              <w:rPr>
                <w:noProof/>
                <w:webHidden/>
              </w:rPr>
              <w:tab/>
            </w:r>
            <w:r w:rsidR="002D333E">
              <w:rPr>
                <w:noProof/>
                <w:webHidden/>
              </w:rPr>
              <w:fldChar w:fldCharType="begin"/>
            </w:r>
            <w:r w:rsidR="002D333E">
              <w:rPr>
                <w:noProof/>
                <w:webHidden/>
              </w:rPr>
              <w:instrText xml:space="preserve"> PAGEREF _Toc22543137 \h </w:instrText>
            </w:r>
            <w:r w:rsidR="002D333E">
              <w:rPr>
                <w:noProof/>
                <w:webHidden/>
              </w:rPr>
            </w:r>
            <w:r w:rsidR="002D333E">
              <w:rPr>
                <w:noProof/>
                <w:webHidden/>
              </w:rPr>
              <w:fldChar w:fldCharType="separate"/>
            </w:r>
            <w:r w:rsidR="00D87DBB">
              <w:rPr>
                <w:noProof/>
                <w:webHidden/>
              </w:rPr>
              <w:t>102</w:t>
            </w:r>
            <w:r w:rsidR="002D333E">
              <w:rPr>
                <w:noProof/>
                <w:webHidden/>
              </w:rPr>
              <w:fldChar w:fldCharType="end"/>
            </w:r>
          </w:hyperlink>
        </w:p>
        <w:p w14:paraId="23B6471E" w14:textId="4DB170F5" w:rsidR="002D333E" w:rsidRDefault="00864C5E">
          <w:pPr>
            <w:pStyle w:val="TOC3"/>
            <w:tabs>
              <w:tab w:val="left" w:pos="1320"/>
              <w:tab w:val="right" w:leader="dot" w:pos="9016"/>
            </w:tabs>
            <w:rPr>
              <w:noProof/>
              <w:lang w:eastAsia="en-AU"/>
            </w:rPr>
          </w:pPr>
          <w:hyperlink w:anchor="_Toc22543138" w:history="1">
            <w:r w:rsidR="002D333E" w:rsidRPr="004D78F1">
              <w:rPr>
                <w:rStyle w:val="Hyperlink"/>
                <w:noProof/>
              </w:rPr>
              <w:t xml:space="preserve">9.2.3 </w:t>
            </w:r>
            <w:r w:rsidR="002D333E">
              <w:rPr>
                <w:noProof/>
                <w:lang w:eastAsia="en-AU"/>
              </w:rPr>
              <w:tab/>
            </w:r>
            <w:r w:rsidR="002D333E" w:rsidRPr="004D78F1">
              <w:rPr>
                <w:rStyle w:val="Hyperlink"/>
                <w:noProof/>
              </w:rPr>
              <w:t>Employer perceptions and recruitment experiences in JSA 2012</w:t>
            </w:r>
            <w:r w:rsidR="002D333E">
              <w:rPr>
                <w:noProof/>
                <w:webHidden/>
              </w:rPr>
              <w:tab/>
            </w:r>
            <w:r w:rsidR="002D333E">
              <w:rPr>
                <w:noProof/>
                <w:webHidden/>
              </w:rPr>
              <w:fldChar w:fldCharType="begin"/>
            </w:r>
            <w:r w:rsidR="002D333E">
              <w:rPr>
                <w:noProof/>
                <w:webHidden/>
              </w:rPr>
              <w:instrText xml:space="preserve"> PAGEREF _Toc22543138 \h </w:instrText>
            </w:r>
            <w:r w:rsidR="002D333E">
              <w:rPr>
                <w:noProof/>
                <w:webHidden/>
              </w:rPr>
            </w:r>
            <w:r w:rsidR="002D333E">
              <w:rPr>
                <w:noProof/>
                <w:webHidden/>
              </w:rPr>
              <w:fldChar w:fldCharType="separate"/>
            </w:r>
            <w:r w:rsidR="00D87DBB">
              <w:rPr>
                <w:noProof/>
                <w:webHidden/>
              </w:rPr>
              <w:t>104</w:t>
            </w:r>
            <w:r w:rsidR="002D333E">
              <w:rPr>
                <w:noProof/>
                <w:webHidden/>
              </w:rPr>
              <w:fldChar w:fldCharType="end"/>
            </w:r>
          </w:hyperlink>
        </w:p>
        <w:p w14:paraId="22D3017F" w14:textId="6858A716" w:rsidR="002D333E" w:rsidRDefault="00864C5E">
          <w:pPr>
            <w:pStyle w:val="TOC3"/>
            <w:tabs>
              <w:tab w:val="left" w:pos="1320"/>
              <w:tab w:val="right" w:leader="dot" w:pos="9016"/>
            </w:tabs>
            <w:rPr>
              <w:noProof/>
              <w:lang w:eastAsia="en-AU"/>
            </w:rPr>
          </w:pPr>
          <w:hyperlink w:anchor="_Toc22543139" w:history="1">
            <w:r w:rsidR="002D333E" w:rsidRPr="004D78F1">
              <w:rPr>
                <w:rStyle w:val="Hyperlink"/>
                <w:noProof/>
              </w:rPr>
              <w:t>9.2.4</w:t>
            </w:r>
            <w:r w:rsidR="002D333E">
              <w:rPr>
                <w:noProof/>
                <w:lang w:eastAsia="en-AU"/>
              </w:rPr>
              <w:tab/>
            </w:r>
            <w:r w:rsidR="002D333E" w:rsidRPr="004D78F1">
              <w:rPr>
                <w:rStyle w:val="Hyperlink"/>
                <w:noProof/>
              </w:rPr>
              <w:t>Employer attitudes to disadvantaged job seeker groups</w:t>
            </w:r>
            <w:r w:rsidR="002D333E">
              <w:rPr>
                <w:noProof/>
                <w:webHidden/>
              </w:rPr>
              <w:tab/>
            </w:r>
            <w:r w:rsidR="002D333E">
              <w:rPr>
                <w:noProof/>
                <w:webHidden/>
              </w:rPr>
              <w:fldChar w:fldCharType="begin"/>
            </w:r>
            <w:r w:rsidR="002D333E">
              <w:rPr>
                <w:noProof/>
                <w:webHidden/>
              </w:rPr>
              <w:instrText xml:space="preserve"> PAGEREF _Toc22543139 \h </w:instrText>
            </w:r>
            <w:r w:rsidR="002D333E">
              <w:rPr>
                <w:noProof/>
                <w:webHidden/>
              </w:rPr>
            </w:r>
            <w:r w:rsidR="002D333E">
              <w:rPr>
                <w:noProof/>
                <w:webHidden/>
              </w:rPr>
              <w:fldChar w:fldCharType="separate"/>
            </w:r>
            <w:r w:rsidR="00D87DBB">
              <w:rPr>
                <w:noProof/>
                <w:webHidden/>
              </w:rPr>
              <w:t>105</w:t>
            </w:r>
            <w:r w:rsidR="002D333E">
              <w:rPr>
                <w:noProof/>
                <w:webHidden/>
              </w:rPr>
              <w:fldChar w:fldCharType="end"/>
            </w:r>
          </w:hyperlink>
        </w:p>
        <w:p w14:paraId="13ED3670" w14:textId="52202E03" w:rsidR="002D333E" w:rsidRDefault="00864C5E">
          <w:pPr>
            <w:pStyle w:val="TOC2"/>
            <w:tabs>
              <w:tab w:val="left" w:pos="880"/>
              <w:tab w:val="right" w:leader="dot" w:pos="9016"/>
            </w:tabs>
            <w:rPr>
              <w:noProof/>
              <w:lang w:eastAsia="en-AU"/>
            </w:rPr>
          </w:pPr>
          <w:hyperlink w:anchor="_Toc22543140" w:history="1">
            <w:r w:rsidR="002D333E" w:rsidRPr="004D78F1">
              <w:rPr>
                <w:rStyle w:val="Hyperlink"/>
                <w:noProof/>
              </w:rPr>
              <w:t>9.3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_Toc22543140 \h </w:instrText>
            </w:r>
            <w:r w:rsidR="002D333E">
              <w:rPr>
                <w:noProof/>
                <w:webHidden/>
              </w:rPr>
            </w:r>
            <w:r w:rsidR="002D333E">
              <w:rPr>
                <w:noProof/>
                <w:webHidden/>
              </w:rPr>
              <w:fldChar w:fldCharType="separate"/>
            </w:r>
            <w:r w:rsidR="00D87DBB">
              <w:rPr>
                <w:noProof/>
                <w:webHidden/>
              </w:rPr>
              <w:t>108</w:t>
            </w:r>
            <w:r w:rsidR="002D333E">
              <w:rPr>
                <w:noProof/>
                <w:webHidden/>
              </w:rPr>
              <w:fldChar w:fldCharType="end"/>
            </w:r>
          </w:hyperlink>
        </w:p>
        <w:p w14:paraId="0E4E1D3D" w14:textId="78B7E86C" w:rsidR="002D333E" w:rsidRDefault="00864C5E">
          <w:pPr>
            <w:pStyle w:val="TOC1"/>
            <w:rPr>
              <w:b w:val="0"/>
              <w:bCs w:val="0"/>
              <w:noProof/>
              <w:lang w:eastAsia="en-AU"/>
            </w:rPr>
          </w:pPr>
          <w:hyperlink w:anchor="_Toc22543141" w:history="1">
            <w:r w:rsidR="002D333E" w:rsidRPr="004D78F1">
              <w:rPr>
                <w:rStyle w:val="Hyperlink"/>
                <w:noProof/>
              </w:rPr>
              <w:t>10</w:t>
            </w:r>
            <w:r w:rsidR="002D333E">
              <w:rPr>
                <w:b w:val="0"/>
                <w:bCs w:val="0"/>
                <w:noProof/>
                <w:lang w:eastAsia="en-AU"/>
              </w:rPr>
              <w:tab/>
            </w:r>
            <w:r w:rsidR="002D333E" w:rsidRPr="004D78F1">
              <w:rPr>
                <w:rStyle w:val="Hyperlink"/>
                <w:noProof/>
              </w:rPr>
              <w:t>Providers</w:t>
            </w:r>
            <w:r w:rsidR="002D333E">
              <w:rPr>
                <w:noProof/>
                <w:webHidden/>
              </w:rPr>
              <w:tab/>
            </w:r>
            <w:r w:rsidR="002D333E">
              <w:rPr>
                <w:noProof/>
                <w:webHidden/>
              </w:rPr>
              <w:fldChar w:fldCharType="begin"/>
            </w:r>
            <w:r w:rsidR="002D333E">
              <w:rPr>
                <w:noProof/>
                <w:webHidden/>
              </w:rPr>
              <w:instrText xml:space="preserve"> PAGEREF _Toc22543141 \h </w:instrText>
            </w:r>
            <w:r w:rsidR="002D333E">
              <w:rPr>
                <w:noProof/>
                <w:webHidden/>
              </w:rPr>
            </w:r>
            <w:r w:rsidR="002D333E">
              <w:rPr>
                <w:noProof/>
                <w:webHidden/>
              </w:rPr>
              <w:fldChar w:fldCharType="separate"/>
            </w:r>
            <w:r w:rsidR="00D87DBB">
              <w:rPr>
                <w:noProof/>
                <w:webHidden/>
              </w:rPr>
              <w:t>109</w:t>
            </w:r>
            <w:r w:rsidR="002D333E">
              <w:rPr>
                <w:noProof/>
                <w:webHidden/>
              </w:rPr>
              <w:fldChar w:fldCharType="end"/>
            </w:r>
          </w:hyperlink>
        </w:p>
        <w:p w14:paraId="65C469A0" w14:textId="6E146FD0" w:rsidR="002D333E" w:rsidRDefault="00864C5E">
          <w:pPr>
            <w:pStyle w:val="TOC2"/>
            <w:tabs>
              <w:tab w:val="left" w:pos="880"/>
              <w:tab w:val="right" w:leader="dot" w:pos="9016"/>
            </w:tabs>
            <w:rPr>
              <w:noProof/>
              <w:lang w:eastAsia="en-AU"/>
            </w:rPr>
          </w:pPr>
          <w:hyperlink w:anchor="_Toc22543142" w:history="1">
            <w:r w:rsidR="002D333E" w:rsidRPr="004D78F1">
              <w:rPr>
                <w:rStyle w:val="Hyperlink"/>
                <w:noProof/>
              </w:rPr>
              <w:t>10.1</w:t>
            </w:r>
            <w:r w:rsidR="002D333E">
              <w:rPr>
                <w:noProof/>
                <w:lang w:eastAsia="en-AU"/>
              </w:rPr>
              <w:tab/>
            </w:r>
            <w:r w:rsidR="002D333E" w:rsidRPr="004D78F1">
              <w:rPr>
                <w:rStyle w:val="Hyperlink"/>
                <w:noProof/>
              </w:rPr>
              <w:t>Introduction</w:t>
            </w:r>
            <w:r w:rsidR="002D333E">
              <w:rPr>
                <w:noProof/>
                <w:webHidden/>
              </w:rPr>
              <w:tab/>
            </w:r>
            <w:r w:rsidR="002D333E">
              <w:rPr>
                <w:noProof/>
                <w:webHidden/>
              </w:rPr>
              <w:fldChar w:fldCharType="begin"/>
            </w:r>
            <w:r w:rsidR="002D333E">
              <w:rPr>
                <w:noProof/>
                <w:webHidden/>
              </w:rPr>
              <w:instrText xml:space="preserve"> PAGEREF _Toc22543142 \h </w:instrText>
            </w:r>
            <w:r w:rsidR="002D333E">
              <w:rPr>
                <w:noProof/>
                <w:webHidden/>
              </w:rPr>
            </w:r>
            <w:r w:rsidR="002D333E">
              <w:rPr>
                <w:noProof/>
                <w:webHidden/>
              </w:rPr>
              <w:fldChar w:fldCharType="separate"/>
            </w:r>
            <w:r w:rsidR="00D87DBB">
              <w:rPr>
                <w:noProof/>
                <w:webHidden/>
              </w:rPr>
              <w:t>109</w:t>
            </w:r>
            <w:r w:rsidR="002D333E">
              <w:rPr>
                <w:noProof/>
                <w:webHidden/>
              </w:rPr>
              <w:fldChar w:fldCharType="end"/>
            </w:r>
          </w:hyperlink>
        </w:p>
        <w:p w14:paraId="3B150F5E" w14:textId="5E119176" w:rsidR="002D333E" w:rsidRDefault="00864C5E">
          <w:pPr>
            <w:pStyle w:val="TOC3"/>
            <w:tabs>
              <w:tab w:val="left" w:pos="1320"/>
              <w:tab w:val="right" w:leader="dot" w:pos="9016"/>
            </w:tabs>
            <w:rPr>
              <w:noProof/>
              <w:lang w:eastAsia="en-AU"/>
            </w:rPr>
          </w:pPr>
          <w:hyperlink w:anchor="_Toc22543143" w:history="1">
            <w:r w:rsidR="002D333E" w:rsidRPr="004D78F1">
              <w:rPr>
                <w:rStyle w:val="Hyperlink"/>
                <w:noProof/>
              </w:rPr>
              <w:t>10.1.1</w:t>
            </w:r>
            <w:r w:rsidR="002D333E">
              <w:rPr>
                <w:noProof/>
                <w:lang w:eastAsia="en-AU"/>
              </w:rPr>
              <w:tab/>
            </w:r>
            <w:r w:rsidR="002D333E" w:rsidRPr="004D78F1">
              <w:rPr>
                <w:rStyle w:val="Hyperlink"/>
                <w:noProof/>
              </w:rPr>
              <w:t>Service fees</w:t>
            </w:r>
            <w:r w:rsidR="002D333E">
              <w:rPr>
                <w:noProof/>
                <w:webHidden/>
              </w:rPr>
              <w:tab/>
            </w:r>
            <w:r w:rsidR="002D333E">
              <w:rPr>
                <w:noProof/>
                <w:webHidden/>
              </w:rPr>
              <w:fldChar w:fldCharType="begin"/>
            </w:r>
            <w:r w:rsidR="002D333E">
              <w:rPr>
                <w:noProof/>
                <w:webHidden/>
              </w:rPr>
              <w:instrText xml:space="preserve"> PAGEREF _Toc22543143 \h </w:instrText>
            </w:r>
            <w:r w:rsidR="002D333E">
              <w:rPr>
                <w:noProof/>
                <w:webHidden/>
              </w:rPr>
            </w:r>
            <w:r w:rsidR="002D333E">
              <w:rPr>
                <w:noProof/>
                <w:webHidden/>
              </w:rPr>
              <w:fldChar w:fldCharType="separate"/>
            </w:r>
            <w:r w:rsidR="00D87DBB">
              <w:rPr>
                <w:noProof/>
                <w:webHidden/>
              </w:rPr>
              <w:t>109</w:t>
            </w:r>
            <w:r w:rsidR="002D333E">
              <w:rPr>
                <w:noProof/>
                <w:webHidden/>
              </w:rPr>
              <w:fldChar w:fldCharType="end"/>
            </w:r>
          </w:hyperlink>
        </w:p>
        <w:p w14:paraId="31FB66BC" w14:textId="047D21EF" w:rsidR="002D333E" w:rsidRDefault="00864C5E">
          <w:pPr>
            <w:pStyle w:val="TOC3"/>
            <w:tabs>
              <w:tab w:val="left" w:pos="1320"/>
              <w:tab w:val="right" w:leader="dot" w:pos="9016"/>
            </w:tabs>
            <w:rPr>
              <w:noProof/>
              <w:lang w:eastAsia="en-AU"/>
            </w:rPr>
          </w:pPr>
          <w:hyperlink w:anchor="_Toc22543144" w:history="1">
            <w:r w:rsidR="002D333E" w:rsidRPr="004D78F1">
              <w:rPr>
                <w:rStyle w:val="Hyperlink"/>
                <w:noProof/>
              </w:rPr>
              <w:t>10.1.2</w:t>
            </w:r>
            <w:r w:rsidR="002D333E">
              <w:rPr>
                <w:noProof/>
                <w:lang w:eastAsia="en-AU"/>
              </w:rPr>
              <w:tab/>
            </w:r>
            <w:r w:rsidR="002D333E" w:rsidRPr="004D78F1">
              <w:rPr>
                <w:rStyle w:val="Hyperlink"/>
                <w:noProof/>
              </w:rPr>
              <w:t>Placement fees</w:t>
            </w:r>
            <w:r w:rsidR="002D333E">
              <w:rPr>
                <w:noProof/>
                <w:webHidden/>
              </w:rPr>
              <w:tab/>
            </w:r>
            <w:r w:rsidR="002D333E">
              <w:rPr>
                <w:noProof/>
                <w:webHidden/>
              </w:rPr>
              <w:fldChar w:fldCharType="begin"/>
            </w:r>
            <w:r w:rsidR="002D333E">
              <w:rPr>
                <w:noProof/>
                <w:webHidden/>
              </w:rPr>
              <w:instrText xml:space="preserve"> PAGEREF _Toc22543144 \h </w:instrText>
            </w:r>
            <w:r w:rsidR="002D333E">
              <w:rPr>
                <w:noProof/>
                <w:webHidden/>
              </w:rPr>
            </w:r>
            <w:r w:rsidR="002D333E">
              <w:rPr>
                <w:noProof/>
                <w:webHidden/>
              </w:rPr>
              <w:fldChar w:fldCharType="separate"/>
            </w:r>
            <w:r w:rsidR="00D87DBB">
              <w:rPr>
                <w:noProof/>
                <w:webHidden/>
              </w:rPr>
              <w:t>109</w:t>
            </w:r>
            <w:r w:rsidR="002D333E">
              <w:rPr>
                <w:noProof/>
                <w:webHidden/>
              </w:rPr>
              <w:fldChar w:fldCharType="end"/>
            </w:r>
          </w:hyperlink>
        </w:p>
        <w:p w14:paraId="14A10F1E" w14:textId="343A2C2C" w:rsidR="002D333E" w:rsidRDefault="00864C5E">
          <w:pPr>
            <w:pStyle w:val="TOC3"/>
            <w:tabs>
              <w:tab w:val="left" w:pos="1320"/>
              <w:tab w:val="right" w:leader="dot" w:pos="9016"/>
            </w:tabs>
            <w:rPr>
              <w:noProof/>
              <w:lang w:eastAsia="en-AU"/>
            </w:rPr>
          </w:pPr>
          <w:hyperlink w:anchor="_Toc22543145" w:history="1">
            <w:r w:rsidR="002D333E" w:rsidRPr="004D78F1">
              <w:rPr>
                <w:rStyle w:val="Hyperlink"/>
                <w:noProof/>
              </w:rPr>
              <w:t>10.1.3</w:t>
            </w:r>
            <w:r w:rsidR="002D333E">
              <w:rPr>
                <w:noProof/>
                <w:lang w:eastAsia="en-AU"/>
              </w:rPr>
              <w:tab/>
            </w:r>
            <w:r w:rsidR="002D333E" w:rsidRPr="004D78F1">
              <w:rPr>
                <w:rStyle w:val="Hyperlink"/>
                <w:noProof/>
              </w:rPr>
              <w:t>Outcome fees</w:t>
            </w:r>
            <w:r w:rsidR="002D333E">
              <w:rPr>
                <w:noProof/>
                <w:webHidden/>
              </w:rPr>
              <w:tab/>
            </w:r>
            <w:r w:rsidR="002D333E">
              <w:rPr>
                <w:noProof/>
                <w:webHidden/>
              </w:rPr>
              <w:fldChar w:fldCharType="begin"/>
            </w:r>
            <w:r w:rsidR="002D333E">
              <w:rPr>
                <w:noProof/>
                <w:webHidden/>
              </w:rPr>
              <w:instrText xml:space="preserve"> PAGEREF _Toc22543145 \h </w:instrText>
            </w:r>
            <w:r w:rsidR="002D333E">
              <w:rPr>
                <w:noProof/>
                <w:webHidden/>
              </w:rPr>
            </w:r>
            <w:r w:rsidR="002D333E">
              <w:rPr>
                <w:noProof/>
                <w:webHidden/>
              </w:rPr>
              <w:fldChar w:fldCharType="separate"/>
            </w:r>
            <w:r w:rsidR="00D87DBB">
              <w:rPr>
                <w:noProof/>
                <w:webHidden/>
              </w:rPr>
              <w:t>110</w:t>
            </w:r>
            <w:r w:rsidR="002D333E">
              <w:rPr>
                <w:noProof/>
                <w:webHidden/>
              </w:rPr>
              <w:fldChar w:fldCharType="end"/>
            </w:r>
          </w:hyperlink>
        </w:p>
        <w:p w14:paraId="01CDBD0E" w14:textId="1D5E9B7D" w:rsidR="002D333E" w:rsidRDefault="00864C5E">
          <w:pPr>
            <w:pStyle w:val="TOC3"/>
            <w:tabs>
              <w:tab w:val="left" w:pos="1320"/>
              <w:tab w:val="right" w:leader="dot" w:pos="9016"/>
            </w:tabs>
            <w:rPr>
              <w:noProof/>
              <w:lang w:eastAsia="en-AU"/>
            </w:rPr>
          </w:pPr>
          <w:hyperlink w:anchor="_Toc22543146" w:history="1">
            <w:r w:rsidR="002D333E" w:rsidRPr="004D78F1">
              <w:rPr>
                <w:rStyle w:val="Hyperlink"/>
                <w:noProof/>
              </w:rPr>
              <w:t>10.1.4</w:t>
            </w:r>
            <w:r w:rsidR="002D333E">
              <w:rPr>
                <w:noProof/>
                <w:lang w:eastAsia="en-AU"/>
              </w:rPr>
              <w:tab/>
            </w:r>
            <w:r w:rsidR="002D333E" w:rsidRPr="004D78F1">
              <w:rPr>
                <w:rStyle w:val="Hyperlink"/>
                <w:noProof/>
              </w:rPr>
              <w:t>Changes to the model between contracts</w:t>
            </w:r>
            <w:r w:rsidR="002D333E">
              <w:rPr>
                <w:noProof/>
                <w:webHidden/>
              </w:rPr>
              <w:tab/>
            </w:r>
            <w:r w:rsidR="002D333E">
              <w:rPr>
                <w:noProof/>
                <w:webHidden/>
              </w:rPr>
              <w:fldChar w:fldCharType="begin"/>
            </w:r>
            <w:r w:rsidR="002D333E">
              <w:rPr>
                <w:noProof/>
                <w:webHidden/>
              </w:rPr>
              <w:instrText xml:space="preserve"> PAGEREF _Toc22543146 \h </w:instrText>
            </w:r>
            <w:r w:rsidR="002D333E">
              <w:rPr>
                <w:noProof/>
                <w:webHidden/>
              </w:rPr>
            </w:r>
            <w:r w:rsidR="002D333E">
              <w:rPr>
                <w:noProof/>
                <w:webHidden/>
              </w:rPr>
              <w:fldChar w:fldCharType="separate"/>
            </w:r>
            <w:r w:rsidR="00D87DBB">
              <w:rPr>
                <w:noProof/>
                <w:webHidden/>
              </w:rPr>
              <w:t>110</w:t>
            </w:r>
            <w:r w:rsidR="002D333E">
              <w:rPr>
                <w:noProof/>
                <w:webHidden/>
              </w:rPr>
              <w:fldChar w:fldCharType="end"/>
            </w:r>
          </w:hyperlink>
        </w:p>
        <w:p w14:paraId="4CDA7CAE" w14:textId="2F7BBE6B" w:rsidR="002D333E" w:rsidRDefault="00864C5E">
          <w:pPr>
            <w:pStyle w:val="TOC2"/>
            <w:tabs>
              <w:tab w:val="left" w:pos="880"/>
              <w:tab w:val="right" w:leader="dot" w:pos="9016"/>
            </w:tabs>
            <w:rPr>
              <w:noProof/>
              <w:lang w:eastAsia="en-AU"/>
            </w:rPr>
          </w:pPr>
          <w:hyperlink w:anchor="_Toc22543147" w:history="1">
            <w:r w:rsidR="002D333E" w:rsidRPr="004D78F1">
              <w:rPr>
                <w:rStyle w:val="Hyperlink"/>
                <w:noProof/>
              </w:rPr>
              <w:t>10.2</w:t>
            </w:r>
            <w:r w:rsidR="002D333E">
              <w:rPr>
                <w:noProof/>
                <w:lang w:eastAsia="en-AU"/>
              </w:rPr>
              <w:tab/>
            </w:r>
            <w:r w:rsidR="002D333E" w:rsidRPr="004D78F1">
              <w:rPr>
                <w:rStyle w:val="Hyperlink"/>
                <w:noProof/>
              </w:rPr>
              <w:t>Key findings</w:t>
            </w:r>
            <w:r w:rsidR="002D333E">
              <w:rPr>
                <w:noProof/>
                <w:webHidden/>
              </w:rPr>
              <w:tab/>
            </w:r>
            <w:r w:rsidR="002D333E">
              <w:rPr>
                <w:noProof/>
                <w:webHidden/>
              </w:rPr>
              <w:fldChar w:fldCharType="begin"/>
            </w:r>
            <w:r w:rsidR="002D333E">
              <w:rPr>
                <w:noProof/>
                <w:webHidden/>
              </w:rPr>
              <w:instrText xml:space="preserve"> PAGEREF _Toc22543147 \h </w:instrText>
            </w:r>
            <w:r w:rsidR="002D333E">
              <w:rPr>
                <w:noProof/>
                <w:webHidden/>
              </w:rPr>
            </w:r>
            <w:r w:rsidR="002D333E">
              <w:rPr>
                <w:noProof/>
                <w:webHidden/>
              </w:rPr>
              <w:fldChar w:fldCharType="separate"/>
            </w:r>
            <w:r w:rsidR="00D87DBB">
              <w:rPr>
                <w:noProof/>
                <w:webHidden/>
              </w:rPr>
              <w:t>110</w:t>
            </w:r>
            <w:r w:rsidR="002D333E">
              <w:rPr>
                <w:noProof/>
                <w:webHidden/>
              </w:rPr>
              <w:fldChar w:fldCharType="end"/>
            </w:r>
          </w:hyperlink>
        </w:p>
        <w:p w14:paraId="74EDFAB3" w14:textId="22898C56" w:rsidR="002D333E" w:rsidRDefault="00864C5E">
          <w:pPr>
            <w:pStyle w:val="TOC3"/>
            <w:tabs>
              <w:tab w:val="left" w:pos="1320"/>
              <w:tab w:val="right" w:leader="dot" w:pos="9016"/>
            </w:tabs>
            <w:rPr>
              <w:noProof/>
              <w:lang w:eastAsia="en-AU"/>
            </w:rPr>
          </w:pPr>
          <w:hyperlink w:anchor="_Toc22543148" w:history="1">
            <w:r w:rsidR="002D333E" w:rsidRPr="004D78F1">
              <w:rPr>
                <w:rStyle w:val="Hyperlink"/>
                <w:noProof/>
              </w:rPr>
              <w:t>10.2.1</w:t>
            </w:r>
            <w:r w:rsidR="002D333E">
              <w:rPr>
                <w:noProof/>
                <w:lang w:eastAsia="en-AU"/>
              </w:rPr>
              <w:tab/>
            </w:r>
            <w:r w:rsidR="002D333E" w:rsidRPr="004D78F1">
              <w:rPr>
                <w:rStyle w:val="Hyperlink"/>
                <w:noProof/>
              </w:rPr>
              <w:t>Provider remuneration</w:t>
            </w:r>
            <w:r w:rsidR="002D333E">
              <w:rPr>
                <w:noProof/>
                <w:webHidden/>
              </w:rPr>
              <w:tab/>
            </w:r>
            <w:r w:rsidR="002D333E">
              <w:rPr>
                <w:noProof/>
                <w:webHidden/>
              </w:rPr>
              <w:fldChar w:fldCharType="begin"/>
            </w:r>
            <w:r w:rsidR="002D333E">
              <w:rPr>
                <w:noProof/>
                <w:webHidden/>
              </w:rPr>
              <w:instrText xml:space="preserve"> PAGEREF _Toc22543148 \h </w:instrText>
            </w:r>
            <w:r w:rsidR="002D333E">
              <w:rPr>
                <w:noProof/>
                <w:webHidden/>
              </w:rPr>
            </w:r>
            <w:r w:rsidR="002D333E">
              <w:rPr>
                <w:noProof/>
                <w:webHidden/>
              </w:rPr>
              <w:fldChar w:fldCharType="separate"/>
            </w:r>
            <w:r w:rsidR="00D87DBB">
              <w:rPr>
                <w:noProof/>
                <w:webHidden/>
              </w:rPr>
              <w:t>110</w:t>
            </w:r>
            <w:r w:rsidR="002D333E">
              <w:rPr>
                <w:noProof/>
                <w:webHidden/>
              </w:rPr>
              <w:fldChar w:fldCharType="end"/>
            </w:r>
          </w:hyperlink>
        </w:p>
        <w:p w14:paraId="68B78D8D" w14:textId="606B937C" w:rsidR="002D333E" w:rsidRDefault="00864C5E">
          <w:pPr>
            <w:pStyle w:val="TOC3"/>
            <w:tabs>
              <w:tab w:val="left" w:pos="1320"/>
              <w:tab w:val="right" w:leader="dot" w:pos="9016"/>
            </w:tabs>
            <w:rPr>
              <w:noProof/>
              <w:lang w:eastAsia="en-AU"/>
            </w:rPr>
          </w:pPr>
          <w:hyperlink w:anchor="_Toc22543149" w:history="1">
            <w:r w:rsidR="002D333E" w:rsidRPr="004D78F1">
              <w:rPr>
                <w:rStyle w:val="Hyperlink"/>
                <w:noProof/>
              </w:rPr>
              <w:t>10.2.2</w:t>
            </w:r>
            <w:r w:rsidR="002D333E">
              <w:rPr>
                <w:noProof/>
                <w:lang w:eastAsia="en-AU"/>
              </w:rPr>
              <w:tab/>
            </w:r>
            <w:r w:rsidR="002D333E" w:rsidRPr="004D78F1">
              <w:rPr>
                <w:rStyle w:val="Hyperlink"/>
                <w:noProof/>
              </w:rPr>
              <w:t>Employment Pathway Fund assistance</w:t>
            </w:r>
            <w:r w:rsidR="002D333E">
              <w:rPr>
                <w:noProof/>
                <w:webHidden/>
              </w:rPr>
              <w:tab/>
            </w:r>
            <w:r w:rsidR="002D333E">
              <w:rPr>
                <w:noProof/>
                <w:webHidden/>
              </w:rPr>
              <w:fldChar w:fldCharType="begin"/>
            </w:r>
            <w:r w:rsidR="002D333E">
              <w:rPr>
                <w:noProof/>
                <w:webHidden/>
              </w:rPr>
              <w:instrText xml:space="preserve"> PAGEREF _Toc22543149 \h </w:instrText>
            </w:r>
            <w:r w:rsidR="002D333E">
              <w:rPr>
                <w:noProof/>
                <w:webHidden/>
              </w:rPr>
            </w:r>
            <w:r w:rsidR="002D333E">
              <w:rPr>
                <w:noProof/>
                <w:webHidden/>
              </w:rPr>
              <w:fldChar w:fldCharType="separate"/>
            </w:r>
            <w:r w:rsidR="00D87DBB">
              <w:rPr>
                <w:noProof/>
                <w:webHidden/>
              </w:rPr>
              <w:t>113</w:t>
            </w:r>
            <w:r w:rsidR="002D333E">
              <w:rPr>
                <w:noProof/>
                <w:webHidden/>
              </w:rPr>
              <w:fldChar w:fldCharType="end"/>
            </w:r>
          </w:hyperlink>
        </w:p>
        <w:p w14:paraId="64BE430C" w14:textId="7001B392" w:rsidR="002D333E" w:rsidRDefault="00864C5E">
          <w:pPr>
            <w:pStyle w:val="TOC3"/>
            <w:tabs>
              <w:tab w:val="left" w:pos="1320"/>
              <w:tab w:val="right" w:leader="dot" w:pos="9016"/>
            </w:tabs>
            <w:rPr>
              <w:noProof/>
              <w:lang w:eastAsia="en-AU"/>
            </w:rPr>
          </w:pPr>
          <w:hyperlink w:anchor="_Toc22543150" w:history="1">
            <w:r w:rsidR="002D333E" w:rsidRPr="004D78F1">
              <w:rPr>
                <w:rStyle w:val="Hyperlink"/>
                <w:noProof/>
              </w:rPr>
              <w:t>10.2.3</w:t>
            </w:r>
            <w:r w:rsidR="002D333E">
              <w:rPr>
                <w:noProof/>
                <w:lang w:eastAsia="en-AU"/>
              </w:rPr>
              <w:tab/>
            </w:r>
            <w:r w:rsidR="002D333E" w:rsidRPr="004D78F1">
              <w:rPr>
                <w:rStyle w:val="Hyperlink"/>
                <w:noProof/>
              </w:rPr>
              <w:t>Star Ratings and provider performance</w:t>
            </w:r>
            <w:r w:rsidR="002D333E">
              <w:rPr>
                <w:noProof/>
                <w:webHidden/>
              </w:rPr>
              <w:tab/>
            </w:r>
            <w:r w:rsidR="002D333E">
              <w:rPr>
                <w:noProof/>
                <w:webHidden/>
              </w:rPr>
              <w:fldChar w:fldCharType="begin"/>
            </w:r>
            <w:r w:rsidR="002D333E">
              <w:rPr>
                <w:noProof/>
                <w:webHidden/>
              </w:rPr>
              <w:instrText xml:space="preserve"> PAGEREF _Toc22543150 \h </w:instrText>
            </w:r>
            <w:r w:rsidR="002D333E">
              <w:rPr>
                <w:noProof/>
                <w:webHidden/>
              </w:rPr>
            </w:r>
            <w:r w:rsidR="002D333E">
              <w:rPr>
                <w:noProof/>
                <w:webHidden/>
              </w:rPr>
              <w:fldChar w:fldCharType="separate"/>
            </w:r>
            <w:r w:rsidR="00D87DBB">
              <w:rPr>
                <w:noProof/>
                <w:webHidden/>
              </w:rPr>
              <w:t>117</w:t>
            </w:r>
            <w:r w:rsidR="002D333E">
              <w:rPr>
                <w:noProof/>
                <w:webHidden/>
              </w:rPr>
              <w:fldChar w:fldCharType="end"/>
            </w:r>
          </w:hyperlink>
        </w:p>
        <w:p w14:paraId="721F019E" w14:textId="6076E8CB" w:rsidR="002D333E" w:rsidRDefault="00864C5E">
          <w:pPr>
            <w:pStyle w:val="TOC3"/>
            <w:tabs>
              <w:tab w:val="left" w:pos="1320"/>
              <w:tab w:val="right" w:leader="dot" w:pos="9016"/>
            </w:tabs>
            <w:rPr>
              <w:noProof/>
              <w:lang w:eastAsia="en-AU"/>
            </w:rPr>
          </w:pPr>
          <w:hyperlink w:anchor="_Toc22543151" w:history="1">
            <w:r w:rsidR="002D333E" w:rsidRPr="004D78F1">
              <w:rPr>
                <w:rStyle w:val="Hyperlink"/>
                <w:noProof/>
              </w:rPr>
              <w:t>10.2.4</w:t>
            </w:r>
            <w:r w:rsidR="002D333E">
              <w:rPr>
                <w:noProof/>
                <w:lang w:eastAsia="en-AU"/>
              </w:rPr>
              <w:tab/>
            </w:r>
            <w:r w:rsidR="002D333E" w:rsidRPr="004D78F1">
              <w:rPr>
                <w:rStyle w:val="Hyperlink"/>
                <w:noProof/>
              </w:rPr>
              <w:t>Provider behaviour</w:t>
            </w:r>
            <w:r w:rsidR="002D333E">
              <w:rPr>
                <w:noProof/>
                <w:webHidden/>
              </w:rPr>
              <w:tab/>
            </w:r>
            <w:r w:rsidR="002D333E">
              <w:rPr>
                <w:noProof/>
                <w:webHidden/>
              </w:rPr>
              <w:fldChar w:fldCharType="begin"/>
            </w:r>
            <w:r w:rsidR="002D333E">
              <w:rPr>
                <w:noProof/>
                <w:webHidden/>
              </w:rPr>
              <w:instrText xml:space="preserve"> PAGEREF _Toc22543151 \h </w:instrText>
            </w:r>
            <w:r w:rsidR="002D333E">
              <w:rPr>
                <w:noProof/>
                <w:webHidden/>
              </w:rPr>
            </w:r>
            <w:r w:rsidR="002D333E">
              <w:rPr>
                <w:noProof/>
                <w:webHidden/>
              </w:rPr>
              <w:fldChar w:fldCharType="separate"/>
            </w:r>
            <w:r w:rsidR="00D87DBB">
              <w:rPr>
                <w:noProof/>
                <w:webHidden/>
              </w:rPr>
              <w:t>118</w:t>
            </w:r>
            <w:r w:rsidR="002D333E">
              <w:rPr>
                <w:noProof/>
                <w:webHidden/>
              </w:rPr>
              <w:fldChar w:fldCharType="end"/>
            </w:r>
          </w:hyperlink>
        </w:p>
        <w:p w14:paraId="2A8DF792" w14:textId="06F98B6F" w:rsidR="002D333E" w:rsidRDefault="00864C5E">
          <w:pPr>
            <w:pStyle w:val="TOC2"/>
            <w:tabs>
              <w:tab w:val="left" w:pos="880"/>
              <w:tab w:val="right" w:leader="dot" w:pos="9016"/>
            </w:tabs>
            <w:rPr>
              <w:noProof/>
              <w:lang w:eastAsia="en-AU"/>
            </w:rPr>
          </w:pPr>
          <w:hyperlink w:anchor="_Toc22543152" w:history="1">
            <w:r w:rsidR="002D333E" w:rsidRPr="004D78F1">
              <w:rPr>
                <w:rStyle w:val="Hyperlink"/>
                <w:noProof/>
              </w:rPr>
              <w:t>10.3</w:t>
            </w:r>
            <w:r w:rsidR="002D333E">
              <w:rPr>
                <w:noProof/>
                <w:lang w:eastAsia="en-AU"/>
              </w:rPr>
              <w:tab/>
            </w:r>
            <w:r w:rsidR="002D333E" w:rsidRPr="004D78F1">
              <w:rPr>
                <w:rStyle w:val="Hyperlink"/>
                <w:noProof/>
              </w:rPr>
              <w:t>Conclusion</w:t>
            </w:r>
            <w:r w:rsidR="002D333E">
              <w:rPr>
                <w:noProof/>
                <w:webHidden/>
              </w:rPr>
              <w:tab/>
            </w:r>
            <w:r w:rsidR="002D333E">
              <w:rPr>
                <w:noProof/>
                <w:webHidden/>
              </w:rPr>
              <w:fldChar w:fldCharType="begin"/>
            </w:r>
            <w:r w:rsidR="002D333E">
              <w:rPr>
                <w:noProof/>
                <w:webHidden/>
              </w:rPr>
              <w:instrText xml:space="preserve"> PAGEREF _Toc22543152 \h </w:instrText>
            </w:r>
            <w:r w:rsidR="002D333E">
              <w:rPr>
                <w:noProof/>
                <w:webHidden/>
              </w:rPr>
            </w:r>
            <w:r w:rsidR="002D333E">
              <w:rPr>
                <w:noProof/>
                <w:webHidden/>
              </w:rPr>
              <w:fldChar w:fldCharType="separate"/>
            </w:r>
            <w:r w:rsidR="00D87DBB">
              <w:rPr>
                <w:noProof/>
                <w:webHidden/>
              </w:rPr>
              <w:t>119</w:t>
            </w:r>
            <w:r w:rsidR="002D333E">
              <w:rPr>
                <w:noProof/>
                <w:webHidden/>
              </w:rPr>
              <w:fldChar w:fldCharType="end"/>
            </w:r>
          </w:hyperlink>
        </w:p>
        <w:p w14:paraId="235F688B" w14:textId="37C287E2" w:rsidR="002D333E" w:rsidRDefault="00864C5E">
          <w:pPr>
            <w:pStyle w:val="TOC1"/>
            <w:rPr>
              <w:b w:val="0"/>
              <w:bCs w:val="0"/>
              <w:noProof/>
              <w:lang w:eastAsia="en-AU"/>
            </w:rPr>
          </w:pPr>
          <w:hyperlink w:anchor="_Toc22543153" w:history="1">
            <w:r w:rsidR="002D333E" w:rsidRPr="004D78F1">
              <w:rPr>
                <w:rStyle w:val="Hyperlink"/>
                <w:noProof/>
              </w:rPr>
              <w:t>11</w:t>
            </w:r>
            <w:r w:rsidR="002D333E">
              <w:rPr>
                <w:b w:val="0"/>
                <w:bCs w:val="0"/>
                <w:noProof/>
                <w:lang w:eastAsia="en-AU"/>
              </w:rPr>
              <w:tab/>
            </w:r>
            <w:r w:rsidR="002D333E" w:rsidRPr="004D78F1">
              <w:rPr>
                <w:rStyle w:val="Hyperlink"/>
                <w:noProof/>
              </w:rPr>
              <w:t>Conclusions and recommendations</w:t>
            </w:r>
            <w:r w:rsidR="002D333E">
              <w:rPr>
                <w:noProof/>
                <w:webHidden/>
              </w:rPr>
              <w:tab/>
            </w:r>
            <w:r w:rsidR="002D333E">
              <w:rPr>
                <w:noProof/>
                <w:webHidden/>
              </w:rPr>
              <w:fldChar w:fldCharType="begin"/>
            </w:r>
            <w:r w:rsidR="002D333E">
              <w:rPr>
                <w:noProof/>
                <w:webHidden/>
              </w:rPr>
              <w:instrText xml:space="preserve"> PAGEREF _Toc22543153 \h </w:instrText>
            </w:r>
            <w:r w:rsidR="002D333E">
              <w:rPr>
                <w:noProof/>
                <w:webHidden/>
              </w:rPr>
            </w:r>
            <w:r w:rsidR="002D333E">
              <w:rPr>
                <w:noProof/>
                <w:webHidden/>
              </w:rPr>
              <w:fldChar w:fldCharType="separate"/>
            </w:r>
            <w:r w:rsidR="00D87DBB">
              <w:rPr>
                <w:noProof/>
                <w:webHidden/>
              </w:rPr>
              <w:t>120</w:t>
            </w:r>
            <w:r w:rsidR="002D333E">
              <w:rPr>
                <w:noProof/>
                <w:webHidden/>
              </w:rPr>
              <w:fldChar w:fldCharType="end"/>
            </w:r>
          </w:hyperlink>
        </w:p>
        <w:p w14:paraId="1E3A616F" w14:textId="05143342" w:rsidR="002D333E" w:rsidRDefault="00864C5E">
          <w:pPr>
            <w:pStyle w:val="TOC2"/>
            <w:tabs>
              <w:tab w:val="left" w:pos="880"/>
              <w:tab w:val="right" w:leader="dot" w:pos="9016"/>
            </w:tabs>
            <w:rPr>
              <w:noProof/>
              <w:lang w:eastAsia="en-AU"/>
            </w:rPr>
          </w:pPr>
          <w:hyperlink w:anchor="_Toc22543154" w:history="1">
            <w:r w:rsidR="002D333E" w:rsidRPr="004D78F1">
              <w:rPr>
                <w:rStyle w:val="Hyperlink"/>
                <w:noProof/>
              </w:rPr>
              <w:t>11.1</w:t>
            </w:r>
            <w:r w:rsidR="002D333E">
              <w:rPr>
                <w:noProof/>
                <w:lang w:eastAsia="en-AU"/>
              </w:rPr>
              <w:tab/>
            </w:r>
            <w:r w:rsidR="002D333E" w:rsidRPr="004D78F1">
              <w:rPr>
                <w:rStyle w:val="Hyperlink"/>
                <w:noProof/>
              </w:rPr>
              <w:t>Conclusions - How effective were the programme changes?</w:t>
            </w:r>
            <w:r w:rsidR="002D333E">
              <w:rPr>
                <w:noProof/>
                <w:webHidden/>
              </w:rPr>
              <w:tab/>
            </w:r>
            <w:r w:rsidR="002D333E">
              <w:rPr>
                <w:noProof/>
                <w:webHidden/>
              </w:rPr>
              <w:fldChar w:fldCharType="begin"/>
            </w:r>
            <w:r w:rsidR="002D333E">
              <w:rPr>
                <w:noProof/>
                <w:webHidden/>
              </w:rPr>
              <w:instrText xml:space="preserve"> PAGEREF _Toc22543154 \h </w:instrText>
            </w:r>
            <w:r w:rsidR="002D333E">
              <w:rPr>
                <w:noProof/>
                <w:webHidden/>
              </w:rPr>
            </w:r>
            <w:r w:rsidR="002D333E">
              <w:rPr>
                <w:noProof/>
                <w:webHidden/>
              </w:rPr>
              <w:fldChar w:fldCharType="separate"/>
            </w:r>
            <w:r w:rsidR="00D87DBB">
              <w:rPr>
                <w:noProof/>
                <w:webHidden/>
              </w:rPr>
              <w:t>120</w:t>
            </w:r>
            <w:r w:rsidR="002D333E">
              <w:rPr>
                <w:noProof/>
                <w:webHidden/>
              </w:rPr>
              <w:fldChar w:fldCharType="end"/>
            </w:r>
          </w:hyperlink>
        </w:p>
        <w:p w14:paraId="40B896FF" w14:textId="3FAD8069" w:rsidR="002D333E" w:rsidRDefault="00864C5E">
          <w:pPr>
            <w:pStyle w:val="TOC3"/>
            <w:tabs>
              <w:tab w:val="left" w:pos="1320"/>
              <w:tab w:val="right" w:leader="dot" w:pos="9016"/>
            </w:tabs>
            <w:rPr>
              <w:noProof/>
              <w:lang w:eastAsia="en-AU"/>
            </w:rPr>
          </w:pPr>
          <w:hyperlink w:anchor="_Toc22543155" w:history="1">
            <w:r w:rsidR="002D333E" w:rsidRPr="004D78F1">
              <w:rPr>
                <w:rStyle w:val="Hyperlink"/>
                <w:noProof/>
              </w:rPr>
              <w:t>11.1.1</w:t>
            </w:r>
            <w:r w:rsidR="002D333E">
              <w:rPr>
                <w:noProof/>
                <w:lang w:eastAsia="en-AU"/>
              </w:rPr>
              <w:tab/>
            </w:r>
            <w:r w:rsidR="002D333E" w:rsidRPr="004D78F1">
              <w:rPr>
                <w:rStyle w:val="Hyperlink"/>
                <w:noProof/>
              </w:rPr>
              <w:t>Changes to Stream 1 job seeker servicing</w:t>
            </w:r>
            <w:r w:rsidR="002D333E">
              <w:rPr>
                <w:noProof/>
                <w:webHidden/>
              </w:rPr>
              <w:tab/>
            </w:r>
            <w:r w:rsidR="002D333E">
              <w:rPr>
                <w:noProof/>
                <w:webHidden/>
              </w:rPr>
              <w:fldChar w:fldCharType="begin"/>
            </w:r>
            <w:r w:rsidR="002D333E">
              <w:rPr>
                <w:noProof/>
                <w:webHidden/>
              </w:rPr>
              <w:instrText xml:space="preserve"> PAGEREF _Toc22543155 \h </w:instrText>
            </w:r>
            <w:r w:rsidR="002D333E">
              <w:rPr>
                <w:noProof/>
                <w:webHidden/>
              </w:rPr>
            </w:r>
            <w:r w:rsidR="002D333E">
              <w:rPr>
                <w:noProof/>
                <w:webHidden/>
              </w:rPr>
              <w:fldChar w:fldCharType="separate"/>
            </w:r>
            <w:r w:rsidR="00D87DBB">
              <w:rPr>
                <w:noProof/>
                <w:webHidden/>
              </w:rPr>
              <w:t>120</w:t>
            </w:r>
            <w:r w:rsidR="002D333E">
              <w:rPr>
                <w:noProof/>
                <w:webHidden/>
              </w:rPr>
              <w:fldChar w:fldCharType="end"/>
            </w:r>
          </w:hyperlink>
        </w:p>
        <w:p w14:paraId="04858CE8" w14:textId="465E5965" w:rsidR="002D333E" w:rsidRDefault="00864C5E">
          <w:pPr>
            <w:pStyle w:val="TOC3"/>
            <w:tabs>
              <w:tab w:val="left" w:pos="1320"/>
              <w:tab w:val="right" w:leader="dot" w:pos="9016"/>
            </w:tabs>
            <w:rPr>
              <w:noProof/>
              <w:lang w:eastAsia="en-AU"/>
            </w:rPr>
          </w:pPr>
          <w:hyperlink w:anchor="_Toc22543156" w:history="1">
            <w:r w:rsidR="002D333E" w:rsidRPr="004D78F1">
              <w:rPr>
                <w:rStyle w:val="Hyperlink"/>
                <w:noProof/>
              </w:rPr>
              <w:t>11.1.2</w:t>
            </w:r>
            <w:r w:rsidR="002D333E">
              <w:rPr>
                <w:noProof/>
                <w:lang w:eastAsia="en-AU"/>
              </w:rPr>
              <w:tab/>
            </w:r>
            <w:r w:rsidR="002D333E" w:rsidRPr="004D78F1">
              <w:rPr>
                <w:rStyle w:val="Hyperlink"/>
                <w:noProof/>
              </w:rPr>
              <w:t>Stream Services Review (SSR) changes</w:t>
            </w:r>
            <w:r w:rsidR="002D333E">
              <w:rPr>
                <w:noProof/>
                <w:webHidden/>
              </w:rPr>
              <w:tab/>
            </w:r>
            <w:r w:rsidR="002D333E">
              <w:rPr>
                <w:noProof/>
                <w:webHidden/>
              </w:rPr>
              <w:fldChar w:fldCharType="begin"/>
            </w:r>
            <w:r w:rsidR="002D333E">
              <w:rPr>
                <w:noProof/>
                <w:webHidden/>
              </w:rPr>
              <w:instrText xml:space="preserve"> PAGEREF _Toc22543156 \h </w:instrText>
            </w:r>
            <w:r w:rsidR="002D333E">
              <w:rPr>
                <w:noProof/>
                <w:webHidden/>
              </w:rPr>
            </w:r>
            <w:r w:rsidR="002D333E">
              <w:rPr>
                <w:noProof/>
                <w:webHidden/>
              </w:rPr>
              <w:fldChar w:fldCharType="separate"/>
            </w:r>
            <w:r w:rsidR="00D87DBB">
              <w:rPr>
                <w:noProof/>
                <w:webHidden/>
              </w:rPr>
              <w:t>120</w:t>
            </w:r>
            <w:r w:rsidR="002D333E">
              <w:rPr>
                <w:noProof/>
                <w:webHidden/>
              </w:rPr>
              <w:fldChar w:fldCharType="end"/>
            </w:r>
          </w:hyperlink>
        </w:p>
        <w:p w14:paraId="127B52B6" w14:textId="6BB3121C" w:rsidR="002D333E" w:rsidRDefault="00864C5E">
          <w:pPr>
            <w:pStyle w:val="TOC3"/>
            <w:tabs>
              <w:tab w:val="left" w:pos="1320"/>
              <w:tab w:val="right" w:leader="dot" w:pos="9016"/>
            </w:tabs>
            <w:rPr>
              <w:noProof/>
              <w:lang w:eastAsia="en-AU"/>
            </w:rPr>
          </w:pPr>
          <w:hyperlink w:anchor="_Toc22543157" w:history="1">
            <w:r w:rsidR="002D333E" w:rsidRPr="004D78F1">
              <w:rPr>
                <w:rStyle w:val="Hyperlink"/>
                <w:noProof/>
              </w:rPr>
              <w:t>11.1.3</w:t>
            </w:r>
            <w:r w:rsidR="002D333E">
              <w:rPr>
                <w:noProof/>
                <w:lang w:eastAsia="en-AU"/>
              </w:rPr>
              <w:tab/>
            </w:r>
            <w:r w:rsidR="002D333E" w:rsidRPr="004D78F1">
              <w:rPr>
                <w:rStyle w:val="Hyperlink"/>
                <w:noProof/>
              </w:rPr>
              <w:t>Introduction of the Compulsory Activity Phase</w:t>
            </w:r>
            <w:r w:rsidR="002D333E">
              <w:rPr>
                <w:noProof/>
                <w:webHidden/>
              </w:rPr>
              <w:tab/>
            </w:r>
            <w:r w:rsidR="002D333E">
              <w:rPr>
                <w:noProof/>
                <w:webHidden/>
              </w:rPr>
              <w:fldChar w:fldCharType="begin"/>
            </w:r>
            <w:r w:rsidR="002D333E">
              <w:rPr>
                <w:noProof/>
                <w:webHidden/>
              </w:rPr>
              <w:instrText xml:space="preserve"> PAGEREF _Toc22543157 \h </w:instrText>
            </w:r>
            <w:r w:rsidR="002D333E">
              <w:rPr>
                <w:noProof/>
                <w:webHidden/>
              </w:rPr>
            </w:r>
            <w:r w:rsidR="002D333E">
              <w:rPr>
                <w:noProof/>
                <w:webHidden/>
              </w:rPr>
              <w:fldChar w:fldCharType="separate"/>
            </w:r>
            <w:r w:rsidR="00D87DBB">
              <w:rPr>
                <w:noProof/>
                <w:webHidden/>
              </w:rPr>
              <w:t>121</w:t>
            </w:r>
            <w:r w:rsidR="002D333E">
              <w:rPr>
                <w:noProof/>
                <w:webHidden/>
              </w:rPr>
              <w:fldChar w:fldCharType="end"/>
            </w:r>
          </w:hyperlink>
        </w:p>
        <w:p w14:paraId="2020CCF6" w14:textId="2C22E93B" w:rsidR="002D333E" w:rsidRDefault="00864C5E">
          <w:pPr>
            <w:pStyle w:val="TOC3"/>
            <w:tabs>
              <w:tab w:val="left" w:pos="1320"/>
              <w:tab w:val="right" w:leader="dot" w:pos="9016"/>
            </w:tabs>
            <w:rPr>
              <w:noProof/>
              <w:lang w:eastAsia="en-AU"/>
            </w:rPr>
          </w:pPr>
          <w:hyperlink w:anchor="_Toc22543158" w:history="1">
            <w:r w:rsidR="002D333E" w:rsidRPr="004D78F1">
              <w:rPr>
                <w:rStyle w:val="Hyperlink"/>
                <w:noProof/>
              </w:rPr>
              <w:t>11.1.4</w:t>
            </w:r>
            <w:r w:rsidR="002D333E">
              <w:rPr>
                <w:noProof/>
                <w:lang w:eastAsia="en-AU"/>
              </w:rPr>
              <w:tab/>
            </w:r>
            <w:r w:rsidR="002D333E" w:rsidRPr="004D78F1">
              <w:rPr>
                <w:rStyle w:val="Hyperlink"/>
                <w:noProof/>
              </w:rPr>
              <w:t>Changes to encourage better servicing of Indigenous job seekers</w:t>
            </w:r>
            <w:r w:rsidR="002D333E">
              <w:rPr>
                <w:noProof/>
                <w:webHidden/>
              </w:rPr>
              <w:tab/>
            </w:r>
            <w:r w:rsidR="002D333E">
              <w:rPr>
                <w:noProof/>
                <w:webHidden/>
              </w:rPr>
              <w:fldChar w:fldCharType="begin"/>
            </w:r>
            <w:r w:rsidR="002D333E">
              <w:rPr>
                <w:noProof/>
                <w:webHidden/>
              </w:rPr>
              <w:instrText xml:space="preserve"> PAGEREF _Toc22543158 \h </w:instrText>
            </w:r>
            <w:r w:rsidR="002D333E">
              <w:rPr>
                <w:noProof/>
                <w:webHidden/>
              </w:rPr>
            </w:r>
            <w:r w:rsidR="002D333E">
              <w:rPr>
                <w:noProof/>
                <w:webHidden/>
              </w:rPr>
              <w:fldChar w:fldCharType="separate"/>
            </w:r>
            <w:r w:rsidR="00D87DBB">
              <w:rPr>
                <w:noProof/>
                <w:webHidden/>
              </w:rPr>
              <w:t>122</w:t>
            </w:r>
            <w:r w:rsidR="002D333E">
              <w:rPr>
                <w:noProof/>
                <w:webHidden/>
              </w:rPr>
              <w:fldChar w:fldCharType="end"/>
            </w:r>
          </w:hyperlink>
        </w:p>
        <w:p w14:paraId="2563BFBA" w14:textId="6E19F3B2" w:rsidR="002D333E" w:rsidRDefault="00864C5E">
          <w:pPr>
            <w:pStyle w:val="TOC3"/>
            <w:tabs>
              <w:tab w:val="left" w:pos="1320"/>
              <w:tab w:val="right" w:leader="dot" w:pos="9016"/>
            </w:tabs>
            <w:rPr>
              <w:noProof/>
              <w:lang w:eastAsia="en-AU"/>
            </w:rPr>
          </w:pPr>
          <w:hyperlink w:anchor="_Toc22543159" w:history="1">
            <w:r w:rsidR="002D333E" w:rsidRPr="004D78F1">
              <w:rPr>
                <w:rStyle w:val="Hyperlink"/>
                <w:noProof/>
              </w:rPr>
              <w:t>11.1.5</w:t>
            </w:r>
            <w:r w:rsidR="002D333E">
              <w:rPr>
                <w:noProof/>
                <w:lang w:eastAsia="en-AU"/>
              </w:rPr>
              <w:tab/>
            </w:r>
            <w:r w:rsidR="002D333E" w:rsidRPr="004D78F1">
              <w:rPr>
                <w:rStyle w:val="Hyperlink"/>
                <w:noProof/>
              </w:rPr>
              <w:t>Changes to administrative procedures (red tape)</w:t>
            </w:r>
            <w:r w:rsidR="002D333E">
              <w:rPr>
                <w:noProof/>
                <w:webHidden/>
              </w:rPr>
              <w:tab/>
            </w:r>
            <w:r w:rsidR="002D333E">
              <w:rPr>
                <w:noProof/>
                <w:webHidden/>
              </w:rPr>
              <w:fldChar w:fldCharType="begin"/>
            </w:r>
            <w:r w:rsidR="002D333E">
              <w:rPr>
                <w:noProof/>
                <w:webHidden/>
              </w:rPr>
              <w:instrText xml:space="preserve"> PAGEREF _Toc22543159 \h </w:instrText>
            </w:r>
            <w:r w:rsidR="002D333E">
              <w:rPr>
                <w:noProof/>
                <w:webHidden/>
              </w:rPr>
            </w:r>
            <w:r w:rsidR="002D333E">
              <w:rPr>
                <w:noProof/>
                <w:webHidden/>
              </w:rPr>
              <w:fldChar w:fldCharType="separate"/>
            </w:r>
            <w:r w:rsidR="00D87DBB">
              <w:rPr>
                <w:noProof/>
                <w:webHidden/>
              </w:rPr>
              <w:t>123</w:t>
            </w:r>
            <w:r w:rsidR="002D333E">
              <w:rPr>
                <w:noProof/>
                <w:webHidden/>
              </w:rPr>
              <w:fldChar w:fldCharType="end"/>
            </w:r>
          </w:hyperlink>
        </w:p>
        <w:p w14:paraId="7EBF0B8C" w14:textId="40D5A0C7" w:rsidR="002D333E" w:rsidRDefault="00864C5E">
          <w:pPr>
            <w:pStyle w:val="TOC3"/>
            <w:tabs>
              <w:tab w:val="left" w:pos="1320"/>
              <w:tab w:val="right" w:leader="dot" w:pos="9016"/>
            </w:tabs>
            <w:rPr>
              <w:noProof/>
              <w:lang w:eastAsia="en-AU"/>
            </w:rPr>
          </w:pPr>
          <w:hyperlink w:anchor="_Toc22543160" w:history="1">
            <w:r w:rsidR="002D333E" w:rsidRPr="004D78F1">
              <w:rPr>
                <w:rStyle w:val="Hyperlink"/>
                <w:noProof/>
              </w:rPr>
              <w:t>11.1.6</w:t>
            </w:r>
            <w:r w:rsidR="002D333E">
              <w:rPr>
                <w:noProof/>
                <w:lang w:eastAsia="en-AU"/>
              </w:rPr>
              <w:tab/>
            </w:r>
            <w:r w:rsidR="002D333E" w:rsidRPr="004D78F1">
              <w:rPr>
                <w:rStyle w:val="Hyperlink"/>
                <w:noProof/>
              </w:rPr>
              <w:t>Changes to evidentiary requirements for Employment Pathway Fund claims</w:t>
            </w:r>
            <w:r w:rsidR="002D333E">
              <w:rPr>
                <w:noProof/>
                <w:webHidden/>
              </w:rPr>
              <w:tab/>
            </w:r>
            <w:r w:rsidR="002D333E">
              <w:rPr>
                <w:noProof/>
                <w:webHidden/>
              </w:rPr>
              <w:fldChar w:fldCharType="begin"/>
            </w:r>
            <w:r w:rsidR="002D333E">
              <w:rPr>
                <w:noProof/>
                <w:webHidden/>
              </w:rPr>
              <w:instrText xml:space="preserve"> PAGEREF _Toc22543160 \h </w:instrText>
            </w:r>
            <w:r w:rsidR="002D333E">
              <w:rPr>
                <w:noProof/>
                <w:webHidden/>
              </w:rPr>
            </w:r>
            <w:r w:rsidR="002D333E">
              <w:rPr>
                <w:noProof/>
                <w:webHidden/>
              </w:rPr>
              <w:fldChar w:fldCharType="separate"/>
            </w:r>
            <w:r w:rsidR="00D87DBB">
              <w:rPr>
                <w:noProof/>
                <w:webHidden/>
              </w:rPr>
              <w:t>123</w:t>
            </w:r>
            <w:r w:rsidR="002D333E">
              <w:rPr>
                <w:noProof/>
                <w:webHidden/>
              </w:rPr>
              <w:fldChar w:fldCharType="end"/>
            </w:r>
          </w:hyperlink>
        </w:p>
        <w:p w14:paraId="022AF6EB" w14:textId="4C1D9B3C" w:rsidR="002D333E" w:rsidRDefault="00864C5E">
          <w:pPr>
            <w:pStyle w:val="TOC3"/>
            <w:tabs>
              <w:tab w:val="left" w:pos="1320"/>
              <w:tab w:val="right" w:leader="dot" w:pos="9016"/>
            </w:tabs>
            <w:rPr>
              <w:noProof/>
              <w:lang w:eastAsia="en-AU"/>
            </w:rPr>
          </w:pPr>
          <w:hyperlink w:anchor="_Toc22543161" w:history="1">
            <w:r w:rsidR="002D333E" w:rsidRPr="004D78F1">
              <w:rPr>
                <w:rStyle w:val="Hyperlink"/>
                <w:noProof/>
              </w:rPr>
              <w:t>11.1.7</w:t>
            </w:r>
            <w:r w:rsidR="002D333E">
              <w:rPr>
                <w:noProof/>
                <w:lang w:eastAsia="en-AU"/>
              </w:rPr>
              <w:tab/>
            </w:r>
            <w:r w:rsidR="002D333E" w:rsidRPr="004D78F1">
              <w:rPr>
                <w:rStyle w:val="Hyperlink"/>
                <w:noProof/>
              </w:rPr>
              <w:t xml:space="preserve">Changes to the </w:t>
            </w:r>
            <w:r w:rsidR="002D333E" w:rsidRPr="004D78F1">
              <w:rPr>
                <w:rStyle w:val="Hyperlink"/>
                <w:rFonts w:cstheme="minorHAnsi"/>
                <w:noProof/>
              </w:rPr>
              <w:t>job seeker participation and compliance framework</w:t>
            </w:r>
            <w:r w:rsidR="002D333E">
              <w:rPr>
                <w:noProof/>
                <w:webHidden/>
              </w:rPr>
              <w:tab/>
            </w:r>
            <w:r w:rsidR="002D333E">
              <w:rPr>
                <w:noProof/>
                <w:webHidden/>
              </w:rPr>
              <w:fldChar w:fldCharType="begin"/>
            </w:r>
            <w:r w:rsidR="002D333E">
              <w:rPr>
                <w:noProof/>
                <w:webHidden/>
              </w:rPr>
              <w:instrText xml:space="preserve"> PAGEREF _Toc22543161 \h </w:instrText>
            </w:r>
            <w:r w:rsidR="002D333E">
              <w:rPr>
                <w:noProof/>
                <w:webHidden/>
              </w:rPr>
            </w:r>
            <w:r w:rsidR="002D333E">
              <w:rPr>
                <w:noProof/>
                <w:webHidden/>
              </w:rPr>
              <w:fldChar w:fldCharType="separate"/>
            </w:r>
            <w:r w:rsidR="00D87DBB">
              <w:rPr>
                <w:noProof/>
                <w:webHidden/>
              </w:rPr>
              <w:t>123</w:t>
            </w:r>
            <w:r w:rsidR="002D333E">
              <w:rPr>
                <w:noProof/>
                <w:webHidden/>
              </w:rPr>
              <w:fldChar w:fldCharType="end"/>
            </w:r>
          </w:hyperlink>
        </w:p>
        <w:p w14:paraId="454F4EFE" w14:textId="71676702" w:rsidR="002D333E" w:rsidRDefault="00864C5E">
          <w:pPr>
            <w:pStyle w:val="TOC3"/>
            <w:tabs>
              <w:tab w:val="left" w:pos="1320"/>
              <w:tab w:val="right" w:leader="dot" w:pos="9016"/>
            </w:tabs>
            <w:rPr>
              <w:noProof/>
              <w:lang w:eastAsia="en-AU"/>
            </w:rPr>
          </w:pPr>
          <w:hyperlink w:anchor="_Toc22543162" w:history="1">
            <w:r w:rsidR="002D333E" w:rsidRPr="004D78F1">
              <w:rPr>
                <w:rStyle w:val="Hyperlink"/>
                <w:noProof/>
              </w:rPr>
              <w:t>11.1.8</w:t>
            </w:r>
            <w:r w:rsidR="002D333E">
              <w:rPr>
                <w:noProof/>
                <w:lang w:eastAsia="en-AU"/>
              </w:rPr>
              <w:tab/>
            </w:r>
            <w:r w:rsidR="002D333E" w:rsidRPr="004D78F1">
              <w:rPr>
                <w:rStyle w:val="Hyperlink"/>
                <w:noProof/>
              </w:rPr>
              <w:t>Introduction of new wage subsidies including Wage Connect</w:t>
            </w:r>
            <w:r w:rsidR="002D333E">
              <w:rPr>
                <w:noProof/>
                <w:webHidden/>
              </w:rPr>
              <w:tab/>
            </w:r>
            <w:r w:rsidR="002D333E">
              <w:rPr>
                <w:noProof/>
                <w:webHidden/>
              </w:rPr>
              <w:fldChar w:fldCharType="begin"/>
            </w:r>
            <w:r w:rsidR="002D333E">
              <w:rPr>
                <w:noProof/>
                <w:webHidden/>
              </w:rPr>
              <w:instrText xml:space="preserve"> PAGEREF _Toc22543162 \h </w:instrText>
            </w:r>
            <w:r w:rsidR="002D333E">
              <w:rPr>
                <w:noProof/>
                <w:webHidden/>
              </w:rPr>
            </w:r>
            <w:r w:rsidR="002D333E">
              <w:rPr>
                <w:noProof/>
                <w:webHidden/>
              </w:rPr>
              <w:fldChar w:fldCharType="separate"/>
            </w:r>
            <w:r w:rsidR="00D87DBB">
              <w:rPr>
                <w:noProof/>
                <w:webHidden/>
              </w:rPr>
              <w:t>123</w:t>
            </w:r>
            <w:r w:rsidR="002D333E">
              <w:rPr>
                <w:noProof/>
                <w:webHidden/>
              </w:rPr>
              <w:fldChar w:fldCharType="end"/>
            </w:r>
          </w:hyperlink>
        </w:p>
        <w:p w14:paraId="0E9633E8" w14:textId="20BC0BE7" w:rsidR="002D333E" w:rsidRDefault="00864C5E">
          <w:pPr>
            <w:pStyle w:val="TOC2"/>
            <w:tabs>
              <w:tab w:val="left" w:pos="880"/>
              <w:tab w:val="right" w:leader="dot" w:pos="9016"/>
            </w:tabs>
            <w:rPr>
              <w:noProof/>
              <w:lang w:eastAsia="en-AU"/>
            </w:rPr>
          </w:pPr>
          <w:hyperlink w:anchor="_Toc22543163" w:history="1">
            <w:r w:rsidR="002D333E" w:rsidRPr="004D78F1">
              <w:rPr>
                <w:rStyle w:val="Hyperlink"/>
                <w:noProof/>
              </w:rPr>
              <w:t>11.2</w:t>
            </w:r>
            <w:r w:rsidR="002D333E">
              <w:rPr>
                <w:noProof/>
                <w:lang w:eastAsia="en-AU"/>
              </w:rPr>
              <w:tab/>
            </w:r>
            <w:r w:rsidR="002D333E" w:rsidRPr="004D78F1">
              <w:rPr>
                <w:rStyle w:val="Hyperlink"/>
                <w:noProof/>
              </w:rPr>
              <w:t>Unintended consequences</w:t>
            </w:r>
            <w:r w:rsidR="002D333E">
              <w:rPr>
                <w:noProof/>
                <w:webHidden/>
              </w:rPr>
              <w:tab/>
            </w:r>
            <w:r w:rsidR="002D333E">
              <w:rPr>
                <w:noProof/>
                <w:webHidden/>
              </w:rPr>
              <w:fldChar w:fldCharType="begin"/>
            </w:r>
            <w:r w:rsidR="002D333E">
              <w:rPr>
                <w:noProof/>
                <w:webHidden/>
              </w:rPr>
              <w:instrText xml:space="preserve"> PAGEREF _Toc22543163 \h </w:instrText>
            </w:r>
            <w:r w:rsidR="002D333E">
              <w:rPr>
                <w:noProof/>
                <w:webHidden/>
              </w:rPr>
            </w:r>
            <w:r w:rsidR="002D333E">
              <w:rPr>
                <w:noProof/>
                <w:webHidden/>
              </w:rPr>
              <w:fldChar w:fldCharType="separate"/>
            </w:r>
            <w:r w:rsidR="00D87DBB">
              <w:rPr>
                <w:noProof/>
                <w:webHidden/>
              </w:rPr>
              <w:t>124</w:t>
            </w:r>
            <w:r w:rsidR="002D333E">
              <w:rPr>
                <w:noProof/>
                <w:webHidden/>
              </w:rPr>
              <w:fldChar w:fldCharType="end"/>
            </w:r>
          </w:hyperlink>
        </w:p>
        <w:p w14:paraId="3351F64B" w14:textId="40240CB2" w:rsidR="002D333E" w:rsidRDefault="00864C5E">
          <w:pPr>
            <w:pStyle w:val="TOC3"/>
            <w:tabs>
              <w:tab w:val="left" w:pos="1320"/>
              <w:tab w:val="right" w:leader="dot" w:pos="9016"/>
            </w:tabs>
            <w:rPr>
              <w:noProof/>
              <w:lang w:eastAsia="en-AU"/>
            </w:rPr>
          </w:pPr>
          <w:hyperlink w:anchor="_Toc22543164" w:history="1">
            <w:r w:rsidR="002D333E" w:rsidRPr="004D78F1">
              <w:rPr>
                <w:rStyle w:val="Hyperlink"/>
                <w:noProof/>
              </w:rPr>
              <w:t>11.2.1</w:t>
            </w:r>
            <w:r w:rsidR="002D333E">
              <w:rPr>
                <w:noProof/>
                <w:lang w:eastAsia="en-AU"/>
              </w:rPr>
              <w:tab/>
            </w:r>
            <w:r w:rsidR="002D333E" w:rsidRPr="004D78F1">
              <w:rPr>
                <w:rStyle w:val="Hyperlink"/>
                <w:noProof/>
              </w:rPr>
              <w:t>Changes to Stream 1 job seeker servicing</w:t>
            </w:r>
            <w:r w:rsidR="002D333E">
              <w:rPr>
                <w:noProof/>
                <w:webHidden/>
              </w:rPr>
              <w:tab/>
            </w:r>
            <w:r w:rsidR="002D333E">
              <w:rPr>
                <w:noProof/>
                <w:webHidden/>
              </w:rPr>
              <w:fldChar w:fldCharType="begin"/>
            </w:r>
            <w:r w:rsidR="002D333E">
              <w:rPr>
                <w:noProof/>
                <w:webHidden/>
              </w:rPr>
              <w:instrText xml:space="preserve"> PAGEREF _Toc22543164 \h </w:instrText>
            </w:r>
            <w:r w:rsidR="002D333E">
              <w:rPr>
                <w:noProof/>
                <w:webHidden/>
              </w:rPr>
            </w:r>
            <w:r w:rsidR="002D333E">
              <w:rPr>
                <w:noProof/>
                <w:webHidden/>
              </w:rPr>
              <w:fldChar w:fldCharType="separate"/>
            </w:r>
            <w:r w:rsidR="00D87DBB">
              <w:rPr>
                <w:noProof/>
                <w:webHidden/>
              </w:rPr>
              <w:t>124</w:t>
            </w:r>
            <w:r w:rsidR="002D333E">
              <w:rPr>
                <w:noProof/>
                <w:webHidden/>
              </w:rPr>
              <w:fldChar w:fldCharType="end"/>
            </w:r>
          </w:hyperlink>
        </w:p>
        <w:p w14:paraId="6A6258C3" w14:textId="456F0AAE" w:rsidR="002D333E" w:rsidRDefault="00864C5E">
          <w:pPr>
            <w:pStyle w:val="TOC3"/>
            <w:tabs>
              <w:tab w:val="left" w:pos="1320"/>
              <w:tab w:val="right" w:leader="dot" w:pos="9016"/>
            </w:tabs>
            <w:rPr>
              <w:noProof/>
              <w:lang w:eastAsia="en-AU"/>
            </w:rPr>
          </w:pPr>
          <w:hyperlink w:anchor="_Toc22543165" w:history="1">
            <w:r w:rsidR="002D333E" w:rsidRPr="004D78F1">
              <w:rPr>
                <w:rStyle w:val="Hyperlink"/>
                <w:noProof/>
              </w:rPr>
              <w:t>11.2.2</w:t>
            </w:r>
            <w:r w:rsidR="002D333E">
              <w:rPr>
                <w:noProof/>
                <w:lang w:eastAsia="en-AU"/>
              </w:rPr>
              <w:tab/>
            </w:r>
            <w:r w:rsidR="002D333E" w:rsidRPr="004D78F1">
              <w:rPr>
                <w:rStyle w:val="Hyperlink"/>
                <w:noProof/>
              </w:rPr>
              <w:t>Introduction of the Compulsory Activity Phase</w:t>
            </w:r>
            <w:r w:rsidR="002D333E">
              <w:rPr>
                <w:noProof/>
                <w:webHidden/>
              </w:rPr>
              <w:tab/>
            </w:r>
            <w:r w:rsidR="002D333E">
              <w:rPr>
                <w:noProof/>
                <w:webHidden/>
              </w:rPr>
              <w:fldChar w:fldCharType="begin"/>
            </w:r>
            <w:r w:rsidR="002D333E">
              <w:rPr>
                <w:noProof/>
                <w:webHidden/>
              </w:rPr>
              <w:instrText xml:space="preserve"> PAGEREF _Toc22543165 \h </w:instrText>
            </w:r>
            <w:r w:rsidR="002D333E">
              <w:rPr>
                <w:noProof/>
                <w:webHidden/>
              </w:rPr>
            </w:r>
            <w:r w:rsidR="002D333E">
              <w:rPr>
                <w:noProof/>
                <w:webHidden/>
              </w:rPr>
              <w:fldChar w:fldCharType="separate"/>
            </w:r>
            <w:r w:rsidR="00D87DBB">
              <w:rPr>
                <w:noProof/>
                <w:webHidden/>
              </w:rPr>
              <w:t>124</w:t>
            </w:r>
            <w:r w:rsidR="002D333E">
              <w:rPr>
                <w:noProof/>
                <w:webHidden/>
              </w:rPr>
              <w:fldChar w:fldCharType="end"/>
            </w:r>
          </w:hyperlink>
        </w:p>
        <w:p w14:paraId="59F40F8C" w14:textId="32FD6263" w:rsidR="002D333E" w:rsidRDefault="00864C5E">
          <w:pPr>
            <w:pStyle w:val="TOC3"/>
            <w:tabs>
              <w:tab w:val="left" w:pos="1320"/>
              <w:tab w:val="right" w:leader="dot" w:pos="9016"/>
            </w:tabs>
            <w:rPr>
              <w:noProof/>
              <w:lang w:eastAsia="en-AU"/>
            </w:rPr>
          </w:pPr>
          <w:hyperlink w:anchor="_Toc22543166" w:history="1">
            <w:r w:rsidR="002D333E" w:rsidRPr="004D78F1">
              <w:rPr>
                <w:rStyle w:val="Hyperlink"/>
                <w:noProof/>
              </w:rPr>
              <w:t>11.2.3</w:t>
            </w:r>
            <w:r w:rsidR="002D333E">
              <w:rPr>
                <w:noProof/>
                <w:lang w:eastAsia="en-AU"/>
              </w:rPr>
              <w:tab/>
            </w:r>
            <w:r w:rsidR="002D333E" w:rsidRPr="004D78F1">
              <w:rPr>
                <w:rStyle w:val="Hyperlink"/>
                <w:noProof/>
              </w:rPr>
              <w:t>Provider remuneration</w:t>
            </w:r>
            <w:r w:rsidR="002D333E">
              <w:rPr>
                <w:noProof/>
                <w:webHidden/>
              </w:rPr>
              <w:tab/>
            </w:r>
            <w:r w:rsidR="002D333E">
              <w:rPr>
                <w:noProof/>
                <w:webHidden/>
              </w:rPr>
              <w:fldChar w:fldCharType="begin"/>
            </w:r>
            <w:r w:rsidR="002D333E">
              <w:rPr>
                <w:noProof/>
                <w:webHidden/>
              </w:rPr>
              <w:instrText xml:space="preserve"> PAGEREF _Toc22543166 \h </w:instrText>
            </w:r>
            <w:r w:rsidR="002D333E">
              <w:rPr>
                <w:noProof/>
                <w:webHidden/>
              </w:rPr>
            </w:r>
            <w:r w:rsidR="002D333E">
              <w:rPr>
                <w:noProof/>
                <w:webHidden/>
              </w:rPr>
              <w:fldChar w:fldCharType="separate"/>
            </w:r>
            <w:r w:rsidR="00D87DBB">
              <w:rPr>
                <w:noProof/>
                <w:webHidden/>
              </w:rPr>
              <w:t>124</w:t>
            </w:r>
            <w:r w:rsidR="002D333E">
              <w:rPr>
                <w:noProof/>
                <w:webHidden/>
              </w:rPr>
              <w:fldChar w:fldCharType="end"/>
            </w:r>
          </w:hyperlink>
        </w:p>
        <w:p w14:paraId="03055E7B" w14:textId="492F8D9E" w:rsidR="002D333E" w:rsidRDefault="00864C5E">
          <w:pPr>
            <w:pStyle w:val="TOC2"/>
            <w:tabs>
              <w:tab w:val="left" w:pos="880"/>
              <w:tab w:val="right" w:leader="dot" w:pos="9016"/>
            </w:tabs>
            <w:rPr>
              <w:noProof/>
              <w:lang w:eastAsia="en-AU"/>
            </w:rPr>
          </w:pPr>
          <w:hyperlink w:anchor="_Toc22543167" w:history="1">
            <w:r w:rsidR="002D333E" w:rsidRPr="004D78F1">
              <w:rPr>
                <w:rStyle w:val="Hyperlink"/>
                <w:noProof/>
              </w:rPr>
              <w:t>11.3</w:t>
            </w:r>
            <w:r w:rsidR="002D333E">
              <w:rPr>
                <w:noProof/>
                <w:lang w:eastAsia="en-AU"/>
              </w:rPr>
              <w:tab/>
            </w:r>
            <w:r w:rsidR="002D333E" w:rsidRPr="004D78F1">
              <w:rPr>
                <w:rStyle w:val="Hyperlink"/>
                <w:noProof/>
              </w:rPr>
              <w:t>Recommendations</w:t>
            </w:r>
            <w:r w:rsidR="002D333E">
              <w:rPr>
                <w:noProof/>
                <w:webHidden/>
              </w:rPr>
              <w:tab/>
            </w:r>
            <w:r w:rsidR="002D333E">
              <w:rPr>
                <w:noProof/>
                <w:webHidden/>
              </w:rPr>
              <w:fldChar w:fldCharType="begin"/>
            </w:r>
            <w:r w:rsidR="002D333E">
              <w:rPr>
                <w:noProof/>
                <w:webHidden/>
              </w:rPr>
              <w:instrText xml:space="preserve"> PAGEREF _Toc22543167 \h </w:instrText>
            </w:r>
            <w:r w:rsidR="002D333E">
              <w:rPr>
                <w:noProof/>
                <w:webHidden/>
              </w:rPr>
            </w:r>
            <w:r w:rsidR="002D333E">
              <w:rPr>
                <w:noProof/>
                <w:webHidden/>
              </w:rPr>
              <w:fldChar w:fldCharType="separate"/>
            </w:r>
            <w:r w:rsidR="00D87DBB">
              <w:rPr>
                <w:noProof/>
                <w:webHidden/>
              </w:rPr>
              <w:t>125</w:t>
            </w:r>
            <w:r w:rsidR="002D333E">
              <w:rPr>
                <w:noProof/>
                <w:webHidden/>
              </w:rPr>
              <w:fldChar w:fldCharType="end"/>
            </w:r>
          </w:hyperlink>
        </w:p>
        <w:p w14:paraId="00064863" w14:textId="2A54B8FE" w:rsidR="002D333E" w:rsidRDefault="00864C5E">
          <w:pPr>
            <w:pStyle w:val="TOC3"/>
            <w:tabs>
              <w:tab w:val="left" w:pos="1320"/>
              <w:tab w:val="right" w:leader="dot" w:pos="9016"/>
            </w:tabs>
            <w:rPr>
              <w:noProof/>
              <w:lang w:eastAsia="en-AU"/>
            </w:rPr>
          </w:pPr>
          <w:hyperlink w:anchor="_Toc22543168" w:history="1">
            <w:r w:rsidR="002D333E" w:rsidRPr="004D78F1">
              <w:rPr>
                <w:rStyle w:val="Hyperlink"/>
                <w:noProof/>
              </w:rPr>
              <w:t>11.3.1</w:t>
            </w:r>
            <w:r w:rsidR="002D333E">
              <w:rPr>
                <w:noProof/>
                <w:lang w:eastAsia="en-AU"/>
              </w:rPr>
              <w:tab/>
            </w:r>
            <w:r w:rsidR="002D333E" w:rsidRPr="004D78F1">
              <w:rPr>
                <w:rStyle w:val="Hyperlink"/>
                <w:noProof/>
              </w:rPr>
              <w:t>Stream 1 changes</w:t>
            </w:r>
            <w:r w:rsidR="002D333E">
              <w:rPr>
                <w:noProof/>
                <w:webHidden/>
              </w:rPr>
              <w:tab/>
            </w:r>
            <w:r w:rsidR="002D333E">
              <w:rPr>
                <w:noProof/>
                <w:webHidden/>
              </w:rPr>
              <w:fldChar w:fldCharType="begin"/>
            </w:r>
            <w:r w:rsidR="002D333E">
              <w:rPr>
                <w:noProof/>
                <w:webHidden/>
              </w:rPr>
              <w:instrText xml:space="preserve"> PAGEREF _Toc22543168 \h </w:instrText>
            </w:r>
            <w:r w:rsidR="002D333E">
              <w:rPr>
                <w:noProof/>
                <w:webHidden/>
              </w:rPr>
            </w:r>
            <w:r w:rsidR="002D333E">
              <w:rPr>
                <w:noProof/>
                <w:webHidden/>
              </w:rPr>
              <w:fldChar w:fldCharType="separate"/>
            </w:r>
            <w:r w:rsidR="00D87DBB">
              <w:rPr>
                <w:noProof/>
                <w:webHidden/>
              </w:rPr>
              <w:t>125</w:t>
            </w:r>
            <w:r w:rsidR="002D333E">
              <w:rPr>
                <w:noProof/>
                <w:webHidden/>
              </w:rPr>
              <w:fldChar w:fldCharType="end"/>
            </w:r>
          </w:hyperlink>
        </w:p>
        <w:p w14:paraId="0C13BE2F" w14:textId="1BD98203" w:rsidR="002D333E" w:rsidRDefault="00864C5E">
          <w:pPr>
            <w:pStyle w:val="TOC3"/>
            <w:tabs>
              <w:tab w:val="left" w:pos="1320"/>
              <w:tab w:val="right" w:leader="dot" w:pos="9016"/>
            </w:tabs>
            <w:rPr>
              <w:noProof/>
              <w:lang w:eastAsia="en-AU"/>
            </w:rPr>
          </w:pPr>
          <w:hyperlink w:anchor="_Toc22543169" w:history="1">
            <w:r w:rsidR="002D333E" w:rsidRPr="004D78F1">
              <w:rPr>
                <w:rStyle w:val="Hyperlink"/>
                <w:noProof/>
              </w:rPr>
              <w:t>11.3.2</w:t>
            </w:r>
            <w:r w:rsidR="002D333E">
              <w:rPr>
                <w:noProof/>
                <w:lang w:eastAsia="en-AU"/>
              </w:rPr>
              <w:tab/>
            </w:r>
            <w:r w:rsidR="002D333E" w:rsidRPr="004D78F1">
              <w:rPr>
                <w:rStyle w:val="Hyperlink"/>
                <w:noProof/>
              </w:rPr>
              <w:t>Stream Services Reviews</w:t>
            </w:r>
            <w:r w:rsidR="002D333E">
              <w:rPr>
                <w:noProof/>
                <w:webHidden/>
              </w:rPr>
              <w:tab/>
            </w:r>
            <w:r w:rsidR="002D333E">
              <w:rPr>
                <w:noProof/>
                <w:webHidden/>
              </w:rPr>
              <w:fldChar w:fldCharType="begin"/>
            </w:r>
            <w:r w:rsidR="002D333E">
              <w:rPr>
                <w:noProof/>
                <w:webHidden/>
              </w:rPr>
              <w:instrText xml:space="preserve"> PAGEREF _Toc22543169 \h </w:instrText>
            </w:r>
            <w:r w:rsidR="002D333E">
              <w:rPr>
                <w:noProof/>
                <w:webHidden/>
              </w:rPr>
            </w:r>
            <w:r w:rsidR="002D333E">
              <w:rPr>
                <w:noProof/>
                <w:webHidden/>
              </w:rPr>
              <w:fldChar w:fldCharType="separate"/>
            </w:r>
            <w:r w:rsidR="00D87DBB">
              <w:rPr>
                <w:noProof/>
                <w:webHidden/>
              </w:rPr>
              <w:t>125</w:t>
            </w:r>
            <w:r w:rsidR="002D333E">
              <w:rPr>
                <w:noProof/>
                <w:webHidden/>
              </w:rPr>
              <w:fldChar w:fldCharType="end"/>
            </w:r>
          </w:hyperlink>
        </w:p>
        <w:p w14:paraId="6C73CEBB" w14:textId="543D019D" w:rsidR="002D333E" w:rsidRDefault="00864C5E">
          <w:pPr>
            <w:pStyle w:val="TOC3"/>
            <w:tabs>
              <w:tab w:val="left" w:pos="1320"/>
              <w:tab w:val="right" w:leader="dot" w:pos="9016"/>
            </w:tabs>
            <w:rPr>
              <w:noProof/>
              <w:lang w:eastAsia="en-AU"/>
            </w:rPr>
          </w:pPr>
          <w:hyperlink w:anchor="_Toc22543170" w:history="1">
            <w:r w:rsidR="002D333E" w:rsidRPr="004D78F1">
              <w:rPr>
                <w:rStyle w:val="Hyperlink"/>
                <w:noProof/>
              </w:rPr>
              <w:t>11.3.3</w:t>
            </w:r>
            <w:r w:rsidR="002D333E">
              <w:rPr>
                <w:noProof/>
                <w:lang w:eastAsia="en-AU"/>
              </w:rPr>
              <w:tab/>
            </w:r>
            <w:r w:rsidR="002D333E" w:rsidRPr="004D78F1">
              <w:rPr>
                <w:rStyle w:val="Hyperlink"/>
                <w:noProof/>
              </w:rPr>
              <w:t>The Compulsory Activity Phase</w:t>
            </w:r>
            <w:r w:rsidR="002D333E">
              <w:rPr>
                <w:noProof/>
                <w:webHidden/>
              </w:rPr>
              <w:tab/>
            </w:r>
            <w:r w:rsidR="002D333E">
              <w:rPr>
                <w:noProof/>
                <w:webHidden/>
              </w:rPr>
              <w:fldChar w:fldCharType="begin"/>
            </w:r>
            <w:r w:rsidR="002D333E">
              <w:rPr>
                <w:noProof/>
                <w:webHidden/>
              </w:rPr>
              <w:instrText xml:space="preserve"> PAGEREF _Toc22543170 \h </w:instrText>
            </w:r>
            <w:r w:rsidR="002D333E">
              <w:rPr>
                <w:noProof/>
                <w:webHidden/>
              </w:rPr>
            </w:r>
            <w:r w:rsidR="002D333E">
              <w:rPr>
                <w:noProof/>
                <w:webHidden/>
              </w:rPr>
              <w:fldChar w:fldCharType="separate"/>
            </w:r>
            <w:r w:rsidR="00D87DBB">
              <w:rPr>
                <w:noProof/>
                <w:webHidden/>
              </w:rPr>
              <w:t>125</w:t>
            </w:r>
            <w:r w:rsidR="002D333E">
              <w:rPr>
                <w:noProof/>
                <w:webHidden/>
              </w:rPr>
              <w:fldChar w:fldCharType="end"/>
            </w:r>
          </w:hyperlink>
        </w:p>
        <w:p w14:paraId="31CEDDF9" w14:textId="4AB27E44" w:rsidR="002D333E" w:rsidRDefault="00864C5E">
          <w:pPr>
            <w:pStyle w:val="TOC3"/>
            <w:tabs>
              <w:tab w:val="left" w:pos="1320"/>
              <w:tab w:val="right" w:leader="dot" w:pos="9016"/>
            </w:tabs>
            <w:rPr>
              <w:noProof/>
              <w:lang w:eastAsia="en-AU"/>
            </w:rPr>
          </w:pPr>
          <w:hyperlink w:anchor="_Toc22543171" w:history="1">
            <w:r w:rsidR="002D333E" w:rsidRPr="004D78F1">
              <w:rPr>
                <w:rStyle w:val="Hyperlink"/>
                <w:noProof/>
              </w:rPr>
              <w:t>11.3.4</w:t>
            </w:r>
            <w:r w:rsidR="002D333E">
              <w:rPr>
                <w:noProof/>
                <w:lang w:eastAsia="en-AU"/>
              </w:rPr>
              <w:tab/>
            </w:r>
            <w:r w:rsidR="002D333E" w:rsidRPr="004D78F1">
              <w:rPr>
                <w:rStyle w:val="Hyperlink"/>
                <w:noProof/>
              </w:rPr>
              <w:t>Indigenous Cultural Capability training</w:t>
            </w:r>
            <w:r w:rsidR="002D333E">
              <w:rPr>
                <w:noProof/>
                <w:webHidden/>
              </w:rPr>
              <w:tab/>
            </w:r>
            <w:r w:rsidR="002D333E">
              <w:rPr>
                <w:noProof/>
                <w:webHidden/>
              </w:rPr>
              <w:fldChar w:fldCharType="begin"/>
            </w:r>
            <w:r w:rsidR="002D333E">
              <w:rPr>
                <w:noProof/>
                <w:webHidden/>
              </w:rPr>
              <w:instrText xml:space="preserve"> PAGEREF _Toc22543171 \h </w:instrText>
            </w:r>
            <w:r w:rsidR="002D333E">
              <w:rPr>
                <w:noProof/>
                <w:webHidden/>
              </w:rPr>
            </w:r>
            <w:r w:rsidR="002D333E">
              <w:rPr>
                <w:noProof/>
                <w:webHidden/>
              </w:rPr>
              <w:fldChar w:fldCharType="separate"/>
            </w:r>
            <w:r w:rsidR="00D87DBB">
              <w:rPr>
                <w:noProof/>
                <w:webHidden/>
              </w:rPr>
              <w:t>126</w:t>
            </w:r>
            <w:r w:rsidR="002D333E">
              <w:rPr>
                <w:noProof/>
                <w:webHidden/>
              </w:rPr>
              <w:fldChar w:fldCharType="end"/>
            </w:r>
          </w:hyperlink>
        </w:p>
        <w:p w14:paraId="68266941" w14:textId="4BDF84E9" w:rsidR="002D333E" w:rsidRDefault="00864C5E">
          <w:pPr>
            <w:pStyle w:val="TOC3"/>
            <w:tabs>
              <w:tab w:val="left" w:pos="1320"/>
              <w:tab w:val="right" w:leader="dot" w:pos="9016"/>
            </w:tabs>
            <w:rPr>
              <w:noProof/>
              <w:lang w:eastAsia="en-AU"/>
            </w:rPr>
          </w:pPr>
          <w:hyperlink w:anchor="_Toc22543172" w:history="1">
            <w:r w:rsidR="002D333E" w:rsidRPr="004D78F1">
              <w:rPr>
                <w:rStyle w:val="Hyperlink"/>
                <w:noProof/>
              </w:rPr>
              <w:t>11.3.5</w:t>
            </w:r>
            <w:r w:rsidR="002D333E">
              <w:rPr>
                <w:noProof/>
                <w:lang w:eastAsia="en-AU"/>
              </w:rPr>
              <w:tab/>
            </w:r>
            <w:r w:rsidR="002D333E" w:rsidRPr="004D78F1">
              <w:rPr>
                <w:rStyle w:val="Hyperlink"/>
                <w:noProof/>
              </w:rPr>
              <w:t>Indigenous Mentoring Pilot</w:t>
            </w:r>
            <w:r w:rsidR="002D333E">
              <w:rPr>
                <w:noProof/>
                <w:webHidden/>
              </w:rPr>
              <w:tab/>
            </w:r>
            <w:r w:rsidR="002D333E">
              <w:rPr>
                <w:noProof/>
                <w:webHidden/>
              </w:rPr>
              <w:fldChar w:fldCharType="begin"/>
            </w:r>
            <w:r w:rsidR="002D333E">
              <w:rPr>
                <w:noProof/>
                <w:webHidden/>
              </w:rPr>
              <w:instrText xml:space="preserve"> PAGEREF _Toc22543172 \h </w:instrText>
            </w:r>
            <w:r w:rsidR="002D333E">
              <w:rPr>
                <w:noProof/>
                <w:webHidden/>
              </w:rPr>
            </w:r>
            <w:r w:rsidR="002D333E">
              <w:rPr>
                <w:noProof/>
                <w:webHidden/>
              </w:rPr>
              <w:fldChar w:fldCharType="separate"/>
            </w:r>
            <w:r w:rsidR="00D87DBB">
              <w:rPr>
                <w:noProof/>
                <w:webHidden/>
              </w:rPr>
              <w:t>126</w:t>
            </w:r>
            <w:r w:rsidR="002D333E">
              <w:rPr>
                <w:noProof/>
                <w:webHidden/>
              </w:rPr>
              <w:fldChar w:fldCharType="end"/>
            </w:r>
          </w:hyperlink>
        </w:p>
        <w:p w14:paraId="24A0CD9D" w14:textId="26DD2F34" w:rsidR="002D333E" w:rsidRDefault="00864C5E">
          <w:pPr>
            <w:pStyle w:val="TOC3"/>
            <w:tabs>
              <w:tab w:val="left" w:pos="1320"/>
              <w:tab w:val="right" w:leader="dot" w:pos="9016"/>
            </w:tabs>
            <w:rPr>
              <w:noProof/>
              <w:lang w:eastAsia="en-AU"/>
            </w:rPr>
          </w:pPr>
          <w:hyperlink w:anchor="_Toc22543173" w:history="1">
            <w:r w:rsidR="002D333E" w:rsidRPr="004D78F1">
              <w:rPr>
                <w:rStyle w:val="Hyperlink"/>
                <w:noProof/>
              </w:rPr>
              <w:t>11.3.6</w:t>
            </w:r>
            <w:r w:rsidR="002D333E">
              <w:rPr>
                <w:noProof/>
                <w:lang w:eastAsia="en-AU"/>
              </w:rPr>
              <w:tab/>
            </w:r>
            <w:r w:rsidR="002D333E" w:rsidRPr="004D78F1">
              <w:rPr>
                <w:rStyle w:val="Hyperlink"/>
                <w:noProof/>
              </w:rPr>
              <w:t>Indigenous Opportunity Programme</w:t>
            </w:r>
            <w:r w:rsidR="002D333E">
              <w:rPr>
                <w:noProof/>
                <w:webHidden/>
              </w:rPr>
              <w:tab/>
            </w:r>
            <w:r w:rsidR="002D333E">
              <w:rPr>
                <w:noProof/>
                <w:webHidden/>
              </w:rPr>
              <w:fldChar w:fldCharType="begin"/>
            </w:r>
            <w:r w:rsidR="002D333E">
              <w:rPr>
                <w:noProof/>
                <w:webHidden/>
              </w:rPr>
              <w:instrText xml:space="preserve"> PAGEREF _Toc22543173 \h </w:instrText>
            </w:r>
            <w:r w:rsidR="002D333E">
              <w:rPr>
                <w:noProof/>
                <w:webHidden/>
              </w:rPr>
            </w:r>
            <w:r w:rsidR="002D333E">
              <w:rPr>
                <w:noProof/>
                <w:webHidden/>
              </w:rPr>
              <w:fldChar w:fldCharType="separate"/>
            </w:r>
            <w:r w:rsidR="00D87DBB">
              <w:rPr>
                <w:noProof/>
                <w:webHidden/>
              </w:rPr>
              <w:t>126</w:t>
            </w:r>
            <w:r w:rsidR="002D333E">
              <w:rPr>
                <w:noProof/>
                <w:webHidden/>
              </w:rPr>
              <w:fldChar w:fldCharType="end"/>
            </w:r>
          </w:hyperlink>
        </w:p>
        <w:p w14:paraId="47FCC232" w14:textId="5D2D4E5A" w:rsidR="002D333E" w:rsidRDefault="00864C5E">
          <w:pPr>
            <w:pStyle w:val="TOC3"/>
            <w:tabs>
              <w:tab w:val="left" w:pos="1320"/>
              <w:tab w:val="right" w:leader="dot" w:pos="9016"/>
            </w:tabs>
            <w:rPr>
              <w:noProof/>
              <w:lang w:eastAsia="en-AU"/>
            </w:rPr>
          </w:pPr>
          <w:hyperlink w:anchor="_Toc22543174" w:history="1">
            <w:r w:rsidR="002D333E" w:rsidRPr="004D78F1">
              <w:rPr>
                <w:rStyle w:val="Hyperlink"/>
                <w:noProof/>
              </w:rPr>
              <w:t>11.3.7</w:t>
            </w:r>
            <w:r w:rsidR="002D333E">
              <w:rPr>
                <w:noProof/>
                <w:lang w:eastAsia="en-AU"/>
              </w:rPr>
              <w:tab/>
            </w:r>
            <w:r w:rsidR="002D333E" w:rsidRPr="004D78F1">
              <w:rPr>
                <w:rStyle w:val="Hyperlink"/>
                <w:noProof/>
              </w:rPr>
              <w:t>Changes to reduce red tape</w:t>
            </w:r>
            <w:r w:rsidR="002D333E">
              <w:rPr>
                <w:noProof/>
                <w:webHidden/>
              </w:rPr>
              <w:tab/>
            </w:r>
            <w:r w:rsidR="002D333E">
              <w:rPr>
                <w:noProof/>
                <w:webHidden/>
              </w:rPr>
              <w:fldChar w:fldCharType="begin"/>
            </w:r>
            <w:r w:rsidR="002D333E">
              <w:rPr>
                <w:noProof/>
                <w:webHidden/>
              </w:rPr>
              <w:instrText xml:space="preserve"> PAGEREF _Toc22543174 \h </w:instrText>
            </w:r>
            <w:r w:rsidR="002D333E">
              <w:rPr>
                <w:noProof/>
                <w:webHidden/>
              </w:rPr>
            </w:r>
            <w:r w:rsidR="002D333E">
              <w:rPr>
                <w:noProof/>
                <w:webHidden/>
              </w:rPr>
              <w:fldChar w:fldCharType="separate"/>
            </w:r>
            <w:r w:rsidR="00D87DBB">
              <w:rPr>
                <w:noProof/>
                <w:webHidden/>
              </w:rPr>
              <w:t>126</w:t>
            </w:r>
            <w:r w:rsidR="002D333E">
              <w:rPr>
                <w:noProof/>
                <w:webHidden/>
              </w:rPr>
              <w:fldChar w:fldCharType="end"/>
            </w:r>
          </w:hyperlink>
        </w:p>
        <w:p w14:paraId="46B2E0EA" w14:textId="2D2B2C93" w:rsidR="002D333E" w:rsidRDefault="00864C5E">
          <w:pPr>
            <w:pStyle w:val="TOC3"/>
            <w:tabs>
              <w:tab w:val="left" w:pos="1320"/>
              <w:tab w:val="right" w:leader="dot" w:pos="9016"/>
            </w:tabs>
            <w:rPr>
              <w:noProof/>
              <w:lang w:eastAsia="en-AU"/>
            </w:rPr>
          </w:pPr>
          <w:hyperlink w:anchor="_Toc22543175" w:history="1">
            <w:r w:rsidR="002D333E" w:rsidRPr="004D78F1">
              <w:rPr>
                <w:rStyle w:val="Hyperlink"/>
                <w:noProof/>
              </w:rPr>
              <w:t>11.3.8</w:t>
            </w:r>
            <w:r w:rsidR="002D333E">
              <w:rPr>
                <w:noProof/>
                <w:lang w:eastAsia="en-AU"/>
              </w:rPr>
              <w:tab/>
            </w:r>
            <w:r w:rsidR="002D333E" w:rsidRPr="004D78F1">
              <w:rPr>
                <w:rStyle w:val="Hyperlink"/>
                <w:noProof/>
              </w:rPr>
              <w:t>Wage subsidies</w:t>
            </w:r>
            <w:r w:rsidR="002D333E">
              <w:rPr>
                <w:noProof/>
                <w:webHidden/>
              </w:rPr>
              <w:tab/>
            </w:r>
            <w:r w:rsidR="002D333E">
              <w:rPr>
                <w:noProof/>
                <w:webHidden/>
              </w:rPr>
              <w:fldChar w:fldCharType="begin"/>
            </w:r>
            <w:r w:rsidR="002D333E">
              <w:rPr>
                <w:noProof/>
                <w:webHidden/>
              </w:rPr>
              <w:instrText xml:space="preserve"> PAGEREF _Toc22543175 \h </w:instrText>
            </w:r>
            <w:r w:rsidR="002D333E">
              <w:rPr>
                <w:noProof/>
                <w:webHidden/>
              </w:rPr>
            </w:r>
            <w:r w:rsidR="002D333E">
              <w:rPr>
                <w:noProof/>
                <w:webHidden/>
              </w:rPr>
              <w:fldChar w:fldCharType="separate"/>
            </w:r>
            <w:r w:rsidR="00D87DBB">
              <w:rPr>
                <w:noProof/>
                <w:webHidden/>
              </w:rPr>
              <w:t>126</w:t>
            </w:r>
            <w:r w:rsidR="002D333E">
              <w:rPr>
                <w:noProof/>
                <w:webHidden/>
              </w:rPr>
              <w:fldChar w:fldCharType="end"/>
            </w:r>
          </w:hyperlink>
        </w:p>
        <w:p w14:paraId="576B484C" w14:textId="4EC8A259" w:rsidR="002D333E" w:rsidRDefault="00864C5E">
          <w:pPr>
            <w:pStyle w:val="TOC1"/>
            <w:rPr>
              <w:b w:val="0"/>
              <w:bCs w:val="0"/>
              <w:noProof/>
              <w:lang w:eastAsia="en-AU"/>
            </w:rPr>
          </w:pPr>
          <w:hyperlink w:anchor="_Toc22543176" w:history="1">
            <w:r w:rsidR="002D333E" w:rsidRPr="004D78F1">
              <w:rPr>
                <w:rStyle w:val="Hyperlink"/>
                <w:noProof/>
              </w:rPr>
              <w:t>Glossary</w:t>
            </w:r>
            <w:r w:rsidR="002D333E">
              <w:rPr>
                <w:noProof/>
                <w:webHidden/>
              </w:rPr>
              <w:tab/>
            </w:r>
            <w:r w:rsidR="002D333E">
              <w:rPr>
                <w:noProof/>
                <w:webHidden/>
              </w:rPr>
              <w:fldChar w:fldCharType="begin"/>
            </w:r>
            <w:r w:rsidR="002D333E">
              <w:rPr>
                <w:noProof/>
                <w:webHidden/>
              </w:rPr>
              <w:instrText xml:space="preserve"> PAGEREF _Toc22543176 \h </w:instrText>
            </w:r>
            <w:r w:rsidR="002D333E">
              <w:rPr>
                <w:noProof/>
                <w:webHidden/>
              </w:rPr>
            </w:r>
            <w:r w:rsidR="002D333E">
              <w:rPr>
                <w:noProof/>
                <w:webHidden/>
              </w:rPr>
              <w:fldChar w:fldCharType="separate"/>
            </w:r>
            <w:r w:rsidR="00D87DBB">
              <w:rPr>
                <w:noProof/>
                <w:webHidden/>
              </w:rPr>
              <w:t>128</w:t>
            </w:r>
            <w:r w:rsidR="002D333E">
              <w:rPr>
                <w:noProof/>
                <w:webHidden/>
              </w:rPr>
              <w:fldChar w:fldCharType="end"/>
            </w:r>
          </w:hyperlink>
        </w:p>
        <w:p w14:paraId="49C17CE7" w14:textId="336FE246" w:rsidR="002D333E" w:rsidRDefault="00864C5E">
          <w:pPr>
            <w:pStyle w:val="TOC1"/>
            <w:rPr>
              <w:b w:val="0"/>
              <w:bCs w:val="0"/>
              <w:noProof/>
              <w:lang w:eastAsia="en-AU"/>
            </w:rPr>
          </w:pPr>
          <w:hyperlink w:anchor="_Toc22543177" w:history="1">
            <w:r w:rsidR="002D333E" w:rsidRPr="004D78F1">
              <w:rPr>
                <w:rStyle w:val="Hyperlink"/>
                <w:noProof/>
              </w:rPr>
              <w:t>Bibliography</w:t>
            </w:r>
            <w:r w:rsidR="002D333E">
              <w:rPr>
                <w:noProof/>
                <w:webHidden/>
              </w:rPr>
              <w:tab/>
            </w:r>
            <w:r w:rsidR="002D333E">
              <w:rPr>
                <w:noProof/>
                <w:webHidden/>
              </w:rPr>
              <w:fldChar w:fldCharType="begin"/>
            </w:r>
            <w:r w:rsidR="002D333E">
              <w:rPr>
                <w:noProof/>
                <w:webHidden/>
              </w:rPr>
              <w:instrText xml:space="preserve"> PAGEREF _Toc22543177 \h </w:instrText>
            </w:r>
            <w:r w:rsidR="002D333E">
              <w:rPr>
                <w:noProof/>
                <w:webHidden/>
              </w:rPr>
            </w:r>
            <w:r w:rsidR="002D333E">
              <w:rPr>
                <w:noProof/>
                <w:webHidden/>
              </w:rPr>
              <w:fldChar w:fldCharType="separate"/>
            </w:r>
            <w:r w:rsidR="00D87DBB">
              <w:rPr>
                <w:noProof/>
                <w:webHidden/>
              </w:rPr>
              <w:t>130</w:t>
            </w:r>
            <w:r w:rsidR="002D333E">
              <w:rPr>
                <w:noProof/>
                <w:webHidden/>
              </w:rPr>
              <w:fldChar w:fldCharType="end"/>
            </w:r>
          </w:hyperlink>
        </w:p>
        <w:p w14:paraId="1EE175F9" w14:textId="01F5265A" w:rsidR="002D333E" w:rsidRDefault="00864C5E">
          <w:pPr>
            <w:pStyle w:val="TOC1"/>
            <w:tabs>
              <w:tab w:val="left" w:pos="1320"/>
            </w:tabs>
            <w:rPr>
              <w:b w:val="0"/>
              <w:bCs w:val="0"/>
              <w:noProof/>
              <w:lang w:eastAsia="en-AU"/>
            </w:rPr>
          </w:pPr>
          <w:hyperlink w:anchor="_Toc22543178" w:history="1">
            <w:r w:rsidR="002D333E" w:rsidRPr="004D78F1">
              <w:rPr>
                <w:rStyle w:val="Hyperlink"/>
                <w:rFonts w:cstheme="minorHAnsi"/>
                <w:noProof/>
              </w:rPr>
              <w:t>Appendix A</w:t>
            </w:r>
            <w:r w:rsidR="002D333E">
              <w:rPr>
                <w:b w:val="0"/>
                <w:bCs w:val="0"/>
                <w:noProof/>
                <w:lang w:eastAsia="en-AU"/>
              </w:rPr>
              <w:tab/>
            </w:r>
            <w:r w:rsidR="002D333E" w:rsidRPr="004D78F1">
              <w:rPr>
                <w:rStyle w:val="Hyperlink"/>
                <w:rFonts w:cstheme="minorHAnsi"/>
                <w:noProof/>
              </w:rPr>
              <w:t>Statistical tables</w:t>
            </w:r>
            <w:r w:rsidR="002D333E">
              <w:rPr>
                <w:noProof/>
                <w:webHidden/>
              </w:rPr>
              <w:tab/>
            </w:r>
            <w:r w:rsidR="002D333E">
              <w:rPr>
                <w:noProof/>
                <w:webHidden/>
              </w:rPr>
              <w:fldChar w:fldCharType="begin"/>
            </w:r>
            <w:r w:rsidR="002D333E">
              <w:rPr>
                <w:noProof/>
                <w:webHidden/>
              </w:rPr>
              <w:instrText xml:space="preserve"> PAGEREF _Toc22543178 \h </w:instrText>
            </w:r>
            <w:r w:rsidR="002D333E">
              <w:rPr>
                <w:noProof/>
                <w:webHidden/>
              </w:rPr>
            </w:r>
            <w:r w:rsidR="002D333E">
              <w:rPr>
                <w:noProof/>
                <w:webHidden/>
              </w:rPr>
              <w:fldChar w:fldCharType="separate"/>
            </w:r>
            <w:r w:rsidR="00D87DBB">
              <w:rPr>
                <w:noProof/>
                <w:webHidden/>
              </w:rPr>
              <w:t>133</w:t>
            </w:r>
            <w:r w:rsidR="002D333E">
              <w:rPr>
                <w:noProof/>
                <w:webHidden/>
              </w:rPr>
              <w:fldChar w:fldCharType="end"/>
            </w:r>
          </w:hyperlink>
        </w:p>
        <w:p w14:paraId="4A7792F2" w14:textId="375F4E3D" w:rsidR="002D333E" w:rsidRDefault="00864C5E">
          <w:pPr>
            <w:pStyle w:val="TOC2"/>
            <w:tabs>
              <w:tab w:val="right" w:leader="dot" w:pos="9016"/>
            </w:tabs>
            <w:rPr>
              <w:noProof/>
              <w:lang w:eastAsia="en-AU"/>
            </w:rPr>
          </w:pPr>
          <w:hyperlink w:anchor="_Toc22543179" w:history="1">
            <w:r w:rsidR="002D333E" w:rsidRPr="004D78F1">
              <w:rPr>
                <w:rStyle w:val="Hyperlink"/>
                <w:rFonts w:cstheme="minorHAnsi"/>
                <w:noProof/>
              </w:rPr>
              <w:t>List of tables</w:t>
            </w:r>
            <w:r w:rsidR="002D333E">
              <w:rPr>
                <w:noProof/>
                <w:webHidden/>
              </w:rPr>
              <w:tab/>
            </w:r>
            <w:r w:rsidR="002D333E">
              <w:rPr>
                <w:noProof/>
                <w:webHidden/>
              </w:rPr>
              <w:fldChar w:fldCharType="begin"/>
            </w:r>
            <w:r w:rsidR="002D333E">
              <w:rPr>
                <w:noProof/>
                <w:webHidden/>
              </w:rPr>
              <w:instrText xml:space="preserve"> PAGEREF _Toc22543179 \h </w:instrText>
            </w:r>
            <w:r w:rsidR="002D333E">
              <w:rPr>
                <w:noProof/>
                <w:webHidden/>
              </w:rPr>
            </w:r>
            <w:r w:rsidR="002D333E">
              <w:rPr>
                <w:noProof/>
                <w:webHidden/>
              </w:rPr>
              <w:fldChar w:fldCharType="separate"/>
            </w:r>
            <w:r w:rsidR="00D87DBB">
              <w:rPr>
                <w:noProof/>
                <w:webHidden/>
              </w:rPr>
              <w:t>133</w:t>
            </w:r>
            <w:r w:rsidR="002D333E">
              <w:rPr>
                <w:noProof/>
                <w:webHidden/>
              </w:rPr>
              <w:fldChar w:fldCharType="end"/>
            </w:r>
          </w:hyperlink>
        </w:p>
        <w:p w14:paraId="684D1E4F" w14:textId="3ABE7CFD" w:rsidR="002D333E" w:rsidRDefault="00864C5E">
          <w:pPr>
            <w:pStyle w:val="TOC2"/>
            <w:tabs>
              <w:tab w:val="left" w:pos="880"/>
              <w:tab w:val="right" w:leader="dot" w:pos="9016"/>
            </w:tabs>
            <w:rPr>
              <w:noProof/>
              <w:lang w:eastAsia="en-AU"/>
            </w:rPr>
          </w:pPr>
          <w:hyperlink w:anchor="_Toc22543180" w:history="1">
            <w:r w:rsidR="002D333E" w:rsidRPr="004D78F1">
              <w:rPr>
                <w:rStyle w:val="Hyperlink"/>
                <w:rFonts w:cstheme="minorHAnsi"/>
                <w:noProof/>
              </w:rPr>
              <w:t>A1</w:t>
            </w:r>
            <w:r w:rsidR="002D333E">
              <w:rPr>
                <w:noProof/>
                <w:lang w:eastAsia="en-AU"/>
              </w:rPr>
              <w:tab/>
            </w:r>
            <w:r w:rsidR="002D333E" w:rsidRPr="004D78F1">
              <w:rPr>
                <w:rStyle w:val="Hyperlink"/>
                <w:rFonts w:cstheme="minorHAnsi"/>
                <w:noProof/>
              </w:rPr>
              <w:t>Characteristics of the main study populations</w:t>
            </w:r>
            <w:r w:rsidR="002D333E">
              <w:rPr>
                <w:noProof/>
                <w:webHidden/>
              </w:rPr>
              <w:tab/>
            </w:r>
            <w:r w:rsidR="002D333E">
              <w:rPr>
                <w:noProof/>
                <w:webHidden/>
              </w:rPr>
              <w:fldChar w:fldCharType="begin"/>
            </w:r>
            <w:r w:rsidR="002D333E">
              <w:rPr>
                <w:noProof/>
                <w:webHidden/>
              </w:rPr>
              <w:instrText xml:space="preserve"> PAGEREF _Toc22543180 \h </w:instrText>
            </w:r>
            <w:r w:rsidR="002D333E">
              <w:rPr>
                <w:noProof/>
                <w:webHidden/>
              </w:rPr>
            </w:r>
            <w:r w:rsidR="002D333E">
              <w:rPr>
                <w:noProof/>
                <w:webHidden/>
              </w:rPr>
              <w:fldChar w:fldCharType="separate"/>
            </w:r>
            <w:r w:rsidR="00D87DBB">
              <w:rPr>
                <w:noProof/>
                <w:webHidden/>
              </w:rPr>
              <w:t>136</w:t>
            </w:r>
            <w:r w:rsidR="002D333E">
              <w:rPr>
                <w:noProof/>
                <w:webHidden/>
              </w:rPr>
              <w:fldChar w:fldCharType="end"/>
            </w:r>
          </w:hyperlink>
        </w:p>
        <w:p w14:paraId="7190B914" w14:textId="489CA1F5" w:rsidR="002D333E" w:rsidRDefault="00864C5E">
          <w:pPr>
            <w:pStyle w:val="TOC2"/>
            <w:tabs>
              <w:tab w:val="left" w:pos="880"/>
              <w:tab w:val="right" w:leader="dot" w:pos="9016"/>
            </w:tabs>
            <w:rPr>
              <w:noProof/>
              <w:lang w:eastAsia="en-AU"/>
            </w:rPr>
          </w:pPr>
          <w:hyperlink w:anchor="_Toc22543181" w:history="1">
            <w:r w:rsidR="002D333E" w:rsidRPr="004D78F1">
              <w:rPr>
                <w:rStyle w:val="Hyperlink"/>
                <w:rFonts w:cstheme="minorHAnsi"/>
                <w:noProof/>
              </w:rPr>
              <w:t>A2</w:t>
            </w:r>
            <w:r w:rsidR="002D333E">
              <w:rPr>
                <w:noProof/>
                <w:lang w:eastAsia="en-AU"/>
              </w:rPr>
              <w:tab/>
            </w:r>
            <w:r w:rsidR="002D333E" w:rsidRPr="004D78F1">
              <w:rPr>
                <w:rStyle w:val="Hyperlink"/>
                <w:rFonts w:cstheme="minorHAnsi"/>
                <w:noProof/>
              </w:rPr>
              <w:t>Other statistical tables</w:t>
            </w:r>
            <w:r w:rsidR="002D333E">
              <w:rPr>
                <w:noProof/>
                <w:webHidden/>
              </w:rPr>
              <w:tab/>
            </w:r>
            <w:r w:rsidR="002D333E">
              <w:rPr>
                <w:noProof/>
                <w:webHidden/>
              </w:rPr>
              <w:fldChar w:fldCharType="begin"/>
            </w:r>
            <w:r w:rsidR="002D333E">
              <w:rPr>
                <w:noProof/>
                <w:webHidden/>
              </w:rPr>
              <w:instrText xml:space="preserve"> PAGEREF _Toc22543181 \h </w:instrText>
            </w:r>
            <w:r w:rsidR="002D333E">
              <w:rPr>
                <w:noProof/>
                <w:webHidden/>
              </w:rPr>
            </w:r>
            <w:r w:rsidR="002D333E">
              <w:rPr>
                <w:noProof/>
                <w:webHidden/>
              </w:rPr>
              <w:fldChar w:fldCharType="separate"/>
            </w:r>
            <w:r w:rsidR="00D87DBB">
              <w:rPr>
                <w:noProof/>
                <w:webHidden/>
              </w:rPr>
              <w:t>146</w:t>
            </w:r>
            <w:r w:rsidR="002D333E">
              <w:rPr>
                <w:noProof/>
                <w:webHidden/>
              </w:rPr>
              <w:fldChar w:fldCharType="end"/>
            </w:r>
          </w:hyperlink>
        </w:p>
        <w:p w14:paraId="5819222F" w14:textId="1F7F4573" w:rsidR="002D333E" w:rsidRDefault="00864C5E" w:rsidP="004D6525">
          <w:pPr>
            <w:pStyle w:val="Tableforcontents"/>
            <w:tabs>
              <w:tab w:val="clear" w:pos="1134"/>
              <w:tab w:val="left" w:pos="941"/>
            </w:tabs>
            <w:rPr>
              <w:b w:val="0"/>
              <w:bCs/>
              <w:noProof/>
              <w:lang w:eastAsia="en-AU"/>
            </w:rPr>
          </w:pPr>
          <w:hyperlink w:anchor="_Toc22543182" w:history="1">
            <w:bookmarkStart w:id="21" w:name="_Toc22543965"/>
            <w:r w:rsidR="002D333E" w:rsidRPr="004D78F1">
              <w:rPr>
                <w:rStyle w:val="Hyperlink"/>
                <w:noProof/>
              </w:rPr>
              <w:t>Appendix B</w:t>
            </w:r>
            <w:r w:rsidR="002D333E">
              <w:rPr>
                <w:b w:val="0"/>
                <w:bCs/>
                <w:noProof/>
                <w:lang w:eastAsia="en-AU"/>
              </w:rPr>
              <w:tab/>
            </w:r>
            <w:r w:rsidR="002D333E" w:rsidRPr="004D78F1">
              <w:rPr>
                <w:rStyle w:val="Hyperlink"/>
                <w:noProof/>
              </w:rPr>
              <w:t>Methodology</w:t>
            </w:r>
            <w:r w:rsidR="002D333E">
              <w:rPr>
                <w:noProof/>
                <w:webHidden/>
              </w:rPr>
              <w:tab/>
            </w:r>
            <w:r w:rsidR="002D333E">
              <w:rPr>
                <w:noProof/>
                <w:webHidden/>
              </w:rPr>
              <w:fldChar w:fldCharType="begin"/>
            </w:r>
            <w:r w:rsidR="002D333E">
              <w:rPr>
                <w:noProof/>
                <w:webHidden/>
              </w:rPr>
              <w:instrText xml:space="preserve"> PAGEREF _Toc22543182 \h </w:instrText>
            </w:r>
            <w:r w:rsidR="002D333E">
              <w:rPr>
                <w:noProof/>
                <w:webHidden/>
              </w:rPr>
            </w:r>
            <w:r w:rsidR="002D333E">
              <w:rPr>
                <w:noProof/>
                <w:webHidden/>
              </w:rPr>
              <w:fldChar w:fldCharType="separate"/>
            </w:r>
            <w:r w:rsidR="00D87DBB">
              <w:rPr>
                <w:noProof/>
                <w:webHidden/>
              </w:rPr>
              <w:t>223</w:t>
            </w:r>
            <w:bookmarkEnd w:id="21"/>
            <w:r w:rsidR="002D333E">
              <w:rPr>
                <w:noProof/>
                <w:webHidden/>
              </w:rPr>
              <w:fldChar w:fldCharType="end"/>
            </w:r>
          </w:hyperlink>
        </w:p>
        <w:p w14:paraId="574150E5" w14:textId="1442B8C9" w:rsidR="002D333E" w:rsidRDefault="00864C5E">
          <w:pPr>
            <w:pStyle w:val="TOC2"/>
            <w:tabs>
              <w:tab w:val="right" w:leader="dot" w:pos="9016"/>
            </w:tabs>
            <w:rPr>
              <w:noProof/>
              <w:lang w:eastAsia="en-AU"/>
            </w:rPr>
          </w:pPr>
          <w:hyperlink w:anchor="_Toc22543183" w:history="1">
            <w:r w:rsidR="002D333E" w:rsidRPr="004D78F1">
              <w:rPr>
                <w:rStyle w:val="Hyperlink"/>
                <w:noProof/>
              </w:rPr>
              <w:t>List of Tables</w:t>
            </w:r>
            <w:r w:rsidR="002D333E">
              <w:rPr>
                <w:noProof/>
                <w:webHidden/>
              </w:rPr>
              <w:tab/>
            </w:r>
            <w:r w:rsidR="002D333E">
              <w:rPr>
                <w:noProof/>
                <w:webHidden/>
              </w:rPr>
              <w:fldChar w:fldCharType="begin"/>
            </w:r>
            <w:r w:rsidR="002D333E">
              <w:rPr>
                <w:noProof/>
                <w:webHidden/>
              </w:rPr>
              <w:instrText xml:space="preserve"> PAGEREF _Toc22543183 \h </w:instrText>
            </w:r>
            <w:r w:rsidR="002D333E">
              <w:rPr>
                <w:noProof/>
                <w:webHidden/>
              </w:rPr>
            </w:r>
            <w:r w:rsidR="002D333E">
              <w:rPr>
                <w:noProof/>
                <w:webHidden/>
              </w:rPr>
              <w:fldChar w:fldCharType="separate"/>
            </w:r>
            <w:r w:rsidR="00D87DBB">
              <w:rPr>
                <w:noProof/>
                <w:webHidden/>
              </w:rPr>
              <w:t>223</w:t>
            </w:r>
            <w:r w:rsidR="002D333E">
              <w:rPr>
                <w:noProof/>
                <w:webHidden/>
              </w:rPr>
              <w:fldChar w:fldCharType="end"/>
            </w:r>
          </w:hyperlink>
        </w:p>
        <w:p w14:paraId="7FC949A3" w14:textId="48C98827" w:rsidR="002D333E" w:rsidRDefault="00864C5E">
          <w:pPr>
            <w:pStyle w:val="TOC2"/>
            <w:tabs>
              <w:tab w:val="left" w:pos="880"/>
              <w:tab w:val="right" w:leader="dot" w:pos="9016"/>
            </w:tabs>
            <w:rPr>
              <w:noProof/>
              <w:lang w:eastAsia="en-AU"/>
            </w:rPr>
          </w:pPr>
          <w:hyperlink w:anchor="_Toc22543184" w:history="1">
            <w:r w:rsidR="002D333E" w:rsidRPr="004D78F1">
              <w:rPr>
                <w:rStyle w:val="Hyperlink"/>
                <w:noProof/>
              </w:rPr>
              <w:t>B1</w:t>
            </w:r>
            <w:r w:rsidR="002D333E">
              <w:rPr>
                <w:noProof/>
                <w:lang w:eastAsia="en-AU"/>
              </w:rPr>
              <w:tab/>
            </w:r>
            <w:r w:rsidR="002D333E" w:rsidRPr="004D78F1">
              <w:rPr>
                <w:rStyle w:val="Hyperlink"/>
                <w:noProof/>
              </w:rPr>
              <w:t>Measuring overall effectiveness</w:t>
            </w:r>
            <w:r w:rsidR="002D333E">
              <w:rPr>
                <w:noProof/>
                <w:webHidden/>
              </w:rPr>
              <w:tab/>
            </w:r>
            <w:r w:rsidR="002D333E">
              <w:rPr>
                <w:noProof/>
                <w:webHidden/>
              </w:rPr>
              <w:fldChar w:fldCharType="begin"/>
            </w:r>
            <w:r w:rsidR="002D333E">
              <w:rPr>
                <w:noProof/>
                <w:webHidden/>
              </w:rPr>
              <w:instrText xml:space="preserve"> PAGEREF _Toc22543184 \h </w:instrText>
            </w:r>
            <w:r w:rsidR="002D333E">
              <w:rPr>
                <w:noProof/>
                <w:webHidden/>
              </w:rPr>
            </w:r>
            <w:r w:rsidR="002D333E">
              <w:rPr>
                <w:noProof/>
                <w:webHidden/>
              </w:rPr>
              <w:fldChar w:fldCharType="separate"/>
            </w:r>
            <w:r w:rsidR="00D87DBB">
              <w:rPr>
                <w:noProof/>
                <w:webHidden/>
              </w:rPr>
              <w:t>224</w:t>
            </w:r>
            <w:r w:rsidR="002D333E">
              <w:rPr>
                <w:noProof/>
                <w:webHidden/>
              </w:rPr>
              <w:fldChar w:fldCharType="end"/>
            </w:r>
          </w:hyperlink>
        </w:p>
        <w:p w14:paraId="681AFA5C" w14:textId="1CF366E7" w:rsidR="002D333E" w:rsidRDefault="00864C5E">
          <w:pPr>
            <w:pStyle w:val="TOC3"/>
            <w:tabs>
              <w:tab w:val="left" w:pos="1100"/>
              <w:tab w:val="right" w:leader="dot" w:pos="9016"/>
            </w:tabs>
            <w:rPr>
              <w:noProof/>
              <w:lang w:eastAsia="en-AU"/>
            </w:rPr>
          </w:pPr>
          <w:hyperlink w:anchor="_Toc22543185" w:history="1">
            <w:r w:rsidR="002D333E" w:rsidRPr="004D78F1">
              <w:rPr>
                <w:rStyle w:val="Hyperlink"/>
                <w:noProof/>
              </w:rPr>
              <w:t>B1.1</w:t>
            </w:r>
            <w:r w:rsidR="002D333E">
              <w:rPr>
                <w:noProof/>
                <w:lang w:eastAsia="en-AU"/>
              </w:rPr>
              <w:tab/>
            </w:r>
            <w:r w:rsidR="002D333E" w:rsidRPr="004D78F1">
              <w:rPr>
                <w:rStyle w:val="Hyperlink"/>
                <w:noProof/>
              </w:rPr>
              <w:t>New entrants</w:t>
            </w:r>
            <w:r w:rsidR="002D333E">
              <w:rPr>
                <w:noProof/>
                <w:webHidden/>
              </w:rPr>
              <w:tab/>
            </w:r>
            <w:r w:rsidR="002D333E">
              <w:rPr>
                <w:noProof/>
                <w:webHidden/>
              </w:rPr>
              <w:fldChar w:fldCharType="begin"/>
            </w:r>
            <w:r w:rsidR="002D333E">
              <w:rPr>
                <w:noProof/>
                <w:webHidden/>
              </w:rPr>
              <w:instrText xml:space="preserve"> PAGEREF _Toc22543185 \h </w:instrText>
            </w:r>
            <w:r w:rsidR="002D333E">
              <w:rPr>
                <w:noProof/>
                <w:webHidden/>
              </w:rPr>
            </w:r>
            <w:r w:rsidR="002D333E">
              <w:rPr>
                <w:noProof/>
                <w:webHidden/>
              </w:rPr>
              <w:fldChar w:fldCharType="separate"/>
            </w:r>
            <w:r w:rsidR="00D87DBB">
              <w:rPr>
                <w:noProof/>
                <w:webHidden/>
              </w:rPr>
              <w:t>224</w:t>
            </w:r>
            <w:r w:rsidR="002D333E">
              <w:rPr>
                <w:noProof/>
                <w:webHidden/>
              </w:rPr>
              <w:fldChar w:fldCharType="end"/>
            </w:r>
          </w:hyperlink>
        </w:p>
        <w:p w14:paraId="6E0376E8" w14:textId="0CA3CA5C" w:rsidR="002D333E" w:rsidRDefault="00864C5E">
          <w:pPr>
            <w:pStyle w:val="TOC3"/>
            <w:tabs>
              <w:tab w:val="left" w:pos="1100"/>
              <w:tab w:val="right" w:leader="dot" w:pos="9016"/>
            </w:tabs>
            <w:rPr>
              <w:noProof/>
              <w:lang w:eastAsia="en-AU"/>
            </w:rPr>
          </w:pPr>
          <w:hyperlink w:anchor="_Toc22543186" w:history="1">
            <w:r w:rsidR="002D333E" w:rsidRPr="004D78F1">
              <w:rPr>
                <w:rStyle w:val="Hyperlink"/>
                <w:noProof/>
              </w:rPr>
              <w:t>B1.2</w:t>
            </w:r>
            <w:r w:rsidR="002D333E">
              <w:rPr>
                <w:noProof/>
                <w:lang w:eastAsia="en-AU"/>
              </w:rPr>
              <w:tab/>
            </w:r>
            <w:r w:rsidR="002D333E" w:rsidRPr="004D78F1">
              <w:rPr>
                <w:rStyle w:val="Hyperlink"/>
                <w:noProof/>
              </w:rPr>
              <w:t>Long-term unemployed</w:t>
            </w:r>
            <w:r w:rsidR="002D333E">
              <w:rPr>
                <w:noProof/>
                <w:webHidden/>
              </w:rPr>
              <w:tab/>
            </w:r>
            <w:r w:rsidR="002D333E">
              <w:rPr>
                <w:noProof/>
                <w:webHidden/>
              </w:rPr>
              <w:fldChar w:fldCharType="begin"/>
            </w:r>
            <w:r w:rsidR="002D333E">
              <w:rPr>
                <w:noProof/>
                <w:webHidden/>
              </w:rPr>
              <w:instrText xml:space="preserve"> PAGEREF _Toc22543186 \h </w:instrText>
            </w:r>
            <w:r w:rsidR="002D333E">
              <w:rPr>
                <w:noProof/>
                <w:webHidden/>
              </w:rPr>
            </w:r>
            <w:r w:rsidR="002D333E">
              <w:rPr>
                <w:noProof/>
                <w:webHidden/>
              </w:rPr>
              <w:fldChar w:fldCharType="separate"/>
            </w:r>
            <w:r w:rsidR="00D87DBB">
              <w:rPr>
                <w:noProof/>
                <w:webHidden/>
              </w:rPr>
              <w:t>227</w:t>
            </w:r>
            <w:r w:rsidR="002D333E">
              <w:rPr>
                <w:noProof/>
                <w:webHidden/>
              </w:rPr>
              <w:fldChar w:fldCharType="end"/>
            </w:r>
          </w:hyperlink>
        </w:p>
        <w:p w14:paraId="15F59A2B" w14:textId="746D0722" w:rsidR="002D333E" w:rsidRDefault="00864C5E">
          <w:pPr>
            <w:pStyle w:val="TOC3"/>
            <w:tabs>
              <w:tab w:val="left" w:pos="1100"/>
              <w:tab w:val="right" w:leader="dot" w:pos="9016"/>
            </w:tabs>
            <w:rPr>
              <w:noProof/>
              <w:lang w:eastAsia="en-AU"/>
            </w:rPr>
          </w:pPr>
          <w:hyperlink w:anchor="_Toc22543187" w:history="1">
            <w:r w:rsidR="002D333E" w:rsidRPr="004D78F1">
              <w:rPr>
                <w:rStyle w:val="Hyperlink"/>
                <w:noProof/>
              </w:rPr>
              <w:t>B1.3</w:t>
            </w:r>
            <w:r w:rsidR="002D333E">
              <w:rPr>
                <w:noProof/>
                <w:lang w:eastAsia="en-AU"/>
              </w:rPr>
              <w:tab/>
            </w:r>
            <w:r w:rsidR="002D333E" w:rsidRPr="004D78F1">
              <w:rPr>
                <w:rStyle w:val="Hyperlink"/>
                <w:noProof/>
              </w:rPr>
              <w:t>Cost Effectiveness</w:t>
            </w:r>
            <w:r w:rsidR="002D333E">
              <w:rPr>
                <w:noProof/>
                <w:webHidden/>
              </w:rPr>
              <w:tab/>
            </w:r>
            <w:r w:rsidR="002D333E">
              <w:rPr>
                <w:noProof/>
                <w:webHidden/>
              </w:rPr>
              <w:fldChar w:fldCharType="begin"/>
            </w:r>
            <w:r w:rsidR="002D333E">
              <w:rPr>
                <w:noProof/>
                <w:webHidden/>
              </w:rPr>
              <w:instrText xml:space="preserve"> PAGEREF _Toc22543187 \h </w:instrText>
            </w:r>
            <w:r w:rsidR="002D333E">
              <w:rPr>
                <w:noProof/>
                <w:webHidden/>
              </w:rPr>
            </w:r>
            <w:r w:rsidR="002D333E">
              <w:rPr>
                <w:noProof/>
                <w:webHidden/>
              </w:rPr>
              <w:fldChar w:fldCharType="separate"/>
            </w:r>
            <w:r w:rsidR="00D87DBB">
              <w:rPr>
                <w:noProof/>
                <w:webHidden/>
              </w:rPr>
              <w:t>230</w:t>
            </w:r>
            <w:r w:rsidR="002D333E">
              <w:rPr>
                <w:noProof/>
                <w:webHidden/>
              </w:rPr>
              <w:fldChar w:fldCharType="end"/>
            </w:r>
          </w:hyperlink>
        </w:p>
        <w:p w14:paraId="0A282F14" w14:textId="3F3E7BF4" w:rsidR="002D333E" w:rsidRDefault="00864C5E">
          <w:pPr>
            <w:pStyle w:val="TOC2"/>
            <w:tabs>
              <w:tab w:val="left" w:pos="880"/>
              <w:tab w:val="right" w:leader="dot" w:pos="9016"/>
            </w:tabs>
            <w:rPr>
              <w:noProof/>
              <w:lang w:eastAsia="en-AU"/>
            </w:rPr>
          </w:pPr>
          <w:hyperlink w:anchor="_Toc22543188" w:history="1">
            <w:r w:rsidR="002D333E" w:rsidRPr="004D78F1">
              <w:rPr>
                <w:rStyle w:val="Hyperlink"/>
                <w:noProof/>
              </w:rPr>
              <w:t>B2</w:t>
            </w:r>
            <w:r w:rsidR="002D333E">
              <w:rPr>
                <w:noProof/>
                <w:lang w:eastAsia="en-AU"/>
              </w:rPr>
              <w:tab/>
            </w:r>
            <w:r w:rsidR="002D333E" w:rsidRPr="004D78F1">
              <w:rPr>
                <w:rStyle w:val="Hyperlink"/>
                <w:noProof/>
              </w:rPr>
              <w:t>Measuring the effect of Stream 1 changes</w:t>
            </w:r>
            <w:r w:rsidR="002D333E">
              <w:rPr>
                <w:noProof/>
                <w:webHidden/>
              </w:rPr>
              <w:tab/>
            </w:r>
            <w:r w:rsidR="002D333E">
              <w:rPr>
                <w:noProof/>
                <w:webHidden/>
              </w:rPr>
              <w:fldChar w:fldCharType="begin"/>
            </w:r>
            <w:r w:rsidR="002D333E">
              <w:rPr>
                <w:noProof/>
                <w:webHidden/>
              </w:rPr>
              <w:instrText xml:space="preserve"> PAGEREF _Toc22543188 \h </w:instrText>
            </w:r>
            <w:r w:rsidR="002D333E">
              <w:rPr>
                <w:noProof/>
                <w:webHidden/>
              </w:rPr>
            </w:r>
            <w:r w:rsidR="002D333E">
              <w:rPr>
                <w:noProof/>
                <w:webHidden/>
              </w:rPr>
              <w:fldChar w:fldCharType="separate"/>
            </w:r>
            <w:r w:rsidR="00D87DBB">
              <w:rPr>
                <w:noProof/>
                <w:webHidden/>
              </w:rPr>
              <w:t>232</w:t>
            </w:r>
            <w:r w:rsidR="002D333E">
              <w:rPr>
                <w:noProof/>
                <w:webHidden/>
              </w:rPr>
              <w:fldChar w:fldCharType="end"/>
            </w:r>
          </w:hyperlink>
        </w:p>
        <w:p w14:paraId="42A2C25F" w14:textId="5F53395D" w:rsidR="002D333E" w:rsidRDefault="00864C5E">
          <w:pPr>
            <w:pStyle w:val="TOC3"/>
            <w:tabs>
              <w:tab w:val="left" w:pos="1100"/>
              <w:tab w:val="right" w:leader="dot" w:pos="9016"/>
            </w:tabs>
            <w:rPr>
              <w:noProof/>
              <w:lang w:eastAsia="en-AU"/>
            </w:rPr>
          </w:pPr>
          <w:hyperlink w:anchor="_Toc22543189" w:history="1">
            <w:r w:rsidR="002D333E" w:rsidRPr="004D78F1">
              <w:rPr>
                <w:rStyle w:val="Hyperlink"/>
                <w:noProof/>
              </w:rPr>
              <w:t>B2.1</w:t>
            </w:r>
            <w:r w:rsidR="002D333E">
              <w:rPr>
                <w:noProof/>
                <w:lang w:eastAsia="en-AU"/>
              </w:rPr>
              <w:tab/>
            </w:r>
            <w:r w:rsidR="002D333E" w:rsidRPr="004D78F1">
              <w:rPr>
                <w:rStyle w:val="Hyperlink"/>
                <w:noProof/>
              </w:rPr>
              <w:t>Measures</w:t>
            </w:r>
            <w:r w:rsidR="002D333E">
              <w:rPr>
                <w:noProof/>
                <w:webHidden/>
              </w:rPr>
              <w:tab/>
            </w:r>
            <w:r w:rsidR="002D333E">
              <w:rPr>
                <w:noProof/>
                <w:webHidden/>
              </w:rPr>
              <w:fldChar w:fldCharType="begin"/>
            </w:r>
            <w:r w:rsidR="002D333E">
              <w:rPr>
                <w:noProof/>
                <w:webHidden/>
              </w:rPr>
              <w:instrText xml:space="preserve"> PAGEREF _Toc22543189 \h </w:instrText>
            </w:r>
            <w:r w:rsidR="002D333E">
              <w:rPr>
                <w:noProof/>
                <w:webHidden/>
              </w:rPr>
            </w:r>
            <w:r w:rsidR="002D333E">
              <w:rPr>
                <w:noProof/>
                <w:webHidden/>
              </w:rPr>
              <w:fldChar w:fldCharType="separate"/>
            </w:r>
            <w:r w:rsidR="00D87DBB">
              <w:rPr>
                <w:noProof/>
                <w:webHidden/>
              </w:rPr>
              <w:t>232</w:t>
            </w:r>
            <w:r w:rsidR="002D333E">
              <w:rPr>
                <w:noProof/>
                <w:webHidden/>
              </w:rPr>
              <w:fldChar w:fldCharType="end"/>
            </w:r>
          </w:hyperlink>
        </w:p>
        <w:p w14:paraId="79078183" w14:textId="3FF71CB8" w:rsidR="002D333E" w:rsidRDefault="00864C5E">
          <w:pPr>
            <w:pStyle w:val="TOC3"/>
            <w:tabs>
              <w:tab w:val="left" w:pos="1100"/>
              <w:tab w:val="right" w:leader="dot" w:pos="9016"/>
            </w:tabs>
            <w:rPr>
              <w:noProof/>
              <w:lang w:eastAsia="en-AU"/>
            </w:rPr>
          </w:pPr>
          <w:hyperlink w:anchor="_Toc22543190" w:history="1">
            <w:r w:rsidR="002D333E" w:rsidRPr="004D78F1">
              <w:rPr>
                <w:rStyle w:val="Hyperlink"/>
                <w:noProof/>
              </w:rPr>
              <w:t>B2.2</w:t>
            </w:r>
            <w:r w:rsidR="002D333E">
              <w:rPr>
                <w:noProof/>
                <w:lang w:eastAsia="en-AU"/>
              </w:rPr>
              <w:tab/>
            </w:r>
            <w:r w:rsidR="002D333E" w:rsidRPr="004D78F1">
              <w:rPr>
                <w:rStyle w:val="Hyperlink"/>
                <w:noProof/>
              </w:rPr>
              <w:t>Study populations</w:t>
            </w:r>
            <w:r w:rsidR="002D333E">
              <w:rPr>
                <w:noProof/>
                <w:webHidden/>
              </w:rPr>
              <w:tab/>
            </w:r>
            <w:r w:rsidR="002D333E">
              <w:rPr>
                <w:noProof/>
                <w:webHidden/>
              </w:rPr>
              <w:fldChar w:fldCharType="begin"/>
            </w:r>
            <w:r w:rsidR="002D333E">
              <w:rPr>
                <w:noProof/>
                <w:webHidden/>
              </w:rPr>
              <w:instrText xml:space="preserve"> PAGEREF _Toc22543190 \h </w:instrText>
            </w:r>
            <w:r w:rsidR="002D333E">
              <w:rPr>
                <w:noProof/>
                <w:webHidden/>
              </w:rPr>
            </w:r>
            <w:r w:rsidR="002D333E">
              <w:rPr>
                <w:noProof/>
                <w:webHidden/>
              </w:rPr>
              <w:fldChar w:fldCharType="separate"/>
            </w:r>
            <w:r w:rsidR="00D87DBB">
              <w:rPr>
                <w:noProof/>
                <w:webHidden/>
              </w:rPr>
              <w:t>232</w:t>
            </w:r>
            <w:r w:rsidR="002D333E">
              <w:rPr>
                <w:noProof/>
                <w:webHidden/>
              </w:rPr>
              <w:fldChar w:fldCharType="end"/>
            </w:r>
          </w:hyperlink>
        </w:p>
        <w:p w14:paraId="300077FA" w14:textId="028FC5C8" w:rsidR="002D333E" w:rsidRDefault="00864C5E">
          <w:pPr>
            <w:pStyle w:val="TOC3"/>
            <w:tabs>
              <w:tab w:val="left" w:pos="1100"/>
              <w:tab w:val="right" w:leader="dot" w:pos="9016"/>
            </w:tabs>
            <w:rPr>
              <w:noProof/>
              <w:lang w:eastAsia="en-AU"/>
            </w:rPr>
          </w:pPr>
          <w:hyperlink w:anchor="_Toc22543191" w:history="1">
            <w:r w:rsidR="002D333E" w:rsidRPr="004D78F1">
              <w:rPr>
                <w:rStyle w:val="Hyperlink"/>
                <w:noProof/>
              </w:rPr>
              <w:t>B2.3</w:t>
            </w:r>
            <w:r w:rsidR="002D333E">
              <w:rPr>
                <w:noProof/>
                <w:lang w:eastAsia="en-AU"/>
              </w:rPr>
              <w:tab/>
            </w:r>
            <w:r w:rsidR="002D333E" w:rsidRPr="004D78F1">
              <w:rPr>
                <w:rStyle w:val="Hyperlink"/>
                <w:noProof/>
              </w:rPr>
              <w:t>Statistical techniques used</w:t>
            </w:r>
            <w:r w:rsidR="002D333E">
              <w:rPr>
                <w:noProof/>
                <w:webHidden/>
              </w:rPr>
              <w:tab/>
            </w:r>
            <w:r w:rsidR="002D333E">
              <w:rPr>
                <w:noProof/>
                <w:webHidden/>
              </w:rPr>
              <w:fldChar w:fldCharType="begin"/>
            </w:r>
            <w:r w:rsidR="002D333E">
              <w:rPr>
                <w:noProof/>
                <w:webHidden/>
              </w:rPr>
              <w:instrText xml:space="preserve"> PAGEREF _Toc22543191 \h </w:instrText>
            </w:r>
            <w:r w:rsidR="002D333E">
              <w:rPr>
                <w:noProof/>
                <w:webHidden/>
              </w:rPr>
            </w:r>
            <w:r w:rsidR="002D333E">
              <w:rPr>
                <w:noProof/>
                <w:webHidden/>
              </w:rPr>
              <w:fldChar w:fldCharType="separate"/>
            </w:r>
            <w:r w:rsidR="00D87DBB">
              <w:rPr>
                <w:noProof/>
                <w:webHidden/>
              </w:rPr>
              <w:t>233</w:t>
            </w:r>
            <w:r w:rsidR="002D333E">
              <w:rPr>
                <w:noProof/>
                <w:webHidden/>
              </w:rPr>
              <w:fldChar w:fldCharType="end"/>
            </w:r>
          </w:hyperlink>
        </w:p>
        <w:p w14:paraId="1D076F30" w14:textId="6F8748E1" w:rsidR="002D333E" w:rsidRDefault="00864C5E">
          <w:pPr>
            <w:pStyle w:val="TOC2"/>
            <w:tabs>
              <w:tab w:val="left" w:pos="880"/>
              <w:tab w:val="right" w:leader="dot" w:pos="9016"/>
            </w:tabs>
            <w:rPr>
              <w:noProof/>
              <w:lang w:eastAsia="en-AU"/>
            </w:rPr>
          </w:pPr>
          <w:hyperlink w:anchor="_Toc22543192" w:history="1">
            <w:r w:rsidR="002D333E" w:rsidRPr="004D78F1">
              <w:rPr>
                <w:rStyle w:val="Hyperlink"/>
                <w:noProof/>
              </w:rPr>
              <w:t>B3</w:t>
            </w:r>
            <w:r w:rsidR="002D333E">
              <w:rPr>
                <w:noProof/>
                <w:lang w:eastAsia="en-AU"/>
              </w:rPr>
              <w:tab/>
            </w:r>
            <w:r w:rsidR="002D333E" w:rsidRPr="004D78F1">
              <w:rPr>
                <w:rStyle w:val="Hyperlink"/>
                <w:noProof/>
              </w:rPr>
              <w:t>Measuring the effect of SSR cessation</w:t>
            </w:r>
            <w:r w:rsidR="002D333E">
              <w:rPr>
                <w:noProof/>
                <w:webHidden/>
              </w:rPr>
              <w:tab/>
            </w:r>
            <w:r w:rsidR="002D333E">
              <w:rPr>
                <w:noProof/>
                <w:webHidden/>
              </w:rPr>
              <w:fldChar w:fldCharType="begin"/>
            </w:r>
            <w:r w:rsidR="002D333E">
              <w:rPr>
                <w:noProof/>
                <w:webHidden/>
              </w:rPr>
              <w:instrText xml:space="preserve"> PAGEREF _Toc22543192 \h </w:instrText>
            </w:r>
            <w:r w:rsidR="002D333E">
              <w:rPr>
                <w:noProof/>
                <w:webHidden/>
              </w:rPr>
            </w:r>
            <w:r w:rsidR="002D333E">
              <w:rPr>
                <w:noProof/>
                <w:webHidden/>
              </w:rPr>
              <w:fldChar w:fldCharType="separate"/>
            </w:r>
            <w:r w:rsidR="00D87DBB">
              <w:rPr>
                <w:noProof/>
                <w:webHidden/>
              </w:rPr>
              <w:t>234</w:t>
            </w:r>
            <w:r w:rsidR="002D333E">
              <w:rPr>
                <w:noProof/>
                <w:webHidden/>
              </w:rPr>
              <w:fldChar w:fldCharType="end"/>
            </w:r>
          </w:hyperlink>
        </w:p>
        <w:p w14:paraId="41415536" w14:textId="1237835F" w:rsidR="002D333E" w:rsidRDefault="00864C5E">
          <w:pPr>
            <w:pStyle w:val="TOC3"/>
            <w:tabs>
              <w:tab w:val="left" w:pos="1100"/>
              <w:tab w:val="right" w:leader="dot" w:pos="9016"/>
            </w:tabs>
            <w:rPr>
              <w:noProof/>
              <w:lang w:eastAsia="en-AU"/>
            </w:rPr>
          </w:pPr>
          <w:hyperlink w:anchor="_Toc22543193" w:history="1">
            <w:r w:rsidR="002D333E" w:rsidRPr="004D78F1">
              <w:rPr>
                <w:rStyle w:val="Hyperlink"/>
                <w:noProof/>
              </w:rPr>
              <w:t>B3.1</w:t>
            </w:r>
            <w:r w:rsidR="002D333E">
              <w:rPr>
                <w:noProof/>
                <w:lang w:eastAsia="en-AU"/>
              </w:rPr>
              <w:tab/>
            </w:r>
            <w:r w:rsidR="002D333E" w:rsidRPr="004D78F1">
              <w:rPr>
                <w:rStyle w:val="Hyperlink"/>
                <w:noProof/>
              </w:rPr>
              <w:t>Measures</w:t>
            </w:r>
            <w:r w:rsidR="002D333E">
              <w:rPr>
                <w:noProof/>
                <w:webHidden/>
              </w:rPr>
              <w:tab/>
            </w:r>
            <w:r w:rsidR="002D333E">
              <w:rPr>
                <w:noProof/>
                <w:webHidden/>
              </w:rPr>
              <w:fldChar w:fldCharType="begin"/>
            </w:r>
            <w:r w:rsidR="002D333E">
              <w:rPr>
                <w:noProof/>
                <w:webHidden/>
              </w:rPr>
              <w:instrText xml:space="preserve"> PAGEREF _Toc22543193 \h </w:instrText>
            </w:r>
            <w:r w:rsidR="002D333E">
              <w:rPr>
                <w:noProof/>
                <w:webHidden/>
              </w:rPr>
            </w:r>
            <w:r w:rsidR="002D333E">
              <w:rPr>
                <w:noProof/>
                <w:webHidden/>
              </w:rPr>
              <w:fldChar w:fldCharType="separate"/>
            </w:r>
            <w:r w:rsidR="00D87DBB">
              <w:rPr>
                <w:noProof/>
                <w:webHidden/>
              </w:rPr>
              <w:t>234</w:t>
            </w:r>
            <w:r w:rsidR="002D333E">
              <w:rPr>
                <w:noProof/>
                <w:webHidden/>
              </w:rPr>
              <w:fldChar w:fldCharType="end"/>
            </w:r>
          </w:hyperlink>
        </w:p>
        <w:p w14:paraId="026ECB1E" w14:textId="7BC4F26E" w:rsidR="002D333E" w:rsidRDefault="00864C5E">
          <w:pPr>
            <w:pStyle w:val="TOC3"/>
            <w:tabs>
              <w:tab w:val="left" w:pos="1100"/>
              <w:tab w:val="right" w:leader="dot" w:pos="9016"/>
            </w:tabs>
            <w:rPr>
              <w:noProof/>
              <w:lang w:eastAsia="en-AU"/>
            </w:rPr>
          </w:pPr>
          <w:hyperlink w:anchor="_Toc22543194" w:history="1">
            <w:r w:rsidR="002D333E" w:rsidRPr="004D78F1">
              <w:rPr>
                <w:rStyle w:val="Hyperlink"/>
                <w:noProof/>
              </w:rPr>
              <w:t>B3.2</w:t>
            </w:r>
            <w:r w:rsidR="002D333E">
              <w:rPr>
                <w:noProof/>
                <w:lang w:eastAsia="en-AU"/>
              </w:rPr>
              <w:tab/>
            </w:r>
            <w:r w:rsidR="002D333E" w:rsidRPr="004D78F1">
              <w:rPr>
                <w:rStyle w:val="Hyperlink"/>
                <w:noProof/>
              </w:rPr>
              <w:t>Study populations</w:t>
            </w:r>
            <w:r w:rsidR="002D333E">
              <w:rPr>
                <w:noProof/>
                <w:webHidden/>
              </w:rPr>
              <w:tab/>
            </w:r>
            <w:r w:rsidR="002D333E">
              <w:rPr>
                <w:noProof/>
                <w:webHidden/>
              </w:rPr>
              <w:fldChar w:fldCharType="begin"/>
            </w:r>
            <w:r w:rsidR="002D333E">
              <w:rPr>
                <w:noProof/>
                <w:webHidden/>
              </w:rPr>
              <w:instrText xml:space="preserve"> PAGEREF _Toc22543194 \h </w:instrText>
            </w:r>
            <w:r w:rsidR="002D333E">
              <w:rPr>
                <w:noProof/>
                <w:webHidden/>
              </w:rPr>
            </w:r>
            <w:r w:rsidR="002D333E">
              <w:rPr>
                <w:noProof/>
                <w:webHidden/>
              </w:rPr>
              <w:fldChar w:fldCharType="separate"/>
            </w:r>
            <w:r w:rsidR="00D87DBB">
              <w:rPr>
                <w:noProof/>
                <w:webHidden/>
              </w:rPr>
              <w:t>234</w:t>
            </w:r>
            <w:r w:rsidR="002D333E">
              <w:rPr>
                <w:noProof/>
                <w:webHidden/>
              </w:rPr>
              <w:fldChar w:fldCharType="end"/>
            </w:r>
          </w:hyperlink>
        </w:p>
        <w:p w14:paraId="6F72F0D9" w14:textId="761E7AC8" w:rsidR="002D333E" w:rsidRDefault="00864C5E">
          <w:pPr>
            <w:pStyle w:val="TOC3"/>
            <w:tabs>
              <w:tab w:val="left" w:pos="1100"/>
              <w:tab w:val="right" w:leader="dot" w:pos="9016"/>
            </w:tabs>
            <w:rPr>
              <w:noProof/>
              <w:lang w:eastAsia="en-AU"/>
            </w:rPr>
          </w:pPr>
          <w:hyperlink w:anchor="_Toc22543195" w:history="1">
            <w:r w:rsidR="002D333E" w:rsidRPr="004D78F1">
              <w:rPr>
                <w:rStyle w:val="Hyperlink"/>
                <w:noProof/>
              </w:rPr>
              <w:t>B3.3</w:t>
            </w:r>
            <w:r w:rsidR="002D333E">
              <w:rPr>
                <w:noProof/>
                <w:lang w:eastAsia="en-AU"/>
              </w:rPr>
              <w:tab/>
            </w:r>
            <w:r w:rsidR="002D333E" w:rsidRPr="004D78F1">
              <w:rPr>
                <w:rStyle w:val="Hyperlink"/>
                <w:noProof/>
              </w:rPr>
              <w:t>Assessments</w:t>
            </w:r>
            <w:r w:rsidR="002D333E">
              <w:rPr>
                <w:noProof/>
                <w:webHidden/>
              </w:rPr>
              <w:tab/>
            </w:r>
            <w:r w:rsidR="002D333E">
              <w:rPr>
                <w:noProof/>
                <w:webHidden/>
              </w:rPr>
              <w:fldChar w:fldCharType="begin"/>
            </w:r>
            <w:r w:rsidR="002D333E">
              <w:rPr>
                <w:noProof/>
                <w:webHidden/>
              </w:rPr>
              <w:instrText xml:space="preserve"> PAGEREF _Toc22543195 \h </w:instrText>
            </w:r>
            <w:r w:rsidR="002D333E">
              <w:rPr>
                <w:noProof/>
                <w:webHidden/>
              </w:rPr>
            </w:r>
            <w:r w:rsidR="002D333E">
              <w:rPr>
                <w:noProof/>
                <w:webHidden/>
              </w:rPr>
              <w:fldChar w:fldCharType="separate"/>
            </w:r>
            <w:r w:rsidR="00D87DBB">
              <w:rPr>
                <w:noProof/>
                <w:webHidden/>
              </w:rPr>
              <w:t>235</w:t>
            </w:r>
            <w:r w:rsidR="002D333E">
              <w:rPr>
                <w:noProof/>
                <w:webHidden/>
              </w:rPr>
              <w:fldChar w:fldCharType="end"/>
            </w:r>
          </w:hyperlink>
        </w:p>
        <w:p w14:paraId="278EA275" w14:textId="1A6F3B94" w:rsidR="002D333E" w:rsidRDefault="00864C5E">
          <w:pPr>
            <w:pStyle w:val="TOC3"/>
            <w:tabs>
              <w:tab w:val="left" w:pos="1100"/>
              <w:tab w:val="right" w:leader="dot" w:pos="9016"/>
            </w:tabs>
            <w:rPr>
              <w:noProof/>
              <w:lang w:eastAsia="en-AU"/>
            </w:rPr>
          </w:pPr>
          <w:hyperlink w:anchor="_Toc22543196" w:history="1">
            <w:r w:rsidR="002D333E" w:rsidRPr="004D78F1">
              <w:rPr>
                <w:rStyle w:val="Hyperlink"/>
                <w:noProof/>
              </w:rPr>
              <w:t>B3.4</w:t>
            </w:r>
            <w:r w:rsidR="002D333E">
              <w:rPr>
                <w:noProof/>
                <w:lang w:eastAsia="en-AU"/>
              </w:rPr>
              <w:tab/>
            </w:r>
            <w:r w:rsidR="002D333E" w:rsidRPr="004D78F1">
              <w:rPr>
                <w:rStyle w:val="Hyperlink"/>
                <w:noProof/>
              </w:rPr>
              <w:t>Statistical techniques used</w:t>
            </w:r>
            <w:r w:rsidR="002D333E">
              <w:rPr>
                <w:noProof/>
                <w:webHidden/>
              </w:rPr>
              <w:tab/>
            </w:r>
            <w:r w:rsidR="002D333E">
              <w:rPr>
                <w:noProof/>
                <w:webHidden/>
              </w:rPr>
              <w:fldChar w:fldCharType="begin"/>
            </w:r>
            <w:r w:rsidR="002D333E">
              <w:rPr>
                <w:noProof/>
                <w:webHidden/>
              </w:rPr>
              <w:instrText xml:space="preserve"> PAGEREF _Toc22543196 \h </w:instrText>
            </w:r>
            <w:r w:rsidR="002D333E">
              <w:rPr>
                <w:noProof/>
                <w:webHidden/>
              </w:rPr>
            </w:r>
            <w:r w:rsidR="002D333E">
              <w:rPr>
                <w:noProof/>
                <w:webHidden/>
              </w:rPr>
              <w:fldChar w:fldCharType="separate"/>
            </w:r>
            <w:r w:rsidR="00D87DBB">
              <w:rPr>
                <w:noProof/>
                <w:webHidden/>
              </w:rPr>
              <w:t>235</w:t>
            </w:r>
            <w:r w:rsidR="002D333E">
              <w:rPr>
                <w:noProof/>
                <w:webHidden/>
              </w:rPr>
              <w:fldChar w:fldCharType="end"/>
            </w:r>
          </w:hyperlink>
        </w:p>
        <w:p w14:paraId="25FB2305" w14:textId="082356AD" w:rsidR="002D333E" w:rsidRDefault="00864C5E">
          <w:pPr>
            <w:pStyle w:val="TOC2"/>
            <w:tabs>
              <w:tab w:val="left" w:pos="880"/>
              <w:tab w:val="right" w:leader="dot" w:pos="9016"/>
            </w:tabs>
            <w:rPr>
              <w:noProof/>
              <w:lang w:eastAsia="en-AU"/>
            </w:rPr>
          </w:pPr>
          <w:hyperlink w:anchor="_Toc22543197" w:history="1">
            <w:r w:rsidR="002D333E" w:rsidRPr="004D78F1">
              <w:rPr>
                <w:rStyle w:val="Hyperlink"/>
                <w:noProof/>
              </w:rPr>
              <w:t>B4</w:t>
            </w:r>
            <w:r w:rsidR="002D333E">
              <w:rPr>
                <w:noProof/>
                <w:lang w:eastAsia="en-AU"/>
              </w:rPr>
              <w:tab/>
            </w:r>
            <w:r w:rsidR="002D333E" w:rsidRPr="004D78F1">
              <w:rPr>
                <w:rStyle w:val="Hyperlink"/>
                <w:noProof/>
              </w:rPr>
              <w:t>Measuring the effect of the CAP</w:t>
            </w:r>
            <w:r w:rsidR="002D333E">
              <w:rPr>
                <w:noProof/>
                <w:webHidden/>
              </w:rPr>
              <w:tab/>
            </w:r>
            <w:r w:rsidR="002D333E">
              <w:rPr>
                <w:noProof/>
                <w:webHidden/>
              </w:rPr>
              <w:fldChar w:fldCharType="begin"/>
            </w:r>
            <w:r w:rsidR="002D333E">
              <w:rPr>
                <w:noProof/>
                <w:webHidden/>
              </w:rPr>
              <w:instrText xml:space="preserve"> PAGEREF _Toc22543197 \h </w:instrText>
            </w:r>
            <w:r w:rsidR="002D333E">
              <w:rPr>
                <w:noProof/>
                <w:webHidden/>
              </w:rPr>
            </w:r>
            <w:r w:rsidR="002D333E">
              <w:rPr>
                <w:noProof/>
                <w:webHidden/>
              </w:rPr>
              <w:fldChar w:fldCharType="separate"/>
            </w:r>
            <w:r w:rsidR="00D87DBB">
              <w:rPr>
                <w:noProof/>
                <w:webHidden/>
              </w:rPr>
              <w:t>236</w:t>
            </w:r>
            <w:r w:rsidR="002D333E">
              <w:rPr>
                <w:noProof/>
                <w:webHidden/>
              </w:rPr>
              <w:fldChar w:fldCharType="end"/>
            </w:r>
          </w:hyperlink>
        </w:p>
        <w:p w14:paraId="2E7B395B" w14:textId="5654DC63" w:rsidR="002D333E" w:rsidRDefault="00864C5E">
          <w:pPr>
            <w:pStyle w:val="TOC3"/>
            <w:tabs>
              <w:tab w:val="left" w:pos="1100"/>
              <w:tab w:val="right" w:leader="dot" w:pos="9016"/>
            </w:tabs>
            <w:rPr>
              <w:noProof/>
              <w:lang w:eastAsia="en-AU"/>
            </w:rPr>
          </w:pPr>
          <w:hyperlink w:anchor="_Toc22543198" w:history="1">
            <w:r w:rsidR="002D333E" w:rsidRPr="004D78F1">
              <w:rPr>
                <w:rStyle w:val="Hyperlink"/>
                <w:noProof/>
              </w:rPr>
              <w:t>B4.1</w:t>
            </w:r>
            <w:r w:rsidR="002D333E">
              <w:rPr>
                <w:noProof/>
                <w:lang w:eastAsia="en-AU"/>
              </w:rPr>
              <w:tab/>
            </w:r>
            <w:r w:rsidR="002D333E" w:rsidRPr="004D78F1">
              <w:rPr>
                <w:rStyle w:val="Hyperlink"/>
                <w:noProof/>
              </w:rPr>
              <w:t>Measures</w:t>
            </w:r>
            <w:r w:rsidR="002D333E">
              <w:rPr>
                <w:noProof/>
                <w:webHidden/>
              </w:rPr>
              <w:tab/>
            </w:r>
            <w:r w:rsidR="002D333E">
              <w:rPr>
                <w:noProof/>
                <w:webHidden/>
              </w:rPr>
              <w:fldChar w:fldCharType="begin"/>
            </w:r>
            <w:r w:rsidR="002D333E">
              <w:rPr>
                <w:noProof/>
                <w:webHidden/>
              </w:rPr>
              <w:instrText xml:space="preserve"> PAGEREF _Toc22543198 \h </w:instrText>
            </w:r>
            <w:r w:rsidR="002D333E">
              <w:rPr>
                <w:noProof/>
                <w:webHidden/>
              </w:rPr>
            </w:r>
            <w:r w:rsidR="002D333E">
              <w:rPr>
                <w:noProof/>
                <w:webHidden/>
              </w:rPr>
              <w:fldChar w:fldCharType="separate"/>
            </w:r>
            <w:r w:rsidR="00D87DBB">
              <w:rPr>
                <w:noProof/>
                <w:webHidden/>
              </w:rPr>
              <w:t>236</w:t>
            </w:r>
            <w:r w:rsidR="002D333E">
              <w:rPr>
                <w:noProof/>
                <w:webHidden/>
              </w:rPr>
              <w:fldChar w:fldCharType="end"/>
            </w:r>
          </w:hyperlink>
        </w:p>
        <w:p w14:paraId="485416EC" w14:textId="23A59AFC" w:rsidR="002D333E" w:rsidRDefault="00864C5E">
          <w:pPr>
            <w:pStyle w:val="TOC3"/>
            <w:tabs>
              <w:tab w:val="left" w:pos="1100"/>
              <w:tab w:val="right" w:leader="dot" w:pos="9016"/>
            </w:tabs>
            <w:rPr>
              <w:noProof/>
              <w:lang w:eastAsia="en-AU"/>
            </w:rPr>
          </w:pPr>
          <w:hyperlink w:anchor="_Toc22543199" w:history="1">
            <w:r w:rsidR="002D333E" w:rsidRPr="004D78F1">
              <w:rPr>
                <w:rStyle w:val="Hyperlink"/>
                <w:noProof/>
              </w:rPr>
              <w:t>B4.2</w:t>
            </w:r>
            <w:r w:rsidR="002D333E">
              <w:rPr>
                <w:noProof/>
                <w:lang w:eastAsia="en-AU"/>
              </w:rPr>
              <w:tab/>
            </w:r>
            <w:r w:rsidR="002D333E" w:rsidRPr="004D78F1">
              <w:rPr>
                <w:rStyle w:val="Hyperlink"/>
                <w:noProof/>
              </w:rPr>
              <w:t>Study populations</w:t>
            </w:r>
            <w:r w:rsidR="002D333E">
              <w:rPr>
                <w:noProof/>
                <w:webHidden/>
              </w:rPr>
              <w:tab/>
            </w:r>
            <w:r w:rsidR="002D333E">
              <w:rPr>
                <w:noProof/>
                <w:webHidden/>
              </w:rPr>
              <w:fldChar w:fldCharType="begin"/>
            </w:r>
            <w:r w:rsidR="002D333E">
              <w:rPr>
                <w:noProof/>
                <w:webHidden/>
              </w:rPr>
              <w:instrText xml:space="preserve"> PAGEREF _Toc22543199 \h </w:instrText>
            </w:r>
            <w:r w:rsidR="002D333E">
              <w:rPr>
                <w:noProof/>
                <w:webHidden/>
              </w:rPr>
            </w:r>
            <w:r w:rsidR="002D333E">
              <w:rPr>
                <w:noProof/>
                <w:webHidden/>
              </w:rPr>
              <w:fldChar w:fldCharType="separate"/>
            </w:r>
            <w:r w:rsidR="00D87DBB">
              <w:rPr>
                <w:noProof/>
                <w:webHidden/>
              </w:rPr>
              <w:t>236</w:t>
            </w:r>
            <w:r w:rsidR="002D333E">
              <w:rPr>
                <w:noProof/>
                <w:webHidden/>
              </w:rPr>
              <w:fldChar w:fldCharType="end"/>
            </w:r>
          </w:hyperlink>
        </w:p>
        <w:p w14:paraId="5D0044C8" w14:textId="21152DB9" w:rsidR="002D333E" w:rsidRDefault="00864C5E">
          <w:pPr>
            <w:pStyle w:val="TOC3"/>
            <w:tabs>
              <w:tab w:val="left" w:pos="1100"/>
              <w:tab w:val="right" w:leader="dot" w:pos="9016"/>
            </w:tabs>
            <w:rPr>
              <w:noProof/>
              <w:lang w:eastAsia="en-AU"/>
            </w:rPr>
          </w:pPr>
          <w:hyperlink w:anchor="_Toc22543200" w:history="1">
            <w:r w:rsidR="002D333E" w:rsidRPr="004D78F1">
              <w:rPr>
                <w:rStyle w:val="Hyperlink"/>
                <w:noProof/>
              </w:rPr>
              <w:t>B4.3</w:t>
            </w:r>
            <w:r w:rsidR="002D333E">
              <w:rPr>
                <w:noProof/>
                <w:lang w:eastAsia="en-AU"/>
              </w:rPr>
              <w:tab/>
            </w:r>
            <w:r w:rsidR="002D333E" w:rsidRPr="004D78F1">
              <w:rPr>
                <w:rStyle w:val="Hyperlink"/>
                <w:noProof/>
              </w:rPr>
              <w:t>Statistical techniques used</w:t>
            </w:r>
            <w:r w:rsidR="002D333E">
              <w:rPr>
                <w:noProof/>
                <w:webHidden/>
              </w:rPr>
              <w:tab/>
            </w:r>
            <w:r w:rsidR="002D333E">
              <w:rPr>
                <w:noProof/>
                <w:webHidden/>
              </w:rPr>
              <w:fldChar w:fldCharType="begin"/>
            </w:r>
            <w:r w:rsidR="002D333E">
              <w:rPr>
                <w:noProof/>
                <w:webHidden/>
              </w:rPr>
              <w:instrText xml:space="preserve"> PAGEREF _Toc22543200 \h </w:instrText>
            </w:r>
            <w:r w:rsidR="002D333E">
              <w:rPr>
                <w:noProof/>
                <w:webHidden/>
              </w:rPr>
            </w:r>
            <w:r w:rsidR="002D333E">
              <w:rPr>
                <w:noProof/>
                <w:webHidden/>
              </w:rPr>
              <w:fldChar w:fldCharType="separate"/>
            </w:r>
            <w:r w:rsidR="00D87DBB">
              <w:rPr>
                <w:noProof/>
                <w:webHidden/>
              </w:rPr>
              <w:t>237</w:t>
            </w:r>
            <w:r w:rsidR="002D333E">
              <w:rPr>
                <w:noProof/>
                <w:webHidden/>
              </w:rPr>
              <w:fldChar w:fldCharType="end"/>
            </w:r>
          </w:hyperlink>
        </w:p>
        <w:p w14:paraId="6E5B9FD2" w14:textId="2A21A071" w:rsidR="002D333E" w:rsidRDefault="00864C5E">
          <w:pPr>
            <w:pStyle w:val="TOC2"/>
            <w:tabs>
              <w:tab w:val="left" w:pos="880"/>
              <w:tab w:val="right" w:leader="dot" w:pos="9016"/>
            </w:tabs>
            <w:rPr>
              <w:noProof/>
              <w:lang w:eastAsia="en-AU"/>
            </w:rPr>
          </w:pPr>
          <w:hyperlink w:anchor="_Toc22543201" w:history="1">
            <w:r w:rsidR="002D333E" w:rsidRPr="004D78F1">
              <w:rPr>
                <w:rStyle w:val="Hyperlink"/>
                <w:noProof/>
              </w:rPr>
              <w:t>B5</w:t>
            </w:r>
            <w:r w:rsidR="002D333E">
              <w:rPr>
                <w:noProof/>
                <w:lang w:eastAsia="en-AU"/>
              </w:rPr>
              <w:tab/>
            </w:r>
            <w:r w:rsidR="002D333E" w:rsidRPr="004D78F1">
              <w:rPr>
                <w:rStyle w:val="Hyperlink"/>
                <w:noProof/>
              </w:rPr>
              <w:t>Assessing changes to Indigenous servicing</w:t>
            </w:r>
            <w:r w:rsidR="002D333E">
              <w:rPr>
                <w:noProof/>
                <w:webHidden/>
              </w:rPr>
              <w:tab/>
            </w:r>
            <w:r w:rsidR="002D333E">
              <w:rPr>
                <w:noProof/>
                <w:webHidden/>
              </w:rPr>
              <w:fldChar w:fldCharType="begin"/>
            </w:r>
            <w:r w:rsidR="002D333E">
              <w:rPr>
                <w:noProof/>
                <w:webHidden/>
              </w:rPr>
              <w:instrText xml:space="preserve"> PAGEREF _Toc22543201 \h </w:instrText>
            </w:r>
            <w:r w:rsidR="002D333E">
              <w:rPr>
                <w:noProof/>
                <w:webHidden/>
              </w:rPr>
            </w:r>
            <w:r w:rsidR="002D333E">
              <w:rPr>
                <w:noProof/>
                <w:webHidden/>
              </w:rPr>
              <w:fldChar w:fldCharType="separate"/>
            </w:r>
            <w:r w:rsidR="00D87DBB">
              <w:rPr>
                <w:noProof/>
                <w:webHidden/>
              </w:rPr>
              <w:t>238</w:t>
            </w:r>
            <w:r w:rsidR="002D333E">
              <w:rPr>
                <w:noProof/>
                <w:webHidden/>
              </w:rPr>
              <w:fldChar w:fldCharType="end"/>
            </w:r>
          </w:hyperlink>
        </w:p>
        <w:p w14:paraId="4C0F1C19" w14:textId="27992B9D" w:rsidR="002D333E" w:rsidRDefault="00864C5E">
          <w:pPr>
            <w:pStyle w:val="TOC2"/>
            <w:tabs>
              <w:tab w:val="left" w:pos="880"/>
              <w:tab w:val="right" w:leader="dot" w:pos="9016"/>
            </w:tabs>
            <w:rPr>
              <w:noProof/>
              <w:lang w:eastAsia="en-AU"/>
            </w:rPr>
          </w:pPr>
          <w:hyperlink w:anchor="_Toc22543202" w:history="1">
            <w:r w:rsidR="002D333E" w:rsidRPr="004D78F1">
              <w:rPr>
                <w:rStyle w:val="Hyperlink"/>
                <w:noProof/>
              </w:rPr>
              <w:t>B6</w:t>
            </w:r>
            <w:r w:rsidR="002D333E">
              <w:rPr>
                <w:noProof/>
                <w:lang w:eastAsia="en-AU"/>
              </w:rPr>
              <w:tab/>
            </w:r>
            <w:r w:rsidR="002D333E" w:rsidRPr="004D78F1">
              <w:rPr>
                <w:rStyle w:val="Hyperlink"/>
                <w:rFonts w:cs="Arial"/>
                <w:iCs/>
                <w:noProof/>
              </w:rPr>
              <w:t>Measuring the changes to the red tape costs</w:t>
            </w:r>
            <w:r w:rsidR="002D333E">
              <w:rPr>
                <w:noProof/>
                <w:webHidden/>
              </w:rPr>
              <w:tab/>
            </w:r>
            <w:r w:rsidR="002D333E">
              <w:rPr>
                <w:noProof/>
                <w:webHidden/>
              </w:rPr>
              <w:fldChar w:fldCharType="begin"/>
            </w:r>
            <w:r w:rsidR="002D333E">
              <w:rPr>
                <w:noProof/>
                <w:webHidden/>
              </w:rPr>
              <w:instrText xml:space="preserve"> PAGEREF _Toc22543202 \h </w:instrText>
            </w:r>
            <w:r w:rsidR="002D333E">
              <w:rPr>
                <w:noProof/>
                <w:webHidden/>
              </w:rPr>
            </w:r>
            <w:r w:rsidR="002D333E">
              <w:rPr>
                <w:noProof/>
                <w:webHidden/>
              </w:rPr>
              <w:fldChar w:fldCharType="separate"/>
            </w:r>
            <w:r w:rsidR="00D87DBB">
              <w:rPr>
                <w:noProof/>
                <w:webHidden/>
              </w:rPr>
              <w:t>240</w:t>
            </w:r>
            <w:r w:rsidR="002D333E">
              <w:rPr>
                <w:noProof/>
                <w:webHidden/>
              </w:rPr>
              <w:fldChar w:fldCharType="end"/>
            </w:r>
          </w:hyperlink>
        </w:p>
        <w:p w14:paraId="7AB5B8A1" w14:textId="1E0EACE7" w:rsidR="002D333E" w:rsidRDefault="00864C5E">
          <w:pPr>
            <w:pStyle w:val="TOC2"/>
            <w:tabs>
              <w:tab w:val="left" w:pos="880"/>
              <w:tab w:val="right" w:leader="dot" w:pos="9016"/>
            </w:tabs>
            <w:rPr>
              <w:noProof/>
              <w:lang w:eastAsia="en-AU"/>
            </w:rPr>
          </w:pPr>
          <w:hyperlink w:anchor="_Toc22543203" w:history="1">
            <w:r w:rsidR="002D333E" w:rsidRPr="004D78F1">
              <w:rPr>
                <w:rStyle w:val="Hyperlink"/>
                <w:noProof/>
              </w:rPr>
              <w:t>B7</w:t>
            </w:r>
            <w:r w:rsidR="002D333E">
              <w:rPr>
                <w:noProof/>
                <w:lang w:eastAsia="en-AU"/>
              </w:rPr>
              <w:tab/>
            </w:r>
            <w:r w:rsidR="002D333E" w:rsidRPr="004D78F1">
              <w:rPr>
                <w:rStyle w:val="Hyperlink"/>
                <w:noProof/>
              </w:rPr>
              <w:t>Measuring the changes to the job seeker participation and compliance framework</w:t>
            </w:r>
            <w:r w:rsidR="002D333E">
              <w:rPr>
                <w:noProof/>
                <w:webHidden/>
              </w:rPr>
              <w:tab/>
            </w:r>
            <w:r w:rsidR="002D333E">
              <w:rPr>
                <w:noProof/>
                <w:webHidden/>
              </w:rPr>
              <w:fldChar w:fldCharType="begin"/>
            </w:r>
            <w:r w:rsidR="002D333E">
              <w:rPr>
                <w:noProof/>
                <w:webHidden/>
              </w:rPr>
              <w:instrText xml:space="preserve"> PAGEREF _Toc22543203 \h </w:instrText>
            </w:r>
            <w:r w:rsidR="002D333E">
              <w:rPr>
                <w:noProof/>
                <w:webHidden/>
              </w:rPr>
            </w:r>
            <w:r w:rsidR="002D333E">
              <w:rPr>
                <w:noProof/>
                <w:webHidden/>
              </w:rPr>
              <w:fldChar w:fldCharType="separate"/>
            </w:r>
            <w:r w:rsidR="00D87DBB">
              <w:rPr>
                <w:noProof/>
                <w:webHidden/>
              </w:rPr>
              <w:t>240</w:t>
            </w:r>
            <w:r w:rsidR="002D333E">
              <w:rPr>
                <w:noProof/>
                <w:webHidden/>
              </w:rPr>
              <w:fldChar w:fldCharType="end"/>
            </w:r>
          </w:hyperlink>
        </w:p>
        <w:p w14:paraId="2878F89E" w14:textId="47BEA03A" w:rsidR="002D333E" w:rsidRDefault="00864C5E">
          <w:pPr>
            <w:pStyle w:val="TOC3"/>
            <w:tabs>
              <w:tab w:val="left" w:pos="1100"/>
              <w:tab w:val="right" w:leader="dot" w:pos="9016"/>
            </w:tabs>
            <w:rPr>
              <w:noProof/>
              <w:lang w:eastAsia="en-AU"/>
            </w:rPr>
          </w:pPr>
          <w:hyperlink w:anchor="_Toc22543204" w:history="1">
            <w:r w:rsidR="002D333E" w:rsidRPr="004D78F1">
              <w:rPr>
                <w:rStyle w:val="Hyperlink"/>
                <w:noProof/>
              </w:rPr>
              <w:t>B7.1</w:t>
            </w:r>
            <w:r w:rsidR="002D333E">
              <w:rPr>
                <w:noProof/>
                <w:lang w:eastAsia="en-AU"/>
              </w:rPr>
              <w:tab/>
            </w:r>
            <w:r w:rsidR="002D333E" w:rsidRPr="004D78F1">
              <w:rPr>
                <w:rStyle w:val="Hyperlink"/>
                <w:noProof/>
              </w:rPr>
              <w:t>Measures</w:t>
            </w:r>
            <w:r w:rsidR="002D333E">
              <w:rPr>
                <w:noProof/>
                <w:webHidden/>
              </w:rPr>
              <w:tab/>
            </w:r>
            <w:r w:rsidR="002D333E">
              <w:rPr>
                <w:noProof/>
                <w:webHidden/>
              </w:rPr>
              <w:fldChar w:fldCharType="begin"/>
            </w:r>
            <w:r w:rsidR="002D333E">
              <w:rPr>
                <w:noProof/>
                <w:webHidden/>
              </w:rPr>
              <w:instrText xml:space="preserve"> PAGEREF _Toc22543204 \h </w:instrText>
            </w:r>
            <w:r w:rsidR="002D333E">
              <w:rPr>
                <w:noProof/>
                <w:webHidden/>
              </w:rPr>
            </w:r>
            <w:r w:rsidR="002D333E">
              <w:rPr>
                <w:noProof/>
                <w:webHidden/>
              </w:rPr>
              <w:fldChar w:fldCharType="separate"/>
            </w:r>
            <w:r w:rsidR="00D87DBB">
              <w:rPr>
                <w:noProof/>
                <w:webHidden/>
              </w:rPr>
              <w:t>240</w:t>
            </w:r>
            <w:r w:rsidR="002D333E">
              <w:rPr>
                <w:noProof/>
                <w:webHidden/>
              </w:rPr>
              <w:fldChar w:fldCharType="end"/>
            </w:r>
          </w:hyperlink>
        </w:p>
        <w:p w14:paraId="43E69040" w14:textId="18277D57" w:rsidR="002D333E" w:rsidRDefault="00864C5E">
          <w:pPr>
            <w:pStyle w:val="TOC3"/>
            <w:tabs>
              <w:tab w:val="left" w:pos="1100"/>
              <w:tab w:val="right" w:leader="dot" w:pos="9016"/>
            </w:tabs>
            <w:rPr>
              <w:noProof/>
              <w:lang w:eastAsia="en-AU"/>
            </w:rPr>
          </w:pPr>
          <w:hyperlink w:anchor="_Toc22543205" w:history="1">
            <w:r w:rsidR="002D333E" w:rsidRPr="004D78F1">
              <w:rPr>
                <w:rStyle w:val="Hyperlink"/>
                <w:noProof/>
              </w:rPr>
              <w:t>B7.2</w:t>
            </w:r>
            <w:r w:rsidR="002D333E">
              <w:rPr>
                <w:noProof/>
                <w:lang w:eastAsia="en-AU"/>
              </w:rPr>
              <w:tab/>
            </w:r>
            <w:r w:rsidR="002D333E" w:rsidRPr="004D78F1">
              <w:rPr>
                <w:rStyle w:val="Hyperlink"/>
                <w:noProof/>
              </w:rPr>
              <w:t>Study populations</w:t>
            </w:r>
            <w:r w:rsidR="002D333E">
              <w:rPr>
                <w:noProof/>
                <w:webHidden/>
              </w:rPr>
              <w:tab/>
            </w:r>
            <w:r w:rsidR="002D333E">
              <w:rPr>
                <w:noProof/>
                <w:webHidden/>
              </w:rPr>
              <w:fldChar w:fldCharType="begin"/>
            </w:r>
            <w:r w:rsidR="002D333E">
              <w:rPr>
                <w:noProof/>
                <w:webHidden/>
              </w:rPr>
              <w:instrText xml:space="preserve"> PAGEREF _Toc22543205 \h </w:instrText>
            </w:r>
            <w:r w:rsidR="002D333E">
              <w:rPr>
                <w:noProof/>
                <w:webHidden/>
              </w:rPr>
            </w:r>
            <w:r w:rsidR="002D333E">
              <w:rPr>
                <w:noProof/>
                <w:webHidden/>
              </w:rPr>
              <w:fldChar w:fldCharType="separate"/>
            </w:r>
            <w:r w:rsidR="00D87DBB">
              <w:rPr>
                <w:noProof/>
                <w:webHidden/>
              </w:rPr>
              <w:t>240</w:t>
            </w:r>
            <w:r w:rsidR="002D333E">
              <w:rPr>
                <w:noProof/>
                <w:webHidden/>
              </w:rPr>
              <w:fldChar w:fldCharType="end"/>
            </w:r>
          </w:hyperlink>
        </w:p>
        <w:p w14:paraId="7F38D2B2" w14:textId="2A315DBB" w:rsidR="002D333E" w:rsidRDefault="00864C5E">
          <w:pPr>
            <w:pStyle w:val="TOC3"/>
            <w:tabs>
              <w:tab w:val="left" w:pos="1100"/>
              <w:tab w:val="right" w:leader="dot" w:pos="9016"/>
            </w:tabs>
            <w:rPr>
              <w:noProof/>
              <w:lang w:eastAsia="en-AU"/>
            </w:rPr>
          </w:pPr>
          <w:hyperlink w:anchor="_Toc22543206" w:history="1">
            <w:r w:rsidR="002D333E" w:rsidRPr="004D78F1">
              <w:rPr>
                <w:rStyle w:val="Hyperlink"/>
                <w:noProof/>
              </w:rPr>
              <w:t>B7.3</w:t>
            </w:r>
            <w:r w:rsidR="002D333E">
              <w:rPr>
                <w:noProof/>
                <w:lang w:eastAsia="en-AU"/>
              </w:rPr>
              <w:tab/>
            </w:r>
            <w:r w:rsidR="002D333E" w:rsidRPr="004D78F1">
              <w:rPr>
                <w:rStyle w:val="Hyperlink"/>
                <w:noProof/>
              </w:rPr>
              <w:t>Statistical Techniques</w:t>
            </w:r>
            <w:r w:rsidR="002D333E">
              <w:rPr>
                <w:noProof/>
                <w:webHidden/>
              </w:rPr>
              <w:tab/>
            </w:r>
            <w:r w:rsidR="002D333E">
              <w:rPr>
                <w:noProof/>
                <w:webHidden/>
              </w:rPr>
              <w:fldChar w:fldCharType="begin"/>
            </w:r>
            <w:r w:rsidR="002D333E">
              <w:rPr>
                <w:noProof/>
                <w:webHidden/>
              </w:rPr>
              <w:instrText xml:space="preserve"> PAGEREF _Toc22543206 \h </w:instrText>
            </w:r>
            <w:r w:rsidR="002D333E">
              <w:rPr>
                <w:noProof/>
                <w:webHidden/>
              </w:rPr>
            </w:r>
            <w:r w:rsidR="002D333E">
              <w:rPr>
                <w:noProof/>
                <w:webHidden/>
              </w:rPr>
              <w:fldChar w:fldCharType="separate"/>
            </w:r>
            <w:r w:rsidR="00D87DBB">
              <w:rPr>
                <w:noProof/>
                <w:webHidden/>
              </w:rPr>
              <w:t>241</w:t>
            </w:r>
            <w:r w:rsidR="002D333E">
              <w:rPr>
                <w:noProof/>
                <w:webHidden/>
              </w:rPr>
              <w:fldChar w:fldCharType="end"/>
            </w:r>
          </w:hyperlink>
        </w:p>
        <w:p w14:paraId="41F7E2A3" w14:textId="7A75400E" w:rsidR="002D333E" w:rsidRDefault="00864C5E">
          <w:pPr>
            <w:pStyle w:val="TOC2"/>
            <w:tabs>
              <w:tab w:val="left" w:pos="880"/>
              <w:tab w:val="right" w:leader="dot" w:pos="9016"/>
            </w:tabs>
            <w:rPr>
              <w:noProof/>
              <w:lang w:eastAsia="en-AU"/>
            </w:rPr>
          </w:pPr>
          <w:hyperlink w:anchor="_Toc22543207" w:history="1">
            <w:r w:rsidR="002D333E" w:rsidRPr="004D78F1">
              <w:rPr>
                <w:rStyle w:val="Hyperlink"/>
                <w:noProof/>
              </w:rPr>
              <w:t>B8</w:t>
            </w:r>
            <w:r w:rsidR="002D333E">
              <w:rPr>
                <w:noProof/>
                <w:lang w:eastAsia="en-AU"/>
              </w:rPr>
              <w:tab/>
            </w:r>
            <w:r w:rsidR="002D333E" w:rsidRPr="004D78F1">
              <w:rPr>
                <w:rStyle w:val="Hyperlink"/>
                <w:noProof/>
              </w:rPr>
              <w:t>Statistical techniques used in the report</w:t>
            </w:r>
            <w:r w:rsidR="002D333E">
              <w:rPr>
                <w:noProof/>
                <w:webHidden/>
              </w:rPr>
              <w:tab/>
            </w:r>
            <w:r w:rsidR="002D333E">
              <w:rPr>
                <w:noProof/>
                <w:webHidden/>
              </w:rPr>
              <w:fldChar w:fldCharType="begin"/>
            </w:r>
            <w:r w:rsidR="002D333E">
              <w:rPr>
                <w:noProof/>
                <w:webHidden/>
              </w:rPr>
              <w:instrText xml:space="preserve"> PAGEREF _Toc22543207 \h </w:instrText>
            </w:r>
            <w:r w:rsidR="002D333E">
              <w:rPr>
                <w:noProof/>
                <w:webHidden/>
              </w:rPr>
            </w:r>
            <w:r w:rsidR="002D333E">
              <w:rPr>
                <w:noProof/>
                <w:webHidden/>
              </w:rPr>
              <w:fldChar w:fldCharType="separate"/>
            </w:r>
            <w:r w:rsidR="00D87DBB">
              <w:rPr>
                <w:noProof/>
                <w:webHidden/>
              </w:rPr>
              <w:t>242</w:t>
            </w:r>
            <w:r w:rsidR="002D333E">
              <w:rPr>
                <w:noProof/>
                <w:webHidden/>
              </w:rPr>
              <w:fldChar w:fldCharType="end"/>
            </w:r>
          </w:hyperlink>
        </w:p>
        <w:p w14:paraId="5DBE5750" w14:textId="20F89BE5" w:rsidR="002D333E" w:rsidRDefault="00864C5E">
          <w:pPr>
            <w:pStyle w:val="TOC3"/>
            <w:tabs>
              <w:tab w:val="left" w:pos="1100"/>
              <w:tab w:val="right" w:leader="dot" w:pos="9016"/>
            </w:tabs>
            <w:rPr>
              <w:noProof/>
              <w:lang w:eastAsia="en-AU"/>
            </w:rPr>
          </w:pPr>
          <w:hyperlink w:anchor="_Toc22543208" w:history="1">
            <w:r w:rsidR="002D333E" w:rsidRPr="004D78F1">
              <w:rPr>
                <w:rStyle w:val="Hyperlink"/>
                <w:noProof/>
              </w:rPr>
              <w:t>B8.1</w:t>
            </w:r>
            <w:r w:rsidR="002D333E">
              <w:rPr>
                <w:noProof/>
                <w:lang w:eastAsia="en-AU"/>
              </w:rPr>
              <w:tab/>
            </w:r>
            <w:r w:rsidR="002D333E" w:rsidRPr="004D78F1">
              <w:rPr>
                <w:rStyle w:val="Hyperlink"/>
                <w:noProof/>
              </w:rPr>
              <w:t>Logistic regression</w:t>
            </w:r>
            <w:r w:rsidR="002D333E">
              <w:rPr>
                <w:noProof/>
                <w:webHidden/>
              </w:rPr>
              <w:tab/>
            </w:r>
            <w:r w:rsidR="002D333E">
              <w:rPr>
                <w:noProof/>
                <w:webHidden/>
              </w:rPr>
              <w:fldChar w:fldCharType="begin"/>
            </w:r>
            <w:r w:rsidR="002D333E">
              <w:rPr>
                <w:noProof/>
                <w:webHidden/>
              </w:rPr>
              <w:instrText xml:space="preserve"> PAGEREF _Toc22543208 \h </w:instrText>
            </w:r>
            <w:r w:rsidR="002D333E">
              <w:rPr>
                <w:noProof/>
                <w:webHidden/>
              </w:rPr>
            </w:r>
            <w:r w:rsidR="002D333E">
              <w:rPr>
                <w:noProof/>
                <w:webHidden/>
              </w:rPr>
              <w:fldChar w:fldCharType="separate"/>
            </w:r>
            <w:r w:rsidR="00D87DBB">
              <w:rPr>
                <w:noProof/>
                <w:webHidden/>
              </w:rPr>
              <w:t>242</w:t>
            </w:r>
            <w:r w:rsidR="002D333E">
              <w:rPr>
                <w:noProof/>
                <w:webHidden/>
              </w:rPr>
              <w:fldChar w:fldCharType="end"/>
            </w:r>
          </w:hyperlink>
        </w:p>
        <w:p w14:paraId="6A287891" w14:textId="0A39C45D" w:rsidR="002D333E" w:rsidRDefault="00864C5E">
          <w:pPr>
            <w:pStyle w:val="TOC3"/>
            <w:tabs>
              <w:tab w:val="left" w:pos="1100"/>
              <w:tab w:val="right" w:leader="dot" w:pos="9016"/>
            </w:tabs>
            <w:rPr>
              <w:noProof/>
              <w:lang w:eastAsia="en-AU"/>
            </w:rPr>
          </w:pPr>
          <w:hyperlink w:anchor="_Toc22543209" w:history="1">
            <w:r w:rsidR="002D333E" w:rsidRPr="004D78F1">
              <w:rPr>
                <w:rStyle w:val="Hyperlink"/>
                <w:noProof/>
              </w:rPr>
              <w:t>B8.2</w:t>
            </w:r>
            <w:r w:rsidR="002D333E">
              <w:rPr>
                <w:noProof/>
                <w:lang w:eastAsia="en-AU"/>
              </w:rPr>
              <w:tab/>
            </w:r>
            <w:r w:rsidR="002D333E" w:rsidRPr="004D78F1">
              <w:rPr>
                <w:rStyle w:val="Hyperlink"/>
                <w:noProof/>
              </w:rPr>
              <w:t>Multinomial logistic regression</w:t>
            </w:r>
            <w:r w:rsidR="002D333E">
              <w:rPr>
                <w:noProof/>
                <w:webHidden/>
              </w:rPr>
              <w:tab/>
            </w:r>
            <w:r w:rsidR="002D333E">
              <w:rPr>
                <w:noProof/>
                <w:webHidden/>
              </w:rPr>
              <w:fldChar w:fldCharType="begin"/>
            </w:r>
            <w:r w:rsidR="002D333E">
              <w:rPr>
                <w:noProof/>
                <w:webHidden/>
              </w:rPr>
              <w:instrText xml:space="preserve"> PAGEREF _Toc22543209 \h </w:instrText>
            </w:r>
            <w:r w:rsidR="002D333E">
              <w:rPr>
                <w:noProof/>
                <w:webHidden/>
              </w:rPr>
            </w:r>
            <w:r w:rsidR="002D333E">
              <w:rPr>
                <w:noProof/>
                <w:webHidden/>
              </w:rPr>
              <w:fldChar w:fldCharType="separate"/>
            </w:r>
            <w:r w:rsidR="00D87DBB">
              <w:rPr>
                <w:noProof/>
                <w:webHidden/>
              </w:rPr>
              <w:t>242</w:t>
            </w:r>
            <w:r w:rsidR="002D333E">
              <w:rPr>
                <w:noProof/>
                <w:webHidden/>
              </w:rPr>
              <w:fldChar w:fldCharType="end"/>
            </w:r>
          </w:hyperlink>
        </w:p>
        <w:p w14:paraId="2DA65115" w14:textId="511BF5FA" w:rsidR="002D333E" w:rsidRDefault="00864C5E">
          <w:pPr>
            <w:pStyle w:val="TOC3"/>
            <w:tabs>
              <w:tab w:val="left" w:pos="1100"/>
              <w:tab w:val="right" w:leader="dot" w:pos="9016"/>
            </w:tabs>
            <w:rPr>
              <w:noProof/>
              <w:lang w:eastAsia="en-AU"/>
            </w:rPr>
          </w:pPr>
          <w:hyperlink w:anchor="_Toc22543210" w:history="1">
            <w:r w:rsidR="002D333E" w:rsidRPr="004D78F1">
              <w:rPr>
                <w:rStyle w:val="Hyperlink"/>
                <w:noProof/>
              </w:rPr>
              <w:t>B8.3</w:t>
            </w:r>
            <w:r w:rsidR="002D333E">
              <w:rPr>
                <w:noProof/>
                <w:lang w:eastAsia="en-AU"/>
              </w:rPr>
              <w:tab/>
            </w:r>
            <w:r w:rsidR="002D333E" w:rsidRPr="004D78F1">
              <w:rPr>
                <w:rStyle w:val="Hyperlink"/>
                <w:noProof/>
              </w:rPr>
              <w:t>Survival analysis</w:t>
            </w:r>
            <w:r w:rsidR="002D333E">
              <w:rPr>
                <w:noProof/>
                <w:webHidden/>
              </w:rPr>
              <w:tab/>
            </w:r>
            <w:r w:rsidR="002D333E">
              <w:rPr>
                <w:noProof/>
                <w:webHidden/>
              </w:rPr>
              <w:fldChar w:fldCharType="begin"/>
            </w:r>
            <w:r w:rsidR="002D333E">
              <w:rPr>
                <w:noProof/>
                <w:webHidden/>
              </w:rPr>
              <w:instrText xml:space="preserve"> PAGEREF _Toc22543210 \h </w:instrText>
            </w:r>
            <w:r w:rsidR="002D333E">
              <w:rPr>
                <w:noProof/>
                <w:webHidden/>
              </w:rPr>
            </w:r>
            <w:r w:rsidR="002D333E">
              <w:rPr>
                <w:noProof/>
                <w:webHidden/>
              </w:rPr>
              <w:fldChar w:fldCharType="separate"/>
            </w:r>
            <w:r w:rsidR="00D87DBB">
              <w:rPr>
                <w:noProof/>
                <w:webHidden/>
              </w:rPr>
              <w:t>242</w:t>
            </w:r>
            <w:r w:rsidR="002D333E">
              <w:rPr>
                <w:noProof/>
                <w:webHidden/>
              </w:rPr>
              <w:fldChar w:fldCharType="end"/>
            </w:r>
          </w:hyperlink>
        </w:p>
        <w:p w14:paraId="60815683" w14:textId="12DF4989" w:rsidR="002D333E" w:rsidRDefault="00864C5E">
          <w:pPr>
            <w:pStyle w:val="TOC3"/>
            <w:tabs>
              <w:tab w:val="left" w:pos="1100"/>
              <w:tab w:val="right" w:leader="dot" w:pos="9016"/>
            </w:tabs>
            <w:rPr>
              <w:noProof/>
              <w:lang w:eastAsia="en-AU"/>
            </w:rPr>
          </w:pPr>
          <w:hyperlink w:anchor="_Toc22543211" w:history="1">
            <w:r w:rsidR="002D333E" w:rsidRPr="004D78F1">
              <w:rPr>
                <w:rStyle w:val="Hyperlink"/>
                <w:noProof/>
              </w:rPr>
              <w:t>B8.4</w:t>
            </w:r>
            <w:r w:rsidR="002D333E">
              <w:rPr>
                <w:noProof/>
                <w:lang w:eastAsia="en-AU"/>
              </w:rPr>
              <w:tab/>
            </w:r>
            <w:r w:rsidR="002D333E" w:rsidRPr="004D78F1">
              <w:rPr>
                <w:rStyle w:val="Hyperlink"/>
                <w:noProof/>
              </w:rPr>
              <w:t>Propensity score matching technique</w:t>
            </w:r>
            <w:r w:rsidR="002D333E">
              <w:rPr>
                <w:noProof/>
                <w:webHidden/>
              </w:rPr>
              <w:tab/>
            </w:r>
            <w:r w:rsidR="002D333E">
              <w:rPr>
                <w:noProof/>
                <w:webHidden/>
              </w:rPr>
              <w:fldChar w:fldCharType="begin"/>
            </w:r>
            <w:r w:rsidR="002D333E">
              <w:rPr>
                <w:noProof/>
                <w:webHidden/>
              </w:rPr>
              <w:instrText xml:space="preserve"> PAGEREF _Toc22543211 \h </w:instrText>
            </w:r>
            <w:r w:rsidR="002D333E">
              <w:rPr>
                <w:noProof/>
                <w:webHidden/>
              </w:rPr>
            </w:r>
            <w:r w:rsidR="002D333E">
              <w:rPr>
                <w:noProof/>
                <w:webHidden/>
              </w:rPr>
              <w:fldChar w:fldCharType="separate"/>
            </w:r>
            <w:r w:rsidR="00D87DBB">
              <w:rPr>
                <w:noProof/>
                <w:webHidden/>
              </w:rPr>
              <w:t>242</w:t>
            </w:r>
            <w:r w:rsidR="002D333E">
              <w:rPr>
                <w:noProof/>
                <w:webHidden/>
              </w:rPr>
              <w:fldChar w:fldCharType="end"/>
            </w:r>
          </w:hyperlink>
        </w:p>
        <w:p w14:paraId="5CE0CF28" w14:textId="058A894A" w:rsidR="002D333E" w:rsidRDefault="00864C5E">
          <w:pPr>
            <w:pStyle w:val="TOC1"/>
            <w:tabs>
              <w:tab w:val="left" w:pos="1320"/>
            </w:tabs>
            <w:rPr>
              <w:b w:val="0"/>
              <w:bCs w:val="0"/>
              <w:noProof/>
              <w:lang w:eastAsia="en-AU"/>
            </w:rPr>
          </w:pPr>
          <w:hyperlink w:anchor="_Toc22543212" w:history="1">
            <w:r w:rsidR="002D333E" w:rsidRPr="004D78F1">
              <w:rPr>
                <w:rStyle w:val="Hyperlink"/>
                <w:noProof/>
              </w:rPr>
              <w:t>Appendix C</w:t>
            </w:r>
            <w:r w:rsidR="002D333E">
              <w:rPr>
                <w:b w:val="0"/>
                <w:bCs w:val="0"/>
                <w:noProof/>
                <w:lang w:eastAsia="en-AU"/>
              </w:rPr>
              <w:tab/>
            </w:r>
            <w:r w:rsidR="002D333E" w:rsidRPr="004D78F1">
              <w:rPr>
                <w:rStyle w:val="Hyperlink"/>
                <w:noProof/>
              </w:rPr>
              <w:t>Changes to the job seeker participation and compliance framework</w:t>
            </w:r>
            <w:r w:rsidR="002D333E">
              <w:rPr>
                <w:noProof/>
                <w:webHidden/>
              </w:rPr>
              <w:tab/>
            </w:r>
            <w:r w:rsidR="002D333E">
              <w:rPr>
                <w:noProof/>
                <w:webHidden/>
              </w:rPr>
              <w:fldChar w:fldCharType="begin"/>
            </w:r>
            <w:r w:rsidR="002D333E">
              <w:rPr>
                <w:noProof/>
                <w:webHidden/>
              </w:rPr>
              <w:instrText xml:space="preserve"> PAGEREF _Toc22543212 \h </w:instrText>
            </w:r>
            <w:r w:rsidR="002D333E">
              <w:rPr>
                <w:noProof/>
                <w:webHidden/>
              </w:rPr>
            </w:r>
            <w:r w:rsidR="002D333E">
              <w:rPr>
                <w:noProof/>
                <w:webHidden/>
              </w:rPr>
              <w:fldChar w:fldCharType="separate"/>
            </w:r>
            <w:r w:rsidR="00D87DBB">
              <w:rPr>
                <w:noProof/>
                <w:webHidden/>
              </w:rPr>
              <w:t>244</w:t>
            </w:r>
            <w:r w:rsidR="002D333E">
              <w:rPr>
                <w:noProof/>
                <w:webHidden/>
              </w:rPr>
              <w:fldChar w:fldCharType="end"/>
            </w:r>
          </w:hyperlink>
        </w:p>
        <w:p w14:paraId="0EEB7074" w14:textId="3E2560F0" w:rsidR="00EF0748" w:rsidRDefault="00EF0748" w:rsidP="00345DBC">
          <w:pPr>
            <w:pStyle w:val="TOC1"/>
            <w:tabs>
              <w:tab w:val="left" w:pos="1320"/>
            </w:tabs>
          </w:pPr>
          <w:r>
            <w:rPr>
              <w:b w:val="0"/>
              <w:bCs w:val="0"/>
              <w:noProof/>
            </w:rPr>
            <w:fldChar w:fldCharType="end"/>
          </w:r>
        </w:p>
      </w:sdtContent>
    </w:sdt>
    <w:p w14:paraId="7945C4F0" w14:textId="77777777" w:rsidR="004F3B01" w:rsidRDefault="004F3B01">
      <w:pPr>
        <w:rPr>
          <w:rFonts w:ascii="Calibri" w:eastAsiaTheme="majorEastAsia" w:hAnsi="Calibri" w:cstheme="majorBidi"/>
          <w:b/>
          <w:bCs/>
          <w:color w:val="1E3D6B"/>
          <w:sz w:val="36"/>
          <w:szCs w:val="28"/>
        </w:rPr>
      </w:pPr>
      <w:r>
        <w:br w:type="page"/>
      </w:r>
    </w:p>
    <w:p w14:paraId="04A1313D" w14:textId="77777777" w:rsidR="008B694A" w:rsidRDefault="008B694A" w:rsidP="008B694A">
      <w:pPr>
        <w:pStyle w:val="Heading1"/>
      </w:pPr>
      <w:bookmarkStart w:id="22" w:name="_Toc22543020"/>
      <w:r>
        <w:t>List of tables</w:t>
      </w:r>
      <w:bookmarkEnd w:id="22"/>
    </w:p>
    <w:bookmarkStart w:id="23" w:name="_Toc401826404"/>
    <w:bookmarkStart w:id="24" w:name="_Toc402170604"/>
    <w:p w14:paraId="20CD9DB3" w14:textId="5032EA49" w:rsidR="007A56BD" w:rsidRDefault="005D1D37">
      <w:pPr>
        <w:pStyle w:val="TableofFigures"/>
        <w:tabs>
          <w:tab w:val="right" w:leader="dot" w:pos="9016"/>
        </w:tabs>
        <w:rPr>
          <w:rFonts w:cstheme="minorBidi"/>
          <w:noProof/>
          <w:sz w:val="22"/>
          <w:szCs w:val="22"/>
          <w:lang w:eastAsia="en-AU"/>
        </w:rPr>
      </w:pPr>
      <w:r>
        <w:rPr>
          <w:i/>
          <w:iCs/>
        </w:rPr>
        <w:fldChar w:fldCharType="begin"/>
      </w:r>
      <w:r>
        <w:rPr>
          <w:i/>
          <w:iCs/>
        </w:rPr>
        <w:instrText xml:space="preserve"> TOC \h \z \t "Table for contents" \c </w:instrText>
      </w:r>
      <w:r>
        <w:rPr>
          <w:i/>
          <w:iCs/>
        </w:rPr>
        <w:fldChar w:fldCharType="separate"/>
      </w:r>
      <w:hyperlink w:anchor="_Toc22543965" w:history="1">
        <w:r w:rsidR="007A56BD" w:rsidRPr="005E1E29">
          <w:rPr>
            <w:rStyle w:val="Hyperlink"/>
            <w:noProof/>
          </w:rPr>
          <w:t>Appendix B</w:t>
        </w:r>
        <w:r w:rsidR="007A56BD">
          <w:rPr>
            <w:rFonts w:cstheme="minorBidi"/>
            <w:noProof/>
            <w:sz w:val="22"/>
            <w:szCs w:val="22"/>
            <w:lang w:eastAsia="en-AU"/>
          </w:rPr>
          <w:tab/>
        </w:r>
        <w:r w:rsidR="007A56BD" w:rsidRPr="005E1E29">
          <w:rPr>
            <w:rStyle w:val="Hyperlink"/>
            <w:noProof/>
          </w:rPr>
          <w:t>Methodology 222</w:t>
        </w:r>
        <w:r w:rsidR="007A56BD">
          <w:rPr>
            <w:noProof/>
            <w:webHidden/>
          </w:rPr>
          <w:tab/>
        </w:r>
        <w:r w:rsidR="007A56BD">
          <w:rPr>
            <w:noProof/>
            <w:webHidden/>
          </w:rPr>
          <w:fldChar w:fldCharType="begin"/>
        </w:r>
        <w:r w:rsidR="007A56BD">
          <w:rPr>
            <w:noProof/>
            <w:webHidden/>
          </w:rPr>
          <w:instrText xml:space="preserve"> PAGEREF _Toc22543965 \h </w:instrText>
        </w:r>
        <w:r w:rsidR="007A56BD">
          <w:rPr>
            <w:noProof/>
            <w:webHidden/>
          </w:rPr>
        </w:r>
        <w:r w:rsidR="007A56BD">
          <w:rPr>
            <w:noProof/>
            <w:webHidden/>
          </w:rPr>
          <w:fldChar w:fldCharType="separate"/>
        </w:r>
        <w:r w:rsidR="00D87DBB">
          <w:rPr>
            <w:noProof/>
            <w:webHidden/>
          </w:rPr>
          <w:t>vi</w:t>
        </w:r>
        <w:r w:rsidR="007A56BD">
          <w:rPr>
            <w:noProof/>
            <w:webHidden/>
          </w:rPr>
          <w:fldChar w:fldCharType="end"/>
        </w:r>
      </w:hyperlink>
    </w:p>
    <w:p w14:paraId="0B27B293" w14:textId="21CC9C32" w:rsidR="007A56BD" w:rsidRDefault="00864C5E">
      <w:pPr>
        <w:pStyle w:val="TableofFigures"/>
        <w:tabs>
          <w:tab w:val="right" w:leader="dot" w:pos="9016"/>
        </w:tabs>
        <w:rPr>
          <w:rFonts w:cstheme="minorBidi"/>
          <w:noProof/>
          <w:sz w:val="22"/>
          <w:szCs w:val="22"/>
          <w:lang w:eastAsia="en-AU"/>
        </w:rPr>
      </w:pPr>
      <w:hyperlink w:anchor="_Toc22543966" w:history="1">
        <w:r w:rsidR="007A56BD" w:rsidRPr="005E1E29">
          <w:rPr>
            <w:rStyle w:val="Hyperlink"/>
            <w:noProof/>
          </w:rPr>
          <w:t>Table 1.1: Modifications to JSA for or during the 2012 contract period</w:t>
        </w:r>
        <w:r w:rsidR="007A56BD">
          <w:rPr>
            <w:noProof/>
            <w:webHidden/>
          </w:rPr>
          <w:tab/>
        </w:r>
        <w:r w:rsidR="007A56BD">
          <w:rPr>
            <w:noProof/>
            <w:webHidden/>
          </w:rPr>
          <w:fldChar w:fldCharType="begin"/>
        </w:r>
        <w:r w:rsidR="007A56BD">
          <w:rPr>
            <w:noProof/>
            <w:webHidden/>
          </w:rPr>
          <w:instrText xml:space="preserve"> PAGEREF _Toc22543966 \h </w:instrText>
        </w:r>
        <w:r w:rsidR="007A56BD">
          <w:rPr>
            <w:noProof/>
            <w:webHidden/>
          </w:rPr>
        </w:r>
        <w:r w:rsidR="007A56BD">
          <w:rPr>
            <w:noProof/>
            <w:webHidden/>
          </w:rPr>
          <w:fldChar w:fldCharType="separate"/>
        </w:r>
        <w:r w:rsidR="00D87DBB">
          <w:rPr>
            <w:noProof/>
            <w:webHidden/>
          </w:rPr>
          <w:t>13</w:t>
        </w:r>
        <w:r w:rsidR="007A56BD">
          <w:rPr>
            <w:noProof/>
            <w:webHidden/>
          </w:rPr>
          <w:fldChar w:fldCharType="end"/>
        </w:r>
      </w:hyperlink>
    </w:p>
    <w:p w14:paraId="0CFA5D04" w14:textId="71484392" w:rsidR="007A56BD" w:rsidRDefault="00864C5E">
      <w:pPr>
        <w:pStyle w:val="TableofFigures"/>
        <w:tabs>
          <w:tab w:val="right" w:leader="dot" w:pos="9016"/>
        </w:tabs>
        <w:rPr>
          <w:rFonts w:cstheme="minorBidi"/>
          <w:noProof/>
          <w:sz w:val="22"/>
          <w:szCs w:val="22"/>
          <w:lang w:eastAsia="en-AU"/>
        </w:rPr>
      </w:pPr>
      <w:hyperlink w:anchor="_Toc22543967" w:history="1">
        <w:r w:rsidR="007A56BD" w:rsidRPr="005E1E29">
          <w:rPr>
            <w:rStyle w:val="Hyperlink"/>
            <w:noProof/>
          </w:rPr>
          <w:t>Table 1.2: Programmes/Measures which may have affected the comparability of the performance of employment services</w:t>
        </w:r>
        <w:r w:rsidR="007A56BD">
          <w:rPr>
            <w:noProof/>
            <w:webHidden/>
          </w:rPr>
          <w:tab/>
        </w:r>
        <w:r w:rsidR="007A56BD">
          <w:rPr>
            <w:noProof/>
            <w:webHidden/>
          </w:rPr>
          <w:fldChar w:fldCharType="begin"/>
        </w:r>
        <w:r w:rsidR="007A56BD">
          <w:rPr>
            <w:noProof/>
            <w:webHidden/>
          </w:rPr>
          <w:instrText xml:space="preserve"> PAGEREF _Toc22543967 \h </w:instrText>
        </w:r>
        <w:r w:rsidR="007A56BD">
          <w:rPr>
            <w:noProof/>
            <w:webHidden/>
          </w:rPr>
        </w:r>
        <w:r w:rsidR="007A56BD">
          <w:rPr>
            <w:noProof/>
            <w:webHidden/>
          </w:rPr>
          <w:fldChar w:fldCharType="separate"/>
        </w:r>
        <w:r w:rsidR="00D87DBB">
          <w:rPr>
            <w:noProof/>
            <w:webHidden/>
          </w:rPr>
          <w:t>18</w:t>
        </w:r>
        <w:r w:rsidR="007A56BD">
          <w:rPr>
            <w:noProof/>
            <w:webHidden/>
          </w:rPr>
          <w:fldChar w:fldCharType="end"/>
        </w:r>
      </w:hyperlink>
    </w:p>
    <w:p w14:paraId="0D0716B5" w14:textId="69B512CA" w:rsidR="007A56BD" w:rsidRDefault="00864C5E">
      <w:pPr>
        <w:pStyle w:val="TableofFigures"/>
        <w:tabs>
          <w:tab w:val="right" w:leader="dot" w:pos="9016"/>
        </w:tabs>
        <w:rPr>
          <w:rFonts w:cstheme="minorBidi"/>
          <w:noProof/>
          <w:sz w:val="22"/>
          <w:szCs w:val="22"/>
          <w:lang w:eastAsia="en-AU"/>
        </w:rPr>
      </w:pPr>
      <w:hyperlink w:anchor="_Toc22543970" w:history="1">
        <w:r w:rsidR="007A56BD" w:rsidRPr="005E1E29">
          <w:rPr>
            <w:rStyle w:val="Hyperlink"/>
            <w:noProof/>
          </w:rPr>
          <w:t>Table 2.1: Caseload by Stream July 2012 and June 2015 (per cent)</w:t>
        </w:r>
        <w:r w:rsidR="007A56BD">
          <w:rPr>
            <w:noProof/>
            <w:webHidden/>
          </w:rPr>
          <w:tab/>
        </w:r>
        <w:r w:rsidR="007A56BD">
          <w:rPr>
            <w:noProof/>
            <w:webHidden/>
          </w:rPr>
          <w:fldChar w:fldCharType="begin"/>
        </w:r>
        <w:r w:rsidR="007A56BD">
          <w:rPr>
            <w:noProof/>
            <w:webHidden/>
          </w:rPr>
          <w:instrText xml:space="preserve"> PAGEREF _Toc22543970 \h </w:instrText>
        </w:r>
        <w:r w:rsidR="007A56BD">
          <w:rPr>
            <w:noProof/>
            <w:webHidden/>
          </w:rPr>
        </w:r>
        <w:r w:rsidR="007A56BD">
          <w:rPr>
            <w:noProof/>
            <w:webHidden/>
          </w:rPr>
          <w:fldChar w:fldCharType="separate"/>
        </w:r>
        <w:r w:rsidR="00D87DBB">
          <w:rPr>
            <w:noProof/>
            <w:webHidden/>
          </w:rPr>
          <w:t>23</w:t>
        </w:r>
        <w:r w:rsidR="007A56BD">
          <w:rPr>
            <w:noProof/>
            <w:webHidden/>
          </w:rPr>
          <w:fldChar w:fldCharType="end"/>
        </w:r>
      </w:hyperlink>
    </w:p>
    <w:p w14:paraId="63FEDBA5" w14:textId="7ED11EB7" w:rsidR="007A56BD" w:rsidRDefault="00864C5E">
      <w:pPr>
        <w:pStyle w:val="TableofFigures"/>
        <w:tabs>
          <w:tab w:val="right" w:leader="dot" w:pos="9016"/>
        </w:tabs>
        <w:rPr>
          <w:rFonts w:cstheme="minorBidi"/>
          <w:noProof/>
          <w:sz w:val="22"/>
          <w:szCs w:val="22"/>
          <w:lang w:eastAsia="en-AU"/>
        </w:rPr>
      </w:pPr>
      <w:hyperlink w:anchor="_Toc22543971" w:history="1">
        <w:r w:rsidR="007A56BD" w:rsidRPr="005E1E29">
          <w:rPr>
            <w:rStyle w:val="Hyperlink"/>
            <w:noProof/>
          </w:rPr>
          <w:t>Table 2.2: Job placements and employment outcomes, 1 July 2012 to 30 June 2015</w:t>
        </w:r>
        <w:r w:rsidR="007A56BD">
          <w:rPr>
            <w:noProof/>
            <w:webHidden/>
          </w:rPr>
          <w:tab/>
        </w:r>
        <w:r w:rsidR="007A56BD">
          <w:rPr>
            <w:noProof/>
            <w:webHidden/>
          </w:rPr>
          <w:fldChar w:fldCharType="begin"/>
        </w:r>
        <w:r w:rsidR="007A56BD">
          <w:rPr>
            <w:noProof/>
            <w:webHidden/>
          </w:rPr>
          <w:instrText xml:space="preserve"> PAGEREF _Toc22543971 \h </w:instrText>
        </w:r>
        <w:r w:rsidR="007A56BD">
          <w:rPr>
            <w:noProof/>
            <w:webHidden/>
          </w:rPr>
        </w:r>
        <w:r w:rsidR="007A56BD">
          <w:rPr>
            <w:noProof/>
            <w:webHidden/>
          </w:rPr>
          <w:fldChar w:fldCharType="separate"/>
        </w:r>
        <w:r w:rsidR="00D87DBB">
          <w:rPr>
            <w:noProof/>
            <w:webHidden/>
          </w:rPr>
          <w:t>24</w:t>
        </w:r>
        <w:r w:rsidR="007A56BD">
          <w:rPr>
            <w:noProof/>
            <w:webHidden/>
          </w:rPr>
          <w:fldChar w:fldCharType="end"/>
        </w:r>
      </w:hyperlink>
    </w:p>
    <w:p w14:paraId="433D2421" w14:textId="515A0821" w:rsidR="007A56BD" w:rsidRDefault="00864C5E">
      <w:pPr>
        <w:pStyle w:val="TableofFigures"/>
        <w:tabs>
          <w:tab w:val="right" w:leader="dot" w:pos="9016"/>
        </w:tabs>
        <w:rPr>
          <w:rFonts w:cstheme="minorBidi"/>
          <w:noProof/>
          <w:sz w:val="22"/>
          <w:szCs w:val="22"/>
          <w:lang w:eastAsia="en-AU"/>
        </w:rPr>
      </w:pPr>
      <w:hyperlink w:anchor="_Toc22543972" w:history="1">
        <w:r w:rsidR="007A56BD" w:rsidRPr="005E1E29">
          <w:rPr>
            <w:rStyle w:val="Hyperlink"/>
            <w:noProof/>
          </w:rPr>
          <w:t>Table 2.3: Caseload by income support type July 2012 and June 2015 (per cent)</w:t>
        </w:r>
        <w:r w:rsidR="007A56BD">
          <w:rPr>
            <w:noProof/>
            <w:webHidden/>
          </w:rPr>
          <w:tab/>
        </w:r>
        <w:r w:rsidR="007A56BD">
          <w:rPr>
            <w:noProof/>
            <w:webHidden/>
          </w:rPr>
          <w:fldChar w:fldCharType="begin"/>
        </w:r>
        <w:r w:rsidR="007A56BD">
          <w:rPr>
            <w:noProof/>
            <w:webHidden/>
          </w:rPr>
          <w:instrText xml:space="preserve"> PAGEREF _Toc22543972 \h </w:instrText>
        </w:r>
        <w:r w:rsidR="007A56BD">
          <w:rPr>
            <w:noProof/>
            <w:webHidden/>
          </w:rPr>
        </w:r>
        <w:r w:rsidR="007A56BD">
          <w:rPr>
            <w:noProof/>
            <w:webHidden/>
          </w:rPr>
          <w:fldChar w:fldCharType="separate"/>
        </w:r>
        <w:r w:rsidR="00D87DBB">
          <w:rPr>
            <w:noProof/>
            <w:webHidden/>
          </w:rPr>
          <w:t>25</w:t>
        </w:r>
        <w:r w:rsidR="007A56BD">
          <w:rPr>
            <w:noProof/>
            <w:webHidden/>
          </w:rPr>
          <w:fldChar w:fldCharType="end"/>
        </w:r>
      </w:hyperlink>
    </w:p>
    <w:p w14:paraId="1B9FE201" w14:textId="6596EF97" w:rsidR="007A56BD" w:rsidRDefault="00864C5E">
      <w:pPr>
        <w:pStyle w:val="TableofFigures"/>
        <w:tabs>
          <w:tab w:val="right" w:leader="dot" w:pos="9016"/>
        </w:tabs>
        <w:rPr>
          <w:rFonts w:cstheme="minorBidi"/>
          <w:noProof/>
          <w:sz w:val="22"/>
          <w:szCs w:val="22"/>
          <w:lang w:eastAsia="en-AU"/>
        </w:rPr>
      </w:pPr>
      <w:hyperlink w:anchor="_Toc22543973" w:history="1">
        <w:r w:rsidR="007A56BD" w:rsidRPr="005E1E29">
          <w:rPr>
            <w:rStyle w:val="Hyperlink"/>
            <w:noProof/>
          </w:rPr>
          <w:t>Table 3.1: Registrations in employment services by initial referral mechanism (per cent)</w:t>
        </w:r>
        <w:r w:rsidR="007A56BD">
          <w:rPr>
            <w:noProof/>
            <w:webHidden/>
          </w:rPr>
          <w:tab/>
        </w:r>
        <w:r w:rsidR="007A56BD">
          <w:rPr>
            <w:noProof/>
            <w:webHidden/>
          </w:rPr>
          <w:fldChar w:fldCharType="begin"/>
        </w:r>
        <w:r w:rsidR="007A56BD">
          <w:rPr>
            <w:noProof/>
            <w:webHidden/>
          </w:rPr>
          <w:instrText xml:space="preserve"> PAGEREF _Toc22543973 \h </w:instrText>
        </w:r>
        <w:r w:rsidR="007A56BD">
          <w:rPr>
            <w:noProof/>
            <w:webHidden/>
          </w:rPr>
        </w:r>
        <w:r w:rsidR="007A56BD">
          <w:rPr>
            <w:noProof/>
            <w:webHidden/>
          </w:rPr>
          <w:fldChar w:fldCharType="separate"/>
        </w:r>
        <w:r w:rsidR="00D87DBB">
          <w:rPr>
            <w:noProof/>
            <w:webHidden/>
          </w:rPr>
          <w:t>29</w:t>
        </w:r>
        <w:r w:rsidR="007A56BD">
          <w:rPr>
            <w:noProof/>
            <w:webHidden/>
          </w:rPr>
          <w:fldChar w:fldCharType="end"/>
        </w:r>
      </w:hyperlink>
    </w:p>
    <w:p w14:paraId="5FADF5EF" w14:textId="3FB684D8" w:rsidR="007A56BD" w:rsidRDefault="00864C5E">
      <w:pPr>
        <w:pStyle w:val="TableofFigures"/>
        <w:tabs>
          <w:tab w:val="right" w:leader="dot" w:pos="9016"/>
        </w:tabs>
        <w:rPr>
          <w:rFonts w:cstheme="minorBidi"/>
          <w:noProof/>
          <w:sz w:val="22"/>
          <w:szCs w:val="22"/>
          <w:lang w:eastAsia="en-AU"/>
        </w:rPr>
      </w:pPr>
      <w:hyperlink w:anchor="_Toc22543974" w:history="1">
        <w:r w:rsidR="007A56BD" w:rsidRPr="005E1E29">
          <w:rPr>
            <w:rStyle w:val="Hyperlink"/>
            <w:noProof/>
          </w:rPr>
          <w:t>Table 3.2: Time taken to commence 90 per cent of job seekers from date of registration (days)</w:t>
        </w:r>
        <w:r w:rsidR="007A56BD">
          <w:rPr>
            <w:noProof/>
            <w:webHidden/>
          </w:rPr>
          <w:tab/>
        </w:r>
        <w:r w:rsidR="007A56BD">
          <w:rPr>
            <w:noProof/>
            <w:webHidden/>
          </w:rPr>
          <w:fldChar w:fldCharType="begin"/>
        </w:r>
        <w:r w:rsidR="007A56BD">
          <w:rPr>
            <w:noProof/>
            <w:webHidden/>
          </w:rPr>
          <w:instrText xml:space="preserve"> PAGEREF _Toc22543974 \h </w:instrText>
        </w:r>
        <w:r w:rsidR="007A56BD">
          <w:rPr>
            <w:noProof/>
            <w:webHidden/>
          </w:rPr>
        </w:r>
        <w:r w:rsidR="007A56BD">
          <w:rPr>
            <w:noProof/>
            <w:webHidden/>
          </w:rPr>
          <w:fldChar w:fldCharType="separate"/>
        </w:r>
        <w:r w:rsidR="00D87DBB">
          <w:rPr>
            <w:noProof/>
            <w:webHidden/>
          </w:rPr>
          <w:t>30</w:t>
        </w:r>
        <w:r w:rsidR="007A56BD">
          <w:rPr>
            <w:noProof/>
            <w:webHidden/>
          </w:rPr>
          <w:fldChar w:fldCharType="end"/>
        </w:r>
      </w:hyperlink>
    </w:p>
    <w:p w14:paraId="2FC0CD28" w14:textId="70729D12" w:rsidR="007A56BD" w:rsidRDefault="00864C5E">
      <w:pPr>
        <w:pStyle w:val="TableofFigures"/>
        <w:tabs>
          <w:tab w:val="right" w:leader="dot" w:pos="9016"/>
        </w:tabs>
        <w:rPr>
          <w:rFonts w:cstheme="minorBidi"/>
          <w:noProof/>
          <w:sz w:val="22"/>
          <w:szCs w:val="22"/>
          <w:lang w:eastAsia="en-AU"/>
        </w:rPr>
      </w:pPr>
      <w:hyperlink w:anchor="_Toc22543975" w:history="1">
        <w:r w:rsidR="007A56BD" w:rsidRPr="005E1E29">
          <w:rPr>
            <w:rStyle w:val="Hyperlink"/>
            <w:noProof/>
          </w:rPr>
          <w:t>Table 3.3: Average marginal effect (AME) estimates for income support status 12 months after exiting income support for new entrants, JSA 2012 compared with JSA 2009 (percentage point difference)</w:t>
        </w:r>
        <w:r w:rsidR="007A56BD">
          <w:rPr>
            <w:noProof/>
            <w:webHidden/>
          </w:rPr>
          <w:tab/>
        </w:r>
        <w:r w:rsidR="007A56BD">
          <w:rPr>
            <w:noProof/>
            <w:webHidden/>
          </w:rPr>
          <w:fldChar w:fldCharType="begin"/>
        </w:r>
        <w:r w:rsidR="007A56BD">
          <w:rPr>
            <w:noProof/>
            <w:webHidden/>
          </w:rPr>
          <w:instrText xml:space="preserve"> PAGEREF _Toc22543975 \h </w:instrText>
        </w:r>
        <w:r w:rsidR="007A56BD">
          <w:rPr>
            <w:noProof/>
            <w:webHidden/>
          </w:rPr>
        </w:r>
        <w:r w:rsidR="007A56BD">
          <w:rPr>
            <w:noProof/>
            <w:webHidden/>
          </w:rPr>
          <w:fldChar w:fldCharType="separate"/>
        </w:r>
        <w:r w:rsidR="00D87DBB">
          <w:rPr>
            <w:noProof/>
            <w:webHidden/>
          </w:rPr>
          <w:t>34</w:t>
        </w:r>
        <w:r w:rsidR="007A56BD">
          <w:rPr>
            <w:noProof/>
            <w:webHidden/>
          </w:rPr>
          <w:fldChar w:fldCharType="end"/>
        </w:r>
      </w:hyperlink>
    </w:p>
    <w:p w14:paraId="128B50A0" w14:textId="4C57FA90" w:rsidR="007A56BD" w:rsidRDefault="00864C5E">
      <w:pPr>
        <w:pStyle w:val="TableofFigures"/>
        <w:tabs>
          <w:tab w:val="right" w:leader="dot" w:pos="9016"/>
        </w:tabs>
        <w:rPr>
          <w:rFonts w:cstheme="minorBidi"/>
          <w:noProof/>
          <w:sz w:val="22"/>
          <w:szCs w:val="22"/>
          <w:lang w:eastAsia="en-AU"/>
        </w:rPr>
      </w:pPr>
      <w:hyperlink w:anchor="_Toc22543976" w:history="1">
        <w:r w:rsidR="007A56BD" w:rsidRPr="005E1E29">
          <w:rPr>
            <w:rStyle w:val="Hyperlink"/>
            <w:noProof/>
          </w:rPr>
          <w:t>Table 3.4: Proportion of long-term unemployed (LTU) study population job seekers who exited employment services during the study period, JSA 2012 compared with JSA 2009 (per cent)</w:t>
        </w:r>
        <w:r w:rsidR="007A56BD">
          <w:rPr>
            <w:noProof/>
            <w:webHidden/>
          </w:rPr>
          <w:tab/>
        </w:r>
        <w:r w:rsidR="007A56BD">
          <w:rPr>
            <w:noProof/>
            <w:webHidden/>
          </w:rPr>
          <w:fldChar w:fldCharType="begin"/>
        </w:r>
        <w:r w:rsidR="007A56BD">
          <w:rPr>
            <w:noProof/>
            <w:webHidden/>
          </w:rPr>
          <w:instrText xml:space="preserve"> PAGEREF _Toc22543976 \h </w:instrText>
        </w:r>
        <w:r w:rsidR="007A56BD">
          <w:rPr>
            <w:noProof/>
            <w:webHidden/>
          </w:rPr>
        </w:r>
        <w:r w:rsidR="007A56BD">
          <w:rPr>
            <w:noProof/>
            <w:webHidden/>
          </w:rPr>
          <w:fldChar w:fldCharType="separate"/>
        </w:r>
        <w:r w:rsidR="00D87DBB">
          <w:rPr>
            <w:noProof/>
            <w:webHidden/>
          </w:rPr>
          <w:t>37</w:t>
        </w:r>
        <w:r w:rsidR="007A56BD">
          <w:rPr>
            <w:noProof/>
            <w:webHidden/>
          </w:rPr>
          <w:fldChar w:fldCharType="end"/>
        </w:r>
      </w:hyperlink>
    </w:p>
    <w:p w14:paraId="05A0BC7B" w14:textId="009BC6AB" w:rsidR="007A56BD" w:rsidRDefault="00864C5E">
      <w:pPr>
        <w:pStyle w:val="TableofFigures"/>
        <w:tabs>
          <w:tab w:val="right" w:leader="dot" w:pos="9016"/>
        </w:tabs>
        <w:rPr>
          <w:rFonts w:cstheme="minorBidi"/>
          <w:noProof/>
          <w:sz w:val="22"/>
          <w:szCs w:val="22"/>
          <w:lang w:eastAsia="en-AU"/>
        </w:rPr>
      </w:pPr>
      <w:hyperlink w:anchor="_Toc22543977" w:history="1">
        <w:r w:rsidR="007A56BD" w:rsidRPr="005E1E29">
          <w:rPr>
            <w:rStyle w:val="Hyperlink"/>
            <w:noProof/>
          </w:rPr>
          <w:t>Table 3.5: Average marginal effect (AME) estimates for the predicted probability of income support status 12 months after exit from services for long-term unemployed job seekers, JSA 2012 compared with JSA 2009 (percentage point)</w:t>
        </w:r>
        <w:r w:rsidR="007A56BD">
          <w:rPr>
            <w:noProof/>
            <w:webHidden/>
          </w:rPr>
          <w:tab/>
        </w:r>
        <w:r w:rsidR="007A56BD">
          <w:rPr>
            <w:noProof/>
            <w:webHidden/>
          </w:rPr>
          <w:fldChar w:fldCharType="begin"/>
        </w:r>
        <w:r w:rsidR="007A56BD">
          <w:rPr>
            <w:noProof/>
            <w:webHidden/>
          </w:rPr>
          <w:instrText xml:space="preserve"> PAGEREF _Toc22543977 \h </w:instrText>
        </w:r>
        <w:r w:rsidR="007A56BD">
          <w:rPr>
            <w:noProof/>
            <w:webHidden/>
          </w:rPr>
        </w:r>
        <w:r w:rsidR="007A56BD">
          <w:rPr>
            <w:noProof/>
            <w:webHidden/>
          </w:rPr>
          <w:fldChar w:fldCharType="separate"/>
        </w:r>
        <w:r w:rsidR="00D87DBB">
          <w:rPr>
            <w:noProof/>
            <w:webHidden/>
          </w:rPr>
          <w:t>38</w:t>
        </w:r>
        <w:r w:rsidR="007A56BD">
          <w:rPr>
            <w:noProof/>
            <w:webHidden/>
          </w:rPr>
          <w:fldChar w:fldCharType="end"/>
        </w:r>
      </w:hyperlink>
    </w:p>
    <w:p w14:paraId="026B7090" w14:textId="5C8B2B84" w:rsidR="007A56BD" w:rsidRDefault="00864C5E">
      <w:pPr>
        <w:pStyle w:val="TableofFigures"/>
        <w:tabs>
          <w:tab w:val="right" w:leader="dot" w:pos="9016"/>
        </w:tabs>
        <w:rPr>
          <w:rFonts w:cstheme="minorBidi"/>
          <w:noProof/>
          <w:sz w:val="22"/>
          <w:szCs w:val="22"/>
          <w:lang w:eastAsia="en-AU"/>
        </w:rPr>
      </w:pPr>
      <w:hyperlink w:anchor="_Toc22543978" w:history="1">
        <w:r w:rsidR="007A56BD" w:rsidRPr="005E1E29">
          <w:rPr>
            <w:rStyle w:val="Hyperlink"/>
            <w:noProof/>
          </w:rPr>
          <w:t>Table 3.6: Average marginal effect (AME) estimates for the predicted probability of income support status 12 months after snapshot date by stream for long-term unemployed (LTU) job seekers, JSA 2012 compared with JSA 2009 (percentage point)</w:t>
        </w:r>
        <w:r w:rsidR="007A56BD">
          <w:rPr>
            <w:noProof/>
            <w:webHidden/>
          </w:rPr>
          <w:tab/>
        </w:r>
        <w:r w:rsidR="007A56BD">
          <w:rPr>
            <w:noProof/>
            <w:webHidden/>
          </w:rPr>
          <w:fldChar w:fldCharType="begin"/>
        </w:r>
        <w:r w:rsidR="007A56BD">
          <w:rPr>
            <w:noProof/>
            <w:webHidden/>
          </w:rPr>
          <w:instrText xml:space="preserve"> PAGEREF _Toc22543978 \h </w:instrText>
        </w:r>
        <w:r w:rsidR="007A56BD">
          <w:rPr>
            <w:noProof/>
            <w:webHidden/>
          </w:rPr>
        </w:r>
        <w:r w:rsidR="007A56BD">
          <w:rPr>
            <w:noProof/>
            <w:webHidden/>
          </w:rPr>
          <w:fldChar w:fldCharType="separate"/>
        </w:r>
        <w:r w:rsidR="00D87DBB">
          <w:rPr>
            <w:noProof/>
            <w:webHidden/>
          </w:rPr>
          <w:t>38</w:t>
        </w:r>
        <w:r w:rsidR="007A56BD">
          <w:rPr>
            <w:noProof/>
            <w:webHidden/>
          </w:rPr>
          <w:fldChar w:fldCharType="end"/>
        </w:r>
      </w:hyperlink>
    </w:p>
    <w:p w14:paraId="6EC9E86D" w14:textId="4ABBBFBF" w:rsidR="007A56BD" w:rsidRDefault="00864C5E">
      <w:pPr>
        <w:pStyle w:val="TableofFigures"/>
        <w:tabs>
          <w:tab w:val="right" w:leader="dot" w:pos="9016"/>
        </w:tabs>
        <w:rPr>
          <w:rFonts w:cstheme="minorBidi"/>
          <w:noProof/>
          <w:sz w:val="22"/>
          <w:szCs w:val="22"/>
          <w:lang w:eastAsia="en-AU"/>
        </w:rPr>
      </w:pPr>
      <w:hyperlink w:anchor="_Toc22543979" w:history="1">
        <w:r w:rsidR="007A56BD" w:rsidRPr="005E1E29">
          <w:rPr>
            <w:rStyle w:val="Hyperlink"/>
            <w:noProof/>
          </w:rPr>
          <w:t>Table 3.7: Average marginal effect (AME) estimates for the predicted probability of income support status 12 months after snapshot date for long-term unemployed (LTU) job seekers, selected groups, JSA 2012 compared with JSA 2009 (percentage point)</w:t>
        </w:r>
        <w:r w:rsidR="007A56BD">
          <w:rPr>
            <w:noProof/>
            <w:webHidden/>
          </w:rPr>
          <w:tab/>
        </w:r>
        <w:r w:rsidR="007A56BD">
          <w:rPr>
            <w:noProof/>
            <w:webHidden/>
          </w:rPr>
          <w:fldChar w:fldCharType="begin"/>
        </w:r>
        <w:r w:rsidR="007A56BD">
          <w:rPr>
            <w:noProof/>
            <w:webHidden/>
          </w:rPr>
          <w:instrText xml:space="preserve"> PAGEREF _Toc22543979 \h </w:instrText>
        </w:r>
        <w:r w:rsidR="007A56BD">
          <w:rPr>
            <w:noProof/>
            <w:webHidden/>
          </w:rPr>
        </w:r>
        <w:r w:rsidR="007A56BD">
          <w:rPr>
            <w:noProof/>
            <w:webHidden/>
          </w:rPr>
          <w:fldChar w:fldCharType="separate"/>
        </w:r>
        <w:r w:rsidR="00D87DBB">
          <w:rPr>
            <w:noProof/>
            <w:webHidden/>
          </w:rPr>
          <w:t>39</w:t>
        </w:r>
        <w:r w:rsidR="007A56BD">
          <w:rPr>
            <w:noProof/>
            <w:webHidden/>
          </w:rPr>
          <w:fldChar w:fldCharType="end"/>
        </w:r>
      </w:hyperlink>
    </w:p>
    <w:p w14:paraId="52E68C91" w14:textId="6B1573EA" w:rsidR="007A56BD" w:rsidRDefault="00864C5E">
      <w:pPr>
        <w:pStyle w:val="TableofFigures"/>
        <w:tabs>
          <w:tab w:val="right" w:leader="dot" w:pos="9016"/>
        </w:tabs>
        <w:rPr>
          <w:rFonts w:cstheme="minorBidi"/>
          <w:noProof/>
          <w:sz w:val="22"/>
          <w:szCs w:val="22"/>
          <w:lang w:eastAsia="en-AU"/>
        </w:rPr>
      </w:pPr>
      <w:hyperlink w:anchor="_Toc22543980" w:history="1">
        <w:r w:rsidR="007A56BD" w:rsidRPr="005E1E29">
          <w:rPr>
            <w:rStyle w:val="Hyperlink"/>
            <w:rFonts w:eastAsiaTheme="majorEastAsia"/>
            <w:noProof/>
          </w:rPr>
          <w:t>Table 3.8: Cost per employment outcome, JSA 2009 and JSA 2012 ($)</w:t>
        </w:r>
        <w:r w:rsidR="007A56BD">
          <w:rPr>
            <w:noProof/>
            <w:webHidden/>
          </w:rPr>
          <w:tab/>
        </w:r>
        <w:r w:rsidR="007A56BD">
          <w:rPr>
            <w:noProof/>
            <w:webHidden/>
          </w:rPr>
          <w:fldChar w:fldCharType="begin"/>
        </w:r>
        <w:r w:rsidR="007A56BD">
          <w:rPr>
            <w:noProof/>
            <w:webHidden/>
          </w:rPr>
          <w:instrText xml:space="preserve"> PAGEREF _Toc22543980 \h </w:instrText>
        </w:r>
        <w:r w:rsidR="007A56BD">
          <w:rPr>
            <w:noProof/>
            <w:webHidden/>
          </w:rPr>
        </w:r>
        <w:r w:rsidR="007A56BD">
          <w:rPr>
            <w:noProof/>
            <w:webHidden/>
          </w:rPr>
          <w:fldChar w:fldCharType="separate"/>
        </w:r>
        <w:r w:rsidR="00D87DBB">
          <w:rPr>
            <w:noProof/>
            <w:webHidden/>
          </w:rPr>
          <w:t>41</w:t>
        </w:r>
        <w:r w:rsidR="007A56BD">
          <w:rPr>
            <w:noProof/>
            <w:webHidden/>
          </w:rPr>
          <w:fldChar w:fldCharType="end"/>
        </w:r>
      </w:hyperlink>
    </w:p>
    <w:p w14:paraId="71AB87E4" w14:textId="50B350B2" w:rsidR="007A56BD" w:rsidRDefault="00864C5E">
      <w:pPr>
        <w:pStyle w:val="TableofFigures"/>
        <w:tabs>
          <w:tab w:val="right" w:leader="dot" w:pos="9016"/>
        </w:tabs>
        <w:rPr>
          <w:rFonts w:cstheme="minorBidi"/>
          <w:noProof/>
          <w:sz w:val="22"/>
          <w:szCs w:val="22"/>
          <w:lang w:eastAsia="en-AU"/>
        </w:rPr>
      </w:pPr>
      <w:hyperlink w:anchor="_Toc22543981" w:history="1">
        <w:r w:rsidR="007A56BD" w:rsidRPr="005E1E29">
          <w:rPr>
            <w:rStyle w:val="Hyperlink"/>
            <w:rFonts w:eastAsiaTheme="majorEastAsia"/>
            <w:noProof/>
          </w:rPr>
          <w:t>Table 3.9: Expenditure on JSA by year of contract ($ million)</w:t>
        </w:r>
        <w:r w:rsidR="007A56BD">
          <w:rPr>
            <w:noProof/>
            <w:webHidden/>
          </w:rPr>
          <w:tab/>
        </w:r>
        <w:r w:rsidR="007A56BD">
          <w:rPr>
            <w:noProof/>
            <w:webHidden/>
          </w:rPr>
          <w:fldChar w:fldCharType="begin"/>
        </w:r>
        <w:r w:rsidR="007A56BD">
          <w:rPr>
            <w:noProof/>
            <w:webHidden/>
          </w:rPr>
          <w:instrText xml:space="preserve"> PAGEREF _Toc22543981 \h </w:instrText>
        </w:r>
        <w:r w:rsidR="007A56BD">
          <w:rPr>
            <w:noProof/>
            <w:webHidden/>
          </w:rPr>
        </w:r>
        <w:r w:rsidR="007A56BD">
          <w:rPr>
            <w:noProof/>
            <w:webHidden/>
          </w:rPr>
          <w:fldChar w:fldCharType="separate"/>
        </w:r>
        <w:r w:rsidR="00D87DBB">
          <w:rPr>
            <w:noProof/>
            <w:webHidden/>
          </w:rPr>
          <w:t>42</w:t>
        </w:r>
        <w:r w:rsidR="007A56BD">
          <w:rPr>
            <w:noProof/>
            <w:webHidden/>
          </w:rPr>
          <w:fldChar w:fldCharType="end"/>
        </w:r>
      </w:hyperlink>
    </w:p>
    <w:p w14:paraId="5C892146" w14:textId="48056455" w:rsidR="007A56BD" w:rsidRDefault="00864C5E">
      <w:pPr>
        <w:pStyle w:val="TableofFigures"/>
        <w:tabs>
          <w:tab w:val="right" w:leader="dot" w:pos="9016"/>
        </w:tabs>
        <w:rPr>
          <w:rFonts w:cstheme="minorBidi"/>
          <w:noProof/>
          <w:sz w:val="22"/>
          <w:szCs w:val="22"/>
          <w:lang w:eastAsia="en-AU"/>
        </w:rPr>
      </w:pPr>
      <w:hyperlink w:anchor="_Toc22543982" w:history="1">
        <w:r w:rsidR="007A56BD" w:rsidRPr="005E1E29">
          <w:rPr>
            <w:rStyle w:val="Hyperlink"/>
            <w:rFonts w:eastAsiaTheme="majorEastAsia"/>
            <w:noProof/>
          </w:rPr>
          <w:t>Table 3.10: Fees and reimbursements, JSA 2009 and JSA 2012, selected items only ($)</w:t>
        </w:r>
        <w:r w:rsidR="007A56BD">
          <w:rPr>
            <w:noProof/>
            <w:webHidden/>
          </w:rPr>
          <w:tab/>
        </w:r>
        <w:r w:rsidR="007A56BD">
          <w:rPr>
            <w:noProof/>
            <w:webHidden/>
          </w:rPr>
          <w:fldChar w:fldCharType="begin"/>
        </w:r>
        <w:r w:rsidR="007A56BD">
          <w:rPr>
            <w:noProof/>
            <w:webHidden/>
          </w:rPr>
          <w:instrText xml:space="preserve"> PAGEREF _Toc22543982 \h </w:instrText>
        </w:r>
        <w:r w:rsidR="007A56BD">
          <w:rPr>
            <w:noProof/>
            <w:webHidden/>
          </w:rPr>
        </w:r>
        <w:r w:rsidR="007A56BD">
          <w:rPr>
            <w:noProof/>
            <w:webHidden/>
          </w:rPr>
          <w:fldChar w:fldCharType="separate"/>
        </w:r>
        <w:r w:rsidR="00D87DBB">
          <w:rPr>
            <w:noProof/>
            <w:webHidden/>
          </w:rPr>
          <w:t>43</w:t>
        </w:r>
        <w:r w:rsidR="007A56BD">
          <w:rPr>
            <w:noProof/>
            <w:webHidden/>
          </w:rPr>
          <w:fldChar w:fldCharType="end"/>
        </w:r>
      </w:hyperlink>
    </w:p>
    <w:p w14:paraId="13CE668E" w14:textId="6428F69B" w:rsidR="007A56BD" w:rsidRDefault="00864C5E">
      <w:pPr>
        <w:pStyle w:val="TableofFigures"/>
        <w:tabs>
          <w:tab w:val="right" w:leader="dot" w:pos="9016"/>
        </w:tabs>
        <w:rPr>
          <w:rFonts w:cstheme="minorBidi"/>
          <w:noProof/>
          <w:sz w:val="22"/>
          <w:szCs w:val="22"/>
          <w:lang w:eastAsia="en-AU"/>
        </w:rPr>
      </w:pPr>
      <w:hyperlink w:anchor="_Toc22543983" w:history="1">
        <w:r w:rsidR="007A56BD" w:rsidRPr="005E1E29">
          <w:rPr>
            <w:rStyle w:val="Hyperlink"/>
            <w:noProof/>
          </w:rPr>
          <w:t>Table 4.1: Intensive Activities undertaken within 12 calendar months of commencing in service, 2009 and 2012 Stream 1 study populations (per cent)</w:t>
        </w:r>
        <w:r w:rsidR="007A56BD">
          <w:rPr>
            <w:noProof/>
            <w:webHidden/>
          </w:rPr>
          <w:tab/>
        </w:r>
        <w:r w:rsidR="007A56BD">
          <w:rPr>
            <w:noProof/>
            <w:webHidden/>
          </w:rPr>
          <w:fldChar w:fldCharType="begin"/>
        </w:r>
        <w:r w:rsidR="007A56BD">
          <w:rPr>
            <w:noProof/>
            <w:webHidden/>
          </w:rPr>
          <w:instrText xml:space="preserve"> PAGEREF _Toc22543983 \h </w:instrText>
        </w:r>
        <w:r w:rsidR="007A56BD">
          <w:rPr>
            <w:noProof/>
            <w:webHidden/>
          </w:rPr>
        </w:r>
        <w:r w:rsidR="007A56BD">
          <w:rPr>
            <w:noProof/>
            <w:webHidden/>
          </w:rPr>
          <w:fldChar w:fldCharType="separate"/>
        </w:r>
        <w:r w:rsidR="00D87DBB">
          <w:rPr>
            <w:noProof/>
            <w:webHidden/>
          </w:rPr>
          <w:t>48</w:t>
        </w:r>
        <w:r w:rsidR="007A56BD">
          <w:rPr>
            <w:noProof/>
            <w:webHidden/>
          </w:rPr>
          <w:fldChar w:fldCharType="end"/>
        </w:r>
      </w:hyperlink>
    </w:p>
    <w:p w14:paraId="70410D2E" w14:textId="42621A22" w:rsidR="007A56BD" w:rsidRDefault="00864C5E">
      <w:pPr>
        <w:pStyle w:val="TableofFigures"/>
        <w:tabs>
          <w:tab w:val="right" w:leader="dot" w:pos="9016"/>
        </w:tabs>
        <w:rPr>
          <w:rFonts w:cstheme="minorBidi"/>
          <w:noProof/>
          <w:sz w:val="22"/>
          <w:szCs w:val="22"/>
          <w:lang w:eastAsia="en-AU"/>
        </w:rPr>
      </w:pPr>
      <w:hyperlink w:anchor="_Toc22543984" w:history="1">
        <w:r w:rsidR="007A56BD" w:rsidRPr="005E1E29">
          <w:rPr>
            <w:rStyle w:val="Hyperlink"/>
            <w:noProof/>
          </w:rPr>
          <w:t>Table 4.2: Skills Assessments conducted within 12 calendar months of commencing in service, 2009 and 2012 Stream 1 servicing study populations (per cent)</w:t>
        </w:r>
        <w:r w:rsidR="007A56BD">
          <w:rPr>
            <w:noProof/>
            <w:webHidden/>
          </w:rPr>
          <w:tab/>
        </w:r>
        <w:r w:rsidR="007A56BD">
          <w:rPr>
            <w:noProof/>
            <w:webHidden/>
          </w:rPr>
          <w:fldChar w:fldCharType="begin"/>
        </w:r>
        <w:r w:rsidR="007A56BD">
          <w:rPr>
            <w:noProof/>
            <w:webHidden/>
          </w:rPr>
          <w:instrText xml:space="preserve"> PAGEREF _Toc22543984 \h </w:instrText>
        </w:r>
        <w:r w:rsidR="007A56BD">
          <w:rPr>
            <w:noProof/>
            <w:webHidden/>
          </w:rPr>
        </w:r>
        <w:r w:rsidR="007A56BD">
          <w:rPr>
            <w:noProof/>
            <w:webHidden/>
          </w:rPr>
          <w:fldChar w:fldCharType="separate"/>
        </w:r>
        <w:r w:rsidR="00D87DBB">
          <w:rPr>
            <w:noProof/>
            <w:webHidden/>
          </w:rPr>
          <w:t>50</w:t>
        </w:r>
        <w:r w:rsidR="007A56BD">
          <w:rPr>
            <w:noProof/>
            <w:webHidden/>
          </w:rPr>
          <w:fldChar w:fldCharType="end"/>
        </w:r>
      </w:hyperlink>
    </w:p>
    <w:p w14:paraId="0AA39560" w14:textId="0EB486D8" w:rsidR="007A56BD" w:rsidRDefault="00864C5E">
      <w:pPr>
        <w:pStyle w:val="TableofFigures"/>
        <w:tabs>
          <w:tab w:val="right" w:leader="dot" w:pos="9016"/>
        </w:tabs>
        <w:rPr>
          <w:rFonts w:cstheme="minorBidi"/>
          <w:noProof/>
          <w:sz w:val="22"/>
          <w:szCs w:val="22"/>
          <w:lang w:eastAsia="en-AU"/>
        </w:rPr>
      </w:pPr>
      <w:hyperlink w:anchor="_Toc22543985" w:history="1">
        <w:r w:rsidR="007A56BD" w:rsidRPr="005E1E29">
          <w:rPr>
            <w:rStyle w:val="Hyperlink"/>
            <w:noProof/>
          </w:rPr>
          <w:t>Table 4.3: Proportion of 2009 and 2012 Stream 1 study populations not dissatisfied with provider assistance (per cent)</w:t>
        </w:r>
        <w:r w:rsidR="007A56BD">
          <w:rPr>
            <w:noProof/>
            <w:webHidden/>
          </w:rPr>
          <w:tab/>
        </w:r>
        <w:r w:rsidR="007A56BD">
          <w:rPr>
            <w:noProof/>
            <w:webHidden/>
          </w:rPr>
          <w:fldChar w:fldCharType="begin"/>
        </w:r>
        <w:r w:rsidR="007A56BD">
          <w:rPr>
            <w:noProof/>
            <w:webHidden/>
          </w:rPr>
          <w:instrText xml:space="preserve"> PAGEREF _Toc22543985 \h </w:instrText>
        </w:r>
        <w:r w:rsidR="007A56BD">
          <w:rPr>
            <w:noProof/>
            <w:webHidden/>
          </w:rPr>
        </w:r>
        <w:r w:rsidR="007A56BD">
          <w:rPr>
            <w:noProof/>
            <w:webHidden/>
          </w:rPr>
          <w:fldChar w:fldCharType="separate"/>
        </w:r>
        <w:r w:rsidR="00D87DBB">
          <w:rPr>
            <w:noProof/>
            <w:webHidden/>
          </w:rPr>
          <w:t>51</w:t>
        </w:r>
        <w:r w:rsidR="007A56BD">
          <w:rPr>
            <w:noProof/>
            <w:webHidden/>
          </w:rPr>
          <w:fldChar w:fldCharType="end"/>
        </w:r>
      </w:hyperlink>
    </w:p>
    <w:p w14:paraId="40A63A7F" w14:textId="78D84C0A" w:rsidR="007A56BD" w:rsidRDefault="00864C5E">
      <w:pPr>
        <w:pStyle w:val="TableofFigures"/>
        <w:tabs>
          <w:tab w:val="right" w:leader="dot" w:pos="9016"/>
        </w:tabs>
        <w:rPr>
          <w:rFonts w:cstheme="minorBidi"/>
          <w:noProof/>
          <w:sz w:val="22"/>
          <w:szCs w:val="22"/>
          <w:lang w:eastAsia="en-AU"/>
        </w:rPr>
      </w:pPr>
      <w:hyperlink w:anchor="_Toc22543986" w:history="1">
        <w:r w:rsidR="007A56BD" w:rsidRPr="005E1E29">
          <w:rPr>
            <w:rStyle w:val="Hyperlink"/>
            <w:noProof/>
          </w:rPr>
          <w:t>Table 4.4: Differences in employment outcomes for various cohorts, 2009 and 2012 Stream 1 servicing study populations (per cent)</w:t>
        </w:r>
        <w:r w:rsidR="007A56BD">
          <w:rPr>
            <w:noProof/>
            <w:webHidden/>
          </w:rPr>
          <w:tab/>
        </w:r>
        <w:r w:rsidR="007A56BD">
          <w:rPr>
            <w:noProof/>
            <w:webHidden/>
          </w:rPr>
          <w:fldChar w:fldCharType="begin"/>
        </w:r>
        <w:r w:rsidR="007A56BD">
          <w:rPr>
            <w:noProof/>
            <w:webHidden/>
          </w:rPr>
          <w:instrText xml:space="preserve"> PAGEREF _Toc22543986 \h </w:instrText>
        </w:r>
        <w:r w:rsidR="007A56BD">
          <w:rPr>
            <w:noProof/>
            <w:webHidden/>
          </w:rPr>
        </w:r>
        <w:r w:rsidR="007A56BD">
          <w:rPr>
            <w:noProof/>
            <w:webHidden/>
          </w:rPr>
          <w:fldChar w:fldCharType="separate"/>
        </w:r>
        <w:r w:rsidR="00D87DBB">
          <w:rPr>
            <w:noProof/>
            <w:webHidden/>
          </w:rPr>
          <w:t>51</w:t>
        </w:r>
        <w:r w:rsidR="007A56BD">
          <w:rPr>
            <w:noProof/>
            <w:webHidden/>
          </w:rPr>
          <w:fldChar w:fldCharType="end"/>
        </w:r>
      </w:hyperlink>
    </w:p>
    <w:p w14:paraId="441F03EF" w14:textId="59BF6F25" w:rsidR="007A56BD" w:rsidRDefault="00864C5E">
      <w:pPr>
        <w:pStyle w:val="TableofFigures"/>
        <w:tabs>
          <w:tab w:val="right" w:leader="dot" w:pos="9016"/>
        </w:tabs>
        <w:rPr>
          <w:rFonts w:cstheme="minorBidi"/>
          <w:noProof/>
          <w:sz w:val="22"/>
          <w:szCs w:val="22"/>
          <w:lang w:eastAsia="en-AU"/>
        </w:rPr>
      </w:pPr>
      <w:hyperlink w:anchor="_Toc22543987" w:history="1">
        <w:r w:rsidR="007A56BD" w:rsidRPr="005E1E29">
          <w:rPr>
            <w:rStyle w:val="Hyperlink"/>
            <w:rFonts w:eastAsiaTheme="majorEastAsia"/>
            <w:noProof/>
          </w:rPr>
          <w:t>Table 4.5: Time by which selected proportions of job seekers had left service, 2009 and 2012 Stream 1 servicing study populations (weeks)</w:t>
        </w:r>
        <w:r w:rsidR="007A56BD">
          <w:rPr>
            <w:noProof/>
            <w:webHidden/>
          </w:rPr>
          <w:tab/>
        </w:r>
        <w:r w:rsidR="007A56BD">
          <w:rPr>
            <w:noProof/>
            <w:webHidden/>
          </w:rPr>
          <w:fldChar w:fldCharType="begin"/>
        </w:r>
        <w:r w:rsidR="007A56BD">
          <w:rPr>
            <w:noProof/>
            <w:webHidden/>
          </w:rPr>
          <w:instrText xml:space="preserve"> PAGEREF _Toc22543987 \h </w:instrText>
        </w:r>
        <w:r w:rsidR="007A56BD">
          <w:rPr>
            <w:noProof/>
            <w:webHidden/>
          </w:rPr>
        </w:r>
        <w:r w:rsidR="007A56BD">
          <w:rPr>
            <w:noProof/>
            <w:webHidden/>
          </w:rPr>
          <w:fldChar w:fldCharType="separate"/>
        </w:r>
        <w:r w:rsidR="00D87DBB">
          <w:rPr>
            <w:noProof/>
            <w:webHidden/>
          </w:rPr>
          <w:t>53</w:t>
        </w:r>
        <w:r w:rsidR="007A56BD">
          <w:rPr>
            <w:noProof/>
            <w:webHidden/>
          </w:rPr>
          <w:fldChar w:fldCharType="end"/>
        </w:r>
      </w:hyperlink>
    </w:p>
    <w:p w14:paraId="74E6D3F1" w14:textId="498C8DC0" w:rsidR="007A56BD" w:rsidRDefault="00864C5E">
      <w:pPr>
        <w:pStyle w:val="TableofFigures"/>
        <w:tabs>
          <w:tab w:val="right" w:leader="dot" w:pos="9016"/>
        </w:tabs>
        <w:rPr>
          <w:rFonts w:cstheme="minorBidi"/>
          <w:noProof/>
          <w:sz w:val="22"/>
          <w:szCs w:val="22"/>
          <w:lang w:eastAsia="en-AU"/>
        </w:rPr>
      </w:pPr>
      <w:hyperlink w:anchor="_Toc22543988" w:history="1">
        <w:r w:rsidR="007A56BD" w:rsidRPr="005E1E29">
          <w:rPr>
            <w:rStyle w:val="Hyperlink"/>
            <w:rFonts w:eastAsiaTheme="majorEastAsia"/>
            <w:noProof/>
          </w:rPr>
          <w:t>Table 4.6: Time in service for the reference type job seeker, 2009 and 2012 Stream 1 servicing study populations</w:t>
        </w:r>
        <w:r w:rsidR="007A56BD">
          <w:rPr>
            <w:noProof/>
            <w:webHidden/>
          </w:rPr>
          <w:tab/>
        </w:r>
        <w:r w:rsidR="007A56BD">
          <w:rPr>
            <w:noProof/>
            <w:webHidden/>
          </w:rPr>
          <w:fldChar w:fldCharType="begin"/>
        </w:r>
        <w:r w:rsidR="007A56BD">
          <w:rPr>
            <w:noProof/>
            <w:webHidden/>
          </w:rPr>
          <w:instrText xml:space="preserve"> PAGEREF _Toc22543988 \h </w:instrText>
        </w:r>
        <w:r w:rsidR="007A56BD">
          <w:rPr>
            <w:noProof/>
            <w:webHidden/>
          </w:rPr>
        </w:r>
        <w:r w:rsidR="007A56BD">
          <w:rPr>
            <w:noProof/>
            <w:webHidden/>
          </w:rPr>
          <w:fldChar w:fldCharType="separate"/>
        </w:r>
        <w:r w:rsidR="00D87DBB">
          <w:rPr>
            <w:noProof/>
            <w:webHidden/>
          </w:rPr>
          <w:t>55</w:t>
        </w:r>
        <w:r w:rsidR="007A56BD">
          <w:rPr>
            <w:noProof/>
            <w:webHidden/>
          </w:rPr>
          <w:fldChar w:fldCharType="end"/>
        </w:r>
      </w:hyperlink>
    </w:p>
    <w:p w14:paraId="565DC8E0" w14:textId="5CF6CE89" w:rsidR="007A56BD" w:rsidRDefault="00864C5E">
      <w:pPr>
        <w:pStyle w:val="TableofFigures"/>
        <w:tabs>
          <w:tab w:val="right" w:leader="dot" w:pos="9016"/>
        </w:tabs>
        <w:rPr>
          <w:rFonts w:cstheme="minorBidi"/>
          <w:noProof/>
          <w:sz w:val="22"/>
          <w:szCs w:val="22"/>
          <w:lang w:eastAsia="en-AU"/>
        </w:rPr>
      </w:pPr>
      <w:hyperlink w:anchor="_Toc22543989" w:history="1">
        <w:r w:rsidR="007A56BD" w:rsidRPr="005E1E29">
          <w:rPr>
            <w:rStyle w:val="Hyperlink"/>
            <w:rFonts w:eastAsiaTheme="majorEastAsia"/>
            <w:noProof/>
          </w:rPr>
          <w:t>Table 5.1: Proportion of jobs seekers upstreamed, for those in service at least 365 days (per cent)</w:t>
        </w:r>
        <w:r w:rsidR="007A56BD">
          <w:rPr>
            <w:noProof/>
            <w:webHidden/>
          </w:rPr>
          <w:tab/>
        </w:r>
        <w:r w:rsidR="007A56BD">
          <w:rPr>
            <w:noProof/>
            <w:webHidden/>
          </w:rPr>
          <w:fldChar w:fldCharType="begin"/>
        </w:r>
        <w:r w:rsidR="007A56BD">
          <w:rPr>
            <w:noProof/>
            <w:webHidden/>
          </w:rPr>
          <w:instrText xml:space="preserve"> PAGEREF _Toc22543989 \h </w:instrText>
        </w:r>
        <w:r w:rsidR="007A56BD">
          <w:rPr>
            <w:noProof/>
            <w:webHidden/>
          </w:rPr>
        </w:r>
        <w:r w:rsidR="007A56BD">
          <w:rPr>
            <w:noProof/>
            <w:webHidden/>
          </w:rPr>
          <w:fldChar w:fldCharType="separate"/>
        </w:r>
        <w:r w:rsidR="00D87DBB">
          <w:rPr>
            <w:noProof/>
            <w:webHidden/>
          </w:rPr>
          <w:t>60</w:t>
        </w:r>
        <w:r w:rsidR="007A56BD">
          <w:rPr>
            <w:noProof/>
            <w:webHidden/>
          </w:rPr>
          <w:fldChar w:fldCharType="end"/>
        </w:r>
      </w:hyperlink>
    </w:p>
    <w:p w14:paraId="66F00AD2" w14:textId="525CB843" w:rsidR="007A56BD" w:rsidRDefault="00864C5E">
      <w:pPr>
        <w:pStyle w:val="TableofFigures"/>
        <w:tabs>
          <w:tab w:val="right" w:leader="dot" w:pos="9016"/>
        </w:tabs>
        <w:rPr>
          <w:rFonts w:cstheme="minorBidi"/>
          <w:noProof/>
          <w:sz w:val="22"/>
          <w:szCs w:val="22"/>
          <w:lang w:eastAsia="en-AU"/>
        </w:rPr>
      </w:pPr>
      <w:hyperlink w:anchor="_Toc22543990" w:history="1">
        <w:r w:rsidR="007A56BD" w:rsidRPr="005E1E29">
          <w:rPr>
            <w:rStyle w:val="Hyperlink"/>
            <w:rFonts w:eastAsiaTheme="majorEastAsia"/>
            <w:noProof/>
          </w:rPr>
          <w:t>Table 5.2: Median number of days from registration to the conduct of a Stream Services Review (days).</w:t>
        </w:r>
        <w:r w:rsidR="007A56BD">
          <w:rPr>
            <w:noProof/>
            <w:webHidden/>
          </w:rPr>
          <w:tab/>
        </w:r>
        <w:r w:rsidR="007A56BD">
          <w:rPr>
            <w:noProof/>
            <w:webHidden/>
          </w:rPr>
          <w:fldChar w:fldCharType="begin"/>
        </w:r>
        <w:r w:rsidR="007A56BD">
          <w:rPr>
            <w:noProof/>
            <w:webHidden/>
          </w:rPr>
          <w:instrText xml:space="preserve"> PAGEREF _Toc22543990 \h </w:instrText>
        </w:r>
        <w:r w:rsidR="007A56BD">
          <w:rPr>
            <w:noProof/>
            <w:webHidden/>
          </w:rPr>
        </w:r>
        <w:r w:rsidR="007A56BD">
          <w:rPr>
            <w:noProof/>
            <w:webHidden/>
          </w:rPr>
          <w:fldChar w:fldCharType="separate"/>
        </w:r>
        <w:r w:rsidR="00D87DBB">
          <w:rPr>
            <w:noProof/>
            <w:webHidden/>
          </w:rPr>
          <w:t>60</w:t>
        </w:r>
        <w:r w:rsidR="007A56BD">
          <w:rPr>
            <w:noProof/>
            <w:webHidden/>
          </w:rPr>
          <w:fldChar w:fldCharType="end"/>
        </w:r>
      </w:hyperlink>
    </w:p>
    <w:p w14:paraId="21DC0524" w14:textId="41A142B3" w:rsidR="007A56BD" w:rsidRDefault="00864C5E">
      <w:pPr>
        <w:pStyle w:val="TableofFigures"/>
        <w:tabs>
          <w:tab w:val="right" w:leader="dot" w:pos="9016"/>
        </w:tabs>
        <w:rPr>
          <w:rFonts w:cstheme="minorBidi"/>
          <w:noProof/>
          <w:sz w:val="22"/>
          <w:szCs w:val="22"/>
          <w:lang w:eastAsia="en-AU"/>
        </w:rPr>
      </w:pPr>
      <w:hyperlink w:anchor="_Toc22543991" w:history="1">
        <w:r w:rsidR="007A56BD" w:rsidRPr="005E1E29">
          <w:rPr>
            <w:rStyle w:val="Hyperlink"/>
            <w:rFonts w:eastAsiaTheme="majorEastAsia"/>
            <w:noProof/>
          </w:rPr>
          <w:t>Table 5.3: Median time in service following registration to transition to the Work Experience Phase (days)</w:t>
        </w:r>
        <w:r w:rsidR="007A56BD">
          <w:rPr>
            <w:noProof/>
            <w:webHidden/>
          </w:rPr>
          <w:tab/>
        </w:r>
        <w:r w:rsidR="007A56BD">
          <w:rPr>
            <w:noProof/>
            <w:webHidden/>
          </w:rPr>
          <w:fldChar w:fldCharType="begin"/>
        </w:r>
        <w:r w:rsidR="007A56BD">
          <w:rPr>
            <w:noProof/>
            <w:webHidden/>
          </w:rPr>
          <w:instrText xml:space="preserve"> PAGEREF _Toc22543991 \h </w:instrText>
        </w:r>
        <w:r w:rsidR="007A56BD">
          <w:rPr>
            <w:noProof/>
            <w:webHidden/>
          </w:rPr>
        </w:r>
        <w:r w:rsidR="007A56BD">
          <w:rPr>
            <w:noProof/>
            <w:webHidden/>
          </w:rPr>
          <w:fldChar w:fldCharType="separate"/>
        </w:r>
        <w:r w:rsidR="00D87DBB">
          <w:rPr>
            <w:noProof/>
            <w:webHidden/>
          </w:rPr>
          <w:t>63</w:t>
        </w:r>
        <w:r w:rsidR="007A56BD">
          <w:rPr>
            <w:noProof/>
            <w:webHidden/>
          </w:rPr>
          <w:fldChar w:fldCharType="end"/>
        </w:r>
      </w:hyperlink>
    </w:p>
    <w:p w14:paraId="10BDEA4E" w14:textId="2D909A2E" w:rsidR="007A56BD" w:rsidRDefault="00864C5E">
      <w:pPr>
        <w:pStyle w:val="TableofFigures"/>
        <w:tabs>
          <w:tab w:val="right" w:leader="dot" w:pos="9016"/>
        </w:tabs>
        <w:rPr>
          <w:rFonts w:cstheme="minorBidi"/>
          <w:noProof/>
          <w:sz w:val="22"/>
          <w:szCs w:val="22"/>
          <w:lang w:eastAsia="en-AU"/>
        </w:rPr>
      </w:pPr>
      <w:hyperlink w:anchor="_Toc22543992" w:history="1">
        <w:r w:rsidR="007A56BD" w:rsidRPr="005E1E29">
          <w:rPr>
            <w:rStyle w:val="Hyperlink"/>
            <w:noProof/>
          </w:rPr>
          <w:t>Table 6.1: Comparison of job seeker requirements between JSA 2009 and JSA 2012</w:t>
        </w:r>
        <w:r w:rsidR="007A56BD">
          <w:rPr>
            <w:noProof/>
            <w:webHidden/>
          </w:rPr>
          <w:tab/>
        </w:r>
        <w:r w:rsidR="007A56BD">
          <w:rPr>
            <w:noProof/>
            <w:webHidden/>
          </w:rPr>
          <w:fldChar w:fldCharType="begin"/>
        </w:r>
        <w:r w:rsidR="007A56BD">
          <w:rPr>
            <w:noProof/>
            <w:webHidden/>
          </w:rPr>
          <w:instrText xml:space="preserve"> PAGEREF _Toc22543992 \h </w:instrText>
        </w:r>
        <w:r w:rsidR="007A56BD">
          <w:rPr>
            <w:noProof/>
            <w:webHidden/>
          </w:rPr>
        </w:r>
        <w:r w:rsidR="007A56BD">
          <w:rPr>
            <w:noProof/>
            <w:webHidden/>
          </w:rPr>
          <w:fldChar w:fldCharType="separate"/>
        </w:r>
        <w:r w:rsidR="00D87DBB">
          <w:rPr>
            <w:noProof/>
            <w:webHidden/>
          </w:rPr>
          <w:t>65</w:t>
        </w:r>
        <w:r w:rsidR="007A56BD">
          <w:rPr>
            <w:noProof/>
            <w:webHidden/>
          </w:rPr>
          <w:fldChar w:fldCharType="end"/>
        </w:r>
      </w:hyperlink>
    </w:p>
    <w:p w14:paraId="60D27CF6" w14:textId="48CEFBAB" w:rsidR="007A56BD" w:rsidRDefault="00864C5E">
      <w:pPr>
        <w:pStyle w:val="TableofFigures"/>
        <w:tabs>
          <w:tab w:val="right" w:leader="dot" w:pos="9016"/>
        </w:tabs>
        <w:rPr>
          <w:rFonts w:cstheme="minorBidi"/>
          <w:noProof/>
          <w:sz w:val="22"/>
          <w:szCs w:val="22"/>
          <w:lang w:eastAsia="en-AU"/>
        </w:rPr>
      </w:pPr>
      <w:hyperlink w:anchor="_Toc22543993" w:history="1">
        <w:r w:rsidR="007A56BD" w:rsidRPr="005E1E29">
          <w:rPr>
            <w:rStyle w:val="Hyperlink"/>
            <w:noProof/>
          </w:rPr>
          <w:t>Table 6.2: Proportion of job seekers getting off income support — actual and predicted (per cent and ppt)</w:t>
        </w:r>
        <w:r w:rsidR="007A56BD">
          <w:rPr>
            <w:noProof/>
            <w:webHidden/>
          </w:rPr>
          <w:tab/>
        </w:r>
        <w:r w:rsidR="007A56BD">
          <w:rPr>
            <w:noProof/>
            <w:webHidden/>
          </w:rPr>
          <w:fldChar w:fldCharType="begin"/>
        </w:r>
        <w:r w:rsidR="007A56BD">
          <w:rPr>
            <w:noProof/>
            <w:webHidden/>
          </w:rPr>
          <w:instrText xml:space="preserve"> PAGEREF _Toc22543993 \h </w:instrText>
        </w:r>
        <w:r w:rsidR="007A56BD">
          <w:rPr>
            <w:noProof/>
            <w:webHidden/>
          </w:rPr>
        </w:r>
        <w:r w:rsidR="007A56BD">
          <w:rPr>
            <w:noProof/>
            <w:webHidden/>
          </w:rPr>
          <w:fldChar w:fldCharType="separate"/>
        </w:r>
        <w:r w:rsidR="00D87DBB">
          <w:rPr>
            <w:noProof/>
            <w:webHidden/>
          </w:rPr>
          <w:t>70</w:t>
        </w:r>
        <w:r w:rsidR="007A56BD">
          <w:rPr>
            <w:noProof/>
            <w:webHidden/>
          </w:rPr>
          <w:fldChar w:fldCharType="end"/>
        </w:r>
      </w:hyperlink>
    </w:p>
    <w:p w14:paraId="0610E647" w14:textId="6DCB4D56" w:rsidR="007A56BD" w:rsidRDefault="00864C5E">
      <w:pPr>
        <w:pStyle w:val="TableofFigures"/>
        <w:tabs>
          <w:tab w:val="right" w:leader="dot" w:pos="9016"/>
        </w:tabs>
        <w:rPr>
          <w:rFonts w:cstheme="minorBidi"/>
          <w:noProof/>
          <w:sz w:val="22"/>
          <w:szCs w:val="22"/>
          <w:lang w:eastAsia="en-AU"/>
        </w:rPr>
      </w:pPr>
      <w:hyperlink w:anchor="_Toc22543994" w:history="1">
        <w:r w:rsidR="007A56BD" w:rsidRPr="005E1E29">
          <w:rPr>
            <w:rStyle w:val="Hyperlink"/>
            <w:noProof/>
          </w:rPr>
          <w:t>Table 7.1: Employment Services Areas (ESA) where the Indigenous Mentoring Pilot (IMP) was conducted</w:t>
        </w:r>
        <w:r w:rsidR="007A56BD">
          <w:rPr>
            <w:noProof/>
            <w:webHidden/>
          </w:rPr>
          <w:tab/>
        </w:r>
        <w:r w:rsidR="007A56BD">
          <w:rPr>
            <w:noProof/>
            <w:webHidden/>
          </w:rPr>
          <w:fldChar w:fldCharType="begin"/>
        </w:r>
        <w:r w:rsidR="007A56BD">
          <w:rPr>
            <w:noProof/>
            <w:webHidden/>
          </w:rPr>
          <w:instrText xml:space="preserve"> PAGEREF _Toc22543994 \h </w:instrText>
        </w:r>
        <w:r w:rsidR="007A56BD">
          <w:rPr>
            <w:noProof/>
            <w:webHidden/>
          </w:rPr>
        </w:r>
        <w:r w:rsidR="007A56BD">
          <w:rPr>
            <w:noProof/>
            <w:webHidden/>
          </w:rPr>
          <w:fldChar w:fldCharType="separate"/>
        </w:r>
        <w:r w:rsidR="00D87DBB">
          <w:rPr>
            <w:noProof/>
            <w:webHidden/>
          </w:rPr>
          <w:t>76</w:t>
        </w:r>
        <w:r w:rsidR="007A56BD">
          <w:rPr>
            <w:noProof/>
            <w:webHidden/>
          </w:rPr>
          <w:fldChar w:fldCharType="end"/>
        </w:r>
      </w:hyperlink>
    </w:p>
    <w:p w14:paraId="515EDD67" w14:textId="0A4B379E" w:rsidR="007A56BD" w:rsidRDefault="00864C5E">
      <w:pPr>
        <w:pStyle w:val="TableofFigures"/>
        <w:tabs>
          <w:tab w:val="right" w:leader="dot" w:pos="9016"/>
        </w:tabs>
        <w:rPr>
          <w:rFonts w:cstheme="minorBidi"/>
          <w:noProof/>
          <w:sz w:val="22"/>
          <w:szCs w:val="22"/>
          <w:lang w:eastAsia="en-AU"/>
        </w:rPr>
      </w:pPr>
      <w:hyperlink w:anchor="_Toc22543995" w:history="1">
        <w:r w:rsidR="007A56BD" w:rsidRPr="005E1E29">
          <w:rPr>
            <w:rStyle w:val="Hyperlink"/>
            <w:rFonts w:eastAsiaTheme="majorEastAsia"/>
            <w:noProof/>
          </w:rPr>
          <w:t>Table 7.2: Activities providers perceive to be the most time consuming (per cent)</w:t>
        </w:r>
        <w:r w:rsidR="007A56BD">
          <w:rPr>
            <w:noProof/>
            <w:webHidden/>
          </w:rPr>
          <w:tab/>
        </w:r>
        <w:r w:rsidR="007A56BD">
          <w:rPr>
            <w:noProof/>
            <w:webHidden/>
          </w:rPr>
          <w:fldChar w:fldCharType="begin"/>
        </w:r>
        <w:r w:rsidR="007A56BD">
          <w:rPr>
            <w:noProof/>
            <w:webHidden/>
          </w:rPr>
          <w:instrText xml:space="preserve"> PAGEREF _Toc22543995 \h </w:instrText>
        </w:r>
        <w:r w:rsidR="007A56BD">
          <w:rPr>
            <w:noProof/>
            <w:webHidden/>
          </w:rPr>
        </w:r>
        <w:r w:rsidR="007A56BD">
          <w:rPr>
            <w:noProof/>
            <w:webHidden/>
          </w:rPr>
          <w:fldChar w:fldCharType="separate"/>
        </w:r>
        <w:r w:rsidR="00D87DBB">
          <w:rPr>
            <w:noProof/>
            <w:webHidden/>
          </w:rPr>
          <w:t>84</w:t>
        </w:r>
        <w:r w:rsidR="007A56BD">
          <w:rPr>
            <w:noProof/>
            <w:webHidden/>
          </w:rPr>
          <w:fldChar w:fldCharType="end"/>
        </w:r>
      </w:hyperlink>
    </w:p>
    <w:p w14:paraId="3F608751" w14:textId="01DBA2BC" w:rsidR="007A56BD" w:rsidRDefault="00864C5E">
      <w:pPr>
        <w:pStyle w:val="TableofFigures"/>
        <w:tabs>
          <w:tab w:val="right" w:leader="dot" w:pos="9016"/>
        </w:tabs>
        <w:rPr>
          <w:rFonts w:cstheme="minorBidi"/>
          <w:noProof/>
          <w:sz w:val="22"/>
          <w:szCs w:val="22"/>
          <w:lang w:eastAsia="en-AU"/>
        </w:rPr>
      </w:pPr>
      <w:hyperlink w:anchor="_Toc22543996" w:history="1">
        <w:r w:rsidR="007A56BD" w:rsidRPr="005E1E29">
          <w:rPr>
            <w:rStyle w:val="Hyperlink"/>
            <w:rFonts w:eastAsiaTheme="majorEastAsia"/>
            <w:noProof/>
          </w:rPr>
          <w:t>Table 7.3: Provider feedback on information given on the provider portal, 2011 – 2014 (per cent)</w:t>
        </w:r>
        <w:r w:rsidR="007A56BD">
          <w:rPr>
            <w:noProof/>
            <w:webHidden/>
          </w:rPr>
          <w:tab/>
        </w:r>
        <w:r w:rsidR="007A56BD">
          <w:rPr>
            <w:noProof/>
            <w:webHidden/>
          </w:rPr>
          <w:fldChar w:fldCharType="begin"/>
        </w:r>
        <w:r w:rsidR="007A56BD">
          <w:rPr>
            <w:noProof/>
            <w:webHidden/>
          </w:rPr>
          <w:instrText xml:space="preserve"> PAGEREF _Toc22543996 \h </w:instrText>
        </w:r>
        <w:r w:rsidR="007A56BD">
          <w:rPr>
            <w:noProof/>
            <w:webHidden/>
          </w:rPr>
        </w:r>
        <w:r w:rsidR="007A56BD">
          <w:rPr>
            <w:noProof/>
            <w:webHidden/>
          </w:rPr>
          <w:fldChar w:fldCharType="separate"/>
        </w:r>
        <w:r w:rsidR="00D87DBB">
          <w:rPr>
            <w:noProof/>
            <w:webHidden/>
          </w:rPr>
          <w:t>85</w:t>
        </w:r>
        <w:r w:rsidR="007A56BD">
          <w:rPr>
            <w:noProof/>
            <w:webHidden/>
          </w:rPr>
          <w:fldChar w:fldCharType="end"/>
        </w:r>
      </w:hyperlink>
    </w:p>
    <w:p w14:paraId="75341287" w14:textId="0346B3D2" w:rsidR="007A56BD" w:rsidRDefault="00864C5E">
      <w:pPr>
        <w:pStyle w:val="TableofFigures"/>
        <w:tabs>
          <w:tab w:val="right" w:leader="dot" w:pos="9016"/>
        </w:tabs>
        <w:rPr>
          <w:rFonts w:cstheme="minorBidi"/>
          <w:noProof/>
          <w:sz w:val="22"/>
          <w:szCs w:val="22"/>
          <w:lang w:eastAsia="en-AU"/>
        </w:rPr>
      </w:pPr>
      <w:hyperlink w:anchor="_Toc22543997" w:history="1">
        <w:r w:rsidR="007A56BD" w:rsidRPr="005E1E29">
          <w:rPr>
            <w:rStyle w:val="Hyperlink"/>
            <w:noProof/>
          </w:rPr>
          <w:t>Table 7.4: Appointment attendance rates before and after introduction of the Strengthening the Job Seeker Compliance Framework measure (per cent)</w:t>
        </w:r>
        <w:r w:rsidR="007A56BD">
          <w:rPr>
            <w:noProof/>
            <w:webHidden/>
          </w:rPr>
          <w:tab/>
        </w:r>
        <w:r w:rsidR="007A56BD">
          <w:rPr>
            <w:noProof/>
            <w:webHidden/>
          </w:rPr>
          <w:fldChar w:fldCharType="begin"/>
        </w:r>
        <w:r w:rsidR="007A56BD">
          <w:rPr>
            <w:noProof/>
            <w:webHidden/>
          </w:rPr>
          <w:instrText xml:space="preserve"> PAGEREF _Toc22543997 \h </w:instrText>
        </w:r>
        <w:r w:rsidR="007A56BD">
          <w:rPr>
            <w:noProof/>
            <w:webHidden/>
          </w:rPr>
        </w:r>
        <w:r w:rsidR="007A56BD">
          <w:rPr>
            <w:noProof/>
            <w:webHidden/>
          </w:rPr>
          <w:fldChar w:fldCharType="separate"/>
        </w:r>
        <w:r w:rsidR="00D87DBB">
          <w:rPr>
            <w:noProof/>
            <w:webHidden/>
          </w:rPr>
          <w:t>89</w:t>
        </w:r>
        <w:r w:rsidR="007A56BD">
          <w:rPr>
            <w:noProof/>
            <w:webHidden/>
          </w:rPr>
          <w:fldChar w:fldCharType="end"/>
        </w:r>
      </w:hyperlink>
    </w:p>
    <w:p w14:paraId="69B7B8A8" w14:textId="5A7AD84A" w:rsidR="007A56BD" w:rsidRDefault="00864C5E">
      <w:pPr>
        <w:pStyle w:val="TableofFigures"/>
        <w:tabs>
          <w:tab w:val="right" w:leader="dot" w:pos="9016"/>
        </w:tabs>
        <w:rPr>
          <w:rFonts w:cstheme="minorBidi"/>
          <w:noProof/>
          <w:sz w:val="22"/>
          <w:szCs w:val="22"/>
          <w:lang w:eastAsia="en-AU"/>
        </w:rPr>
      </w:pPr>
      <w:hyperlink w:anchor="_Toc22543998" w:history="1">
        <w:r w:rsidR="007A56BD" w:rsidRPr="005E1E29">
          <w:rPr>
            <w:rStyle w:val="Hyperlink"/>
            <w:rFonts w:eastAsiaTheme="majorEastAsia"/>
            <w:noProof/>
          </w:rPr>
          <w:t>Table 8.1: Rules for Employment Pathway Fund (EPF) and Wage Connect wage subsidy programmes</w:t>
        </w:r>
        <w:r w:rsidR="007A56BD">
          <w:rPr>
            <w:noProof/>
            <w:webHidden/>
          </w:rPr>
          <w:tab/>
        </w:r>
        <w:r w:rsidR="007A56BD">
          <w:rPr>
            <w:noProof/>
            <w:webHidden/>
          </w:rPr>
          <w:fldChar w:fldCharType="begin"/>
        </w:r>
        <w:r w:rsidR="007A56BD">
          <w:rPr>
            <w:noProof/>
            <w:webHidden/>
          </w:rPr>
          <w:instrText xml:space="preserve"> PAGEREF _Toc22543998 \h </w:instrText>
        </w:r>
        <w:r w:rsidR="007A56BD">
          <w:rPr>
            <w:noProof/>
            <w:webHidden/>
          </w:rPr>
        </w:r>
        <w:r w:rsidR="007A56BD">
          <w:rPr>
            <w:noProof/>
            <w:webHidden/>
          </w:rPr>
          <w:fldChar w:fldCharType="separate"/>
        </w:r>
        <w:r w:rsidR="00D87DBB">
          <w:rPr>
            <w:noProof/>
            <w:webHidden/>
          </w:rPr>
          <w:t>91</w:t>
        </w:r>
        <w:r w:rsidR="007A56BD">
          <w:rPr>
            <w:noProof/>
            <w:webHidden/>
          </w:rPr>
          <w:fldChar w:fldCharType="end"/>
        </w:r>
      </w:hyperlink>
    </w:p>
    <w:p w14:paraId="4833E95C" w14:textId="66ED15C7" w:rsidR="007A56BD" w:rsidRDefault="00864C5E">
      <w:pPr>
        <w:pStyle w:val="TableofFigures"/>
        <w:tabs>
          <w:tab w:val="right" w:leader="dot" w:pos="9016"/>
        </w:tabs>
        <w:rPr>
          <w:rFonts w:cstheme="minorBidi"/>
          <w:noProof/>
          <w:sz w:val="22"/>
          <w:szCs w:val="22"/>
          <w:lang w:eastAsia="en-AU"/>
        </w:rPr>
      </w:pPr>
      <w:hyperlink w:anchor="_Toc22543999" w:history="1">
        <w:r w:rsidR="007A56BD" w:rsidRPr="005E1E29">
          <w:rPr>
            <w:rStyle w:val="Hyperlink"/>
            <w:rFonts w:eastAsiaTheme="majorEastAsia"/>
            <w:noProof/>
          </w:rPr>
          <w:t>Table 8.2: Predicted probability of outcome for jobs with and without a wage subsidy agreement, by type of agreement and income support type</w:t>
        </w:r>
        <w:r w:rsidR="007A56BD">
          <w:rPr>
            <w:noProof/>
            <w:webHidden/>
          </w:rPr>
          <w:tab/>
        </w:r>
        <w:r w:rsidR="007A56BD">
          <w:rPr>
            <w:noProof/>
            <w:webHidden/>
          </w:rPr>
          <w:fldChar w:fldCharType="begin"/>
        </w:r>
        <w:r w:rsidR="007A56BD">
          <w:rPr>
            <w:noProof/>
            <w:webHidden/>
          </w:rPr>
          <w:instrText xml:space="preserve"> PAGEREF _Toc22543999 \h </w:instrText>
        </w:r>
        <w:r w:rsidR="007A56BD">
          <w:rPr>
            <w:noProof/>
            <w:webHidden/>
          </w:rPr>
        </w:r>
        <w:r w:rsidR="007A56BD">
          <w:rPr>
            <w:noProof/>
            <w:webHidden/>
          </w:rPr>
          <w:fldChar w:fldCharType="separate"/>
        </w:r>
        <w:r w:rsidR="00D87DBB">
          <w:rPr>
            <w:noProof/>
            <w:webHidden/>
          </w:rPr>
          <w:t>92</w:t>
        </w:r>
        <w:r w:rsidR="007A56BD">
          <w:rPr>
            <w:noProof/>
            <w:webHidden/>
          </w:rPr>
          <w:fldChar w:fldCharType="end"/>
        </w:r>
      </w:hyperlink>
    </w:p>
    <w:p w14:paraId="0A8C5095" w14:textId="57754CD6" w:rsidR="007A56BD" w:rsidRDefault="00864C5E">
      <w:pPr>
        <w:pStyle w:val="TableofFigures"/>
        <w:tabs>
          <w:tab w:val="right" w:leader="dot" w:pos="9016"/>
        </w:tabs>
        <w:rPr>
          <w:rFonts w:cstheme="minorBidi"/>
          <w:noProof/>
          <w:sz w:val="22"/>
          <w:szCs w:val="22"/>
          <w:lang w:eastAsia="en-AU"/>
        </w:rPr>
      </w:pPr>
      <w:hyperlink w:anchor="_Toc22544000" w:history="1">
        <w:r w:rsidR="007A56BD" w:rsidRPr="005E1E29">
          <w:rPr>
            <w:rStyle w:val="Hyperlink"/>
            <w:rFonts w:eastAsiaTheme="majorEastAsia"/>
            <w:noProof/>
          </w:rPr>
          <w:t>Table 8.3: Employer-stated reasons why Employment Pathway Fund (EPF)-subsidised employee no longer employed (per cent)</w:t>
        </w:r>
        <w:r w:rsidR="007A56BD">
          <w:rPr>
            <w:noProof/>
            <w:webHidden/>
          </w:rPr>
          <w:tab/>
        </w:r>
        <w:r w:rsidR="007A56BD">
          <w:rPr>
            <w:noProof/>
            <w:webHidden/>
          </w:rPr>
          <w:fldChar w:fldCharType="begin"/>
        </w:r>
        <w:r w:rsidR="007A56BD">
          <w:rPr>
            <w:noProof/>
            <w:webHidden/>
          </w:rPr>
          <w:instrText xml:space="preserve"> PAGEREF _Toc22544000 \h </w:instrText>
        </w:r>
        <w:r w:rsidR="007A56BD">
          <w:rPr>
            <w:noProof/>
            <w:webHidden/>
          </w:rPr>
        </w:r>
        <w:r w:rsidR="007A56BD">
          <w:rPr>
            <w:noProof/>
            <w:webHidden/>
          </w:rPr>
          <w:fldChar w:fldCharType="separate"/>
        </w:r>
        <w:r w:rsidR="00D87DBB">
          <w:rPr>
            <w:noProof/>
            <w:webHidden/>
          </w:rPr>
          <w:t>97</w:t>
        </w:r>
        <w:r w:rsidR="007A56BD">
          <w:rPr>
            <w:noProof/>
            <w:webHidden/>
          </w:rPr>
          <w:fldChar w:fldCharType="end"/>
        </w:r>
      </w:hyperlink>
    </w:p>
    <w:p w14:paraId="43FC15A8" w14:textId="1D6B923A" w:rsidR="007A56BD" w:rsidRDefault="00864C5E">
      <w:pPr>
        <w:pStyle w:val="TableofFigures"/>
        <w:tabs>
          <w:tab w:val="right" w:leader="dot" w:pos="9016"/>
        </w:tabs>
        <w:rPr>
          <w:rFonts w:cstheme="minorBidi"/>
          <w:noProof/>
          <w:sz w:val="22"/>
          <w:szCs w:val="22"/>
          <w:lang w:eastAsia="en-AU"/>
        </w:rPr>
      </w:pPr>
      <w:hyperlink w:anchor="_Toc22544001" w:history="1">
        <w:r w:rsidR="007A56BD" w:rsidRPr="005E1E29">
          <w:rPr>
            <w:rStyle w:val="Hyperlink"/>
            <w:rFonts w:eastAsiaTheme="majorEastAsia"/>
            <w:noProof/>
          </w:rPr>
          <w:t>Table 8.4: Timing of payments to employers for Employment Pathway Fund (EPF) wage subsidies and employers’ preferred payment schedule (per cent of surveyed employers)</w:t>
        </w:r>
        <w:r w:rsidR="007A56BD">
          <w:rPr>
            <w:noProof/>
            <w:webHidden/>
          </w:rPr>
          <w:tab/>
        </w:r>
        <w:r w:rsidR="007A56BD">
          <w:rPr>
            <w:noProof/>
            <w:webHidden/>
          </w:rPr>
          <w:fldChar w:fldCharType="begin"/>
        </w:r>
        <w:r w:rsidR="007A56BD">
          <w:rPr>
            <w:noProof/>
            <w:webHidden/>
          </w:rPr>
          <w:instrText xml:space="preserve"> PAGEREF _Toc22544001 \h </w:instrText>
        </w:r>
        <w:r w:rsidR="007A56BD">
          <w:rPr>
            <w:noProof/>
            <w:webHidden/>
          </w:rPr>
        </w:r>
        <w:r w:rsidR="007A56BD">
          <w:rPr>
            <w:noProof/>
            <w:webHidden/>
          </w:rPr>
          <w:fldChar w:fldCharType="separate"/>
        </w:r>
        <w:r w:rsidR="00D87DBB">
          <w:rPr>
            <w:noProof/>
            <w:webHidden/>
          </w:rPr>
          <w:t>99</w:t>
        </w:r>
        <w:r w:rsidR="007A56BD">
          <w:rPr>
            <w:noProof/>
            <w:webHidden/>
          </w:rPr>
          <w:fldChar w:fldCharType="end"/>
        </w:r>
      </w:hyperlink>
    </w:p>
    <w:p w14:paraId="38D7AA58" w14:textId="11F8D748" w:rsidR="007A56BD" w:rsidRDefault="00864C5E">
      <w:pPr>
        <w:pStyle w:val="TableofFigures"/>
        <w:tabs>
          <w:tab w:val="right" w:leader="dot" w:pos="9016"/>
        </w:tabs>
        <w:rPr>
          <w:rFonts w:cstheme="minorBidi"/>
          <w:noProof/>
          <w:sz w:val="22"/>
          <w:szCs w:val="22"/>
          <w:lang w:eastAsia="en-AU"/>
        </w:rPr>
      </w:pPr>
      <w:hyperlink w:anchor="_Toc22544002" w:history="1">
        <w:r w:rsidR="007A56BD" w:rsidRPr="005E1E29">
          <w:rPr>
            <w:rStyle w:val="Hyperlink"/>
            <w:noProof/>
          </w:rPr>
          <w:t>Table 9.1: Changes to provider services between the JSA 2009 and JSA 2012 contracts</w:t>
        </w:r>
        <w:r w:rsidR="007A56BD">
          <w:rPr>
            <w:noProof/>
            <w:webHidden/>
          </w:rPr>
          <w:tab/>
        </w:r>
        <w:r w:rsidR="007A56BD">
          <w:rPr>
            <w:noProof/>
            <w:webHidden/>
          </w:rPr>
          <w:fldChar w:fldCharType="begin"/>
        </w:r>
        <w:r w:rsidR="007A56BD">
          <w:rPr>
            <w:noProof/>
            <w:webHidden/>
          </w:rPr>
          <w:instrText xml:space="preserve"> PAGEREF _Toc22544002 \h </w:instrText>
        </w:r>
        <w:r w:rsidR="007A56BD">
          <w:rPr>
            <w:noProof/>
            <w:webHidden/>
          </w:rPr>
        </w:r>
        <w:r w:rsidR="007A56BD">
          <w:rPr>
            <w:noProof/>
            <w:webHidden/>
          </w:rPr>
          <w:fldChar w:fldCharType="separate"/>
        </w:r>
        <w:r w:rsidR="00D87DBB">
          <w:rPr>
            <w:noProof/>
            <w:webHidden/>
          </w:rPr>
          <w:t>100</w:t>
        </w:r>
        <w:r w:rsidR="007A56BD">
          <w:rPr>
            <w:noProof/>
            <w:webHidden/>
          </w:rPr>
          <w:fldChar w:fldCharType="end"/>
        </w:r>
      </w:hyperlink>
    </w:p>
    <w:p w14:paraId="44AEC36A" w14:textId="2F0905FA" w:rsidR="007A56BD" w:rsidRDefault="00864C5E">
      <w:pPr>
        <w:pStyle w:val="TableofFigures"/>
        <w:tabs>
          <w:tab w:val="right" w:leader="dot" w:pos="9016"/>
        </w:tabs>
        <w:rPr>
          <w:rFonts w:cstheme="minorBidi"/>
          <w:noProof/>
          <w:sz w:val="22"/>
          <w:szCs w:val="22"/>
          <w:lang w:eastAsia="en-AU"/>
        </w:rPr>
      </w:pPr>
      <w:hyperlink w:anchor="_Toc22544003" w:history="1">
        <w:r w:rsidR="007A56BD" w:rsidRPr="005E1E29">
          <w:rPr>
            <w:rStyle w:val="Hyperlink"/>
            <w:noProof/>
          </w:rPr>
          <w:t>Table 9.2: Employment Pathway Fund (EPF) expenditure overall, post-placement support and reverse marketing by JSA contract ($ value and per cent)</w:t>
        </w:r>
        <w:r w:rsidR="007A56BD">
          <w:rPr>
            <w:noProof/>
            <w:webHidden/>
          </w:rPr>
          <w:tab/>
        </w:r>
        <w:r w:rsidR="007A56BD">
          <w:rPr>
            <w:noProof/>
            <w:webHidden/>
          </w:rPr>
          <w:fldChar w:fldCharType="begin"/>
        </w:r>
        <w:r w:rsidR="007A56BD">
          <w:rPr>
            <w:noProof/>
            <w:webHidden/>
          </w:rPr>
          <w:instrText xml:space="preserve"> PAGEREF _Toc22544003 \h </w:instrText>
        </w:r>
        <w:r w:rsidR="007A56BD">
          <w:rPr>
            <w:noProof/>
            <w:webHidden/>
          </w:rPr>
        </w:r>
        <w:r w:rsidR="007A56BD">
          <w:rPr>
            <w:noProof/>
            <w:webHidden/>
          </w:rPr>
          <w:fldChar w:fldCharType="separate"/>
        </w:r>
        <w:r w:rsidR="00D87DBB">
          <w:rPr>
            <w:noProof/>
            <w:webHidden/>
          </w:rPr>
          <w:t>101</w:t>
        </w:r>
        <w:r w:rsidR="007A56BD">
          <w:rPr>
            <w:noProof/>
            <w:webHidden/>
          </w:rPr>
          <w:fldChar w:fldCharType="end"/>
        </w:r>
      </w:hyperlink>
    </w:p>
    <w:p w14:paraId="7F8BA45A" w14:textId="440AD979" w:rsidR="007A56BD" w:rsidRDefault="00864C5E">
      <w:pPr>
        <w:pStyle w:val="TableofFigures"/>
        <w:tabs>
          <w:tab w:val="right" w:leader="dot" w:pos="9016"/>
        </w:tabs>
        <w:rPr>
          <w:rFonts w:cstheme="minorBidi"/>
          <w:noProof/>
          <w:sz w:val="22"/>
          <w:szCs w:val="22"/>
          <w:lang w:eastAsia="en-AU"/>
        </w:rPr>
      </w:pPr>
      <w:hyperlink w:anchor="_Toc22544004" w:history="1">
        <w:r w:rsidR="007A56BD" w:rsidRPr="005E1E29">
          <w:rPr>
            <w:rStyle w:val="Hyperlink"/>
            <w:noProof/>
          </w:rPr>
          <w:t>Table 9.3: Awareness and use of mainstream government funded employment services, 2007 to 2015 (per cent)</w:t>
        </w:r>
        <w:r w:rsidR="007A56BD">
          <w:rPr>
            <w:noProof/>
            <w:webHidden/>
          </w:rPr>
          <w:tab/>
        </w:r>
        <w:r w:rsidR="007A56BD">
          <w:rPr>
            <w:noProof/>
            <w:webHidden/>
          </w:rPr>
          <w:fldChar w:fldCharType="begin"/>
        </w:r>
        <w:r w:rsidR="007A56BD">
          <w:rPr>
            <w:noProof/>
            <w:webHidden/>
          </w:rPr>
          <w:instrText xml:space="preserve"> PAGEREF _Toc22544004 \h </w:instrText>
        </w:r>
        <w:r w:rsidR="007A56BD">
          <w:rPr>
            <w:noProof/>
            <w:webHidden/>
          </w:rPr>
        </w:r>
        <w:r w:rsidR="007A56BD">
          <w:rPr>
            <w:noProof/>
            <w:webHidden/>
          </w:rPr>
          <w:fldChar w:fldCharType="separate"/>
        </w:r>
        <w:r w:rsidR="00D87DBB">
          <w:rPr>
            <w:noProof/>
            <w:webHidden/>
          </w:rPr>
          <w:t>102</w:t>
        </w:r>
        <w:r w:rsidR="007A56BD">
          <w:rPr>
            <w:noProof/>
            <w:webHidden/>
          </w:rPr>
          <w:fldChar w:fldCharType="end"/>
        </w:r>
      </w:hyperlink>
    </w:p>
    <w:p w14:paraId="2B2D11A6" w14:textId="66E33733" w:rsidR="007A56BD" w:rsidRDefault="00864C5E">
      <w:pPr>
        <w:pStyle w:val="TableofFigures"/>
        <w:tabs>
          <w:tab w:val="right" w:leader="dot" w:pos="9016"/>
        </w:tabs>
        <w:rPr>
          <w:rFonts w:cstheme="minorBidi"/>
          <w:noProof/>
          <w:sz w:val="22"/>
          <w:szCs w:val="22"/>
          <w:lang w:eastAsia="en-AU"/>
        </w:rPr>
      </w:pPr>
      <w:hyperlink w:anchor="_Toc22544005" w:history="1">
        <w:r w:rsidR="007A56BD" w:rsidRPr="005E1E29">
          <w:rPr>
            <w:rStyle w:val="Hyperlink"/>
            <w:noProof/>
          </w:rPr>
          <w:t>Table 9.4: Employers who currently employ or would not consider hiring particular job seeker groups (per cent)</w:t>
        </w:r>
        <w:r w:rsidR="007A56BD">
          <w:rPr>
            <w:noProof/>
            <w:webHidden/>
          </w:rPr>
          <w:tab/>
        </w:r>
        <w:r w:rsidR="007A56BD">
          <w:rPr>
            <w:noProof/>
            <w:webHidden/>
          </w:rPr>
          <w:fldChar w:fldCharType="begin"/>
        </w:r>
        <w:r w:rsidR="007A56BD">
          <w:rPr>
            <w:noProof/>
            <w:webHidden/>
          </w:rPr>
          <w:instrText xml:space="preserve"> PAGEREF _Toc22544005 \h </w:instrText>
        </w:r>
        <w:r w:rsidR="007A56BD">
          <w:rPr>
            <w:noProof/>
            <w:webHidden/>
          </w:rPr>
        </w:r>
        <w:r w:rsidR="007A56BD">
          <w:rPr>
            <w:noProof/>
            <w:webHidden/>
          </w:rPr>
          <w:fldChar w:fldCharType="separate"/>
        </w:r>
        <w:r w:rsidR="00D87DBB">
          <w:rPr>
            <w:noProof/>
            <w:webHidden/>
          </w:rPr>
          <w:t>106</w:t>
        </w:r>
        <w:r w:rsidR="007A56BD">
          <w:rPr>
            <w:noProof/>
            <w:webHidden/>
          </w:rPr>
          <w:fldChar w:fldCharType="end"/>
        </w:r>
      </w:hyperlink>
    </w:p>
    <w:p w14:paraId="7B0AD801" w14:textId="0EB1CC45" w:rsidR="007A56BD" w:rsidRDefault="00864C5E">
      <w:pPr>
        <w:pStyle w:val="TableofFigures"/>
        <w:tabs>
          <w:tab w:val="right" w:leader="dot" w:pos="9016"/>
        </w:tabs>
        <w:rPr>
          <w:rFonts w:cstheme="minorBidi"/>
          <w:noProof/>
          <w:sz w:val="22"/>
          <w:szCs w:val="22"/>
          <w:lang w:eastAsia="en-AU"/>
        </w:rPr>
      </w:pPr>
      <w:hyperlink w:anchor="_Toc22544006" w:history="1">
        <w:r w:rsidR="007A56BD" w:rsidRPr="005E1E29">
          <w:rPr>
            <w:rStyle w:val="Hyperlink"/>
            <w:rFonts w:eastAsiaTheme="majorEastAsia"/>
            <w:noProof/>
          </w:rPr>
          <w:t>Table 10.1: Service fee structure and rationale for the JSA 2012 contract</w:t>
        </w:r>
        <w:r w:rsidR="007A56BD">
          <w:rPr>
            <w:noProof/>
            <w:webHidden/>
          </w:rPr>
          <w:tab/>
        </w:r>
        <w:r w:rsidR="007A56BD">
          <w:rPr>
            <w:noProof/>
            <w:webHidden/>
          </w:rPr>
          <w:fldChar w:fldCharType="begin"/>
        </w:r>
        <w:r w:rsidR="007A56BD">
          <w:rPr>
            <w:noProof/>
            <w:webHidden/>
          </w:rPr>
          <w:instrText xml:space="preserve"> PAGEREF _Toc22544006 \h </w:instrText>
        </w:r>
        <w:r w:rsidR="007A56BD">
          <w:rPr>
            <w:noProof/>
            <w:webHidden/>
          </w:rPr>
        </w:r>
        <w:r w:rsidR="007A56BD">
          <w:rPr>
            <w:noProof/>
            <w:webHidden/>
          </w:rPr>
          <w:fldChar w:fldCharType="separate"/>
        </w:r>
        <w:r w:rsidR="00D87DBB">
          <w:rPr>
            <w:noProof/>
            <w:webHidden/>
          </w:rPr>
          <w:t>109</w:t>
        </w:r>
        <w:r w:rsidR="007A56BD">
          <w:rPr>
            <w:noProof/>
            <w:webHidden/>
          </w:rPr>
          <w:fldChar w:fldCharType="end"/>
        </w:r>
      </w:hyperlink>
    </w:p>
    <w:p w14:paraId="6A0DA23C" w14:textId="60902463" w:rsidR="007A56BD" w:rsidRDefault="00864C5E">
      <w:pPr>
        <w:pStyle w:val="TableofFigures"/>
        <w:tabs>
          <w:tab w:val="right" w:leader="dot" w:pos="9016"/>
        </w:tabs>
        <w:rPr>
          <w:rFonts w:cstheme="minorBidi"/>
          <w:noProof/>
          <w:sz w:val="22"/>
          <w:szCs w:val="22"/>
          <w:lang w:eastAsia="en-AU"/>
        </w:rPr>
      </w:pPr>
      <w:hyperlink w:anchor="_Toc22544007" w:history="1">
        <w:r w:rsidR="007A56BD" w:rsidRPr="005E1E29">
          <w:rPr>
            <w:rStyle w:val="Hyperlink"/>
            <w:noProof/>
          </w:rPr>
          <w:t>Table 10.2: Changes to service and placement fees for Stream 1 job seekers between JSA 2009 and JSA 2012</w:t>
        </w:r>
        <w:r w:rsidR="007A56BD">
          <w:rPr>
            <w:noProof/>
            <w:webHidden/>
          </w:rPr>
          <w:tab/>
        </w:r>
        <w:r w:rsidR="007A56BD">
          <w:rPr>
            <w:noProof/>
            <w:webHidden/>
          </w:rPr>
          <w:fldChar w:fldCharType="begin"/>
        </w:r>
        <w:r w:rsidR="007A56BD">
          <w:rPr>
            <w:noProof/>
            <w:webHidden/>
          </w:rPr>
          <w:instrText xml:space="preserve"> PAGEREF _Toc22544007 \h </w:instrText>
        </w:r>
        <w:r w:rsidR="007A56BD">
          <w:rPr>
            <w:noProof/>
            <w:webHidden/>
          </w:rPr>
        </w:r>
        <w:r w:rsidR="007A56BD">
          <w:rPr>
            <w:noProof/>
            <w:webHidden/>
          </w:rPr>
          <w:fldChar w:fldCharType="separate"/>
        </w:r>
        <w:r w:rsidR="00D87DBB">
          <w:rPr>
            <w:noProof/>
            <w:webHidden/>
          </w:rPr>
          <w:t>110</w:t>
        </w:r>
        <w:r w:rsidR="007A56BD">
          <w:rPr>
            <w:noProof/>
            <w:webHidden/>
          </w:rPr>
          <w:fldChar w:fldCharType="end"/>
        </w:r>
      </w:hyperlink>
    </w:p>
    <w:p w14:paraId="2815CC03" w14:textId="2D07CD0E" w:rsidR="007A56BD" w:rsidRDefault="00864C5E">
      <w:pPr>
        <w:pStyle w:val="TableofFigures"/>
        <w:tabs>
          <w:tab w:val="right" w:leader="dot" w:pos="9016"/>
        </w:tabs>
        <w:rPr>
          <w:rFonts w:cstheme="minorBidi"/>
          <w:noProof/>
          <w:sz w:val="22"/>
          <w:szCs w:val="22"/>
          <w:lang w:eastAsia="en-AU"/>
        </w:rPr>
      </w:pPr>
      <w:hyperlink w:anchor="_Toc22544008" w:history="1">
        <w:r w:rsidR="007A56BD" w:rsidRPr="005E1E29">
          <w:rPr>
            <w:rStyle w:val="Hyperlink"/>
            <w:noProof/>
          </w:rPr>
          <w:t>Table 10.3: Commenced caseload service and outcome fees paid for JSA 2009 and JSA 2012 (average and percentage difference)</w:t>
        </w:r>
        <w:r w:rsidR="007A56BD">
          <w:rPr>
            <w:noProof/>
            <w:webHidden/>
          </w:rPr>
          <w:tab/>
        </w:r>
        <w:r w:rsidR="007A56BD">
          <w:rPr>
            <w:noProof/>
            <w:webHidden/>
          </w:rPr>
          <w:fldChar w:fldCharType="begin"/>
        </w:r>
        <w:r w:rsidR="007A56BD">
          <w:rPr>
            <w:noProof/>
            <w:webHidden/>
          </w:rPr>
          <w:instrText xml:space="preserve"> PAGEREF _Toc22544008 \h </w:instrText>
        </w:r>
        <w:r w:rsidR="007A56BD">
          <w:rPr>
            <w:noProof/>
            <w:webHidden/>
          </w:rPr>
        </w:r>
        <w:r w:rsidR="007A56BD">
          <w:rPr>
            <w:noProof/>
            <w:webHidden/>
          </w:rPr>
          <w:fldChar w:fldCharType="separate"/>
        </w:r>
        <w:r w:rsidR="00D87DBB">
          <w:rPr>
            <w:noProof/>
            <w:webHidden/>
          </w:rPr>
          <w:t>112</w:t>
        </w:r>
        <w:r w:rsidR="007A56BD">
          <w:rPr>
            <w:noProof/>
            <w:webHidden/>
          </w:rPr>
          <w:fldChar w:fldCharType="end"/>
        </w:r>
      </w:hyperlink>
    </w:p>
    <w:p w14:paraId="67405E5D" w14:textId="34C19A46" w:rsidR="007A56BD" w:rsidRDefault="00864C5E">
      <w:pPr>
        <w:pStyle w:val="TableofFigures"/>
        <w:tabs>
          <w:tab w:val="right" w:leader="dot" w:pos="9016"/>
        </w:tabs>
        <w:rPr>
          <w:rFonts w:cstheme="minorBidi"/>
          <w:noProof/>
          <w:sz w:val="22"/>
          <w:szCs w:val="22"/>
          <w:lang w:eastAsia="en-AU"/>
        </w:rPr>
      </w:pPr>
      <w:hyperlink w:anchor="_Toc22544009" w:history="1">
        <w:r w:rsidR="007A56BD" w:rsidRPr="005E1E29">
          <w:rPr>
            <w:rStyle w:val="Hyperlink"/>
            <w:noProof/>
          </w:rPr>
          <w:t>Table 10.4: Site Star Ratings (3, 4 and 5) as at June 2010 – 2014 (number and per cent)</w:t>
        </w:r>
        <w:r w:rsidR="007A56BD">
          <w:rPr>
            <w:noProof/>
            <w:webHidden/>
          </w:rPr>
          <w:tab/>
        </w:r>
        <w:r w:rsidR="007A56BD">
          <w:rPr>
            <w:noProof/>
            <w:webHidden/>
          </w:rPr>
          <w:fldChar w:fldCharType="begin"/>
        </w:r>
        <w:r w:rsidR="007A56BD">
          <w:rPr>
            <w:noProof/>
            <w:webHidden/>
          </w:rPr>
          <w:instrText xml:space="preserve"> PAGEREF _Toc22544009 \h </w:instrText>
        </w:r>
        <w:r w:rsidR="007A56BD">
          <w:rPr>
            <w:noProof/>
            <w:webHidden/>
          </w:rPr>
        </w:r>
        <w:r w:rsidR="007A56BD">
          <w:rPr>
            <w:noProof/>
            <w:webHidden/>
          </w:rPr>
          <w:fldChar w:fldCharType="separate"/>
        </w:r>
        <w:r w:rsidR="00D87DBB">
          <w:rPr>
            <w:noProof/>
            <w:webHidden/>
          </w:rPr>
          <w:t>117</w:t>
        </w:r>
        <w:r w:rsidR="007A56BD">
          <w:rPr>
            <w:noProof/>
            <w:webHidden/>
          </w:rPr>
          <w:fldChar w:fldCharType="end"/>
        </w:r>
      </w:hyperlink>
    </w:p>
    <w:p w14:paraId="4F49C404" w14:textId="50928A39" w:rsidR="008B694A" w:rsidRDefault="005D1D37">
      <w:r>
        <w:rPr>
          <w:rFonts w:cstheme="minorHAnsi"/>
          <w:i/>
          <w:iCs/>
          <w:sz w:val="20"/>
          <w:szCs w:val="20"/>
        </w:rPr>
        <w:fldChar w:fldCharType="end"/>
      </w:r>
      <w:r w:rsidR="008B694A">
        <w:br w:type="page"/>
      </w:r>
    </w:p>
    <w:p w14:paraId="5BF1A558" w14:textId="77777777" w:rsidR="008B694A" w:rsidRDefault="008B694A" w:rsidP="008B694A">
      <w:pPr>
        <w:pStyle w:val="Heading1"/>
      </w:pPr>
      <w:bookmarkStart w:id="25" w:name="_Toc22543021"/>
      <w:r>
        <w:t>List of figures</w:t>
      </w:r>
      <w:bookmarkEnd w:id="25"/>
    </w:p>
    <w:p w14:paraId="157EF973" w14:textId="2AFEA46E" w:rsidR="007A56BD" w:rsidRDefault="00D17970">
      <w:pPr>
        <w:pStyle w:val="TableofFigures"/>
        <w:tabs>
          <w:tab w:val="right" w:leader="dot" w:pos="9016"/>
        </w:tabs>
        <w:rPr>
          <w:rFonts w:cstheme="minorBidi"/>
          <w:noProof/>
          <w:sz w:val="22"/>
          <w:szCs w:val="22"/>
          <w:lang w:eastAsia="en-AU"/>
        </w:rPr>
      </w:pPr>
      <w:r>
        <w:rPr>
          <w:iCs/>
          <w:u w:val="single"/>
        </w:rPr>
        <w:fldChar w:fldCharType="begin"/>
      </w:r>
      <w:r>
        <w:rPr>
          <w:iCs/>
          <w:u w:val="single"/>
        </w:rPr>
        <w:instrText xml:space="preserve"> TOC \f F \h \z \t "Figure heading for contents" \c </w:instrText>
      </w:r>
      <w:r>
        <w:rPr>
          <w:iCs/>
          <w:u w:val="single"/>
        </w:rPr>
        <w:fldChar w:fldCharType="separate"/>
      </w:r>
      <w:hyperlink w:anchor="_Toc22544020" w:history="1">
        <w:r w:rsidR="007A56BD" w:rsidRPr="001B4C6D">
          <w:rPr>
            <w:rStyle w:val="Hyperlink"/>
            <w:noProof/>
          </w:rPr>
          <w:t>Figure 1.1: Job Services Australia service model as it was defined for the 2012 – 2015 period</w:t>
        </w:r>
        <w:r w:rsidR="007A56BD">
          <w:rPr>
            <w:noProof/>
            <w:webHidden/>
          </w:rPr>
          <w:tab/>
        </w:r>
        <w:r w:rsidR="007A56BD">
          <w:rPr>
            <w:noProof/>
            <w:webHidden/>
          </w:rPr>
          <w:fldChar w:fldCharType="begin"/>
        </w:r>
        <w:r w:rsidR="007A56BD">
          <w:rPr>
            <w:noProof/>
            <w:webHidden/>
          </w:rPr>
          <w:instrText xml:space="preserve"> PAGEREF _Toc22544020 \h </w:instrText>
        </w:r>
        <w:r w:rsidR="007A56BD">
          <w:rPr>
            <w:noProof/>
            <w:webHidden/>
          </w:rPr>
        </w:r>
        <w:r w:rsidR="007A56BD">
          <w:rPr>
            <w:noProof/>
            <w:webHidden/>
          </w:rPr>
          <w:fldChar w:fldCharType="separate"/>
        </w:r>
        <w:r w:rsidR="00D87DBB">
          <w:rPr>
            <w:noProof/>
            <w:webHidden/>
          </w:rPr>
          <w:t>11</w:t>
        </w:r>
        <w:r w:rsidR="007A56BD">
          <w:rPr>
            <w:noProof/>
            <w:webHidden/>
          </w:rPr>
          <w:fldChar w:fldCharType="end"/>
        </w:r>
      </w:hyperlink>
    </w:p>
    <w:p w14:paraId="43345E8F" w14:textId="682A378C" w:rsidR="007A56BD" w:rsidRDefault="00864C5E">
      <w:pPr>
        <w:pStyle w:val="TableofFigures"/>
        <w:tabs>
          <w:tab w:val="right" w:leader="dot" w:pos="9016"/>
        </w:tabs>
        <w:rPr>
          <w:rFonts w:cstheme="minorBidi"/>
          <w:noProof/>
          <w:sz w:val="22"/>
          <w:szCs w:val="22"/>
          <w:lang w:eastAsia="en-AU"/>
        </w:rPr>
      </w:pPr>
      <w:hyperlink w:anchor="_Toc22544021" w:history="1">
        <w:r w:rsidR="007A56BD" w:rsidRPr="001B4C6D">
          <w:rPr>
            <w:rStyle w:val="Hyperlink"/>
            <w:noProof/>
          </w:rPr>
          <w:t>Figure 1.2: Unemployment and participation rates, July 2009 to June 2015, Australia, (seasonally adjusted)</w:t>
        </w:r>
        <w:r w:rsidR="007A56BD">
          <w:rPr>
            <w:noProof/>
            <w:webHidden/>
          </w:rPr>
          <w:tab/>
        </w:r>
        <w:r w:rsidR="007A56BD">
          <w:rPr>
            <w:noProof/>
            <w:webHidden/>
          </w:rPr>
          <w:fldChar w:fldCharType="begin"/>
        </w:r>
        <w:r w:rsidR="007A56BD">
          <w:rPr>
            <w:noProof/>
            <w:webHidden/>
          </w:rPr>
          <w:instrText xml:space="preserve"> PAGEREF _Toc22544021 \h </w:instrText>
        </w:r>
        <w:r w:rsidR="007A56BD">
          <w:rPr>
            <w:noProof/>
            <w:webHidden/>
          </w:rPr>
        </w:r>
        <w:r w:rsidR="007A56BD">
          <w:rPr>
            <w:noProof/>
            <w:webHidden/>
          </w:rPr>
          <w:fldChar w:fldCharType="separate"/>
        </w:r>
        <w:r w:rsidR="00D87DBB">
          <w:rPr>
            <w:noProof/>
            <w:webHidden/>
          </w:rPr>
          <w:t>17</w:t>
        </w:r>
        <w:r w:rsidR="007A56BD">
          <w:rPr>
            <w:noProof/>
            <w:webHidden/>
          </w:rPr>
          <w:fldChar w:fldCharType="end"/>
        </w:r>
      </w:hyperlink>
    </w:p>
    <w:p w14:paraId="4B1C6D1D" w14:textId="7D304394" w:rsidR="007A56BD" w:rsidRDefault="00864C5E">
      <w:pPr>
        <w:pStyle w:val="TableofFigures"/>
        <w:tabs>
          <w:tab w:val="right" w:leader="dot" w:pos="9016"/>
        </w:tabs>
        <w:rPr>
          <w:rFonts w:cstheme="minorBidi"/>
          <w:noProof/>
          <w:sz w:val="22"/>
          <w:szCs w:val="22"/>
          <w:lang w:eastAsia="en-AU"/>
        </w:rPr>
      </w:pPr>
      <w:hyperlink w:anchor="_Toc22544022" w:history="1">
        <w:r w:rsidR="007A56BD" w:rsidRPr="001B4C6D">
          <w:rPr>
            <w:rStyle w:val="Hyperlink"/>
            <w:noProof/>
          </w:rPr>
          <w:t>Figure 1.3: Internet job advertisements and number of job placements by employment services September 2009 to March 2015 (number)</w:t>
        </w:r>
        <w:r w:rsidR="007A56BD">
          <w:rPr>
            <w:noProof/>
            <w:webHidden/>
          </w:rPr>
          <w:tab/>
        </w:r>
        <w:r w:rsidR="007A56BD">
          <w:rPr>
            <w:noProof/>
            <w:webHidden/>
          </w:rPr>
          <w:fldChar w:fldCharType="begin"/>
        </w:r>
        <w:r w:rsidR="007A56BD">
          <w:rPr>
            <w:noProof/>
            <w:webHidden/>
          </w:rPr>
          <w:instrText xml:space="preserve"> PAGEREF _Toc22544022 \h </w:instrText>
        </w:r>
        <w:r w:rsidR="007A56BD">
          <w:rPr>
            <w:noProof/>
            <w:webHidden/>
          </w:rPr>
        </w:r>
        <w:r w:rsidR="007A56BD">
          <w:rPr>
            <w:noProof/>
            <w:webHidden/>
          </w:rPr>
          <w:fldChar w:fldCharType="separate"/>
        </w:r>
        <w:r w:rsidR="00D87DBB">
          <w:rPr>
            <w:noProof/>
            <w:webHidden/>
          </w:rPr>
          <w:t>18</w:t>
        </w:r>
        <w:r w:rsidR="007A56BD">
          <w:rPr>
            <w:noProof/>
            <w:webHidden/>
          </w:rPr>
          <w:fldChar w:fldCharType="end"/>
        </w:r>
      </w:hyperlink>
    </w:p>
    <w:p w14:paraId="1C92D139" w14:textId="174563D0" w:rsidR="007A56BD" w:rsidRDefault="00864C5E">
      <w:pPr>
        <w:pStyle w:val="TableofFigures"/>
        <w:tabs>
          <w:tab w:val="right" w:leader="dot" w:pos="9016"/>
        </w:tabs>
        <w:rPr>
          <w:rFonts w:cstheme="minorBidi"/>
          <w:noProof/>
          <w:sz w:val="22"/>
          <w:szCs w:val="22"/>
          <w:lang w:eastAsia="en-AU"/>
        </w:rPr>
      </w:pPr>
      <w:hyperlink w:anchor="_Toc22544023" w:history="1">
        <w:r w:rsidR="007A56BD" w:rsidRPr="001B4C6D">
          <w:rPr>
            <w:rStyle w:val="Hyperlink"/>
            <w:noProof/>
          </w:rPr>
          <w:t>Figure 2.1: Active JSA caseload, July 2012 to June 2015 (monthly numbers)</w:t>
        </w:r>
        <w:r w:rsidR="007A56BD">
          <w:rPr>
            <w:noProof/>
            <w:webHidden/>
          </w:rPr>
          <w:tab/>
        </w:r>
        <w:r w:rsidR="007A56BD">
          <w:rPr>
            <w:noProof/>
            <w:webHidden/>
          </w:rPr>
          <w:fldChar w:fldCharType="begin"/>
        </w:r>
        <w:r w:rsidR="007A56BD">
          <w:rPr>
            <w:noProof/>
            <w:webHidden/>
          </w:rPr>
          <w:instrText xml:space="preserve"> PAGEREF _Toc22544023 \h </w:instrText>
        </w:r>
        <w:r w:rsidR="007A56BD">
          <w:rPr>
            <w:noProof/>
            <w:webHidden/>
          </w:rPr>
        </w:r>
        <w:r w:rsidR="007A56BD">
          <w:rPr>
            <w:noProof/>
            <w:webHidden/>
          </w:rPr>
          <w:fldChar w:fldCharType="separate"/>
        </w:r>
        <w:r w:rsidR="00D87DBB">
          <w:rPr>
            <w:noProof/>
            <w:webHidden/>
          </w:rPr>
          <w:t>23</w:t>
        </w:r>
        <w:r w:rsidR="007A56BD">
          <w:rPr>
            <w:noProof/>
            <w:webHidden/>
          </w:rPr>
          <w:fldChar w:fldCharType="end"/>
        </w:r>
      </w:hyperlink>
    </w:p>
    <w:p w14:paraId="47712976" w14:textId="5D560503" w:rsidR="007A56BD" w:rsidRDefault="00864C5E">
      <w:pPr>
        <w:pStyle w:val="TableofFigures"/>
        <w:tabs>
          <w:tab w:val="right" w:leader="dot" w:pos="9016"/>
        </w:tabs>
        <w:rPr>
          <w:rFonts w:cstheme="minorBidi"/>
          <w:noProof/>
          <w:sz w:val="22"/>
          <w:szCs w:val="22"/>
          <w:lang w:eastAsia="en-AU"/>
        </w:rPr>
      </w:pPr>
      <w:hyperlink w:anchor="_Toc22544024" w:history="1">
        <w:r w:rsidR="007A56BD" w:rsidRPr="001B4C6D">
          <w:rPr>
            <w:rStyle w:val="Hyperlink"/>
            <w:noProof/>
          </w:rPr>
          <w:t>Figure 2.2: The JSA 2012 LTU study population by relationship to the JSA 2009 LTU study population</w:t>
        </w:r>
        <w:r w:rsidR="007A56BD">
          <w:rPr>
            <w:noProof/>
            <w:webHidden/>
          </w:rPr>
          <w:tab/>
        </w:r>
        <w:r w:rsidR="007A56BD">
          <w:rPr>
            <w:noProof/>
            <w:webHidden/>
          </w:rPr>
          <w:fldChar w:fldCharType="begin"/>
        </w:r>
        <w:r w:rsidR="007A56BD">
          <w:rPr>
            <w:noProof/>
            <w:webHidden/>
          </w:rPr>
          <w:instrText xml:space="preserve"> PAGEREF _Toc22544024 \h </w:instrText>
        </w:r>
        <w:r w:rsidR="007A56BD">
          <w:rPr>
            <w:noProof/>
            <w:webHidden/>
          </w:rPr>
        </w:r>
        <w:r w:rsidR="007A56BD">
          <w:rPr>
            <w:noProof/>
            <w:webHidden/>
          </w:rPr>
          <w:fldChar w:fldCharType="separate"/>
        </w:r>
        <w:r w:rsidR="00D87DBB">
          <w:rPr>
            <w:noProof/>
            <w:webHidden/>
          </w:rPr>
          <w:t>26</w:t>
        </w:r>
        <w:r w:rsidR="007A56BD">
          <w:rPr>
            <w:noProof/>
            <w:webHidden/>
          </w:rPr>
          <w:fldChar w:fldCharType="end"/>
        </w:r>
      </w:hyperlink>
    </w:p>
    <w:p w14:paraId="5B505EB8" w14:textId="727BAC19" w:rsidR="007A56BD" w:rsidRDefault="00864C5E">
      <w:pPr>
        <w:pStyle w:val="TableofFigures"/>
        <w:tabs>
          <w:tab w:val="right" w:leader="dot" w:pos="9016"/>
        </w:tabs>
        <w:rPr>
          <w:rFonts w:cstheme="minorBidi"/>
          <w:noProof/>
          <w:sz w:val="22"/>
          <w:szCs w:val="22"/>
          <w:lang w:eastAsia="en-AU"/>
        </w:rPr>
      </w:pPr>
      <w:hyperlink w:anchor="_Toc22544025" w:history="1">
        <w:r w:rsidR="007A56BD" w:rsidRPr="001B4C6D">
          <w:rPr>
            <w:rStyle w:val="Hyperlink"/>
            <w:noProof/>
          </w:rPr>
          <w:t>Figure 3.1: Generalised job seeker interaction with employment services</w:t>
        </w:r>
        <w:r w:rsidR="007A56BD">
          <w:rPr>
            <w:noProof/>
            <w:webHidden/>
          </w:rPr>
          <w:tab/>
        </w:r>
        <w:r w:rsidR="007A56BD">
          <w:rPr>
            <w:noProof/>
            <w:webHidden/>
          </w:rPr>
          <w:fldChar w:fldCharType="begin"/>
        </w:r>
        <w:r w:rsidR="007A56BD">
          <w:rPr>
            <w:noProof/>
            <w:webHidden/>
          </w:rPr>
          <w:instrText xml:space="preserve"> PAGEREF _Toc22544025 \h </w:instrText>
        </w:r>
        <w:r w:rsidR="007A56BD">
          <w:rPr>
            <w:noProof/>
            <w:webHidden/>
          </w:rPr>
        </w:r>
        <w:r w:rsidR="007A56BD">
          <w:rPr>
            <w:noProof/>
            <w:webHidden/>
          </w:rPr>
          <w:fldChar w:fldCharType="separate"/>
        </w:r>
        <w:r w:rsidR="00D87DBB">
          <w:rPr>
            <w:noProof/>
            <w:webHidden/>
          </w:rPr>
          <w:t>28</w:t>
        </w:r>
        <w:r w:rsidR="007A56BD">
          <w:rPr>
            <w:noProof/>
            <w:webHidden/>
          </w:rPr>
          <w:fldChar w:fldCharType="end"/>
        </w:r>
      </w:hyperlink>
    </w:p>
    <w:p w14:paraId="354EA44B" w14:textId="6F66EAD1" w:rsidR="007A56BD" w:rsidRDefault="00864C5E">
      <w:pPr>
        <w:pStyle w:val="TableofFigures"/>
        <w:tabs>
          <w:tab w:val="right" w:leader="dot" w:pos="9016"/>
        </w:tabs>
        <w:rPr>
          <w:rFonts w:cstheme="minorBidi"/>
          <w:noProof/>
          <w:sz w:val="22"/>
          <w:szCs w:val="22"/>
          <w:lang w:eastAsia="en-AU"/>
        </w:rPr>
      </w:pPr>
      <w:hyperlink w:anchor="_Toc22544026" w:history="1">
        <w:r w:rsidR="007A56BD" w:rsidRPr="001B4C6D">
          <w:rPr>
            <w:rStyle w:val="Hyperlink"/>
            <w:noProof/>
          </w:rPr>
          <w:t>Figure 3.2: Employment outcomes, Streams 1-4, new entrants (per cent)</w:t>
        </w:r>
        <w:r w:rsidR="007A56BD">
          <w:rPr>
            <w:noProof/>
            <w:webHidden/>
          </w:rPr>
          <w:tab/>
        </w:r>
        <w:r w:rsidR="007A56BD">
          <w:rPr>
            <w:noProof/>
            <w:webHidden/>
          </w:rPr>
          <w:fldChar w:fldCharType="begin"/>
        </w:r>
        <w:r w:rsidR="007A56BD">
          <w:rPr>
            <w:noProof/>
            <w:webHidden/>
          </w:rPr>
          <w:instrText xml:space="preserve"> PAGEREF _Toc22544026 \h </w:instrText>
        </w:r>
        <w:r w:rsidR="007A56BD">
          <w:rPr>
            <w:noProof/>
            <w:webHidden/>
          </w:rPr>
        </w:r>
        <w:r w:rsidR="007A56BD">
          <w:rPr>
            <w:noProof/>
            <w:webHidden/>
          </w:rPr>
          <w:fldChar w:fldCharType="separate"/>
        </w:r>
        <w:r w:rsidR="00D87DBB">
          <w:rPr>
            <w:noProof/>
            <w:webHidden/>
          </w:rPr>
          <w:t>30</w:t>
        </w:r>
        <w:r w:rsidR="007A56BD">
          <w:rPr>
            <w:noProof/>
            <w:webHidden/>
          </w:rPr>
          <w:fldChar w:fldCharType="end"/>
        </w:r>
      </w:hyperlink>
    </w:p>
    <w:p w14:paraId="250196DB" w14:textId="141B8804" w:rsidR="007A56BD" w:rsidRDefault="00864C5E">
      <w:pPr>
        <w:pStyle w:val="TableofFigures"/>
        <w:tabs>
          <w:tab w:val="right" w:leader="dot" w:pos="9016"/>
        </w:tabs>
        <w:rPr>
          <w:rFonts w:cstheme="minorBidi"/>
          <w:noProof/>
          <w:sz w:val="22"/>
          <w:szCs w:val="22"/>
          <w:lang w:eastAsia="en-AU"/>
        </w:rPr>
      </w:pPr>
      <w:hyperlink w:anchor="_Toc22544027" w:history="1">
        <w:r w:rsidR="007A56BD" w:rsidRPr="001B4C6D">
          <w:rPr>
            <w:rStyle w:val="Hyperlink"/>
            <w:noProof/>
          </w:rPr>
          <w:t>Figure 3.3 Employment outcomes, new entrants, by cohort (per cent)</w:t>
        </w:r>
        <w:r w:rsidR="007A56BD">
          <w:rPr>
            <w:noProof/>
            <w:webHidden/>
          </w:rPr>
          <w:tab/>
        </w:r>
        <w:r w:rsidR="007A56BD">
          <w:rPr>
            <w:noProof/>
            <w:webHidden/>
          </w:rPr>
          <w:fldChar w:fldCharType="begin"/>
        </w:r>
        <w:r w:rsidR="007A56BD">
          <w:rPr>
            <w:noProof/>
            <w:webHidden/>
          </w:rPr>
          <w:instrText xml:space="preserve"> PAGEREF _Toc22544027 \h </w:instrText>
        </w:r>
        <w:r w:rsidR="007A56BD">
          <w:rPr>
            <w:noProof/>
            <w:webHidden/>
          </w:rPr>
        </w:r>
        <w:r w:rsidR="007A56BD">
          <w:rPr>
            <w:noProof/>
            <w:webHidden/>
          </w:rPr>
          <w:fldChar w:fldCharType="separate"/>
        </w:r>
        <w:r w:rsidR="00D87DBB">
          <w:rPr>
            <w:noProof/>
            <w:webHidden/>
          </w:rPr>
          <w:t>31</w:t>
        </w:r>
        <w:r w:rsidR="007A56BD">
          <w:rPr>
            <w:noProof/>
            <w:webHidden/>
          </w:rPr>
          <w:fldChar w:fldCharType="end"/>
        </w:r>
      </w:hyperlink>
    </w:p>
    <w:p w14:paraId="49051F95" w14:textId="7DE57989" w:rsidR="007A56BD" w:rsidRDefault="00864C5E">
      <w:pPr>
        <w:pStyle w:val="TableofFigures"/>
        <w:tabs>
          <w:tab w:val="right" w:leader="dot" w:pos="9016"/>
        </w:tabs>
        <w:rPr>
          <w:rFonts w:cstheme="minorBidi"/>
          <w:noProof/>
          <w:sz w:val="22"/>
          <w:szCs w:val="22"/>
          <w:lang w:eastAsia="en-AU"/>
        </w:rPr>
      </w:pPr>
      <w:hyperlink w:anchor="_Toc22544028" w:history="1">
        <w:r w:rsidR="007A56BD" w:rsidRPr="001B4C6D">
          <w:rPr>
            <w:rStyle w:val="Hyperlink"/>
            <w:noProof/>
          </w:rPr>
          <w:t>Figure 3.4: Education outcomes, Streams 1 to 4, new entrants (per cent)</w:t>
        </w:r>
        <w:r w:rsidR="007A56BD">
          <w:rPr>
            <w:noProof/>
            <w:webHidden/>
          </w:rPr>
          <w:tab/>
        </w:r>
        <w:r w:rsidR="007A56BD">
          <w:rPr>
            <w:noProof/>
            <w:webHidden/>
          </w:rPr>
          <w:fldChar w:fldCharType="begin"/>
        </w:r>
        <w:r w:rsidR="007A56BD">
          <w:rPr>
            <w:noProof/>
            <w:webHidden/>
          </w:rPr>
          <w:instrText xml:space="preserve"> PAGEREF _Toc22544028 \h </w:instrText>
        </w:r>
        <w:r w:rsidR="007A56BD">
          <w:rPr>
            <w:noProof/>
            <w:webHidden/>
          </w:rPr>
        </w:r>
        <w:r w:rsidR="007A56BD">
          <w:rPr>
            <w:noProof/>
            <w:webHidden/>
          </w:rPr>
          <w:fldChar w:fldCharType="separate"/>
        </w:r>
        <w:r w:rsidR="00D87DBB">
          <w:rPr>
            <w:noProof/>
            <w:webHidden/>
          </w:rPr>
          <w:t>32</w:t>
        </w:r>
        <w:r w:rsidR="007A56BD">
          <w:rPr>
            <w:noProof/>
            <w:webHidden/>
          </w:rPr>
          <w:fldChar w:fldCharType="end"/>
        </w:r>
      </w:hyperlink>
    </w:p>
    <w:p w14:paraId="649970AB" w14:textId="781C8E88" w:rsidR="007A56BD" w:rsidRDefault="00864C5E">
      <w:pPr>
        <w:pStyle w:val="TableofFigures"/>
        <w:tabs>
          <w:tab w:val="right" w:leader="dot" w:pos="9016"/>
        </w:tabs>
        <w:rPr>
          <w:rFonts w:cstheme="minorBidi"/>
          <w:noProof/>
          <w:sz w:val="22"/>
          <w:szCs w:val="22"/>
          <w:lang w:eastAsia="en-AU"/>
        </w:rPr>
      </w:pPr>
      <w:hyperlink w:anchor="_Toc22544029" w:history="1">
        <w:r w:rsidR="007A56BD" w:rsidRPr="001B4C6D">
          <w:rPr>
            <w:rStyle w:val="Hyperlink"/>
            <w:noProof/>
          </w:rPr>
          <w:t>Figure 3.5: Average marginal effect (AME) estimates of income support status 12 months after registration for JSA 2012 compared with JSA 2009 (percentage point)</w:t>
        </w:r>
        <w:r w:rsidR="007A56BD">
          <w:rPr>
            <w:noProof/>
            <w:webHidden/>
          </w:rPr>
          <w:tab/>
        </w:r>
        <w:r w:rsidR="007A56BD">
          <w:rPr>
            <w:noProof/>
            <w:webHidden/>
          </w:rPr>
          <w:fldChar w:fldCharType="begin"/>
        </w:r>
        <w:r w:rsidR="007A56BD">
          <w:rPr>
            <w:noProof/>
            <w:webHidden/>
          </w:rPr>
          <w:instrText xml:space="preserve"> PAGEREF _Toc22544029 \h </w:instrText>
        </w:r>
        <w:r w:rsidR="007A56BD">
          <w:rPr>
            <w:noProof/>
            <w:webHidden/>
          </w:rPr>
        </w:r>
        <w:r w:rsidR="007A56BD">
          <w:rPr>
            <w:noProof/>
            <w:webHidden/>
          </w:rPr>
          <w:fldChar w:fldCharType="separate"/>
        </w:r>
        <w:r w:rsidR="00D87DBB">
          <w:rPr>
            <w:noProof/>
            <w:webHidden/>
          </w:rPr>
          <w:t>33</w:t>
        </w:r>
        <w:r w:rsidR="007A56BD">
          <w:rPr>
            <w:noProof/>
            <w:webHidden/>
          </w:rPr>
          <w:fldChar w:fldCharType="end"/>
        </w:r>
      </w:hyperlink>
    </w:p>
    <w:p w14:paraId="6D842C48" w14:textId="40114BAA" w:rsidR="007A56BD" w:rsidRDefault="00864C5E">
      <w:pPr>
        <w:pStyle w:val="TableofFigures"/>
        <w:tabs>
          <w:tab w:val="right" w:leader="dot" w:pos="9016"/>
        </w:tabs>
        <w:rPr>
          <w:rFonts w:cstheme="minorBidi"/>
          <w:noProof/>
          <w:sz w:val="22"/>
          <w:szCs w:val="22"/>
          <w:lang w:eastAsia="en-AU"/>
        </w:rPr>
      </w:pPr>
      <w:hyperlink w:anchor="_Toc22544030" w:history="1">
        <w:r w:rsidR="007A56BD" w:rsidRPr="001B4C6D">
          <w:rPr>
            <w:rStyle w:val="Hyperlink"/>
            <w:noProof/>
          </w:rPr>
          <w:t>Figure 3.6: Estimated length of time job seekers were on income support by year of registration in JSA (per cent each fortnight)</w:t>
        </w:r>
        <w:r w:rsidR="007A56BD">
          <w:rPr>
            <w:noProof/>
            <w:webHidden/>
          </w:rPr>
          <w:tab/>
        </w:r>
        <w:r w:rsidR="007A56BD">
          <w:rPr>
            <w:noProof/>
            <w:webHidden/>
          </w:rPr>
          <w:fldChar w:fldCharType="begin"/>
        </w:r>
        <w:r w:rsidR="007A56BD">
          <w:rPr>
            <w:noProof/>
            <w:webHidden/>
          </w:rPr>
          <w:instrText xml:space="preserve"> PAGEREF _Toc22544030 \h </w:instrText>
        </w:r>
        <w:r w:rsidR="007A56BD">
          <w:rPr>
            <w:noProof/>
            <w:webHidden/>
          </w:rPr>
        </w:r>
        <w:r w:rsidR="007A56BD">
          <w:rPr>
            <w:noProof/>
            <w:webHidden/>
          </w:rPr>
          <w:fldChar w:fldCharType="separate"/>
        </w:r>
        <w:r w:rsidR="00D87DBB">
          <w:rPr>
            <w:noProof/>
            <w:webHidden/>
          </w:rPr>
          <w:t>34</w:t>
        </w:r>
        <w:r w:rsidR="007A56BD">
          <w:rPr>
            <w:noProof/>
            <w:webHidden/>
          </w:rPr>
          <w:fldChar w:fldCharType="end"/>
        </w:r>
      </w:hyperlink>
    </w:p>
    <w:p w14:paraId="02A3B009" w14:textId="2CFEE428" w:rsidR="007A56BD" w:rsidRDefault="00864C5E">
      <w:pPr>
        <w:pStyle w:val="TableofFigures"/>
        <w:tabs>
          <w:tab w:val="right" w:leader="dot" w:pos="9016"/>
        </w:tabs>
        <w:rPr>
          <w:rFonts w:cstheme="minorBidi"/>
          <w:noProof/>
          <w:sz w:val="22"/>
          <w:szCs w:val="22"/>
          <w:lang w:eastAsia="en-AU"/>
        </w:rPr>
      </w:pPr>
      <w:hyperlink w:anchor="_Toc22544031" w:history="1">
        <w:r w:rsidR="007A56BD" w:rsidRPr="001B4C6D">
          <w:rPr>
            <w:rStyle w:val="Hyperlink"/>
            <w:noProof/>
          </w:rPr>
          <w:t>Figure 3.7: Employment outcomes for long-term unemployed (LTU) job seekers (per cent)</w:t>
        </w:r>
        <w:r w:rsidR="007A56BD">
          <w:rPr>
            <w:noProof/>
            <w:webHidden/>
          </w:rPr>
          <w:tab/>
        </w:r>
        <w:r w:rsidR="007A56BD">
          <w:rPr>
            <w:noProof/>
            <w:webHidden/>
          </w:rPr>
          <w:fldChar w:fldCharType="begin"/>
        </w:r>
        <w:r w:rsidR="007A56BD">
          <w:rPr>
            <w:noProof/>
            <w:webHidden/>
          </w:rPr>
          <w:instrText xml:space="preserve"> PAGEREF _Toc22544031 \h </w:instrText>
        </w:r>
        <w:r w:rsidR="007A56BD">
          <w:rPr>
            <w:noProof/>
            <w:webHidden/>
          </w:rPr>
        </w:r>
        <w:r w:rsidR="007A56BD">
          <w:rPr>
            <w:noProof/>
            <w:webHidden/>
          </w:rPr>
          <w:fldChar w:fldCharType="separate"/>
        </w:r>
        <w:r w:rsidR="00D87DBB">
          <w:rPr>
            <w:noProof/>
            <w:webHidden/>
          </w:rPr>
          <w:t>39</w:t>
        </w:r>
        <w:r w:rsidR="007A56BD">
          <w:rPr>
            <w:noProof/>
            <w:webHidden/>
          </w:rPr>
          <w:fldChar w:fldCharType="end"/>
        </w:r>
      </w:hyperlink>
    </w:p>
    <w:p w14:paraId="5CA4EFB5" w14:textId="57A73627" w:rsidR="007A56BD" w:rsidRDefault="00864C5E">
      <w:pPr>
        <w:pStyle w:val="TableofFigures"/>
        <w:tabs>
          <w:tab w:val="right" w:leader="dot" w:pos="9016"/>
        </w:tabs>
        <w:rPr>
          <w:rFonts w:cstheme="minorBidi"/>
          <w:noProof/>
          <w:sz w:val="22"/>
          <w:szCs w:val="22"/>
          <w:lang w:eastAsia="en-AU"/>
        </w:rPr>
      </w:pPr>
      <w:hyperlink w:anchor="_Toc22544032" w:history="1">
        <w:r w:rsidR="007A56BD" w:rsidRPr="001B4C6D">
          <w:rPr>
            <w:rStyle w:val="Hyperlink"/>
            <w:noProof/>
          </w:rPr>
          <w:t>Figure 3.8: Employment outcomes by client group for long-term unemployed (LTU) job seekers (per cent)</w:t>
        </w:r>
        <w:r w:rsidR="007A56BD">
          <w:rPr>
            <w:noProof/>
            <w:webHidden/>
          </w:rPr>
          <w:tab/>
        </w:r>
        <w:r w:rsidR="007A56BD">
          <w:rPr>
            <w:noProof/>
            <w:webHidden/>
          </w:rPr>
          <w:fldChar w:fldCharType="begin"/>
        </w:r>
        <w:r w:rsidR="007A56BD">
          <w:rPr>
            <w:noProof/>
            <w:webHidden/>
          </w:rPr>
          <w:instrText xml:space="preserve"> PAGEREF _Toc22544032 \h </w:instrText>
        </w:r>
        <w:r w:rsidR="007A56BD">
          <w:rPr>
            <w:noProof/>
            <w:webHidden/>
          </w:rPr>
        </w:r>
        <w:r w:rsidR="007A56BD">
          <w:rPr>
            <w:noProof/>
            <w:webHidden/>
          </w:rPr>
          <w:fldChar w:fldCharType="separate"/>
        </w:r>
        <w:r w:rsidR="00D87DBB">
          <w:rPr>
            <w:noProof/>
            <w:webHidden/>
          </w:rPr>
          <w:t>40</w:t>
        </w:r>
        <w:r w:rsidR="007A56BD">
          <w:rPr>
            <w:noProof/>
            <w:webHidden/>
          </w:rPr>
          <w:fldChar w:fldCharType="end"/>
        </w:r>
      </w:hyperlink>
    </w:p>
    <w:p w14:paraId="3E8CD390" w14:textId="495C4C84" w:rsidR="007A56BD" w:rsidRDefault="00864C5E">
      <w:pPr>
        <w:pStyle w:val="TableofFigures"/>
        <w:tabs>
          <w:tab w:val="right" w:leader="dot" w:pos="9016"/>
        </w:tabs>
        <w:rPr>
          <w:rFonts w:cstheme="minorBidi"/>
          <w:noProof/>
          <w:sz w:val="22"/>
          <w:szCs w:val="22"/>
          <w:lang w:eastAsia="en-AU"/>
        </w:rPr>
      </w:pPr>
      <w:hyperlink w:anchor="_Toc22544033" w:history="1">
        <w:r w:rsidR="007A56BD" w:rsidRPr="001B4C6D">
          <w:rPr>
            <w:rStyle w:val="Hyperlink"/>
            <w:noProof/>
          </w:rPr>
          <w:t>Figure 3.9: Education outcomes, Streams 1 to 4, long-term unemployed (LTU) (per cent)</w:t>
        </w:r>
        <w:r w:rsidR="007A56BD">
          <w:rPr>
            <w:noProof/>
            <w:webHidden/>
          </w:rPr>
          <w:tab/>
        </w:r>
        <w:r w:rsidR="007A56BD">
          <w:rPr>
            <w:noProof/>
            <w:webHidden/>
          </w:rPr>
          <w:fldChar w:fldCharType="begin"/>
        </w:r>
        <w:r w:rsidR="007A56BD">
          <w:rPr>
            <w:noProof/>
            <w:webHidden/>
          </w:rPr>
          <w:instrText xml:space="preserve"> PAGEREF _Toc22544033 \h </w:instrText>
        </w:r>
        <w:r w:rsidR="007A56BD">
          <w:rPr>
            <w:noProof/>
            <w:webHidden/>
          </w:rPr>
        </w:r>
        <w:r w:rsidR="007A56BD">
          <w:rPr>
            <w:noProof/>
            <w:webHidden/>
          </w:rPr>
          <w:fldChar w:fldCharType="separate"/>
        </w:r>
        <w:r w:rsidR="00D87DBB">
          <w:rPr>
            <w:noProof/>
            <w:webHidden/>
          </w:rPr>
          <w:t>40</w:t>
        </w:r>
        <w:r w:rsidR="007A56BD">
          <w:rPr>
            <w:noProof/>
            <w:webHidden/>
          </w:rPr>
          <w:fldChar w:fldCharType="end"/>
        </w:r>
      </w:hyperlink>
    </w:p>
    <w:p w14:paraId="3B9D1FDE" w14:textId="3E9970C4" w:rsidR="007A56BD" w:rsidRDefault="00864C5E">
      <w:pPr>
        <w:pStyle w:val="TableofFigures"/>
        <w:tabs>
          <w:tab w:val="right" w:leader="dot" w:pos="9016"/>
        </w:tabs>
        <w:rPr>
          <w:rFonts w:cstheme="minorBidi"/>
          <w:noProof/>
          <w:sz w:val="22"/>
          <w:szCs w:val="22"/>
          <w:lang w:eastAsia="en-AU"/>
        </w:rPr>
      </w:pPr>
      <w:hyperlink w:anchor="_Toc22544034" w:history="1">
        <w:r w:rsidR="007A56BD" w:rsidRPr="001B4C6D">
          <w:rPr>
            <w:rStyle w:val="Hyperlink"/>
            <w:noProof/>
          </w:rPr>
          <w:t>Figure 4.1: Number of weeks in service to start of Intensive Activity, 2009 and 2012 Stream 1 servicing study populations (per cent)</w:t>
        </w:r>
        <w:r w:rsidR="007A56BD">
          <w:rPr>
            <w:noProof/>
            <w:webHidden/>
          </w:rPr>
          <w:tab/>
        </w:r>
        <w:r w:rsidR="007A56BD">
          <w:rPr>
            <w:noProof/>
            <w:webHidden/>
          </w:rPr>
          <w:fldChar w:fldCharType="begin"/>
        </w:r>
        <w:r w:rsidR="007A56BD">
          <w:rPr>
            <w:noProof/>
            <w:webHidden/>
          </w:rPr>
          <w:instrText xml:space="preserve"> PAGEREF _Toc22544034 \h </w:instrText>
        </w:r>
        <w:r w:rsidR="007A56BD">
          <w:rPr>
            <w:noProof/>
            <w:webHidden/>
          </w:rPr>
        </w:r>
        <w:r w:rsidR="007A56BD">
          <w:rPr>
            <w:noProof/>
            <w:webHidden/>
          </w:rPr>
          <w:fldChar w:fldCharType="separate"/>
        </w:r>
        <w:r w:rsidR="00D87DBB">
          <w:rPr>
            <w:noProof/>
            <w:webHidden/>
          </w:rPr>
          <w:t>47</w:t>
        </w:r>
        <w:r w:rsidR="007A56BD">
          <w:rPr>
            <w:noProof/>
            <w:webHidden/>
          </w:rPr>
          <w:fldChar w:fldCharType="end"/>
        </w:r>
      </w:hyperlink>
    </w:p>
    <w:p w14:paraId="15DC5859" w14:textId="39A2B816" w:rsidR="007A56BD" w:rsidRDefault="00864C5E">
      <w:pPr>
        <w:pStyle w:val="TableofFigures"/>
        <w:tabs>
          <w:tab w:val="right" w:leader="dot" w:pos="9016"/>
        </w:tabs>
        <w:rPr>
          <w:rFonts w:cstheme="minorBidi"/>
          <w:noProof/>
          <w:sz w:val="22"/>
          <w:szCs w:val="22"/>
          <w:lang w:eastAsia="en-AU"/>
        </w:rPr>
      </w:pPr>
      <w:hyperlink w:anchor="_Toc22544035" w:history="1">
        <w:r w:rsidR="007A56BD" w:rsidRPr="001B4C6D">
          <w:rPr>
            <w:rStyle w:val="Hyperlink"/>
            <w:noProof/>
          </w:rPr>
          <w:t>Figure 4.2: Number of weeks in service to conduct of Skills Assessment, 2009 and 2012 Stream 1 study populations (per cent)</w:t>
        </w:r>
        <w:r w:rsidR="007A56BD">
          <w:rPr>
            <w:noProof/>
            <w:webHidden/>
          </w:rPr>
          <w:tab/>
        </w:r>
        <w:r w:rsidR="007A56BD">
          <w:rPr>
            <w:noProof/>
            <w:webHidden/>
          </w:rPr>
          <w:fldChar w:fldCharType="begin"/>
        </w:r>
        <w:r w:rsidR="007A56BD">
          <w:rPr>
            <w:noProof/>
            <w:webHidden/>
          </w:rPr>
          <w:instrText xml:space="preserve"> PAGEREF _Toc22544035 \h </w:instrText>
        </w:r>
        <w:r w:rsidR="007A56BD">
          <w:rPr>
            <w:noProof/>
            <w:webHidden/>
          </w:rPr>
        </w:r>
        <w:r w:rsidR="007A56BD">
          <w:rPr>
            <w:noProof/>
            <w:webHidden/>
          </w:rPr>
          <w:fldChar w:fldCharType="separate"/>
        </w:r>
        <w:r w:rsidR="00D87DBB">
          <w:rPr>
            <w:noProof/>
            <w:webHidden/>
          </w:rPr>
          <w:t>49</w:t>
        </w:r>
        <w:r w:rsidR="007A56BD">
          <w:rPr>
            <w:noProof/>
            <w:webHidden/>
          </w:rPr>
          <w:fldChar w:fldCharType="end"/>
        </w:r>
      </w:hyperlink>
    </w:p>
    <w:p w14:paraId="413619DC" w14:textId="7EC3F5D3" w:rsidR="007A56BD" w:rsidRDefault="00864C5E">
      <w:pPr>
        <w:pStyle w:val="TableofFigures"/>
        <w:tabs>
          <w:tab w:val="right" w:leader="dot" w:pos="9016"/>
        </w:tabs>
        <w:rPr>
          <w:rFonts w:cstheme="minorBidi"/>
          <w:noProof/>
          <w:sz w:val="22"/>
          <w:szCs w:val="22"/>
          <w:lang w:eastAsia="en-AU"/>
        </w:rPr>
      </w:pPr>
      <w:hyperlink w:anchor="_Toc22544036" w:history="1">
        <w:r w:rsidR="007A56BD" w:rsidRPr="001B4C6D">
          <w:rPr>
            <w:rStyle w:val="Hyperlink"/>
            <w:noProof/>
          </w:rPr>
          <w:t>Figure 4.3: Employment outcomes by age and gender, 2009 and 2012 Stream 1 servicing study populations (per cent)</w:t>
        </w:r>
        <w:r w:rsidR="007A56BD">
          <w:rPr>
            <w:noProof/>
            <w:webHidden/>
          </w:rPr>
          <w:tab/>
        </w:r>
        <w:r w:rsidR="007A56BD">
          <w:rPr>
            <w:noProof/>
            <w:webHidden/>
          </w:rPr>
          <w:fldChar w:fldCharType="begin"/>
        </w:r>
        <w:r w:rsidR="007A56BD">
          <w:rPr>
            <w:noProof/>
            <w:webHidden/>
          </w:rPr>
          <w:instrText xml:space="preserve"> PAGEREF _Toc22544036 \h </w:instrText>
        </w:r>
        <w:r w:rsidR="007A56BD">
          <w:rPr>
            <w:noProof/>
            <w:webHidden/>
          </w:rPr>
        </w:r>
        <w:r w:rsidR="007A56BD">
          <w:rPr>
            <w:noProof/>
            <w:webHidden/>
          </w:rPr>
          <w:fldChar w:fldCharType="separate"/>
        </w:r>
        <w:r w:rsidR="00D87DBB">
          <w:rPr>
            <w:noProof/>
            <w:webHidden/>
          </w:rPr>
          <w:t>52</w:t>
        </w:r>
        <w:r w:rsidR="007A56BD">
          <w:rPr>
            <w:noProof/>
            <w:webHidden/>
          </w:rPr>
          <w:fldChar w:fldCharType="end"/>
        </w:r>
      </w:hyperlink>
    </w:p>
    <w:p w14:paraId="538AEA5B" w14:textId="191D601A" w:rsidR="007A56BD" w:rsidRDefault="00864C5E">
      <w:pPr>
        <w:pStyle w:val="TableofFigures"/>
        <w:tabs>
          <w:tab w:val="right" w:leader="dot" w:pos="9016"/>
        </w:tabs>
        <w:rPr>
          <w:rFonts w:cstheme="minorBidi"/>
          <w:noProof/>
          <w:sz w:val="22"/>
          <w:szCs w:val="22"/>
          <w:lang w:eastAsia="en-AU"/>
        </w:rPr>
      </w:pPr>
      <w:hyperlink w:anchor="_Toc22544037" w:history="1">
        <w:r w:rsidR="007A56BD" w:rsidRPr="001B4C6D">
          <w:rPr>
            <w:rStyle w:val="Hyperlink"/>
            <w:rFonts w:eastAsiaTheme="majorEastAsia"/>
            <w:noProof/>
          </w:rPr>
          <w:t>Figure 4.4: Conditional probability of leaving service in a given week, 2009 and 2012 Stream 1 servicing</w:t>
        </w:r>
        <w:r w:rsidR="007A56BD" w:rsidRPr="001B4C6D">
          <w:rPr>
            <w:rStyle w:val="Hyperlink"/>
            <w:noProof/>
          </w:rPr>
          <w:t xml:space="preserve"> </w:t>
        </w:r>
        <w:r w:rsidR="007A56BD" w:rsidRPr="001B4C6D">
          <w:rPr>
            <w:rStyle w:val="Hyperlink"/>
            <w:rFonts w:eastAsiaTheme="majorEastAsia"/>
            <w:noProof/>
          </w:rPr>
          <w:t>study populations</w:t>
        </w:r>
        <w:r w:rsidR="007A56BD">
          <w:rPr>
            <w:noProof/>
            <w:webHidden/>
          </w:rPr>
          <w:tab/>
        </w:r>
        <w:r w:rsidR="007A56BD">
          <w:rPr>
            <w:noProof/>
            <w:webHidden/>
          </w:rPr>
          <w:fldChar w:fldCharType="begin"/>
        </w:r>
        <w:r w:rsidR="007A56BD">
          <w:rPr>
            <w:noProof/>
            <w:webHidden/>
          </w:rPr>
          <w:instrText xml:space="preserve"> PAGEREF _Toc22544037 \h </w:instrText>
        </w:r>
        <w:r w:rsidR="007A56BD">
          <w:rPr>
            <w:noProof/>
            <w:webHidden/>
          </w:rPr>
        </w:r>
        <w:r w:rsidR="007A56BD">
          <w:rPr>
            <w:noProof/>
            <w:webHidden/>
          </w:rPr>
          <w:fldChar w:fldCharType="separate"/>
        </w:r>
        <w:r w:rsidR="00D87DBB">
          <w:rPr>
            <w:noProof/>
            <w:webHidden/>
          </w:rPr>
          <w:t>54</w:t>
        </w:r>
        <w:r w:rsidR="007A56BD">
          <w:rPr>
            <w:noProof/>
            <w:webHidden/>
          </w:rPr>
          <w:fldChar w:fldCharType="end"/>
        </w:r>
      </w:hyperlink>
    </w:p>
    <w:p w14:paraId="134D924F" w14:textId="6ECBE680" w:rsidR="007A56BD" w:rsidRDefault="00864C5E">
      <w:pPr>
        <w:pStyle w:val="TableofFigures"/>
        <w:tabs>
          <w:tab w:val="right" w:leader="dot" w:pos="9016"/>
        </w:tabs>
        <w:rPr>
          <w:rFonts w:cstheme="minorBidi"/>
          <w:noProof/>
          <w:sz w:val="22"/>
          <w:szCs w:val="22"/>
          <w:lang w:eastAsia="en-AU"/>
        </w:rPr>
      </w:pPr>
      <w:hyperlink w:anchor="_Toc22544038" w:history="1">
        <w:r w:rsidR="007A56BD" w:rsidRPr="001B4C6D">
          <w:rPr>
            <w:rStyle w:val="Hyperlink"/>
            <w:rFonts w:eastAsiaTheme="majorEastAsia"/>
            <w:noProof/>
          </w:rPr>
          <w:t xml:space="preserve">Figure 4.5: Probability that job seekers would be off income support 12 months after commencing in service, for selected demographic factors, 2009 and 2012 </w:t>
        </w:r>
        <w:r w:rsidR="007A56BD" w:rsidRPr="001B4C6D">
          <w:rPr>
            <w:rStyle w:val="Hyperlink"/>
            <w:noProof/>
          </w:rPr>
          <w:t xml:space="preserve">Stream 1 servicing </w:t>
        </w:r>
        <w:r w:rsidR="007A56BD" w:rsidRPr="001B4C6D">
          <w:rPr>
            <w:rStyle w:val="Hyperlink"/>
            <w:rFonts w:eastAsiaTheme="majorEastAsia"/>
            <w:noProof/>
          </w:rPr>
          <w:t>study populations (per cent)</w:t>
        </w:r>
        <w:r w:rsidR="007A56BD">
          <w:rPr>
            <w:noProof/>
            <w:webHidden/>
          </w:rPr>
          <w:tab/>
        </w:r>
        <w:r w:rsidR="007A56BD">
          <w:rPr>
            <w:noProof/>
            <w:webHidden/>
          </w:rPr>
          <w:fldChar w:fldCharType="begin"/>
        </w:r>
        <w:r w:rsidR="007A56BD">
          <w:rPr>
            <w:noProof/>
            <w:webHidden/>
          </w:rPr>
          <w:instrText xml:space="preserve"> PAGEREF _Toc22544038 \h </w:instrText>
        </w:r>
        <w:r w:rsidR="007A56BD">
          <w:rPr>
            <w:noProof/>
            <w:webHidden/>
          </w:rPr>
        </w:r>
        <w:r w:rsidR="007A56BD">
          <w:rPr>
            <w:noProof/>
            <w:webHidden/>
          </w:rPr>
          <w:fldChar w:fldCharType="separate"/>
        </w:r>
        <w:r w:rsidR="00D87DBB">
          <w:rPr>
            <w:noProof/>
            <w:webHidden/>
          </w:rPr>
          <w:t>56</w:t>
        </w:r>
        <w:r w:rsidR="007A56BD">
          <w:rPr>
            <w:noProof/>
            <w:webHidden/>
          </w:rPr>
          <w:fldChar w:fldCharType="end"/>
        </w:r>
      </w:hyperlink>
    </w:p>
    <w:p w14:paraId="21F28DBC" w14:textId="592E29A1" w:rsidR="007A56BD" w:rsidRDefault="00864C5E">
      <w:pPr>
        <w:pStyle w:val="TableofFigures"/>
        <w:tabs>
          <w:tab w:val="right" w:leader="dot" w:pos="9016"/>
        </w:tabs>
        <w:rPr>
          <w:rFonts w:cstheme="minorBidi"/>
          <w:noProof/>
          <w:sz w:val="22"/>
          <w:szCs w:val="22"/>
          <w:lang w:eastAsia="en-AU"/>
        </w:rPr>
      </w:pPr>
      <w:hyperlink w:anchor="_Toc22544039" w:history="1">
        <w:r w:rsidR="007A56BD" w:rsidRPr="001B4C6D">
          <w:rPr>
            <w:rStyle w:val="Hyperlink"/>
            <w:noProof/>
          </w:rPr>
          <w:t>Figure 5.1: Time in service from commencement in Stream 1 to the first assessment that recommended higher servicing levels (days)</w:t>
        </w:r>
        <w:r w:rsidR="007A56BD">
          <w:rPr>
            <w:noProof/>
            <w:webHidden/>
          </w:rPr>
          <w:tab/>
        </w:r>
        <w:r w:rsidR="007A56BD">
          <w:rPr>
            <w:noProof/>
            <w:webHidden/>
          </w:rPr>
          <w:fldChar w:fldCharType="begin"/>
        </w:r>
        <w:r w:rsidR="007A56BD">
          <w:rPr>
            <w:noProof/>
            <w:webHidden/>
          </w:rPr>
          <w:instrText xml:space="preserve"> PAGEREF _Toc22544039 \h </w:instrText>
        </w:r>
        <w:r w:rsidR="007A56BD">
          <w:rPr>
            <w:noProof/>
            <w:webHidden/>
          </w:rPr>
        </w:r>
        <w:r w:rsidR="007A56BD">
          <w:rPr>
            <w:noProof/>
            <w:webHidden/>
          </w:rPr>
          <w:fldChar w:fldCharType="separate"/>
        </w:r>
        <w:r w:rsidR="00D87DBB">
          <w:rPr>
            <w:noProof/>
            <w:webHidden/>
          </w:rPr>
          <w:t>62</w:t>
        </w:r>
        <w:r w:rsidR="007A56BD">
          <w:rPr>
            <w:noProof/>
            <w:webHidden/>
          </w:rPr>
          <w:fldChar w:fldCharType="end"/>
        </w:r>
      </w:hyperlink>
    </w:p>
    <w:p w14:paraId="71341F24" w14:textId="25190BD6" w:rsidR="007A56BD" w:rsidRDefault="00864C5E">
      <w:pPr>
        <w:pStyle w:val="TableofFigures"/>
        <w:tabs>
          <w:tab w:val="right" w:leader="dot" w:pos="9016"/>
        </w:tabs>
        <w:rPr>
          <w:rFonts w:cstheme="minorBidi"/>
          <w:noProof/>
          <w:sz w:val="22"/>
          <w:szCs w:val="22"/>
          <w:lang w:eastAsia="en-AU"/>
        </w:rPr>
      </w:pPr>
      <w:hyperlink w:anchor="_Toc22544040" w:history="1">
        <w:r w:rsidR="007A56BD" w:rsidRPr="001B4C6D">
          <w:rPr>
            <w:rStyle w:val="Hyperlink"/>
            <w:noProof/>
          </w:rPr>
          <w:t>Figure 6.1: Weekly rates of starting the Compulsory Activity Phase (CAP) and exiting income support for the treatment group</w:t>
        </w:r>
        <w:r w:rsidR="007A56BD">
          <w:rPr>
            <w:noProof/>
            <w:webHidden/>
          </w:rPr>
          <w:tab/>
        </w:r>
        <w:r w:rsidR="007A56BD">
          <w:rPr>
            <w:noProof/>
            <w:webHidden/>
          </w:rPr>
          <w:fldChar w:fldCharType="begin"/>
        </w:r>
        <w:r w:rsidR="007A56BD">
          <w:rPr>
            <w:noProof/>
            <w:webHidden/>
          </w:rPr>
          <w:instrText xml:space="preserve"> PAGEREF _Toc22544040 \h </w:instrText>
        </w:r>
        <w:r w:rsidR="007A56BD">
          <w:rPr>
            <w:noProof/>
            <w:webHidden/>
          </w:rPr>
        </w:r>
        <w:r w:rsidR="007A56BD">
          <w:rPr>
            <w:noProof/>
            <w:webHidden/>
          </w:rPr>
          <w:fldChar w:fldCharType="separate"/>
        </w:r>
        <w:r w:rsidR="00D87DBB">
          <w:rPr>
            <w:noProof/>
            <w:webHidden/>
          </w:rPr>
          <w:t>67</w:t>
        </w:r>
        <w:r w:rsidR="007A56BD">
          <w:rPr>
            <w:noProof/>
            <w:webHidden/>
          </w:rPr>
          <w:fldChar w:fldCharType="end"/>
        </w:r>
      </w:hyperlink>
    </w:p>
    <w:p w14:paraId="779B8A9B" w14:textId="7564A739" w:rsidR="007A56BD" w:rsidRDefault="00864C5E">
      <w:pPr>
        <w:pStyle w:val="TableofFigures"/>
        <w:tabs>
          <w:tab w:val="right" w:leader="dot" w:pos="9016"/>
        </w:tabs>
        <w:rPr>
          <w:rFonts w:cstheme="minorBidi"/>
          <w:noProof/>
          <w:sz w:val="22"/>
          <w:szCs w:val="22"/>
          <w:lang w:eastAsia="en-AU"/>
        </w:rPr>
      </w:pPr>
      <w:hyperlink w:anchor="_Toc22544041" w:history="1">
        <w:r w:rsidR="007A56BD" w:rsidRPr="001B4C6D">
          <w:rPr>
            <w:rStyle w:val="Hyperlink"/>
            <w:noProof/>
          </w:rPr>
          <w:t>Figure 6.2: Weekly rates of starting the Compulsory Activity Phase (CAP) and starting exemption for the treatment group</w:t>
        </w:r>
        <w:r w:rsidR="007A56BD">
          <w:rPr>
            <w:noProof/>
            <w:webHidden/>
          </w:rPr>
          <w:tab/>
        </w:r>
        <w:r w:rsidR="007A56BD">
          <w:rPr>
            <w:noProof/>
            <w:webHidden/>
          </w:rPr>
          <w:fldChar w:fldCharType="begin"/>
        </w:r>
        <w:r w:rsidR="007A56BD">
          <w:rPr>
            <w:noProof/>
            <w:webHidden/>
          </w:rPr>
          <w:instrText xml:space="preserve"> PAGEREF _Toc22544041 \h </w:instrText>
        </w:r>
        <w:r w:rsidR="007A56BD">
          <w:rPr>
            <w:noProof/>
            <w:webHidden/>
          </w:rPr>
        </w:r>
        <w:r w:rsidR="007A56BD">
          <w:rPr>
            <w:noProof/>
            <w:webHidden/>
          </w:rPr>
          <w:fldChar w:fldCharType="separate"/>
        </w:r>
        <w:r w:rsidR="00D87DBB">
          <w:rPr>
            <w:noProof/>
            <w:webHidden/>
          </w:rPr>
          <w:t>68</w:t>
        </w:r>
        <w:r w:rsidR="007A56BD">
          <w:rPr>
            <w:noProof/>
            <w:webHidden/>
          </w:rPr>
          <w:fldChar w:fldCharType="end"/>
        </w:r>
      </w:hyperlink>
    </w:p>
    <w:p w14:paraId="2521571E" w14:textId="39581763" w:rsidR="007A56BD" w:rsidRDefault="00864C5E">
      <w:pPr>
        <w:pStyle w:val="TableofFigures"/>
        <w:tabs>
          <w:tab w:val="right" w:leader="dot" w:pos="9016"/>
        </w:tabs>
        <w:rPr>
          <w:rFonts w:cstheme="minorBidi"/>
          <w:noProof/>
          <w:sz w:val="22"/>
          <w:szCs w:val="22"/>
          <w:lang w:eastAsia="en-AU"/>
        </w:rPr>
      </w:pPr>
      <w:hyperlink w:anchor="_Toc22544042" w:history="1">
        <w:r w:rsidR="007A56BD" w:rsidRPr="001B4C6D">
          <w:rPr>
            <w:rStyle w:val="Hyperlink"/>
            <w:noProof/>
          </w:rPr>
          <w:t>Figure 6.3: Weekly rates of starting the Compulsory Activity Phase (CAP) and exiting JSA for the treatment group</w:t>
        </w:r>
        <w:r w:rsidR="007A56BD">
          <w:rPr>
            <w:noProof/>
            <w:webHidden/>
          </w:rPr>
          <w:tab/>
        </w:r>
        <w:r w:rsidR="007A56BD">
          <w:rPr>
            <w:noProof/>
            <w:webHidden/>
          </w:rPr>
          <w:fldChar w:fldCharType="begin"/>
        </w:r>
        <w:r w:rsidR="007A56BD">
          <w:rPr>
            <w:noProof/>
            <w:webHidden/>
          </w:rPr>
          <w:instrText xml:space="preserve"> PAGEREF _Toc22544042 \h </w:instrText>
        </w:r>
        <w:r w:rsidR="007A56BD">
          <w:rPr>
            <w:noProof/>
            <w:webHidden/>
          </w:rPr>
        </w:r>
        <w:r w:rsidR="007A56BD">
          <w:rPr>
            <w:noProof/>
            <w:webHidden/>
          </w:rPr>
          <w:fldChar w:fldCharType="separate"/>
        </w:r>
        <w:r w:rsidR="00D87DBB">
          <w:rPr>
            <w:noProof/>
            <w:webHidden/>
          </w:rPr>
          <w:t>69</w:t>
        </w:r>
        <w:r w:rsidR="007A56BD">
          <w:rPr>
            <w:noProof/>
            <w:webHidden/>
          </w:rPr>
          <w:fldChar w:fldCharType="end"/>
        </w:r>
      </w:hyperlink>
    </w:p>
    <w:p w14:paraId="0B17E8A7" w14:textId="4A16DE76" w:rsidR="007A56BD" w:rsidRDefault="00864C5E">
      <w:pPr>
        <w:pStyle w:val="TableofFigures"/>
        <w:tabs>
          <w:tab w:val="right" w:leader="dot" w:pos="9016"/>
        </w:tabs>
        <w:rPr>
          <w:rFonts w:cstheme="minorBidi"/>
          <w:noProof/>
          <w:sz w:val="22"/>
          <w:szCs w:val="22"/>
          <w:lang w:eastAsia="en-AU"/>
        </w:rPr>
      </w:pPr>
      <w:hyperlink w:anchor="_Toc22544043" w:history="1">
        <w:r w:rsidR="007A56BD" w:rsidRPr="001B4C6D">
          <w:rPr>
            <w:rStyle w:val="Hyperlink"/>
            <w:noProof/>
          </w:rPr>
          <w:t>Figure 6.4: Comparison of actual and predicted rates of off income support for comparison group over time (per cent)</w:t>
        </w:r>
        <w:r w:rsidR="007A56BD">
          <w:rPr>
            <w:noProof/>
            <w:webHidden/>
          </w:rPr>
          <w:tab/>
        </w:r>
        <w:r w:rsidR="007A56BD">
          <w:rPr>
            <w:noProof/>
            <w:webHidden/>
          </w:rPr>
          <w:fldChar w:fldCharType="begin"/>
        </w:r>
        <w:r w:rsidR="007A56BD">
          <w:rPr>
            <w:noProof/>
            <w:webHidden/>
          </w:rPr>
          <w:instrText xml:space="preserve"> PAGEREF _Toc22544043 \h </w:instrText>
        </w:r>
        <w:r w:rsidR="007A56BD">
          <w:rPr>
            <w:noProof/>
            <w:webHidden/>
          </w:rPr>
        </w:r>
        <w:r w:rsidR="007A56BD">
          <w:rPr>
            <w:noProof/>
            <w:webHidden/>
          </w:rPr>
          <w:fldChar w:fldCharType="separate"/>
        </w:r>
        <w:r w:rsidR="00D87DBB">
          <w:rPr>
            <w:noProof/>
            <w:webHidden/>
          </w:rPr>
          <w:t>71</w:t>
        </w:r>
        <w:r w:rsidR="007A56BD">
          <w:rPr>
            <w:noProof/>
            <w:webHidden/>
          </w:rPr>
          <w:fldChar w:fldCharType="end"/>
        </w:r>
      </w:hyperlink>
    </w:p>
    <w:p w14:paraId="2F44FE79" w14:textId="2F3AF10E" w:rsidR="007A56BD" w:rsidRDefault="00864C5E">
      <w:pPr>
        <w:pStyle w:val="TableofFigures"/>
        <w:tabs>
          <w:tab w:val="right" w:leader="dot" w:pos="9016"/>
        </w:tabs>
        <w:rPr>
          <w:rFonts w:cstheme="minorBidi"/>
          <w:noProof/>
          <w:sz w:val="22"/>
          <w:szCs w:val="22"/>
          <w:lang w:eastAsia="en-AU"/>
        </w:rPr>
      </w:pPr>
      <w:hyperlink w:anchor="_Toc22544044" w:history="1">
        <w:r w:rsidR="007A56BD" w:rsidRPr="001B4C6D">
          <w:rPr>
            <w:rStyle w:val="Hyperlink"/>
            <w:noProof/>
          </w:rPr>
          <w:t>Figure 6.5: Proportions exiting income support at 3-month intervals— matched groups (per cent)</w:t>
        </w:r>
        <w:r w:rsidR="007A56BD">
          <w:rPr>
            <w:noProof/>
            <w:webHidden/>
          </w:rPr>
          <w:tab/>
        </w:r>
        <w:r w:rsidR="007A56BD">
          <w:rPr>
            <w:noProof/>
            <w:webHidden/>
          </w:rPr>
          <w:fldChar w:fldCharType="begin"/>
        </w:r>
        <w:r w:rsidR="007A56BD">
          <w:rPr>
            <w:noProof/>
            <w:webHidden/>
          </w:rPr>
          <w:instrText xml:space="preserve"> PAGEREF _Toc22544044 \h </w:instrText>
        </w:r>
        <w:r w:rsidR="007A56BD">
          <w:rPr>
            <w:noProof/>
            <w:webHidden/>
          </w:rPr>
        </w:r>
        <w:r w:rsidR="007A56BD">
          <w:rPr>
            <w:noProof/>
            <w:webHidden/>
          </w:rPr>
          <w:fldChar w:fldCharType="separate"/>
        </w:r>
        <w:r w:rsidR="00D87DBB">
          <w:rPr>
            <w:noProof/>
            <w:webHidden/>
          </w:rPr>
          <w:t>72</w:t>
        </w:r>
        <w:r w:rsidR="007A56BD">
          <w:rPr>
            <w:noProof/>
            <w:webHidden/>
          </w:rPr>
          <w:fldChar w:fldCharType="end"/>
        </w:r>
      </w:hyperlink>
    </w:p>
    <w:p w14:paraId="04E33D74" w14:textId="0C51C038" w:rsidR="007A56BD" w:rsidRDefault="00864C5E">
      <w:pPr>
        <w:pStyle w:val="TableofFigures"/>
        <w:tabs>
          <w:tab w:val="right" w:leader="dot" w:pos="9016"/>
        </w:tabs>
        <w:rPr>
          <w:rFonts w:cstheme="minorBidi"/>
          <w:noProof/>
          <w:sz w:val="22"/>
          <w:szCs w:val="22"/>
          <w:lang w:eastAsia="en-AU"/>
        </w:rPr>
      </w:pPr>
      <w:hyperlink w:anchor="_Toc22544045" w:history="1">
        <w:r w:rsidR="007A56BD" w:rsidRPr="001B4C6D">
          <w:rPr>
            <w:rStyle w:val="Hyperlink"/>
            <w:rFonts w:eastAsiaTheme="majorEastAsia"/>
            <w:noProof/>
          </w:rPr>
          <w:t>Figure 7.1: Annual red tape estimates by activity ($ million)</w:t>
        </w:r>
        <w:r w:rsidR="007A56BD">
          <w:rPr>
            <w:noProof/>
            <w:webHidden/>
          </w:rPr>
          <w:tab/>
        </w:r>
        <w:r w:rsidR="007A56BD">
          <w:rPr>
            <w:noProof/>
            <w:webHidden/>
          </w:rPr>
          <w:fldChar w:fldCharType="begin"/>
        </w:r>
        <w:r w:rsidR="007A56BD">
          <w:rPr>
            <w:noProof/>
            <w:webHidden/>
          </w:rPr>
          <w:instrText xml:space="preserve"> PAGEREF _Toc22544045 \h </w:instrText>
        </w:r>
        <w:r w:rsidR="007A56BD">
          <w:rPr>
            <w:noProof/>
            <w:webHidden/>
          </w:rPr>
        </w:r>
        <w:r w:rsidR="007A56BD">
          <w:rPr>
            <w:noProof/>
            <w:webHidden/>
          </w:rPr>
          <w:fldChar w:fldCharType="separate"/>
        </w:r>
        <w:r w:rsidR="00D87DBB">
          <w:rPr>
            <w:noProof/>
            <w:webHidden/>
          </w:rPr>
          <w:t>81</w:t>
        </w:r>
        <w:r w:rsidR="007A56BD">
          <w:rPr>
            <w:noProof/>
            <w:webHidden/>
          </w:rPr>
          <w:fldChar w:fldCharType="end"/>
        </w:r>
      </w:hyperlink>
    </w:p>
    <w:p w14:paraId="1CB94849" w14:textId="58C26C61" w:rsidR="007A56BD" w:rsidRDefault="00864C5E">
      <w:pPr>
        <w:pStyle w:val="TableofFigures"/>
        <w:tabs>
          <w:tab w:val="right" w:leader="dot" w:pos="9016"/>
        </w:tabs>
        <w:rPr>
          <w:rFonts w:cstheme="minorBidi"/>
          <w:noProof/>
          <w:sz w:val="22"/>
          <w:szCs w:val="22"/>
          <w:lang w:eastAsia="en-AU"/>
        </w:rPr>
      </w:pPr>
      <w:hyperlink w:anchor="_Toc22544046" w:history="1">
        <w:r w:rsidR="007A56BD" w:rsidRPr="001B4C6D">
          <w:rPr>
            <w:rStyle w:val="Hyperlink"/>
            <w:noProof/>
          </w:rPr>
          <w:t>Figure 7.2: Perceived distribution of time devoted to administrative tasks (per cent)</w:t>
        </w:r>
        <w:r w:rsidR="007A56BD">
          <w:rPr>
            <w:noProof/>
            <w:webHidden/>
          </w:rPr>
          <w:tab/>
        </w:r>
        <w:r w:rsidR="007A56BD">
          <w:rPr>
            <w:noProof/>
            <w:webHidden/>
          </w:rPr>
          <w:fldChar w:fldCharType="begin"/>
        </w:r>
        <w:r w:rsidR="007A56BD">
          <w:rPr>
            <w:noProof/>
            <w:webHidden/>
          </w:rPr>
          <w:instrText xml:space="preserve"> PAGEREF _Toc22544046 \h </w:instrText>
        </w:r>
        <w:r w:rsidR="007A56BD">
          <w:rPr>
            <w:noProof/>
            <w:webHidden/>
          </w:rPr>
        </w:r>
        <w:r w:rsidR="007A56BD">
          <w:rPr>
            <w:noProof/>
            <w:webHidden/>
          </w:rPr>
          <w:fldChar w:fldCharType="separate"/>
        </w:r>
        <w:r w:rsidR="00D87DBB">
          <w:rPr>
            <w:noProof/>
            <w:webHidden/>
          </w:rPr>
          <w:t>83</w:t>
        </w:r>
        <w:r w:rsidR="007A56BD">
          <w:rPr>
            <w:noProof/>
            <w:webHidden/>
          </w:rPr>
          <w:fldChar w:fldCharType="end"/>
        </w:r>
      </w:hyperlink>
    </w:p>
    <w:p w14:paraId="0B16D464" w14:textId="5311D432" w:rsidR="007A56BD" w:rsidRDefault="00864C5E">
      <w:pPr>
        <w:pStyle w:val="TableofFigures"/>
        <w:tabs>
          <w:tab w:val="right" w:leader="dot" w:pos="9016"/>
        </w:tabs>
        <w:rPr>
          <w:rFonts w:cstheme="minorBidi"/>
          <w:noProof/>
          <w:sz w:val="22"/>
          <w:szCs w:val="22"/>
          <w:lang w:eastAsia="en-AU"/>
        </w:rPr>
      </w:pPr>
      <w:hyperlink w:anchor="_Toc22544047" w:history="1">
        <w:r w:rsidR="007A56BD" w:rsidRPr="001B4C6D">
          <w:rPr>
            <w:rStyle w:val="Hyperlink"/>
            <w:noProof/>
          </w:rPr>
          <w:t>Figure 7.3: Net agreement on guideline changes 2010 to 2014 (per cent)</w:t>
        </w:r>
        <w:r w:rsidR="007A56BD">
          <w:rPr>
            <w:noProof/>
            <w:webHidden/>
          </w:rPr>
          <w:tab/>
        </w:r>
        <w:r w:rsidR="007A56BD">
          <w:rPr>
            <w:noProof/>
            <w:webHidden/>
          </w:rPr>
          <w:fldChar w:fldCharType="begin"/>
        </w:r>
        <w:r w:rsidR="007A56BD">
          <w:rPr>
            <w:noProof/>
            <w:webHidden/>
          </w:rPr>
          <w:instrText xml:space="preserve"> PAGEREF _Toc22544047 \h </w:instrText>
        </w:r>
        <w:r w:rsidR="007A56BD">
          <w:rPr>
            <w:noProof/>
            <w:webHidden/>
          </w:rPr>
        </w:r>
        <w:r w:rsidR="007A56BD">
          <w:rPr>
            <w:noProof/>
            <w:webHidden/>
          </w:rPr>
          <w:fldChar w:fldCharType="separate"/>
        </w:r>
        <w:r w:rsidR="00D87DBB">
          <w:rPr>
            <w:noProof/>
            <w:webHidden/>
          </w:rPr>
          <w:t>85</w:t>
        </w:r>
        <w:r w:rsidR="007A56BD">
          <w:rPr>
            <w:noProof/>
            <w:webHidden/>
          </w:rPr>
          <w:fldChar w:fldCharType="end"/>
        </w:r>
      </w:hyperlink>
    </w:p>
    <w:p w14:paraId="05DEB8D4" w14:textId="062F5697" w:rsidR="007A56BD" w:rsidRDefault="00864C5E">
      <w:pPr>
        <w:pStyle w:val="TableofFigures"/>
        <w:tabs>
          <w:tab w:val="right" w:leader="dot" w:pos="9016"/>
        </w:tabs>
        <w:rPr>
          <w:rFonts w:cstheme="minorBidi"/>
          <w:noProof/>
          <w:sz w:val="22"/>
          <w:szCs w:val="22"/>
          <w:lang w:eastAsia="en-AU"/>
        </w:rPr>
      </w:pPr>
      <w:hyperlink w:anchor="_Toc22544048" w:history="1">
        <w:r w:rsidR="007A56BD" w:rsidRPr="001B4C6D">
          <w:rPr>
            <w:rStyle w:val="Hyperlink"/>
            <w:noProof/>
          </w:rPr>
          <w:t>Figure 8.1: Job placement rate for Wage Connect eligible JSA job seekers, January 2012 to June 2014 (number)</w:t>
        </w:r>
        <w:r w:rsidR="007A56BD">
          <w:rPr>
            <w:noProof/>
            <w:webHidden/>
          </w:rPr>
          <w:tab/>
        </w:r>
        <w:r w:rsidR="007A56BD">
          <w:rPr>
            <w:noProof/>
            <w:webHidden/>
          </w:rPr>
          <w:fldChar w:fldCharType="begin"/>
        </w:r>
        <w:r w:rsidR="007A56BD">
          <w:rPr>
            <w:noProof/>
            <w:webHidden/>
          </w:rPr>
          <w:instrText xml:space="preserve"> PAGEREF _Toc22544048 \h </w:instrText>
        </w:r>
        <w:r w:rsidR="007A56BD">
          <w:rPr>
            <w:noProof/>
            <w:webHidden/>
          </w:rPr>
        </w:r>
        <w:r w:rsidR="007A56BD">
          <w:rPr>
            <w:noProof/>
            <w:webHidden/>
          </w:rPr>
          <w:fldChar w:fldCharType="separate"/>
        </w:r>
        <w:r w:rsidR="00D87DBB">
          <w:rPr>
            <w:noProof/>
            <w:webHidden/>
          </w:rPr>
          <w:t>95</w:t>
        </w:r>
        <w:r w:rsidR="007A56BD">
          <w:rPr>
            <w:noProof/>
            <w:webHidden/>
          </w:rPr>
          <w:fldChar w:fldCharType="end"/>
        </w:r>
      </w:hyperlink>
    </w:p>
    <w:p w14:paraId="4C654ED8" w14:textId="2C072473" w:rsidR="007A56BD" w:rsidRDefault="00864C5E">
      <w:pPr>
        <w:pStyle w:val="TableofFigures"/>
        <w:tabs>
          <w:tab w:val="right" w:leader="dot" w:pos="9016"/>
        </w:tabs>
        <w:rPr>
          <w:rFonts w:cstheme="minorBidi"/>
          <w:noProof/>
          <w:sz w:val="22"/>
          <w:szCs w:val="22"/>
          <w:lang w:eastAsia="en-AU"/>
        </w:rPr>
      </w:pPr>
      <w:hyperlink w:anchor="_Toc22544049" w:history="1">
        <w:r w:rsidR="007A56BD" w:rsidRPr="001B4C6D">
          <w:rPr>
            <w:rStyle w:val="Hyperlink"/>
            <w:noProof/>
          </w:rPr>
          <w:t>Figure 8.2: Employer perceptions of the influence of wage subsidies on hiring decisions for job seeker groups (per cent)</w:t>
        </w:r>
        <w:r w:rsidR="007A56BD">
          <w:rPr>
            <w:noProof/>
            <w:webHidden/>
          </w:rPr>
          <w:tab/>
        </w:r>
        <w:r w:rsidR="007A56BD">
          <w:rPr>
            <w:noProof/>
            <w:webHidden/>
          </w:rPr>
          <w:fldChar w:fldCharType="begin"/>
        </w:r>
        <w:r w:rsidR="007A56BD">
          <w:rPr>
            <w:noProof/>
            <w:webHidden/>
          </w:rPr>
          <w:instrText xml:space="preserve"> PAGEREF _Toc22544049 \h </w:instrText>
        </w:r>
        <w:r w:rsidR="007A56BD">
          <w:rPr>
            <w:noProof/>
            <w:webHidden/>
          </w:rPr>
        </w:r>
        <w:r w:rsidR="007A56BD">
          <w:rPr>
            <w:noProof/>
            <w:webHidden/>
          </w:rPr>
          <w:fldChar w:fldCharType="separate"/>
        </w:r>
        <w:r w:rsidR="00D87DBB">
          <w:rPr>
            <w:noProof/>
            <w:webHidden/>
          </w:rPr>
          <w:t>97</w:t>
        </w:r>
        <w:r w:rsidR="007A56BD">
          <w:rPr>
            <w:noProof/>
            <w:webHidden/>
          </w:rPr>
          <w:fldChar w:fldCharType="end"/>
        </w:r>
      </w:hyperlink>
    </w:p>
    <w:p w14:paraId="658E864A" w14:textId="1EA1AC9C" w:rsidR="007A56BD" w:rsidRDefault="00864C5E">
      <w:pPr>
        <w:pStyle w:val="TableofFigures"/>
        <w:tabs>
          <w:tab w:val="right" w:leader="dot" w:pos="9016"/>
        </w:tabs>
        <w:rPr>
          <w:rFonts w:cstheme="minorBidi"/>
          <w:noProof/>
          <w:sz w:val="22"/>
          <w:szCs w:val="22"/>
          <w:lang w:eastAsia="en-AU"/>
        </w:rPr>
      </w:pPr>
      <w:hyperlink w:anchor="_Toc22544050" w:history="1">
        <w:r w:rsidR="007A56BD" w:rsidRPr="001B4C6D">
          <w:rPr>
            <w:rStyle w:val="Hyperlink"/>
            <w:noProof/>
          </w:rPr>
          <w:t>Figure 9.1: Main reasons employers did not use a government-funded employment services provider</w:t>
        </w:r>
        <w:r w:rsidR="007A56BD">
          <w:rPr>
            <w:noProof/>
            <w:webHidden/>
          </w:rPr>
          <w:tab/>
        </w:r>
        <w:r w:rsidR="007A56BD">
          <w:rPr>
            <w:noProof/>
            <w:webHidden/>
          </w:rPr>
          <w:fldChar w:fldCharType="begin"/>
        </w:r>
        <w:r w:rsidR="007A56BD">
          <w:rPr>
            <w:noProof/>
            <w:webHidden/>
          </w:rPr>
          <w:instrText xml:space="preserve"> PAGEREF _Toc22544050 \h </w:instrText>
        </w:r>
        <w:r w:rsidR="007A56BD">
          <w:rPr>
            <w:noProof/>
            <w:webHidden/>
          </w:rPr>
        </w:r>
        <w:r w:rsidR="007A56BD">
          <w:rPr>
            <w:noProof/>
            <w:webHidden/>
          </w:rPr>
          <w:fldChar w:fldCharType="separate"/>
        </w:r>
        <w:r w:rsidR="00D87DBB">
          <w:rPr>
            <w:noProof/>
            <w:webHidden/>
          </w:rPr>
          <w:t>104</w:t>
        </w:r>
        <w:r w:rsidR="007A56BD">
          <w:rPr>
            <w:noProof/>
            <w:webHidden/>
          </w:rPr>
          <w:fldChar w:fldCharType="end"/>
        </w:r>
      </w:hyperlink>
    </w:p>
    <w:p w14:paraId="27C2AC36" w14:textId="0F84CE4F" w:rsidR="007A56BD" w:rsidRDefault="00864C5E">
      <w:pPr>
        <w:pStyle w:val="TableofFigures"/>
        <w:tabs>
          <w:tab w:val="right" w:leader="dot" w:pos="9016"/>
        </w:tabs>
        <w:rPr>
          <w:rFonts w:cstheme="minorBidi"/>
          <w:noProof/>
          <w:sz w:val="22"/>
          <w:szCs w:val="22"/>
          <w:lang w:eastAsia="en-AU"/>
        </w:rPr>
      </w:pPr>
      <w:hyperlink w:anchor="_Toc22544051" w:history="1">
        <w:r w:rsidR="007A56BD" w:rsidRPr="001B4C6D">
          <w:rPr>
            <w:rStyle w:val="Hyperlink"/>
            <w:noProof/>
          </w:rPr>
          <w:t>Figure 10.1: Commenced caseload, service and outcome fees paid ($ million)</w:t>
        </w:r>
        <w:r w:rsidR="007A56BD">
          <w:rPr>
            <w:noProof/>
            <w:webHidden/>
          </w:rPr>
          <w:tab/>
        </w:r>
        <w:r w:rsidR="007A56BD">
          <w:rPr>
            <w:noProof/>
            <w:webHidden/>
          </w:rPr>
          <w:fldChar w:fldCharType="begin"/>
        </w:r>
        <w:r w:rsidR="007A56BD">
          <w:rPr>
            <w:noProof/>
            <w:webHidden/>
          </w:rPr>
          <w:instrText xml:space="preserve"> PAGEREF _Toc22544051 \h </w:instrText>
        </w:r>
        <w:r w:rsidR="007A56BD">
          <w:rPr>
            <w:noProof/>
            <w:webHidden/>
          </w:rPr>
        </w:r>
        <w:r w:rsidR="007A56BD">
          <w:rPr>
            <w:noProof/>
            <w:webHidden/>
          </w:rPr>
          <w:fldChar w:fldCharType="separate"/>
        </w:r>
        <w:r w:rsidR="00D87DBB">
          <w:rPr>
            <w:noProof/>
            <w:webHidden/>
          </w:rPr>
          <w:t>111</w:t>
        </w:r>
        <w:r w:rsidR="007A56BD">
          <w:rPr>
            <w:noProof/>
            <w:webHidden/>
          </w:rPr>
          <w:fldChar w:fldCharType="end"/>
        </w:r>
      </w:hyperlink>
    </w:p>
    <w:p w14:paraId="72555999" w14:textId="030F4475" w:rsidR="007A56BD" w:rsidRDefault="00864C5E">
      <w:pPr>
        <w:pStyle w:val="TableofFigures"/>
        <w:tabs>
          <w:tab w:val="right" w:leader="dot" w:pos="9016"/>
        </w:tabs>
        <w:rPr>
          <w:rFonts w:cstheme="minorBidi"/>
          <w:noProof/>
          <w:sz w:val="22"/>
          <w:szCs w:val="22"/>
          <w:lang w:eastAsia="en-AU"/>
        </w:rPr>
      </w:pPr>
      <w:hyperlink w:anchor="_Toc22544052" w:history="1">
        <w:r w:rsidR="007A56BD" w:rsidRPr="001B4C6D">
          <w:rPr>
            <w:rStyle w:val="Hyperlink"/>
            <w:noProof/>
          </w:rPr>
          <w:t>Figure 10.2: Service and outcome fees paid per job seeker, three month running averages ($)</w:t>
        </w:r>
        <w:r w:rsidR="007A56BD">
          <w:rPr>
            <w:noProof/>
            <w:webHidden/>
          </w:rPr>
          <w:tab/>
        </w:r>
        <w:r w:rsidR="007A56BD">
          <w:rPr>
            <w:noProof/>
            <w:webHidden/>
          </w:rPr>
          <w:fldChar w:fldCharType="begin"/>
        </w:r>
        <w:r w:rsidR="007A56BD">
          <w:rPr>
            <w:noProof/>
            <w:webHidden/>
          </w:rPr>
          <w:instrText xml:space="preserve"> PAGEREF _Toc22544052 \h </w:instrText>
        </w:r>
        <w:r w:rsidR="007A56BD">
          <w:rPr>
            <w:noProof/>
            <w:webHidden/>
          </w:rPr>
        </w:r>
        <w:r w:rsidR="007A56BD">
          <w:rPr>
            <w:noProof/>
            <w:webHidden/>
          </w:rPr>
          <w:fldChar w:fldCharType="separate"/>
        </w:r>
        <w:r w:rsidR="00D87DBB">
          <w:rPr>
            <w:noProof/>
            <w:webHidden/>
          </w:rPr>
          <w:t>112</w:t>
        </w:r>
        <w:r w:rsidR="007A56BD">
          <w:rPr>
            <w:noProof/>
            <w:webHidden/>
          </w:rPr>
          <w:fldChar w:fldCharType="end"/>
        </w:r>
      </w:hyperlink>
    </w:p>
    <w:p w14:paraId="4F5B3572" w14:textId="59E6C471" w:rsidR="007A56BD" w:rsidRDefault="00864C5E">
      <w:pPr>
        <w:pStyle w:val="TableofFigures"/>
        <w:tabs>
          <w:tab w:val="right" w:leader="dot" w:pos="9016"/>
        </w:tabs>
        <w:rPr>
          <w:rFonts w:cstheme="minorBidi"/>
          <w:noProof/>
          <w:sz w:val="22"/>
          <w:szCs w:val="22"/>
          <w:lang w:eastAsia="en-AU"/>
        </w:rPr>
      </w:pPr>
      <w:hyperlink w:anchor="_Toc22544053" w:history="1">
        <w:r w:rsidR="007A56BD" w:rsidRPr="001B4C6D">
          <w:rPr>
            <w:rStyle w:val="Hyperlink"/>
            <w:noProof/>
          </w:rPr>
          <w:t>Figure 10.3: EPF expenditure by category, JSA 2009 and JSA 2012, and by financial year (per cent)</w:t>
        </w:r>
        <w:r w:rsidR="007A56BD">
          <w:rPr>
            <w:noProof/>
            <w:webHidden/>
          </w:rPr>
          <w:tab/>
        </w:r>
        <w:r w:rsidR="007A56BD">
          <w:rPr>
            <w:noProof/>
            <w:webHidden/>
          </w:rPr>
          <w:fldChar w:fldCharType="begin"/>
        </w:r>
        <w:r w:rsidR="007A56BD">
          <w:rPr>
            <w:noProof/>
            <w:webHidden/>
          </w:rPr>
          <w:instrText xml:space="preserve"> PAGEREF _Toc22544053 \h </w:instrText>
        </w:r>
        <w:r w:rsidR="007A56BD">
          <w:rPr>
            <w:noProof/>
            <w:webHidden/>
          </w:rPr>
        </w:r>
        <w:r w:rsidR="007A56BD">
          <w:rPr>
            <w:noProof/>
            <w:webHidden/>
          </w:rPr>
          <w:fldChar w:fldCharType="separate"/>
        </w:r>
        <w:r w:rsidR="00D87DBB">
          <w:rPr>
            <w:noProof/>
            <w:webHidden/>
          </w:rPr>
          <w:t>113</w:t>
        </w:r>
        <w:r w:rsidR="007A56BD">
          <w:rPr>
            <w:noProof/>
            <w:webHidden/>
          </w:rPr>
          <w:fldChar w:fldCharType="end"/>
        </w:r>
      </w:hyperlink>
    </w:p>
    <w:p w14:paraId="791E41C8" w14:textId="15D3179E" w:rsidR="007A56BD" w:rsidRDefault="00864C5E">
      <w:pPr>
        <w:pStyle w:val="TableofFigures"/>
        <w:tabs>
          <w:tab w:val="right" w:leader="dot" w:pos="9016"/>
        </w:tabs>
        <w:rPr>
          <w:rFonts w:cstheme="minorBidi"/>
          <w:noProof/>
          <w:sz w:val="22"/>
          <w:szCs w:val="22"/>
          <w:lang w:eastAsia="en-AU"/>
        </w:rPr>
      </w:pPr>
      <w:hyperlink w:anchor="_Toc22544054" w:history="1">
        <w:r w:rsidR="007A56BD" w:rsidRPr="001B4C6D">
          <w:rPr>
            <w:rStyle w:val="Hyperlink"/>
            <w:noProof/>
          </w:rPr>
          <w:t xml:space="preserve">Figure 10.4: Number of job seekers assisted, selected </w:t>
        </w:r>
        <w:r w:rsidR="007A56BD" w:rsidRPr="001B4C6D">
          <w:rPr>
            <w:rStyle w:val="Hyperlink"/>
            <w:rFonts w:eastAsiaTheme="majorEastAsia"/>
            <w:noProof/>
          </w:rPr>
          <w:t>Employment Pathway Fund (EPF)</w:t>
        </w:r>
        <w:r w:rsidR="007A56BD" w:rsidRPr="001B4C6D">
          <w:rPr>
            <w:rStyle w:val="Hyperlink"/>
            <w:noProof/>
          </w:rPr>
          <w:t xml:space="preserve"> expenditure categories JSA 2009 and JSA 2012 (number)</w:t>
        </w:r>
        <w:r w:rsidR="007A56BD">
          <w:rPr>
            <w:noProof/>
            <w:webHidden/>
          </w:rPr>
          <w:tab/>
        </w:r>
        <w:r w:rsidR="007A56BD">
          <w:rPr>
            <w:noProof/>
            <w:webHidden/>
          </w:rPr>
          <w:fldChar w:fldCharType="begin"/>
        </w:r>
        <w:r w:rsidR="007A56BD">
          <w:rPr>
            <w:noProof/>
            <w:webHidden/>
          </w:rPr>
          <w:instrText xml:space="preserve"> PAGEREF _Toc22544054 \h </w:instrText>
        </w:r>
        <w:r w:rsidR="007A56BD">
          <w:rPr>
            <w:noProof/>
            <w:webHidden/>
          </w:rPr>
        </w:r>
        <w:r w:rsidR="007A56BD">
          <w:rPr>
            <w:noProof/>
            <w:webHidden/>
          </w:rPr>
          <w:fldChar w:fldCharType="separate"/>
        </w:r>
        <w:r w:rsidR="00D87DBB">
          <w:rPr>
            <w:noProof/>
            <w:webHidden/>
          </w:rPr>
          <w:t>116</w:t>
        </w:r>
        <w:r w:rsidR="007A56BD">
          <w:rPr>
            <w:noProof/>
            <w:webHidden/>
          </w:rPr>
          <w:fldChar w:fldCharType="end"/>
        </w:r>
      </w:hyperlink>
    </w:p>
    <w:p w14:paraId="18CEA107" w14:textId="0390B8B4" w:rsidR="007A56BD" w:rsidRDefault="00864C5E">
      <w:pPr>
        <w:pStyle w:val="TableofFigures"/>
        <w:tabs>
          <w:tab w:val="right" w:leader="dot" w:pos="9016"/>
        </w:tabs>
        <w:rPr>
          <w:rFonts w:cstheme="minorBidi"/>
          <w:noProof/>
          <w:sz w:val="22"/>
          <w:szCs w:val="22"/>
          <w:lang w:eastAsia="en-AU"/>
        </w:rPr>
      </w:pPr>
      <w:hyperlink w:anchor="_Toc22544055" w:history="1">
        <w:r w:rsidR="007A56BD" w:rsidRPr="001B4C6D">
          <w:rPr>
            <w:rStyle w:val="Hyperlink"/>
            <w:noProof/>
          </w:rPr>
          <w:t xml:space="preserve">Figure 10.5: Average amount of </w:t>
        </w:r>
        <w:r w:rsidR="007A56BD" w:rsidRPr="001B4C6D">
          <w:rPr>
            <w:rStyle w:val="Hyperlink"/>
            <w:rFonts w:eastAsiaTheme="majorEastAsia"/>
            <w:noProof/>
          </w:rPr>
          <w:t xml:space="preserve">Employment Pathway Fund (EPF) </w:t>
        </w:r>
        <w:r w:rsidR="007A56BD" w:rsidRPr="001B4C6D">
          <w:rPr>
            <w:rStyle w:val="Hyperlink"/>
            <w:noProof/>
          </w:rPr>
          <w:t>dollars allocated to job seekers, selected EPF expenditure categories ($)</w:t>
        </w:r>
        <w:r w:rsidR="007A56BD">
          <w:rPr>
            <w:noProof/>
            <w:webHidden/>
          </w:rPr>
          <w:tab/>
        </w:r>
        <w:r w:rsidR="007A56BD">
          <w:rPr>
            <w:noProof/>
            <w:webHidden/>
          </w:rPr>
          <w:fldChar w:fldCharType="begin"/>
        </w:r>
        <w:r w:rsidR="007A56BD">
          <w:rPr>
            <w:noProof/>
            <w:webHidden/>
          </w:rPr>
          <w:instrText xml:space="preserve"> PAGEREF _Toc22544055 \h </w:instrText>
        </w:r>
        <w:r w:rsidR="007A56BD">
          <w:rPr>
            <w:noProof/>
            <w:webHidden/>
          </w:rPr>
        </w:r>
        <w:r w:rsidR="007A56BD">
          <w:rPr>
            <w:noProof/>
            <w:webHidden/>
          </w:rPr>
          <w:fldChar w:fldCharType="separate"/>
        </w:r>
        <w:r w:rsidR="00D87DBB">
          <w:rPr>
            <w:noProof/>
            <w:webHidden/>
          </w:rPr>
          <w:t>117</w:t>
        </w:r>
        <w:r w:rsidR="007A56BD">
          <w:rPr>
            <w:noProof/>
            <w:webHidden/>
          </w:rPr>
          <w:fldChar w:fldCharType="end"/>
        </w:r>
      </w:hyperlink>
    </w:p>
    <w:p w14:paraId="4A043753" w14:textId="48364EB8" w:rsidR="007A56BD" w:rsidRDefault="00864C5E">
      <w:pPr>
        <w:pStyle w:val="TableofFigures"/>
        <w:tabs>
          <w:tab w:val="right" w:leader="dot" w:pos="9016"/>
        </w:tabs>
        <w:rPr>
          <w:rFonts w:cstheme="minorBidi"/>
          <w:noProof/>
          <w:sz w:val="22"/>
          <w:szCs w:val="22"/>
          <w:lang w:eastAsia="en-AU"/>
        </w:rPr>
      </w:pPr>
      <w:hyperlink w:anchor="_Toc22544056" w:history="1">
        <w:r w:rsidR="007A56BD" w:rsidRPr="001B4C6D">
          <w:rPr>
            <w:rStyle w:val="Hyperlink"/>
            <w:noProof/>
          </w:rPr>
          <w:t>Figure 10.6: Service and outcome fees ($ per job seeker), Internet Vacancy Index (quarterly index) and job seeker satisfaction (per cent, quarterly), September 2010 – March 2015</w:t>
        </w:r>
        <w:r w:rsidR="007A56BD">
          <w:rPr>
            <w:noProof/>
            <w:webHidden/>
          </w:rPr>
          <w:tab/>
        </w:r>
        <w:r w:rsidR="007A56BD">
          <w:rPr>
            <w:noProof/>
            <w:webHidden/>
          </w:rPr>
          <w:fldChar w:fldCharType="begin"/>
        </w:r>
        <w:r w:rsidR="007A56BD">
          <w:rPr>
            <w:noProof/>
            <w:webHidden/>
          </w:rPr>
          <w:instrText xml:space="preserve"> PAGEREF _Toc22544056 \h </w:instrText>
        </w:r>
        <w:r w:rsidR="007A56BD">
          <w:rPr>
            <w:noProof/>
            <w:webHidden/>
          </w:rPr>
        </w:r>
        <w:r w:rsidR="007A56BD">
          <w:rPr>
            <w:noProof/>
            <w:webHidden/>
          </w:rPr>
          <w:fldChar w:fldCharType="separate"/>
        </w:r>
        <w:r w:rsidR="00D87DBB">
          <w:rPr>
            <w:noProof/>
            <w:webHidden/>
          </w:rPr>
          <w:t>118</w:t>
        </w:r>
        <w:r w:rsidR="007A56BD">
          <w:rPr>
            <w:noProof/>
            <w:webHidden/>
          </w:rPr>
          <w:fldChar w:fldCharType="end"/>
        </w:r>
      </w:hyperlink>
    </w:p>
    <w:p w14:paraId="0FD042E9" w14:textId="5F255257" w:rsidR="000A248D" w:rsidRDefault="00D17970" w:rsidP="00446924">
      <w:pPr>
        <w:ind w:right="1134"/>
        <w:rPr>
          <w:rFonts w:cstheme="minorHAnsi"/>
          <w:iCs/>
          <w:sz w:val="20"/>
          <w:szCs w:val="20"/>
          <w:u w:val="single"/>
        </w:rPr>
      </w:pPr>
      <w:r>
        <w:rPr>
          <w:rFonts w:cstheme="minorHAnsi"/>
          <w:iCs/>
          <w:szCs w:val="20"/>
          <w:u w:val="single"/>
        </w:rPr>
        <w:fldChar w:fldCharType="end"/>
      </w:r>
      <w:r w:rsidR="000A248D">
        <w:rPr>
          <w:rFonts w:cstheme="minorHAnsi"/>
          <w:iCs/>
          <w:sz w:val="20"/>
          <w:szCs w:val="20"/>
          <w:u w:val="single"/>
        </w:rPr>
        <w:br w:type="page"/>
      </w:r>
    </w:p>
    <w:p w14:paraId="43A3A72E" w14:textId="77777777" w:rsidR="000A248D" w:rsidRPr="000A248D" w:rsidRDefault="000A248D" w:rsidP="000A248D">
      <w:pPr>
        <w:pStyle w:val="Heading1"/>
      </w:pPr>
      <w:bookmarkStart w:id="26" w:name="_Toc436151032"/>
      <w:bookmarkStart w:id="27" w:name="_Toc22543022"/>
      <w:r w:rsidRPr="000A248D">
        <w:t>List of acronyms</w:t>
      </w:r>
      <w:bookmarkEnd w:id="26"/>
      <w:bookmarkEnd w:id="27"/>
    </w:p>
    <w:tbl>
      <w:tblPr>
        <w:tblW w:w="9085" w:type="dxa"/>
        <w:jc w:val="center"/>
        <w:tblLook w:val="0000" w:firstRow="0" w:lastRow="0" w:firstColumn="0" w:lastColumn="0" w:noHBand="0" w:noVBand="0"/>
      </w:tblPr>
      <w:tblGrid>
        <w:gridCol w:w="1731"/>
        <w:gridCol w:w="7354"/>
      </w:tblGrid>
      <w:tr w:rsidR="00EB0948" w:rsidRPr="000A248D" w14:paraId="63AF651C" w14:textId="77777777" w:rsidTr="004673A3">
        <w:trPr>
          <w:trHeight w:val="450"/>
          <w:tblHeader/>
          <w:jc w:val="center"/>
        </w:trPr>
        <w:tc>
          <w:tcPr>
            <w:tcW w:w="1731" w:type="dxa"/>
            <w:tcBorders>
              <w:top w:val="nil"/>
              <w:left w:val="nil"/>
              <w:right w:val="nil"/>
            </w:tcBorders>
            <w:shd w:val="clear" w:color="auto" w:fill="1E3D6B"/>
            <w:noWrap/>
            <w:vAlign w:val="center"/>
          </w:tcPr>
          <w:p w14:paraId="785174F0" w14:textId="77777777" w:rsidR="00EB0948" w:rsidRPr="00EB0948" w:rsidRDefault="00EB0948" w:rsidP="00CD4720">
            <w:pPr>
              <w:spacing w:after="0"/>
              <w:rPr>
                <w:b/>
              </w:rPr>
            </w:pPr>
            <w:bookmarkStart w:id="28" w:name="ColumnTitle_0"/>
            <w:bookmarkEnd w:id="28"/>
            <w:r w:rsidRPr="00EB0948">
              <w:rPr>
                <w:b/>
                <w:color w:val="FFFFFF" w:themeColor="background2"/>
              </w:rPr>
              <w:t>Acronym</w:t>
            </w:r>
          </w:p>
        </w:tc>
        <w:tc>
          <w:tcPr>
            <w:tcW w:w="7354" w:type="dxa"/>
            <w:tcBorders>
              <w:top w:val="nil"/>
              <w:left w:val="nil"/>
              <w:right w:val="nil"/>
            </w:tcBorders>
            <w:shd w:val="clear" w:color="auto" w:fill="1E3D6B"/>
            <w:noWrap/>
            <w:vAlign w:val="center"/>
          </w:tcPr>
          <w:p w14:paraId="6800043C" w14:textId="77777777" w:rsidR="00EB0948" w:rsidRPr="00C349FA" w:rsidRDefault="00C349FA" w:rsidP="00CD4720">
            <w:pPr>
              <w:spacing w:after="0"/>
              <w:rPr>
                <w:b/>
              </w:rPr>
            </w:pPr>
            <w:r w:rsidRPr="00C349FA">
              <w:rPr>
                <w:b/>
              </w:rPr>
              <w:t>Stands for</w:t>
            </w:r>
          </w:p>
        </w:tc>
      </w:tr>
      <w:tr w:rsidR="000A248D" w:rsidRPr="000A248D" w14:paraId="186492BA" w14:textId="77777777" w:rsidTr="004673A3">
        <w:trPr>
          <w:trHeight w:hRule="exact" w:val="340"/>
          <w:jc w:val="center"/>
        </w:trPr>
        <w:tc>
          <w:tcPr>
            <w:tcW w:w="1731" w:type="dxa"/>
            <w:tcBorders>
              <w:top w:val="nil"/>
              <w:left w:val="nil"/>
              <w:right w:val="nil"/>
            </w:tcBorders>
            <w:shd w:val="clear" w:color="auto" w:fill="auto"/>
            <w:noWrap/>
            <w:vAlign w:val="center"/>
          </w:tcPr>
          <w:p w14:paraId="5AC6D1EA" w14:textId="77777777" w:rsidR="000A248D" w:rsidRPr="000A248D" w:rsidRDefault="000A248D" w:rsidP="00CD4720">
            <w:pPr>
              <w:spacing w:after="0"/>
            </w:pPr>
            <w:r w:rsidRPr="000A248D">
              <w:t xml:space="preserve">ABS </w:t>
            </w:r>
          </w:p>
        </w:tc>
        <w:tc>
          <w:tcPr>
            <w:tcW w:w="7354" w:type="dxa"/>
            <w:tcBorders>
              <w:top w:val="nil"/>
              <w:left w:val="nil"/>
              <w:right w:val="nil"/>
            </w:tcBorders>
            <w:shd w:val="clear" w:color="auto" w:fill="auto"/>
            <w:noWrap/>
            <w:vAlign w:val="center"/>
          </w:tcPr>
          <w:p w14:paraId="186FE9AF" w14:textId="77777777" w:rsidR="000A248D" w:rsidRPr="000A248D" w:rsidRDefault="000A248D" w:rsidP="00CD4720">
            <w:pPr>
              <w:spacing w:after="0"/>
            </w:pPr>
            <w:r w:rsidRPr="000A248D">
              <w:t>Australian Bureau of Statistics</w:t>
            </w:r>
          </w:p>
        </w:tc>
      </w:tr>
      <w:tr w:rsidR="00024076" w:rsidRPr="000A248D" w14:paraId="7CA40FAD"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55DAD3B" w14:textId="77777777" w:rsidR="00024076" w:rsidRDefault="00024076" w:rsidP="00024076">
            <w:pPr>
              <w:spacing w:after="0"/>
            </w:pPr>
            <w:r>
              <w:t>AES</w:t>
            </w:r>
          </w:p>
        </w:tc>
        <w:tc>
          <w:tcPr>
            <w:tcW w:w="7354" w:type="dxa"/>
            <w:tcBorders>
              <w:top w:val="nil"/>
              <w:left w:val="nil"/>
              <w:bottom w:val="nil"/>
              <w:right w:val="nil"/>
            </w:tcBorders>
            <w:shd w:val="clear" w:color="auto" w:fill="auto"/>
            <w:noWrap/>
            <w:vAlign w:val="center"/>
          </w:tcPr>
          <w:p w14:paraId="55CB8B19" w14:textId="77777777" w:rsidR="00024076" w:rsidRDefault="00024076" w:rsidP="00024076">
            <w:pPr>
              <w:spacing w:after="0"/>
            </w:pPr>
            <w:r>
              <w:t>Aboriginal Employment Service</w:t>
            </w:r>
          </w:p>
        </w:tc>
      </w:tr>
      <w:tr w:rsidR="00024076" w:rsidRPr="000A248D" w14:paraId="54CB9CE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3CFA58A2" w14:textId="77777777" w:rsidR="00024076" w:rsidRPr="000A248D" w:rsidRDefault="00024076" w:rsidP="00024076">
            <w:pPr>
              <w:spacing w:after="0"/>
            </w:pPr>
            <w:r>
              <w:t>A</w:t>
            </w:r>
            <w:r w:rsidRPr="000A248D">
              <w:t>ME</w:t>
            </w:r>
          </w:p>
        </w:tc>
        <w:tc>
          <w:tcPr>
            <w:tcW w:w="7354" w:type="dxa"/>
            <w:tcBorders>
              <w:top w:val="nil"/>
              <w:left w:val="nil"/>
              <w:bottom w:val="nil"/>
              <w:right w:val="nil"/>
            </w:tcBorders>
            <w:shd w:val="clear" w:color="auto" w:fill="auto"/>
            <w:noWrap/>
            <w:vAlign w:val="center"/>
          </w:tcPr>
          <w:p w14:paraId="6B271132" w14:textId="77777777" w:rsidR="00024076" w:rsidRPr="000A248D" w:rsidRDefault="00024076" w:rsidP="00024076">
            <w:pPr>
              <w:spacing w:after="0"/>
            </w:pPr>
            <w:r>
              <w:t>Average</w:t>
            </w:r>
            <w:r w:rsidRPr="000A248D">
              <w:t xml:space="preserve"> </w:t>
            </w:r>
            <w:r>
              <w:t>m</w:t>
            </w:r>
            <w:r w:rsidRPr="000A248D">
              <w:t xml:space="preserve">arginal </w:t>
            </w:r>
            <w:r>
              <w:t>e</w:t>
            </w:r>
            <w:r w:rsidRPr="000A248D">
              <w:t>ffect</w:t>
            </w:r>
          </w:p>
        </w:tc>
      </w:tr>
      <w:tr w:rsidR="007116A5" w:rsidRPr="000A248D" w14:paraId="22876116"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24F3FEF" w14:textId="77777777" w:rsidR="007116A5" w:rsidRPr="000A248D" w:rsidRDefault="007116A5" w:rsidP="00CD4720">
            <w:pPr>
              <w:spacing w:after="0"/>
            </w:pPr>
            <w:r>
              <w:t>BAFW</w:t>
            </w:r>
          </w:p>
        </w:tc>
        <w:tc>
          <w:tcPr>
            <w:tcW w:w="7354" w:type="dxa"/>
            <w:tcBorders>
              <w:top w:val="nil"/>
              <w:left w:val="nil"/>
              <w:bottom w:val="nil"/>
              <w:right w:val="nil"/>
            </w:tcBorders>
            <w:shd w:val="clear" w:color="auto" w:fill="auto"/>
            <w:noWrap/>
            <w:vAlign w:val="center"/>
          </w:tcPr>
          <w:p w14:paraId="55546A85" w14:textId="77777777" w:rsidR="007116A5" w:rsidRPr="000A248D" w:rsidRDefault="007116A5" w:rsidP="00CD4720">
            <w:pPr>
              <w:spacing w:after="0"/>
            </w:pPr>
            <w:r>
              <w:t>Building Australia’s Future Workforce</w:t>
            </w:r>
          </w:p>
        </w:tc>
      </w:tr>
      <w:tr w:rsidR="00175916" w:rsidRPr="000A248D" w14:paraId="24F0CC6E"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3EA44AA1" w14:textId="77777777" w:rsidR="00175916" w:rsidRPr="000A248D" w:rsidRDefault="00175916" w:rsidP="00CD4720">
            <w:pPr>
              <w:spacing w:after="0"/>
            </w:pPr>
            <w:r>
              <w:t>CALD</w:t>
            </w:r>
          </w:p>
        </w:tc>
        <w:tc>
          <w:tcPr>
            <w:tcW w:w="7354" w:type="dxa"/>
            <w:tcBorders>
              <w:top w:val="nil"/>
              <w:left w:val="nil"/>
              <w:bottom w:val="nil"/>
              <w:right w:val="nil"/>
            </w:tcBorders>
            <w:shd w:val="clear" w:color="auto" w:fill="auto"/>
            <w:noWrap/>
            <w:vAlign w:val="center"/>
          </w:tcPr>
          <w:p w14:paraId="3FCFE0D3" w14:textId="77777777" w:rsidR="00175916" w:rsidRPr="000A248D" w:rsidRDefault="00175916" w:rsidP="00CD4720">
            <w:pPr>
              <w:spacing w:after="0"/>
            </w:pPr>
            <w:r>
              <w:t xml:space="preserve">Culturally </w:t>
            </w:r>
            <w:r w:rsidR="008B74F1">
              <w:t>A</w:t>
            </w:r>
            <w:r>
              <w:t xml:space="preserve">nd </w:t>
            </w:r>
            <w:r w:rsidR="008B74F1">
              <w:t>L</w:t>
            </w:r>
            <w:r>
              <w:t xml:space="preserve">inguistically </w:t>
            </w:r>
            <w:r w:rsidR="008B74F1">
              <w:t>D</w:t>
            </w:r>
            <w:r>
              <w:t>iverse</w:t>
            </w:r>
          </w:p>
        </w:tc>
      </w:tr>
      <w:tr w:rsidR="000A248D" w:rsidRPr="000A248D" w14:paraId="7CDF756A"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4DF6044" w14:textId="77777777" w:rsidR="000A248D" w:rsidRPr="000A248D" w:rsidRDefault="000A248D" w:rsidP="00CD4720">
            <w:pPr>
              <w:spacing w:after="0"/>
            </w:pPr>
            <w:r w:rsidRPr="000A248D">
              <w:t>CAP</w:t>
            </w:r>
          </w:p>
        </w:tc>
        <w:tc>
          <w:tcPr>
            <w:tcW w:w="7354" w:type="dxa"/>
            <w:tcBorders>
              <w:top w:val="nil"/>
              <w:left w:val="nil"/>
              <w:bottom w:val="nil"/>
              <w:right w:val="nil"/>
            </w:tcBorders>
            <w:shd w:val="clear" w:color="auto" w:fill="auto"/>
            <w:noWrap/>
            <w:vAlign w:val="center"/>
          </w:tcPr>
          <w:p w14:paraId="487CF568" w14:textId="77777777" w:rsidR="000A248D" w:rsidRPr="000A248D" w:rsidRDefault="000A248D" w:rsidP="00CD4720">
            <w:pPr>
              <w:spacing w:after="0"/>
            </w:pPr>
            <w:r w:rsidRPr="000A248D">
              <w:t>Compulsory Activity Phase</w:t>
            </w:r>
          </w:p>
        </w:tc>
      </w:tr>
      <w:tr w:rsidR="000A248D" w:rsidRPr="000A248D" w14:paraId="70AD736C"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3A84D29" w14:textId="77777777" w:rsidR="000A248D" w:rsidRPr="000A248D" w:rsidRDefault="000A248D" w:rsidP="00CD4720">
            <w:pPr>
              <w:spacing w:after="0"/>
            </w:pPr>
            <w:r w:rsidRPr="000A248D">
              <w:t>CCA</w:t>
            </w:r>
          </w:p>
        </w:tc>
        <w:tc>
          <w:tcPr>
            <w:tcW w:w="7354" w:type="dxa"/>
            <w:tcBorders>
              <w:top w:val="nil"/>
              <w:left w:val="nil"/>
              <w:bottom w:val="nil"/>
              <w:right w:val="nil"/>
            </w:tcBorders>
            <w:shd w:val="clear" w:color="auto" w:fill="auto"/>
            <w:noWrap/>
            <w:vAlign w:val="center"/>
          </w:tcPr>
          <w:p w14:paraId="0AA4D5DF" w14:textId="77777777" w:rsidR="000A248D" w:rsidRPr="000A248D" w:rsidRDefault="000A248D" w:rsidP="00CD4720">
            <w:pPr>
              <w:spacing w:after="0"/>
            </w:pPr>
            <w:r w:rsidRPr="000A248D">
              <w:t>Comprehensive Compliance Assessment</w:t>
            </w:r>
          </w:p>
        </w:tc>
      </w:tr>
      <w:tr w:rsidR="000A248D" w:rsidRPr="000A248D" w14:paraId="7235D04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931E4E7" w14:textId="77777777" w:rsidR="000A248D" w:rsidRPr="000A248D" w:rsidRDefault="000A248D" w:rsidP="00CD4720">
            <w:pPr>
              <w:spacing w:after="0"/>
            </w:pPr>
            <w:r w:rsidRPr="000A248D">
              <w:t>CDEP</w:t>
            </w:r>
          </w:p>
        </w:tc>
        <w:tc>
          <w:tcPr>
            <w:tcW w:w="7354" w:type="dxa"/>
            <w:tcBorders>
              <w:top w:val="nil"/>
              <w:left w:val="nil"/>
              <w:bottom w:val="nil"/>
              <w:right w:val="nil"/>
            </w:tcBorders>
            <w:shd w:val="clear" w:color="auto" w:fill="auto"/>
            <w:noWrap/>
            <w:vAlign w:val="center"/>
          </w:tcPr>
          <w:p w14:paraId="1A2756B3" w14:textId="77777777" w:rsidR="000A248D" w:rsidRPr="000A248D" w:rsidRDefault="000A248D" w:rsidP="00CD4720">
            <w:pPr>
              <w:spacing w:after="0"/>
            </w:pPr>
            <w:r w:rsidRPr="000A248D">
              <w:t>Community Development Employment Projects</w:t>
            </w:r>
          </w:p>
        </w:tc>
      </w:tr>
      <w:tr w:rsidR="007057C5" w:rsidRPr="000A248D" w14:paraId="1AE1E9D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583A63C" w14:textId="77777777" w:rsidR="007057C5" w:rsidRDefault="007057C5" w:rsidP="00CD4720">
            <w:pPr>
              <w:spacing w:after="0"/>
            </w:pPr>
            <w:r>
              <w:t>CDP</w:t>
            </w:r>
          </w:p>
        </w:tc>
        <w:tc>
          <w:tcPr>
            <w:tcW w:w="7354" w:type="dxa"/>
            <w:tcBorders>
              <w:top w:val="nil"/>
              <w:left w:val="nil"/>
              <w:bottom w:val="nil"/>
              <w:right w:val="nil"/>
            </w:tcBorders>
            <w:shd w:val="clear" w:color="auto" w:fill="auto"/>
            <w:noWrap/>
            <w:vAlign w:val="center"/>
          </w:tcPr>
          <w:p w14:paraId="768D0411" w14:textId="77777777" w:rsidR="007057C5" w:rsidRDefault="007057C5" w:rsidP="00CD4720">
            <w:pPr>
              <w:spacing w:after="0"/>
            </w:pPr>
            <w:r>
              <w:t>Community Development Programme</w:t>
            </w:r>
          </w:p>
        </w:tc>
      </w:tr>
      <w:tr w:rsidR="007116A5" w:rsidRPr="000A248D" w14:paraId="44A88C3E"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7D421FC" w14:textId="77777777" w:rsidR="007116A5" w:rsidRDefault="007116A5" w:rsidP="00CD4720">
            <w:pPr>
              <w:spacing w:after="0"/>
            </w:pPr>
            <w:r>
              <w:t>CEO</w:t>
            </w:r>
          </w:p>
        </w:tc>
        <w:tc>
          <w:tcPr>
            <w:tcW w:w="7354" w:type="dxa"/>
            <w:tcBorders>
              <w:top w:val="nil"/>
              <w:left w:val="nil"/>
              <w:bottom w:val="nil"/>
              <w:right w:val="nil"/>
            </w:tcBorders>
            <w:shd w:val="clear" w:color="auto" w:fill="auto"/>
            <w:noWrap/>
            <w:vAlign w:val="center"/>
          </w:tcPr>
          <w:p w14:paraId="5028B4AF" w14:textId="77777777" w:rsidR="007116A5" w:rsidRDefault="007116A5" w:rsidP="00CD4720">
            <w:pPr>
              <w:spacing w:after="0"/>
            </w:pPr>
            <w:r>
              <w:t>Chief Executive Officer</w:t>
            </w:r>
          </w:p>
        </w:tc>
      </w:tr>
      <w:tr w:rsidR="007116A5" w:rsidRPr="000A248D" w14:paraId="43FF790A"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1190B3B" w14:textId="77777777" w:rsidR="007116A5" w:rsidRPr="000A248D" w:rsidRDefault="007116A5" w:rsidP="00CD4720">
            <w:pPr>
              <w:spacing w:after="0"/>
            </w:pPr>
            <w:r>
              <w:t>CER</w:t>
            </w:r>
          </w:p>
        </w:tc>
        <w:tc>
          <w:tcPr>
            <w:tcW w:w="7354" w:type="dxa"/>
            <w:tcBorders>
              <w:top w:val="nil"/>
              <w:left w:val="nil"/>
              <w:bottom w:val="nil"/>
              <w:right w:val="nil"/>
            </w:tcBorders>
            <w:shd w:val="clear" w:color="auto" w:fill="auto"/>
            <w:noWrap/>
            <w:vAlign w:val="center"/>
          </w:tcPr>
          <w:p w14:paraId="08D08EB5" w14:textId="77777777" w:rsidR="007116A5" w:rsidRPr="000A248D" w:rsidRDefault="007116A5" w:rsidP="00CD4720">
            <w:pPr>
              <w:spacing w:after="0"/>
            </w:pPr>
            <w:r>
              <w:t xml:space="preserve">Cost </w:t>
            </w:r>
            <w:r w:rsidR="00BB3FAD">
              <w:t>e</w:t>
            </w:r>
            <w:r>
              <w:t>ffectiven</w:t>
            </w:r>
            <w:r w:rsidR="008B74F1">
              <w:t>e</w:t>
            </w:r>
            <w:r>
              <w:t xml:space="preserve">ss </w:t>
            </w:r>
            <w:r w:rsidR="00BB3FAD">
              <w:t>r</w:t>
            </w:r>
            <w:r>
              <w:t>atio</w:t>
            </w:r>
          </w:p>
        </w:tc>
      </w:tr>
      <w:tr w:rsidR="000A248D" w:rsidRPr="000A248D" w14:paraId="6BE77C89"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3AD352D1" w14:textId="77777777" w:rsidR="000A248D" w:rsidRPr="000A248D" w:rsidRDefault="000A248D" w:rsidP="00CD4720">
            <w:pPr>
              <w:spacing w:after="0"/>
            </w:pPr>
            <w:r w:rsidRPr="000A248D">
              <w:t>CFP</w:t>
            </w:r>
            <w:r w:rsidR="007116A5">
              <w:t>R</w:t>
            </w:r>
          </w:p>
        </w:tc>
        <w:tc>
          <w:tcPr>
            <w:tcW w:w="7354" w:type="dxa"/>
            <w:tcBorders>
              <w:top w:val="nil"/>
              <w:left w:val="nil"/>
              <w:bottom w:val="nil"/>
              <w:right w:val="nil"/>
            </w:tcBorders>
            <w:shd w:val="clear" w:color="auto" w:fill="auto"/>
            <w:noWrap/>
            <w:vAlign w:val="center"/>
          </w:tcPr>
          <w:p w14:paraId="581D0220" w14:textId="77777777" w:rsidR="000A248D" w:rsidRPr="000A248D" w:rsidRDefault="000A248D" w:rsidP="00CD4720">
            <w:pPr>
              <w:spacing w:after="0"/>
            </w:pPr>
            <w:r w:rsidRPr="000A248D">
              <w:t>Connection Failure Participation Report</w:t>
            </w:r>
          </w:p>
        </w:tc>
      </w:tr>
      <w:tr w:rsidR="007619CE" w:rsidRPr="000A248D" w14:paraId="770B5F56" w14:textId="77777777" w:rsidTr="007619CE">
        <w:trPr>
          <w:trHeight w:hRule="exact" w:val="340"/>
          <w:jc w:val="center"/>
        </w:trPr>
        <w:tc>
          <w:tcPr>
            <w:tcW w:w="1731" w:type="dxa"/>
            <w:tcBorders>
              <w:top w:val="nil"/>
              <w:left w:val="nil"/>
              <w:right w:val="nil"/>
            </w:tcBorders>
            <w:shd w:val="clear" w:color="auto" w:fill="auto"/>
            <w:noWrap/>
            <w:vAlign w:val="center"/>
          </w:tcPr>
          <w:p w14:paraId="2AA177BA" w14:textId="77777777" w:rsidR="007619CE" w:rsidRPr="000A248D" w:rsidRDefault="007619CE" w:rsidP="00CD4720">
            <w:pPr>
              <w:spacing w:after="0"/>
            </w:pPr>
            <w:r>
              <w:t>COAG</w:t>
            </w:r>
          </w:p>
        </w:tc>
        <w:tc>
          <w:tcPr>
            <w:tcW w:w="7354" w:type="dxa"/>
            <w:tcBorders>
              <w:top w:val="nil"/>
              <w:left w:val="nil"/>
              <w:right w:val="nil"/>
            </w:tcBorders>
            <w:shd w:val="clear" w:color="auto" w:fill="auto"/>
            <w:noWrap/>
            <w:vAlign w:val="center"/>
          </w:tcPr>
          <w:p w14:paraId="0F7ADA0A" w14:textId="77777777" w:rsidR="007619CE" w:rsidRPr="000A248D" w:rsidRDefault="007619CE" w:rsidP="00CD4720">
            <w:pPr>
              <w:spacing w:after="0"/>
            </w:pPr>
            <w:r>
              <w:t>Council of Australian Governments</w:t>
            </w:r>
          </w:p>
        </w:tc>
      </w:tr>
      <w:tr w:rsidR="000A248D" w:rsidRPr="000A248D" w14:paraId="3886D568" w14:textId="77777777" w:rsidTr="004673A3">
        <w:trPr>
          <w:trHeight w:hRule="exact" w:val="340"/>
          <w:jc w:val="center"/>
        </w:trPr>
        <w:tc>
          <w:tcPr>
            <w:tcW w:w="1731" w:type="dxa"/>
            <w:tcBorders>
              <w:top w:val="nil"/>
              <w:left w:val="nil"/>
              <w:right w:val="nil"/>
            </w:tcBorders>
            <w:shd w:val="clear" w:color="auto" w:fill="auto"/>
            <w:noWrap/>
            <w:vAlign w:val="center"/>
          </w:tcPr>
          <w:p w14:paraId="0A555ECE" w14:textId="77777777" w:rsidR="000A248D" w:rsidRPr="000A248D" w:rsidRDefault="000A248D" w:rsidP="00CD4720">
            <w:pPr>
              <w:spacing w:after="0"/>
            </w:pPr>
            <w:r w:rsidRPr="000A248D">
              <w:t>DEEWR</w:t>
            </w:r>
          </w:p>
        </w:tc>
        <w:tc>
          <w:tcPr>
            <w:tcW w:w="7354" w:type="dxa"/>
            <w:tcBorders>
              <w:top w:val="nil"/>
              <w:left w:val="nil"/>
              <w:right w:val="nil"/>
            </w:tcBorders>
            <w:shd w:val="clear" w:color="auto" w:fill="auto"/>
            <w:noWrap/>
            <w:vAlign w:val="center"/>
          </w:tcPr>
          <w:p w14:paraId="0822C25B" w14:textId="77777777" w:rsidR="000A248D" w:rsidRPr="000A248D" w:rsidRDefault="000A248D" w:rsidP="00CD4720">
            <w:pPr>
              <w:spacing w:after="0"/>
            </w:pPr>
            <w:r w:rsidRPr="000A248D">
              <w:t>Department of Education, Employment and Workplace Relations</w:t>
            </w:r>
          </w:p>
        </w:tc>
      </w:tr>
      <w:tr w:rsidR="000A248D" w:rsidRPr="000A248D" w14:paraId="6705B37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7B5C109" w14:textId="77777777" w:rsidR="000A248D" w:rsidRPr="000A248D" w:rsidRDefault="000A248D" w:rsidP="00CD4720">
            <w:pPr>
              <w:spacing w:after="0"/>
            </w:pPr>
            <w:r w:rsidRPr="000A248D">
              <w:t>DES</w:t>
            </w:r>
          </w:p>
        </w:tc>
        <w:tc>
          <w:tcPr>
            <w:tcW w:w="7354" w:type="dxa"/>
            <w:tcBorders>
              <w:top w:val="nil"/>
              <w:left w:val="nil"/>
              <w:bottom w:val="nil"/>
              <w:right w:val="nil"/>
            </w:tcBorders>
            <w:shd w:val="clear" w:color="auto" w:fill="auto"/>
            <w:noWrap/>
            <w:vAlign w:val="center"/>
          </w:tcPr>
          <w:p w14:paraId="02BB5056" w14:textId="77777777" w:rsidR="000A248D" w:rsidRPr="000A248D" w:rsidRDefault="000A248D" w:rsidP="00CD4720">
            <w:pPr>
              <w:spacing w:after="0"/>
            </w:pPr>
            <w:r w:rsidRPr="000A248D">
              <w:t>Disability Employment Services</w:t>
            </w:r>
          </w:p>
        </w:tc>
      </w:tr>
      <w:tr w:rsidR="000A248D" w:rsidRPr="000A248D" w14:paraId="0150F7F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0C25C88" w14:textId="77777777" w:rsidR="000A248D" w:rsidRPr="000A248D" w:rsidRDefault="000A248D" w:rsidP="00CD4720">
            <w:pPr>
              <w:spacing w:after="0"/>
            </w:pPr>
            <w:r w:rsidRPr="000A248D">
              <w:t>DHS</w:t>
            </w:r>
          </w:p>
        </w:tc>
        <w:tc>
          <w:tcPr>
            <w:tcW w:w="7354" w:type="dxa"/>
            <w:tcBorders>
              <w:top w:val="nil"/>
              <w:left w:val="nil"/>
              <w:bottom w:val="nil"/>
              <w:right w:val="nil"/>
            </w:tcBorders>
            <w:shd w:val="clear" w:color="auto" w:fill="auto"/>
            <w:noWrap/>
            <w:vAlign w:val="center"/>
          </w:tcPr>
          <w:p w14:paraId="1B64B3C3" w14:textId="77777777" w:rsidR="000A248D" w:rsidRPr="000A248D" w:rsidRDefault="000A248D" w:rsidP="00CD4720">
            <w:pPr>
              <w:spacing w:after="0"/>
            </w:pPr>
            <w:r w:rsidRPr="000A248D">
              <w:t>Department of Human Services</w:t>
            </w:r>
          </w:p>
        </w:tc>
      </w:tr>
      <w:tr w:rsidR="000A248D" w:rsidRPr="000A248D" w14:paraId="3F17BC41"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A457415" w14:textId="77777777" w:rsidR="000A248D" w:rsidRPr="000A248D" w:rsidRDefault="000A248D" w:rsidP="00CD4720">
            <w:pPr>
              <w:spacing w:after="0"/>
            </w:pPr>
            <w:r w:rsidRPr="000A248D">
              <w:t>DSP</w:t>
            </w:r>
          </w:p>
        </w:tc>
        <w:tc>
          <w:tcPr>
            <w:tcW w:w="7354" w:type="dxa"/>
            <w:tcBorders>
              <w:top w:val="nil"/>
              <w:left w:val="nil"/>
              <w:bottom w:val="nil"/>
              <w:right w:val="nil"/>
            </w:tcBorders>
            <w:shd w:val="clear" w:color="auto" w:fill="auto"/>
            <w:noWrap/>
            <w:vAlign w:val="center"/>
          </w:tcPr>
          <w:p w14:paraId="758309B1" w14:textId="77777777" w:rsidR="000A248D" w:rsidRPr="000A248D" w:rsidRDefault="000A248D" w:rsidP="00CD4720">
            <w:pPr>
              <w:spacing w:after="0"/>
            </w:pPr>
            <w:r w:rsidRPr="000A248D">
              <w:t>Disability Support Pension</w:t>
            </w:r>
          </w:p>
        </w:tc>
      </w:tr>
      <w:tr w:rsidR="007619CE" w:rsidRPr="000A248D" w14:paraId="47ED70CD"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0C9DEFE5" w14:textId="77777777" w:rsidR="007619CE" w:rsidRDefault="007619CE" w:rsidP="00CD4720">
            <w:pPr>
              <w:spacing w:after="0"/>
            </w:pPr>
            <w:r>
              <w:t>DSS</w:t>
            </w:r>
          </w:p>
        </w:tc>
        <w:tc>
          <w:tcPr>
            <w:tcW w:w="7354" w:type="dxa"/>
            <w:tcBorders>
              <w:top w:val="nil"/>
              <w:left w:val="nil"/>
              <w:bottom w:val="nil"/>
              <w:right w:val="nil"/>
            </w:tcBorders>
            <w:shd w:val="clear" w:color="auto" w:fill="auto"/>
            <w:noWrap/>
            <w:vAlign w:val="center"/>
          </w:tcPr>
          <w:p w14:paraId="2208D559" w14:textId="77777777" w:rsidR="007619CE" w:rsidRDefault="007619CE" w:rsidP="00CD4720">
            <w:pPr>
              <w:spacing w:after="0"/>
            </w:pPr>
            <w:r>
              <w:t>Department of Social Services</w:t>
            </w:r>
          </w:p>
        </w:tc>
      </w:tr>
      <w:tr w:rsidR="007116A5" w:rsidRPr="000A248D" w14:paraId="7DB819F0"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7B0D4E86" w14:textId="77777777" w:rsidR="007116A5" w:rsidRPr="000A248D" w:rsidRDefault="007116A5" w:rsidP="00CD4720">
            <w:pPr>
              <w:spacing w:after="0"/>
            </w:pPr>
            <w:r>
              <w:t>EMP</w:t>
            </w:r>
          </w:p>
        </w:tc>
        <w:tc>
          <w:tcPr>
            <w:tcW w:w="7354" w:type="dxa"/>
            <w:tcBorders>
              <w:top w:val="nil"/>
              <w:left w:val="nil"/>
              <w:bottom w:val="nil"/>
              <w:right w:val="nil"/>
            </w:tcBorders>
            <w:shd w:val="clear" w:color="auto" w:fill="auto"/>
            <w:noWrap/>
            <w:vAlign w:val="center"/>
          </w:tcPr>
          <w:p w14:paraId="488A53A7" w14:textId="77777777" w:rsidR="007116A5" w:rsidRPr="000A248D" w:rsidRDefault="007116A5" w:rsidP="00CD4720">
            <w:pPr>
              <w:spacing w:after="0"/>
            </w:pPr>
            <w:r>
              <w:t>Employment</w:t>
            </w:r>
          </w:p>
        </w:tc>
      </w:tr>
      <w:tr w:rsidR="000A248D" w:rsidRPr="000A248D" w14:paraId="041E0306"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AC7F816" w14:textId="77777777" w:rsidR="000A248D" w:rsidRPr="000A248D" w:rsidRDefault="000A248D" w:rsidP="00CD4720">
            <w:pPr>
              <w:spacing w:after="0"/>
            </w:pPr>
            <w:r w:rsidRPr="000A248D">
              <w:t>EPF</w:t>
            </w:r>
          </w:p>
        </w:tc>
        <w:tc>
          <w:tcPr>
            <w:tcW w:w="7354" w:type="dxa"/>
            <w:tcBorders>
              <w:top w:val="nil"/>
              <w:left w:val="nil"/>
              <w:bottom w:val="nil"/>
              <w:right w:val="nil"/>
            </w:tcBorders>
            <w:shd w:val="clear" w:color="auto" w:fill="auto"/>
            <w:noWrap/>
            <w:vAlign w:val="center"/>
          </w:tcPr>
          <w:p w14:paraId="04852D0D" w14:textId="77777777" w:rsidR="000A248D" w:rsidRPr="000A248D" w:rsidRDefault="000A248D" w:rsidP="00CD4720">
            <w:pPr>
              <w:spacing w:after="0"/>
            </w:pPr>
            <w:r w:rsidRPr="000A248D">
              <w:t>Employment Pathway Fund</w:t>
            </w:r>
          </w:p>
        </w:tc>
      </w:tr>
      <w:tr w:rsidR="000A248D" w:rsidRPr="000A248D" w14:paraId="3D6009F0"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0E66B29B" w14:textId="77777777" w:rsidR="000A248D" w:rsidRPr="000A248D" w:rsidRDefault="000A248D" w:rsidP="00CD4720">
            <w:pPr>
              <w:spacing w:after="0"/>
            </w:pPr>
            <w:r w:rsidRPr="000A248D">
              <w:t>EPP</w:t>
            </w:r>
          </w:p>
        </w:tc>
        <w:tc>
          <w:tcPr>
            <w:tcW w:w="7354" w:type="dxa"/>
            <w:tcBorders>
              <w:top w:val="nil"/>
              <w:left w:val="nil"/>
              <w:bottom w:val="nil"/>
              <w:right w:val="nil"/>
            </w:tcBorders>
            <w:shd w:val="clear" w:color="auto" w:fill="auto"/>
            <w:noWrap/>
            <w:vAlign w:val="center"/>
          </w:tcPr>
          <w:p w14:paraId="14DEAB58" w14:textId="77777777" w:rsidR="000A248D" w:rsidRPr="000A248D" w:rsidRDefault="000A248D" w:rsidP="00CD4720">
            <w:pPr>
              <w:spacing w:after="0"/>
            </w:pPr>
            <w:r w:rsidRPr="000A248D">
              <w:t>Employment Pathway Plan</w:t>
            </w:r>
          </w:p>
        </w:tc>
      </w:tr>
      <w:tr w:rsidR="000A248D" w:rsidRPr="000A248D" w14:paraId="30BBAC1B"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86A1428" w14:textId="77777777" w:rsidR="000A248D" w:rsidRPr="000A248D" w:rsidRDefault="000A248D" w:rsidP="00CD4720">
            <w:pPr>
              <w:spacing w:after="0"/>
            </w:pPr>
            <w:r w:rsidRPr="000A248D">
              <w:t>ESAt</w:t>
            </w:r>
          </w:p>
        </w:tc>
        <w:tc>
          <w:tcPr>
            <w:tcW w:w="7354" w:type="dxa"/>
            <w:tcBorders>
              <w:top w:val="nil"/>
              <w:left w:val="nil"/>
              <w:bottom w:val="nil"/>
              <w:right w:val="nil"/>
            </w:tcBorders>
            <w:shd w:val="clear" w:color="auto" w:fill="auto"/>
            <w:noWrap/>
            <w:vAlign w:val="center"/>
          </w:tcPr>
          <w:p w14:paraId="0893FF74" w14:textId="77777777" w:rsidR="000A248D" w:rsidRPr="000A248D" w:rsidRDefault="000A248D" w:rsidP="00CD4720">
            <w:pPr>
              <w:spacing w:after="0"/>
            </w:pPr>
            <w:r w:rsidRPr="000A248D">
              <w:t>Employment Services Assessment</w:t>
            </w:r>
          </w:p>
        </w:tc>
      </w:tr>
      <w:tr w:rsidR="007116A5" w:rsidRPr="000A248D" w14:paraId="5D84F4D3" w14:textId="77777777" w:rsidTr="004673A3">
        <w:trPr>
          <w:trHeight w:hRule="exact" w:val="340"/>
          <w:jc w:val="center"/>
        </w:trPr>
        <w:tc>
          <w:tcPr>
            <w:tcW w:w="1731" w:type="dxa"/>
            <w:tcBorders>
              <w:top w:val="nil"/>
              <w:left w:val="nil"/>
              <w:right w:val="nil"/>
            </w:tcBorders>
            <w:shd w:val="clear" w:color="auto" w:fill="auto"/>
            <w:noWrap/>
            <w:vAlign w:val="center"/>
          </w:tcPr>
          <w:p w14:paraId="2AC64CAB" w14:textId="77777777" w:rsidR="007116A5" w:rsidRPr="000A248D" w:rsidRDefault="007116A5" w:rsidP="00CD4720">
            <w:pPr>
              <w:spacing w:after="0"/>
            </w:pPr>
            <w:r>
              <w:t>ESL</w:t>
            </w:r>
          </w:p>
        </w:tc>
        <w:tc>
          <w:tcPr>
            <w:tcW w:w="7354" w:type="dxa"/>
            <w:tcBorders>
              <w:top w:val="nil"/>
              <w:left w:val="nil"/>
              <w:right w:val="nil"/>
            </w:tcBorders>
            <w:shd w:val="clear" w:color="auto" w:fill="auto"/>
            <w:noWrap/>
            <w:vAlign w:val="center"/>
          </w:tcPr>
          <w:p w14:paraId="14781331" w14:textId="35C27FE7" w:rsidR="007116A5" w:rsidRPr="000A248D" w:rsidRDefault="007116A5" w:rsidP="00CD4720">
            <w:pPr>
              <w:spacing w:after="0"/>
            </w:pPr>
            <w:r>
              <w:t>Early School Leaver</w:t>
            </w:r>
            <w:r w:rsidR="004740BE">
              <w:rPr>
                <w:rStyle w:val="FootnoteReference"/>
              </w:rPr>
              <w:footnoteReference w:id="2"/>
            </w:r>
          </w:p>
        </w:tc>
      </w:tr>
      <w:tr w:rsidR="007619CE" w:rsidRPr="000A248D" w14:paraId="7BB515E1" w14:textId="77777777" w:rsidTr="004673A3">
        <w:trPr>
          <w:trHeight w:hRule="exact" w:val="340"/>
          <w:jc w:val="center"/>
        </w:trPr>
        <w:tc>
          <w:tcPr>
            <w:tcW w:w="1731" w:type="dxa"/>
            <w:tcBorders>
              <w:top w:val="nil"/>
              <w:left w:val="nil"/>
              <w:right w:val="nil"/>
            </w:tcBorders>
            <w:shd w:val="clear" w:color="auto" w:fill="auto"/>
            <w:noWrap/>
            <w:vAlign w:val="center"/>
          </w:tcPr>
          <w:p w14:paraId="50B11B11" w14:textId="77777777" w:rsidR="007619CE" w:rsidRDefault="007619CE" w:rsidP="00CD4720">
            <w:pPr>
              <w:spacing w:after="0"/>
            </w:pPr>
            <w:r>
              <w:t>ESS</w:t>
            </w:r>
          </w:p>
        </w:tc>
        <w:tc>
          <w:tcPr>
            <w:tcW w:w="7354" w:type="dxa"/>
            <w:tcBorders>
              <w:top w:val="nil"/>
              <w:left w:val="nil"/>
              <w:right w:val="nil"/>
            </w:tcBorders>
            <w:shd w:val="clear" w:color="auto" w:fill="auto"/>
            <w:noWrap/>
            <w:vAlign w:val="center"/>
          </w:tcPr>
          <w:p w14:paraId="356841E7" w14:textId="77777777" w:rsidR="007619CE" w:rsidRDefault="007619CE" w:rsidP="00CD4720">
            <w:pPr>
              <w:spacing w:after="0"/>
            </w:pPr>
            <w:r>
              <w:t>Employment Services System</w:t>
            </w:r>
          </w:p>
        </w:tc>
      </w:tr>
      <w:tr w:rsidR="007116A5" w:rsidRPr="000A248D" w14:paraId="1E4FC661" w14:textId="77777777" w:rsidTr="004673A3">
        <w:trPr>
          <w:trHeight w:hRule="exact" w:val="340"/>
          <w:jc w:val="center"/>
        </w:trPr>
        <w:tc>
          <w:tcPr>
            <w:tcW w:w="1731" w:type="dxa"/>
            <w:tcBorders>
              <w:top w:val="nil"/>
              <w:left w:val="nil"/>
              <w:right w:val="nil"/>
            </w:tcBorders>
            <w:shd w:val="clear" w:color="auto" w:fill="auto"/>
            <w:noWrap/>
            <w:vAlign w:val="center"/>
          </w:tcPr>
          <w:p w14:paraId="6D154635" w14:textId="77777777" w:rsidR="007116A5" w:rsidRPr="000A248D" w:rsidRDefault="007116A5" w:rsidP="00CD4720">
            <w:pPr>
              <w:spacing w:after="0"/>
            </w:pPr>
            <w:r>
              <w:t>FT</w:t>
            </w:r>
          </w:p>
        </w:tc>
        <w:tc>
          <w:tcPr>
            <w:tcW w:w="7354" w:type="dxa"/>
            <w:tcBorders>
              <w:top w:val="nil"/>
              <w:left w:val="nil"/>
              <w:right w:val="nil"/>
            </w:tcBorders>
            <w:shd w:val="clear" w:color="auto" w:fill="auto"/>
            <w:noWrap/>
            <w:vAlign w:val="center"/>
          </w:tcPr>
          <w:p w14:paraId="643347A1" w14:textId="77777777" w:rsidR="007116A5" w:rsidRPr="000A248D" w:rsidRDefault="007116A5" w:rsidP="00CD4720">
            <w:pPr>
              <w:spacing w:after="0"/>
            </w:pPr>
            <w:r>
              <w:t>Full</w:t>
            </w:r>
            <w:r w:rsidR="00BB3FAD">
              <w:t>-t</w:t>
            </w:r>
            <w:r>
              <w:t>ime</w:t>
            </w:r>
          </w:p>
        </w:tc>
      </w:tr>
      <w:tr w:rsidR="000A248D" w:rsidRPr="000A248D" w14:paraId="024E1929" w14:textId="77777777" w:rsidTr="004673A3">
        <w:trPr>
          <w:trHeight w:hRule="exact" w:val="340"/>
          <w:jc w:val="center"/>
        </w:trPr>
        <w:tc>
          <w:tcPr>
            <w:tcW w:w="1731" w:type="dxa"/>
            <w:tcBorders>
              <w:top w:val="nil"/>
              <w:left w:val="nil"/>
              <w:right w:val="nil"/>
            </w:tcBorders>
            <w:shd w:val="clear" w:color="auto" w:fill="auto"/>
            <w:noWrap/>
            <w:vAlign w:val="center"/>
          </w:tcPr>
          <w:p w14:paraId="757A3760" w14:textId="77777777" w:rsidR="000A248D" w:rsidRPr="000A248D" w:rsidRDefault="000A248D" w:rsidP="00CD4720">
            <w:pPr>
              <w:spacing w:after="0"/>
            </w:pPr>
            <w:r w:rsidRPr="000A248D">
              <w:t>GFC</w:t>
            </w:r>
          </w:p>
        </w:tc>
        <w:tc>
          <w:tcPr>
            <w:tcW w:w="7354" w:type="dxa"/>
            <w:tcBorders>
              <w:top w:val="nil"/>
              <w:left w:val="nil"/>
              <w:right w:val="nil"/>
            </w:tcBorders>
            <w:shd w:val="clear" w:color="auto" w:fill="auto"/>
            <w:noWrap/>
            <w:vAlign w:val="center"/>
          </w:tcPr>
          <w:p w14:paraId="6CAB4A4B" w14:textId="77777777" w:rsidR="000A248D" w:rsidRPr="000A248D" w:rsidRDefault="000A248D" w:rsidP="00CD4720">
            <w:pPr>
              <w:spacing w:after="0"/>
            </w:pPr>
            <w:r w:rsidRPr="000A248D">
              <w:t>Global Financial Crisis</w:t>
            </w:r>
          </w:p>
        </w:tc>
      </w:tr>
      <w:tr w:rsidR="007619CE" w:rsidRPr="000A248D" w14:paraId="134AE0B4" w14:textId="77777777" w:rsidTr="004673A3">
        <w:trPr>
          <w:trHeight w:hRule="exact" w:val="340"/>
          <w:jc w:val="center"/>
        </w:trPr>
        <w:tc>
          <w:tcPr>
            <w:tcW w:w="1731" w:type="dxa"/>
            <w:tcBorders>
              <w:left w:val="nil"/>
              <w:bottom w:val="nil"/>
              <w:right w:val="nil"/>
            </w:tcBorders>
            <w:shd w:val="clear" w:color="auto" w:fill="auto"/>
            <w:noWrap/>
            <w:vAlign w:val="center"/>
          </w:tcPr>
          <w:p w14:paraId="0927DB64" w14:textId="77777777" w:rsidR="007619CE" w:rsidRDefault="007619CE" w:rsidP="00CD4720">
            <w:pPr>
              <w:spacing w:after="0"/>
            </w:pPr>
            <w:r>
              <w:t>IMP</w:t>
            </w:r>
          </w:p>
        </w:tc>
        <w:tc>
          <w:tcPr>
            <w:tcW w:w="7354" w:type="dxa"/>
            <w:tcBorders>
              <w:left w:val="nil"/>
              <w:bottom w:val="nil"/>
              <w:right w:val="nil"/>
            </w:tcBorders>
            <w:shd w:val="clear" w:color="auto" w:fill="auto"/>
            <w:noWrap/>
            <w:vAlign w:val="center"/>
          </w:tcPr>
          <w:p w14:paraId="59184639" w14:textId="77777777" w:rsidR="007619CE" w:rsidRDefault="007619CE" w:rsidP="00CD4720">
            <w:pPr>
              <w:spacing w:after="0"/>
            </w:pPr>
            <w:r>
              <w:t>Indigenous Mentoring Pilot</w:t>
            </w:r>
          </w:p>
        </w:tc>
      </w:tr>
      <w:tr w:rsidR="007619CE" w:rsidRPr="000A248D" w14:paraId="3A17FCEC" w14:textId="77777777" w:rsidTr="004673A3">
        <w:trPr>
          <w:trHeight w:hRule="exact" w:val="340"/>
          <w:jc w:val="center"/>
        </w:trPr>
        <w:tc>
          <w:tcPr>
            <w:tcW w:w="1731" w:type="dxa"/>
            <w:tcBorders>
              <w:left w:val="nil"/>
              <w:bottom w:val="nil"/>
              <w:right w:val="nil"/>
            </w:tcBorders>
            <w:shd w:val="clear" w:color="auto" w:fill="auto"/>
            <w:noWrap/>
            <w:vAlign w:val="center"/>
          </w:tcPr>
          <w:p w14:paraId="3A9B0214" w14:textId="77777777" w:rsidR="007619CE" w:rsidRDefault="007619CE" w:rsidP="00CD4720">
            <w:pPr>
              <w:spacing w:after="0"/>
            </w:pPr>
            <w:r>
              <w:t>IOP</w:t>
            </w:r>
          </w:p>
        </w:tc>
        <w:tc>
          <w:tcPr>
            <w:tcW w:w="7354" w:type="dxa"/>
            <w:tcBorders>
              <w:left w:val="nil"/>
              <w:bottom w:val="nil"/>
              <w:right w:val="nil"/>
            </w:tcBorders>
            <w:shd w:val="clear" w:color="auto" w:fill="auto"/>
            <w:noWrap/>
            <w:vAlign w:val="center"/>
          </w:tcPr>
          <w:p w14:paraId="67AB84F1" w14:textId="77777777" w:rsidR="007619CE" w:rsidRDefault="007619CE" w:rsidP="007619CE">
            <w:pPr>
              <w:spacing w:after="0"/>
            </w:pPr>
            <w:r>
              <w:t>Indigenous Opportunity Policy</w:t>
            </w:r>
          </w:p>
        </w:tc>
      </w:tr>
      <w:tr w:rsidR="007619CE" w:rsidRPr="000A248D" w14:paraId="5FB84400" w14:textId="77777777" w:rsidTr="007619CE">
        <w:trPr>
          <w:trHeight w:hRule="exact" w:val="340"/>
          <w:jc w:val="center"/>
        </w:trPr>
        <w:tc>
          <w:tcPr>
            <w:tcW w:w="1731" w:type="dxa"/>
            <w:tcBorders>
              <w:left w:val="nil"/>
              <w:bottom w:val="nil"/>
              <w:right w:val="nil"/>
            </w:tcBorders>
            <w:shd w:val="clear" w:color="auto" w:fill="auto"/>
            <w:noWrap/>
            <w:vAlign w:val="center"/>
          </w:tcPr>
          <w:p w14:paraId="454ECEBD" w14:textId="77777777" w:rsidR="007619CE" w:rsidRDefault="007619CE" w:rsidP="00CD4720">
            <w:pPr>
              <w:spacing w:after="0"/>
            </w:pPr>
            <w:r>
              <w:t>IPP</w:t>
            </w:r>
          </w:p>
        </w:tc>
        <w:tc>
          <w:tcPr>
            <w:tcW w:w="7354" w:type="dxa"/>
            <w:tcBorders>
              <w:left w:val="nil"/>
              <w:bottom w:val="nil"/>
              <w:right w:val="nil"/>
            </w:tcBorders>
            <w:shd w:val="clear" w:color="auto" w:fill="auto"/>
            <w:noWrap/>
            <w:vAlign w:val="center"/>
          </w:tcPr>
          <w:p w14:paraId="7B5DFCCD" w14:textId="77777777" w:rsidR="007619CE" w:rsidRDefault="007619CE" w:rsidP="00CD4720">
            <w:pPr>
              <w:spacing w:after="0"/>
            </w:pPr>
            <w:r>
              <w:t>Indigenous Procurement Policy</w:t>
            </w:r>
          </w:p>
        </w:tc>
      </w:tr>
      <w:tr w:rsidR="007116A5" w:rsidRPr="000A248D" w14:paraId="1FE2BCF0" w14:textId="77777777" w:rsidTr="004673A3">
        <w:trPr>
          <w:trHeight w:hRule="exact" w:val="340"/>
          <w:jc w:val="center"/>
        </w:trPr>
        <w:tc>
          <w:tcPr>
            <w:tcW w:w="1731" w:type="dxa"/>
            <w:tcBorders>
              <w:left w:val="nil"/>
              <w:bottom w:val="nil"/>
              <w:right w:val="nil"/>
            </w:tcBorders>
            <w:shd w:val="clear" w:color="auto" w:fill="auto"/>
            <w:noWrap/>
            <w:vAlign w:val="center"/>
          </w:tcPr>
          <w:p w14:paraId="3B1593D5" w14:textId="77777777" w:rsidR="007116A5" w:rsidRPr="000A248D" w:rsidRDefault="007116A5" w:rsidP="00CD4720">
            <w:pPr>
              <w:spacing w:after="0"/>
            </w:pPr>
            <w:r>
              <w:t>ISO</w:t>
            </w:r>
          </w:p>
        </w:tc>
        <w:tc>
          <w:tcPr>
            <w:tcW w:w="7354" w:type="dxa"/>
            <w:tcBorders>
              <w:left w:val="nil"/>
              <w:bottom w:val="nil"/>
              <w:right w:val="nil"/>
            </w:tcBorders>
            <w:shd w:val="clear" w:color="auto" w:fill="auto"/>
            <w:noWrap/>
            <w:vAlign w:val="center"/>
          </w:tcPr>
          <w:p w14:paraId="45D5386E" w14:textId="77777777" w:rsidR="007116A5" w:rsidRPr="000A248D" w:rsidRDefault="007116A5" w:rsidP="00CD4720">
            <w:pPr>
              <w:spacing w:after="0"/>
            </w:pPr>
            <w:r>
              <w:t xml:space="preserve">International Organization for Standardization </w:t>
            </w:r>
          </w:p>
        </w:tc>
      </w:tr>
      <w:tr w:rsidR="000A248D" w:rsidRPr="000A248D" w14:paraId="03911191" w14:textId="77777777" w:rsidTr="004673A3">
        <w:trPr>
          <w:trHeight w:hRule="exact" w:val="340"/>
          <w:jc w:val="center"/>
        </w:trPr>
        <w:tc>
          <w:tcPr>
            <w:tcW w:w="1731" w:type="dxa"/>
            <w:tcBorders>
              <w:left w:val="nil"/>
              <w:bottom w:val="nil"/>
              <w:right w:val="nil"/>
            </w:tcBorders>
            <w:shd w:val="clear" w:color="auto" w:fill="auto"/>
            <w:noWrap/>
            <w:vAlign w:val="center"/>
          </w:tcPr>
          <w:p w14:paraId="58770905" w14:textId="77777777" w:rsidR="000A248D" w:rsidRPr="000A248D" w:rsidRDefault="000A248D" w:rsidP="00CD4720">
            <w:pPr>
              <w:spacing w:after="0"/>
            </w:pPr>
            <w:r w:rsidRPr="000A248D">
              <w:t>JCA</w:t>
            </w:r>
          </w:p>
        </w:tc>
        <w:tc>
          <w:tcPr>
            <w:tcW w:w="7354" w:type="dxa"/>
            <w:tcBorders>
              <w:left w:val="nil"/>
              <w:bottom w:val="nil"/>
              <w:right w:val="nil"/>
            </w:tcBorders>
            <w:shd w:val="clear" w:color="auto" w:fill="auto"/>
            <w:noWrap/>
            <w:vAlign w:val="center"/>
          </w:tcPr>
          <w:p w14:paraId="69A1E9BE" w14:textId="77777777" w:rsidR="000A248D" w:rsidRPr="000A248D" w:rsidRDefault="000A248D" w:rsidP="00CD4720">
            <w:pPr>
              <w:spacing w:after="0"/>
            </w:pPr>
            <w:r w:rsidRPr="000A248D">
              <w:t>Job Capacity Assessment</w:t>
            </w:r>
          </w:p>
        </w:tc>
      </w:tr>
      <w:tr w:rsidR="007619CE" w:rsidRPr="000A248D" w14:paraId="3C0D307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F5B9E98" w14:textId="77777777" w:rsidR="007619CE" w:rsidRPr="000A248D" w:rsidRDefault="007619CE" w:rsidP="00CD4720">
            <w:pPr>
              <w:spacing w:after="0"/>
            </w:pPr>
            <w:r>
              <w:t>JN</w:t>
            </w:r>
          </w:p>
        </w:tc>
        <w:tc>
          <w:tcPr>
            <w:tcW w:w="7354" w:type="dxa"/>
            <w:tcBorders>
              <w:top w:val="nil"/>
              <w:left w:val="nil"/>
              <w:bottom w:val="nil"/>
              <w:right w:val="nil"/>
            </w:tcBorders>
            <w:shd w:val="clear" w:color="auto" w:fill="auto"/>
            <w:noWrap/>
            <w:vAlign w:val="center"/>
          </w:tcPr>
          <w:p w14:paraId="28E032E4" w14:textId="77777777" w:rsidR="007619CE" w:rsidRPr="000A248D" w:rsidRDefault="007619CE" w:rsidP="00CD4720">
            <w:pPr>
              <w:spacing w:after="0"/>
            </w:pPr>
            <w:r>
              <w:t>Job Network</w:t>
            </w:r>
          </w:p>
        </w:tc>
      </w:tr>
      <w:tr w:rsidR="000A248D" w:rsidRPr="000A248D" w14:paraId="18FD41CF"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10924B0" w14:textId="77777777" w:rsidR="000A248D" w:rsidRPr="000A248D" w:rsidRDefault="000A248D" w:rsidP="00CD4720">
            <w:pPr>
              <w:spacing w:after="0"/>
            </w:pPr>
            <w:r w:rsidRPr="000A248D">
              <w:t>JSA</w:t>
            </w:r>
          </w:p>
        </w:tc>
        <w:tc>
          <w:tcPr>
            <w:tcW w:w="7354" w:type="dxa"/>
            <w:tcBorders>
              <w:top w:val="nil"/>
              <w:left w:val="nil"/>
              <w:bottom w:val="nil"/>
              <w:right w:val="nil"/>
            </w:tcBorders>
            <w:shd w:val="clear" w:color="auto" w:fill="auto"/>
            <w:noWrap/>
            <w:vAlign w:val="center"/>
          </w:tcPr>
          <w:p w14:paraId="36D15D83" w14:textId="77777777" w:rsidR="000A248D" w:rsidRPr="000A248D" w:rsidRDefault="000A248D" w:rsidP="00CD4720">
            <w:pPr>
              <w:spacing w:after="0"/>
            </w:pPr>
            <w:r w:rsidRPr="000A248D">
              <w:t>Job Services Australia</w:t>
            </w:r>
          </w:p>
        </w:tc>
      </w:tr>
      <w:tr w:rsidR="007116A5" w:rsidRPr="000A248D" w14:paraId="4BD08AA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6D26629" w14:textId="77777777" w:rsidR="007116A5" w:rsidRDefault="007116A5" w:rsidP="00CD4720">
            <w:pPr>
              <w:spacing w:after="0"/>
            </w:pPr>
            <w:r>
              <w:t>JSA 2009</w:t>
            </w:r>
          </w:p>
        </w:tc>
        <w:tc>
          <w:tcPr>
            <w:tcW w:w="7354" w:type="dxa"/>
            <w:tcBorders>
              <w:top w:val="nil"/>
              <w:left w:val="nil"/>
              <w:bottom w:val="nil"/>
              <w:right w:val="nil"/>
            </w:tcBorders>
            <w:shd w:val="clear" w:color="auto" w:fill="auto"/>
            <w:noWrap/>
            <w:vAlign w:val="center"/>
          </w:tcPr>
          <w:p w14:paraId="10A60312" w14:textId="77777777" w:rsidR="007116A5" w:rsidRDefault="007116A5" w:rsidP="00CD4720">
            <w:pPr>
              <w:spacing w:after="0"/>
            </w:pPr>
            <w:r>
              <w:t>JSA contract period from 1 July 2009 to 30 June 2012</w:t>
            </w:r>
          </w:p>
        </w:tc>
      </w:tr>
      <w:tr w:rsidR="007116A5" w:rsidRPr="000A248D" w14:paraId="4577D195"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A63FC97" w14:textId="77777777" w:rsidR="007116A5" w:rsidRPr="000A248D" w:rsidRDefault="007116A5" w:rsidP="00CD4720">
            <w:pPr>
              <w:spacing w:after="0"/>
            </w:pPr>
            <w:r>
              <w:t>JSA 2012</w:t>
            </w:r>
          </w:p>
        </w:tc>
        <w:tc>
          <w:tcPr>
            <w:tcW w:w="7354" w:type="dxa"/>
            <w:tcBorders>
              <w:top w:val="nil"/>
              <w:left w:val="nil"/>
              <w:bottom w:val="nil"/>
              <w:right w:val="nil"/>
            </w:tcBorders>
            <w:shd w:val="clear" w:color="auto" w:fill="auto"/>
            <w:noWrap/>
            <w:vAlign w:val="center"/>
          </w:tcPr>
          <w:p w14:paraId="08DDF11E" w14:textId="77777777" w:rsidR="007116A5" w:rsidRPr="000A248D" w:rsidRDefault="007116A5" w:rsidP="00CD4720">
            <w:pPr>
              <w:spacing w:after="0"/>
            </w:pPr>
            <w:r>
              <w:t>JSA contract period from 1 July 2012 to 30 June 2015</w:t>
            </w:r>
          </w:p>
        </w:tc>
      </w:tr>
      <w:tr w:rsidR="000A248D" w:rsidRPr="000A248D" w14:paraId="1C9719C0"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0B0181F" w14:textId="77777777" w:rsidR="000A248D" w:rsidRPr="000A248D" w:rsidRDefault="000A248D" w:rsidP="00CD4720">
            <w:pPr>
              <w:spacing w:after="0"/>
            </w:pPr>
            <w:r w:rsidRPr="000A248D">
              <w:t>JSCI</w:t>
            </w:r>
          </w:p>
        </w:tc>
        <w:tc>
          <w:tcPr>
            <w:tcW w:w="7354" w:type="dxa"/>
            <w:tcBorders>
              <w:top w:val="nil"/>
              <w:left w:val="nil"/>
              <w:bottom w:val="nil"/>
              <w:right w:val="nil"/>
            </w:tcBorders>
            <w:shd w:val="clear" w:color="auto" w:fill="auto"/>
            <w:noWrap/>
            <w:vAlign w:val="center"/>
          </w:tcPr>
          <w:p w14:paraId="1E9A32AF" w14:textId="77777777" w:rsidR="000A248D" w:rsidRPr="000A248D" w:rsidRDefault="000A248D" w:rsidP="00CD4720">
            <w:pPr>
              <w:spacing w:after="0"/>
            </w:pPr>
            <w:r w:rsidRPr="000A248D">
              <w:t>Job Seeker Classification Instrument</w:t>
            </w:r>
          </w:p>
        </w:tc>
      </w:tr>
      <w:tr w:rsidR="007116A5" w:rsidRPr="000A248D" w14:paraId="01951E3C"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BC39ABD" w14:textId="77777777" w:rsidR="007116A5" w:rsidRPr="000A248D" w:rsidRDefault="007116A5" w:rsidP="00CD4720">
            <w:pPr>
              <w:spacing w:after="0"/>
            </w:pPr>
            <w:r>
              <w:t>KPI</w:t>
            </w:r>
          </w:p>
        </w:tc>
        <w:tc>
          <w:tcPr>
            <w:tcW w:w="7354" w:type="dxa"/>
            <w:tcBorders>
              <w:top w:val="nil"/>
              <w:left w:val="nil"/>
              <w:bottom w:val="nil"/>
              <w:right w:val="nil"/>
            </w:tcBorders>
            <w:shd w:val="clear" w:color="auto" w:fill="auto"/>
            <w:noWrap/>
            <w:vAlign w:val="center"/>
          </w:tcPr>
          <w:p w14:paraId="4A142325" w14:textId="77777777" w:rsidR="007116A5" w:rsidRPr="000A248D" w:rsidRDefault="007116A5" w:rsidP="00CD4720">
            <w:pPr>
              <w:spacing w:after="0"/>
            </w:pPr>
            <w:r>
              <w:t xml:space="preserve">Key </w:t>
            </w:r>
            <w:r w:rsidR="008B74F1">
              <w:t>P</w:t>
            </w:r>
            <w:r>
              <w:t xml:space="preserve">erformance </w:t>
            </w:r>
            <w:r w:rsidR="008B74F1">
              <w:t>I</w:t>
            </w:r>
            <w:r>
              <w:t>ndicator</w:t>
            </w:r>
          </w:p>
        </w:tc>
      </w:tr>
      <w:tr w:rsidR="000A248D" w:rsidRPr="000A248D" w14:paraId="614739BE"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50B58477" w14:textId="77777777" w:rsidR="000A248D" w:rsidRPr="000A248D" w:rsidRDefault="000A248D" w:rsidP="00CD4720">
            <w:pPr>
              <w:spacing w:after="0"/>
            </w:pPr>
            <w:r w:rsidRPr="000A248D">
              <w:t>LTU</w:t>
            </w:r>
          </w:p>
        </w:tc>
        <w:tc>
          <w:tcPr>
            <w:tcW w:w="7354" w:type="dxa"/>
            <w:tcBorders>
              <w:top w:val="nil"/>
              <w:left w:val="nil"/>
              <w:bottom w:val="nil"/>
              <w:right w:val="nil"/>
            </w:tcBorders>
            <w:shd w:val="clear" w:color="auto" w:fill="auto"/>
            <w:noWrap/>
            <w:vAlign w:val="center"/>
          </w:tcPr>
          <w:p w14:paraId="5EA7AA90" w14:textId="77777777" w:rsidR="000A248D" w:rsidRPr="000A248D" w:rsidRDefault="000A248D" w:rsidP="00CD4720">
            <w:pPr>
              <w:spacing w:after="0"/>
            </w:pPr>
            <w:r w:rsidRPr="000A248D">
              <w:t xml:space="preserve">Long-term </w:t>
            </w:r>
            <w:r w:rsidR="00BB3FAD">
              <w:t>u</w:t>
            </w:r>
            <w:r w:rsidRPr="000A248D">
              <w:t>nemployed</w:t>
            </w:r>
          </w:p>
        </w:tc>
      </w:tr>
      <w:tr w:rsidR="000A248D" w:rsidRPr="000A248D" w14:paraId="047CBE52"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047F094A" w14:textId="77777777" w:rsidR="000A248D" w:rsidRPr="000A248D" w:rsidRDefault="000A248D" w:rsidP="00CD4720">
            <w:pPr>
              <w:spacing w:after="0"/>
            </w:pPr>
            <w:r w:rsidRPr="000A248D">
              <w:t>NAR</w:t>
            </w:r>
          </w:p>
        </w:tc>
        <w:tc>
          <w:tcPr>
            <w:tcW w:w="7354" w:type="dxa"/>
            <w:tcBorders>
              <w:top w:val="nil"/>
              <w:left w:val="nil"/>
              <w:bottom w:val="nil"/>
              <w:right w:val="nil"/>
            </w:tcBorders>
            <w:shd w:val="clear" w:color="auto" w:fill="auto"/>
            <w:noWrap/>
            <w:vAlign w:val="center"/>
          </w:tcPr>
          <w:p w14:paraId="18941881" w14:textId="77777777" w:rsidR="000A248D" w:rsidRPr="000A248D" w:rsidRDefault="000A248D" w:rsidP="00CD4720">
            <w:pPr>
              <w:spacing w:after="0"/>
            </w:pPr>
            <w:r w:rsidRPr="000A248D">
              <w:t>Non-Attendance Report</w:t>
            </w:r>
          </w:p>
        </w:tc>
      </w:tr>
      <w:tr w:rsidR="007116A5" w:rsidRPr="000A248D" w14:paraId="25897FD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09DFEC5" w14:textId="77777777" w:rsidR="007116A5" w:rsidRPr="000A248D" w:rsidRDefault="007116A5" w:rsidP="00CD4720">
            <w:pPr>
              <w:spacing w:after="0"/>
            </w:pPr>
            <w:r>
              <w:t>NEIS</w:t>
            </w:r>
          </w:p>
        </w:tc>
        <w:tc>
          <w:tcPr>
            <w:tcW w:w="7354" w:type="dxa"/>
            <w:tcBorders>
              <w:top w:val="nil"/>
              <w:left w:val="nil"/>
              <w:bottom w:val="nil"/>
              <w:right w:val="nil"/>
            </w:tcBorders>
            <w:shd w:val="clear" w:color="auto" w:fill="auto"/>
            <w:noWrap/>
            <w:vAlign w:val="center"/>
          </w:tcPr>
          <w:p w14:paraId="0843A123" w14:textId="77777777" w:rsidR="007116A5" w:rsidRPr="000A248D" w:rsidRDefault="007116A5" w:rsidP="00CD4720">
            <w:pPr>
              <w:spacing w:after="0"/>
            </w:pPr>
            <w:r>
              <w:t>New Enterprise Incentive Scheme</w:t>
            </w:r>
          </w:p>
        </w:tc>
      </w:tr>
      <w:tr w:rsidR="000A248D" w:rsidRPr="000A248D" w14:paraId="3E4B3C92"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6F99FC4" w14:textId="77777777" w:rsidR="000A248D" w:rsidRPr="000A248D" w:rsidRDefault="000A248D" w:rsidP="00CD4720">
            <w:pPr>
              <w:spacing w:after="0"/>
            </w:pPr>
            <w:r w:rsidRPr="000A248D">
              <w:t>NSA</w:t>
            </w:r>
          </w:p>
        </w:tc>
        <w:tc>
          <w:tcPr>
            <w:tcW w:w="7354" w:type="dxa"/>
            <w:tcBorders>
              <w:top w:val="nil"/>
              <w:left w:val="nil"/>
              <w:bottom w:val="nil"/>
              <w:right w:val="nil"/>
            </w:tcBorders>
            <w:shd w:val="clear" w:color="auto" w:fill="auto"/>
            <w:noWrap/>
            <w:vAlign w:val="center"/>
          </w:tcPr>
          <w:p w14:paraId="5172DB13" w14:textId="77777777" w:rsidR="000A248D" w:rsidRPr="000A248D" w:rsidRDefault="008B74F1" w:rsidP="00CD4720">
            <w:pPr>
              <w:spacing w:after="0"/>
            </w:pPr>
            <w:r w:rsidRPr="000A248D">
              <w:t>New</w:t>
            </w:r>
            <w:r>
              <w:t>s</w:t>
            </w:r>
            <w:r w:rsidRPr="000A248D">
              <w:t xml:space="preserve">tart </w:t>
            </w:r>
            <w:r w:rsidR="000A248D" w:rsidRPr="000A248D">
              <w:t>Allowance</w:t>
            </w:r>
          </w:p>
        </w:tc>
      </w:tr>
      <w:tr w:rsidR="00024076" w:rsidRPr="000A248D" w14:paraId="0D0A5653"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75F909E" w14:textId="77777777" w:rsidR="00024076" w:rsidRDefault="00024076" w:rsidP="00CD4720">
            <w:pPr>
              <w:spacing w:after="0"/>
            </w:pPr>
            <w:r>
              <w:t>OBPR</w:t>
            </w:r>
          </w:p>
        </w:tc>
        <w:tc>
          <w:tcPr>
            <w:tcW w:w="7354" w:type="dxa"/>
            <w:tcBorders>
              <w:top w:val="nil"/>
              <w:left w:val="nil"/>
              <w:bottom w:val="nil"/>
              <w:right w:val="nil"/>
            </w:tcBorders>
            <w:shd w:val="clear" w:color="auto" w:fill="auto"/>
            <w:noWrap/>
            <w:vAlign w:val="center"/>
          </w:tcPr>
          <w:p w14:paraId="583BE699" w14:textId="77777777" w:rsidR="00024076" w:rsidRDefault="00024076" w:rsidP="00CD4720">
            <w:pPr>
              <w:spacing w:after="0"/>
            </w:pPr>
            <w:r>
              <w:t>Office of Best Practice Regulation</w:t>
            </w:r>
          </w:p>
        </w:tc>
      </w:tr>
      <w:tr w:rsidR="00456F75" w:rsidRPr="000A248D" w14:paraId="49B5092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09E605A" w14:textId="77777777" w:rsidR="00456F75" w:rsidRPr="000A248D" w:rsidRDefault="00456F75" w:rsidP="00CD4720">
            <w:pPr>
              <w:spacing w:after="0"/>
            </w:pPr>
            <w:r>
              <w:t>OECD</w:t>
            </w:r>
          </w:p>
        </w:tc>
        <w:tc>
          <w:tcPr>
            <w:tcW w:w="7354" w:type="dxa"/>
            <w:tcBorders>
              <w:top w:val="nil"/>
              <w:left w:val="nil"/>
              <w:bottom w:val="nil"/>
              <w:right w:val="nil"/>
            </w:tcBorders>
            <w:shd w:val="clear" w:color="auto" w:fill="auto"/>
            <w:noWrap/>
            <w:vAlign w:val="center"/>
          </w:tcPr>
          <w:p w14:paraId="36E3515C" w14:textId="77777777" w:rsidR="00456F75" w:rsidRPr="000A248D" w:rsidRDefault="00456F75" w:rsidP="00CD4720">
            <w:pPr>
              <w:spacing w:after="0"/>
            </w:pPr>
            <w:r>
              <w:t>Organisation for Economic Cooperation and Development</w:t>
            </w:r>
          </w:p>
        </w:tc>
      </w:tr>
      <w:tr w:rsidR="007619CE" w:rsidRPr="000A248D" w14:paraId="0D5221A6" w14:textId="77777777" w:rsidTr="007619CE">
        <w:trPr>
          <w:trHeight w:hRule="exact" w:val="340"/>
          <w:jc w:val="center"/>
        </w:trPr>
        <w:tc>
          <w:tcPr>
            <w:tcW w:w="1731" w:type="dxa"/>
            <w:tcBorders>
              <w:top w:val="nil"/>
              <w:left w:val="nil"/>
              <w:bottom w:val="nil"/>
              <w:right w:val="nil"/>
            </w:tcBorders>
            <w:shd w:val="clear" w:color="auto" w:fill="auto"/>
            <w:noWrap/>
            <w:vAlign w:val="center"/>
          </w:tcPr>
          <w:p w14:paraId="412C984C" w14:textId="77777777" w:rsidR="007619CE" w:rsidRPr="000A248D" w:rsidRDefault="007619CE" w:rsidP="00CD4720">
            <w:pPr>
              <w:spacing w:after="0"/>
            </w:pPr>
            <w:r>
              <w:t>PM&amp;C</w:t>
            </w:r>
          </w:p>
        </w:tc>
        <w:tc>
          <w:tcPr>
            <w:tcW w:w="7354" w:type="dxa"/>
            <w:tcBorders>
              <w:top w:val="nil"/>
              <w:left w:val="nil"/>
              <w:bottom w:val="nil"/>
              <w:right w:val="nil"/>
            </w:tcBorders>
            <w:shd w:val="clear" w:color="auto" w:fill="auto"/>
            <w:noWrap/>
            <w:vAlign w:val="center"/>
          </w:tcPr>
          <w:p w14:paraId="66DB7CDD" w14:textId="77777777" w:rsidR="007619CE" w:rsidRPr="000A248D" w:rsidRDefault="007619CE" w:rsidP="00CD4720">
            <w:pPr>
              <w:spacing w:after="0"/>
            </w:pPr>
            <w:r>
              <w:t>Department of Prime Minister and Cabinet</w:t>
            </w:r>
          </w:p>
        </w:tc>
      </w:tr>
      <w:tr w:rsidR="007619CE" w:rsidRPr="000A248D" w14:paraId="25D3C01E" w14:textId="77777777" w:rsidTr="007619CE">
        <w:trPr>
          <w:trHeight w:hRule="exact" w:val="340"/>
          <w:jc w:val="center"/>
        </w:trPr>
        <w:tc>
          <w:tcPr>
            <w:tcW w:w="1731" w:type="dxa"/>
            <w:tcBorders>
              <w:top w:val="nil"/>
              <w:left w:val="nil"/>
              <w:bottom w:val="nil"/>
              <w:right w:val="nil"/>
            </w:tcBorders>
            <w:shd w:val="clear" w:color="auto" w:fill="auto"/>
            <w:noWrap/>
            <w:vAlign w:val="center"/>
          </w:tcPr>
          <w:p w14:paraId="22E19E58" w14:textId="77777777" w:rsidR="007619CE" w:rsidRPr="000A248D" w:rsidRDefault="007619CE" w:rsidP="00CD4720">
            <w:pPr>
              <w:spacing w:after="0"/>
            </w:pPr>
            <w:r>
              <w:t>PP</w:t>
            </w:r>
          </w:p>
        </w:tc>
        <w:tc>
          <w:tcPr>
            <w:tcW w:w="7354" w:type="dxa"/>
            <w:tcBorders>
              <w:top w:val="nil"/>
              <w:left w:val="nil"/>
              <w:bottom w:val="nil"/>
              <w:right w:val="nil"/>
            </w:tcBorders>
            <w:shd w:val="clear" w:color="auto" w:fill="auto"/>
            <w:noWrap/>
            <w:vAlign w:val="center"/>
          </w:tcPr>
          <w:p w14:paraId="448462EC" w14:textId="77777777" w:rsidR="007619CE" w:rsidRPr="000A248D" w:rsidRDefault="007619CE" w:rsidP="00CD4720">
            <w:pPr>
              <w:spacing w:after="0"/>
            </w:pPr>
            <w:r>
              <w:t>Parenting Payment</w:t>
            </w:r>
          </w:p>
        </w:tc>
      </w:tr>
      <w:tr w:rsidR="000A248D" w:rsidRPr="000A248D" w14:paraId="2EBF2C3A"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77E0435" w14:textId="77777777" w:rsidR="000A248D" w:rsidRPr="000A248D" w:rsidRDefault="000A248D" w:rsidP="00CD4720">
            <w:pPr>
              <w:spacing w:after="0"/>
            </w:pPr>
            <w:r w:rsidRPr="000A248D">
              <w:t>PPM</w:t>
            </w:r>
          </w:p>
        </w:tc>
        <w:tc>
          <w:tcPr>
            <w:tcW w:w="7354" w:type="dxa"/>
            <w:tcBorders>
              <w:top w:val="nil"/>
              <w:left w:val="nil"/>
              <w:bottom w:val="nil"/>
              <w:right w:val="nil"/>
            </w:tcBorders>
            <w:shd w:val="clear" w:color="auto" w:fill="auto"/>
            <w:noWrap/>
            <w:vAlign w:val="center"/>
          </w:tcPr>
          <w:p w14:paraId="48743FC4" w14:textId="77777777" w:rsidR="000A248D" w:rsidRPr="000A248D" w:rsidRDefault="000A248D" w:rsidP="00CD4720">
            <w:pPr>
              <w:spacing w:after="0"/>
            </w:pPr>
            <w:r w:rsidRPr="000A248D">
              <w:t xml:space="preserve">Post Programme Monitoring </w:t>
            </w:r>
            <w:r w:rsidR="00BB3FAD">
              <w:t>s</w:t>
            </w:r>
            <w:r w:rsidRPr="000A248D">
              <w:t>urvey</w:t>
            </w:r>
          </w:p>
        </w:tc>
      </w:tr>
      <w:tr w:rsidR="007116A5" w:rsidRPr="000A248D" w14:paraId="77460BAF"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771087BB" w14:textId="77777777" w:rsidR="007116A5" w:rsidRPr="000A248D" w:rsidRDefault="007116A5" w:rsidP="00CD4720">
            <w:pPr>
              <w:spacing w:after="0"/>
            </w:pPr>
            <w:r>
              <w:t>PPP</w:t>
            </w:r>
          </w:p>
        </w:tc>
        <w:tc>
          <w:tcPr>
            <w:tcW w:w="7354" w:type="dxa"/>
            <w:tcBorders>
              <w:top w:val="nil"/>
              <w:left w:val="nil"/>
              <w:bottom w:val="nil"/>
              <w:right w:val="nil"/>
            </w:tcBorders>
            <w:shd w:val="clear" w:color="auto" w:fill="auto"/>
            <w:noWrap/>
            <w:vAlign w:val="center"/>
          </w:tcPr>
          <w:p w14:paraId="503408E5" w14:textId="77777777" w:rsidR="007116A5" w:rsidRPr="000A248D" w:rsidRDefault="007116A5" w:rsidP="00CD4720">
            <w:pPr>
              <w:spacing w:after="0"/>
            </w:pPr>
            <w:r>
              <w:t xml:space="preserve">Parenting </w:t>
            </w:r>
            <w:r w:rsidR="008B74F1">
              <w:t>P</w:t>
            </w:r>
            <w:r>
              <w:t xml:space="preserve">ayment </w:t>
            </w:r>
            <w:r w:rsidR="008B74F1">
              <w:t>P</w:t>
            </w:r>
            <w:r>
              <w:t>artnered</w:t>
            </w:r>
          </w:p>
        </w:tc>
      </w:tr>
      <w:tr w:rsidR="007116A5" w:rsidRPr="000A248D" w14:paraId="35CB26E3"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553B3840" w14:textId="77777777" w:rsidR="007116A5" w:rsidRPr="000A248D" w:rsidRDefault="007116A5" w:rsidP="00CD4720">
            <w:pPr>
              <w:spacing w:after="0"/>
            </w:pPr>
            <w:r>
              <w:t>PPS</w:t>
            </w:r>
          </w:p>
        </w:tc>
        <w:tc>
          <w:tcPr>
            <w:tcW w:w="7354" w:type="dxa"/>
            <w:tcBorders>
              <w:top w:val="nil"/>
              <w:left w:val="nil"/>
              <w:bottom w:val="nil"/>
              <w:right w:val="nil"/>
            </w:tcBorders>
            <w:shd w:val="clear" w:color="auto" w:fill="auto"/>
            <w:noWrap/>
            <w:vAlign w:val="center"/>
          </w:tcPr>
          <w:p w14:paraId="5BE9DCDE" w14:textId="77777777" w:rsidR="007116A5" w:rsidRPr="000A248D" w:rsidRDefault="008B74F1" w:rsidP="00CD4720">
            <w:pPr>
              <w:spacing w:after="0"/>
            </w:pPr>
            <w:r>
              <w:t>Parenting P</w:t>
            </w:r>
            <w:r w:rsidR="007116A5">
              <w:t xml:space="preserve">ayment </w:t>
            </w:r>
            <w:r>
              <w:t>S</w:t>
            </w:r>
            <w:r w:rsidR="007116A5">
              <w:t>i</w:t>
            </w:r>
            <w:r>
              <w:t>n</w:t>
            </w:r>
            <w:r w:rsidR="007116A5">
              <w:t>gle</w:t>
            </w:r>
          </w:p>
        </w:tc>
      </w:tr>
      <w:tr w:rsidR="000A248D" w:rsidRPr="000A248D" w14:paraId="6657D4E3"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D9F9E11" w14:textId="77777777" w:rsidR="000A248D" w:rsidRPr="000A248D" w:rsidRDefault="000A248D" w:rsidP="00CD4720">
            <w:pPr>
              <w:spacing w:after="0"/>
            </w:pPr>
            <w:r w:rsidRPr="000A248D">
              <w:t>ppt</w:t>
            </w:r>
          </w:p>
        </w:tc>
        <w:tc>
          <w:tcPr>
            <w:tcW w:w="7354" w:type="dxa"/>
            <w:tcBorders>
              <w:top w:val="nil"/>
              <w:left w:val="nil"/>
              <w:bottom w:val="nil"/>
              <w:right w:val="nil"/>
            </w:tcBorders>
            <w:shd w:val="clear" w:color="auto" w:fill="auto"/>
            <w:noWrap/>
            <w:vAlign w:val="center"/>
          </w:tcPr>
          <w:p w14:paraId="7F7FD693" w14:textId="77777777" w:rsidR="000A248D" w:rsidRPr="000A248D" w:rsidRDefault="000A248D" w:rsidP="00CD4720">
            <w:pPr>
              <w:spacing w:after="0"/>
            </w:pPr>
            <w:r w:rsidRPr="000A248D">
              <w:t>Percentage point</w:t>
            </w:r>
          </w:p>
        </w:tc>
      </w:tr>
      <w:tr w:rsidR="007116A5" w:rsidRPr="000A248D" w14:paraId="1A1C82E3"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528F02AC" w14:textId="77777777" w:rsidR="007116A5" w:rsidRPr="000A248D" w:rsidRDefault="007116A5" w:rsidP="00CD4720">
            <w:pPr>
              <w:spacing w:after="0"/>
            </w:pPr>
            <w:r>
              <w:t>PT</w:t>
            </w:r>
          </w:p>
        </w:tc>
        <w:tc>
          <w:tcPr>
            <w:tcW w:w="7354" w:type="dxa"/>
            <w:tcBorders>
              <w:top w:val="nil"/>
              <w:left w:val="nil"/>
              <w:bottom w:val="nil"/>
              <w:right w:val="nil"/>
            </w:tcBorders>
            <w:shd w:val="clear" w:color="auto" w:fill="auto"/>
            <w:noWrap/>
            <w:vAlign w:val="center"/>
          </w:tcPr>
          <w:p w14:paraId="53666423" w14:textId="77777777" w:rsidR="007116A5" w:rsidRPr="000A248D" w:rsidRDefault="007116A5" w:rsidP="00CD4720">
            <w:pPr>
              <w:spacing w:after="0"/>
            </w:pPr>
            <w:r>
              <w:t xml:space="preserve">Part </w:t>
            </w:r>
            <w:r w:rsidR="008B74F1">
              <w:t>T</w:t>
            </w:r>
            <w:r>
              <w:t>ime</w:t>
            </w:r>
          </w:p>
        </w:tc>
      </w:tr>
      <w:tr w:rsidR="000A248D" w:rsidRPr="000A248D" w14:paraId="0569A6CD"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52D5EEB8" w14:textId="77777777" w:rsidR="000A248D" w:rsidRPr="000A248D" w:rsidRDefault="000A248D" w:rsidP="00CD4720">
            <w:pPr>
              <w:spacing w:after="0"/>
            </w:pPr>
            <w:r w:rsidRPr="000A248D">
              <w:t>QAF</w:t>
            </w:r>
          </w:p>
        </w:tc>
        <w:tc>
          <w:tcPr>
            <w:tcW w:w="7354" w:type="dxa"/>
            <w:tcBorders>
              <w:top w:val="nil"/>
              <w:left w:val="nil"/>
              <w:bottom w:val="nil"/>
              <w:right w:val="nil"/>
            </w:tcBorders>
            <w:shd w:val="clear" w:color="auto" w:fill="auto"/>
            <w:noWrap/>
            <w:vAlign w:val="center"/>
          </w:tcPr>
          <w:p w14:paraId="7433E1C8" w14:textId="77777777" w:rsidR="000A248D" w:rsidRPr="000A248D" w:rsidRDefault="000A248D" w:rsidP="00CD4720">
            <w:pPr>
              <w:spacing w:after="0"/>
            </w:pPr>
            <w:r w:rsidRPr="000A248D">
              <w:t>Quality Assurance Framework</w:t>
            </w:r>
          </w:p>
        </w:tc>
      </w:tr>
      <w:tr w:rsidR="007619CE" w:rsidRPr="000A248D" w14:paraId="014783ED" w14:textId="77777777" w:rsidTr="007619CE">
        <w:trPr>
          <w:trHeight w:hRule="exact" w:val="340"/>
          <w:jc w:val="center"/>
        </w:trPr>
        <w:tc>
          <w:tcPr>
            <w:tcW w:w="1731" w:type="dxa"/>
            <w:tcBorders>
              <w:top w:val="nil"/>
              <w:left w:val="nil"/>
              <w:bottom w:val="nil"/>
              <w:right w:val="nil"/>
            </w:tcBorders>
            <w:shd w:val="clear" w:color="auto" w:fill="auto"/>
            <w:noWrap/>
            <w:vAlign w:val="center"/>
          </w:tcPr>
          <w:p w14:paraId="4130C4BD" w14:textId="77777777" w:rsidR="007619CE" w:rsidRDefault="007619CE" w:rsidP="00CD4720">
            <w:pPr>
              <w:spacing w:after="0"/>
            </w:pPr>
            <w:r>
              <w:t>RAP</w:t>
            </w:r>
          </w:p>
        </w:tc>
        <w:tc>
          <w:tcPr>
            <w:tcW w:w="7354" w:type="dxa"/>
            <w:tcBorders>
              <w:top w:val="nil"/>
              <w:left w:val="nil"/>
              <w:bottom w:val="nil"/>
              <w:right w:val="nil"/>
            </w:tcBorders>
            <w:shd w:val="clear" w:color="auto" w:fill="auto"/>
            <w:noWrap/>
            <w:vAlign w:val="center"/>
          </w:tcPr>
          <w:p w14:paraId="06F85E54" w14:textId="77777777" w:rsidR="007619CE" w:rsidRDefault="007619CE" w:rsidP="00CD4720">
            <w:pPr>
              <w:spacing w:after="0"/>
            </w:pPr>
            <w:r>
              <w:t>Reconciliation Action Plan</w:t>
            </w:r>
          </w:p>
        </w:tc>
      </w:tr>
      <w:tr w:rsidR="00024076" w:rsidRPr="000A248D" w14:paraId="4FB63CFF"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F9CD28C" w14:textId="77777777" w:rsidR="00024076" w:rsidRPr="000A248D" w:rsidRDefault="00024076" w:rsidP="00CD4720">
            <w:pPr>
              <w:spacing w:after="0"/>
            </w:pPr>
            <w:r>
              <w:t>RBM</w:t>
            </w:r>
          </w:p>
        </w:tc>
        <w:tc>
          <w:tcPr>
            <w:tcW w:w="7354" w:type="dxa"/>
            <w:tcBorders>
              <w:top w:val="nil"/>
              <w:left w:val="nil"/>
              <w:bottom w:val="nil"/>
              <w:right w:val="nil"/>
            </w:tcBorders>
            <w:shd w:val="clear" w:color="auto" w:fill="auto"/>
            <w:noWrap/>
            <w:vAlign w:val="center"/>
          </w:tcPr>
          <w:p w14:paraId="2E460839" w14:textId="77777777" w:rsidR="00024076" w:rsidRPr="000A248D" w:rsidRDefault="00024076" w:rsidP="00CD4720">
            <w:pPr>
              <w:spacing w:after="0"/>
            </w:pPr>
            <w:r>
              <w:t>Regulatory Burden Measurement</w:t>
            </w:r>
          </w:p>
        </w:tc>
      </w:tr>
      <w:tr w:rsidR="000A248D" w:rsidRPr="000A248D" w14:paraId="0B948833"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D4EF35E" w14:textId="77777777" w:rsidR="000A248D" w:rsidRPr="000A248D" w:rsidRDefault="000A248D" w:rsidP="00CD4720">
            <w:pPr>
              <w:spacing w:after="0"/>
            </w:pPr>
            <w:r w:rsidRPr="000A248D">
              <w:t>RED</w:t>
            </w:r>
          </w:p>
        </w:tc>
        <w:tc>
          <w:tcPr>
            <w:tcW w:w="7354" w:type="dxa"/>
            <w:tcBorders>
              <w:top w:val="nil"/>
              <w:left w:val="nil"/>
              <w:bottom w:val="nil"/>
              <w:right w:val="nil"/>
            </w:tcBorders>
            <w:shd w:val="clear" w:color="auto" w:fill="auto"/>
            <w:noWrap/>
            <w:vAlign w:val="center"/>
          </w:tcPr>
          <w:p w14:paraId="78DB2E84" w14:textId="77777777" w:rsidR="000A248D" w:rsidRPr="000A248D" w:rsidRDefault="000A248D" w:rsidP="00CD4720">
            <w:pPr>
              <w:spacing w:after="0"/>
            </w:pPr>
            <w:r w:rsidRPr="000A248D">
              <w:t>Research and Evaluation Dataset</w:t>
            </w:r>
          </w:p>
        </w:tc>
      </w:tr>
      <w:tr w:rsidR="000A248D" w:rsidRPr="000A248D" w14:paraId="15D35772" w14:textId="77777777" w:rsidTr="00AE75A0">
        <w:trPr>
          <w:trHeight w:hRule="exact" w:val="608"/>
          <w:jc w:val="center"/>
        </w:trPr>
        <w:tc>
          <w:tcPr>
            <w:tcW w:w="1731" w:type="dxa"/>
            <w:tcBorders>
              <w:top w:val="nil"/>
              <w:left w:val="nil"/>
              <w:bottom w:val="nil"/>
              <w:right w:val="nil"/>
            </w:tcBorders>
            <w:shd w:val="clear" w:color="auto" w:fill="auto"/>
            <w:noWrap/>
            <w:vAlign w:val="center"/>
          </w:tcPr>
          <w:p w14:paraId="5C39C4F2" w14:textId="77777777" w:rsidR="000A248D" w:rsidRPr="000A248D" w:rsidRDefault="000A248D" w:rsidP="00CD4720">
            <w:pPr>
              <w:spacing w:after="0"/>
            </w:pPr>
            <w:r w:rsidRPr="000A248D">
              <w:t>RJCP</w:t>
            </w:r>
          </w:p>
        </w:tc>
        <w:tc>
          <w:tcPr>
            <w:tcW w:w="7354" w:type="dxa"/>
            <w:tcBorders>
              <w:top w:val="nil"/>
              <w:left w:val="nil"/>
              <w:bottom w:val="nil"/>
              <w:right w:val="nil"/>
            </w:tcBorders>
            <w:shd w:val="clear" w:color="auto" w:fill="auto"/>
            <w:noWrap/>
            <w:vAlign w:val="center"/>
          </w:tcPr>
          <w:p w14:paraId="2F456F80" w14:textId="7A9B48CB" w:rsidR="000A248D" w:rsidRPr="000A248D" w:rsidRDefault="000A248D" w:rsidP="00622375">
            <w:pPr>
              <w:spacing w:after="0"/>
            </w:pPr>
            <w:r w:rsidRPr="000A248D">
              <w:t>Remote Jobs and Communities Programme</w:t>
            </w:r>
            <w:r w:rsidR="00B95A64">
              <w:t xml:space="preserve"> (</w:t>
            </w:r>
            <w:r w:rsidR="00622375">
              <w:t>replaced by</w:t>
            </w:r>
            <w:r w:rsidR="00B95A64">
              <w:t xml:space="preserve"> the Community Development Programme</w:t>
            </w:r>
            <w:r w:rsidR="00622375">
              <w:t xml:space="preserve"> on 1 July 2015 </w:t>
            </w:r>
            <w:r w:rsidR="00B95A64">
              <w:t>)</w:t>
            </w:r>
          </w:p>
        </w:tc>
      </w:tr>
      <w:tr w:rsidR="000A248D" w:rsidRPr="000A248D" w14:paraId="13DEB1C2" w14:textId="77777777" w:rsidTr="004673A3">
        <w:trPr>
          <w:trHeight w:hRule="exact" w:val="340"/>
          <w:jc w:val="center"/>
        </w:trPr>
        <w:tc>
          <w:tcPr>
            <w:tcW w:w="1731" w:type="dxa"/>
            <w:tcBorders>
              <w:top w:val="nil"/>
              <w:left w:val="nil"/>
              <w:right w:val="nil"/>
            </w:tcBorders>
            <w:shd w:val="clear" w:color="auto" w:fill="auto"/>
            <w:noWrap/>
            <w:vAlign w:val="center"/>
          </w:tcPr>
          <w:p w14:paraId="67CE7100" w14:textId="77777777" w:rsidR="000A248D" w:rsidRPr="000A248D" w:rsidRDefault="000A248D" w:rsidP="00CD4720">
            <w:pPr>
              <w:spacing w:after="0"/>
            </w:pPr>
            <w:r w:rsidRPr="000A248D">
              <w:t>S1</w:t>
            </w:r>
          </w:p>
        </w:tc>
        <w:tc>
          <w:tcPr>
            <w:tcW w:w="7354" w:type="dxa"/>
            <w:tcBorders>
              <w:top w:val="nil"/>
              <w:left w:val="nil"/>
              <w:right w:val="nil"/>
            </w:tcBorders>
            <w:shd w:val="clear" w:color="auto" w:fill="auto"/>
            <w:noWrap/>
            <w:vAlign w:val="center"/>
          </w:tcPr>
          <w:p w14:paraId="75D1FCDD" w14:textId="77777777" w:rsidR="000A248D" w:rsidRPr="000A248D" w:rsidRDefault="000A248D" w:rsidP="00CD4720">
            <w:pPr>
              <w:spacing w:after="0"/>
            </w:pPr>
            <w:r w:rsidRPr="000A248D">
              <w:t>Stream 1</w:t>
            </w:r>
          </w:p>
        </w:tc>
      </w:tr>
      <w:tr w:rsidR="000A248D" w:rsidRPr="000A248D" w14:paraId="4FA99BB6" w14:textId="77777777" w:rsidTr="004673A3">
        <w:trPr>
          <w:trHeight w:hRule="exact" w:val="340"/>
          <w:jc w:val="center"/>
        </w:trPr>
        <w:tc>
          <w:tcPr>
            <w:tcW w:w="1731" w:type="dxa"/>
            <w:tcBorders>
              <w:top w:val="nil"/>
              <w:left w:val="nil"/>
              <w:right w:val="nil"/>
            </w:tcBorders>
            <w:shd w:val="clear" w:color="auto" w:fill="auto"/>
            <w:noWrap/>
            <w:vAlign w:val="center"/>
          </w:tcPr>
          <w:p w14:paraId="61562289" w14:textId="77777777" w:rsidR="000A248D" w:rsidRPr="000A248D" w:rsidRDefault="000A248D" w:rsidP="00CD4720">
            <w:pPr>
              <w:spacing w:after="0"/>
            </w:pPr>
            <w:r w:rsidRPr="000A248D">
              <w:t>S2</w:t>
            </w:r>
          </w:p>
        </w:tc>
        <w:tc>
          <w:tcPr>
            <w:tcW w:w="7354" w:type="dxa"/>
            <w:tcBorders>
              <w:top w:val="nil"/>
              <w:left w:val="nil"/>
              <w:right w:val="nil"/>
            </w:tcBorders>
            <w:shd w:val="clear" w:color="auto" w:fill="auto"/>
            <w:noWrap/>
            <w:vAlign w:val="center"/>
          </w:tcPr>
          <w:p w14:paraId="4077D16A" w14:textId="77777777" w:rsidR="000A248D" w:rsidRPr="000A248D" w:rsidRDefault="000A248D" w:rsidP="00CD4720">
            <w:pPr>
              <w:spacing w:after="0"/>
            </w:pPr>
            <w:r w:rsidRPr="000A248D">
              <w:t>Stream 2</w:t>
            </w:r>
          </w:p>
        </w:tc>
      </w:tr>
      <w:tr w:rsidR="000A248D" w:rsidRPr="000A248D" w14:paraId="58E50D6F" w14:textId="77777777" w:rsidTr="004673A3">
        <w:trPr>
          <w:trHeight w:hRule="exact" w:val="340"/>
          <w:jc w:val="center"/>
        </w:trPr>
        <w:tc>
          <w:tcPr>
            <w:tcW w:w="1731" w:type="dxa"/>
            <w:tcBorders>
              <w:top w:val="nil"/>
              <w:left w:val="nil"/>
              <w:right w:val="nil"/>
            </w:tcBorders>
            <w:shd w:val="clear" w:color="auto" w:fill="auto"/>
            <w:noWrap/>
            <w:vAlign w:val="center"/>
          </w:tcPr>
          <w:p w14:paraId="38C7648B" w14:textId="77777777" w:rsidR="000A248D" w:rsidRPr="000A248D" w:rsidRDefault="000A248D" w:rsidP="00CD4720">
            <w:pPr>
              <w:spacing w:after="0"/>
            </w:pPr>
            <w:r w:rsidRPr="000A248D">
              <w:t>S3</w:t>
            </w:r>
          </w:p>
        </w:tc>
        <w:tc>
          <w:tcPr>
            <w:tcW w:w="7354" w:type="dxa"/>
            <w:tcBorders>
              <w:top w:val="nil"/>
              <w:left w:val="nil"/>
              <w:right w:val="nil"/>
            </w:tcBorders>
            <w:shd w:val="clear" w:color="auto" w:fill="auto"/>
            <w:noWrap/>
            <w:vAlign w:val="center"/>
          </w:tcPr>
          <w:p w14:paraId="5468F0A7" w14:textId="77777777" w:rsidR="000A248D" w:rsidRPr="000A248D" w:rsidRDefault="000A248D" w:rsidP="00CD4720">
            <w:pPr>
              <w:spacing w:after="0"/>
            </w:pPr>
            <w:r w:rsidRPr="000A248D">
              <w:t>Stream 3</w:t>
            </w:r>
          </w:p>
        </w:tc>
      </w:tr>
      <w:tr w:rsidR="000A248D" w:rsidRPr="000A248D" w14:paraId="337945D4" w14:textId="77777777" w:rsidTr="004673A3">
        <w:trPr>
          <w:trHeight w:hRule="exact" w:val="340"/>
          <w:jc w:val="center"/>
        </w:trPr>
        <w:tc>
          <w:tcPr>
            <w:tcW w:w="1731" w:type="dxa"/>
            <w:tcBorders>
              <w:top w:val="nil"/>
              <w:left w:val="nil"/>
              <w:right w:val="nil"/>
            </w:tcBorders>
            <w:shd w:val="clear" w:color="auto" w:fill="auto"/>
            <w:noWrap/>
            <w:vAlign w:val="center"/>
          </w:tcPr>
          <w:p w14:paraId="66414233" w14:textId="77777777" w:rsidR="000A248D" w:rsidRPr="000A248D" w:rsidRDefault="000A248D" w:rsidP="00CD4720">
            <w:pPr>
              <w:spacing w:after="0"/>
            </w:pPr>
            <w:r w:rsidRPr="000A248D">
              <w:t>S4</w:t>
            </w:r>
          </w:p>
        </w:tc>
        <w:tc>
          <w:tcPr>
            <w:tcW w:w="7354" w:type="dxa"/>
            <w:tcBorders>
              <w:top w:val="nil"/>
              <w:left w:val="nil"/>
              <w:right w:val="nil"/>
            </w:tcBorders>
            <w:shd w:val="clear" w:color="auto" w:fill="auto"/>
            <w:noWrap/>
            <w:vAlign w:val="center"/>
          </w:tcPr>
          <w:p w14:paraId="7095876D" w14:textId="77777777" w:rsidR="000A248D" w:rsidRPr="000A248D" w:rsidRDefault="000A248D" w:rsidP="00CD4720">
            <w:pPr>
              <w:spacing w:after="0"/>
            </w:pPr>
            <w:r w:rsidRPr="000A248D">
              <w:t>Stream 4</w:t>
            </w:r>
          </w:p>
        </w:tc>
      </w:tr>
      <w:tr w:rsidR="007619CE" w:rsidRPr="000A248D" w14:paraId="5B18E87F" w14:textId="77777777" w:rsidTr="007619CE">
        <w:trPr>
          <w:trHeight w:hRule="exact" w:val="340"/>
          <w:jc w:val="center"/>
        </w:trPr>
        <w:tc>
          <w:tcPr>
            <w:tcW w:w="1731" w:type="dxa"/>
            <w:tcBorders>
              <w:top w:val="nil"/>
              <w:left w:val="nil"/>
              <w:bottom w:val="nil"/>
              <w:right w:val="nil"/>
            </w:tcBorders>
            <w:shd w:val="clear" w:color="auto" w:fill="auto"/>
            <w:noWrap/>
            <w:vAlign w:val="center"/>
          </w:tcPr>
          <w:p w14:paraId="4E7898C7" w14:textId="77777777" w:rsidR="007619CE" w:rsidRPr="000A248D" w:rsidRDefault="007619CE" w:rsidP="00CD4720">
            <w:pPr>
              <w:spacing w:after="0"/>
            </w:pPr>
            <w:r>
              <w:t>SME</w:t>
            </w:r>
          </w:p>
        </w:tc>
        <w:tc>
          <w:tcPr>
            <w:tcW w:w="7354" w:type="dxa"/>
            <w:tcBorders>
              <w:top w:val="nil"/>
              <w:left w:val="nil"/>
              <w:bottom w:val="nil"/>
              <w:right w:val="nil"/>
            </w:tcBorders>
            <w:shd w:val="clear" w:color="auto" w:fill="auto"/>
            <w:noWrap/>
            <w:vAlign w:val="center"/>
          </w:tcPr>
          <w:p w14:paraId="0389DE11" w14:textId="77777777" w:rsidR="007619CE" w:rsidRPr="000A248D" w:rsidRDefault="007619CE" w:rsidP="00CD4720">
            <w:pPr>
              <w:spacing w:after="0"/>
            </w:pPr>
            <w:r>
              <w:t>Small to medium size enterprises</w:t>
            </w:r>
          </w:p>
        </w:tc>
      </w:tr>
      <w:tr w:rsidR="000A248D" w:rsidRPr="000A248D" w14:paraId="2B0D1792"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659C446C" w14:textId="77777777" w:rsidR="000A248D" w:rsidRPr="000A248D" w:rsidRDefault="000A248D" w:rsidP="00CD4720">
            <w:pPr>
              <w:spacing w:after="0"/>
            </w:pPr>
            <w:r w:rsidRPr="000A248D">
              <w:t>SSR</w:t>
            </w:r>
          </w:p>
        </w:tc>
        <w:tc>
          <w:tcPr>
            <w:tcW w:w="7354" w:type="dxa"/>
            <w:tcBorders>
              <w:top w:val="nil"/>
              <w:left w:val="nil"/>
              <w:bottom w:val="nil"/>
              <w:right w:val="nil"/>
            </w:tcBorders>
            <w:shd w:val="clear" w:color="auto" w:fill="auto"/>
            <w:noWrap/>
            <w:vAlign w:val="center"/>
          </w:tcPr>
          <w:p w14:paraId="36F9DFD7" w14:textId="77777777" w:rsidR="000A248D" w:rsidRPr="000A248D" w:rsidRDefault="000A248D" w:rsidP="00CD4720">
            <w:pPr>
              <w:spacing w:after="0"/>
            </w:pPr>
            <w:r w:rsidRPr="000A248D">
              <w:t>Stream Services Review</w:t>
            </w:r>
          </w:p>
        </w:tc>
      </w:tr>
      <w:tr w:rsidR="000A248D" w:rsidRPr="000A248D" w14:paraId="74B0AB6C"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304DF510" w14:textId="77777777" w:rsidR="000A248D" w:rsidRPr="000A248D" w:rsidRDefault="000A248D" w:rsidP="00CD4720">
            <w:pPr>
              <w:spacing w:after="0"/>
            </w:pPr>
            <w:r w:rsidRPr="000A248D">
              <w:t>TAFE</w:t>
            </w:r>
          </w:p>
        </w:tc>
        <w:tc>
          <w:tcPr>
            <w:tcW w:w="7354" w:type="dxa"/>
            <w:tcBorders>
              <w:top w:val="nil"/>
              <w:left w:val="nil"/>
              <w:bottom w:val="nil"/>
              <w:right w:val="nil"/>
            </w:tcBorders>
            <w:shd w:val="clear" w:color="auto" w:fill="auto"/>
            <w:noWrap/>
            <w:vAlign w:val="center"/>
          </w:tcPr>
          <w:p w14:paraId="39BF230E" w14:textId="77777777" w:rsidR="000A248D" w:rsidRPr="000A248D" w:rsidRDefault="000A248D" w:rsidP="00CD4720">
            <w:pPr>
              <w:spacing w:after="0"/>
            </w:pPr>
            <w:r w:rsidRPr="000A248D">
              <w:t>Technical and Further Education</w:t>
            </w:r>
          </w:p>
        </w:tc>
      </w:tr>
      <w:tr w:rsidR="000A248D" w:rsidRPr="000A248D" w14:paraId="0EB4B90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38AD382F" w14:textId="77777777" w:rsidR="000A248D" w:rsidRPr="000A248D" w:rsidRDefault="000A248D" w:rsidP="00CD4720">
            <w:pPr>
              <w:spacing w:after="0"/>
            </w:pPr>
            <w:r w:rsidRPr="000A248D">
              <w:t>VI</w:t>
            </w:r>
          </w:p>
        </w:tc>
        <w:tc>
          <w:tcPr>
            <w:tcW w:w="7354" w:type="dxa"/>
            <w:tcBorders>
              <w:top w:val="nil"/>
              <w:left w:val="nil"/>
              <w:bottom w:val="nil"/>
              <w:right w:val="nil"/>
            </w:tcBorders>
            <w:shd w:val="clear" w:color="auto" w:fill="auto"/>
            <w:noWrap/>
            <w:vAlign w:val="center"/>
          </w:tcPr>
          <w:p w14:paraId="685136EB" w14:textId="77777777" w:rsidR="000A248D" w:rsidRPr="000A248D" w:rsidRDefault="000A248D" w:rsidP="00CD4720">
            <w:pPr>
              <w:spacing w:after="0"/>
            </w:pPr>
            <w:r w:rsidRPr="000A248D">
              <w:t>Vulnerability Indicator</w:t>
            </w:r>
          </w:p>
        </w:tc>
      </w:tr>
      <w:tr w:rsidR="007116A5" w:rsidRPr="000A248D" w14:paraId="6A25E237"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62B0B59" w14:textId="77777777" w:rsidR="007116A5" w:rsidRPr="000A248D" w:rsidRDefault="007116A5" w:rsidP="00CD4720">
            <w:pPr>
              <w:spacing w:after="0"/>
            </w:pPr>
            <w:r>
              <w:t>VLTU</w:t>
            </w:r>
          </w:p>
        </w:tc>
        <w:tc>
          <w:tcPr>
            <w:tcW w:w="7354" w:type="dxa"/>
            <w:tcBorders>
              <w:top w:val="nil"/>
              <w:left w:val="nil"/>
              <w:bottom w:val="nil"/>
              <w:right w:val="nil"/>
            </w:tcBorders>
            <w:shd w:val="clear" w:color="auto" w:fill="auto"/>
            <w:noWrap/>
            <w:vAlign w:val="center"/>
          </w:tcPr>
          <w:p w14:paraId="7C5F2BF2" w14:textId="77777777" w:rsidR="007116A5" w:rsidRPr="000A248D" w:rsidRDefault="008B74F1" w:rsidP="00CD4720">
            <w:pPr>
              <w:spacing w:after="0"/>
            </w:pPr>
            <w:r>
              <w:t xml:space="preserve">Very </w:t>
            </w:r>
            <w:r w:rsidR="00BB3FAD">
              <w:t>l</w:t>
            </w:r>
            <w:r>
              <w:t>ong</w:t>
            </w:r>
            <w:r w:rsidR="00BB3FAD">
              <w:t>-t</w:t>
            </w:r>
            <w:r>
              <w:t xml:space="preserve">erm </w:t>
            </w:r>
            <w:r w:rsidR="00BB3FAD">
              <w:t>u</w:t>
            </w:r>
            <w:r w:rsidR="007116A5">
              <w:t>nemployed</w:t>
            </w:r>
          </w:p>
        </w:tc>
      </w:tr>
      <w:tr w:rsidR="007619CE" w:rsidRPr="000A248D" w14:paraId="62C6C2A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A644932" w14:textId="77777777" w:rsidR="007619CE" w:rsidRDefault="007619CE" w:rsidP="00CD4720">
            <w:pPr>
              <w:spacing w:after="0"/>
            </w:pPr>
            <w:r>
              <w:t>VTEC</w:t>
            </w:r>
          </w:p>
        </w:tc>
        <w:tc>
          <w:tcPr>
            <w:tcW w:w="7354" w:type="dxa"/>
            <w:tcBorders>
              <w:top w:val="nil"/>
              <w:left w:val="nil"/>
              <w:bottom w:val="nil"/>
              <w:right w:val="nil"/>
            </w:tcBorders>
            <w:shd w:val="clear" w:color="auto" w:fill="auto"/>
            <w:noWrap/>
            <w:vAlign w:val="center"/>
          </w:tcPr>
          <w:p w14:paraId="0458EE9D" w14:textId="77777777" w:rsidR="007619CE" w:rsidRDefault="007619CE" w:rsidP="00CD4720">
            <w:pPr>
              <w:spacing w:after="0"/>
            </w:pPr>
            <w:r>
              <w:t>Vocational Training &amp; Employment Services</w:t>
            </w:r>
          </w:p>
        </w:tc>
      </w:tr>
      <w:tr w:rsidR="007619CE" w:rsidRPr="000A248D" w14:paraId="3C11D74E" w14:textId="77777777" w:rsidTr="007619CE">
        <w:trPr>
          <w:trHeight w:hRule="exact" w:val="340"/>
          <w:jc w:val="center"/>
        </w:trPr>
        <w:tc>
          <w:tcPr>
            <w:tcW w:w="1731" w:type="dxa"/>
            <w:tcBorders>
              <w:top w:val="nil"/>
              <w:left w:val="nil"/>
              <w:bottom w:val="nil"/>
              <w:right w:val="nil"/>
            </w:tcBorders>
            <w:shd w:val="clear" w:color="auto" w:fill="auto"/>
            <w:noWrap/>
            <w:vAlign w:val="center"/>
          </w:tcPr>
          <w:p w14:paraId="7E2603F6" w14:textId="77777777" w:rsidR="007619CE" w:rsidRDefault="007619CE" w:rsidP="00CD4720">
            <w:pPr>
              <w:spacing w:after="0"/>
            </w:pPr>
            <w:r>
              <w:t>TtW</w:t>
            </w:r>
          </w:p>
        </w:tc>
        <w:tc>
          <w:tcPr>
            <w:tcW w:w="7354" w:type="dxa"/>
            <w:tcBorders>
              <w:top w:val="nil"/>
              <w:left w:val="nil"/>
              <w:bottom w:val="nil"/>
              <w:right w:val="nil"/>
            </w:tcBorders>
            <w:shd w:val="clear" w:color="auto" w:fill="auto"/>
            <w:noWrap/>
            <w:vAlign w:val="center"/>
          </w:tcPr>
          <w:p w14:paraId="1372F446" w14:textId="77777777" w:rsidR="007619CE" w:rsidRDefault="007619CE" w:rsidP="00CD4720">
            <w:pPr>
              <w:spacing w:after="0"/>
            </w:pPr>
            <w:r>
              <w:t>Transition to Work</w:t>
            </w:r>
          </w:p>
        </w:tc>
      </w:tr>
      <w:tr w:rsidR="007619CE" w:rsidRPr="000A248D" w14:paraId="359DAA9F"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137D95D1" w14:textId="77777777" w:rsidR="007619CE" w:rsidRPr="000A248D" w:rsidRDefault="007619CE" w:rsidP="00CD4720">
            <w:pPr>
              <w:spacing w:after="0"/>
            </w:pPr>
            <w:r>
              <w:t>WEAR</w:t>
            </w:r>
          </w:p>
        </w:tc>
        <w:tc>
          <w:tcPr>
            <w:tcW w:w="7354" w:type="dxa"/>
            <w:tcBorders>
              <w:top w:val="nil"/>
              <w:left w:val="nil"/>
              <w:bottom w:val="nil"/>
              <w:right w:val="nil"/>
            </w:tcBorders>
            <w:shd w:val="clear" w:color="auto" w:fill="auto"/>
            <w:noWrap/>
            <w:vAlign w:val="center"/>
          </w:tcPr>
          <w:p w14:paraId="53E93B88" w14:textId="77777777" w:rsidR="007619CE" w:rsidRPr="000A248D" w:rsidRDefault="007619CE" w:rsidP="00CD4720">
            <w:pPr>
              <w:spacing w:after="0"/>
            </w:pPr>
            <w:r>
              <w:t>Work Experience Activity Requirement</w:t>
            </w:r>
          </w:p>
        </w:tc>
      </w:tr>
      <w:tr w:rsidR="007619CE" w:rsidRPr="000A248D" w14:paraId="65AD57FE"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7CA763E9" w14:textId="77777777" w:rsidR="007619CE" w:rsidRPr="000A248D" w:rsidRDefault="007619CE" w:rsidP="00CD4720">
            <w:pPr>
              <w:spacing w:after="0"/>
            </w:pPr>
            <w:r>
              <w:t>WfD</w:t>
            </w:r>
          </w:p>
        </w:tc>
        <w:tc>
          <w:tcPr>
            <w:tcW w:w="7354" w:type="dxa"/>
            <w:tcBorders>
              <w:top w:val="nil"/>
              <w:left w:val="nil"/>
              <w:bottom w:val="nil"/>
              <w:right w:val="nil"/>
            </w:tcBorders>
            <w:shd w:val="clear" w:color="auto" w:fill="auto"/>
            <w:noWrap/>
            <w:vAlign w:val="center"/>
          </w:tcPr>
          <w:p w14:paraId="3CB0CCCB" w14:textId="77777777" w:rsidR="007619CE" w:rsidRPr="000A248D" w:rsidRDefault="007619CE" w:rsidP="00CD4720">
            <w:pPr>
              <w:spacing w:after="0"/>
            </w:pPr>
            <w:r>
              <w:t>Work for the Dole</w:t>
            </w:r>
          </w:p>
        </w:tc>
      </w:tr>
      <w:tr w:rsidR="000A248D" w:rsidRPr="000A248D" w14:paraId="17473994"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461599B8" w14:textId="77777777" w:rsidR="000A248D" w:rsidRPr="000A248D" w:rsidRDefault="000A248D" w:rsidP="00CD4720">
            <w:pPr>
              <w:spacing w:after="0"/>
            </w:pPr>
            <w:r w:rsidRPr="000A248D">
              <w:t>WEP</w:t>
            </w:r>
            <w:r w:rsidR="0054199A">
              <w:t>h</w:t>
            </w:r>
          </w:p>
        </w:tc>
        <w:tc>
          <w:tcPr>
            <w:tcW w:w="7354" w:type="dxa"/>
            <w:tcBorders>
              <w:top w:val="nil"/>
              <w:left w:val="nil"/>
              <w:bottom w:val="nil"/>
              <w:right w:val="nil"/>
            </w:tcBorders>
            <w:shd w:val="clear" w:color="auto" w:fill="auto"/>
            <w:noWrap/>
            <w:vAlign w:val="center"/>
          </w:tcPr>
          <w:p w14:paraId="45B6F7A4" w14:textId="77777777" w:rsidR="000A248D" w:rsidRPr="000A248D" w:rsidRDefault="000A248D" w:rsidP="00CD4720">
            <w:pPr>
              <w:spacing w:after="0"/>
            </w:pPr>
            <w:r w:rsidRPr="000A248D">
              <w:t>Work Experience Phase</w:t>
            </w:r>
          </w:p>
        </w:tc>
      </w:tr>
      <w:tr w:rsidR="000A248D" w:rsidRPr="000A248D" w14:paraId="29995C20" w14:textId="77777777" w:rsidTr="004673A3">
        <w:trPr>
          <w:trHeight w:hRule="exact" w:val="340"/>
          <w:jc w:val="center"/>
        </w:trPr>
        <w:tc>
          <w:tcPr>
            <w:tcW w:w="1731" w:type="dxa"/>
            <w:tcBorders>
              <w:top w:val="nil"/>
              <w:left w:val="nil"/>
              <w:bottom w:val="nil"/>
              <w:right w:val="nil"/>
            </w:tcBorders>
            <w:shd w:val="clear" w:color="auto" w:fill="auto"/>
            <w:noWrap/>
            <w:vAlign w:val="center"/>
          </w:tcPr>
          <w:p w14:paraId="2278A4EE" w14:textId="77777777" w:rsidR="000A248D" w:rsidRPr="000A248D" w:rsidRDefault="000A248D" w:rsidP="00CD4720">
            <w:pPr>
              <w:spacing w:after="0"/>
            </w:pPr>
            <w:r w:rsidRPr="000A248D">
              <w:t>YA(O)</w:t>
            </w:r>
          </w:p>
        </w:tc>
        <w:tc>
          <w:tcPr>
            <w:tcW w:w="7354" w:type="dxa"/>
            <w:tcBorders>
              <w:top w:val="nil"/>
              <w:left w:val="nil"/>
              <w:bottom w:val="nil"/>
              <w:right w:val="nil"/>
            </w:tcBorders>
            <w:shd w:val="clear" w:color="auto" w:fill="auto"/>
            <w:noWrap/>
            <w:vAlign w:val="center"/>
          </w:tcPr>
          <w:p w14:paraId="095C00DA" w14:textId="77777777" w:rsidR="000A248D" w:rsidRPr="000A248D" w:rsidRDefault="000A248D" w:rsidP="00CD4720">
            <w:pPr>
              <w:spacing w:after="0"/>
            </w:pPr>
            <w:r w:rsidRPr="000A248D">
              <w:t>Youth Allowance (Other)</w:t>
            </w:r>
          </w:p>
        </w:tc>
      </w:tr>
    </w:tbl>
    <w:p w14:paraId="7B70028D" w14:textId="77777777" w:rsidR="007418ED" w:rsidRDefault="007418ED">
      <w:pPr>
        <w:rPr>
          <w:u w:val="single"/>
        </w:rPr>
        <w:sectPr w:rsidR="007418ED" w:rsidSect="00861BD8">
          <w:footerReference w:type="default" r:id="rId17"/>
          <w:pgSz w:w="11906" w:h="16838" w:code="9"/>
          <w:pgMar w:top="1985" w:right="1440" w:bottom="1701" w:left="1440" w:header="709" w:footer="284" w:gutter="0"/>
          <w:pgNumType w:fmt="lowerRoman" w:start="1"/>
          <w:cols w:space="708"/>
          <w:docGrid w:linePitch="360"/>
        </w:sectPr>
      </w:pPr>
    </w:p>
    <w:p w14:paraId="131ECDA4" w14:textId="77777777" w:rsidR="00834E3A" w:rsidRDefault="00834E3A" w:rsidP="00834E3A">
      <w:pPr>
        <w:pStyle w:val="Heading1"/>
      </w:pPr>
      <w:bookmarkStart w:id="29" w:name="_Toc22543023"/>
      <w:bookmarkEnd w:id="23"/>
      <w:bookmarkEnd w:id="24"/>
      <w:r w:rsidRPr="00E623B4">
        <w:t>Executive</w:t>
      </w:r>
      <w:r>
        <w:t xml:space="preserve"> summary</w:t>
      </w:r>
      <w:bookmarkEnd w:id="29"/>
    </w:p>
    <w:p w14:paraId="1FC3CE25" w14:textId="77777777" w:rsidR="00834E3A" w:rsidRDefault="00834E3A" w:rsidP="00834E3A">
      <w:pPr>
        <w:pStyle w:val="Heading2"/>
      </w:pPr>
      <w:bookmarkStart w:id="30" w:name="_Toc450919317"/>
      <w:bookmarkStart w:id="31" w:name="_Toc22543024"/>
      <w:r>
        <w:t>Background</w:t>
      </w:r>
      <w:bookmarkEnd w:id="30"/>
      <w:bookmarkEnd w:id="31"/>
    </w:p>
    <w:p w14:paraId="35C81272" w14:textId="67350DE2" w:rsidR="00834E3A" w:rsidRDefault="00834E3A" w:rsidP="00834E3A">
      <w:r>
        <w:t xml:space="preserve">Job Services Australia (JSA) commenced on 1 July 2009 initially for a </w:t>
      </w:r>
      <w:r w:rsidR="005B7636">
        <w:t>three-year</w:t>
      </w:r>
      <w:r>
        <w:t xml:space="preserve"> period to 30</w:t>
      </w:r>
      <w:r w:rsidR="006C43FD">
        <w:t> </w:t>
      </w:r>
      <w:r>
        <w:t>June</w:t>
      </w:r>
      <w:r w:rsidR="006C43FD">
        <w:t> </w:t>
      </w:r>
      <w:r>
        <w:t>2012 (JSA 2009). The JSA model (with modifications) was retained for the following triennium from 1 July 2012 to 30 June 2015 (JSA 2012). The JSA 2009 and JSA 2012 models</w:t>
      </w:r>
      <w:r>
        <w:rPr>
          <w:rStyle w:val="FootnoteReference"/>
        </w:rPr>
        <w:footnoteReference w:id="3"/>
      </w:r>
      <w:r>
        <w:t xml:space="preserve"> used similar rules around programme eligibility, methods for service delivery, allocation of job seekers to appropriate streams and inducements for participation and engagement (</w:t>
      </w:r>
      <w:r w:rsidR="003649E1">
        <w:t>s</w:t>
      </w:r>
      <w:r>
        <w:t>ection 1.1.1 provides more detailed information on the JSA model).</w:t>
      </w:r>
    </w:p>
    <w:p w14:paraId="5778714F" w14:textId="67759336" w:rsidR="00834E3A" w:rsidRDefault="00834E3A" w:rsidP="00834E3A">
      <w:pPr>
        <w:spacing w:before="240"/>
      </w:pPr>
      <w:r>
        <w:t xml:space="preserve">A comprehensive evaluation of JSA 2009 has </w:t>
      </w:r>
      <w:r w:rsidR="00A67921">
        <w:t xml:space="preserve">also </w:t>
      </w:r>
      <w:r>
        <w:t xml:space="preserve">been completed </w:t>
      </w:r>
      <w:r w:rsidR="00A67921">
        <w:t xml:space="preserve">by the </w:t>
      </w:r>
      <w:r>
        <w:t xml:space="preserve">Department of </w:t>
      </w:r>
      <w:r w:rsidR="00A67921">
        <w:t>Employment, Skills, Small and Family Business</w:t>
      </w:r>
      <w:r w:rsidR="008669D9">
        <w:t xml:space="preserve"> </w:t>
      </w:r>
      <w:r>
        <w:t xml:space="preserve">(the </w:t>
      </w:r>
      <w:r w:rsidR="00A67921">
        <w:t>d</w:t>
      </w:r>
      <w:r>
        <w:t>epartment)</w:t>
      </w:r>
      <w:r w:rsidR="00AE75A0">
        <w:rPr>
          <w:rStyle w:val="FootnoteReference"/>
        </w:rPr>
        <w:footnoteReference w:id="4"/>
      </w:r>
      <w:r>
        <w:t>. This evaluation examines the effect of changes between the initial JSA model (</w:t>
      </w:r>
      <w:r w:rsidR="00714B69">
        <w:t xml:space="preserve">JSA </w:t>
      </w:r>
      <w:r>
        <w:t>2009) and the second iteration (</w:t>
      </w:r>
      <w:r w:rsidR="00714B69">
        <w:t xml:space="preserve">JSA </w:t>
      </w:r>
      <w:r>
        <w:t>2012).</w:t>
      </w:r>
    </w:p>
    <w:p w14:paraId="429FD1FE" w14:textId="77777777" w:rsidR="00834E3A" w:rsidRDefault="00834E3A" w:rsidP="00834E3A">
      <w:pPr>
        <w:pStyle w:val="Heading3"/>
      </w:pPr>
      <w:bookmarkStart w:id="32" w:name="_Toc22543025"/>
      <w:r>
        <w:t>Changes to Job Services Australia for the 2012 - 2015 period</w:t>
      </w:r>
      <w:bookmarkEnd w:id="32"/>
    </w:p>
    <w:p w14:paraId="0847E581" w14:textId="77777777" w:rsidR="00834E3A" w:rsidRDefault="00834E3A" w:rsidP="00834E3A">
      <w:pPr>
        <w:spacing w:after="0"/>
      </w:pPr>
      <w:r>
        <w:t>Changes to the JSA model between the 2009 and 2012 contracts include</w:t>
      </w:r>
      <w:r w:rsidR="000F73A7">
        <w:t>d</w:t>
      </w:r>
      <w:r>
        <w:t xml:space="preserve">: </w:t>
      </w:r>
    </w:p>
    <w:p w14:paraId="493C2C60" w14:textId="77777777" w:rsidR="00834E3A" w:rsidRPr="001F5AEC" w:rsidRDefault="00834E3A" w:rsidP="00054230">
      <w:pPr>
        <w:pStyle w:val="ListParagraph"/>
      </w:pPr>
      <w:r w:rsidRPr="001F5AEC">
        <w:t>changes to Stream 1 job seeker servicing</w:t>
      </w:r>
    </w:p>
    <w:p w14:paraId="247F46A7" w14:textId="0F4444E7" w:rsidR="00834E3A" w:rsidRPr="001F5AEC" w:rsidRDefault="00834E3A" w:rsidP="00054230">
      <w:pPr>
        <w:pStyle w:val="ListParagraph"/>
      </w:pPr>
      <w:r w:rsidRPr="001F5AEC">
        <w:t>cessation of automatic Stream Service</w:t>
      </w:r>
      <w:r w:rsidR="007D5BF1">
        <w:t>s</w:t>
      </w:r>
      <w:r w:rsidRPr="001F5AEC">
        <w:t xml:space="preserve"> Reviews (SSRs)</w:t>
      </w:r>
    </w:p>
    <w:p w14:paraId="41C63E19" w14:textId="77777777" w:rsidR="00834E3A" w:rsidRPr="00E34095" w:rsidRDefault="00834E3A" w:rsidP="00054230">
      <w:pPr>
        <w:pStyle w:val="ListParagraph"/>
      </w:pPr>
      <w:r w:rsidRPr="00E34095">
        <w:t>introduction of a Compulsory Activity Phase (CAP)</w:t>
      </w:r>
    </w:p>
    <w:p w14:paraId="6D491F38" w14:textId="77777777" w:rsidR="00834E3A" w:rsidRPr="006C1CF0" w:rsidRDefault="00834E3A" w:rsidP="00054230">
      <w:pPr>
        <w:pStyle w:val="ListParagraph"/>
      </w:pPr>
      <w:r w:rsidRPr="003F5085">
        <w:t>increased help for Indigenous job seekers</w:t>
      </w:r>
    </w:p>
    <w:p w14:paraId="293F94E4" w14:textId="77777777" w:rsidR="00834E3A" w:rsidRPr="006C1CF0" w:rsidRDefault="00834E3A" w:rsidP="00054230">
      <w:pPr>
        <w:pStyle w:val="ListParagraph"/>
      </w:pPr>
      <w:r w:rsidRPr="006C1CF0">
        <w:t>implementation of the Quality Standards Pilot</w:t>
      </w:r>
    </w:p>
    <w:p w14:paraId="073FB7E3" w14:textId="77777777" w:rsidR="00834E3A" w:rsidRPr="00EA214E" w:rsidRDefault="00834E3A" w:rsidP="00054230">
      <w:pPr>
        <w:pStyle w:val="ListParagraph"/>
      </w:pPr>
      <w:r w:rsidRPr="00553086">
        <w:t>changes to reduce red tape</w:t>
      </w:r>
    </w:p>
    <w:p w14:paraId="327E36C3" w14:textId="77777777" w:rsidR="00834E3A" w:rsidRPr="005C5E60" w:rsidRDefault="00834E3A" w:rsidP="00054230">
      <w:pPr>
        <w:pStyle w:val="ListParagraph"/>
      </w:pPr>
      <w:r w:rsidRPr="005C5E60">
        <w:t>changes to the job seeker compliance and participation framework</w:t>
      </w:r>
    </w:p>
    <w:p w14:paraId="2F07B2A1" w14:textId="77777777" w:rsidR="00834E3A" w:rsidRPr="00281F0C" w:rsidRDefault="00834E3A" w:rsidP="00054230">
      <w:pPr>
        <w:pStyle w:val="ListParagraph"/>
      </w:pPr>
      <w:r w:rsidRPr="001F5AEC">
        <w:t>amendments</w:t>
      </w:r>
      <w:r w:rsidRPr="00281F0C">
        <w:t xml:space="preserve"> to wage subsidies</w:t>
      </w:r>
      <w:r>
        <w:t>.</w:t>
      </w:r>
    </w:p>
    <w:p w14:paraId="555C9185" w14:textId="77777777" w:rsidR="00834E3A" w:rsidRDefault="00834E3A" w:rsidP="00834E3A">
      <w:r>
        <w:rPr>
          <w:rFonts w:cstheme="minorHAnsi"/>
        </w:rPr>
        <w:t>Table 1.1 provides more detail on these changes.</w:t>
      </w:r>
    </w:p>
    <w:p w14:paraId="5B477CA6" w14:textId="77777777" w:rsidR="00834E3A" w:rsidRDefault="00834E3A" w:rsidP="00834E3A">
      <w:pPr>
        <w:pStyle w:val="Heading2"/>
      </w:pPr>
      <w:bookmarkStart w:id="33" w:name="_Toc450919318"/>
      <w:bookmarkStart w:id="34" w:name="_Toc22543026"/>
      <w:r>
        <w:t>Policy context</w:t>
      </w:r>
      <w:bookmarkEnd w:id="33"/>
      <w:bookmarkEnd w:id="34"/>
    </w:p>
    <w:p w14:paraId="6085C445" w14:textId="77777777" w:rsidR="00834E3A" w:rsidRDefault="00834E3A" w:rsidP="00834E3A">
      <w:pPr>
        <w:pStyle w:val="bulletlist0"/>
        <w:tabs>
          <w:tab w:val="clear" w:pos="227"/>
          <w:tab w:val="clear" w:pos="284"/>
        </w:tabs>
        <w:suppressAutoHyphens w:val="0"/>
        <w:autoSpaceDE/>
        <w:autoSpaceDN/>
        <w:adjustRightInd/>
        <w:spacing w:line="276" w:lineRule="auto"/>
        <w:ind w:left="0" w:firstLine="0"/>
        <w:contextualSpacing/>
        <w:textAlignment w:val="auto"/>
      </w:pPr>
      <w:r w:rsidRPr="00BC326C">
        <w:t>External factors, such as the general economic climate and social policy changes affect the performance of employment services</w:t>
      </w:r>
      <w:r>
        <w:t xml:space="preserve"> as well as any comparisons made between the programmes</w:t>
      </w:r>
      <w:r w:rsidRPr="00BC326C">
        <w:t>.</w:t>
      </w:r>
    </w:p>
    <w:p w14:paraId="06C76E5A" w14:textId="77777777" w:rsidR="00834E3A" w:rsidRDefault="00834E3A" w:rsidP="00834E3A">
      <w:pPr>
        <w:pStyle w:val="Heading3"/>
      </w:pPr>
      <w:bookmarkStart w:id="35" w:name="_Toc22543027"/>
      <w:r>
        <w:t>The labour market</w:t>
      </w:r>
      <w:bookmarkEnd w:id="35"/>
    </w:p>
    <w:p w14:paraId="2BE119A9" w14:textId="77777777" w:rsidR="00834E3A" w:rsidRPr="003205F4" w:rsidRDefault="00834E3A" w:rsidP="00834E3A">
      <w:pPr>
        <w:rPr>
          <w:rStyle w:val="FootnoteReference"/>
        </w:rPr>
      </w:pPr>
      <w:r w:rsidRPr="002B5D93">
        <w:t xml:space="preserve">Employment services programmes </w:t>
      </w:r>
      <w:r>
        <w:t>are subject to</w:t>
      </w:r>
      <w:r w:rsidRPr="002B5D93">
        <w:t xml:space="preserve"> the economic environment in which they operate. </w:t>
      </w:r>
      <w:r w:rsidRPr="003C5A8D">
        <w:rPr>
          <w:rFonts w:cstheme="minorHAnsi"/>
        </w:rPr>
        <w:t>JSA 2009</w:t>
      </w:r>
      <w:r>
        <w:rPr>
          <w:rFonts w:cstheme="minorHAnsi"/>
        </w:rPr>
        <w:t xml:space="preserve"> </w:t>
      </w:r>
      <w:r w:rsidRPr="003C5A8D">
        <w:rPr>
          <w:rFonts w:cstheme="minorHAnsi"/>
        </w:rPr>
        <w:t xml:space="preserve">was introduced against the backdrop of the Global Financial Crisis (GFC), </w:t>
      </w:r>
      <w:r>
        <w:rPr>
          <w:rFonts w:cstheme="minorHAnsi"/>
        </w:rPr>
        <w:t xml:space="preserve">which was </w:t>
      </w:r>
      <w:r w:rsidRPr="003C5A8D">
        <w:rPr>
          <w:rFonts w:cstheme="minorHAnsi"/>
        </w:rPr>
        <w:t>marked by a deterioratin</w:t>
      </w:r>
      <w:r>
        <w:rPr>
          <w:rFonts w:cstheme="minorHAnsi"/>
        </w:rPr>
        <w:t>g</w:t>
      </w:r>
      <w:r w:rsidRPr="003C5A8D">
        <w:rPr>
          <w:rFonts w:cstheme="minorHAnsi"/>
        </w:rPr>
        <w:t xml:space="preserve"> Australian labour market</w:t>
      </w:r>
      <w:r>
        <w:rPr>
          <w:rFonts w:cstheme="minorHAnsi"/>
        </w:rPr>
        <w:t>. T</w:t>
      </w:r>
      <w:r w:rsidRPr="003C5A8D">
        <w:rPr>
          <w:rFonts w:cstheme="minorHAnsi"/>
        </w:rPr>
        <w:t xml:space="preserve">he market displayed remarkable resilience </w:t>
      </w:r>
      <w:r>
        <w:rPr>
          <w:rFonts w:cstheme="minorHAnsi"/>
        </w:rPr>
        <w:t>throughout</w:t>
      </w:r>
      <w:r w:rsidRPr="003C5A8D">
        <w:rPr>
          <w:rFonts w:cstheme="minorHAnsi"/>
        </w:rPr>
        <w:t xml:space="preserve"> 2010</w:t>
      </w:r>
      <w:r>
        <w:rPr>
          <w:rFonts w:cstheme="minorHAnsi"/>
        </w:rPr>
        <w:t xml:space="preserve"> but f</w:t>
      </w:r>
      <w:r>
        <w:t xml:space="preserve">rom </w:t>
      </w:r>
      <w:r w:rsidRPr="00FB1CA0">
        <w:t>2011-12</w:t>
      </w:r>
      <w:r>
        <w:t xml:space="preserve"> onwards</w:t>
      </w:r>
      <w:r w:rsidRPr="00FB1CA0">
        <w:t xml:space="preserve"> there was a clear slowdown</w:t>
      </w:r>
      <w:r>
        <w:rPr>
          <w:rFonts w:cstheme="minorHAnsi"/>
        </w:rPr>
        <w:t>.</w:t>
      </w:r>
    </w:p>
    <w:p w14:paraId="75A22D40" w14:textId="658B6B10" w:rsidR="00834E3A" w:rsidRPr="00640731" w:rsidRDefault="00834E3A" w:rsidP="00834E3A">
      <w:pPr>
        <w:spacing w:after="120"/>
      </w:pPr>
      <w:r>
        <w:t xml:space="preserve">The effect of macroeconomic conditions on the performance of employment services is demonstrated by the strong alignment between </w:t>
      </w:r>
      <w:r w:rsidRPr="008C74C6">
        <w:t xml:space="preserve">the </w:t>
      </w:r>
      <w:r>
        <w:t xml:space="preserve">monthly movements in the </w:t>
      </w:r>
      <w:r w:rsidRPr="008C74C6">
        <w:t>number of JSA job placements and the number of advertised jobs from September 2009</w:t>
      </w:r>
      <w:r>
        <w:t xml:space="preserve"> to </w:t>
      </w:r>
      <w:r w:rsidR="00CA4BA5">
        <w:t>June</w:t>
      </w:r>
      <w:r>
        <w:t xml:space="preserve"> 2015</w:t>
      </w:r>
      <w:r w:rsidR="00CA4BA5">
        <w:t xml:space="preserve"> (Figure 1.3)</w:t>
      </w:r>
      <w:r>
        <w:t>. It would be expected therefore</w:t>
      </w:r>
      <w:r w:rsidR="00CA4BA5">
        <w:t>,</w:t>
      </w:r>
      <w:r>
        <w:t xml:space="preserve"> that as a reflection of macroeconomic conditions alone, outcomes for JSA 2012 would be poorer than those of JSA 2009.</w:t>
      </w:r>
    </w:p>
    <w:p w14:paraId="69AEEDAE" w14:textId="77777777" w:rsidR="00834E3A" w:rsidRDefault="00834E3A" w:rsidP="00834E3A">
      <w:pPr>
        <w:pStyle w:val="Heading3"/>
      </w:pPr>
      <w:bookmarkStart w:id="36" w:name="_Toc22543028"/>
      <w:r>
        <w:t>Policy and programme c</w:t>
      </w:r>
      <w:r w:rsidRPr="00501B5A">
        <w:t>ontext</w:t>
      </w:r>
      <w:bookmarkEnd w:id="36"/>
    </w:p>
    <w:p w14:paraId="76E108BF" w14:textId="77777777" w:rsidR="00834E3A" w:rsidRDefault="00834E3A" w:rsidP="00834E3A">
      <w:pPr>
        <w:pStyle w:val="bullet"/>
        <w:numPr>
          <w:ilvl w:val="0"/>
          <w:numId w:val="0"/>
        </w:numPr>
      </w:pPr>
      <w:r>
        <w:t xml:space="preserve">The comparability of the programme outcomes between JSA 2009 and JSA 2012 </w:t>
      </w:r>
      <w:r w:rsidRPr="008669D9">
        <w:t>is</w:t>
      </w:r>
      <w:r>
        <w:t xml:space="preserve"> also affected by relevant policy changes implemented outside the JSA programme. The major factors which </w:t>
      </w:r>
      <w:r w:rsidRPr="008669D9">
        <w:t>affect</w:t>
      </w:r>
      <w:r>
        <w:t xml:space="preserve"> comparability for this evaluation are: </w:t>
      </w:r>
    </w:p>
    <w:p w14:paraId="32196DBD" w14:textId="15E7741B" w:rsidR="00834E3A" w:rsidRDefault="00834E3A" w:rsidP="000C7418">
      <w:pPr>
        <w:pStyle w:val="ListParagraph"/>
      </w:pPr>
      <w:r w:rsidRPr="00014556">
        <w:t>implementation of the Remote Jobs and Communities Program</w:t>
      </w:r>
      <w:r w:rsidR="00E60DA2">
        <w:t>me</w:t>
      </w:r>
      <w:r w:rsidRPr="00014556">
        <w:t xml:space="preserve"> (RJCP) on </w:t>
      </w:r>
      <w:r w:rsidR="00C84926">
        <w:t xml:space="preserve">1 </w:t>
      </w:r>
      <w:r w:rsidRPr="00014556">
        <w:t>July 2013</w:t>
      </w:r>
      <w:r>
        <w:t xml:space="preserve"> (</w:t>
      </w:r>
      <w:r w:rsidR="008669D9">
        <w:t>replaced by the</w:t>
      </w:r>
      <w:r>
        <w:t xml:space="preserve"> Community Development Programme – CDP</w:t>
      </w:r>
      <w:r w:rsidR="008669D9">
        <w:t xml:space="preserve"> in July 2015</w:t>
      </w:r>
      <w:r>
        <w:t>)</w:t>
      </w:r>
    </w:p>
    <w:p w14:paraId="56A22A2A" w14:textId="7D678BAE" w:rsidR="00E81FCC" w:rsidRDefault="00834E3A" w:rsidP="000C7418">
      <w:pPr>
        <w:pStyle w:val="ListParagraph"/>
      </w:pPr>
      <w:r>
        <w:t>w</w:t>
      </w:r>
      <w:r w:rsidRPr="00014556">
        <w:t xml:space="preserve">elfare system changes </w:t>
      </w:r>
      <w:r>
        <w:t xml:space="preserve">around </w:t>
      </w:r>
      <w:r w:rsidRPr="00014556">
        <w:t xml:space="preserve">Parenting Payment (PP) </w:t>
      </w:r>
      <w:r w:rsidR="00E81FCC">
        <w:t>(from January 2013)</w:t>
      </w:r>
    </w:p>
    <w:p w14:paraId="1493CA4C" w14:textId="62B2FA75" w:rsidR="00834E3A" w:rsidRDefault="00E81FCC" w:rsidP="000C7418">
      <w:pPr>
        <w:pStyle w:val="ListParagraph"/>
      </w:pPr>
      <w:r>
        <w:t>welfare system changes around</w:t>
      </w:r>
      <w:r w:rsidRPr="00014556">
        <w:t xml:space="preserve"> </w:t>
      </w:r>
      <w:r w:rsidR="00834E3A" w:rsidRPr="00014556">
        <w:t xml:space="preserve">Disability Support Pension </w:t>
      </w:r>
      <w:r w:rsidR="00834E3A">
        <w:t>(DSP)</w:t>
      </w:r>
      <w:r>
        <w:t xml:space="preserve"> (from September 2011) </w:t>
      </w:r>
    </w:p>
    <w:p w14:paraId="04C488E6" w14:textId="77777777" w:rsidR="00834E3A" w:rsidRDefault="00834E3A" w:rsidP="000C7418">
      <w:pPr>
        <w:pStyle w:val="ListParagraph"/>
      </w:pPr>
      <w:r>
        <w:t>c</w:t>
      </w:r>
      <w:r w:rsidRPr="00014556">
        <w:t>hanging participation requirements for DSP recipients under 35 (from July 2014)</w:t>
      </w:r>
    </w:p>
    <w:p w14:paraId="02C49761" w14:textId="77777777" w:rsidR="00834E3A" w:rsidRDefault="00834E3A" w:rsidP="000C7418">
      <w:pPr>
        <w:pStyle w:val="ListParagraph"/>
      </w:pPr>
      <w:r w:rsidRPr="00014556">
        <w:t xml:space="preserve">implementation of the Work for the Dole </w:t>
      </w:r>
      <w:r>
        <w:t xml:space="preserve">(WfD) </w:t>
      </w:r>
      <w:r w:rsidRPr="00014556">
        <w:t>2014 – 2015</w:t>
      </w:r>
    </w:p>
    <w:p w14:paraId="4AF02414" w14:textId="77777777" w:rsidR="00834E3A" w:rsidRDefault="00834E3A" w:rsidP="000C7418">
      <w:pPr>
        <w:pStyle w:val="ListParagraph"/>
      </w:pPr>
      <w:r>
        <w:t>r</w:t>
      </w:r>
      <w:r w:rsidRPr="00014556">
        <w:t>eforms</w:t>
      </w:r>
      <w:r>
        <w:t xml:space="preserve"> to the Job Capacity Assessment (JCA) programme (from February 2011).</w:t>
      </w:r>
    </w:p>
    <w:p w14:paraId="79A4E3D0" w14:textId="77777777" w:rsidR="00834E3A" w:rsidRDefault="00834E3A" w:rsidP="00834E3A">
      <w:pPr>
        <w:pStyle w:val="bullet"/>
        <w:numPr>
          <w:ilvl w:val="0"/>
          <w:numId w:val="0"/>
        </w:numPr>
        <w:spacing w:before="240"/>
      </w:pPr>
      <w:r>
        <w:t>Table 1.2 provides detail on these factors and how they have been accounted for in the context of this evaluation.</w:t>
      </w:r>
    </w:p>
    <w:p w14:paraId="45C49D85" w14:textId="77777777" w:rsidR="00834E3A" w:rsidRDefault="00834E3A" w:rsidP="00834E3A">
      <w:pPr>
        <w:pStyle w:val="Heading2"/>
      </w:pPr>
      <w:bookmarkStart w:id="37" w:name="_Toc450919319"/>
      <w:bookmarkStart w:id="38" w:name="_Toc22543029"/>
      <w:r w:rsidRPr="008669D9">
        <w:t>Evaluation approach</w:t>
      </w:r>
      <w:bookmarkEnd w:id="37"/>
      <w:bookmarkEnd w:id="38"/>
    </w:p>
    <w:p w14:paraId="22DBD401" w14:textId="77777777" w:rsidR="00834E3A" w:rsidRPr="00C86D0C" w:rsidRDefault="00834E3A" w:rsidP="00834E3A">
      <w:pPr>
        <w:pStyle w:val="Heading3"/>
      </w:pPr>
      <w:bookmarkStart w:id="39" w:name="_Toc22543030"/>
      <w:r w:rsidRPr="00C86D0C">
        <w:t xml:space="preserve">Evaluation </w:t>
      </w:r>
      <w:r>
        <w:t>q</w:t>
      </w:r>
      <w:r w:rsidRPr="00C86D0C">
        <w:t>uestions</w:t>
      </w:r>
      <w:bookmarkEnd w:id="39"/>
    </w:p>
    <w:p w14:paraId="6660F849" w14:textId="702629EB" w:rsidR="00834E3A" w:rsidRPr="002C427C" w:rsidRDefault="00834E3A" w:rsidP="00834E3A">
      <w:r w:rsidRPr="002C427C">
        <w:t xml:space="preserve">The evaluation focused on a number of questions which addressed the relative performance of JSA over the second contract period and the way specific programme changes since the first contract affected operation of the JSA model. The full list of evaluation questions </w:t>
      </w:r>
      <w:r w:rsidR="008669D9">
        <w:t>is</w:t>
      </w:r>
      <w:r w:rsidR="008669D9" w:rsidRPr="002C427C">
        <w:t xml:space="preserve"> </w:t>
      </w:r>
      <w:r w:rsidRPr="002C427C">
        <w:t xml:space="preserve">outlined in </w:t>
      </w:r>
      <w:r w:rsidR="003649E1" w:rsidRPr="002C427C">
        <w:t>s</w:t>
      </w:r>
      <w:r w:rsidRPr="002C427C">
        <w:t>ection 1.3.1.</w:t>
      </w:r>
    </w:p>
    <w:p w14:paraId="31220520" w14:textId="77777777" w:rsidR="00834E3A" w:rsidRPr="002C427C" w:rsidRDefault="00834E3A" w:rsidP="00834E3A">
      <w:pPr>
        <w:pStyle w:val="Heading3"/>
      </w:pPr>
      <w:bookmarkStart w:id="40" w:name="_Toc22543031"/>
      <w:r w:rsidRPr="002C427C">
        <w:t>Methodology</w:t>
      </w:r>
      <w:bookmarkEnd w:id="40"/>
    </w:p>
    <w:p w14:paraId="012B7917" w14:textId="77777777" w:rsidR="00834E3A" w:rsidRPr="002C427C" w:rsidRDefault="00834E3A" w:rsidP="00834E3A">
      <w:r w:rsidRPr="002C427C">
        <w:t>Effectiveness comparisons in this evaluation use two types of core study populations from JSA 2009 and JSA 2012 to compare the two JSA models; these are inflow and caseload populations. Section 2.2 provides details of the study populations and their composition.</w:t>
      </w:r>
    </w:p>
    <w:p w14:paraId="7BD1205F" w14:textId="77777777" w:rsidR="00834E3A" w:rsidRPr="002C427C" w:rsidRDefault="00834E3A" w:rsidP="00834E3A">
      <w:r w:rsidRPr="002C427C">
        <w:t xml:space="preserve">The core study populations </w:t>
      </w:r>
      <w:r w:rsidR="00F61C56" w:rsidRPr="002C427C">
        <w:t xml:space="preserve">were </w:t>
      </w:r>
      <w:r w:rsidRPr="002C427C">
        <w:t xml:space="preserve">designed to be as similar as possible across the models, with some unavoidable differences. Where possible, these differences </w:t>
      </w:r>
      <w:r w:rsidR="00F61C56" w:rsidRPr="002C427C">
        <w:t xml:space="preserve">were </w:t>
      </w:r>
      <w:r w:rsidRPr="002C427C">
        <w:t>managed through: exclusion of particular groups; statistical methods such as regression techniques; and setting appropriate study periods.</w:t>
      </w:r>
    </w:p>
    <w:p w14:paraId="20D3E57C" w14:textId="77777777" w:rsidR="00834E3A" w:rsidRPr="002C427C" w:rsidRDefault="00834E3A" w:rsidP="00834E3A">
      <w:r w:rsidRPr="002C427C">
        <w:t>To account for service delivery changes affecting different groups of job seekers at different stages of their service history, specific groups of job seekers were selected from the core study populations (and in some cases outside of them) and used in separate analyses. Appendix B provides details of these various methodologies.</w:t>
      </w:r>
    </w:p>
    <w:p w14:paraId="2D9204DA" w14:textId="470DE4B3" w:rsidR="00834E3A" w:rsidRDefault="00834E3A" w:rsidP="00834E3A">
      <w:pPr>
        <w:rPr>
          <w:rFonts w:asciiTheme="majorHAnsi" w:eastAsia="Times New Roman" w:hAnsiTheme="majorHAnsi" w:cstheme="majorBidi"/>
          <w:b/>
          <w:bCs/>
          <w:color w:val="165788" w:themeColor="accent1"/>
          <w:sz w:val="26"/>
          <w:szCs w:val="26"/>
        </w:rPr>
      </w:pPr>
      <w:r w:rsidRPr="002C427C">
        <w:t>A range of data sources ha</w:t>
      </w:r>
      <w:r w:rsidR="008669D9">
        <w:t>s</w:t>
      </w:r>
      <w:r w:rsidRPr="002C427C">
        <w:t xml:space="preserve"> been used for this evaluation (</w:t>
      </w:r>
      <w:r w:rsidR="003649E1" w:rsidRPr="002C427C">
        <w:t>s</w:t>
      </w:r>
      <w:r w:rsidRPr="002C427C">
        <w:t>ection 1.3.3 provides details). The scope and limitations of this evaluation are</w:t>
      </w:r>
      <w:r>
        <w:t xml:space="preserve"> outlined in </w:t>
      </w:r>
      <w:r w:rsidR="003649E1">
        <w:t>s</w:t>
      </w:r>
      <w:r>
        <w:t>ection 1.4 and the relevant sections of the report.</w:t>
      </w:r>
      <w:bookmarkStart w:id="41" w:name="_Toc444867963"/>
      <w:bookmarkStart w:id="42" w:name="_Toc449437962"/>
    </w:p>
    <w:p w14:paraId="55D0DE0F" w14:textId="69B97998" w:rsidR="00834E3A" w:rsidRDefault="00834E3A" w:rsidP="00834E3A">
      <w:pPr>
        <w:pStyle w:val="Heading2"/>
        <w:rPr>
          <w:rFonts w:eastAsia="Times New Roman"/>
        </w:rPr>
      </w:pPr>
      <w:bookmarkStart w:id="43" w:name="_Toc450919320"/>
      <w:bookmarkStart w:id="44" w:name="_Toc22543032"/>
      <w:r>
        <w:rPr>
          <w:rFonts w:eastAsia="Times New Roman"/>
        </w:rPr>
        <w:t xml:space="preserve">What </w:t>
      </w:r>
      <w:r w:rsidRPr="004D5568">
        <w:t>worked</w:t>
      </w:r>
      <w:r>
        <w:rPr>
          <w:rFonts w:eastAsia="Times New Roman"/>
        </w:rPr>
        <w:t xml:space="preserve"> well</w:t>
      </w:r>
      <w:bookmarkEnd w:id="41"/>
      <w:bookmarkEnd w:id="42"/>
      <w:bookmarkEnd w:id="43"/>
      <w:bookmarkEnd w:id="44"/>
    </w:p>
    <w:p w14:paraId="48E3CE80" w14:textId="77777777" w:rsidR="00834E3A" w:rsidRDefault="00834E3A" w:rsidP="00834E3A">
      <w:pPr>
        <w:pStyle w:val="Heading3"/>
      </w:pPr>
      <w:bookmarkStart w:id="45" w:name="_Toc22543033"/>
      <w:bookmarkStart w:id="46" w:name="_Toc444867970"/>
      <w:bookmarkStart w:id="47" w:name="_Toc449437969"/>
      <w:r>
        <w:t>Effectiveness</w:t>
      </w:r>
      <w:bookmarkEnd w:id="45"/>
    </w:p>
    <w:p w14:paraId="6675D14D" w14:textId="77777777" w:rsidR="00834E3A" w:rsidRPr="001B7264" w:rsidRDefault="00834E3A" w:rsidP="00834E3A">
      <w:pPr>
        <w:pStyle w:val="Heading4"/>
      </w:pPr>
      <w:r>
        <w:t>Part-time e</w:t>
      </w:r>
      <w:r w:rsidRPr="005C0C1A">
        <w:t>mployment</w:t>
      </w:r>
      <w:r>
        <w:t xml:space="preserve"> o</w:t>
      </w:r>
      <w:r w:rsidRPr="001B7264">
        <w:t>utcomes</w:t>
      </w:r>
      <w:r>
        <w:t xml:space="preserve"> </w:t>
      </w:r>
    </w:p>
    <w:p w14:paraId="50EB57C8" w14:textId="77777777" w:rsidR="00834E3A" w:rsidRDefault="00834E3A" w:rsidP="00834E3A">
      <w:r>
        <w:t xml:space="preserve">Part-time employment outcomes </w:t>
      </w:r>
      <w:r w:rsidRPr="008669D9">
        <w:t>were</w:t>
      </w:r>
      <w:r>
        <w:t xml:space="preserve"> generally better under JSA 2012 for </w:t>
      </w:r>
      <w:r w:rsidR="00A52ADC">
        <w:t>long-term unemployed (LTU)</w:t>
      </w:r>
      <w:r>
        <w:t xml:space="preserve"> job seekers, as measured by Post Programme Monitoring (PPM) survey data. H</w:t>
      </w:r>
      <w:r w:rsidRPr="00940174">
        <w:t xml:space="preserve">igher proportions of </w:t>
      </w:r>
      <w:r>
        <w:t xml:space="preserve">long-term unemployed (LTU) </w:t>
      </w:r>
      <w:r w:rsidRPr="00940174">
        <w:t xml:space="preserve">job seekers in JSA 2012 </w:t>
      </w:r>
      <w:r w:rsidRPr="008669D9">
        <w:t>were</w:t>
      </w:r>
      <w:r w:rsidRPr="00940174">
        <w:t xml:space="preserve"> in part-time employment in all </w:t>
      </w:r>
      <w:r>
        <w:t>s</w:t>
      </w:r>
      <w:r w:rsidRPr="00940174">
        <w:t>treams except Stream 1</w:t>
      </w:r>
      <w:r>
        <w:t xml:space="preserve">. </w:t>
      </w:r>
      <w:r w:rsidRPr="00940174">
        <w:t xml:space="preserve">The same general pattern of </w:t>
      </w:r>
      <w:r>
        <w:t>higher</w:t>
      </w:r>
      <w:r w:rsidRPr="00940174">
        <w:t xml:space="preserve"> part-time employment outcomes </w:t>
      </w:r>
      <w:r w:rsidRPr="008669D9">
        <w:t>is</w:t>
      </w:r>
      <w:r w:rsidRPr="00940174">
        <w:t xml:space="preserve"> evident across most job seeker groups</w:t>
      </w:r>
      <w:r w:rsidR="00A52ADC">
        <w:t xml:space="preserve">, except </w:t>
      </w:r>
      <w:r w:rsidR="00A52ADC" w:rsidRPr="00940174">
        <w:t>mature age job seekers</w:t>
      </w:r>
      <w:r w:rsidR="00A52ADC">
        <w:t xml:space="preserve"> and job seekers</w:t>
      </w:r>
      <w:r w:rsidR="00A52ADC" w:rsidRPr="00940174">
        <w:t xml:space="preserve"> with disability with employment restrictions.</w:t>
      </w:r>
    </w:p>
    <w:p w14:paraId="6F936134" w14:textId="77777777" w:rsidR="00834E3A" w:rsidRDefault="00834E3A" w:rsidP="00834E3A">
      <w:pPr>
        <w:pStyle w:val="Heading4"/>
      </w:pPr>
      <w:r>
        <w:t>Education o</w:t>
      </w:r>
      <w:r w:rsidRPr="001B7264">
        <w:t>utcomes</w:t>
      </w:r>
    </w:p>
    <w:p w14:paraId="04050806" w14:textId="77777777" w:rsidR="00834E3A" w:rsidRDefault="004D241C" w:rsidP="00834E3A">
      <w:pPr>
        <w:rPr>
          <w:rFonts w:eastAsia="Times New Roman"/>
        </w:rPr>
      </w:pPr>
      <w:r>
        <w:t xml:space="preserve">Education outcomes for Stream 4 new entrant job seekers </w:t>
      </w:r>
      <w:r w:rsidRPr="008669D9">
        <w:t>were</w:t>
      </w:r>
      <w:r>
        <w:t xml:space="preserve"> higher under JSA 2012, however education outcomes for those in the other three Streams and in total </w:t>
      </w:r>
      <w:r w:rsidRPr="008669D9">
        <w:t>were</w:t>
      </w:r>
      <w:r>
        <w:t xml:space="preserve"> </w:t>
      </w:r>
      <w:r w:rsidR="00A52ADC">
        <w:t>similar between the two models</w:t>
      </w:r>
      <w:r>
        <w:t xml:space="preserve">. </w:t>
      </w:r>
      <w:r w:rsidR="00834E3A">
        <w:t xml:space="preserve">Education outcomes for LTU </w:t>
      </w:r>
      <w:r w:rsidR="00834E3A" w:rsidRPr="008669D9">
        <w:t>were</w:t>
      </w:r>
      <w:r w:rsidR="00834E3A">
        <w:t xml:space="preserve"> also higher under JSA 2012</w:t>
      </w:r>
      <w:r>
        <w:t>, with h</w:t>
      </w:r>
      <w:r w:rsidR="00834E3A" w:rsidRPr="00940174">
        <w:t xml:space="preserve">igher proportions of </w:t>
      </w:r>
      <w:r w:rsidR="00834E3A">
        <w:t xml:space="preserve">LTU </w:t>
      </w:r>
      <w:r w:rsidR="00834E3A" w:rsidRPr="00940174">
        <w:t xml:space="preserve">job seekers in JSA 2012 reported being in education in all </w:t>
      </w:r>
      <w:r w:rsidR="00834E3A">
        <w:t>s</w:t>
      </w:r>
      <w:r w:rsidR="00834E3A" w:rsidRPr="00940174">
        <w:t>treams except Stream 1</w:t>
      </w:r>
      <w:r w:rsidR="00834E3A">
        <w:t>.</w:t>
      </w:r>
      <w:r>
        <w:t xml:space="preserve"> </w:t>
      </w:r>
    </w:p>
    <w:p w14:paraId="501172AB" w14:textId="77777777" w:rsidR="00834E3A" w:rsidRPr="0054577F" w:rsidRDefault="00834E3A" w:rsidP="00834E3A">
      <w:pPr>
        <w:pStyle w:val="Heading3"/>
      </w:pPr>
      <w:bookmarkStart w:id="48" w:name="_Toc22543034"/>
      <w:r w:rsidRPr="004D5568">
        <w:t>Efficiency</w:t>
      </w:r>
      <w:bookmarkEnd w:id="48"/>
    </w:p>
    <w:p w14:paraId="4868F591" w14:textId="77777777" w:rsidR="00834E3A" w:rsidRDefault="00834E3A" w:rsidP="00834E3A">
      <w:pPr>
        <w:pStyle w:val="Heading4"/>
      </w:pPr>
      <w:r>
        <w:t>Cost per employment outcome</w:t>
      </w:r>
    </w:p>
    <w:p w14:paraId="7DA1A7A5" w14:textId="77777777" w:rsidR="00834E3A" w:rsidRDefault="00834E3A" w:rsidP="00834E3A">
      <w:r>
        <w:t xml:space="preserve">Costs per employment outcome </w:t>
      </w:r>
      <w:r w:rsidRPr="008669D9">
        <w:t>were</w:t>
      </w:r>
      <w:r>
        <w:t xml:space="preserve"> generally lower under JSA 2012. In Streams 1 to 3, the cost per employment outcome </w:t>
      </w:r>
      <w:r w:rsidRPr="008669D9">
        <w:t>was</w:t>
      </w:r>
      <w:r>
        <w:t xml:space="preserve"> lower each year by between $90 and $440. For those in Stream 4 the year one rates </w:t>
      </w:r>
      <w:r w:rsidRPr="008669D9">
        <w:t>were</w:t>
      </w:r>
      <w:r>
        <w:t xml:space="preserve"> more divergent possibly in part because of transition between the two models, and actually increased slightly (by 2.1 per cent) in the third year.</w:t>
      </w:r>
    </w:p>
    <w:p w14:paraId="3DA95B54" w14:textId="77777777" w:rsidR="00834E3A" w:rsidRPr="004D5568" w:rsidRDefault="00834E3A" w:rsidP="00834E3A">
      <w:pPr>
        <w:pStyle w:val="Heading4"/>
      </w:pPr>
      <w:r w:rsidRPr="005C0C1A">
        <w:t xml:space="preserve">Overall </w:t>
      </w:r>
      <w:r w:rsidRPr="004D5568">
        <w:t>expenditure on JSA</w:t>
      </w:r>
    </w:p>
    <w:p w14:paraId="25217F0F" w14:textId="77777777" w:rsidR="00834E3A" w:rsidRDefault="00834E3A" w:rsidP="00834E3A">
      <w:r>
        <w:t xml:space="preserve">There </w:t>
      </w:r>
      <w:r w:rsidRPr="008669D9">
        <w:t>was</w:t>
      </w:r>
      <w:r>
        <w:t xml:space="preserve"> less overall expenditure in JSA 2012 than JSA 2009</w:t>
      </w:r>
      <w:r w:rsidR="00F61C56">
        <w:t xml:space="preserve"> </w:t>
      </w:r>
      <w:r>
        <w:t>(by approximately 11 per cent). Using</w:t>
      </w:r>
      <w:r w:rsidRPr="00F347F8">
        <w:t xml:space="preserve"> service</w:t>
      </w:r>
      <w:r>
        <w:t xml:space="preserve"> and placement</w:t>
      </w:r>
      <w:r w:rsidRPr="00F347F8">
        <w:t xml:space="preserve"> fees</w:t>
      </w:r>
      <w:r>
        <w:t xml:space="preserve"> and </w:t>
      </w:r>
      <w:r w:rsidRPr="00F347F8">
        <w:t>E</w:t>
      </w:r>
      <w:r>
        <w:t xml:space="preserve">mployment </w:t>
      </w:r>
      <w:r w:rsidRPr="00F347F8">
        <w:t>P</w:t>
      </w:r>
      <w:r>
        <w:t xml:space="preserve">athway </w:t>
      </w:r>
      <w:r w:rsidRPr="00F347F8">
        <w:t>F</w:t>
      </w:r>
      <w:r>
        <w:t>und (EPF) expenditure as a measure</w:t>
      </w:r>
      <w:r w:rsidRPr="00F347F8">
        <w:t xml:space="preserve">, the average cost of servicing a reference job seeker </w:t>
      </w:r>
      <w:r>
        <w:t xml:space="preserve">in </w:t>
      </w:r>
      <w:r w:rsidRPr="00F347F8">
        <w:t xml:space="preserve">the first year </w:t>
      </w:r>
      <w:r>
        <w:t>since commencement</w:t>
      </w:r>
      <w:r w:rsidRPr="00F347F8">
        <w:t xml:space="preserve"> </w:t>
      </w:r>
      <w:r>
        <w:t xml:space="preserve">in JSA 2009 </w:t>
      </w:r>
      <w:r w:rsidRPr="008669D9">
        <w:t>was</w:t>
      </w:r>
      <w:r w:rsidRPr="00F347F8">
        <w:t xml:space="preserve"> $435 </w:t>
      </w:r>
      <w:r>
        <w:t>compared with</w:t>
      </w:r>
      <w:r w:rsidRPr="00F347F8">
        <w:t xml:space="preserve"> $325 </w:t>
      </w:r>
      <w:r>
        <w:t>in</w:t>
      </w:r>
      <w:r w:rsidRPr="00F347F8">
        <w:t xml:space="preserve"> JSA 2012. </w:t>
      </w:r>
    </w:p>
    <w:p w14:paraId="11141840" w14:textId="77777777" w:rsidR="00834E3A" w:rsidRDefault="00834E3A" w:rsidP="00834E3A">
      <w:pPr>
        <w:pStyle w:val="Heading4"/>
      </w:pPr>
      <w:r>
        <w:t>Changes to administrative procedures</w:t>
      </w:r>
    </w:p>
    <w:p w14:paraId="4AF312C3" w14:textId="77777777" w:rsidR="00834E3A" w:rsidRDefault="00834E3A" w:rsidP="00834E3A">
      <w:r>
        <w:rPr>
          <w:rFonts w:cstheme="minorHAnsi"/>
        </w:rPr>
        <w:t>Annual e</w:t>
      </w:r>
      <w:r w:rsidRPr="00BC4CE0">
        <w:rPr>
          <w:rFonts w:cstheme="minorHAnsi"/>
        </w:rPr>
        <w:t>stimates</w:t>
      </w:r>
      <w:r>
        <w:rPr>
          <w:rFonts w:cstheme="minorHAnsi"/>
        </w:rPr>
        <w:t xml:space="preserve"> of</w:t>
      </w:r>
      <w:r w:rsidRPr="00BC4CE0">
        <w:rPr>
          <w:rFonts w:cstheme="minorHAnsi"/>
        </w:rPr>
        <w:t xml:space="preserve"> </w:t>
      </w:r>
      <w:r>
        <w:rPr>
          <w:rFonts w:cstheme="minorHAnsi"/>
        </w:rPr>
        <w:t>red tape</w:t>
      </w:r>
      <w:r w:rsidRPr="00BC4CE0">
        <w:rPr>
          <w:rFonts w:cstheme="minorHAnsi"/>
        </w:rPr>
        <w:t xml:space="preserve"> </w:t>
      </w:r>
      <w:r>
        <w:rPr>
          <w:rFonts w:cstheme="minorHAnsi"/>
        </w:rPr>
        <w:t xml:space="preserve">costs </w:t>
      </w:r>
      <w:r w:rsidRPr="008669D9">
        <w:rPr>
          <w:rFonts w:cstheme="minorHAnsi"/>
        </w:rPr>
        <w:t>were</w:t>
      </w:r>
      <w:r w:rsidRPr="00BC4CE0">
        <w:rPr>
          <w:rFonts w:cstheme="minorHAnsi"/>
        </w:rPr>
        <w:t xml:space="preserve"> produced by the Department for</w:t>
      </w:r>
      <w:r>
        <w:rPr>
          <w:rFonts w:cstheme="minorHAnsi"/>
        </w:rPr>
        <w:t xml:space="preserve"> both JSA contracts</w:t>
      </w:r>
      <w:r w:rsidRPr="00BC4CE0">
        <w:rPr>
          <w:rFonts w:cstheme="minorHAnsi"/>
        </w:rPr>
        <w:t xml:space="preserve"> </w:t>
      </w:r>
      <w:r>
        <w:rPr>
          <w:rFonts w:cstheme="minorHAnsi"/>
        </w:rPr>
        <w:t xml:space="preserve">as part of the Department’s Regulatory Impact Statement. Overall red tape estimates </w:t>
      </w:r>
      <w:r w:rsidRPr="008669D9">
        <w:rPr>
          <w:rFonts w:cstheme="minorHAnsi"/>
        </w:rPr>
        <w:t>declined</w:t>
      </w:r>
      <w:r>
        <w:rPr>
          <w:rFonts w:cstheme="minorHAnsi"/>
        </w:rPr>
        <w:t xml:space="preserve"> significantly between JSA 2009 and </w:t>
      </w:r>
      <w:r w:rsidR="00F61C56">
        <w:rPr>
          <w:rFonts w:cstheme="minorHAnsi"/>
        </w:rPr>
        <w:t xml:space="preserve">JSA </w:t>
      </w:r>
      <w:r>
        <w:rPr>
          <w:rFonts w:cstheme="minorHAnsi"/>
        </w:rPr>
        <w:t>2012,</w:t>
      </w:r>
      <w:r w:rsidRPr="00F06DE7">
        <w:rPr>
          <w:rFonts w:cstheme="minorHAnsi"/>
        </w:rPr>
        <w:t xml:space="preserve"> </w:t>
      </w:r>
      <w:r>
        <w:rPr>
          <w:rFonts w:cstheme="minorHAnsi"/>
        </w:rPr>
        <w:t>from $</w:t>
      </w:r>
      <w:r w:rsidR="00F24C80">
        <w:rPr>
          <w:rFonts w:cstheme="minorHAnsi"/>
        </w:rPr>
        <w:t xml:space="preserve">321.9 </w:t>
      </w:r>
      <w:r>
        <w:rPr>
          <w:rFonts w:cstheme="minorHAnsi"/>
        </w:rPr>
        <w:t>million to $</w:t>
      </w:r>
      <w:r w:rsidR="00F24C80">
        <w:rPr>
          <w:rFonts w:cstheme="minorHAnsi"/>
        </w:rPr>
        <w:t xml:space="preserve">259.3 </w:t>
      </w:r>
      <w:r>
        <w:rPr>
          <w:rFonts w:cstheme="minorHAnsi"/>
        </w:rPr>
        <w:t>million per annum (</w:t>
      </w:r>
      <w:r w:rsidR="00F24C80">
        <w:rPr>
          <w:rFonts w:cstheme="minorHAnsi"/>
        </w:rPr>
        <w:t>19.</w:t>
      </w:r>
      <w:r w:rsidR="00A81C03">
        <w:rPr>
          <w:rFonts w:cstheme="minorHAnsi"/>
        </w:rPr>
        <w:t>5</w:t>
      </w:r>
      <w:r>
        <w:rPr>
          <w:rFonts w:cstheme="minorHAnsi"/>
        </w:rPr>
        <w:t> </w:t>
      </w:r>
      <w:r w:rsidRPr="007E3DA2">
        <w:rPr>
          <w:rFonts w:cstheme="minorHAnsi"/>
        </w:rPr>
        <w:t>per cent</w:t>
      </w:r>
      <w:r>
        <w:rPr>
          <w:rFonts w:cstheme="minorHAnsi"/>
        </w:rPr>
        <w:t xml:space="preserve">). Red tape costs </w:t>
      </w:r>
      <w:r w:rsidRPr="008669D9">
        <w:rPr>
          <w:rFonts w:cstheme="minorHAnsi"/>
        </w:rPr>
        <w:t>were</w:t>
      </w:r>
      <w:r>
        <w:rPr>
          <w:rFonts w:cstheme="minorHAnsi"/>
        </w:rPr>
        <w:t xml:space="preserve"> around the same or dropped in JSA 2012 by most measures, most noticeably Stream Services Operations (by 59.6 per cent). The most significant rise in red tape between the two models </w:t>
      </w:r>
      <w:r w:rsidRPr="008669D9">
        <w:rPr>
          <w:rFonts w:cstheme="minorHAnsi"/>
        </w:rPr>
        <w:t>was</w:t>
      </w:r>
      <w:r>
        <w:rPr>
          <w:rFonts w:cstheme="minorHAnsi"/>
        </w:rPr>
        <w:t xml:space="preserve"> in Job Seeker Compliance and Participation (by </w:t>
      </w:r>
      <w:r w:rsidR="00F24C80">
        <w:rPr>
          <w:rFonts w:cstheme="minorHAnsi"/>
        </w:rPr>
        <w:t>39.6</w:t>
      </w:r>
      <w:r>
        <w:rPr>
          <w:rFonts w:cstheme="minorHAnsi"/>
        </w:rPr>
        <w:t xml:space="preserve"> per cent). </w:t>
      </w:r>
    </w:p>
    <w:p w14:paraId="6A238F90" w14:textId="77777777" w:rsidR="00834E3A" w:rsidRDefault="007B743F" w:rsidP="00834E3A">
      <w:r>
        <w:t>Over</w:t>
      </w:r>
      <w:r w:rsidR="00834E3A">
        <w:t xml:space="preserve"> three-quarters (</w:t>
      </w:r>
      <w:r w:rsidR="00F24C80">
        <w:t xml:space="preserve">84.5 </w:t>
      </w:r>
      <w:r w:rsidR="00834E3A">
        <w:t xml:space="preserve">per cent) of all red tape costs </w:t>
      </w:r>
      <w:r w:rsidR="00834E3A" w:rsidRPr="008669D9">
        <w:t>were</w:t>
      </w:r>
      <w:r w:rsidR="00834E3A">
        <w:t xml:space="preserve"> incurred by providers. </w:t>
      </w:r>
      <w:r w:rsidR="00834E3A" w:rsidRPr="00BB6089">
        <w:t xml:space="preserve">Despite </w:t>
      </w:r>
      <w:r w:rsidR="00834E3A">
        <w:t xml:space="preserve">estimated </w:t>
      </w:r>
      <w:r w:rsidR="00834E3A" w:rsidRPr="00BB6089">
        <w:t xml:space="preserve">reductions in red tape over the JSA contract period, the level of red tape in employment services </w:t>
      </w:r>
      <w:r w:rsidR="00834E3A" w:rsidRPr="008669D9">
        <w:t>remains</w:t>
      </w:r>
      <w:r w:rsidR="00834E3A" w:rsidRPr="00BB6089">
        <w:t xml:space="preserve"> significant. Und</w:t>
      </w:r>
      <w:r w:rsidR="00834E3A">
        <w:t>er JSA 2012, annual red tape</w:t>
      </w:r>
      <w:r w:rsidR="00834E3A" w:rsidRPr="00BB6089">
        <w:t xml:space="preserve"> cost estimates </w:t>
      </w:r>
      <w:r w:rsidR="00834E3A">
        <w:t>were equivalent</w:t>
      </w:r>
      <w:r w:rsidR="00834E3A" w:rsidRPr="00BB6089">
        <w:t xml:space="preserve"> to approximately </w:t>
      </w:r>
      <w:r w:rsidR="00F24C80">
        <w:t>20.9</w:t>
      </w:r>
      <w:r w:rsidR="00834E3A" w:rsidRPr="00BB6089">
        <w:t xml:space="preserve"> per cent of programme funding. </w:t>
      </w:r>
    </w:p>
    <w:p w14:paraId="6A69FA9C" w14:textId="77777777" w:rsidR="00834E3A" w:rsidRDefault="00834E3A" w:rsidP="00834E3A">
      <w:pPr>
        <w:pStyle w:val="Heading4"/>
      </w:pPr>
      <w:r w:rsidRPr="00D42784">
        <w:t xml:space="preserve">Changes to the </w:t>
      </w:r>
      <w:r w:rsidRPr="003719BA">
        <w:t>job seeker participation and compliance framework</w:t>
      </w:r>
    </w:p>
    <w:p w14:paraId="7EC032DF" w14:textId="77777777" w:rsidR="00834E3A" w:rsidRDefault="00834E3A" w:rsidP="00834E3A">
      <w:pPr>
        <w:rPr>
          <w:highlight w:val="yellow"/>
        </w:rPr>
      </w:pPr>
      <w:r w:rsidRPr="00F276EC">
        <w:t xml:space="preserve">An </w:t>
      </w:r>
      <w:r>
        <w:t xml:space="preserve">overall </w:t>
      </w:r>
      <w:r w:rsidRPr="00F276EC">
        <w:t xml:space="preserve">increase in </w:t>
      </w:r>
      <w:r>
        <w:t xml:space="preserve">appointment </w:t>
      </w:r>
      <w:r w:rsidRPr="00F276EC">
        <w:t>attendance rates</w:t>
      </w:r>
      <w:r>
        <w:t xml:space="preserve"> </w:t>
      </w:r>
      <w:r>
        <w:rPr>
          <w:rFonts w:cstheme="minorHAnsi"/>
        </w:rPr>
        <w:t>(from 60.8 per cent to 62.9 per cent in JSA 2012</w:t>
      </w:r>
      <w:r w:rsidRPr="003B07AB">
        <w:rPr>
          <w:rFonts w:cstheme="minorHAnsi"/>
        </w:rPr>
        <w:t>)</w:t>
      </w:r>
      <w:r w:rsidRPr="00F276EC">
        <w:t>,</w:t>
      </w:r>
      <w:r>
        <w:t xml:space="preserve"> and</w:t>
      </w:r>
      <w:r w:rsidRPr="00F276EC">
        <w:t xml:space="preserve"> across all </w:t>
      </w:r>
      <w:r>
        <w:t>s</w:t>
      </w:r>
      <w:r w:rsidRPr="00F276EC">
        <w:t>treams and</w:t>
      </w:r>
      <w:r>
        <w:t xml:space="preserve"> for</w:t>
      </w:r>
      <w:r w:rsidRPr="00F276EC">
        <w:t xml:space="preserve"> job seekers with a vulnerability indicator demonstrate that the introduction of the </w:t>
      </w:r>
      <w:r w:rsidRPr="003719BA">
        <w:rPr>
          <w:rFonts w:cstheme="minorHAnsi"/>
        </w:rPr>
        <w:t>Strengthening the Job Seeker Compliance Framework measure</w:t>
      </w:r>
      <w:r w:rsidRPr="00D42784">
        <w:rPr>
          <w:rFonts w:cstheme="minorHAnsi"/>
        </w:rPr>
        <w:t xml:space="preserve"> </w:t>
      </w:r>
      <w:r w:rsidRPr="008669D9">
        <w:t>was</w:t>
      </w:r>
      <w:r w:rsidRPr="00AA794B">
        <w:t xml:space="preserve"> successful in increasing job seekers</w:t>
      </w:r>
      <w:r w:rsidR="00F61C56">
        <w:t>’</w:t>
      </w:r>
      <w:r w:rsidRPr="00AA794B">
        <w:t xml:space="preserve"> compliance. The increase </w:t>
      </w:r>
      <w:r w:rsidR="00F61C56">
        <w:t>in</w:t>
      </w:r>
      <w:r w:rsidRPr="00AA794B">
        <w:t xml:space="preserve"> </w:t>
      </w:r>
      <w:r>
        <w:t>re-engagement</w:t>
      </w:r>
      <w:r w:rsidRPr="00AA794B">
        <w:t xml:space="preserve"> </w:t>
      </w:r>
      <w:r>
        <w:t>appointments</w:t>
      </w:r>
      <w:r w:rsidRPr="00AA794B">
        <w:t xml:space="preserve"> </w:t>
      </w:r>
      <w:r w:rsidRPr="008669D9">
        <w:t>was</w:t>
      </w:r>
      <w:r>
        <w:t xml:space="preserve"> most pronounced</w:t>
      </w:r>
      <w:r w:rsidRPr="00AA794B">
        <w:t xml:space="preserve"> for Stream 4 job seekers, and for all </w:t>
      </w:r>
      <w:r>
        <w:t>appointments</w:t>
      </w:r>
      <w:r w:rsidRPr="00AA794B">
        <w:t>, for Stream 2 job seekers</w:t>
      </w:r>
      <w:r w:rsidRPr="00AA794B">
        <w:rPr>
          <w:rFonts w:cstheme="minorHAnsi"/>
        </w:rPr>
        <w:t xml:space="preserve">. This </w:t>
      </w:r>
      <w:r w:rsidRPr="008669D9">
        <w:rPr>
          <w:rFonts w:cstheme="minorHAnsi"/>
        </w:rPr>
        <w:t>is</w:t>
      </w:r>
      <w:r w:rsidRPr="00AA794B">
        <w:rPr>
          <w:rFonts w:cstheme="minorHAnsi"/>
        </w:rPr>
        <w:t xml:space="preserve"> an</w:t>
      </w:r>
      <w:r>
        <w:rPr>
          <w:rFonts w:cstheme="minorHAnsi"/>
        </w:rPr>
        <w:t xml:space="preserve"> indication that incentivising job seekers to attend appointments to ensure there are no impacts to their income support payments </w:t>
      </w:r>
      <w:r w:rsidRPr="008669D9">
        <w:rPr>
          <w:rFonts w:cstheme="minorHAnsi"/>
        </w:rPr>
        <w:t>has</w:t>
      </w:r>
      <w:r>
        <w:rPr>
          <w:rFonts w:cstheme="minorHAnsi"/>
        </w:rPr>
        <w:t xml:space="preserve"> a positive effect on attendance rates.</w:t>
      </w:r>
    </w:p>
    <w:p w14:paraId="2E6C8D0C" w14:textId="77777777" w:rsidR="00834E3A" w:rsidRPr="00967DEC" w:rsidRDefault="00834E3A" w:rsidP="00834E3A">
      <w:pPr>
        <w:pStyle w:val="Heading4"/>
      </w:pPr>
      <w:r w:rsidRPr="00967DEC">
        <w:t>Cessation of the Stream Services Review</w:t>
      </w:r>
    </w:p>
    <w:p w14:paraId="156BDEE7" w14:textId="77777777" w:rsidR="00834E3A" w:rsidRPr="00E94C6E" w:rsidRDefault="00834E3A" w:rsidP="00834E3A">
      <w:r>
        <w:rPr>
          <w:rFonts w:eastAsiaTheme="majorEastAsia"/>
        </w:rPr>
        <w:t>T</w:t>
      </w:r>
      <w:r w:rsidRPr="00E94C6E">
        <w:rPr>
          <w:rFonts w:eastAsiaTheme="majorEastAsia"/>
        </w:rPr>
        <w:t xml:space="preserve">hree-quarters of SSRs </w:t>
      </w:r>
      <w:r w:rsidRPr="008669D9">
        <w:rPr>
          <w:rFonts w:eastAsiaTheme="majorEastAsia"/>
        </w:rPr>
        <w:t>conducted</w:t>
      </w:r>
      <w:r w:rsidRPr="00E94C6E">
        <w:rPr>
          <w:rFonts w:eastAsiaTheme="majorEastAsia"/>
        </w:rPr>
        <w:t xml:space="preserve"> for Stream 1 to 3 job seekers recommended transition to the </w:t>
      </w:r>
      <w:r w:rsidR="00F61C56">
        <w:rPr>
          <w:rFonts w:eastAsiaTheme="majorEastAsia"/>
        </w:rPr>
        <w:t>Work Experience Phase (</w:t>
      </w:r>
      <w:r>
        <w:rPr>
          <w:rFonts w:eastAsiaTheme="majorEastAsia"/>
        </w:rPr>
        <w:t>WEPh</w:t>
      </w:r>
      <w:r w:rsidR="00F61C56">
        <w:rPr>
          <w:rFonts w:eastAsiaTheme="majorEastAsia"/>
        </w:rPr>
        <w:t>)</w:t>
      </w:r>
      <w:r>
        <w:rPr>
          <w:rFonts w:eastAsiaTheme="majorEastAsia"/>
        </w:rPr>
        <w:t xml:space="preserve">, which </w:t>
      </w:r>
      <w:r w:rsidRPr="008669D9">
        <w:rPr>
          <w:rFonts w:eastAsiaTheme="majorEastAsia"/>
        </w:rPr>
        <w:t>suggests</w:t>
      </w:r>
      <w:r w:rsidRPr="00E94C6E">
        <w:rPr>
          <w:rFonts w:eastAsiaTheme="majorEastAsia"/>
        </w:rPr>
        <w:t xml:space="preserve"> that a universal approach to determining job seeker readiness for the </w:t>
      </w:r>
      <w:r>
        <w:rPr>
          <w:rFonts w:eastAsiaTheme="majorEastAsia"/>
        </w:rPr>
        <w:t xml:space="preserve">WEPh, such as the SSR </w:t>
      </w:r>
      <w:r w:rsidRPr="008669D9">
        <w:rPr>
          <w:rFonts w:eastAsiaTheme="majorEastAsia"/>
        </w:rPr>
        <w:t>is</w:t>
      </w:r>
      <w:r>
        <w:rPr>
          <w:rFonts w:eastAsiaTheme="majorEastAsia"/>
        </w:rPr>
        <w:t xml:space="preserve"> unnecessary</w:t>
      </w:r>
      <w:r w:rsidRPr="00E94C6E">
        <w:rPr>
          <w:rFonts w:eastAsiaTheme="majorEastAsia"/>
        </w:rPr>
        <w:t xml:space="preserve">. The risk of job seekers not ready to transition to the </w:t>
      </w:r>
      <w:r>
        <w:rPr>
          <w:rFonts w:eastAsiaTheme="majorEastAsia"/>
        </w:rPr>
        <w:t>WEPh</w:t>
      </w:r>
      <w:r w:rsidRPr="00E94C6E">
        <w:rPr>
          <w:rFonts w:eastAsiaTheme="majorEastAsia"/>
        </w:rPr>
        <w:t xml:space="preserve"> being ‘missed’ without the ‘safety net’ of the SSR </w:t>
      </w:r>
      <w:r w:rsidRPr="008669D9">
        <w:rPr>
          <w:rFonts w:eastAsiaTheme="majorEastAsia"/>
        </w:rPr>
        <w:t>was</w:t>
      </w:r>
      <w:r w:rsidRPr="00E94C6E">
        <w:rPr>
          <w:rFonts w:eastAsiaTheme="majorEastAsia"/>
        </w:rPr>
        <w:t xml:space="preserve"> probably low</w:t>
      </w:r>
      <w:r>
        <w:rPr>
          <w:rFonts w:eastAsiaTheme="majorEastAsia"/>
        </w:rPr>
        <w:t>. A</w:t>
      </w:r>
      <w:r w:rsidRPr="00E94C6E">
        <w:rPr>
          <w:rFonts w:eastAsiaTheme="majorEastAsia"/>
        </w:rPr>
        <w:t xml:space="preserve">round 75 per cent of </w:t>
      </w:r>
      <w:r w:rsidR="000A712C">
        <w:rPr>
          <w:rFonts w:eastAsiaTheme="majorEastAsia"/>
        </w:rPr>
        <w:t>job seekers</w:t>
      </w:r>
      <w:r w:rsidRPr="00E94C6E">
        <w:rPr>
          <w:rFonts w:eastAsiaTheme="majorEastAsia"/>
        </w:rPr>
        <w:t xml:space="preserve"> who </w:t>
      </w:r>
      <w:r w:rsidRPr="008669D9">
        <w:rPr>
          <w:rFonts w:eastAsiaTheme="majorEastAsia"/>
        </w:rPr>
        <w:t>had</w:t>
      </w:r>
      <w:r w:rsidRPr="00E94C6E">
        <w:rPr>
          <w:rFonts w:eastAsiaTheme="majorEastAsia"/>
        </w:rPr>
        <w:t xml:space="preserve"> an assessment that </w:t>
      </w:r>
      <w:r w:rsidRPr="008669D9">
        <w:rPr>
          <w:rFonts w:eastAsiaTheme="majorEastAsia"/>
        </w:rPr>
        <w:t>recommended</w:t>
      </w:r>
      <w:r w:rsidRPr="00E94C6E">
        <w:rPr>
          <w:rFonts w:eastAsiaTheme="majorEastAsia"/>
        </w:rPr>
        <w:t xml:space="preserve"> a change to a higher stream or</w:t>
      </w:r>
      <w:r w:rsidRPr="00DF4856">
        <w:rPr>
          <w:rFonts w:eastAsiaTheme="majorEastAsia"/>
          <w:b/>
        </w:rPr>
        <w:t xml:space="preserve"> </w:t>
      </w:r>
      <w:r>
        <w:rPr>
          <w:rFonts w:eastAsiaTheme="majorEastAsia"/>
        </w:rPr>
        <w:t xml:space="preserve">to </w:t>
      </w:r>
      <w:r w:rsidRPr="00E94C6E">
        <w:rPr>
          <w:rFonts w:eastAsiaTheme="majorEastAsia"/>
        </w:rPr>
        <w:t xml:space="preserve">DES </w:t>
      </w:r>
      <w:r w:rsidR="000A712C">
        <w:rPr>
          <w:rFonts w:eastAsiaTheme="majorEastAsia"/>
        </w:rPr>
        <w:t xml:space="preserve">had that assessment </w:t>
      </w:r>
      <w:r w:rsidRPr="00E94C6E">
        <w:rPr>
          <w:rFonts w:eastAsiaTheme="majorEastAsia"/>
        </w:rPr>
        <w:t>before 12 months in service</w:t>
      </w:r>
      <w:r>
        <w:rPr>
          <w:rFonts w:eastAsiaTheme="majorEastAsia"/>
        </w:rPr>
        <w:t>. The</w:t>
      </w:r>
      <w:r w:rsidR="000A712C">
        <w:rPr>
          <w:rFonts w:eastAsiaTheme="majorEastAsia"/>
        </w:rPr>
        <w:t xml:space="preserve"> cessation of SSRs </w:t>
      </w:r>
      <w:r>
        <w:rPr>
          <w:rFonts w:eastAsiaTheme="majorEastAsia"/>
        </w:rPr>
        <w:t>can be</w:t>
      </w:r>
      <w:r w:rsidR="000A712C">
        <w:rPr>
          <w:rFonts w:eastAsiaTheme="majorEastAsia"/>
        </w:rPr>
        <w:t xml:space="preserve"> seen as </w:t>
      </w:r>
      <w:r>
        <w:rPr>
          <w:rFonts w:eastAsiaTheme="majorEastAsia"/>
        </w:rPr>
        <w:t>a positive change in that it did not impact servicing and reduced cost to providers.</w:t>
      </w:r>
    </w:p>
    <w:p w14:paraId="6652F9B7" w14:textId="77777777" w:rsidR="00834E3A" w:rsidRDefault="00834E3A" w:rsidP="00834E3A">
      <w:pPr>
        <w:pStyle w:val="Heading3"/>
      </w:pPr>
      <w:bookmarkStart w:id="49" w:name="_Toc22543035"/>
      <w:r>
        <w:t>Pilots</w:t>
      </w:r>
      <w:bookmarkEnd w:id="49"/>
    </w:p>
    <w:p w14:paraId="1842CB5B" w14:textId="77777777" w:rsidR="00834E3A" w:rsidRPr="007909B5" w:rsidRDefault="00834E3A" w:rsidP="00834E3A">
      <w:pPr>
        <w:pStyle w:val="Heading4"/>
      </w:pPr>
      <w:r w:rsidRPr="007909B5">
        <w:t>Indigenous Mentoring P</w:t>
      </w:r>
      <w:r w:rsidR="00FB1E03">
        <w:t>ilot</w:t>
      </w:r>
    </w:p>
    <w:p w14:paraId="55802EC9" w14:textId="77777777" w:rsidR="00834E3A" w:rsidRDefault="00834E3A" w:rsidP="00834E3A">
      <w:r>
        <w:t xml:space="preserve">The Indigenous Mentoring Pilot </w:t>
      </w:r>
      <w:r w:rsidRPr="008669D9">
        <w:t>received</w:t>
      </w:r>
      <w:r>
        <w:t xml:space="preserve"> positive feedback from providers who participated in the research. There was an acknowledgement, and anecdotal evidence</w:t>
      </w:r>
      <w:r w:rsidR="00F61C56">
        <w:t>,</w:t>
      </w:r>
      <w:r>
        <w:t xml:space="preserve"> that providing intensive assistance to Indigenous job seekers </w:t>
      </w:r>
      <w:r w:rsidRPr="008669D9">
        <w:t>can have</w:t>
      </w:r>
      <w:r>
        <w:t xml:space="preserve"> a positive effect on employment outcomes. The programme </w:t>
      </w:r>
      <w:r w:rsidR="000A712C" w:rsidRPr="008669D9">
        <w:t>acted</w:t>
      </w:r>
      <w:r w:rsidR="000A712C">
        <w:t xml:space="preserve"> </w:t>
      </w:r>
      <w:r>
        <w:t>as much as a case management exercise as a programme for job placement and post-placement support. This is because the often multiple and complex barriers this group face need to be addressed before focusing on employment.</w:t>
      </w:r>
    </w:p>
    <w:p w14:paraId="318FAEDC" w14:textId="77777777" w:rsidR="00834E3A" w:rsidRDefault="000A712C" w:rsidP="00834E3A">
      <w:r>
        <w:t>I</w:t>
      </w:r>
      <w:r w:rsidR="00834E3A">
        <w:t xml:space="preserve">ngredients </w:t>
      </w:r>
      <w:r w:rsidR="00F61C56">
        <w:t xml:space="preserve">found to </w:t>
      </w:r>
      <w:r w:rsidR="00834E3A">
        <w:t>contribute to a successful mentoring programme include</w:t>
      </w:r>
      <w:r>
        <w:t>d</w:t>
      </w:r>
      <w:r w:rsidR="00834E3A">
        <w:t>:</w:t>
      </w:r>
    </w:p>
    <w:p w14:paraId="7033FF97" w14:textId="77777777" w:rsidR="00834E3A" w:rsidRDefault="00834E3A" w:rsidP="00EF47FB">
      <w:pPr>
        <w:pStyle w:val="ListParagraph"/>
      </w:pPr>
      <w:r>
        <w:t>mentors with experience of work, an understanding of the income support system, with links to support services, employers and the local community</w:t>
      </w:r>
    </w:p>
    <w:p w14:paraId="15E1439C" w14:textId="181E9D04" w:rsidR="00834E3A" w:rsidRDefault="00834E3A" w:rsidP="00EF47FB">
      <w:pPr>
        <w:pStyle w:val="ListParagraph"/>
      </w:pPr>
      <w:r>
        <w:t>providers who ha</w:t>
      </w:r>
      <w:r w:rsidR="00F61C56">
        <w:t>d</w:t>
      </w:r>
      <w:r>
        <w:t xml:space="preserve"> a </w:t>
      </w:r>
      <w:r w:rsidR="0008723A">
        <w:t>Reconciliation</w:t>
      </w:r>
      <w:r w:rsidR="006C45B2">
        <w:t xml:space="preserve"> Action Plan (</w:t>
      </w:r>
      <w:r>
        <w:t>RAP</w:t>
      </w:r>
      <w:r w:rsidR="006C45B2">
        <w:t>)</w:t>
      </w:r>
      <w:r>
        <w:t>, some form or cultural capability training, adequate support for the mentor and continuity of mentoring staff</w:t>
      </w:r>
    </w:p>
    <w:p w14:paraId="7DEB85F8" w14:textId="77777777" w:rsidR="00834E3A" w:rsidRPr="008C11CB" w:rsidRDefault="00834E3A" w:rsidP="004740BE">
      <w:pPr>
        <w:pStyle w:val="ListParagraph"/>
      </w:pPr>
      <w:r>
        <w:t xml:space="preserve">employers who </w:t>
      </w:r>
      <w:r w:rsidR="00F61C56">
        <w:t>we</w:t>
      </w:r>
      <w:r>
        <w:t>re willing to employ and mentor Indigenous staff.</w:t>
      </w:r>
    </w:p>
    <w:p w14:paraId="4F7F742D" w14:textId="77777777" w:rsidR="00834E3A" w:rsidRDefault="00834E3A" w:rsidP="00834E3A">
      <w:pPr>
        <w:pStyle w:val="Heading4"/>
      </w:pPr>
      <w:r w:rsidRPr="00403511">
        <w:t>The Quality Assurance Framework pilot</w:t>
      </w:r>
    </w:p>
    <w:p w14:paraId="6798D091" w14:textId="2DCDE9D8" w:rsidR="00834E3A" w:rsidRPr="00420E6F" w:rsidRDefault="005B7636" w:rsidP="00834E3A">
      <w:pPr>
        <w:rPr>
          <w:noProof/>
          <w:lang w:val="en-US"/>
        </w:rPr>
      </w:pPr>
      <w:r>
        <w:rPr>
          <w:rFonts w:ascii="Calibri" w:hAnsi="Calibri" w:cs="Calibri"/>
        </w:rPr>
        <w:t>Overall,</w:t>
      </w:r>
      <w:r w:rsidR="00834E3A">
        <w:rPr>
          <w:rFonts w:ascii="Calibri" w:hAnsi="Calibri" w:cs="Calibri"/>
        </w:rPr>
        <w:t xml:space="preserve"> the evaluation of the Quality Assurance Framework (QAF) pilot </w:t>
      </w:r>
      <w:r w:rsidR="00834E3A" w:rsidRPr="006C45B2">
        <w:rPr>
          <w:rFonts w:ascii="Calibri" w:hAnsi="Calibri" w:cs="Calibri"/>
        </w:rPr>
        <w:t xml:space="preserve">found that if cost and time requirements </w:t>
      </w:r>
      <w:r w:rsidR="00834E3A" w:rsidRPr="00641827">
        <w:rPr>
          <w:rFonts w:ascii="Calibri" w:hAnsi="Calibri" w:cs="Calibri"/>
        </w:rPr>
        <w:t xml:space="preserve">are managed within reasonable limits it is anticipated that the </w:t>
      </w:r>
      <w:r w:rsidR="00834E3A" w:rsidRPr="00641827">
        <w:rPr>
          <w:rFonts w:ascii="Calibri" w:hAnsi="Calibri"/>
          <w:noProof/>
        </w:rPr>
        <w:t>QAF</w:t>
      </w:r>
      <w:r w:rsidR="00834E3A" w:rsidRPr="00641827">
        <w:t xml:space="preserve"> should benefit all parties and might be an improvement on the </w:t>
      </w:r>
      <w:r w:rsidR="00484748" w:rsidRPr="00ED1A83">
        <w:t>J</w:t>
      </w:r>
      <w:r w:rsidR="0049368F" w:rsidRPr="00ED1A83">
        <w:t>SA</w:t>
      </w:r>
      <w:r w:rsidR="00484748" w:rsidRPr="00ED1A83">
        <w:t xml:space="preserve"> </w:t>
      </w:r>
      <w:r w:rsidR="00834E3A" w:rsidRPr="00ED1A83">
        <w:rPr>
          <w:rFonts w:ascii="Calibri" w:eastAsia="Times New Roman" w:hAnsi="Calibri" w:cs="Calibri"/>
          <w:lang w:val="en-US"/>
        </w:rPr>
        <w:t>KPI 3 Quality Framework</w:t>
      </w:r>
      <w:r w:rsidR="000A712C" w:rsidRPr="00EC714E">
        <w:rPr>
          <w:rFonts w:ascii="Calibri" w:eastAsia="Times New Roman" w:hAnsi="Calibri" w:cs="Calibri"/>
          <w:lang w:val="en-US"/>
        </w:rPr>
        <w:t>. The</w:t>
      </w:r>
      <w:r w:rsidR="00834E3A" w:rsidRPr="00EC714E">
        <w:rPr>
          <w:noProof/>
          <w:lang w:val="en-US"/>
        </w:rPr>
        <w:t xml:space="preserve"> evaluation </w:t>
      </w:r>
      <w:r w:rsidR="000A712C" w:rsidRPr="004B6A80">
        <w:rPr>
          <w:noProof/>
          <w:lang w:val="en-US"/>
        </w:rPr>
        <w:t xml:space="preserve">made </w:t>
      </w:r>
      <w:r w:rsidR="00834E3A" w:rsidRPr="00420E6F">
        <w:rPr>
          <w:noProof/>
          <w:lang w:val="en-US"/>
        </w:rPr>
        <w:t>several recommendations to achieve a balance between costs and benefits of adopting the QAF.</w:t>
      </w:r>
    </w:p>
    <w:p w14:paraId="6C862BEE" w14:textId="77777777" w:rsidR="00834E3A" w:rsidRPr="00420E6F" w:rsidRDefault="00834E3A" w:rsidP="006D3E54">
      <w:pPr>
        <w:pStyle w:val="Heading2"/>
        <w:keepNext/>
        <w:rPr>
          <w:rFonts w:eastAsia="Times New Roman"/>
        </w:rPr>
      </w:pPr>
      <w:bookmarkStart w:id="50" w:name="_Toc450919321"/>
      <w:bookmarkStart w:id="51" w:name="_Toc22543036"/>
      <w:r w:rsidRPr="00420E6F">
        <w:rPr>
          <w:rFonts w:eastAsia="Times New Roman"/>
        </w:rPr>
        <w:t>Where there was negligible impact</w:t>
      </w:r>
      <w:bookmarkEnd w:id="46"/>
      <w:bookmarkEnd w:id="47"/>
      <w:bookmarkEnd w:id="50"/>
      <w:bookmarkEnd w:id="51"/>
    </w:p>
    <w:p w14:paraId="725040D2" w14:textId="77777777" w:rsidR="00834E3A" w:rsidRPr="00420E6F" w:rsidRDefault="00834E3A" w:rsidP="006D3E54">
      <w:pPr>
        <w:pStyle w:val="Heading3"/>
      </w:pPr>
      <w:bookmarkStart w:id="52" w:name="_Toc22543037"/>
      <w:bookmarkStart w:id="53" w:name="_Toc444867980"/>
      <w:bookmarkStart w:id="54" w:name="_Toc449437979"/>
      <w:r w:rsidRPr="00420E6F">
        <w:t xml:space="preserve">Indigenous </w:t>
      </w:r>
      <w:r w:rsidR="00D537AE" w:rsidRPr="00420E6F">
        <w:t>s</w:t>
      </w:r>
      <w:r w:rsidRPr="00420E6F">
        <w:t>ervicing</w:t>
      </w:r>
      <w:bookmarkEnd w:id="52"/>
    </w:p>
    <w:p w14:paraId="0BD39FC5" w14:textId="77777777" w:rsidR="00834E3A" w:rsidRPr="001F5AEC" w:rsidRDefault="00834E3A" w:rsidP="00834E3A">
      <w:pPr>
        <w:pStyle w:val="Heading4"/>
      </w:pPr>
      <w:r w:rsidRPr="00420E6F">
        <w:t xml:space="preserve">Cultural </w:t>
      </w:r>
      <w:r w:rsidR="00D537AE" w:rsidRPr="00420E6F">
        <w:t>c</w:t>
      </w:r>
      <w:r w:rsidRPr="00420E6F">
        <w:t xml:space="preserve">apability </w:t>
      </w:r>
      <w:r w:rsidR="00D537AE" w:rsidRPr="001F5AEC">
        <w:t>t</w:t>
      </w:r>
      <w:r w:rsidRPr="001F5AEC">
        <w:t>raining</w:t>
      </w:r>
    </w:p>
    <w:p w14:paraId="50A4F632" w14:textId="77777777" w:rsidR="00834E3A" w:rsidRPr="006C45B2" w:rsidRDefault="00834E3A" w:rsidP="00834E3A">
      <w:r w:rsidRPr="006C1CF0">
        <w:t>This training appeared to have little impac</w:t>
      </w:r>
      <w:r w:rsidRPr="006C45B2">
        <w:t>t on the way Indigenous job seekers were serviced in JSA 2012. Qualitative analysis determined that both the take-up and the impact could be improved by</w:t>
      </w:r>
      <w:r w:rsidR="000A712C" w:rsidRPr="006C45B2">
        <w:t xml:space="preserve"> having</w:t>
      </w:r>
      <w:r w:rsidRPr="006C45B2">
        <w:t>:</w:t>
      </w:r>
    </w:p>
    <w:p w14:paraId="6385CDC1" w14:textId="77777777" w:rsidR="00834E3A" w:rsidRPr="00EA214E" w:rsidRDefault="00834E3A" w:rsidP="00EF47FB">
      <w:pPr>
        <w:pStyle w:val="ListParagraph"/>
      </w:pPr>
      <w:r w:rsidRPr="00553086">
        <w:t>the modules undertaken by staff members in groups to allow for discussion</w:t>
      </w:r>
    </w:p>
    <w:p w14:paraId="1F334D0B" w14:textId="77777777" w:rsidR="00834E3A" w:rsidRPr="00735186" w:rsidRDefault="00834E3A" w:rsidP="00EF47FB">
      <w:pPr>
        <w:pStyle w:val="ListParagraph"/>
      </w:pPr>
      <w:r w:rsidRPr="005C5E60">
        <w:t>an Indigenous mentor, employment consultant or local elder be</w:t>
      </w:r>
      <w:r w:rsidR="00157638" w:rsidRPr="005C5E60">
        <w:t>ing</w:t>
      </w:r>
      <w:r w:rsidRPr="00735186">
        <w:t xml:space="preserve"> invited to assist with the sessions</w:t>
      </w:r>
    </w:p>
    <w:p w14:paraId="0E1F5001" w14:textId="77777777" w:rsidR="00834E3A" w:rsidRPr="007D5BF1" w:rsidRDefault="00C72904" w:rsidP="00EF47FB">
      <w:pPr>
        <w:pStyle w:val="ListParagraph"/>
      </w:pPr>
      <w:r w:rsidRPr="00024C64">
        <w:t>the modules</w:t>
      </w:r>
      <w:r w:rsidR="00157638" w:rsidRPr="003A14EB">
        <w:t xml:space="preserve"> </w:t>
      </w:r>
      <w:r w:rsidR="00834E3A" w:rsidRPr="00375698">
        <w:t xml:space="preserve">undertaken over a six week period to allow time for more discussion and also </w:t>
      </w:r>
      <w:r w:rsidR="00265C71" w:rsidRPr="00375698">
        <w:t xml:space="preserve">so as </w:t>
      </w:r>
      <w:r w:rsidR="00834E3A" w:rsidRPr="001D0EEC">
        <w:t>not</w:t>
      </w:r>
      <w:r w:rsidR="00265C71" w:rsidRPr="00761594">
        <w:t xml:space="preserve"> to</w:t>
      </w:r>
      <w:r w:rsidR="00834E3A" w:rsidRPr="007D5BF1">
        <w:t xml:space="preserve"> impact too severely on the work of the office.</w:t>
      </w:r>
    </w:p>
    <w:p w14:paraId="624CE1E5" w14:textId="77777777" w:rsidR="00834E3A" w:rsidRPr="006C45B2" w:rsidRDefault="00834E3A" w:rsidP="00834E3A">
      <w:pPr>
        <w:pStyle w:val="Heading2"/>
        <w:rPr>
          <w:rFonts w:eastAsia="Times New Roman"/>
        </w:rPr>
      </w:pPr>
      <w:bookmarkStart w:id="55" w:name="_Toc450919322"/>
      <w:bookmarkStart w:id="56" w:name="_Toc22543038"/>
      <w:r w:rsidRPr="006C45B2">
        <w:rPr>
          <w:rFonts w:eastAsia="Times New Roman"/>
        </w:rPr>
        <w:t>Where results were mixed</w:t>
      </w:r>
      <w:bookmarkEnd w:id="55"/>
      <w:bookmarkEnd w:id="56"/>
    </w:p>
    <w:p w14:paraId="3A82FC7D" w14:textId="77777777" w:rsidR="00834E3A" w:rsidRPr="006C45B2" w:rsidRDefault="00834E3A" w:rsidP="00834E3A">
      <w:pPr>
        <w:pStyle w:val="Heading3"/>
      </w:pPr>
      <w:bookmarkStart w:id="57" w:name="_Toc22543039"/>
      <w:r w:rsidRPr="006C45B2">
        <w:t>Effectiveness</w:t>
      </w:r>
      <w:bookmarkEnd w:id="57"/>
    </w:p>
    <w:p w14:paraId="4E1D0946" w14:textId="77777777" w:rsidR="00834E3A" w:rsidRPr="006C45B2" w:rsidRDefault="00834E3A" w:rsidP="00834E3A">
      <w:pPr>
        <w:pStyle w:val="Heading4"/>
      </w:pPr>
      <w:r w:rsidRPr="006C45B2">
        <w:t>Reliance on income support</w:t>
      </w:r>
    </w:p>
    <w:p w14:paraId="4AF98F4E" w14:textId="3A105DAE" w:rsidR="00834E3A" w:rsidRPr="006C45B2" w:rsidRDefault="00834E3A" w:rsidP="002B75B3">
      <w:pPr>
        <w:keepNext/>
      </w:pPr>
      <w:r w:rsidRPr="006C45B2">
        <w:t xml:space="preserve">JSA 2012 appears </w:t>
      </w:r>
      <w:r w:rsidR="0049368F" w:rsidRPr="006C45B2">
        <w:t xml:space="preserve">to have been </w:t>
      </w:r>
      <w:r w:rsidRPr="006C45B2">
        <w:t xml:space="preserve">relatively less effective at moving </w:t>
      </w:r>
      <w:r w:rsidR="00265C71" w:rsidRPr="006C45B2">
        <w:t xml:space="preserve">new entrant </w:t>
      </w:r>
      <w:r w:rsidRPr="006C45B2">
        <w:t xml:space="preserve">job seekers off income support than </w:t>
      </w:r>
      <w:r w:rsidR="00265C71" w:rsidRPr="006C45B2">
        <w:t>JSA 2009</w:t>
      </w:r>
      <w:r w:rsidRPr="006C45B2">
        <w:t>. The</w:t>
      </w:r>
      <w:r w:rsidR="00265C71" w:rsidRPr="006C45B2">
        <w:t xml:space="preserve">re </w:t>
      </w:r>
      <w:r w:rsidR="0049368F" w:rsidRPr="006C45B2">
        <w:t>wa</w:t>
      </w:r>
      <w:r w:rsidR="00265C71" w:rsidRPr="006C45B2">
        <w:t>s a</w:t>
      </w:r>
      <w:r w:rsidRPr="006C45B2">
        <w:t xml:space="preserve"> pattern of more job seekers on full income support and fewer off and on part income support in JSA 2012</w:t>
      </w:r>
      <w:r w:rsidR="00265C71" w:rsidRPr="006C45B2">
        <w:t>. This pattern</w:t>
      </w:r>
      <w:r w:rsidRPr="006C45B2">
        <w:t xml:space="preserve"> is </w:t>
      </w:r>
      <w:r w:rsidR="00265C71" w:rsidRPr="006C45B2">
        <w:t xml:space="preserve">found </w:t>
      </w:r>
      <w:r w:rsidRPr="006C45B2">
        <w:t>across most job seeker demographic groups considered. The exception</w:t>
      </w:r>
      <w:r w:rsidR="00265C71" w:rsidRPr="006C45B2">
        <w:t>s</w:t>
      </w:r>
      <w:r w:rsidR="000A6817" w:rsidRPr="006C45B2">
        <w:t>, for some Stream 4 job seekers,</w:t>
      </w:r>
      <w:r w:rsidR="00265C71" w:rsidRPr="006C45B2">
        <w:t xml:space="preserve"> are</w:t>
      </w:r>
      <w:r w:rsidRPr="006C45B2">
        <w:t xml:space="preserve"> </w:t>
      </w:r>
      <w:r w:rsidR="000A6817" w:rsidRPr="006C45B2">
        <w:t>in</w:t>
      </w:r>
      <w:r w:rsidRPr="006C45B2">
        <w:t xml:space="preserve"> some demographic groups (job seekers with disability affecting capacity to work, partial capacity to work</w:t>
      </w:r>
      <w:r w:rsidRPr="006C45B2" w:rsidDel="002F0B81">
        <w:t xml:space="preserve"> </w:t>
      </w:r>
      <w:r w:rsidRPr="006C45B2">
        <w:t>and single parents),</w:t>
      </w:r>
      <w:r w:rsidR="00265C71" w:rsidRPr="006C45B2">
        <w:t xml:space="preserve"> which </w:t>
      </w:r>
      <w:r w:rsidRPr="006C45B2">
        <w:t>show</w:t>
      </w:r>
      <w:r w:rsidR="0049368F" w:rsidRPr="006C45B2">
        <w:t xml:space="preserve">ed </w:t>
      </w:r>
      <w:r w:rsidRPr="006C45B2">
        <w:rPr>
          <w:u w:val="single"/>
        </w:rPr>
        <w:t>less</w:t>
      </w:r>
      <w:r w:rsidRPr="006C45B2">
        <w:t xml:space="preserve"> reliance on income support under JSA 2012.</w:t>
      </w:r>
      <w:r w:rsidR="000A6817" w:rsidRPr="006C45B2">
        <w:t xml:space="preserve"> These exceptions may, in part, be influenced by activation measures such as the DSP Participation Requirements, introduced on 1 July </w:t>
      </w:r>
      <w:r w:rsidR="007107FC" w:rsidRPr="006C45B2">
        <w:t>201</w:t>
      </w:r>
      <w:r w:rsidR="007107FC">
        <w:t>4</w:t>
      </w:r>
      <w:r w:rsidR="007107FC" w:rsidRPr="006C45B2">
        <w:t xml:space="preserve"> </w:t>
      </w:r>
      <w:r w:rsidR="000A6817" w:rsidRPr="006C45B2">
        <w:t>and the Parenting Payment Refor</w:t>
      </w:r>
      <w:r w:rsidR="00DE0A62" w:rsidRPr="006C45B2">
        <w:t>m</w:t>
      </w:r>
      <w:r w:rsidR="002B75B3" w:rsidRPr="006C45B2">
        <w:t>s introduced on 1 January </w:t>
      </w:r>
      <w:r w:rsidR="000A6817" w:rsidRPr="006C45B2">
        <w:t>2013.</w:t>
      </w:r>
    </w:p>
    <w:p w14:paraId="62FB8B1C" w14:textId="77777777" w:rsidR="006612D9" w:rsidRPr="006C45B2" w:rsidRDefault="006612D9" w:rsidP="006612D9">
      <w:pPr>
        <w:pStyle w:val="Heading3"/>
      </w:pPr>
      <w:bookmarkStart w:id="58" w:name="_Toc22543040"/>
      <w:r w:rsidRPr="006C45B2">
        <w:t>The Compulsory Activity Phase</w:t>
      </w:r>
      <w:bookmarkEnd w:id="58"/>
      <w:r w:rsidRPr="006C45B2">
        <w:t xml:space="preserve"> </w:t>
      </w:r>
    </w:p>
    <w:p w14:paraId="6714A0F6" w14:textId="77777777" w:rsidR="006612D9" w:rsidRDefault="00265C71" w:rsidP="006612D9">
      <w:r w:rsidRPr="006C45B2">
        <w:t>T</w:t>
      </w:r>
      <w:r w:rsidR="006612D9" w:rsidRPr="006C45B2">
        <w:t xml:space="preserve">he referral effect for the </w:t>
      </w:r>
      <w:r w:rsidR="00EE2338" w:rsidRPr="006C45B2">
        <w:t xml:space="preserve">CAP </w:t>
      </w:r>
      <w:r w:rsidRPr="006C45B2">
        <w:t xml:space="preserve">appears to </w:t>
      </w:r>
      <w:r w:rsidR="0049368F" w:rsidRPr="006C45B2">
        <w:t xml:space="preserve">have </w:t>
      </w:r>
      <w:r w:rsidRPr="006C45B2">
        <w:t>be</w:t>
      </w:r>
      <w:r w:rsidR="0049368F" w:rsidRPr="006C45B2">
        <w:t>en</w:t>
      </w:r>
      <w:r w:rsidRPr="006C45B2">
        <w:t xml:space="preserve"> </w:t>
      </w:r>
      <w:r w:rsidR="006612D9" w:rsidRPr="006C45B2">
        <w:t>negligible (less than 1 percentage point).</w:t>
      </w:r>
      <w:r w:rsidRPr="006C45B2">
        <w:t xml:space="preserve"> R</w:t>
      </w:r>
      <w:r w:rsidR="006612D9" w:rsidRPr="006C45B2">
        <w:t>eferral effect</w:t>
      </w:r>
      <w:r w:rsidRPr="006C45B2">
        <w:t>s</w:t>
      </w:r>
      <w:r w:rsidR="006612D9" w:rsidRPr="006C45B2">
        <w:t xml:space="preserve"> occur when job seekers faced with onerous obligations either declare previously undeclared work (compliance effect)</w:t>
      </w:r>
      <w:r w:rsidR="0049368F" w:rsidRPr="006C45B2">
        <w:t xml:space="preserve"> </w:t>
      </w:r>
      <w:r w:rsidR="006612D9" w:rsidRPr="006C45B2">
        <w:t>or increase job search in order to leave income support</w:t>
      </w:r>
      <w:r w:rsidR="006612D9">
        <w:t xml:space="preserve"> (threat effect). </w:t>
      </w:r>
      <w:r>
        <w:t>The referral effect for CAP</w:t>
      </w:r>
      <w:r w:rsidR="006612D9">
        <w:t xml:space="preserve"> </w:t>
      </w:r>
      <w:r w:rsidR="0049368F">
        <w:t>wa</w:t>
      </w:r>
      <w:r w:rsidR="006612D9">
        <w:t xml:space="preserve">s probably </w:t>
      </w:r>
      <w:r>
        <w:t xml:space="preserve">low </w:t>
      </w:r>
      <w:r w:rsidR="006612D9">
        <w:t>because the threat, even of quite onerous obligations, will produce a very small effect on job seekers who cannot leave income support.</w:t>
      </w:r>
    </w:p>
    <w:p w14:paraId="1D6FFDDF" w14:textId="58EA1FFA" w:rsidR="006612D9" w:rsidRDefault="0058362D" w:rsidP="006612D9">
      <w:r>
        <w:t>F</w:t>
      </w:r>
      <w:r w:rsidRPr="00EB6A1A">
        <w:t xml:space="preserve">or job seekers in </w:t>
      </w:r>
      <w:r>
        <w:t>the CAP, t</w:t>
      </w:r>
      <w:r w:rsidRPr="005068D7">
        <w:t xml:space="preserve">he </w:t>
      </w:r>
      <w:r>
        <w:t xml:space="preserve">combination of the </w:t>
      </w:r>
      <w:r w:rsidRPr="00355B5B">
        <w:t>lock-in</w:t>
      </w:r>
      <w:r w:rsidRPr="005068D7">
        <w:t xml:space="preserve"> effect</w:t>
      </w:r>
      <w:r>
        <w:t>,</w:t>
      </w:r>
      <w:r w:rsidRPr="00967DEC">
        <w:t xml:space="preserve"> </w:t>
      </w:r>
      <w:r>
        <w:t>where job seekers participating in programmes do not have time, energy or motivation for job search and therefore tend to remain in the programme,</w:t>
      </w:r>
      <w:r w:rsidRPr="00EB6A1A">
        <w:t xml:space="preserve"> </w:t>
      </w:r>
      <w:r>
        <w:t xml:space="preserve">and the attachment effect, whereby job seekers are participating in activities which are developing skills that they value and so they lessen their job search effort, </w:t>
      </w:r>
      <w:r w:rsidRPr="00641827">
        <w:t>was</w:t>
      </w:r>
      <w:r w:rsidRPr="00EB6A1A">
        <w:t xml:space="preserve"> </w:t>
      </w:r>
      <w:r>
        <w:t>up to 6</w:t>
      </w:r>
      <w:r w:rsidR="006D3E54">
        <w:t> </w:t>
      </w:r>
      <w:r>
        <w:t xml:space="preserve">percentage points at 18 months. </w:t>
      </w:r>
      <w:r w:rsidR="006612D9">
        <w:t>While lock-in</w:t>
      </w:r>
      <w:r w:rsidR="00EF47FB">
        <w:t>/attachment effect</w:t>
      </w:r>
      <w:r w:rsidR="006612D9">
        <w:t xml:space="preserve"> is often associated with training courses, it is also common in other activity types. </w:t>
      </w:r>
      <w:r w:rsidR="006612D9" w:rsidRPr="00EB6A1A">
        <w:t xml:space="preserve">Whether or how this </w:t>
      </w:r>
      <w:r w:rsidR="006612D9">
        <w:t>affects</w:t>
      </w:r>
      <w:r w:rsidR="006612D9" w:rsidRPr="00EB6A1A">
        <w:t xml:space="preserve"> </w:t>
      </w:r>
      <w:r w:rsidR="006612D9">
        <w:t>job seekers’</w:t>
      </w:r>
      <w:r w:rsidR="006612D9" w:rsidRPr="00EB6A1A">
        <w:t xml:space="preserve"> long</w:t>
      </w:r>
      <w:r w:rsidR="006612D9">
        <w:t>er</w:t>
      </w:r>
      <w:r w:rsidR="006612D9" w:rsidRPr="00EB6A1A">
        <w:t>-term</w:t>
      </w:r>
      <w:r w:rsidR="006612D9">
        <w:t xml:space="preserve"> employment</w:t>
      </w:r>
      <w:r w:rsidR="006612D9" w:rsidRPr="00EB6A1A">
        <w:t xml:space="preserve"> prospects </w:t>
      </w:r>
      <w:r w:rsidR="006612D9" w:rsidRPr="00641827">
        <w:t>is</w:t>
      </w:r>
      <w:r w:rsidR="006612D9" w:rsidRPr="00EB6A1A">
        <w:t xml:space="preserve"> not </w:t>
      </w:r>
      <w:r w:rsidR="006612D9">
        <w:t xml:space="preserve">clear from this analysis. The main finding, however, is that the identified </w:t>
      </w:r>
      <w:r w:rsidR="006612D9" w:rsidRPr="00EB6A1A">
        <w:t xml:space="preserve">lock-in effect </w:t>
      </w:r>
      <w:r w:rsidR="006612D9">
        <w:t xml:space="preserve">of the CAP </w:t>
      </w:r>
      <w:r w:rsidR="006612D9" w:rsidRPr="00641827">
        <w:t>outweighed</w:t>
      </w:r>
      <w:r w:rsidR="006612D9">
        <w:t xml:space="preserve"> any negligible referral effect.</w:t>
      </w:r>
    </w:p>
    <w:p w14:paraId="6C6B1B31" w14:textId="77777777" w:rsidR="00834E3A" w:rsidRDefault="00834E3A" w:rsidP="00834E3A">
      <w:pPr>
        <w:pStyle w:val="Heading3"/>
      </w:pPr>
      <w:bookmarkStart w:id="59" w:name="_Toc22543041"/>
      <w:r w:rsidRPr="00497065">
        <w:t>Wage subsidies in Job Services Australia</w:t>
      </w:r>
      <w:bookmarkEnd w:id="59"/>
    </w:p>
    <w:p w14:paraId="63FF1611" w14:textId="50BE641A" w:rsidR="00834E3A" w:rsidRDefault="00834E3A" w:rsidP="00834E3A">
      <w:pPr>
        <w:rPr>
          <w:rFonts w:ascii="Calibri" w:hAnsi="Calibri" w:cs="Calibri"/>
        </w:rPr>
      </w:pPr>
      <w:r>
        <w:rPr>
          <w:rFonts w:ascii="Calibri" w:hAnsi="Calibri" w:cs="Calibri"/>
        </w:rPr>
        <w:t xml:space="preserve">EPF and Wage Connect negotiated job placements </w:t>
      </w:r>
      <w:r w:rsidRPr="00641827">
        <w:rPr>
          <w:rFonts w:ascii="Calibri" w:hAnsi="Calibri" w:cs="Calibri"/>
        </w:rPr>
        <w:t>were</w:t>
      </w:r>
      <w:r>
        <w:rPr>
          <w:rFonts w:ascii="Calibri" w:hAnsi="Calibri" w:cs="Calibri"/>
        </w:rPr>
        <w:t xml:space="preserve"> significantly more likely to result in sustained employment and reduced welfare dependency than unsubsidised placements for unemployed </w:t>
      </w:r>
      <w:r w:rsidR="00954761">
        <w:rPr>
          <w:rFonts w:ascii="Calibri" w:hAnsi="Calibri" w:cs="Calibri"/>
        </w:rPr>
        <w:t>Newstart (</w:t>
      </w:r>
      <w:r>
        <w:rPr>
          <w:rFonts w:ascii="Calibri" w:hAnsi="Calibri" w:cs="Calibri"/>
        </w:rPr>
        <w:t>NSA</w:t>
      </w:r>
      <w:r w:rsidR="00954761">
        <w:rPr>
          <w:rFonts w:ascii="Calibri" w:hAnsi="Calibri" w:cs="Calibri"/>
        </w:rPr>
        <w:t>)</w:t>
      </w:r>
      <w:r>
        <w:rPr>
          <w:rFonts w:ascii="Calibri" w:hAnsi="Calibri" w:cs="Calibri"/>
        </w:rPr>
        <w:t xml:space="preserve"> and </w:t>
      </w:r>
      <w:r w:rsidR="00954761">
        <w:rPr>
          <w:rFonts w:ascii="Calibri" w:hAnsi="Calibri" w:cs="Calibri"/>
        </w:rPr>
        <w:t>Youth Allowance (Other) (</w:t>
      </w:r>
      <w:r>
        <w:rPr>
          <w:rFonts w:ascii="Calibri" w:hAnsi="Calibri" w:cs="Calibri"/>
        </w:rPr>
        <w:t>YA(O</w:t>
      </w:r>
      <w:r w:rsidR="00954761">
        <w:rPr>
          <w:rFonts w:ascii="Calibri" w:hAnsi="Calibri" w:cs="Calibri"/>
        </w:rPr>
        <w:t>)</w:t>
      </w:r>
      <w:r>
        <w:rPr>
          <w:rFonts w:ascii="Calibri" w:hAnsi="Calibri" w:cs="Calibri"/>
        </w:rPr>
        <w:t>) recipients.</w:t>
      </w:r>
      <w:r w:rsidR="00527BC9">
        <w:rPr>
          <w:rFonts w:ascii="Calibri" w:hAnsi="Calibri" w:cs="Calibri"/>
        </w:rPr>
        <w:t xml:space="preserve"> </w:t>
      </w:r>
      <w:r w:rsidR="00E535FB">
        <w:rPr>
          <w:rFonts w:ascii="Calibri" w:hAnsi="Calibri" w:cs="Calibri"/>
        </w:rPr>
        <w:t>While</w:t>
      </w:r>
      <w:r>
        <w:rPr>
          <w:rFonts w:ascii="Calibri" w:hAnsi="Calibri" w:cs="Calibri"/>
        </w:rPr>
        <w:t xml:space="preserve"> </w:t>
      </w:r>
      <w:r w:rsidR="00527BC9">
        <w:t>n</w:t>
      </w:r>
      <w:r>
        <w:t>o evidence</w:t>
      </w:r>
      <w:r w:rsidR="00265C71">
        <w:t xml:space="preserve"> </w:t>
      </w:r>
      <w:r w:rsidR="00265C71" w:rsidRPr="00641827">
        <w:t>was</w:t>
      </w:r>
      <w:r w:rsidR="00527BC9">
        <w:t xml:space="preserve"> </w:t>
      </w:r>
      <w:r w:rsidR="00265C71">
        <w:t>found</w:t>
      </w:r>
      <w:r>
        <w:t xml:space="preserve"> that subsidised placements assist Parenting Payment (PP) recipients to reduce reliance on income support</w:t>
      </w:r>
      <w:r w:rsidR="00E535FB">
        <w:t>,</w:t>
      </w:r>
      <w:r w:rsidR="00E535FB" w:rsidRPr="00E535FB">
        <w:t xml:space="preserve"> </w:t>
      </w:r>
      <w:r w:rsidR="00E535FB">
        <w:t>wage subsidies may still help these individuals maintain labour market attachment and consequently improve long-term employment prospects</w:t>
      </w:r>
      <w:r>
        <w:rPr>
          <w:rFonts w:ascii="Calibri" w:hAnsi="Calibri" w:cs="Calibri"/>
        </w:rPr>
        <w:t>.</w:t>
      </w:r>
    </w:p>
    <w:p w14:paraId="4BFE8056" w14:textId="77777777" w:rsidR="00834E3A" w:rsidRDefault="00834E3A" w:rsidP="00834E3A">
      <w:pPr>
        <w:rPr>
          <w:rFonts w:ascii="Calibri" w:hAnsi="Calibri" w:cs="Calibri"/>
        </w:rPr>
      </w:pPr>
      <w:r>
        <w:rPr>
          <w:rFonts w:ascii="Calibri" w:hAnsi="Calibri" w:cs="Calibri"/>
        </w:rPr>
        <w:t xml:space="preserve">Where demand for wage subsidies exceeds supply, as </w:t>
      </w:r>
      <w:r w:rsidRPr="00641827">
        <w:rPr>
          <w:rFonts w:ascii="Calibri" w:hAnsi="Calibri" w:cs="Calibri"/>
        </w:rPr>
        <w:t>was</w:t>
      </w:r>
      <w:r>
        <w:rPr>
          <w:rFonts w:ascii="Calibri" w:hAnsi="Calibri" w:cs="Calibri"/>
        </w:rPr>
        <w:t xml:space="preserve"> the case for Wage Connect, it is recommended to exclusively target eligible job seekers with full-time participation requirements (currently, NSA and YA(O) recipients) on the basis of demonstrated net saving for this group, rather than closing a programme to all applicants.</w:t>
      </w:r>
    </w:p>
    <w:p w14:paraId="7D8E4E3D" w14:textId="77777777" w:rsidR="00834E3A" w:rsidRPr="005C0A80" w:rsidRDefault="00834E3A" w:rsidP="00834E3A">
      <w:pPr>
        <w:pStyle w:val="Heading3"/>
      </w:pPr>
      <w:bookmarkStart w:id="60" w:name="_Toc22543042"/>
      <w:r w:rsidRPr="005C0A80">
        <w:t>Employer servicing</w:t>
      </w:r>
      <w:bookmarkEnd w:id="60"/>
    </w:p>
    <w:p w14:paraId="575C62AF" w14:textId="0C414834" w:rsidR="00834E3A" w:rsidRDefault="005B7636" w:rsidP="00834E3A">
      <w:pPr>
        <w:rPr>
          <w:rFonts w:eastAsia="Times New Roman"/>
          <w:lang w:eastAsia="en-AU"/>
        </w:rPr>
      </w:pPr>
      <w:r>
        <w:t>Significantly,</w:t>
      </w:r>
      <w:r w:rsidR="00834E3A">
        <w:t xml:space="preserve"> less </w:t>
      </w:r>
      <w:r w:rsidR="00834E3A" w:rsidRPr="00641827">
        <w:t>was</w:t>
      </w:r>
      <w:r w:rsidR="00834E3A">
        <w:t xml:space="preserve"> claimed for employer-related services, such as post-placement support and reverse marketing</w:t>
      </w:r>
      <w:r w:rsidR="00834E3A" w:rsidDel="00B8244A">
        <w:t xml:space="preserve"> </w:t>
      </w:r>
      <w:r w:rsidR="00834E3A">
        <w:t xml:space="preserve">in the JSA 2012 contract than the JSA 2009 contract. </w:t>
      </w:r>
      <w:r w:rsidR="00265C71">
        <w:t>E</w:t>
      </w:r>
      <w:r w:rsidR="00834E3A">
        <w:rPr>
          <w:rFonts w:eastAsia="Times New Roman"/>
          <w:lang w:eastAsia="en-AU"/>
        </w:rPr>
        <w:t xml:space="preserve">vidence from providers, </w:t>
      </w:r>
      <w:r w:rsidR="00834E3A" w:rsidRPr="00641827">
        <w:rPr>
          <w:rFonts w:eastAsia="Times New Roman"/>
          <w:lang w:eastAsia="en-AU"/>
        </w:rPr>
        <w:t>suggests</w:t>
      </w:r>
      <w:r w:rsidR="00834E3A">
        <w:rPr>
          <w:rFonts w:eastAsia="Times New Roman"/>
          <w:lang w:eastAsia="en-AU"/>
        </w:rPr>
        <w:t xml:space="preserve"> that the reduction in EPF expenditure </w:t>
      </w:r>
      <w:r w:rsidR="00834E3A" w:rsidRPr="00641827">
        <w:rPr>
          <w:rFonts w:eastAsia="Times New Roman"/>
          <w:lang w:eastAsia="en-AU"/>
        </w:rPr>
        <w:t>had</w:t>
      </w:r>
      <w:r w:rsidR="00834E3A">
        <w:rPr>
          <w:rFonts w:eastAsia="Times New Roman"/>
          <w:lang w:eastAsia="en-AU"/>
        </w:rPr>
        <w:t xml:space="preserve"> limited impact on providers engaging in these activities.</w:t>
      </w:r>
    </w:p>
    <w:p w14:paraId="0E42BC67" w14:textId="77777777" w:rsidR="00834E3A" w:rsidRDefault="00834E3A" w:rsidP="00834E3A">
      <w:r>
        <w:rPr>
          <w:rFonts w:eastAsia="Times New Roman"/>
          <w:lang w:eastAsia="en-AU"/>
        </w:rPr>
        <w:t xml:space="preserve">Awareness of JSA </w:t>
      </w:r>
      <w:r w:rsidRPr="00641827">
        <w:rPr>
          <w:rFonts w:eastAsia="Times New Roman"/>
          <w:lang w:eastAsia="en-AU"/>
        </w:rPr>
        <w:t>was</w:t>
      </w:r>
      <w:r>
        <w:rPr>
          <w:rFonts w:eastAsia="Times New Roman"/>
          <w:lang w:eastAsia="en-AU"/>
        </w:rPr>
        <w:t xml:space="preserve"> low at the beginning of the </w:t>
      </w:r>
      <w:r w:rsidR="0058547F" w:rsidRPr="00641827">
        <w:rPr>
          <w:rFonts w:eastAsia="Times New Roman"/>
          <w:lang w:eastAsia="en-AU"/>
        </w:rPr>
        <w:t xml:space="preserve">JSA </w:t>
      </w:r>
      <w:r w:rsidRPr="00641827">
        <w:rPr>
          <w:rFonts w:eastAsia="Times New Roman"/>
          <w:lang w:eastAsia="en-AU"/>
        </w:rPr>
        <w:t xml:space="preserve">2009 contract and decreased over time, whereas usage increased. This </w:t>
      </w:r>
      <w:r w:rsidRPr="00ED1A83">
        <w:rPr>
          <w:rFonts w:eastAsia="Times New Roman"/>
          <w:lang w:eastAsia="en-AU"/>
        </w:rPr>
        <w:t>supports data that indicates</w:t>
      </w:r>
      <w:r>
        <w:rPr>
          <w:rFonts w:eastAsia="Times New Roman"/>
          <w:lang w:eastAsia="en-AU"/>
        </w:rPr>
        <w:t xml:space="preserve"> providers, to some extent, </w:t>
      </w:r>
      <w:r w:rsidRPr="00641827">
        <w:rPr>
          <w:rFonts w:eastAsia="Times New Roman"/>
          <w:lang w:eastAsia="en-AU"/>
        </w:rPr>
        <w:t>were</w:t>
      </w:r>
      <w:r>
        <w:rPr>
          <w:rFonts w:eastAsia="Times New Roman"/>
          <w:lang w:eastAsia="en-AU"/>
        </w:rPr>
        <w:t xml:space="preserve"> generating awareness through connecting with employers. However, at the end of the JSA 2012 contract usage </w:t>
      </w:r>
      <w:r w:rsidRPr="00641827">
        <w:rPr>
          <w:rFonts w:eastAsia="Times New Roman"/>
          <w:lang w:eastAsia="en-AU"/>
        </w:rPr>
        <w:t>was</w:t>
      </w:r>
      <w:r>
        <w:rPr>
          <w:rFonts w:eastAsia="Times New Roman"/>
          <w:lang w:eastAsia="en-AU"/>
        </w:rPr>
        <w:t xml:space="preserve"> still lower than usage of J</w:t>
      </w:r>
      <w:r w:rsidR="0058547F">
        <w:rPr>
          <w:rFonts w:eastAsia="Times New Roman"/>
          <w:lang w:eastAsia="en-AU"/>
        </w:rPr>
        <w:t>ob Network</w:t>
      </w:r>
      <w:r>
        <w:rPr>
          <w:rFonts w:eastAsia="Times New Roman"/>
          <w:lang w:eastAsia="en-AU"/>
        </w:rPr>
        <w:t>.</w:t>
      </w:r>
      <w:r w:rsidRPr="00092C8A">
        <w:rPr>
          <w:rFonts w:eastAsia="Times New Roman"/>
          <w:lang w:eastAsia="en-AU"/>
        </w:rPr>
        <w:t xml:space="preserve"> </w:t>
      </w:r>
      <w:r>
        <w:rPr>
          <w:rFonts w:eastAsia="Times New Roman"/>
          <w:lang w:eastAsia="en-AU"/>
        </w:rPr>
        <w:t xml:space="preserve">This </w:t>
      </w:r>
      <w:r w:rsidR="00F6652A" w:rsidRPr="00641827">
        <w:rPr>
          <w:rFonts w:eastAsia="Times New Roman"/>
          <w:lang w:eastAsia="en-AU"/>
        </w:rPr>
        <w:t>indicates</w:t>
      </w:r>
      <w:r>
        <w:rPr>
          <w:rFonts w:eastAsia="Times New Roman"/>
          <w:lang w:eastAsia="en-AU"/>
        </w:rPr>
        <w:t xml:space="preserve"> that changing the brand name of the employment service can have a negative </w:t>
      </w:r>
      <w:r w:rsidR="0037046F">
        <w:rPr>
          <w:rFonts w:eastAsia="Times New Roman"/>
          <w:lang w:eastAsia="en-AU"/>
        </w:rPr>
        <w:t>e</w:t>
      </w:r>
      <w:r w:rsidR="00F6652A">
        <w:rPr>
          <w:rFonts w:eastAsia="Times New Roman"/>
          <w:lang w:eastAsia="en-AU"/>
        </w:rPr>
        <w:t>ffect</w:t>
      </w:r>
      <w:r>
        <w:rPr>
          <w:rFonts w:eastAsia="Times New Roman"/>
          <w:lang w:eastAsia="en-AU"/>
        </w:rPr>
        <w:t xml:space="preserve"> on employer usage that takes a long time to recover.</w:t>
      </w:r>
    </w:p>
    <w:p w14:paraId="31427351" w14:textId="77777777" w:rsidR="00834E3A" w:rsidRDefault="00834E3A" w:rsidP="00834E3A">
      <w:pPr>
        <w:pStyle w:val="Heading3"/>
      </w:pPr>
      <w:bookmarkStart w:id="61" w:name="_Toc22543043"/>
      <w:r>
        <w:t>Indigenous Opportunity Policy</w:t>
      </w:r>
      <w:bookmarkEnd w:id="61"/>
    </w:p>
    <w:p w14:paraId="5D4EB13B" w14:textId="77777777" w:rsidR="00834E3A" w:rsidRDefault="00834E3A" w:rsidP="00834E3A">
      <w:r>
        <w:t xml:space="preserve">From the qualitative research conducted, it </w:t>
      </w:r>
      <w:r w:rsidRPr="00641827">
        <w:t>was</w:t>
      </w:r>
      <w:r>
        <w:t xml:space="preserve"> evident that the I</w:t>
      </w:r>
      <w:r w:rsidR="00F6652A">
        <w:t xml:space="preserve">ndigenous </w:t>
      </w:r>
      <w:r>
        <w:t>O</w:t>
      </w:r>
      <w:r w:rsidR="00F6652A">
        <w:t xml:space="preserve">pportunity </w:t>
      </w:r>
      <w:r>
        <w:t>P</w:t>
      </w:r>
      <w:r w:rsidR="00F6652A">
        <w:t>olicy (IOP)</w:t>
      </w:r>
      <w:r>
        <w:t xml:space="preserve"> was broadly unsuccessful as a policy in terms of changing provider behaviour at the site level. However, providers </w:t>
      </w:r>
      <w:r w:rsidRPr="00641827">
        <w:t>were</w:t>
      </w:r>
      <w:r>
        <w:t xml:space="preserve"> </w:t>
      </w:r>
      <w:r w:rsidR="00682D84">
        <w:t>inadvertently</w:t>
      </w:r>
      <w:r>
        <w:t xml:space="preserve"> implementing aspects of the policy that made good business sense. Given providers</w:t>
      </w:r>
      <w:r w:rsidR="0058547F">
        <w:t>’</w:t>
      </w:r>
      <w:r>
        <w:t xml:space="preserve"> core business – getting job seekers into jobs – a shift in focus to encouraging providers to work more closely with businesses required to implement the IOP may be a more practical approach.</w:t>
      </w:r>
    </w:p>
    <w:p w14:paraId="2EF2173A" w14:textId="77777777" w:rsidR="00834E3A" w:rsidRDefault="00834E3A" w:rsidP="00345DBC">
      <w:pPr>
        <w:pStyle w:val="Heading2"/>
        <w:keepNext/>
        <w:rPr>
          <w:rFonts w:eastAsia="Times New Roman"/>
        </w:rPr>
      </w:pPr>
      <w:bookmarkStart w:id="62" w:name="_Toc450919323"/>
      <w:bookmarkStart w:id="63" w:name="_Toc22543044"/>
      <w:r>
        <w:rPr>
          <w:rFonts w:eastAsia="Times New Roman"/>
        </w:rPr>
        <w:t>Where more work is required</w:t>
      </w:r>
      <w:bookmarkEnd w:id="53"/>
      <w:bookmarkEnd w:id="54"/>
      <w:bookmarkEnd w:id="62"/>
      <w:bookmarkEnd w:id="63"/>
    </w:p>
    <w:p w14:paraId="1871CA0A" w14:textId="77777777" w:rsidR="00834E3A" w:rsidRDefault="00834E3A" w:rsidP="00834E3A">
      <w:pPr>
        <w:pStyle w:val="Heading3"/>
      </w:pPr>
      <w:bookmarkStart w:id="64" w:name="_Toc22543045"/>
      <w:r>
        <w:t>Effectiveness</w:t>
      </w:r>
      <w:bookmarkEnd w:id="64"/>
    </w:p>
    <w:p w14:paraId="60609D6D" w14:textId="77777777" w:rsidR="00834E3A" w:rsidRPr="001B7264" w:rsidRDefault="00834E3A" w:rsidP="00834E3A">
      <w:pPr>
        <w:pStyle w:val="Heading4"/>
      </w:pPr>
      <w:r>
        <w:t>Full-time e</w:t>
      </w:r>
      <w:r w:rsidRPr="001B7264">
        <w:t>mployment outcomes</w:t>
      </w:r>
    </w:p>
    <w:p w14:paraId="7584367C" w14:textId="77777777" w:rsidR="00834E3A" w:rsidRPr="00420E6F" w:rsidRDefault="00834E3A" w:rsidP="00834E3A">
      <w:r w:rsidRPr="00940174">
        <w:t>P</w:t>
      </w:r>
      <w:r w:rsidR="00F6652A">
        <w:t xml:space="preserve">ost </w:t>
      </w:r>
      <w:r w:rsidRPr="00940174">
        <w:t>P</w:t>
      </w:r>
      <w:r w:rsidR="00F6652A">
        <w:t xml:space="preserve">rogramme </w:t>
      </w:r>
      <w:r w:rsidRPr="00940174">
        <w:t>M</w:t>
      </w:r>
      <w:r w:rsidR="00F6652A">
        <w:t>onitoring (PPM)</w:t>
      </w:r>
      <w:r w:rsidRPr="00940174">
        <w:t xml:space="preserve"> survey results </w:t>
      </w:r>
      <w:r w:rsidRPr="00641827">
        <w:t xml:space="preserve">show that the </w:t>
      </w:r>
      <w:r w:rsidR="0058547F" w:rsidRPr="00641827">
        <w:t xml:space="preserve">JSA </w:t>
      </w:r>
      <w:r w:rsidRPr="00641827">
        <w:t xml:space="preserve">2012 </w:t>
      </w:r>
      <w:r w:rsidR="00F6652A" w:rsidRPr="00641827">
        <w:t>long</w:t>
      </w:r>
      <w:r w:rsidR="00682D84" w:rsidRPr="00641827">
        <w:t>-</w:t>
      </w:r>
      <w:r w:rsidR="00F6652A" w:rsidRPr="00ED1A83">
        <w:t>term unemployed (L</w:t>
      </w:r>
      <w:r w:rsidRPr="00ED1A83">
        <w:t>TU</w:t>
      </w:r>
      <w:r w:rsidR="00F6652A" w:rsidRPr="00ED1A83">
        <w:t>)</w:t>
      </w:r>
      <w:r w:rsidRPr="00EC714E">
        <w:t xml:space="preserve"> study population were less likely to be in full-time employment three months after receiving services than equivalent JSA 2009 po</w:t>
      </w:r>
      <w:r w:rsidRPr="004B6A80">
        <w:t>pulation. This result holds for all four streams</w:t>
      </w:r>
      <w:r w:rsidR="00F6652A" w:rsidRPr="004B6A80">
        <w:t>.</w:t>
      </w:r>
      <w:r w:rsidRPr="004B6A80">
        <w:t xml:space="preserve"> The same general pattern of reductions in full-time employment outcomes </w:t>
      </w:r>
      <w:r w:rsidR="00F6652A" w:rsidRPr="00420E6F">
        <w:t xml:space="preserve">is </w:t>
      </w:r>
      <w:r w:rsidRPr="00420E6F">
        <w:t>evident across most job seeker groups.</w:t>
      </w:r>
    </w:p>
    <w:p w14:paraId="6C2B35B8" w14:textId="77777777" w:rsidR="00834E3A" w:rsidRPr="00420E6F" w:rsidRDefault="00834E3A" w:rsidP="00834E3A">
      <w:pPr>
        <w:rPr>
          <w:sz w:val="18"/>
          <w:szCs w:val="20"/>
        </w:rPr>
      </w:pPr>
      <w:r w:rsidRPr="00420E6F">
        <w:t>For LTU job seekers, the predicted vs actual rates of exit from services measure shows that in every stream, the JSA 2009 job seekers would have been less likely to exit employment services had they been serviced in JSA 2012. The difference between actual and predicted exits is most marked for Stream 1 job seekers, with a predicted 5.1 percentage points lower exit rate had this group been serviced in JSA 2012. For higher streams the differences are much smaller. For Stream 4 job seekers the difference is only 0.6 percentage points. This finding may be related to the changes to Stream 1 servicing which are analysed in Chapter 4.</w:t>
      </w:r>
    </w:p>
    <w:p w14:paraId="50B8CBA7" w14:textId="48C14554" w:rsidR="00834E3A" w:rsidRPr="00641827" w:rsidRDefault="00834E3A" w:rsidP="00834E3A">
      <w:r w:rsidRPr="006C1CF0">
        <w:t>Average Marginal Effect (AME) estimates for job seekers 12 months after the snapshot date show that LTU job seekers in JSA 2012 generally had less favourable income support status results 12</w:t>
      </w:r>
      <w:r w:rsidR="00C84926">
        <w:t> </w:t>
      </w:r>
      <w:r w:rsidRPr="006C1CF0">
        <w:t>months after the snapshot date th</w:t>
      </w:r>
      <w:r w:rsidRPr="00641827">
        <w:t>an those in JSA 2009. The differences are most marked for job seekers in Streams 1 and 2, and smallest for those in Stream 4.</w:t>
      </w:r>
    </w:p>
    <w:p w14:paraId="5C69B097" w14:textId="77777777" w:rsidR="00F6652A" w:rsidRPr="00641827" w:rsidRDefault="00F6652A" w:rsidP="00F6652A">
      <w:r w:rsidRPr="00641827">
        <w:t>Measuring sustainability of exits also show JSA 2012 to be less effective than JSA 2009. New entrant and LTU job seekers who came off income support in JSA 2012 were slightly more likely to have returned to it and be on full income support 12 months later, compared with equivalent job seekers in JSA 2009.</w:t>
      </w:r>
    </w:p>
    <w:p w14:paraId="5DA87269" w14:textId="77777777" w:rsidR="00834E3A" w:rsidRPr="00641827" w:rsidRDefault="00834E3A" w:rsidP="00834E3A">
      <w:pPr>
        <w:pStyle w:val="Heading4"/>
      </w:pPr>
      <w:r w:rsidRPr="00641827">
        <w:t>Changes to Stream 1 servicing</w:t>
      </w:r>
    </w:p>
    <w:p w14:paraId="223A1304" w14:textId="42D915EA" w:rsidR="00834E3A" w:rsidRPr="00641827" w:rsidRDefault="00834E3A" w:rsidP="00834E3A">
      <w:pPr>
        <w:keepNext/>
        <w:spacing w:after="0"/>
        <w:rPr>
          <w:rFonts w:eastAsiaTheme="majorEastAsia"/>
        </w:rPr>
      </w:pPr>
      <w:r w:rsidRPr="00641827">
        <w:t>The key effects of changes to Stream 1 servicing between</w:t>
      </w:r>
      <w:r w:rsidRPr="00641827">
        <w:rPr>
          <w:rFonts w:eastAsiaTheme="majorEastAsia"/>
        </w:rPr>
        <w:t xml:space="preserve"> JSA 2012 and JSA 2009 for new entrant Stream 1 job seekers </w:t>
      </w:r>
      <w:r w:rsidR="00C84926">
        <w:rPr>
          <w:rFonts w:eastAsiaTheme="majorEastAsia"/>
        </w:rPr>
        <w:t>were</w:t>
      </w:r>
      <w:r w:rsidR="00C84926" w:rsidRPr="00641827">
        <w:rPr>
          <w:rFonts w:eastAsiaTheme="majorEastAsia"/>
        </w:rPr>
        <w:t xml:space="preserve"> </w:t>
      </w:r>
      <w:r w:rsidRPr="00641827">
        <w:rPr>
          <w:rFonts w:eastAsiaTheme="majorEastAsia"/>
        </w:rPr>
        <w:t>that JSA 2012 job seekers:</w:t>
      </w:r>
    </w:p>
    <w:p w14:paraId="28F8575F" w14:textId="77777777" w:rsidR="00834E3A" w:rsidRPr="00EA214E" w:rsidRDefault="00834E3A" w:rsidP="00EF47FB">
      <w:pPr>
        <w:pStyle w:val="ListParagraph"/>
      </w:pPr>
      <w:r w:rsidRPr="00553086">
        <w:t>remained in service longer w</w:t>
      </w:r>
      <w:r w:rsidRPr="00EA214E">
        <w:t>ith a median time to exit 21 days longer than for JSA 2009</w:t>
      </w:r>
    </w:p>
    <w:p w14:paraId="5A3CA5F6" w14:textId="77777777" w:rsidR="00834E3A" w:rsidRPr="00735186" w:rsidRDefault="00834E3A" w:rsidP="00EF47FB">
      <w:pPr>
        <w:pStyle w:val="ListParagraph"/>
        <w:rPr>
          <w:rFonts w:eastAsiaTheme="majorEastAsia"/>
        </w:rPr>
      </w:pPr>
      <w:r w:rsidRPr="005C5E60">
        <w:t>were less likely to be off</w:t>
      </w:r>
      <w:r w:rsidRPr="005C5E60">
        <w:rPr>
          <w:rFonts w:eastAsiaTheme="majorEastAsia"/>
        </w:rPr>
        <w:t xml:space="preserve"> income support after 12 months in service (by 10.5 per cent).</w:t>
      </w:r>
    </w:p>
    <w:p w14:paraId="63B7AF06" w14:textId="1EE7294E" w:rsidR="00834E3A" w:rsidRPr="00641827" w:rsidRDefault="00834E3A" w:rsidP="00834E3A">
      <w:pPr>
        <w:spacing w:before="240"/>
        <w:rPr>
          <w:rFonts w:eastAsiaTheme="majorEastAsia"/>
        </w:rPr>
      </w:pPr>
      <w:r w:rsidRPr="00641827">
        <w:t xml:space="preserve">There is no indication of a referral effect under the JSA 2012 Intensive Activity regime. This is in contrast to the noticeable effect in JSA 2009, indicated by job seekers leaving in increasing numbers prior to the </w:t>
      </w:r>
      <w:r w:rsidR="005B7636" w:rsidRPr="00641827">
        <w:t>17-week</w:t>
      </w:r>
      <w:r w:rsidRPr="00641827">
        <w:t xml:space="preserve"> deadline. Outcome rates overall for job seekers in JSA 2012 were particularly poor for Stream 1 job seekers. This indicates that </w:t>
      </w:r>
      <w:r w:rsidRPr="00641827">
        <w:rPr>
          <w:rFonts w:eastAsiaTheme="majorEastAsia"/>
        </w:rPr>
        <w:t>the combined effect of all changes made to the service delivery for Stream 1 job seekers contributed to lower short to medium-term outcome rates.</w:t>
      </w:r>
    </w:p>
    <w:p w14:paraId="18C25F29" w14:textId="3415CDEA" w:rsidR="00834E3A" w:rsidRPr="009C3C01" w:rsidRDefault="00834E3A" w:rsidP="00834E3A">
      <w:pPr>
        <w:rPr>
          <w:rFonts w:eastAsiaTheme="majorEastAsia"/>
        </w:rPr>
      </w:pPr>
      <w:r w:rsidRPr="00641827">
        <w:rPr>
          <w:rFonts w:eastAsiaTheme="majorEastAsia"/>
        </w:rPr>
        <w:t>It is not possible to accurately quantify the contribution that each of the Stream 1 service delivery changes made to the decline in</w:t>
      </w:r>
      <w:r w:rsidR="0058547F" w:rsidRPr="00641827">
        <w:rPr>
          <w:rFonts w:eastAsiaTheme="majorEastAsia"/>
        </w:rPr>
        <w:t xml:space="preserve"> </w:t>
      </w:r>
      <w:r w:rsidRPr="00641827">
        <w:rPr>
          <w:rFonts w:eastAsiaTheme="majorEastAsia"/>
        </w:rPr>
        <w:t>outcome rate</w:t>
      </w:r>
      <w:r w:rsidR="0058547F" w:rsidRPr="00641827">
        <w:rPr>
          <w:rFonts w:eastAsiaTheme="majorEastAsia"/>
        </w:rPr>
        <w:t>s</w:t>
      </w:r>
      <w:r w:rsidRPr="00641827">
        <w:rPr>
          <w:rFonts w:eastAsiaTheme="majorEastAsia"/>
        </w:rPr>
        <w:t xml:space="preserve">, however changes to the Intensive Activity regime </w:t>
      </w:r>
      <w:r w:rsidR="00F6652A" w:rsidRPr="00641827">
        <w:rPr>
          <w:rFonts w:eastAsiaTheme="majorEastAsia"/>
        </w:rPr>
        <w:t xml:space="preserve">appear to have </w:t>
      </w:r>
      <w:r w:rsidRPr="00641827">
        <w:rPr>
          <w:rFonts w:eastAsiaTheme="majorEastAsia"/>
        </w:rPr>
        <w:t xml:space="preserve">negated the compliance effect </w:t>
      </w:r>
      <w:r w:rsidR="00F6652A" w:rsidRPr="00641827">
        <w:rPr>
          <w:rFonts w:eastAsiaTheme="majorEastAsia"/>
        </w:rPr>
        <w:t xml:space="preserve">which </w:t>
      </w:r>
      <w:r w:rsidR="00C84926">
        <w:rPr>
          <w:rFonts w:eastAsiaTheme="majorEastAsia"/>
        </w:rPr>
        <w:t>was</w:t>
      </w:r>
      <w:r w:rsidR="00C84926" w:rsidRPr="00641827">
        <w:rPr>
          <w:rFonts w:eastAsiaTheme="majorEastAsia"/>
        </w:rPr>
        <w:t xml:space="preserve"> </w:t>
      </w:r>
      <w:r w:rsidR="00F6652A" w:rsidRPr="00641827">
        <w:rPr>
          <w:rFonts w:eastAsiaTheme="majorEastAsia"/>
        </w:rPr>
        <w:t xml:space="preserve">evident </w:t>
      </w:r>
      <w:r w:rsidRPr="00641827">
        <w:rPr>
          <w:rFonts w:eastAsiaTheme="majorEastAsia"/>
        </w:rPr>
        <w:t>in</w:t>
      </w:r>
      <w:r>
        <w:rPr>
          <w:rFonts w:eastAsiaTheme="majorEastAsia"/>
        </w:rPr>
        <w:t xml:space="preserve"> JSA 2009</w:t>
      </w:r>
      <w:r w:rsidRPr="009C3C01">
        <w:rPr>
          <w:rFonts w:eastAsiaTheme="majorEastAsia"/>
        </w:rPr>
        <w:t>.</w:t>
      </w:r>
    </w:p>
    <w:p w14:paraId="73C96389" w14:textId="1F43250B" w:rsidR="00834E3A" w:rsidRDefault="00834E3A" w:rsidP="00834E3A">
      <w:r w:rsidRPr="009C3C01">
        <w:t xml:space="preserve">While Stream 1 service </w:t>
      </w:r>
      <w:r w:rsidRPr="00641827">
        <w:t>costs were lower in the first 12 months of service in JSA 2012 compared with JSA 2009</w:t>
      </w:r>
      <w:r w:rsidRPr="00ED1A83">
        <w:t>, the overall effect of all service delivery model changes led to a longer median time in service. As a result, when the cost to government is calculated</w:t>
      </w:r>
      <w:r>
        <w:t xml:space="preserve"> (including added income support costs)</w:t>
      </w:r>
      <w:r w:rsidRPr="009C3C01">
        <w:t xml:space="preserve">, the JSA 2012 model </w:t>
      </w:r>
      <w:r w:rsidR="00C84926">
        <w:t>was</w:t>
      </w:r>
      <w:r w:rsidR="00C84926" w:rsidRPr="009C3C01">
        <w:t xml:space="preserve"> </w:t>
      </w:r>
      <w:r w:rsidRPr="009C3C01">
        <w:t>not as cost-effective as the JSA 2009 model for most types of new entrant Stream 1 job seekers.</w:t>
      </w:r>
    </w:p>
    <w:p w14:paraId="0FFC6F17" w14:textId="77777777" w:rsidR="00834E3A" w:rsidRPr="004D5568" w:rsidRDefault="00834E3A" w:rsidP="00834E3A">
      <w:pPr>
        <w:pStyle w:val="Heading3"/>
      </w:pPr>
      <w:bookmarkStart w:id="65" w:name="_Toc22543046"/>
      <w:r w:rsidRPr="004D5568">
        <w:t>Total cost to government</w:t>
      </w:r>
      <w:bookmarkEnd w:id="65"/>
    </w:p>
    <w:p w14:paraId="623E839E" w14:textId="77777777" w:rsidR="00834E3A" w:rsidRDefault="00834E3A" w:rsidP="00834E3A">
      <w:r>
        <w:t>While some efficiency measures, such as cost per outcome and programme costs were shown to be improved under JSA 2012, they do not tell the whole story. Income support costs, while not assisting job seekers into employment</w:t>
      </w:r>
      <w:r w:rsidR="00641827">
        <w:t>,</w:t>
      </w:r>
      <w:r>
        <w:t xml:space="preserve"> are part of the overall cost to the government. This point is important because at any point in time, t</w:t>
      </w:r>
      <w:r w:rsidRPr="00C21E8E">
        <w:t xml:space="preserve">he vast majority of the JSA caseload </w:t>
      </w:r>
      <w:r w:rsidR="00954761">
        <w:t>is</w:t>
      </w:r>
      <w:r w:rsidR="00954761" w:rsidRPr="00C21E8E">
        <w:t xml:space="preserve"> </w:t>
      </w:r>
      <w:r w:rsidRPr="00C21E8E">
        <w:t xml:space="preserve">on income support. </w:t>
      </w:r>
      <w:r>
        <w:t>For example, a</w:t>
      </w:r>
      <w:r w:rsidRPr="00C21E8E">
        <w:t xml:space="preserve">t 30 June 2012 68.9 per cent of the active caseload was on NSA, 11.1 per cent </w:t>
      </w:r>
      <w:r>
        <w:t>YA(O)</w:t>
      </w:r>
      <w:r w:rsidRPr="00C21E8E">
        <w:t>, 0.6 per cent on DS</w:t>
      </w:r>
      <w:r>
        <w:t>P</w:t>
      </w:r>
      <w:r w:rsidRPr="00C21E8E">
        <w:t xml:space="preserve"> and 10.7 per cent on </w:t>
      </w:r>
      <w:r>
        <w:t>PP.</w:t>
      </w:r>
    </w:p>
    <w:p w14:paraId="134C426E" w14:textId="05019A36" w:rsidR="00834E3A" w:rsidRDefault="00834E3A" w:rsidP="00834E3A">
      <w:r w:rsidRPr="00F20A64">
        <w:t>A consequence of the effectiveness findings is additional cost to government in income support payments. Therefore, while the cost per employment outcome for JSA 2012 implies a more cost effective employment service</w:t>
      </w:r>
      <w:r w:rsidR="00E7638D">
        <w:t>s</w:t>
      </w:r>
      <w:r w:rsidRPr="00F20A64">
        <w:t xml:space="preserve"> delivery model, this saving was at the expense of job seeker outcomes (and any secondary costs arising as a consequence of longer periods of unemployment) and resulted in increased costs to the income support system.</w:t>
      </w:r>
    </w:p>
    <w:p w14:paraId="6F9D3D5D" w14:textId="77777777" w:rsidR="00834E3A" w:rsidRDefault="00834E3A" w:rsidP="00834E3A">
      <w:pPr>
        <w:pStyle w:val="Heading2"/>
      </w:pPr>
      <w:bookmarkStart w:id="66" w:name="_Toc450919324"/>
      <w:bookmarkStart w:id="67" w:name="_Toc22543047"/>
      <w:r>
        <w:t xml:space="preserve">Overall </w:t>
      </w:r>
      <w:r w:rsidR="006612D9">
        <w:t>c</w:t>
      </w:r>
      <w:r>
        <w:t>onclusion</w:t>
      </w:r>
      <w:bookmarkEnd w:id="66"/>
      <w:bookmarkEnd w:id="67"/>
    </w:p>
    <w:p w14:paraId="7E481CF5" w14:textId="0009C501" w:rsidR="00834E3A" w:rsidRDefault="00834E3A" w:rsidP="00834E3A">
      <w:r>
        <w:t>JSA 2012 is shown to have been an improvement on its predecessor by some efficiency measures, for example the overall cost of the programme</w:t>
      </w:r>
      <w:r w:rsidR="00576C34">
        <w:t xml:space="preserve"> and cost per outcome decreased. However, </w:t>
      </w:r>
      <w:r>
        <w:t xml:space="preserve">by most effectiveness measures, many changes made to the model did not improve its function. For example, JSA 2012 was </w:t>
      </w:r>
      <w:r w:rsidRPr="00486A71">
        <w:t>less effective in assisting new entrant job seekers to move off income support within 12 months of entering service</w:t>
      </w:r>
      <w:r>
        <w:t xml:space="preserve">, </w:t>
      </w:r>
      <w:r w:rsidRPr="00E6421D">
        <w:t>less effective in assisting LTU job seekers to move off income support within 12 months of the snapshot date</w:t>
      </w:r>
      <w:r>
        <w:t xml:space="preserve"> and </w:t>
      </w:r>
      <w:r w:rsidRPr="00E6421D">
        <w:t>less effective in achieving sustained exits</w:t>
      </w:r>
      <w:r>
        <w:t xml:space="preserve"> from income support. Therefore, while servicing job seekers was cheaper in JSA 2012, it was also less effective. It should also be noted that the prevailing economic conditions for the 2012 contract would imply that lower outcomes would be expected.</w:t>
      </w:r>
    </w:p>
    <w:p w14:paraId="2F8BCCBB" w14:textId="77777777" w:rsidR="00834E3A" w:rsidRPr="00CA47D3" w:rsidRDefault="00834E3A" w:rsidP="00834E3A">
      <w:pPr>
        <w:pStyle w:val="Heading2"/>
      </w:pPr>
      <w:bookmarkStart w:id="68" w:name="_Toc450919325"/>
      <w:bookmarkStart w:id="69" w:name="_Toc22543048"/>
      <w:r w:rsidRPr="00CA47D3">
        <w:t>Recommendations</w:t>
      </w:r>
      <w:bookmarkEnd w:id="68"/>
      <w:bookmarkEnd w:id="69"/>
    </w:p>
    <w:p w14:paraId="2139E0CD" w14:textId="77777777" w:rsidR="00834E3A" w:rsidRDefault="00834E3A" w:rsidP="00834E3A">
      <w:pPr>
        <w:pStyle w:val="Heading3"/>
      </w:pPr>
      <w:bookmarkStart w:id="70" w:name="_Toc22543049"/>
      <w:r>
        <w:t>R</w:t>
      </w:r>
      <w:r w:rsidRPr="00B64A6C">
        <w:t>eferral effects</w:t>
      </w:r>
      <w:bookmarkEnd w:id="70"/>
    </w:p>
    <w:p w14:paraId="4471DB29" w14:textId="77777777" w:rsidR="00834E3A" w:rsidRPr="00ED0BB4" w:rsidRDefault="00834E3A" w:rsidP="00834E3A">
      <w:r>
        <w:t>Initiatives that prompt referral effects:</w:t>
      </w:r>
    </w:p>
    <w:p w14:paraId="5EF180B2" w14:textId="11A7D4CD" w:rsidR="00834E3A" w:rsidRDefault="00834E3A" w:rsidP="00EF47FB">
      <w:pPr>
        <w:pStyle w:val="ListParagraph"/>
      </w:pPr>
      <w:r w:rsidRPr="00B64A6C">
        <w:t>are best placed earlier in a job seekers</w:t>
      </w:r>
      <w:r w:rsidR="00682D84">
        <w:t>’</w:t>
      </w:r>
      <w:r w:rsidR="00576C34">
        <w:t xml:space="preserve"> period of service</w:t>
      </w:r>
    </w:p>
    <w:p w14:paraId="71E30D78" w14:textId="6973ED64" w:rsidR="00834E3A" w:rsidRPr="002952A7" w:rsidRDefault="00834E3A" w:rsidP="00EF47FB">
      <w:pPr>
        <w:pStyle w:val="ListParagraph"/>
      </w:pPr>
      <w:r w:rsidRPr="00B64A6C">
        <w:t>should also be made reasonably intensive</w:t>
      </w:r>
      <w:r w:rsidR="00576C34">
        <w:t>.</w:t>
      </w:r>
    </w:p>
    <w:p w14:paraId="2E88A882" w14:textId="77777777" w:rsidR="00834E3A" w:rsidRDefault="00834E3A" w:rsidP="00834E3A">
      <w:pPr>
        <w:pStyle w:val="Heading3"/>
      </w:pPr>
      <w:bookmarkStart w:id="71" w:name="_Toc22543050"/>
      <w:r>
        <w:t>Cost shifting</w:t>
      </w:r>
      <w:bookmarkEnd w:id="71"/>
    </w:p>
    <w:p w14:paraId="4BB55D11" w14:textId="506BE4F0" w:rsidR="00834E3A" w:rsidRPr="008101B9" w:rsidRDefault="00834E3A" w:rsidP="00834E3A">
      <w:r>
        <w:t>C</w:t>
      </w:r>
      <w:r w:rsidRPr="009C3C01">
        <w:t>ost shifting between government programmes can be significant.</w:t>
      </w:r>
      <w:r>
        <w:t xml:space="preserve"> </w:t>
      </w:r>
      <w:r w:rsidRPr="009C3C01">
        <w:t xml:space="preserve">As </w:t>
      </w:r>
      <w:r>
        <w:t>such</w:t>
      </w:r>
      <w:r w:rsidR="005B7636">
        <w:t>,</w:t>
      </w:r>
      <w:r>
        <w:t xml:space="preserve"> </w:t>
      </w:r>
      <w:r w:rsidRPr="009C3C01">
        <w:t xml:space="preserve">the </w:t>
      </w:r>
      <w:r>
        <w:t>possible impacts on related programmes/systems should be considered when savings measures are proposed</w:t>
      </w:r>
      <w:r w:rsidRPr="009C3C01">
        <w:t>.</w:t>
      </w:r>
    </w:p>
    <w:p w14:paraId="07C026DA" w14:textId="77777777" w:rsidR="00834E3A" w:rsidRDefault="00834E3A" w:rsidP="00834E3A">
      <w:pPr>
        <w:pStyle w:val="Heading3"/>
      </w:pPr>
      <w:bookmarkStart w:id="72" w:name="_Toc22543051"/>
      <w:r>
        <w:t>Indigenous Servicing</w:t>
      </w:r>
      <w:bookmarkEnd w:id="72"/>
    </w:p>
    <w:p w14:paraId="719F2C38" w14:textId="77777777" w:rsidR="00834E3A" w:rsidRDefault="00834E3A" w:rsidP="00834E3A">
      <w:r>
        <w:t>Programmes that provide intensive one-on-one assistance can assist job seekers in overcoming barriers and help them into sustainable employment. Programmes that target employment services as employers</w:t>
      </w:r>
      <w:r w:rsidR="00B2377E">
        <w:t>, such as the IOP,</w:t>
      </w:r>
      <w:r>
        <w:t xml:space="preserve"> are less effective in improving Indigenous employment outcomes. The focus may be better placed on encouraging providers to concentrate on their core business: providing</w:t>
      </w:r>
      <w:r w:rsidRPr="00C1106D">
        <w:t xml:space="preserve"> Indigenous job seekers to companies</w:t>
      </w:r>
      <w:r>
        <w:t xml:space="preserve"> and other organisations that must meet the requirements of the IOP.</w:t>
      </w:r>
    </w:p>
    <w:p w14:paraId="027054F0" w14:textId="77777777" w:rsidR="00834E3A" w:rsidRDefault="00834E3A" w:rsidP="00834E3A">
      <w:pPr>
        <w:pStyle w:val="Heading3"/>
      </w:pPr>
      <w:bookmarkStart w:id="73" w:name="_Toc22543052"/>
      <w:r>
        <w:t>Red tape reduction</w:t>
      </w:r>
      <w:bookmarkEnd w:id="73"/>
    </w:p>
    <w:p w14:paraId="7930D80D" w14:textId="77777777" w:rsidR="00263AEB" w:rsidRDefault="00263AEB" w:rsidP="00263AEB">
      <w:pPr>
        <w:spacing w:after="0"/>
      </w:pPr>
      <w:r>
        <w:t xml:space="preserve">The majority of red tape costs were linked to ensuring that job seekers were meeting their mutual obligation requirements. If the number of requirements placed on JSA job seekers </w:t>
      </w:r>
      <w:r w:rsidRPr="008669D9">
        <w:t>is</w:t>
      </w:r>
      <w:r>
        <w:t xml:space="preserve"> considered appropriate, alternative options for easing </w:t>
      </w:r>
      <w:r>
        <w:rPr>
          <w:rFonts w:cstheme="minorHAnsi"/>
        </w:rPr>
        <w:t xml:space="preserve">compliance costs </w:t>
      </w:r>
      <w:r>
        <w:t>require exploration. Options to achieve significant savings are likely to be difficult to identify, though could include:</w:t>
      </w:r>
    </w:p>
    <w:p w14:paraId="61DD59B1" w14:textId="77777777" w:rsidR="00263AEB" w:rsidRPr="007328A0" w:rsidRDefault="00263AEB" w:rsidP="00263AEB">
      <w:pPr>
        <w:pStyle w:val="ListParagraph"/>
      </w:pPr>
      <w:r w:rsidRPr="0027527E">
        <w:t>simplifying and/or automating of processes used to collect information, assuming there is significant scope for improvement</w:t>
      </w:r>
    </w:p>
    <w:p w14:paraId="03C6B598" w14:textId="77777777" w:rsidR="00263AEB" w:rsidRPr="00CA47D3" w:rsidRDefault="00263AEB" w:rsidP="00263AEB">
      <w:pPr>
        <w:pStyle w:val="ListParagraph"/>
      </w:pPr>
      <w:r w:rsidRPr="00CA47D3">
        <w:t>further explor</w:t>
      </w:r>
      <w:r>
        <w:t>ation of</w:t>
      </w:r>
      <w:r w:rsidRPr="00CA47D3">
        <w:t xml:space="preserve"> technological solutions, beyond those already implemented</w:t>
      </w:r>
    </w:p>
    <w:p w14:paraId="793136F9" w14:textId="43E4A662" w:rsidR="00263AEB" w:rsidRPr="00CA47D3" w:rsidRDefault="00263AEB" w:rsidP="00263AEB">
      <w:pPr>
        <w:pStyle w:val="ListParagraph"/>
      </w:pPr>
      <w:r w:rsidRPr="00CA47D3">
        <w:t>explor</w:t>
      </w:r>
      <w:r>
        <w:t>ation of</w:t>
      </w:r>
      <w:r w:rsidRPr="00CA47D3">
        <w:t xml:space="preserve"> behavioural economics </w:t>
      </w:r>
      <w:r>
        <w:t>strategies,</w:t>
      </w:r>
      <w:r w:rsidRPr="00CA47D3">
        <w:t xml:space="preserve"> a</w:t>
      </w:r>
      <w:r>
        <w:t xml:space="preserve">s a non-regulatory </w:t>
      </w:r>
      <w:r w:rsidR="00E64CDD">
        <w:t>approach</w:t>
      </w:r>
    </w:p>
    <w:p w14:paraId="7016D57B" w14:textId="77777777" w:rsidR="00263AEB" w:rsidRDefault="00263AEB" w:rsidP="00263AEB">
      <w:pPr>
        <w:pStyle w:val="ListParagraph"/>
      </w:pPr>
      <w:r w:rsidRPr="00716683">
        <w:t>employ</w:t>
      </w:r>
      <w:r>
        <w:t>ing</w:t>
      </w:r>
      <w:r w:rsidRPr="00716683">
        <w:t xml:space="preserve"> risk</w:t>
      </w:r>
      <w:r>
        <w:t xml:space="preserve"> management to reduce red tape, for example, by placing more of a focus on random auditing to ensure integrity with the consequence of deliberate compliance failure made clear through financial penalties or loss of contract.</w:t>
      </w:r>
    </w:p>
    <w:p w14:paraId="5EEE0C39" w14:textId="77777777" w:rsidR="00834E3A" w:rsidRDefault="00834E3A" w:rsidP="00834E3A">
      <w:pPr>
        <w:pStyle w:val="Heading3"/>
      </w:pPr>
      <w:bookmarkStart w:id="74" w:name="_Toc22543053"/>
      <w:r>
        <w:t xml:space="preserve">Wage </w:t>
      </w:r>
      <w:r w:rsidR="00D537AE">
        <w:t>s</w:t>
      </w:r>
      <w:r>
        <w:t>ubsidies</w:t>
      </w:r>
      <w:bookmarkEnd w:id="74"/>
    </w:p>
    <w:p w14:paraId="6D57E017" w14:textId="77777777" w:rsidR="00834E3A" w:rsidRDefault="00834E3A" w:rsidP="00834E3A">
      <w:r>
        <w:t>The following recommendation</w:t>
      </w:r>
      <w:r w:rsidR="00CD13F5">
        <w:t>s</w:t>
      </w:r>
      <w:r>
        <w:t xml:space="preserve"> should be considered</w:t>
      </w:r>
      <w:r w:rsidR="00CD13F5">
        <w:t>:</w:t>
      </w:r>
    </w:p>
    <w:p w14:paraId="5F3CB615" w14:textId="77777777" w:rsidR="00834E3A" w:rsidRDefault="00954761" w:rsidP="00EF47FB">
      <w:pPr>
        <w:pStyle w:val="ListParagraph"/>
      </w:pPr>
      <w:r>
        <w:t xml:space="preserve">targeting </w:t>
      </w:r>
      <w:r w:rsidR="00CD13F5">
        <w:t>w</w:t>
      </w:r>
      <w:r w:rsidR="00834E3A">
        <w:t>age subsidies at eligible job seekers with full-time participation requirements (currently, NSA and YA(O) recipients)</w:t>
      </w:r>
    </w:p>
    <w:p w14:paraId="37223AD7" w14:textId="77777777" w:rsidR="00834E3A" w:rsidRDefault="00954761" w:rsidP="00EF47FB">
      <w:pPr>
        <w:pStyle w:val="ListParagraph"/>
      </w:pPr>
      <w:r>
        <w:t xml:space="preserve">encouraging </w:t>
      </w:r>
      <w:r w:rsidR="00834E3A">
        <w:t>better job matching by service providers</w:t>
      </w:r>
      <w:r w:rsidR="00CD13F5">
        <w:t xml:space="preserve"> by removing </w:t>
      </w:r>
      <w:r w:rsidR="00834E3A">
        <w:t>pro-rata payments for placements that end prematurely</w:t>
      </w:r>
    </w:p>
    <w:p w14:paraId="37382392" w14:textId="77777777" w:rsidR="00834E3A" w:rsidRDefault="00954761" w:rsidP="00EF47FB">
      <w:pPr>
        <w:pStyle w:val="ListParagraph"/>
      </w:pPr>
      <w:r>
        <w:t xml:space="preserve">payment </w:t>
      </w:r>
      <w:r w:rsidR="00834E3A">
        <w:t xml:space="preserve">schedules that reduce the upfront risk to employers (e.g. pay a proportion of the subsidy upfront and the remainder at the end of the subsidy period), and </w:t>
      </w:r>
      <w:r>
        <w:t xml:space="preserve">decoupling </w:t>
      </w:r>
      <w:r w:rsidR="00834E3A">
        <w:t>the final claim from provider outcome payments</w:t>
      </w:r>
    </w:p>
    <w:p w14:paraId="7FB96D3B" w14:textId="77777777" w:rsidR="00834E3A" w:rsidRPr="00A1293A" w:rsidRDefault="00954761" w:rsidP="00EF47FB">
      <w:pPr>
        <w:pStyle w:val="ListParagraph"/>
      </w:pPr>
      <w:r>
        <w:t xml:space="preserve">targeting </w:t>
      </w:r>
      <w:r w:rsidR="00CD13F5">
        <w:t>wage subsidies at small to medium enterprises. This is becaus</w:t>
      </w:r>
      <w:r>
        <w:t xml:space="preserve">e </w:t>
      </w:r>
      <w:r w:rsidR="00834E3A">
        <w:t>wage subsidies for small employers deliver higher primary benefits and lower deadweight loss than subsidies paid to large employers.</w:t>
      </w:r>
    </w:p>
    <w:p w14:paraId="07A05E6F" w14:textId="77777777" w:rsidR="004541A6" w:rsidRDefault="004541A6" w:rsidP="001C4274">
      <w:pPr>
        <w:pStyle w:val="ListNumber"/>
        <w:ind w:left="360" w:hanging="360"/>
      </w:pPr>
      <w:r>
        <w:br w:type="page"/>
      </w:r>
    </w:p>
    <w:p w14:paraId="2E536E50" w14:textId="77777777" w:rsidR="004541A6" w:rsidRDefault="008576B4" w:rsidP="003205F4">
      <w:pPr>
        <w:pStyle w:val="Heading1"/>
        <w:jc w:val="both"/>
      </w:pPr>
      <w:bookmarkStart w:id="75" w:name="_Toc402170605"/>
      <w:bookmarkStart w:id="76" w:name="_Toc22543054"/>
      <w:r>
        <w:t>1</w:t>
      </w:r>
      <w:r>
        <w:tab/>
      </w:r>
      <w:r w:rsidR="004541A6">
        <w:t>Introduction</w:t>
      </w:r>
      <w:bookmarkEnd w:id="75"/>
      <w:bookmarkEnd w:id="76"/>
    </w:p>
    <w:p w14:paraId="51BBD06C" w14:textId="74A2A9FB" w:rsidR="00B171AB" w:rsidRDefault="004541A6" w:rsidP="00B171AB">
      <w:r>
        <w:t xml:space="preserve">Job Services Australia (JSA) commenced on 1 July 2009 </w:t>
      </w:r>
      <w:r w:rsidR="00B113EB">
        <w:t xml:space="preserve">initially </w:t>
      </w:r>
      <w:r>
        <w:t xml:space="preserve">for a </w:t>
      </w:r>
      <w:r w:rsidR="005B7636">
        <w:t>three-year</w:t>
      </w:r>
      <w:r>
        <w:t xml:space="preserve"> period. The JSA model (with </w:t>
      </w:r>
      <w:r w:rsidR="00DC1334">
        <w:t xml:space="preserve">few </w:t>
      </w:r>
      <w:r>
        <w:t xml:space="preserve">modifications) was retained for the following triennium (1 July 2012 to 30 June 2015). A comprehensive evaluation of JSA 2009-2012 has been completed. </w:t>
      </w:r>
      <w:r w:rsidR="0072794D">
        <w:t>This evaluation</w:t>
      </w:r>
      <w:r w:rsidR="00A15CFA">
        <w:t xml:space="preserve"> focuses on the effect of changes between the early programme (2009 – 2012) and the second iteration.</w:t>
      </w:r>
    </w:p>
    <w:p w14:paraId="2D37A583" w14:textId="77777777" w:rsidR="004541A6" w:rsidRDefault="008576B4" w:rsidP="008576B4">
      <w:pPr>
        <w:pStyle w:val="Heading2"/>
        <w:keepNext/>
        <w:spacing w:after="200"/>
      </w:pPr>
      <w:bookmarkStart w:id="77" w:name="_Toc450919326"/>
      <w:bookmarkStart w:id="78" w:name="_Toc22543055"/>
      <w:bookmarkStart w:id="79" w:name="_Toc401826406"/>
      <w:bookmarkStart w:id="80" w:name="_Toc402170606"/>
      <w:r>
        <w:t>1.1</w:t>
      </w:r>
      <w:r>
        <w:tab/>
      </w:r>
      <w:r w:rsidR="004541A6">
        <w:t>Job Services Australia</w:t>
      </w:r>
      <w:bookmarkEnd w:id="77"/>
      <w:bookmarkEnd w:id="78"/>
    </w:p>
    <w:p w14:paraId="4AD56A1B" w14:textId="77777777" w:rsidR="004541A6" w:rsidRDefault="004541A6" w:rsidP="00AD71BE">
      <w:pPr>
        <w:spacing w:after="0"/>
      </w:pPr>
      <w:r>
        <w:t>The stated policy objectives of JSA, which remained largely unchanged between JSA 2009 and JSA 2012, were:</w:t>
      </w:r>
      <w:r>
        <w:rPr>
          <w:rStyle w:val="FootnoteReference"/>
        </w:rPr>
        <w:footnoteReference w:id="5"/>
      </w:r>
      <w:r>
        <w:t xml:space="preserve"> </w:t>
      </w:r>
      <w:r w:rsidR="007A5E08">
        <w:rPr>
          <w:rStyle w:val="FootnoteReference"/>
        </w:rPr>
        <w:footnoteReference w:id="6"/>
      </w:r>
    </w:p>
    <w:p w14:paraId="78546DA4" w14:textId="77777777" w:rsidR="004541A6" w:rsidRPr="007B55E7" w:rsidRDefault="004541A6" w:rsidP="00054230">
      <w:pPr>
        <w:pStyle w:val="ListParagraph"/>
      </w:pPr>
      <w:r w:rsidRPr="007B55E7">
        <w:t>increased focus on the needs of the most disadvantaged job seekers</w:t>
      </w:r>
    </w:p>
    <w:p w14:paraId="59FF12A1" w14:textId="77777777" w:rsidR="004541A6" w:rsidRPr="007B55E7" w:rsidRDefault="004541A6" w:rsidP="00054230">
      <w:pPr>
        <w:pStyle w:val="ListParagraph"/>
      </w:pPr>
      <w:r w:rsidRPr="007B55E7">
        <w:t>achieving greater social inclusion</w:t>
      </w:r>
    </w:p>
    <w:p w14:paraId="297A939D" w14:textId="77777777" w:rsidR="004541A6" w:rsidRPr="007B55E7" w:rsidRDefault="004541A6" w:rsidP="00054230">
      <w:pPr>
        <w:pStyle w:val="ListParagraph"/>
      </w:pPr>
      <w:r w:rsidRPr="007B55E7">
        <w:t>boosting employment participation and the productive capacity of the workforce</w:t>
      </w:r>
    </w:p>
    <w:p w14:paraId="5E7DC1CE" w14:textId="77777777" w:rsidR="004541A6" w:rsidRPr="007B55E7" w:rsidRDefault="004541A6" w:rsidP="00054230">
      <w:pPr>
        <w:pStyle w:val="ListParagraph"/>
      </w:pPr>
      <w:r w:rsidRPr="007B55E7">
        <w:t>addressing skill shortage areas</w:t>
      </w:r>
    </w:p>
    <w:p w14:paraId="1980D886" w14:textId="77777777" w:rsidR="004541A6" w:rsidRDefault="004541A6" w:rsidP="00054230">
      <w:pPr>
        <w:pStyle w:val="ListParagraph"/>
      </w:pPr>
      <w:r w:rsidRPr="007B55E7">
        <w:t>better</w:t>
      </w:r>
      <w:r>
        <w:t xml:space="preserve"> meeting the needs of employers.</w:t>
      </w:r>
    </w:p>
    <w:p w14:paraId="7EFF5A9A" w14:textId="77777777" w:rsidR="00DC1334" w:rsidRDefault="004541A6" w:rsidP="00A62F06">
      <w:r>
        <w:t>JSA services comprise</w:t>
      </w:r>
      <w:r w:rsidR="000D26A6">
        <w:t>d</w:t>
      </w:r>
      <w:r>
        <w:t xml:space="preserve">: </w:t>
      </w:r>
      <w:r w:rsidRPr="00B74B0B">
        <w:t>Stream Services</w:t>
      </w:r>
      <w:r w:rsidR="00DC1334">
        <w:t>;</w:t>
      </w:r>
      <w:r w:rsidRPr="00B74B0B">
        <w:t xml:space="preserve"> Harvest Labour Services</w:t>
      </w:r>
      <w:r w:rsidR="00AD6837">
        <w:t xml:space="preserve"> (HLS)</w:t>
      </w:r>
      <w:r w:rsidR="00DC1334">
        <w:t>;</w:t>
      </w:r>
      <w:r w:rsidRPr="00B74B0B">
        <w:t xml:space="preserve"> the New Ent</w:t>
      </w:r>
      <w:r>
        <w:t>erprise Incentive Scheme (NEIS)</w:t>
      </w:r>
      <w:r w:rsidRPr="00B74B0B">
        <w:t xml:space="preserve"> and </w:t>
      </w:r>
      <w:r>
        <w:t xml:space="preserve">the </w:t>
      </w:r>
      <w:r w:rsidRPr="00B74B0B">
        <w:t>National Harvest Labour Information Service</w:t>
      </w:r>
      <w:r w:rsidR="00AD6837">
        <w:t xml:space="preserve"> (NHLIS)</w:t>
      </w:r>
      <w:r w:rsidR="00DC1334">
        <w:t>.</w:t>
      </w:r>
      <w:r w:rsidR="00DA6890">
        <w:t xml:space="preserve"> As with the JSA 2009-12 Evaluation, t</w:t>
      </w:r>
      <w:r w:rsidR="00F41955">
        <w:t>his</w:t>
      </w:r>
      <w:r w:rsidR="00013F41">
        <w:t xml:space="preserve"> evaluation is </w:t>
      </w:r>
      <w:r w:rsidR="00DC1334">
        <w:t xml:space="preserve">restricted </w:t>
      </w:r>
      <w:r w:rsidR="00013F41">
        <w:t xml:space="preserve">to the operation of </w:t>
      </w:r>
      <w:r w:rsidR="007833D7">
        <w:t>S</w:t>
      </w:r>
      <w:r w:rsidR="003278E5" w:rsidRPr="00B74B0B">
        <w:t>t</w:t>
      </w:r>
      <w:r w:rsidR="0005586D">
        <w:t xml:space="preserve">ream </w:t>
      </w:r>
      <w:r w:rsidR="007833D7">
        <w:t>S</w:t>
      </w:r>
      <w:r w:rsidR="003278E5" w:rsidRPr="00B74B0B">
        <w:t>ervices</w:t>
      </w:r>
      <w:r>
        <w:t>.</w:t>
      </w:r>
    </w:p>
    <w:p w14:paraId="2543C28E" w14:textId="77777777" w:rsidR="004541A6" w:rsidRDefault="004541A6" w:rsidP="00A62F06">
      <w:r>
        <w:t>The JSA 2009 and JSA 2012 models</w:t>
      </w:r>
      <w:r w:rsidR="007833D7">
        <w:t xml:space="preserve"> </w:t>
      </w:r>
      <w:r w:rsidR="00DC1334">
        <w:t xml:space="preserve">used </w:t>
      </w:r>
      <w:r w:rsidR="00B171AB">
        <w:t>similar</w:t>
      </w:r>
      <w:r w:rsidR="000C5EBC">
        <w:t xml:space="preserve"> </w:t>
      </w:r>
      <w:r w:rsidR="00DA6890">
        <w:t xml:space="preserve">rules around programme eligibility, </w:t>
      </w:r>
      <w:r w:rsidR="00DC1334">
        <w:t xml:space="preserve">methods for </w:t>
      </w:r>
      <w:r w:rsidR="00DA6890">
        <w:t>service delivery</w:t>
      </w:r>
      <w:r w:rsidR="000D26A6">
        <w:t xml:space="preserve">, </w:t>
      </w:r>
      <w:r w:rsidR="00DC1334">
        <w:t>allocati</w:t>
      </w:r>
      <w:r w:rsidR="00DA6890">
        <w:t>on of</w:t>
      </w:r>
      <w:r w:rsidR="00DC1334">
        <w:t xml:space="preserve"> job seekers to appropriate </w:t>
      </w:r>
      <w:r w:rsidR="00DA6890">
        <w:t xml:space="preserve">streams </w:t>
      </w:r>
      <w:r w:rsidR="000C5EBC">
        <w:t>and inducements</w:t>
      </w:r>
      <w:r w:rsidR="00DA6890">
        <w:t xml:space="preserve"> for participation and engagement</w:t>
      </w:r>
      <w:r w:rsidR="00EA2DFC">
        <w:t>.</w:t>
      </w:r>
      <w:r w:rsidR="007833D7" w:rsidRPr="007833D7">
        <w:rPr>
          <w:rStyle w:val="FootnoteReference"/>
        </w:rPr>
        <w:t xml:space="preserve"> </w:t>
      </w:r>
    </w:p>
    <w:p w14:paraId="338B77C3" w14:textId="77777777" w:rsidR="007B73EE" w:rsidRDefault="007B73EE" w:rsidP="007D45DC">
      <w:pPr>
        <w:pStyle w:val="Heading3"/>
      </w:pPr>
      <w:bookmarkStart w:id="81" w:name="_Toc22543056"/>
      <w:r>
        <w:t>1.1.1</w:t>
      </w:r>
      <w:r>
        <w:tab/>
        <w:t xml:space="preserve">The Job Services Australia </w:t>
      </w:r>
      <w:r w:rsidR="003205F4">
        <w:t>s</w:t>
      </w:r>
      <w:r>
        <w:t xml:space="preserve">ervice </w:t>
      </w:r>
      <w:r w:rsidR="003205F4">
        <w:t>m</w:t>
      </w:r>
      <w:r>
        <w:t>odel</w:t>
      </w:r>
      <w:bookmarkEnd w:id="81"/>
    </w:p>
    <w:p w14:paraId="087E33D5" w14:textId="77777777" w:rsidR="007B73EE" w:rsidRPr="00A567F2" w:rsidRDefault="007B73EE" w:rsidP="007B73EE">
      <w:pPr>
        <w:rPr>
          <w:rStyle w:val="Heading1Char"/>
        </w:rPr>
      </w:pPr>
      <w:r w:rsidRPr="005B1A7D">
        <w:t>The main element</w:t>
      </w:r>
      <w:r w:rsidR="00DA6890">
        <w:t xml:space="preserve"> of the JSA model</w:t>
      </w:r>
      <w:r w:rsidRPr="005B1A7D">
        <w:t xml:space="preserve"> </w:t>
      </w:r>
      <w:r w:rsidR="00DA6890">
        <w:t>was the provision of</w:t>
      </w:r>
      <w:r w:rsidR="00DA6890" w:rsidRPr="005B1A7D">
        <w:t xml:space="preserve"> </w:t>
      </w:r>
      <w:r>
        <w:t>f</w:t>
      </w:r>
      <w:r w:rsidRPr="005B1A7D">
        <w:t xml:space="preserve">our </w:t>
      </w:r>
      <w:r w:rsidR="001369FF">
        <w:t>s</w:t>
      </w:r>
      <w:r>
        <w:t>tream</w:t>
      </w:r>
      <w:r w:rsidRPr="005B1A7D">
        <w:t>s</w:t>
      </w:r>
      <w:r w:rsidR="00DA6890">
        <w:t xml:space="preserve"> with varying levels of service – one </w:t>
      </w:r>
      <w:r w:rsidRPr="005B1A7D">
        <w:t>for work</w:t>
      </w:r>
      <w:r>
        <w:t>-</w:t>
      </w:r>
      <w:r w:rsidRPr="003C5DE0">
        <w:t xml:space="preserve">ready job seekers (Stream </w:t>
      </w:r>
      <w:r w:rsidRPr="003524B4">
        <w:t>1</w:t>
      </w:r>
      <w:r w:rsidRPr="003C5DE0">
        <w:t xml:space="preserve">) and </w:t>
      </w:r>
      <w:r w:rsidRPr="003524B4">
        <w:t xml:space="preserve">three </w:t>
      </w:r>
      <w:r w:rsidR="000542DB">
        <w:t xml:space="preserve">higher </w:t>
      </w:r>
      <w:r w:rsidR="001369FF">
        <w:t>s</w:t>
      </w:r>
      <w:r w:rsidR="000542DB">
        <w:t xml:space="preserve">treams </w:t>
      </w:r>
      <w:r w:rsidRPr="003524B4">
        <w:t xml:space="preserve">for </w:t>
      </w:r>
      <w:r>
        <w:t xml:space="preserve">more </w:t>
      </w:r>
      <w:r w:rsidRPr="003C5DE0">
        <w:t xml:space="preserve">disadvantaged job seekers (Streams </w:t>
      </w:r>
      <w:r w:rsidRPr="003524B4">
        <w:t xml:space="preserve">2 </w:t>
      </w:r>
      <w:r w:rsidRPr="003C5DE0">
        <w:t>to 4)</w:t>
      </w:r>
      <w:r w:rsidRPr="005B1A7D">
        <w:t xml:space="preserve"> (Figure </w:t>
      </w:r>
      <w:r w:rsidR="001A7D23">
        <w:t>1.1</w:t>
      </w:r>
      <w:r w:rsidRPr="005B1A7D">
        <w:t xml:space="preserve">). </w:t>
      </w:r>
      <w:r w:rsidR="000542DB">
        <w:t>The</w:t>
      </w:r>
      <w:r>
        <w:t xml:space="preserve"> level of labour market disadvantage was </w:t>
      </w:r>
      <w:r w:rsidR="000542DB">
        <w:t xml:space="preserve">assessed </w:t>
      </w:r>
      <w:r>
        <w:t xml:space="preserve">using the </w:t>
      </w:r>
      <w:r w:rsidRPr="005B1A7D">
        <w:t>Job Seeker Classification Instrument (JSCI) and where required</w:t>
      </w:r>
      <w:r>
        <w:t>,</w:t>
      </w:r>
      <w:r w:rsidRPr="005B1A7D">
        <w:t xml:space="preserve"> </w:t>
      </w:r>
      <w:r>
        <w:t xml:space="preserve">a </w:t>
      </w:r>
      <w:r w:rsidRPr="005B1A7D">
        <w:t>Job Capacity Assessment (JCA)</w:t>
      </w:r>
      <w:r>
        <w:t xml:space="preserve"> or Employment Services Assessment (ESAt).</w:t>
      </w:r>
      <w:r w:rsidR="007D45DC">
        <w:rPr>
          <w:rStyle w:val="FootnoteReference"/>
        </w:rPr>
        <w:footnoteReference w:id="7"/>
      </w:r>
      <w:r>
        <w:t xml:space="preserve"> </w:t>
      </w:r>
      <w:r w:rsidRPr="005B1A7D">
        <w:t>If the job seeker</w:t>
      </w:r>
      <w:r>
        <w:t>’</w:t>
      </w:r>
      <w:r w:rsidRPr="005B1A7D">
        <w:t xml:space="preserve">s level of disadvantage </w:t>
      </w:r>
      <w:r>
        <w:t>was assessed as having increased</w:t>
      </w:r>
      <w:r w:rsidR="007D45DC">
        <w:t xml:space="preserve"> during their service period</w:t>
      </w:r>
      <w:r>
        <w:t xml:space="preserve">, </w:t>
      </w:r>
      <w:r w:rsidRPr="005B1A7D">
        <w:t xml:space="preserve">they </w:t>
      </w:r>
      <w:r>
        <w:t>may have beco</w:t>
      </w:r>
      <w:r w:rsidRPr="005B1A7D">
        <w:t xml:space="preserve">me eligible for a higher </w:t>
      </w:r>
      <w:r>
        <w:t xml:space="preserve">level of service and could </w:t>
      </w:r>
      <w:r w:rsidRPr="005B1A7D">
        <w:t xml:space="preserve">be moved to </w:t>
      </w:r>
      <w:r>
        <w:t xml:space="preserve">a higher </w:t>
      </w:r>
      <w:r w:rsidR="001C512F">
        <w:t>s</w:t>
      </w:r>
      <w:r>
        <w:t>tream</w:t>
      </w:r>
      <w:r w:rsidRPr="005B1A7D">
        <w:t>.</w:t>
      </w:r>
    </w:p>
    <w:p w14:paraId="6C972A7F" w14:textId="77777777" w:rsidR="000F1544" w:rsidRDefault="007B73EE" w:rsidP="0099598E">
      <w:pPr>
        <w:pStyle w:val="Figureheadingforcontents"/>
      </w:pPr>
      <w:bookmarkStart w:id="82" w:name="_Toc436400130"/>
      <w:bookmarkStart w:id="83" w:name="_Toc436400260"/>
      <w:bookmarkStart w:id="84" w:name="_Toc443152014"/>
      <w:bookmarkStart w:id="85" w:name="_Toc22544020"/>
      <w:r w:rsidRPr="005172B5">
        <w:t xml:space="preserve">Figure </w:t>
      </w:r>
      <w:r w:rsidR="002665A6" w:rsidRPr="005172B5">
        <w:t>1</w:t>
      </w:r>
      <w:r w:rsidRPr="005172B5">
        <w:t>.</w:t>
      </w:r>
      <w:r w:rsidR="002665A6" w:rsidRPr="005172B5">
        <w:t>1</w:t>
      </w:r>
      <w:r w:rsidR="00CF00FC">
        <w:t>:</w:t>
      </w:r>
      <w:r w:rsidR="007752F6">
        <w:t xml:space="preserve"> </w:t>
      </w:r>
      <w:r w:rsidRPr="005172B5">
        <w:t xml:space="preserve">Job Services Australia service model </w:t>
      </w:r>
      <w:r w:rsidRPr="0099598E">
        <w:t>as</w:t>
      </w:r>
      <w:r w:rsidRPr="005172B5">
        <w:t xml:space="preserve"> it was defined for the </w:t>
      </w:r>
      <w:r w:rsidR="001A415A" w:rsidRPr="005172B5">
        <w:t>20</w:t>
      </w:r>
      <w:r w:rsidR="001A415A">
        <w:t>12</w:t>
      </w:r>
      <w:r w:rsidR="001A415A" w:rsidRPr="005172B5">
        <w:t xml:space="preserve"> </w:t>
      </w:r>
      <w:r w:rsidRPr="005172B5">
        <w:t xml:space="preserve">– </w:t>
      </w:r>
      <w:r w:rsidR="001A415A" w:rsidRPr="005172B5">
        <w:t>201</w:t>
      </w:r>
      <w:r w:rsidR="001A415A">
        <w:t>5</w:t>
      </w:r>
      <w:r w:rsidR="001A415A" w:rsidRPr="005172B5">
        <w:t xml:space="preserve"> </w:t>
      </w:r>
      <w:r w:rsidRPr="005172B5">
        <w:t>period</w:t>
      </w:r>
      <w:bookmarkEnd w:id="82"/>
      <w:bookmarkEnd w:id="83"/>
      <w:bookmarkEnd w:id="84"/>
      <w:bookmarkEnd w:id="85"/>
    </w:p>
    <w:p w14:paraId="7E464C35" w14:textId="77777777" w:rsidR="00CD5986" w:rsidRPr="004673A3" w:rsidRDefault="006A25F0" w:rsidP="000709A5">
      <w:pPr>
        <w:pStyle w:val="Source"/>
        <w:rPr>
          <w:b/>
        </w:rPr>
      </w:pPr>
      <w:r>
        <w:rPr>
          <w:lang w:eastAsia="en-AU"/>
        </w:rPr>
        <w:drawing>
          <wp:inline distT="0" distB="0" distL="0" distR="0" wp14:anchorId="7EC3FB06" wp14:editId="3F820439">
            <wp:extent cx="5732145" cy="4298950"/>
            <wp:effectExtent l="0" t="0" r="1905" b="6350"/>
            <wp:docPr id="5" name="Picture 5" descr="Diagrammatic representation of JSA 2012-2015 service model. &#10;1. Stream Services.&#10;2. Centrelink registration.&#10;3. Job seeker classification instrument/employment services assessment.&#10;4. JSA Provider and Employment Pathway Plan for job seekers across all four service streams.&#10;5. Work ready Stream 1: First 12 months: 62% of new job seekers, $11 Employment Pathway Fund (EPF), $385-$440 in job placement fees, up to $581 in service fees. 12 months or more: $629 - $1,258 in outcome fees.&#10;6. Disadvantaged job seekers in Stream 2: First 12 months: 24% of new job seekers, $550 EPF, $385-$550 in job placement fees, up to $1,468 in outcome fees, up to $885 in service fees. 12 months or more: $1,032 - $2,064 in outcome fees. &#10;7. Disadvantaged job seekers in Stream 3: First 12 months: 8% of new job seekers, $1,100 EPF, $385-$550 in job placement fees, up to $3,120 in outcome fees, up to $1,120 in service fees. 12 months or more: $2,228 - $5,880 in outcome fees.&#10;8. Disadvantaged job seekers in Stream 4: First 12 months: 6% of new job seekers, up to $1,650 EPF (first 18 months), $385-$550 in job placement fees, up to $3,120 in outcome fees, up to $2,736 in service fees (first 18 months). 12 months or more: $2,228 - $5,880 in outcome fees.&#10;9. $500 EPF credit for Early School Leavers who commence in JSA (Streams 2 to 4).&#10;10. Job seekers in all four streams Work Experience Phase:&#10;a) $500 in the EPF on commencement in the Work Experience Phase.&#10;b) $1,000 in the EPF for job seekers commencing a second year of Work Experience Phase (Compulsory Activity Phase).&#10;c) Up to $722 in service fees (includes $330 one-off work experience service fee plus up to $392 in service fees for the year).&#10;d) Up to $400 in service fees in the second year of work experience (Compulsory Activity Pha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jpg"/>
                    <pic:cNvPicPr/>
                  </pic:nvPicPr>
                  <pic:blipFill>
                    <a:blip r:embed="rId18">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sidR="001F4FEA" w:rsidRPr="0045515C">
        <w:rPr>
          <w:b/>
        </w:rPr>
        <w:t>Notes</w:t>
      </w:r>
      <w:r w:rsidR="001F4FEA" w:rsidRPr="004673A3">
        <w:rPr>
          <w:b/>
        </w:rPr>
        <w:t xml:space="preserve">: </w:t>
      </w:r>
    </w:p>
    <w:p w14:paraId="69E69A0B" w14:textId="77777777" w:rsidR="00CD5986" w:rsidRPr="00BB7BEA" w:rsidRDefault="001F4FEA" w:rsidP="00BB7BEA">
      <w:pPr>
        <w:pStyle w:val="Notesnumbered"/>
        <w:numPr>
          <w:ilvl w:val="0"/>
          <w:numId w:val="279"/>
        </w:numPr>
      </w:pPr>
      <w:r w:rsidRPr="00A61631">
        <w:t xml:space="preserve">The </w:t>
      </w:r>
      <w:r w:rsidRPr="00BB7BEA">
        <w:t>provider c</w:t>
      </w:r>
      <w:r w:rsidR="007A5E08">
        <w:t>ould</w:t>
      </w:r>
      <w:r w:rsidRPr="00BB7BEA">
        <w:t xml:space="preserve"> claim a maximum of six service fee payments for Stream 2 and 3 combined (pre work experience phase) for a job seeker regardless of how the maximum 18 month </w:t>
      </w:r>
      <w:r w:rsidR="003278E5" w:rsidRPr="00BB7BEA">
        <w:t>period</w:t>
      </w:r>
      <w:r w:rsidRPr="00BB7BEA">
        <w:t xml:space="preserve"> </w:t>
      </w:r>
      <w:r w:rsidR="007A5E08">
        <w:t>wa</w:t>
      </w:r>
      <w:r w:rsidRPr="00BB7BEA">
        <w:t>s distributed between the two streams</w:t>
      </w:r>
      <w:r w:rsidR="00CD5986" w:rsidRPr="00BB7BEA">
        <w:t>.</w:t>
      </w:r>
    </w:p>
    <w:p w14:paraId="4EB07D86" w14:textId="77777777" w:rsidR="00CD5986" w:rsidRPr="00BB7BEA" w:rsidRDefault="001F4FEA" w:rsidP="00BB7BEA">
      <w:pPr>
        <w:pStyle w:val="Notesnumbered"/>
        <w:numPr>
          <w:ilvl w:val="0"/>
          <w:numId w:val="279"/>
        </w:numPr>
      </w:pPr>
      <w:r w:rsidRPr="00BB7BEA">
        <w:t>An additional $1</w:t>
      </w:r>
      <w:r w:rsidR="000748CA">
        <w:t>,</w:t>
      </w:r>
      <w:r w:rsidRPr="00BB7BEA">
        <w:t>000 credited fo</w:t>
      </w:r>
      <w:r w:rsidR="0072794D" w:rsidRPr="00BB7BEA">
        <w:t>r</w:t>
      </w:r>
      <w:r w:rsidRPr="00BB7BEA">
        <w:t xml:space="preserve"> fully eligible participants that </w:t>
      </w:r>
      <w:r w:rsidR="003278E5" w:rsidRPr="00BB7BEA">
        <w:t>Cent</w:t>
      </w:r>
      <w:r w:rsidR="001966AE" w:rsidRPr="00BB7BEA">
        <w:t>r</w:t>
      </w:r>
      <w:r w:rsidR="003278E5" w:rsidRPr="00BB7BEA">
        <w:t>elink</w:t>
      </w:r>
      <w:r w:rsidRPr="00BB7BEA">
        <w:t xml:space="preserve"> ha</w:t>
      </w:r>
      <w:r w:rsidR="007A5E08">
        <w:t>d</w:t>
      </w:r>
      <w:r w:rsidRPr="00BB7BEA">
        <w:t xml:space="preserve"> confirmed require</w:t>
      </w:r>
      <w:r w:rsidR="007A5E08">
        <w:t>d</w:t>
      </w:r>
      <w:r w:rsidRPr="00BB7BEA">
        <w:t xml:space="preserve"> interpreter assistance </w:t>
      </w:r>
      <w:r w:rsidR="007A5E08">
        <w:t>wa</w:t>
      </w:r>
      <w:r w:rsidRPr="00BB7BEA">
        <w:t>s paid upon Centrelink notification via the IT system</w:t>
      </w:r>
      <w:r w:rsidR="00CD5986" w:rsidRPr="00BB7BEA">
        <w:t>.</w:t>
      </w:r>
    </w:p>
    <w:p w14:paraId="63CC5C3D" w14:textId="74F4BA0A" w:rsidR="00CD5986" w:rsidRPr="00BB7BEA" w:rsidRDefault="001F4FEA" w:rsidP="00BB7BEA">
      <w:pPr>
        <w:pStyle w:val="Notesnumbered"/>
        <w:numPr>
          <w:ilvl w:val="0"/>
          <w:numId w:val="279"/>
        </w:numPr>
      </w:pPr>
      <w:r w:rsidRPr="00BB7BEA">
        <w:t xml:space="preserve">An additional service fee of $231 </w:t>
      </w:r>
      <w:r w:rsidR="007A5E08">
        <w:t>wa</w:t>
      </w:r>
      <w:r w:rsidRPr="00BB7BEA">
        <w:t>s payable and an additional $350 EPF credited on</w:t>
      </w:r>
      <w:r w:rsidR="0072794D" w:rsidRPr="00BB7BEA">
        <w:t>c</w:t>
      </w:r>
      <w:r w:rsidRPr="00BB7BEA">
        <w:t xml:space="preserve">e only during the </w:t>
      </w:r>
      <w:r w:rsidR="008E22AB" w:rsidRPr="00BB7BEA">
        <w:t>W</w:t>
      </w:r>
      <w:r w:rsidRPr="00BB7BEA">
        <w:t xml:space="preserve">ork </w:t>
      </w:r>
      <w:r w:rsidR="008E22AB" w:rsidRPr="00BB7BEA">
        <w:t>E</w:t>
      </w:r>
      <w:r w:rsidRPr="00BB7BEA">
        <w:t xml:space="preserve">xperience </w:t>
      </w:r>
      <w:r w:rsidR="008E22AB" w:rsidRPr="00BB7BEA">
        <w:t>P</w:t>
      </w:r>
      <w:r w:rsidRPr="00BB7BEA">
        <w:t>hase</w:t>
      </w:r>
      <w:r w:rsidR="00054230">
        <w:t xml:space="preserve"> </w:t>
      </w:r>
      <w:r w:rsidR="0036069E">
        <w:t>(WEPh)</w:t>
      </w:r>
      <w:r w:rsidRPr="00BB7BEA">
        <w:t xml:space="preserve"> when a job seeker commence</w:t>
      </w:r>
      <w:r w:rsidR="007A5E08">
        <w:t>d</w:t>
      </w:r>
      <w:r w:rsidRPr="00BB7BEA">
        <w:t xml:space="preserve"> a full-time </w:t>
      </w:r>
      <w:r w:rsidR="0072794D" w:rsidRPr="00BB7BEA">
        <w:t>W</w:t>
      </w:r>
      <w:r w:rsidRPr="00BB7BEA">
        <w:t xml:space="preserve">ork for the </w:t>
      </w:r>
      <w:r w:rsidR="0072794D" w:rsidRPr="00BB7BEA">
        <w:t>D</w:t>
      </w:r>
      <w:r w:rsidRPr="00BB7BEA">
        <w:t>ole</w:t>
      </w:r>
      <w:r w:rsidR="0036069E">
        <w:t xml:space="preserve"> (WfD)</w:t>
      </w:r>
      <w:r w:rsidRPr="00BB7BEA">
        <w:t xml:space="preserve"> activity for the first time</w:t>
      </w:r>
      <w:r w:rsidR="00CD5986" w:rsidRPr="00BB7BEA">
        <w:t>.</w:t>
      </w:r>
    </w:p>
    <w:p w14:paraId="31FB72D8" w14:textId="111B6801" w:rsidR="00CD5986" w:rsidRPr="00BB7BEA" w:rsidRDefault="001F4FEA" w:rsidP="00BB7BEA">
      <w:pPr>
        <w:pStyle w:val="Notesnumbered"/>
        <w:numPr>
          <w:ilvl w:val="0"/>
          <w:numId w:val="279"/>
        </w:numPr>
      </w:pPr>
      <w:r w:rsidRPr="00BB7BEA">
        <w:t>After the fourth 13</w:t>
      </w:r>
      <w:r w:rsidR="00A254DF">
        <w:t>-w</w:t>
      </w:r>
      <w:r w:rsidRPr="00BB7BEA">
        <w:t>eek period in the Compulsory Activity Phase</w:t>
      </w:r>
      <w:r w:rsidR="0072794D" w:rsidRPr="00BB7BEA">
        <w:t xml:space="preserve"> (</w:t>
      </w:r>
      <w:r w:rsidR="00BB4EA3" w:rsidRPr="00BB7BEA">
        <w:t>C</w:t>
      </w:r>
      <w:r w:rsidR="0072794D" w:rsidRPr="00BB7BEA">
        <w:t>AP)</w:t>
      </w:r>
      <w:r w:rsidRPr="00BB7BEA">
        <w:t>, service fees continue</w:t>
      </w:r>
      <w:r w:rsidR="007A5E08">
        <w:t>d</w:t>
      </w:r>
      <w:r w:rsidRPr="00BB7BEA">
        <w:t xml:space="preserve"> to be paid on a cyclical basis for each alternate 13</w:t>
      </w:r>
      <w:r w:rsidR="00A254DF">
        <w:t>-</w:t>
      </w:r>
      <w:r w:rsidRPr="00BB7BEA">
        <w:t xml:space="preserve">week period as follows: a) first </w:t>
      </w:r>
      <w:r w:rsidR="003278E5" w:rsidRPr="00BB7BEA">
        <w:t>additional</w:t>
      </w:r>
      <w:r w:rsidRPr="00BB7BEA">
        <w:t xml:space="preserve"> 13</w:t>
      </w:r>
      <w:r w:rsidR="00A254DF">
        <w:t>-</w:t>
      </w:r>
      <w:r w:rsidRPr="00BB7BEA">
        <w:t xml:space="preserve">week period </w:t>
      </w:r>
      <w:r w:rsidR="00CD5986" w:rsidRPr="00BB7BEA">
        <w:t>$133 b) second additional 13</w:t>
      </w:r>
      <w:r w:rsidR="00A254DF">
        <w:t>-</w:t>
      </w:r>
      <w:r w:rsidR="00CD5986" w:rsidRPr="00BB7BEA">
        <w:t>week period $87 c) third additional 13</w:t>
      </w:r>
      <w:r w:rsidR="00A254DF">
        <w:t>-</w:t>
      </w:r>
      <w:r w:rsidR="00CD5986" w:rsidRPr="00BB7BEA">
        <w:t>week period $133 and so forth until the fully eligible participant exits.</w:t>
      </w:r>
    </w:p>
    <w:p w14:paraId="1671846A" w14:textId="77777777" w:rsidR="00CD5986" w:rsidRPr="00BB7BEA" w:rsidRDefault="00CD5986" w:rsidP="00BB7BEA">
      <w:pPr>
        <w:pStyle w:val="Notesnumbered"/>
        <w:numPr>
          <w:ilvl w:val="0"/>
          <w:numId w:val="279"/>
        </w:numPr>
      </w:pPr>
      <w:r w:rsidRPr="00BB7BEA">
        <w:t>This diagram describes the arrangements for new job seekers only.</w:t>
      </w:r>
    </w:p>
    <w:p w14:paraId="1BF195F9" w14:textId="391FCA33" w:rsidR="00CD5986" w:rsidRPr="00A61631" w:rsidRDefault="00CD5986" w:rsidP="00BB7BEA">
      <w:pPr>
        <w:pStyle w:val="Notesnumbered"/>
        <w:numPr>
          <w:ilvl w:val="0"/>
          <w:numId w:val="279"/>
        </w:numPr>
      </w:pPr>
      <w:r w:rsidRPr="00BB7BEA">
        <w:t>Outcome fees refer</w:t>
      </w:r>
      <w:r w:rsidRPr="00A61631">
        <w:t xml:space="preserve"> to full outcomes and include if a provider </w:t>
      </w:r>
      <w:r w:rsidR="007A5E08" w:rsidRPr="00A61631">
        <w:t>ha</w:t>
      </w:r>
      <w:r w:rsidR="007A5E08">
        <w:t>d</w:t>
      </w:r>
      <w:r w:rsidR="007A5E08" w:rsidRPr="00A61631">
        <w:t xml:space="preserve"> </w:t>
      </w:r>
      <w:r w:rsidRPr="00A61631">
        <w:t>claimed both a 13</w:t>
      </w:r>
      <w:r w:rsidR="00A254DF">
        <w:t>-</w:t>
      </w:r>
      <w:r w:rsidRPr="00A61631">
        <w:t xml:space="preserve"> and 26</w:t>
      </w:r>
      <w:r w:rsidR="00A254DF">
        <w:t>-</w:t>
      </w:r>
      <w:r w:rsidRPr="00A61631">
        <w:t>week outcome</w:t>
      </w:r>
      <w:r w:rsidR="007A5E08">
        <w:t>.</w:t>
      </w:r>
    </w:p>
    <w:p w14:paraId="1E134587" w14:textId="77777777" w:rsidR="00C61EF7" w:rsidRPr="0045515C" w:rsidRDefault="00C61EF7" w:rsidP="0033478B">
      <w:pPr>
        <w:pStyle w:val="Source"/>
      </w:pPr>
      <w:r w:rsidRPr="0045515C">
        <w:rPr>
          <w:b/>
        </w:rPr>
        <w:t>Source:</w:t>
      </w:r>
      <w:r w:rsidRPr="0045515C">
        <w:t xml:space="preserve"> </w:t>
      </w:r>
      <w:r w:rsidR="00A61631">
        <w:tab/>
      </w:r>
      <w:r w:rsidRPr="0045515C">
        <w:t>ANAO, 2014. Auditor General Report No. 37 2013-24, p32. Abridged by ANAO from information provided by the Department of Employment.</w:t>
      </w:r>
    </w:p>
    <w:p w14:paraId="645F1E3D" w14:textId="0DE6849B" w:rsidR="00202BF8" w:rsidRDefault="00202BF8" w:rsidP="00C61EF7">
      <w:pPr>
        <w:spacing w:before="120"/>
      </w:pPr>
      <w:r>
        <w:t>Below are elements of the JSA model that remained relatively consistent between the 2009 and the 2012 contracts.</w:t>
      </w:r>
    </w:p>
    <w:p w14:paraId="3017EDF7" w14:textId="77777777" w:rsidR="007B73EE" w:rsidRDefault="007B73EE" w:rsidP="007B73EE">
      <w:pPr>
        <w:pStyle w:val="Heading4"/>
      </w:pPr>
      <w:r>
        <w:t>Eligibility</w:t>
      </w:r>
    </w:p>
    <w:p w14:paraId="2110F479" w14:textId="77777777" w:rsidR="007B73EE" w:rsidRDefault="007B73EE" w:rsidP="007B73EE">
      <w:r w:rsidRPr="00E37769">
        <w:t xml:space="preserve">The </w:t>
      </w:r>
      <w:r w:rsidR="000542DB" w:rsidRPr="00E37769">
        <w:t>job seeker</w:t>
      </w:r>
      <w:r w:rsidR="00A369D9">
        <w:t>’</w:t>
      </w:r>
      <w:r w:rsidR="000542DB">
        <w:t>s</w:t>
      </w:r>
      <w:r w:rsidR="000542DB" w:rsidRPr="00E37769">
        <w:t xml:space="preserve"> </w:t>
      </w:r>
      <w:r w:rsidR="000542DB">
        <w:t>level of labour market disadvantage</w:t>
      </w:r>
      <w:r w:rsidR="000542DB" w:rsidRPr="00E37769">
        <w:t xml:space="preserve"> </w:t>
      </w:r>
      <w:r w:rsidR="000542DB">
        <w:t xml:space="preserve">was correlated to the </w:t>
      </w:r>
      <w:r w:rsidRPr="00E37769">
        <w:t xml:space="preserve">level of service </w:t>
      </w:r>
      <w:r w:rsidRPr="003524B4">
        <w:t xml:space="preserve">provided </w:t>
      </w:r>
      <w:r w:rsidRPr="00E37769">
        <w:t xml:space="preserve">in each </w:t>
      </w:r>
      <w:r w:rsidR="001C512F">
        <w:t>s</w:t>
      </w:r>
      <w:r>
        <w:t>tream</w:t>
      </w:r>
      <w:r w:rsidRPr="00E37769">
        <w:t xml:space="preserve">. </w:t>
      </w:r>
      <w:r>
        <w:t>S</w:t>
      </w:r>
      <w:r w:rsidRPr="00E37769">
        <w:t xml:space="preserve">ervice and outcome fees </w:t>
      </w:r>
      <w:r w:rsidR="00E74DEF">
        <w:t>varied</w:t>
      </w:r>
      <w:r w:rsidRPr="003524B4">
        <w:t xml:space="preserve"> according</w:t>
      </w:r>
      <w:r w:rsidR="000542DB">
        <w:t>ly</w:t>
      </w:r>
      <w:r w:rsidR="00AD6837">
        <w:t xml:space="preserve"> (Chapter 10)</w:t>
      </w:r>
      <w:r w:rsidRPr="00E37769">
        <w:t>.</w:t>
      </w:r>
    </w:p>
    <w:p w14:paraId="227F9456" w14:textId="77777777" w:rsidR="00E5746D" w:rsidRDefault="007B73EE" w:rsidP="006D3E54">
      <w:pPr>
        <w:keepNext/>
      </w:pPr>
      <w:r>
        <w:t>A j</w:t>
      </w:r>
      <w:r w:rsidRPr="00E85014">
        <w:t xml:space="preserve">ob seeker </w:t>
      </w:r>
      <w:r>
        <w:t>could</w:t>
      </w:r>
      <w:r w:rsidRPr="00E85014">
        <w:t xml:space="preserve"> be fully or partially eligible for </w:t>
      </w:r>
      <w:r>
        <w:t>Stream</w:t>
      </w:r>
      <w:r w:rsidR="007833D7">
        <w:t xml:space="preserve"> S</w:t>
      </w:r>
      <w:r w:rsidRPr="00E85014">
        <w:t xml:space="preserve">ervices. </w:t>
      </w:r>
      <w:r>
        <w:t>Fully Eligible</w:t>
      </w:r>
      <w:r w:rsidRPr="00E85014">
        <w:t xml:space="preserve"> </w:t>
      </w:r>
      <w:r>
        <w:t>job seekers included:</w:t>
      </w:r>
    </w:p>
    <w:p w14:paraId="136A5A92" w14:textId="77777777" w:rsidR="007B73EE" w:rsidRPr="007B55E7" w:rsidRDefault="007B73EE" w:rsidP="006D3E54">
      <w:pPr>
        <w:pStyle w:val="ListParagraph"/>
        <w:keepNext/>
      </w:pPr>
      <w:r w:rsidRPr="007B55E7">
        <w:t>recipients of New</w:t>
      </w:r>
      <w:r w:rsidR="00B97FC9" w:rsidRPr="007B55E7">
        <w:t>s</w:t>
      </w:r>
      <w:r w:rsidRPr="007B55E7">
        <w:t>tart Allowance (NSA) and Youth Allowance (Other) (YA(O))</w:t>
      </w:r>
    </w:p>
    <w:p w14:paraId="722156C6" w14:textId="77777777" w:rsidR="007B73EE" w:rsidRPr="007B55E7" w:rsidRDefault="007B73EE" w:rsidP="00054230">
      <w:pPr>
        <w:pStyle w:val="ListParagraph"/>
      </w:pPr>
      <w:r w:rsidRPr="007B55E7">
        <w:t>recipients of other forms of qualifying income support</w:t>
      </w:r>
    </w:p>
    <w:p w14:paraId="040ACB91" w14:textId="77777777" w:rsidR="007B73EE" w:rsidRPr="007B3FE5" w:rsidRDefault="007B73EE" w:rsidP="00054230">
      <w:pPr>
        <w:pStyle w:val="ListParagraph"/>
      </w:pPr>
      <w:r w:rsidRPr="007B55E7">
        <w:t>15 to 20-year-olds not in receipt of income support and not employed more than 15 hours a week</w:t>
      </w:r>
      <w:r w:rsidRPr="007B3FE5">
        <w:t xml:space="preserve"> or in full-time education</w:t>
      </w:r>
    </w:p>
    <w:p w14:paraId="2D3020DD" w14:textId="77777777" w:rsidR="007B73EE" w:rsidRPr="007B3FE5" w:rsidRDefault="007B73EE" w:rsidP="00054230">
      <w:pPr>
        <w:pStyle w:val="ListParagraph"/>
      </w:pPr>
      <w:r w:rsidRPr="007B3FE5">
        <w:t>Community Development Employment Project (CDEP) participants.</w:t>
      </w:r>
      <w:r w:rsidR="00E139BE">
        <w:rPr>
          <w:rStyle w:val="FootnoteReference"/>
        </w:rPr>
        <w:footnoteReference w:id="8"/>
      </w:r>
    </w:p>
    <w:p w14:paraId="2A69980D" w14:textId="77777777" w:rsidR="007B73EE" w:rsidRPr="00B21717" w:rsidRDefault="007B73EE" w:rsidP="00E74DEF">
      <w:pPr>
        <w:spacing w:before="240"/>
        <w:rPr>
          <w:rFonts w:ascii="Trebuchet MS" w:hAnsi="Trebuchet MS" w:cs="Trebuchet MS"/>
          <w:color w:val="000000"/>
          <w:sz w:val="24"/>
        </w:rPr>
      </w:pPr>
      <w:r>
        <w:t>Partially eligible j</w:t>
      </w:r>
      <w:r w:rsidRPr="00E85014">
        <w:t xml:space="preserve">ob seekers </w:t>
      </w:r>
      <w:r>
        <w:t xml:space="preserve">included </w:t>
      </w:r>
      <w:r w:rsidRPr="00E85014">
        <w:t>those not working or studying full</w:t>
      </w:r>
      <w:r>
        <w:t>-</w:t>
      </w:r>
      <w:r w:rsidRPr="00E85014">
        <w:t>time and not receiving activity-tested income support</w:t>
      </w:r>
      <w:r>
        <w:t>. These job seekers could</w:t>
      </w:r>
      <w:r w:rsidRPr="00E85014">
        <w:t xml:space="preserve"> register with Centrelink</w:t>
      </w:r>
      <w:r>
        <w:t xml:space="preserve"> (Department of Human Services </w:t>
      </w:r>
      <w:r w:rsidR="00AD6837">
        <w:t>(</w:t>
      </w:r>
      <w:r>
        <w:t>DHS</w:t>
      </w:r>
      <w:r w:rsidR="00AD6837">
        <w:t>)</w:t>
      </w:r>
      <w:r>
        <w:t>)</w:t>
      </w:r>
      <w:r w:rsidRPr="00E85014">
        <w:t xml:space="preserve"> or a </w:t>
      </w:r>
      <w:r>
        <w:t xml:space="preserve">JSA </w:t>
      </w:r>
      <w:r w:rsidRPr="00E85014">
        <w:t xml:space="preserve">provider </w:t>
      </w:r>
      <w:r>
        <w:t xml:space="preserve">as </w:t>
      </w:r>
      <w:r w:rsidRPr="00E85014">
        <w:t xml:space="preserve">Stream </w:t>
      </w:r>
      <w:r>
        <w:t xml:space="preserve">1 </w:t>
      </w:r>
      <w:r w:rsidRPr="00E85014">
        <w:t>(</w:t>
      </w:r>
      <w:r>
        <w:t>L</w:t>
      </w:r>
      <w:r w:rsidRPr="00E85014">
        <w:t>imited)</w:t>
      </w:r>
      <w:r>
        <w:t>.</w:t>
      </w:r>
      <w:r w:rsidRPr="00E85014">
        <w:t xml:space="preserve"> </w:t>
      </w:r>
      <w:r>
        <w:t>T</w:t>
      </w:r>
      <w:r w:rsidRPr="00E85014">
        <w:t>he</w:t>
      </w:r>
      <w:r>
        <w:t>y</w:t>
      </w:r>
      <w:r w:rsidRPr="00E85014">
        <w:t xml:space="preserve"> </w:t>
      </w:r>
      <w:r>
        <w:t xml:space="preserve">were entitled to </w:t>
      </w:r>
      <w:r w:rsidR="008139D1">
        <w:t xml:space="preserve">receive </w:t>
      </w:r>
      <w:r>
        <w:t xml:space="preserve">help with their </w:t>
      </w:r>
      <w:r w:rsidR="008E22AB" w:rsidRPr="00E05A00">
        <w:t>résumé</w:t>
      </w:r>
      <w:r w:rsidRPr="00E85014">
        <w:t xml:space="preserve">, access to Australia‘s national vacancy database (Australian JobSearch) and advice on the local labour market. </w:t>
      </w:r>
      <w:r w:rsidRPr="002A62E1">
        <w:t>They were not assessed using the JSC</w:t>
      </w:r>
      <w:r>
        <w:t>I</w:t>
      </w:r>
      <w:r w:rsidRPr="00E85014">
        <w:t>.</w:t>
      </w:r>
      <w:r>
        <w:t xml:space="preserve"> </w:t>
      </w:r>
      <w:r w:rsidRPr="00E85014">
        <w:t xml:space="preserve">A more comprehensive description of eligibility is </w:t>
      </w:r>
      <w:r>
        <w:t xml:space="preserve">contained </w:t>
      </w:r>
      <w:r w:rsidRPr="00E85014">
        <w:t xml:space="preserve">in Appendix B of </w:t>
      </w:r>
      <w:r w:rsidRPr="007C6670">
        <w:t>the 2008 Request for Tender</w:t>
      </w:r>
      <w:r w:rsidRPr="00651526">
        <w:t xml:space="preserve"> for Employment Services</w:t>
      </w:r>
      <w:r>
        <w:t>.</w:t>
      </w:r>
      <w:r>
        <w:rPr>
          <w:rStyle w:val="FootnoteReference"/>
          <w:rFonts w:cstheme="minorHAnsi"/>
          <w:color w:val="000000"/>
        </w:rPr>
        <w:footnoteReference w:id="9"/>
      </w:r>
    </w:p>
    <w:p w14:paraId="2FFAF56D" w14:textId="77777777" w:rsidR="007B73EE" w:rsidRDefault="007B73EE" w:rsidP="007B73EE">
      <w:pPr>
        <w:pStyle w:val="Heading4"/>
        <w:rPr>
          <w:rFonts w:eastAsia="Calibri"/>
        </w:rPr>
      </w:pPr>
      <w:r>
        <w:rPr>
          <w:rFonts w:eastAsia="Calibri"/>
        </w:rPr>
        <w:t xml:space="preserve">Stream </w:t>
      </w:r>
      <w:r w:rsidR="003205F4">
        <w:rPr>
          <w:rFonts w:eastAsia="Calibri"/>
        </w:rPr>
        <w:t>a</w:t>
      </w:r>
      <w:r>
        <w:rPr>
          <w:rFonts w:eastAsia="Calibri"/>
        </w:rPr>
        <w:t>llocation</w:t>
      </w:r>
    </w:p>
    <w:p w14:paraId="49A6341C" w14:textId="77777777" w:rsidR="007B73EE" w:rsidRPr="00A10ED9" w:rsidRDefault="002041E7" w:rsidP="007B73EE">
      <w:pPr>
        <w:rPr>
          <w:rFonts w:eastAsia="Calibri"/>
          <w:color w:val="000000" w:themeColor="text1"/>
        </w:rPr>
      </w:pPr>
      <w:r>
        <w:rPr>
          <w:rFonts w:eastAsia="Calibri"/>
        </w:rPr>
        <w:t>F</w:t>
      </w:r>
      <w:r w:rsidR="007B73EE">
        <w:rPr>
          <w:rFonts w:eastAsia="Calibri"/>
        </w:rPr>
        <w:t xml:space="preserve">ully eligible </w:t>
      </w:r>
      <w:r w:rsidR="007B73EE" w:rsidRPr="006B427E">
        <w:rPr>
          <w:rFonts w:eastAsia="Calibri"/>
        </w:rPr>
        <w:t xml:space="preserve">job seeker </w:t>
      </w:r>
      <w:r w:rsidR="007B73EE">
        <w:rPr>
          <w:rFonts w:eastAsia="Calibri"/>
        </w:rPr>
        <w:t xml:space="preserve">level of </w:t>
      </w:r>
      <w:r w:rsidR="007B73EE" w:rsidRPr="006B427E">
        <w:rPr>
          <w:rFonts w:eastAsia="Calibri"/>
        </w:rPr>
        <w:t xml:space="preserve">disadvantage </w:t>
      </w:r>
      <w:r>
        <w:rPr>
          <w:rFonts w:eastAsia="Calibri"/>
        </w:rPr>
        <w:t>was</w:t>
      </w:r>
      <w:r w:rsidR="007B73EE">
        <w:rPr>
          <w:rFonts w:eastAsia="Calibri"/>
        </w:rPr>
        <w:t xml:space="preserve"> assessed </w:t>
      </w:r>
      <w:r w:rsidR="007B73EE" w:rsidRPr="006B427E">
        <w:rPr>
          <w:rFonts w:eastAsia="Calibri"/>
        </w:rPr>
        <w:t>using the JSCI and</w:t>
      </w:r>
      <w:r w:rsidR="007B73EE">
        <w:rPr>
          <w:rFonts w:eastAsia="Calibri"/>
        </w:rPr>
        <w:t xml:space="preserve"> (if required) an</w:t>
      </w:r>
      <w:r w:rsidR="007B73EE" w:rsidRPr="006B427E">
        <w:rPr>
          <w:rFonts w:eastAsia="Calibri"/>
        </w:rPr>
        <w:t xml:space="preserve"> </w:t>
      </w:r>
      <w:r w:rsidR="007B73EE">
        <w:rPr>
          <w:rFonts w:eastAsia="Calibri"/>
        </w:rPr>
        <w:t>ESAt</w:t>
      </w:r>
      <w:r w:rsidR="007B73EE" w:rsidRPr="006B427E">
        <w:rPr>
          <w:rFonts w:eastAsia="Calibri"/>
        </w:rPr>
        <w:t>. Responses to the</w:t>
      </w:r>
      <w:r w:rsidR="007B73EE">
        <w:rPr>
          <w:rFonts w:eastAsia="Calibri"/>
        </w:rPr>
        <w:t xml:space="preserve"> JSCI</w:t>
      </w:r>
      <w:r w:rsidR="007B73EE" w:rsidRPr="006B427E">
        <w:rPr>
          <w:rFonts w:eastAsia="Calibri"/>
        </w:rPr>
        <w:t xml:space="preserve"> interview </w:t>
      </w:r>
      <w:r w:rsidR="007B73EE">
        <w:rPr>
          <w:rFonts w:eastAsia="Calibri"/>
        </w:rPr>
        <w:t xml:space="preserve">were </w:t>
      </w:r>
      <w:r w:rsidR="007B73EE" w:rsidRPr="006B427E">
        <w:rPr>
          <w:rFonts w:eastAsia="Calibri"/>
        </w:rPr>
        <w:t xml:space="preserve">weighted and combined to </w:t>
      </w:r>
      <w:r w:rsidR="007B73EE">
        <w:rPr>
          <w:rFonts w:eastAsia="Calibri"/>
        </w:rPr>
        <w:t xml:space="preserve">create </w:t>
      </w:r>
      <w:r w:rsidR="007B73EE" w:rsidRPr="006B427E">
        <w:rPr>
          <w:rFonts w:eastAsia="Calibri"/>
        </w:rPr>
        <w:t xml:space="preserve">a score </w:t>
      </w:r>
      <w:r w:rsidR="007B73EE">
        <w:rPr>
          <w:rFonts w:eastAsia="Calibri"/>
        </w:rPr>
        <w:t xml:space="preserve">that was </w:t>
      </w:r>
      <w:r w:rsidR="007B73EE" w:rsidRPr="006B427E">
        <w:rPr>
          <w:rFonts w:eastAsia="Calibri"/>
        </w:rPr>
        <w:t xml:space="preserve">used to allocate </w:t>
      </w:r>
      <w:r w:rsidR="007B73EE">
        <w:rPr>
          <w:rFonts w:eastAsia="Calibri"/>
        </w:rPr>
        <w:t xml:space="preserve">a </w:t>
      </w:r>
      <w:r w:rsidR="007B73EE" w:rsidRPr="006B427E">
        <w:rPr>
          <w:rFonts w:eastAsia="Calibri"/>
        </w:rPr>
        <w:t>job seeker to one of Streams 1 to 3</w:t>
      </w:r>
      <w:r w:rsidR="002C1F24">
        <w:rPr>
          <w:rFonts w:eastAsia="Calibri"/>
          <w:color w:val="000000" w:themeColor="text1"/>
        </w:rPr>
        <w:t>.</w:t>
      </w:r>
    </w:p>
    <w:p w14:paraId="0829E407" w14:textId="77777777" w:rsidR="007B73EE" w:rsidRDefault="007B73EE" w:rsidP="007B73EE">
      <w:r w:rsidRPr="006B427E">
        <w:t xml:space="preserve">The entry of </w:t>
      </w:r>
      <w:r>
        <w:t xml:space="preserve">a </w:t>
      </w:r>
      <w:r w:rsidRPr="006B427E">
        <w:t xml:space="preserve">job seeker </w:t>
      </w:r>
      <w:r>
        <w:t>in</w:t>
      </w:r>
      <w:r w:rsidRPr="006B427E">
        <w:t xml:space="preserve">to Stream 4 </w:t>
      </w:r>
      <w:r>
        <w:t xml:space="preserve">or another service such as </w:t>
      </w:r>
      <w:r w:rsidRPr="006B427E">
        <w:t>Disability Employment Services (DES)</w:t>
      </w:r>
      <w:r>
        <w:t xml:space="preserve"> was </w:t>
      </w:r>
      <w:r w:rsidRPr="006B427E">
        <w:t>depend</w:t>
      </w:r>
      <w:r>
        <w:t>ent</w:t>
      </w:r>
      <w:r w:rsidRPr="006B427E">
        <w:t xml:space="preserve"> </w:t>
      </w:r>
      <w:r w:rsidR="007A5E08">
        <w:t xml:space="preserve">on </w:t>
      </w:r>
      <w:r w:rsidRPr="006B427E">
        <w:t>an ESAt</w:t>
      </w:r>
      <w:r>
        <w:t>.</w:t>
      </w:r>
      <w:r>
        <w:rPr>
          <w:rStyle w:val="FootnoteReference"/>
        </w:rPr>
        <w:footnoteReference w:id="10"/>
      </w:r>
      <w:r w:rsidRPr="006B427E">
        <w:t xml:space="preserve"> </w:t>
      </w:r>
      <w:r w:rsidR="00CE19C1">
        <w:t xml:space="preserve">The </w:t>
      </w:r>
      <w:r>
        <w:t>ESAt</w:t>
      </w:r>
      <w:r w:rsidRPr="006B427E">
        <w:t xml:space="preserve"> </w:t>
      </w:r>
      <w:r>
        <w:t>identif</w:t>
      </w:r>
      <w:r w:rsidR="00CE19C1">
        <w:t>ies</w:t>
      </w:r>
      <w:r w:rsidRPr="006B427E">
        <w:t xml:space="preserve"> vocational and non-vocational barriers to finding and maintaining employment. </w:t>
      </w:r>
      <w:r>
        <w:t>A j</w:t>
      </w:r>
      <w:r w:rsidRPr="006B427E">
        <w:t xml:space="preserve">ob seeker </w:t>
      </w:r>
      <w:r>
        <w:t xml:space="preserve">could </w:t>
      </w:r>
      <w:r w:rsidRPr="006B427E">
        <w:t>be reassessed if their circumstances change</w:t>
      </w:r>
      <w:r>
        <w:t>d</w:t>
      </w:r>
      <w:r w:rsidRPr="006B427E">
        <w:t>.</w:t>
      </w:r>
      <w:r>
        <w:t xml:space="preserve"> </w:t>
      </w:r>
      <w:r w:rsidRPr="006B427E">
        <w:t xml:space="preserve">JSCI information </w:t>
      </w:r>
      <w:r>
        <w:t>could</w:t>
      </w:r>
      <w:r w:rsidRPr="006B427E">
        <w:t xml:space="preserve"> be updated when new or revised information </w:t>
      </w:r>
      <w:r>
        <w:t xml:space="preserve">was </w:t>
      </w:r>
      <w:r w:rsidRPr="006B427E">
        <w:t>received</w:t>
      </w:r>
      <w:r>
        <w:t xml:space="preserve"> – for example, </w:t>
      </w:r>
      <w:r w:rsidRPr="006B427E">
        <w:t>from a</w:t>
      </w:r>
      <w:r>
        <w:t>n</w:t>
      </w:r>
      <w:r w:rsidRPr="006B427E">
        <w:t xml:space="preserve"> ESAt. </w:t>
      </w:r>
      <w:r>
        <w:t xml:space="preserve">The remuneration basis in the </w:t>
      </w:r>
      <w:r w:rsidRPr="006B427E">
        <w:t xml:space="preserve">JSA </w:t>
      </w:r>
      <w:r>
        <w:t xml:space="preserve">model </w:t>
      </w:r>
      <w:r w:rsidRPr="006B427E">
        <w:t xml:space="preserve">arguably </w:t>
      </w:r>
      <w:r>
        <w:t xml:space="preserve">gave </w:t>
      </w:r>
      <w:r w:rsidR="002038E2">
        <w:t>some</w:t>
      </w:r>
      <w:r w:rsidRPr="006B427E">
        <w:t xml:space="preserve"> financial incentive for providers to reassess a job seeker </w:t>
      </w:r>
      <w:r>
        <w:t>because</w:t>
      </w:r>
      <w:r w:rsidR="001C512F">
        <w:t>,</w:t>
      </w:r>
      <w:r>
        <w:t xml:space="preserve"> if </w:t>
      </w:r>
      <w:r w:rsidRPr="006B427E">
        <w:t xml:space="preserve">additional barriers to employment </w:t>
      </w:r>
      <w:r>
        <w:t xml:space="preserve">were identified, </w:t>
      </w:r>
      <w:r w:rsidRPr="006B427E">
        <w:t xml:space="preserve">the job seeker </w:t>
      </w:r>
      <w:r>
        <w:t>could be</w:t>
      </w:r>
      <w:r w:rsidR="007D5BC3">
        <w:t xml:space="preserve"> moved to a higher stream (</w:t>
      </w:r>
      <w:r w:rsidRPr="006B427E">
        <w:t>up</w:t>
      </w:r>
      <w:r w:rsidR="001C512F">
        <w:t>s</w:t>
      </w:r>
      <w:r>
        <w:t>tream</w:t>
      </w:r>
      <w:r w:rsidRPr="006B427E">
        <w:t>ed</w:t>
      </w:r>
      <w:r w:rsidR="007D5BC3">
        <w:t>)</w:t>
      </w:r>
      <w:r w:rsidRPr="006B427E">
        <w:t xml:space="preserve"> or referr</w:t>
      </w:r>
      <w:r>
        <w:t>ed</w:t>
      </w:r>
      <w:r w:rsidRPr="006B427E">
        <w:t xml:space="preserve"> for a</w:t>
      </w:r>
      <w:r>
        <w:t xml:space="preserve">n </w:t>
      </w:r>
      <w:r w:rsidRPr="006B427E">
        <w:t>ESAt</w:t>
      </w:r>
      <w:r>
        <w:t xml:space="preserve"> which could result in higher</w:t>
      </w:r>
      <w:r w:rsidR="00C6068A">
        <w:t xml:space="preserve"> servicing and outcome</w:t>
      </w:r>
      <w:r>
        <w:t xml:space="preserve"> payments.</w:t>
      </w:r>
    </w:p>
    <w:p w14:paraId="4A1D8974" w14:textId="77777777" w:rsidR="007B73EE" w:rsidRDefault="007B73EE" w:rsidP="007B73EE">
      <w:pPr>
        <w:pStyle w:val="Heading4"/>
      </w:pPr>
      <w:r>
        <w:t>Work Experience Phase</w:t>
      </w:r>
    </w:p>
    <w:p w14:paraId="6A2F07B9" w14:textId="77777777" w:rsidR="007B73EE" w:rsidRDefault="00677F35" w:rsidP="007B73EE">
      <w:r>
        <w:t>Once in</w:t>
      </w:r>
      <w:r w:rsidRPr="00AE7B48">
        <w:t xml:space="preserve"> </w:t>
      </w:r>
      <w:r w:rsidR="007B73EE" w:rsidRPr="00AE7B48">
        <w:t>th</w:t>
      </w:r>
      <w:r w:rsidR="007B73EE">
        <w:t xml:space="preserve">e </w:t>
      </w:r>
      <w:r w:rsidR="00CE19C1">
        <w:t>Work Experience Phase (</w:t>
      </w:r>
      <w:r w:rsidR="007B73EE">
        <w:t>WEP</w:t>
      </w:r>
      <w:r w:rsidR="00D712A1">
        <w:t>h</w:t>
      </w:r>
      <w:r w:rsidR="00CE19C1">
        <w:t>)</w:t>
      </w:r>
      <w:r w:rsidR="007B73EE">
        <w:t>,</w:t>
      </w:r>
      <w:r w:rsidR="007B73EE" w:rsidRPr="00AE7B48">
        <w:t xml:space="preserve"> job seekers aged between 18 and 49 </w:t>
      </w:r>
      <w:r w:rsidR="007B73EE">
        <w:t>were</w:t>
      </w:r>
      <w:r w:rsidR="007B73EE" w:rsidRPr="00AE7B48">
        <w:t xml:space="preserve"> required to participate in a work </w:t>
      </w:r>
      <w:r w:rsidR="007B73EE" w:rsidRPr="002C25B6">
        <w:t xml:space="preserve">experience activity over a 26-week period </w:t>
      </w:r>
      <w:r w:rsidR="007B73EE" w:rsidRPr="00FA0D83">
        <w:t xml:space="preserve">for every 12 months in </w:t>
      </w:r>
      <w:r w:rsidR="00FA0D83" w:rsidRPr="00FA0D83">
        <w:t>service</w:t>
      </w:r>
      <w:r w:rsidR="007B73EE" w:rsidRPr="002C25B6">
        <w:t>.</w:t>
      </w:r>
      <w:r>
        <w:t xml:space="preserve"> </w:t>
      </w:r>
      <w:r w:rsidR="00FA0D83">
        <w:t>Job seekers</w:t>
      </w:r>
      <w:r w:rsidR="007B73EE" w:rsidRPr="00AE7B48">
        <w:t xml:space="preserve"> who </w:t>
      </w:r>
      <w:r w:rsidR="007B73EE">
        <w:t xml:space="preserve">had received </w:t>
      </w:r>
      <w:r w:rsidR="007B73EE" w:rsidRPr="00AE7B48">
        <w:t xml:space="preserve">18 months </w:t>
      </w:r>
      <w:r w:rsidR="007B73EE">
        <w:t xml:space="preserve">of service </w:t>
      </w:r>
      <w:r w:rsidR="007B73EE" w:rsidRPr="00AE7B48">
        <w:t xml:space="preserve">in Stream </w:t>
      </w:r>
      <w:r w:rsidR="007B73EE">
        <w:t xml:space="preserve">4 </w:t>
      </w:r>
      <w:r w:rsidR="007B73EE" w:rsidRPr="00AE7B48">
        <w:t>automatically move</w:t>
      </w:r>
      <w:r w:rsidR="007B73EE">
        <w:t>d</w:t>
      </w:r>
      <w:r w:rsidR="007B73EE" w:rsidRPr="00AE7B48">
        <w:t xml:space="preserve"> to the </w:t>
      </w:r>
      <w:r w:rsidR="007B73EE">
        <w:t>WEP</w:t>
      </w:r>
      <w:r w:rsidR="0054199A">
        <w:t>h</w:t>
      </w:r>
      <w:r w:rsidR="007B73EE" w:rsidRPr="00AE7B48">
        <w:t xml:space="preserve">. </w:t>
      </w:r>
      <w:r w:rsidR="00DD4F51">
        <w:t>WEP</w:t>
      </w:r>
      <w:r w:rsidR="0054199A">
        <w:t>h</w:t>
      </w:r>
      <w:r w:rsidR="00DD4F51">
        <w:t xml:space="preserve"> activities </w:t>
      </w:r>
      <w:r w:rsidR="007B73EE">
        <w:t>in</w:t>
      </w:r>
      <w:r w:rsidR="00DD4F51">
        <w:t>cluded</w:t>
      </w:r>
      <w:r w:rsidR="007B73EE">
        <w:t xml:space="preserve"> </w:t>
      </w:r>
      <w:r w:rsidR="007B73EE" w:rsidRPr="00AE7B48">
        <w:t>program</w:t>
      </w:r>
      <w:r w:rsidR="007B73EE">
        <w:t>me</w:t>
      </w:r>
      <w:r w:rsidR="007B73EE" w:rsidRPr="00AE7B48">
        <w:t>s such as Work for the Dole</w:t>
      </w:r>
      <w:r w:rsidR="00CE19C1">
        <w:t xml:space="preserve"> (WfD)</w:t>
      </w:r>
      <w:r w:rsidR="007B73EE" w:rsidRPr="00AE7B48">
        <w:t xml:space="preserve">, Green Corps </w:t>
      </w:r>
      <w:r w:rsidR="00CE19C1">
        <w:t>and</w:t>
      </w:r>
      <w:r w:rsidR="007B73EE">
        <w:t xml:space="preserve"> </w:t>
      </w:r>
      <w:r w:rsidR="007B73EE" w:rsidRPr="00AE7B48">
        <w:t>Drought</w:t>
      </w:r>
      <w:r w:rsidR="007B73EE">
        <w:t xml:space="preserve"> F</w:t>
      </w:r>
      <w:r w:rsidR="007B73EE" w:rsidRPr="00AE7B48">
        <w:t>orce</w:t>
      </w:r>
      <w:r w:rsidR="00105442">
        <w:t>. Participants could also under</w:t>
      </w:r>
      <w:r w:rsidR="007B73EE">
        <w:t xml:space="preserve">take </w:t>
      </w:r>
      <w:r w:rsidR="007B73EE" w:rsidRPr="00AE7B48">
        <w:t>part-time study</w:t>
      </w:r>
      <w:r w:rsidR="007B73EE">
        <w:t>,</w:t>
      </w:r>
      <w:r w:rsidR="007B73EE" w:rsidRPr="00AE7B48">
        <w:t xml:space="preserve"> paid employment or voluntary work</w:t>
      </w:r>
      <w:r w:rsidR="00105442">
        <w:t xml:space="preserve"> to meet their WEP</w:t>
      </w:r>
      <w:r w:rsidR="0054199A">
        <w:t>h</w:t>
      </w:r>
      <w:r w:rsidR="00105442">
        <w:t xml:space="preserve"> requirements</w:t>
      </w:r>
      <w:r w:rsidR="002C1F24">
        <w:t>.</w:t>
      </w:r>
    </w:p>
    <w:p w14:paraId="29482338" w14:textId="77777777" w:rsidR="007B73EE" w:rsidRDefault="007B73EE" w:rsidP="007B73EE">
      <w:pPr>
        <w:pStyle w:val="Heading4"/>
      </w:pPr>
      <w:r>
        <w:t>Employment Pathway Fund</w:t>
      </w:r>
    </w:p>
    <w:p w14:paraId="4F7BDB1B" w14:textId="77777777" w:rsidR="007B73EE" w:rsidRDefault="007B73EE" w:rsidP="007B73EE">
      <w:r>
        <w:t xml:space="preserve">Providers used the </w:t>
      </w:r>
      <w:r w:rsidRPr="00AE7B48">
        <w:t xml:space="preserve">Employment Pathway Fund (EPF) to help job seekers obtain </w:t>
      </w:r>
      <w:r>
        <w:t xml:space="preserve">or prepare for </w:t>
      </w:r>
      <w:r w:rsidRPr="00AE7B48">
        <w:t>employment. Providers receive</w:t>
      </w:r>
      <w:r>
        <w:t>d</w:t>
      </w:r>
      <w:r w:rsidRPr="00AE7B48">
        <w:t xml:space="preserve"> a</w:t>
      </w:r>
      <w:r>
        <w:t xml:space="preserve"> </w:t>
      </w:r>
      <w:r w:rsidRPr="00AE7B48">
        <w:t>n</w:t>
      </w:r>
      <w:r>
        <w:t>otional</w:t>
      </w:r>
      <w:r w:rsidRPr="00AE7B48">
        <w:t xml:space="preserve"> EPF credit for each job seeke</w:t>
      </w:r>
      <w:r w:rsidRPr="002C25B6">
        <w:t>r</w:t>
      </w:r>
      <w:r>
        <w:t xml:space="preserve"> which </w:t>
      </w:r>
      <w:r w:rsidRPr="002C25B6">
        <w:t>increase</w:t>
      </w:r>
      <w:r>
        <w:t xml:space="preserve">d commensurate with </w:t>
      </w:r>
      <w:r w:rsidRPr="003524B4">
        <w:t>the</w:t>
      </w:r>
      <w:r w:rsidR="00105442">
        <w:t xml:space="preserve">ir </w:t>
      </w:r>
      <w:r w:rsidR="003278E5">
        <w:t>s</w:t>
      </w:r>
      <w:r w:rsidR="00105442">
        <w:t>tream of service</w:t>
      </w:r>
      <w:r>
        <w:t>.</w:t>
      </w:r>
      <w:r w:rsidRPr="002C25B6">
        <w:t xml:space="preserve"> </w:t>
      </w:r>
      <w:r w:rsidR="00105442">
        <w:t>EPF credits were not tied to</w:t>
      </w:r>
      <w:r w:rsidR="007A5E08">
        <w:t xml:space="preserve"> </w:t>
      </w:r>
      <w:r w:rsidR="00105442">
        <w:t>individual job seekers</w:t>
      </w:r>
      <w:r>
        <w:t xml:space="preserve">, </w:t>
      </w:r>
      <w:r w:rsidR="00105442">
        <w:t>they</w:t>
      </w:r>
      <w:r w:rsidRPr="003524B4">
        <w:t xml:space="preserve"> </w:t>
      </w:r>
      <w:r>
        <w:t>could</w:t>
      </w:r>
      <w:r w:rsidRPr="002C25B6">
        <w:t xml:space="preserve"> be used flexibly to assist any job seeker or group of job seekers. </w:t>
      </w:r>
      <w:r>
        <w:t>Unused credits could</w:t>
      </w:r>
      <w:r w:rsidRPr="002C25B6">
        <w:t xml:space="preserve"> </w:t>
      </w:r>
      <w:r>
        <w:t xml:space="preserve">be </w:t>
      </w:r>
      <w:r w:rsidRPr="002C25B6">
        <w:t>retain</w:t>
      </w:r>
      <w:r>
        <w:t>ed</w:t>
      </w:r>
      <w:r w:rsidRPr="002C25B6">
        <w:t xml:space="preserve"> </w:t>
      </w:r>
      <w:r>
        <w:t>to help future job seekers but could not be retained as profit.</w:t>
      </w:r>
    </w:p>
    <w:p w14:paraId="5D918AC0" w14:textId="77777777" w:rsidR="001A415A" w:rsidRPr="001A415A" w:rsidRDefault="001A415A" w:rsidP="001A415A">
      <w:pPr>
        <w:pStyle w:val="Heading4"/>
      </w:pPr>
      <w:r w:rsidRPr="001A415A">
        <w:t>Star Ratings</w:t>
      </w:r>
    </w:p>
    <w:p w14:paraId="3384CFD4" w14:textId="77777777" w:rsidR="00DE5B04" w:rsidRPr="00A86C88" w:rsidRDefault="00DE5B04" w:rsidP="00DE5B04">
      <w:pPr>
        <w:rPr>
          <w:lang w:eastAsia="en-AU"/>
        </w:rPr>
      </w:pPr>
      <w:r>
        <w:rPr>
          <w:lang w:eastAsia="en-AU"/>
        </w:rPr>
        <w:t xml:space="preserve">Star Ratings were used to </w:t>
      </w:r>
      <w:r w:rsidRPr="00A86C88">
        <w:rPr>
          <w:lang w:eastAsia="en-AU"/>
        </w:rPr>
        <w:t xml:space="preserve">assess </w:t>
      </w:r>
      <w:r>
        <w:rPr>
          <w:lang w:eastAsia="en-AU"/>
        </w:rPr>
        <w:t>p</w:t>
      </w:r>
      <w:r w:rsidRPr="00A86C88">
        <w:rPr>
          <w:lang w:eastAsia="en-AU"/>
        </w:rPr>
        <w:t>rovider performance against the efficiency and effectiveness</w:t>
      </w:r>
      <w:r>
        <w:rPr>
          <w:lang w:eastAsia="en-AU"/>
        </w:rPr>
        <w:t xml:space="preserve"> K</w:t>
      </w:r>
      <w:r w:rsidRPr="009C285E">
        <w:rPr>
          <w:noProof/>
        </w:rPr>
        <w:t xml:space="preserve">ey </w:t>
      </w:r>
      <w:r>
        <w:rPr>
          <w:noProof/>
        </w:rPr>
        <w:t>P</w:t>
      </w:r>
      <w:r w:rsidRPr="009C285E">
        <w:rPr>
          <w:noProof/>
        </w:rPr>
        <w:t xml:space="preserve">erformance </w:t>
      </w:r>
      <w:r>
        <w:rPr>
          <w:noProof/>
        </w:rPr>
        <w:t>I</w:t>
      </w:r>
      <w:r w:rsidRPr="009C285E">
        <w:rPr>
          <w:noProof/>
        </w:rPr>
        <w:t xml:space="preserve">ndicators </w:t>
      </w:r>
      <w:r>
        <w:rPr>
          <w:noProof/>
        </w:rPr>
        <w:t>(</w:t>
      </w:r>
      <w:r>
        <w:rPr>
          <w:lang w:eastAsia="en-AU"/>
        </w:rPr>
        <w:t>KPIs)</w:t>
      </w:r>
      <w:r w:rsidRPr="00A86C88">
        <w:rPr>
          <w:lang w:eastAsia="en-AU"/>
        </w:rPr>
        <w:t xml:space="preserve">. </w:t>
      </w:r>
      <w:r>
        <w:rPr>
          <w:lang w:eastAsia="en-AU"/>
        </w:rPr>
        <w:t>E</w:t>
      </w:r>
      <w:r w:rsidRPr="00A86C88">
        <w:rPr>
          <w:lang w:eastAsia="en-AU"/>
        </w:rPr>
        <w:t xml:space="preserve">ach </w:t>
      </w:r>
      <w:r>
        <w:rPr>
          <w:lang w:eastAsia="en-AU"/>
        </w:rPr>
        <w:t>provider</w:t>
      </w:r>
      <w:r w:rsidRPr="00A86C88">
        <w:rPr>
          <w:lang w:eastAsia="en-AU"/>
        </w:rPr>
        <w:t xml:space="preserve">’s performance </w:t>
      </w:r>
      <w:r>
        <w:rPr>
          <w:lang w:eastAsia="en-AU"/>
        </w:rPr>
        <w:t>was</w:t>
      </w:r>
      <w:r w:rsidRPr="00A86C88">
        <w:rPr>
          <w:lang w:eastAsia="en-AU"/>
        </w:rPr>
        <w:t xml:space="preserve"> measured relative to other </w:t>
      </w:r>
      <w:r>
        <w:rPr>
          <w:lang w:eastAsia="en-AU"/>
        </w:rPr>
        <w:t>provider</w:t>
      </w:r>
      <w:r w:rsidRPr="00A86C88">
        <w:rPr>
          <w:lang w:eastAsia="en-AU"/>
        </w:rPr>
        <w:t>s, taking into account differences in caseload and labour market characteristics using regression analysis.</w:t>
      </w:r>
    </w:p>
    <w:p w14:paraId="0925B6F6" w14:textId="7BC5EA13" w:rsidR="00DE5B04" w:rsidRDefault="00DE5B04" w:rsidP="00DE5B04">
      <w:pPr>
        <w:rPr>
          <w:lang w:eastAsia="en-AU"/>
        </w:rPr>
      </w:pPr>
      <w:r>
        <w:rPr>
          <w:lang w:eastAsia="en-AU"/>
        </w:rPr>
        <w:t>The ratings assessed r</w:t>
      </w:r>
      <w:r w:rsidRPr="00A86C88">
        <w:rPr>
          <w:lang w:eastAsia="en-AU"/>
        </w:rPr>
        <w:t xml:space="preserve">elative performance </w:t>
      </w:r>
      <w:r>
        <w:rPr>
          <w:lang w:eastAsia="en-AU"/>
        </w:rPr>
        <w:t xml:space="preserve">against </w:t>
      </w:r>
      <w:r w:rsidRPr="00A86C88">
        <w:rPr>
          <w:lang w:eastAsia="en-AU"/>
        </w:rPr>
        <w:t xml:space="preserve">performance measures which </w:t>
      </w:r>
      <w:r>
        <w:rPr>
          <w:lang w:eastAsia="en-AU"/>
        </w:rPr>
        <w:t>were</w:t>
      </w:r>
      <w:r w:rsidRPr="00A86C88">
        <w:rPr>
          <w:lang w:eastAsia="en-AU"/>
        </w:rPr>
        <w:t xml:space="preserve"> weighted to reflect the </w:t>
      </w:r>
      <w:r>
        <w:rPr>
          <w:lang w:eastAsia="en-AU"/>
        </w:rPr>
        <w:t>g</w:t>
      </w:r>
      <w:r w:rsidRPr="00A86C88">
        <w:rPr>
          <w:lang w:eastAsia="en-AU"/>
        </w:rPr>
        <w:t xml:space="preserve">overnment’s priorities. </w:t>
      </w:r>
      <w:r w:rsidRPr="00A86C88">
        <w:rPr>
          <w:color w:val="000000"/>
          <w:lang w:eastAsia="en-AU"/>
        </w:rPr>
        <w:t xml:space="preserve">Sustained outcomes </w:t>
      </w:r>
      <w:r>
        <w:rPr>
          <w:color w:val="000000"/>
          <w:lang w:eastAsia="en-AU"/>
        </w:rPr>
        <w:t>were</w:t>
      </w:r>
      <w:r w:rsidRPr="00A86C88">
        <w:rPr>
          <w:color w:val="000000"/>
          <w:lang w:eastAsia="en-AU"/>
        </w:rPr>
        <w:t xml:space="preserve"> emphasised with the highest weightings allocated to 13</w:t>
      </w:r>
      <w:r w:rsidR="005B7636">
        <w:rPr>
          <w:color w:val="000000"/>
          <w:lang w:eastAsia="en-AU"/>
        </w:rPr>
        <w:t>-</w:t>
      </w:r>
      <w:r w:rsidRPr="00A86C88">
        <w:rPr>
          <w:color w:val="000000"/>
          <w:lang w:eastAsia="en-AU"/>
        </w:rPr>
        <w:t xml:space="preserve"> and 26</w:t>
      </w:r>
      <w:r w:rsidR="005B7636">
        <w:rPr>
          <w:color w:val="000000"/>
          <w:lang w:eastAsia="en-AU"/>
        </w:rPr>
        <w:t>-</w:t>
      </w:r>
      <w:r w:rsidRPr="00A86C88">
        <w:rPr>
          <w:color w:val="000000"/>
          <w:lang w:eastAsia="en-AU"/>
        </w:rPr>
        <w:t>week outcome performance measures.</w:t>
      </w:r>
      <w:r>
        <w:rPr>
          <w:color w:val="000000"/>
          <w:lang w:eastAsia="en-AU"/>
        </w:rPr>
        <w:t xml:space="preserve"> </w:t>
      </w:r>
      <w:r w:rsidRPr="00A86C88">
        <w:rPr>
          <w:lang w:eastAsia="en-AU"/>
        </w:rPr>
        <w:t xml:space="preserve">Star Ratings </w:t>
      </w:r>
      <w:r>
        <w:rPr>
          <w:lang w:eastAsia="en-AU"/>
        </w:rPr>
        <w:t>were</w:t>
      </w:r>
      <w:r w:rsidRPr="00A86C88">
        <w:rPr>
          <w:lang w:eastAsia="en-AU"/>
        </w:rPr>
        <w:t xml:space="preserve"> determined on the basis of a </w:t>
      </w:r>
      <w:r>
        <w:rPr>
          <w:lang w:eastAsia="en-AU"/>
        </w:rPr>
        <w:t>p</w:t>
      </w:r>
      <w:r w:rsidRPr="00A86C88">
        <w:rPr>
          <w:lang w:eastAsia="en-AU"/>
        </w:rPr>
        <w:t xml:space="preserve">rovider’s performance compared to the average of all </w:t>
      </w:r>
      <w:r>
        <w:rPr>
          <w:lang w:eastAsia="en-AU"/>
        </w:rPr>
        <w:t>p</w:t>
      </w:r>
      <w:r w:rsidRPr="00A86C88">
        <w:rPr>
          <w:lang w:eastAsia="en-AU"/>
        </w:rPr>
        <w:t xml:space="preserve">roviders, referred to as the ‘Star </w:t>
      </w:r>
      <w:r>
        <w:rPr>
          <w:lang w:eastAsia="en-AU"/>
        </w:rPr>
        <w:t>Percentage</w:t>
      </w:r>
      <w:r w:rsidRPr="00A86C88">
        <w:rPr>
          <w:lang w:eastAsia="en-AU"/>
        </w:rPr>
        <w:t>s’</w:t>
      </w:r>
      <w:r>
        <w:rPr>
          <w:lang w:eastAsia="en-AU"/>
        </w:rPr>
        <w:t>. Provider</w:t>
      </w:r>
      <w:r w:rsidRPr="00A86C88">
        <w:rPr>
          <w:lang w:eastAsia="en-AU"/>
        </w:rPr>
        <w:t>s receive</w:t>
      </w:r>
      <w:r>
        <w:rPr>
          <w:lang w:eastAsia="en-AU"/>
        </w:rPr>
        <w:t>d</w:t>
      </w:r>
      <w:r w:rsidRPr="00A86C88">
        <w:rPr>
          <w:lang w:eastAsia="en-AU"/>
        </w:rPr>
        <w:t xml:space="preserve"> Star Ratings and Star </w:t>
      </w:r>
      <w:r>
        <w:rPr>
          <w:lang w:eastAsia="en-AU"/>
        </w:rPr>
        <w:t>Percentage</w:t>
      </w:r>
      <w:r w:rsidR="001C512F">
        <w:rPr>
          <w:lang w:eastAsia="en-AU"/>
        </w:rPr>
        <w:t>s for each of the four s</w:t>
      </w:r>
      <w:r w:rsidRPr="00A86C88">
        <w:rPr>
          <w:lang w:eastAsia="en-AU"/>
        </w:rPr>
        <w:t>treams and for JSA overall</w:t>
      </w:r>
      <w:r>
        <w:rPr>
          <w:lang w:eastAsia="en-AU"/>
        </w:rPr>
        <w:t>,</w:t>
      </w:r>
      <w:r w:rsidRPr="00A86C88">
        <w:rPr>
          <w:lang w:eastAsia="en-AU"/>
        </w:rPr>
        <w:t xml:space="preserve"> for each E</w:t>
      </w:r>
      <w:r>
        <w:rPr>
          <w:lang w:eastAsia="en-AU"/>
        </w:rPr>
        <w:t>mployment Service</w:t>
      </w:r>
      <w:r w:rsidR="00E7638D">
        <w:rPr>
          <w:lang w:eastAsia="en-AU"/>
        </w:rPr>
        <w:t>s</w:t>
      </w:r>
      <w:r>
        <w:rPr>
          <w:lang w:eastAsia="en-AU"/>
        </w:rPr>
        <w:t xml:space="preserve"> </w:t>
      </w:r>
      <w:r w:rsidRPr="00A86C88">
        <w:rPr>
          <w:lang w:eastAsia="en-AU"/>
        </w:rPr>
        <w:t>A</w:t>
      </w:r>
      <w:r>
        <w:rPr>
          <w:lang w:eastAsia="en-AU"/>
        </w:rPr>
        <w:t>rea</w:t>
      </w:r>
      <w:r w:rsidRPr="00A86C88">
        <w:rPr>
          <w:lang w:eastAsia="en-AU"/>
        </w:rPr>
        <w:t xml:space="preserve"> </w:t>
      </w:r>
      <w:r>
        <w:rPr>
          <w:lang w:eastAsia="en-AU"/>
        </w:rPr>
        <w:t xml:space="preserve">(ESA) </w:t>
      </w:r>
      <w:r w:rsidRPr="00A86C88">
        <w:rPr>
          <w:lang w:eastAsia="en-AU"/>
        </w:rPr>
        <w:t xml:space="preserve">and </w:t>
      </w:r>
      <w:r>
        <w:rPr>
          <w:lang w:eastAsia="en-AU"/>
        </w:rPr>
        <w:t>s</w:t>
      </w:r>
      <w:r w:rsidRPr="00A86C88">
        <w:rPr>
          <w:lang w:eastAsia="en-AU"/>
        </w:rPr>
        <w:t>ite</w:t>
      </w:r>
      <w:r>
        <w:rPr>
          <w:lang w:eastAsia="en-AU"/>
        </w:rPr>
        <w:t>.</w:t>
      </w:r>
    </w:p>
    <w:p w14:paraId="06E89EAA" w14:textId="77777777" w:rsidR="00780976" w:rsidRDefault="00DE5B04" w:rsidP="00DE5B04">
      <w:pPr>
        <w:rPr>
          <w:color w:val="000000"/>
          <w:lang w:eastAsia="en-AU"/>
        </w:rPr>
      </w:pPr>
      <w:r>
        <w:rPr>
          <w:color w:val="000000"/>
          <w:lang w:eastAsia="en-AU"/>
        </w:rPr>
        <w:t>Overall Star Percentages and the resulting Star Ratings were based on a weighted average of the stream level Star Percentages</w:t>
      </w:r>
      <w:r w:rsidRPr="00A86C88">
        <w:rPr>
          <w:color w:val="000000"/>
          <w:lang w:eastAsia="en-AU"/>
        </w:rPr>
        <w:t xml:space="preserve"> </w:t>
      </w:r>
      <w:r>
        <w:rPr>
          <w:color w:val="000000"/>
          <w:lang w:eastAsia="en-AU"/>
        </w:rPr>
        <w:t>with higher weightings for streams with higher levels of disadvantage</w:t>
      </w:r>
      <w:r w:rsidR="00926FF6">
        <w:rPr>
          <w:color w:val="000000"/>
          <w:lang w:eastAsia="en-AU"/>
        </w:rPr>
        <w:t>.</w:t>
      </w:r>
    </w:p>
    <w:p w14:paraId="251B8214" w14:textId="77777777" w:rsidR="00926FF6" w:rsidRDefault="00167784" w:rsidP="00926FF6">
      <w:pPr>
        <w:pStyle w:val="Heading3"/>
      </w:pPr>
      <w:bookmarkStart w:id="86" w:name="_Toc22543057"/>
      <w:r>
        <w:t>1.1.2</w:t>
      </w:r>
      <w:r>
        <w:tab/>
        <w:t>Changes to the model</w:t>
      </w:r>
      <w:r w:rsidR="009F0D61">
        <w:t xml:space="preserve"> for the second contract period</w:t>
      </w:r>
      <w:bookmarkEnd w:id="86"/>
    </w:p>
    <w:p w14:paraId="2B59F416" w14:textId="2399C258" w:rsidR="00AD6837" w:rsidRDefault="007B73EE" w:rsidP="00780976">
      <w:r>
        <w:t xml:space="preserve">While the objectives </w:t>
      </w:r>
      <w:r w:rsidR="00D042E7">
        <w:t>did</w:t>
      </w:r>
      <w:r>
        <w:t xml:space="preserve"> not change substantially between JSA 2009 and JSA 2012, there </w:t>
      </w:r>
      <w:r w:rsidR="00D042E7">
        <w:t>were</w:t>
      </w:r>
      <w:r>
        <w:t xml:space="preserve"> important changes in the service delivery model. These changes</w:t>
      </w:r>
      <w:r w:rsidR="00D042E7">
        <w:t xml:space="preserve">, which </w:t>
      </w:r>
      <w:r>
        <w:t>are the focus of this evaluation</w:t>
      </w:r>
      <w:r w:rsidR="007A5E08">
        <w:t>,</w:t>
      </w:r>
      <w:r w:rsidR="00FE0089">
        <w:t xml:space="preserve"> are outlined in Table 1.1</w:t>
      </w:r>
      <w:r w:rsidR="00742A91">
        <w:t>.</w:t>
      </w:r>
    </w:p>
    <w:p w14:paraId="25A48E37" w14:textId="77777777" w:rsidR="00A82A36" w:rsidRPr="00A82A36" w:rsidRDefault="00A82A36" w:rsidP="00A82A36">
      <w:pPr>
        <w:pStyle w:val="Tableforcontents"/>
      </w:pPr>
      <w:bookmarkStart w:id="87" w:name="_Toc22543966"/>
      <w:r w:rsidRPr="00A82A36">
        <w:t>Table 1.1: Modifications to JSA for or during the 2012 contract period</w:t>
      </w:r>
      <w:bookmarkEnd w:id="87"/>
    </w:p>
    <w:tbl>
      <w:tblPr>
        <w:tblStyle w:val="TableGrid"/>
        <w:tblW w:w="0" w:type="auto"/>
        <w:tblLook w:val="04A0" w:firstRow="1" w:lastRow="0" w:firstColumn="1" w:lastColumn="0" w:noHBand="0" w:noVBand="1"/>
      </w:tblPr>
      <w:tblGrid>
        <w:gridCol w:w="1929"/>
        <w:gridCol w:w="7088"/>
      </w:tblGrid>
      <w:tr w:rsidR="00A82A36" w:rsidRPr="00A82A36" w14:paraId="51C23582" w14:textId="77777777" w:rsidTr="00A82A36">
        <w:trPr>
          <w:trHeight w:val="73"/>
          <w:tblHeader/>
        </w:trPr>
        <w:tc>
          <w:tcPr>
            <w:tcW w:w="1929" w:type="dxa"/>
            <w:tcBorders>
              <w:bottom w:val="nil"/>
              <w:right w:val="nil"/>
            </w:tcBorders>
            <w:shd w:val="clear" w:color="auto" w:fill="1E3D6B"/>
          </w:tcPr>
          <w:p w14:paraId="492E6C08" w14:textId="77777777" w:rsidR="00A82A36" w:rsidRPr="00A82A36" w:rsidRDefault="00A82A36" w:rsidP="00A82A36">
            <w:pPr>
              <w:spacing w:line="276" w:lineRule="auto"/>
              <w:rPr>
                <w:b/>
                <w:sz w:val="20"/>
                <w:szCs w:val="20"/>
              </w:rPr>
            </w:pPr>
            <w:r w:rsidRPr="00A82A36">
              <w:rPr>
                <w:b/>
                <w:sz w:val="20"/>
                <w:szCs w:val="20"/>
              </w:rPr>
              <w:t>Programme</w:t>
            </w:r>
          </w:p>
        </w:tc>
        <w:tc>
          <w:tcPr>
            <w:tcW w:w="7088" w:type="dxa"/>
            <w:tcBorders>
              <w:left w:val="nil"/>
              <w:bottom w:val="nil"/>
            </w:tcBorders>
            <w:shd w:val="clear" w:color="auto" w:fill="1E3D6B"/>
          </w:tcPr>
          <w:p w14:paraId="14F33844" w14:textId="77777777" w:rsidR="00A82A36" w:rsidRPr="00A82A36" w:rsidRDefault="00A82A36" w:rsidP="00A82A36">
            <w:pPr>
              <w:spacing w:line="276" w:lineRule="auto"/>
              <w:rPr>
                <w:sz w:val="20"/>
                <w:szCs w:val="20"/>
              </w:rPr>
            </w:pPr>
            <w:r w:rsidRPr="00A82A36">
              <w:rPr>
                <w:b/>
                <w:sz w:val="20"/>
                <w:szCs w:val="20"/>
              </w:rPr>
              <w:t>Definition</w:t>
            </w:r>
          </w:p>
        </w:tc>
      </w:tr>
      <w:tr w:rsidR="00A82A36" w:rsidRPr="00A82A36" w14:paraId="41AB8959" w14:textId="77777777" w:rsidTr="00A82A36">
        <w:tc>
          <w:tcPr>
            <w:tcW w:w="1929" w:type="dxa"/>
            <w:tcBorders>
              <w:top w:val="nil"/>
              <w:left w:val="nil"/>
              <w:bottom w:val="nil"/>
              <w:right w:val="nil"/>
            </w:tcBorders>
          </w:tcPr>
          <w:p w14:paraId="228BADE5" w14:textId="77777777" w:rsidR="00A82A36" w:rsidRPr="00A82A36" w:rsidRDefault="00A82A36" w:rsidP="00A82A36">
            <w:pPr>
              <w:spacing w:line="276" w:lineRule="auto"/>
              <w:rPr>
                <w:sz w:val="20"/>
                <w:szCs w:val="20"/>
              </w:rPr>
            </w:pPr>
            <w:r w:rsidRPr="00A82A36">
              <w:rPr>
                <w:sz w:val="20"/>
                <w:szCs w:val="20"/>
              </w:rPr>
              <w:t>Changes to Stream 1 job seeker servicing</w:t>
            </w:r>
          </w:p>
          <w:p w14:paraId="639AF2B8" w14:textId="77777777" w:rsidR="00A82A36" w:rsidRPr="00A82A36" w:rsidRDefault="00A82A36" w:rsidP="00A82A36">
            <w:pPr>
              <w:spacing w:after="166" w:line="276" w:lineRule="auto"/>
              <w:rPr>
                <w:b/>
                <w:sz w:val="20"/>
                <w:szCs w:val="20"/>
              </w:rPr>
            </w:pPr>
            <w:r w:rsidRPr="00A82A36">
              <w:rPr>
                <w:b/>
                <w:sz w:val="20"/>
                <w:szCs w:val="20"/>
              </w:rPr>
              <w:t>Chapter Four</w:t>
            </w:r>
          </w:p>
        </w:tc>
        <w:tc>
          <w:tcPr>
            <w:tcW w:w="7088" w:type="dxa"/>
            <w:tcBorders>
              <w:top w:val="nil"/>
              <w:left w:val="nil"/>
              <w:bottom w:val="nil"/>
              <w:right w:val="nil"/>
            </w:tcBorders>
          </w:tcPr>
          <w:p w14:paraId="4A5E7674" w14:textId="77777777" w:rsidR="00A82A36" w:rsidRPr="00A82A36" w:rsidRDefault="00A82A36" w:rsidP="00A82A36">
            <w:pPr>
              <w:numPr>
                <w:ilvl w:val="0"/>
                <w:numId w:val="21"/>
              </w:numPr>
              <w:spacing w:line="276" w:lineRule="auto"/>
              <w:ind w:left="597" w:hanging="298"/>
              <w:rPr>
                <w:sz w:val="20"/>
                <w:szCs w:val="20"/>
              </w:rPr>
            </w:pPr>
            <w:r w:rsidRPr="00A82A36">
              <w:rPr>
                <w:sz w:val="20"/>
                <w:szCs w:val="20"/>
              </w:rPr>
              <w:t>Introduced in the JSA 2012 contract, changes to the servicing of Stream 1 job seekers included the following:</w:t>
            </w:r>
          </w:p>
          <w:p w14:paraId="24F3126A" w14:textId="77777777" w:rsidR="00A82A36" w:rsidRPr="00A82A36" w:rsidRDefault="00A82A36" w:rsidP="00A82A36">
            <w:pPr>
              <w:numPr>
                <w:ilvl w:val="0"/>
                <w:numId w:val="58"/>
              </w:numPr>
              <w:spacing w:line="276" w:lineRule="auto"/>
              <w:ind w:left="896" w:hanging="298"/>
              <w:rPr>
                <w:sz w:val="20"/>
                <w:szCs w:val="20"/>
              </w:rPr>
            </w:pPr>
            <w:r w:rsidRPr="00A82A36">
              <w:rPr>
                <w:sz w:val="20"/>
                <w:szCs w:val="20"/>
              </w:rPr>
              <w:t>Job placement fees were payable to providers for Stream 1 job seekers from their date of registration. Previously, Stream 1 job seekers had to be in service for three months before job placement fees became payable.</w:t>
            </w:r>
          </w:p>
          <w:p w14:paraId="1C1630EB" w14:textId="77777777" w:rsidR="00A82A36" w:rsidRPr="00A82A36" w:rsidRDefault="00A82A36" w:rsidP="00A82A36">
            <w:pPr>
              <w:numPr>
                <w:ilvl w:val="0"/>
                <w:numId w:val="58"/>
              </w:numPr>
              <w:spacing w:line="276" w:lineRule="auto"/>
              <w:ind w:left="896" w:hanging="298"/>
              <w:rPr>
                <w:sz w:val="20"/>
                <w:szCs w:val="20"/>
              </w:rPr>
            </w:pPr>
            <w:r w:rsidRPr="00A82A36">
              <w:rPr>
                <w:sz w:val="20"/>
                <w:szCs w:val="20"/>
              </w:rPr>
              <w:t>Intensive Activity Changes - the timing and intensity of these activities changed. The number of hours of activities reduced under JSA 2012 (25 hours compared with 60 hours under JSA 2009) and the timing of activities moved from the end of the fourth month of service to between the 26</w:t>
            </w:r>
            <w:r w:rsidRPr="00A82A36">
              <w:rPr>
                <w:sz w:val="20"/>
                <w:szCs w:val="20"/>
                <w:vertAlign w:val="superscript"/>
              </w:rPr>
              <w:t>th</w:t>
            </w:r>
            <w:r w:rsidRPr="00A82A36">
              <w:rPr>
                <w:sz w:val="20"/>
                <w:szCs w:val="20"/>
              </w:rPr>
              <w:t xml:space="preserve"> and 30</w:t>
            </w:r>
            <w:r w:rsidRPr="00A82A36">
              <w:rPr>
                <w:sz w:val="20"/>
                <w:szCs w:val="20"/>
                <w:vertAlign w:val="superscript"/>
              </w:rPr>
              <w:t>th</w:t>
            </w:r>
            <w:r w:rsidRPr="00A82A36">
              <w:rPr>
                <w:sz w:val="20"/>
                <w:szCs w:val="20"/>
              </w:rPr>
              <w:t xml:space="preserve"> week of service.</w:t>
            </w:r>
          </w:p>
          <w:p w14:paraId="1A5F7AFE" w14:textId="77777777" w:rsidR="00A82A36" w:rsidRPr="00A82A36" w:rsidRDefault="00A82A36" w:rsidP="00A82A36">
            <w:pPr>
              <w:numPr>
                <w:ilvl w:val="0"/>
                <w:numId w:val="58"/>
              </w:numPr>
              <w:spacing w:line="276" w:lineRule="auto"/>
              <w:ind w:left="896" w:hanging="298"/>
              <w:rPr>
                <w:sz w:val="20"/>
                <w:szCs w:val="20"/>
              </w:rPr>
            </w:pPr>
            <w:r w:rsidRPr="00A82A36">
              <w:rPr>
                <w:sz w:val="20"/>
                <w:szCs w:val="20"/>
              </w:rPr>
              <w:t>Skills Assessments under the JSA 2009 contract were conducted before the job seeker completed their fourth month (16 weeks) in service. In JSA 2012, they were only required before the end of 30 weeks. This change aligned with the change in timing for Intensive Activities.</w:t>
            </w:r>
          </w:p>
          <w:p w14:paraId="5BFE3106" w14:textId="77777777" w:rsidR="00A82A36" w:rsidRPr="00A82A36" w:rsidRDefault="00A82A36" w:rsidP="00A82A36">
            <w:pPr>
              <w:numPr>
                <w:ilvl w:val="0"/>
                <w:numId w:val="58"/>
              </w:numPr>
              <w:spacing w:after="166" w:line="276" w:lineRule="auto"/>
              <w:ind w:left="896" w:hanging="298"/>
              <w:rPr>
                <w:sz w:val="20"/>
                <w:szCs w:val="20"/>
              </w:rPr>
            </w:pPr>
            <w:r w:rsidRPr="00A82A36">
              <w:rPr>
                <w:sz w:val="20"/>
                <w:szCs w:val="20"/>
              </w:rPr>
              <w:t>JSA 2012 service fees were lower than those paid under JSA 2009. This was designed to reflect the reduced (and therefore less costly) Intensive Activity requirements. The bulk of the first 12-month service fee was paid in the third quarter rather than the second, as was the case for JSA 2009, reflecting changes in the timing of the Intensive Activity requirement.</w:t>
            </w:r>
          </w:p>
        </w:tc>
      </w:tr>
      <w:tr w:rsidR="00A82A36" w:rsidRPr="00A82A36" w14:paraId="197639B4" w14:textId="77777777" w:rsidTr="00A82A36">
        <w:tc>
          <w:tcPr>
            <w:tcW w:w="1929" w:type="dxa"/>
            <w:tcBorders>
              <w:top w:val="nil"/>
              <w:left w:val="nil"/>
              <w:bottom w:val="nil"/>
              <w:right w:val="nil"/>
            </w:tcBorders>
            <w:shd w:val="clear" w:color="auto" w:fill="E5E5E5" w:themeFill="background1" w:themeFillTint="33"/>
          </w:tcPr>
          <w:p w14:paraId="6CC0F0D3" w14:textId="77777777" w:rsidR="00A82A36" w:rsidRPr="00A82A36" w:rsidRDefault="00A82A36" w:rsidP="00A82A36">
            <w:pPr>
              <w:spacing w:line="276" w:lineRule="auto"/>
              <w:rPr>
                <w:b/>
                <w:sz w:val="20"/>
                <w:szCs w:val="20"/>
              </w:rPr>
            </w:pPr>
            <w:r w:rsidRPr="00A82A36">
              <w:rPr>
                <w:sz w:val="20"/>
                <w:szCs w:val="20"/>
              </w:rPr>
              <w:t>Stream Services Review (SSR) Changes</w:t>
            </w:r>
            <w:r w:rsidRPr="00A82A36">
              <w:rPr>
                <w:b/>
                <w:sz w:val="20"/>
                <w:szCs w:val="20"/>
              </w:rPr>
              <w:t xml:space="preserve"> </w:t>
            </w:r>
          </w:p>
          <w:p w14:paraId="40E3B228" w14:textId="77777777" w:rsidR="00A82A36" w:rsidRPr="00A82A36" w:rsidRDefault="00A82A36" w:rsidP="00A82A36">
            <w:pPr>
              <w:spacing w:after="166" w:line="276" w:lineRule="auto"/>
            </w:pPr>
            <w:r w:rsidRPr="00A82A36">
              <w:rPr>
                <w:b/>
                <w:sz w:val="20"/>
                <w:szCs w:val="20"/>
              </w:rPr>
              <w:t>Chapter Five</w:t>
            </w:r>
          </w:p>
        </w:tc>
        <w:tc>
          <w:tcPr>
            <w:tcW w:w="7088" w:type="dxa"/>
            <w:tcBorders>
              <w:top w:val="nil"/>
              <w:left w:val="nil"/>
              <w:bottom w:val="nil"/>
              <w:right w:val="nil"/>
            </w:tcBorders>
            <w:shd w:val="clear" w:color="auto" w:fill="E5E5E5" w:themeFill="background1" w:themeFillTint="33"/>
          </w:tcPr>
          <w:p w14:paraId="7A368AC2" w14:textId="77777777" w:rsidR="00A82A36" w:rsidRPr="00A82A36" w:rsidRDefault="00A82A36" w:rsidP="00A82A36">
            <w:pPr>
              <w:numPr>
                <w:ilvl w:val="0"/>
                <w:numId w:val="54"/>
              </w:numPr>
              <w:spacing w:after="166" w:line="276" w:lineRule="auto"/>
              <w:ind w:left="597" w:hanging="298"/>
              <w:rPr>
                <w:sz w:val="20"/>
                <w:szCs w:val="20"/>
              </w:rPr>
            </w:pPr>
            <w:r w:rsidRPr="00A82A36">
              <w:rPr>
                <w:sz w:val="20"/>
                <w:szCs w:val="20"/>
              </w:rPr>
              <w:t>Stream Services Reviews (SSR) were triggered for job seekers once they reached 52 weeks in a particular stream of service and were used to determine readiness for entry to the Work Experience Phase (WEPh). They were a feature of the JSA 2009 contract which was not carried into the JSA 2012 contract.</w:t>
            </w:r>
          </w:p>
        </w:tc>
      </w:tr>
      <w:tr w:rsidR="00A82A36" w:rsidRPr="00A82A36" w14:paraId="3B2AD3B5" w14:textId="77777777" w:rsidTr="00A82A36">
        <w:tc>
          <w:tcPr>
            <w:tcW w:w="1929" w:type="dxa"/>
            <w:tcBorders>
              <w:top w:val="nil"/>
              <w:left w:val="nil"/>
              <w:bottom w:val="nil"/>
              <w:right w:val="nil"/>
            </w:tcBorders>
          </w:tcPr>
          <w:p w14:paraId="6790605E" w14:textId="77777777" w:rsidR="00A82A36" w:rsidRPr="00A82A36" w:rsidRDefault="00A82A36" w:rsidP="00A82A36">
            <w:pPr>
              <w:spacing w:line="276" w:lineRule="auto"/>
              <w:rPr>
                <w:sz w:val="20"/>
                <w:szCs w:val="20"/>
              </w:rPr>
            </w:pPr>
            <w:r w:rsidRPr="00A82A36">
              <w:rPr>
                <w:sz w:val="20"/>
                <w:szCs w:val="20"/>
              </w:rPr>
              <w:t>Compulsory Activity Phase (CAP)</w:t>
            </w:r>
          </w:p>
          <w:p w14:paraId="28CDD5E9" w14:textId="77777777" w:rsidR="00A82A36" w:rsidRPr="00A82A36" w:rsidRDefault="00A82A36" w:rsidP="00A82A36">
            <w:pPr>
              <w:spacing w:after="166" w:line="276" w:lineRule="auto"/>
              <w:rPr>
                <w:b/>
                <w:sz w:val="20"/>
                <w:szCs w:val="20"/>
              </w:rPr>
            </w:pPr>
            <w:r w:rsidRPr="00A82A36">
              <w:rPr>
                <w:b/>
                <w:sz w:val="20"/>
                <w:szCs w:val="20"/>
              </w:rPr>
              <w:t>Chapter Six</w:t>
            </w:r>
          </w:p>
        </w:tc>
        <w:tc>
          <w:tcPr>
            <w:tcW w:w="7088" w:type="dxa"/>
            <w:tcBorders>
              <w:top w:val="nil"/>
              <w:left w:val="nil"/>
              <w:bottom w:val="nil"/>
              <w:right w:val="nil"/>
            </w:tcBorders>
          </w:tcPr>
          <w:p w14:paraId="7B94045D" w14:textId="77777777" w:rsidR="00A82A36" w:rsidRPr="00A82A36" w:rsidRDefault="00A82A36" w:rsidP="00A82A36">
            <w:pPr>
              <w:numPr>
                <w:ilvl w:val="0"/>
                <w:numId w:val="54"/>
              </w:numPr>
              <w:spacing w:line="276" w:lineRule="auto"/>
              <w:ind w:left="597" w:hanging="298"/>
              <w:rPr>
                <w:sz w:val="20"/>
                <w:szCs w:val="20"/>
              </w:rPr>
            </w:pPr>
            <w:r w:rsidRPr="00A82A36">
              <w:rPr>
                <w:sz w:val="20"/>
                <w:szCs w:val="20"/>
              </w:rPr>
              <w:t>Introduced in the JSA 2012 contract, the CAP applied to job seekers who had been in the WEPh for more than 12 months. Job seekers entered the WEPh when they had a Work Experience Activity Requirement (WEAR), that is, were aged between 18 and 49 with an activity test or participation requirement and had received 12 months or more of service in a particular stream.</w:t>
            </w:r>
          </w:p>
          <w:p w14:paraId="787850E1" w14:textId="77777777" w:rsidR="00A82A36" w:rsidRPr="00A82A36" w:rsidRDefault="00A82A36" w:rsidP="00A82A36">
            <w:pPr>
              <w:numPr>
                <w:ilvl w:val="0"/>
                <w:numId w:val="21"/>
              </w:numPr>
              <w:spacing w:line="276" w:lineRule="auto"/>
              <w:ind w:left="597" w:hanging="298"/>
            </w:pPr>
            <w:r w:rsidRPr="00A82A36">
              <w:rPr>
                <w:sz w:val="20"/>
                <w:szCs w:val="20"/>
              </w:rPr>
              <w:t>The CAP placed a stronger obligation on very long-term unemployed (VLTU) job seekers (in employment services for two years or more) to undertake ongoing activities that provided them with skills and experience to help them find a job</w:t>
            </w:r>
            <w:r w:rsidRPr="00A82A36">
              <w:t>.</w:t>
            </w:r>
          </w:p>
          <w:p w14:paraId="3AC3B390" w14:textId="77777777" w:rsidR="00A82A36" w:rsidRPr="00A82A36" w:rsidRDefault="00A82A36" w:rsidP="00A82A36">
            <w:pPr>
              <w:numPr>
                <w:ilvl w:val="0"/>
                <w:numId w:val="21"/>
              </w:numPr>
              <w:spacing w:line="276" w:lineRule="auto"/>
              <w:ind w:left="597" w:hanging="298"/>
            </w:pPr>
            <w:r w:rsidRPr="00A82A36">
              <w:rPr>
                <w:sz w:val="20"/>
                <w:szCs w:val="20"/>
              </w:rPr>
              <w:t>It offered a range of work experience activities for job seekers to choose from in order to meet their participation requirements</w:t>
            </w:r>
            <w:r w:rsidRPr="00A82A36">
              <w:t>.</w:t>
            </w:r>
          </w:p>
          <w:p w14:paraId="00CC5D7A" w14:textId="77777777" w:rsidR="00A82A36" w:rsidRPr="00A82A36" w:rsidRDefault="00A82A36" w:rsidP="00A82A36">
            <w:pPr>
              <w:numPr>
                <w:ilvl w:val="0"/>
                <w:numId w:val="21"/>
              </w:numPr>
              <w:spacing w:after="166" w:line="276" w:lineRule="auto"/>
              <w:ind w:left="597" w:hanging="298"/>
              <w:rPr>
                <w:sz w:val="20"/>
                <w:szCs w:val="20"/>
              </w:rPr>
            </w:pPr>
            <w:r w:rsidRPr="00A82A36">
              <w:rPr>
                <w:sz w:val="20"/>
                <w:szCs w:val="20"/>
              </w:rPr>
              <w:t>It was designed to ensure that job seekers were continually participating in work experience activities over the course of each year to give them the opportunity to improve their skills and attain qualifications to support finding sustainable employment.</w:t>
            </w:r>
          </w:p>
        </w:tc>
      </w:tr>
      <w:tr w:rsidR="00A82A36" w:rsidRPr="00A82A36" w14:paraId="20EC6508" w14:textId="77777777" w:rsidTr="00A82A36">
        <w:tc>
          <w:tcPr>
            <w:tcW w:w="1929" w:type="dxa"/>
            <w:tcBorders>
              <w:top w:val="nil"/>
              <w:left w:val="nil"/>
              <w:bottom w:val="nil"/>
              <w:right w:val="nil"/>
            </w:tcBorders>
            <w:shd w:val="clear" w:color="auto" w:fill="E5E5E5" w:themeFill="background1" w:themeFillTint="33"/>
          </w:tcPr>
          <w:p w14:paraId="75089E0B" w14:textId="77777777" w:rsidR="00A82A36" w:rsidRPr="00A82A36" w:rsidRDefault="00A82A36" w:rsidP="00A82A36">
            <w:pPr>
              <w:spacing w:line="276" w:lineRule="auto"/>
              <w:rPr>
                <w:sz w:val="20"/>
                <w:szCs w:val="20"/>
              </w:rPr>
            </w:pPr>
            <w:r w:rsidRPr="00A82A36">
              <w:rPr>
                <w:sz w:val="20"/>
                <w:szCs w:val="20"/>
              </w:rPr>
              <w:t>Increased help for Indigenous job seekers</w:t>
            </w:r>
          </w:p>
          <w:p w14:paraId="66A408C0" w14:textId="77777777" w:rsidR="00A82A36" w:rsidRPr="00A82A36" w:rsidRDefault="00A82A36" w:rsidP="00A82A36">
            <w:pPr>
              <w:spacing w:after="166" w:line="276" w:lineRule="auto"/>
            </w:pPr>
            <w:r w:rsidRPr="00A82A36">
              <w:rPr>
                <w:b/>
                <w:sz w:val="20"/>
                <w:szCs w:val="20"/>
              </w:rPr>
              <w:t>Chapter Seven</w:t>
            </w:r>
          </w:p>
        </w:tc>
        <w:tc>
          <w:tcPr>
            <w:tcW w:w="7088" w:type="dxa"/>
            <w:tcBorders>
              <w:top w:val="nil"/>
              <w:left w:val="nil"/>
              <w:bottom w:val="nil"/>
              <w:right w:val="nil"/>
            </w:tcBorders>
            <w:shd w:val="clear" w:color="auto" w:fill="E5E5E5" w:themeFill="background1" w:themeFillTint="33"/>
          </w:tcPr>
          <w:p w14:paraId="3DF09839" w14:textId="0E216B28" w:rsidR="00A82A36" w:rsidRPr="00A82A36" w:rsidRDefault="00C84926" w:rsidP="00A82A36">
            <w:pPr>
              <w:numPr>
                <w:ilvl w:val="0"/>
                <w:numId w:val="54"/>
              </w:numPr>
              <w:spacing w:line="276" w:lineRule="auto"/>
              <w:ind w:left="597" w:hanging="298"/>
              <w:rPr>
                <w:sz w:val="20"/>
                <w:szCs w:val="20"/>
              </w:rPr>
            </w:pPr>
            <w:r>
              <w:rPr>
                <w:sz w:val="20"/>
                <w:szCs w:val="20"/>
              </w:rPr>
              <w:t>Changes were</w:t>
            </w:r>
            <w:r w:rsidR="00A82A36" w:rsidRPr="00A82A36">
              <w:rPr>
                <w:sz w:val="20"/>
                <w:szCs w:val="20"/>
              </w:rPr>
              <w:t xml:space="preserve"> designed to increase employment outcomes for Indigenous job seekers.</w:t>
            </w:r>
          </w:p>
          <w:p w14:paraId="520CA0D1" w14:textId="77777777" w:rsidR="00A82A36" w:rsidRPr="00A82A36" w:rsidRDefault="00A82A36" w:rsidP="00A82A36">
            <w:pPr>
              <w:numPr>
                <w:ilvl w:val="0"/>
                <w:numId w:val="22"/>
              </w:numPr>
              <w:spacing w:line="276" w:lineRule="auto"/>
              <w:ind w:left="597" w:hanging="298"/>
              <w:rPr>
                <w:sz w:val="20"/>
                <w:szCs w:val="20"/>
              </w:rPr>
            </w:pPr>
            <w:r w:rsidRPr="00A82A36">
              <w:rPr>
                <w:sz w:val="20"/>
                <w:szCs w:val="20"/>
              </w:rPr>
              <w:t>Changes were required to Indigenous Employment Plans for providers.</w:t>
            </w:r>
          </w:p>
          <w:p w14:paraId="49825129" w14:textId="77777777" w:rsidR="00A82A36" w:rsidRPr="00A82A36" w:rsidRDefault="00A82A36" w:rsidP="00A82A36">
            <w:pPr>
              <w:numPr>
                <w:ilvl w:val="0"/>
                <w:numId w:val="22"/>
              </w:numPr>
              <w:spacing w:line="276" w:lineRule="auto"/>
              <w:ind w:left="597" w:hanging="298"/>
              <w:rPr>
                <w:sz w:val="20"/>
                <w:szCs w:val="20"/>
              </w:rPr>
            </w:pPr>
            <w:r w:rsidRPr="00A82A36">
              <w:rPr>
                <w:sz w:val="20"/>
                <w:szCs w:val="20"/>
              </w:rPr>
              <w:t>Online training was provided to improve the cultural capability of JSA providers.</w:t>
            </w:r>
          </w:p>
          <w:p w14:paraId="27706691" w14:textId="77777777" w:rsidR="00A82A36" w:rsidRPr="00A82A36" w:rsidRDefault="00A82A36" w:rsidP="00A82A36">
            <w:pPr>
              <w:numPr>
                <w:ilvl w:val="0"/>
                <w:numId w:val="22"/>
              </w:numPr>
              <w:spacing w:line="276" w:lineRule="auto"/>
              <w:ind w:left="597" w:hanging="298"/>
              <w:rPr>
                <w:sz w:val="20"/>
                <w:szCs w:val="20"/>
              </w:rPr>
            </w:pPr>
            <w:r w:rsidRPr="00A82A36">
              <w:rPr>
                <w:sz w:val="20"/>
                <w:szCs w:val="20"/>
              </w:rPr>
              <w:t>The Indigenous Mentoring Pilot (IMP) was undertaken.</w:t>
            </w:r>
          </w:p>
          <w:p w14:paraId="1E1B85E5" w14:textId="77777777" w:rsidR="00A82A36" w:rsidRPr="00A82A36" w:rsidRDefault="00A82A36" w:rsidP="00A82A36">
            <w:pPr>
              <w:numPr>
                <w:ilvl w:val="0"/>
                <w:numId w:val="22"/>
              </w:numPr>
              <w:spacing w:after="166" w:line="276" w:lineRule="auto"/>
              <w:ind w:left="597" w:hanging="298"/>
            </w:pPr>
            <w:r w:rsidRPr="00A82A36">
              <w:rPr>
                <w:sz w:val="20"/>
                <w:szCs w:val="20"/>
              </w:rPr>
              <w:t>The Indigenous Opportunity Policy (IOP) was introduced to help boost Indigenous employment.</w:t>
            </w:r>
          </w:p>
        </w:tc>
      </w:tr>
      <w:tr w:rsidR="00A82A36" w:rsidRPr="00A82A36" w14:paraId="4FD3528A" w14:textId="77777777" w:rsidTr="00A82A36">
        <w:tc>
          <w:tcPr>
            <w:tcW w:w="1929" w:type="dxa"/>
            <w:tcBorders>
              <w:top w:val="nil"/>
              <w:left w:val="nil"/>
              <w:bottom w:val="nil"/>
              <w:right w:val="nil"/>
            </w:tcBorders>
          </w:tcPr>
          <w:p w14:paraId="27EC9848" w14:textId="77777777" w:rsidR="00A82A36" w:rsidRPr="00A82A36" w:rsidRDefault="00A82A36" w:rsidP="00A82A36">
            <w:pPr>
              <w:spacing w:line="276" w:lineRule="auto"/>
              <w:rPr>
                <w:sz w:val="20"/>
                <w:szCs w:val="20"/>
              </w:rPr>
            </w:pPr>
            <w:r w:rsidRPr="00A82A36">
              <w:rPr>
                <w:sz w:val="20"/>
                <w:szCs w:val="20"/>
              </w:rPr>
              <w:t>The Quality Standards Pilot (QSP)</w:t>
            </w:r>
          </w:p>
          <w:p w14:paraId="3A9ADAB9" w14:textId="77777777" w:rsidR="00A82A36" w:rsidRPr="00A82A36" w:rsidRDefault="00A82A36" w:rsidP="00A82A36">
            <w:pPr>
              <w:spacing w:after="166" w:line="276" w:lineRule="auto"/>
            </w:pPr>
            <w:r w:rsidRPr="00A82A36">
              <w:rPr>
                <w:b/>
                <w:sz w:val="20"/>
                <w:szCs w:val="20"/>
              </w:rPr>
              <w:t>Chapter Seven</w:t>
            </w:r>
          </w:p>
        </w:tc>
        <w:tc>
          <w:tcPr>
            <w:tcW w:w="7088" w:type="dxa"/>
            <w:tcBorders>
              <w:top w:val="nil"/>
              <w:left w:val="nil"/>
              <w:bottom w:val="nil"/>
              <w:right w:val="nil"/>
            </w:tcBorders>
          </w:tcPr>
          <w:p w14:paraId="61C5B981" w14:textId="77777777" w:rsidR="00A82A36" w:rsidRPr="00A82A36" w:rsidRDefault="00A82A36" w:rsidP="00A82A36">
            <w:pPr>
              <w:numPr>
                <w:ilvl w:val="0"/>
                <w:numId w:val="55"/>
              </w:numPr>
              <w:spacing w:line="276" w:lineRule="auto"/>
              <w:ind w:left="624" w:hanging="298"/>
              <w:rPr>
                <w:sz w:val="20"/>
                <w:szCs w:val="20"/>
              </w:rPr>
            </w:pPr>
            <w:r w:rsidRPr="00A82A36">
              <w:rPr>
                <w:sz w:val="20"/>
                <w:szCs w:val="20"/>
              </w:rPr>
              <w:t>The Quality Assurance Framework (QAF) was designed to improve service delivery in employment services. The QSP was conducted in order to finalise the detail of the QAF prior to national implementation on 1 July 2015.</w:t>
            </w:r>
          </w:p>
          <w:p w14:paraId="796A82F2" w14:textId="77777777" w:rsidR="00A82A36" w:rsidRPr="00A82A36" w:rsidRDefault="00A82A36" w:rsidP="00A82A36">
            <w:pPr>
              <w:numPr>
                <w:ilvl w:val="0"/>
                <w:numId w:val="22"/>
              </w:numPr>
              <w:spacing w:line="276" w:lineRule="auto"/>
              <w:ind w:left="597" w:hanging="298"/>
              <w:rPr>
                <w:sz w:val="20"/>
                <w:szCs w:val="20"/>
              </w:rPr>
            </w:pPr>
            <w:r w:rsidRPr="00A82A36">
              <w:rPr>
                <w:sz w:val="20"/>
                <w:szCs w:val="20"/>
              </w:rPr>
              <w:t>The QSP commenced on 1 January 2013, and ran for 15 months to 31 March 2014.</w:t>
            </w:r>
          </w:p>
          <w:p w14:paraId="062E6C23" w14:textId="77777777" w:rsidR="00A82A36" w:rsidRPr="00A82A36" w:rsidRDefault="00A82A36" w:rsidP="00A82A36">
            <w:pPr>
              <w:numPr>
                <w:ilvl w:val="0"/>
                <w:numId w:val="22"/>
              </w:numPr>
              <w:spacing w:line="276" w:lineRule="auto"/>
              <w:ind w:left="597" w:hanging="298"/>
              <w:rPr>
                <w:sz w:val="20"/>
                <w:szCs w:val="20"/>
              </w:rPr>
            </w:pPr>
            <w:r w:rsidRPr="00A82A36">
              <w:rPr>
                <w:sz w:val="20"/>
                <w:szCs w:val="20"/>
              </w:rPr>
              <w:t>The QSP involved accreditation of providers against one of a choice of service delivery quality standards and the eight departmental principles.</w:t>
            </w:r>
          </w:p>
          <w:p w14:paraId="3DF735AF" w14:textId="77777777" w:rsidR="00A82A36" w:rsidRPr="00A82A36" w:rsidRDefault="00A82A36" w:rsidP="00A82A36">
            <w:pPr>
              <w:numPr>
                <w:ilvl w:val="0"/>
                <w:numId w:val="22"/>
              </w:numPr>
              <w:spacing w:after="166" w:line="276" w:lineRule="auto"/>
              <w:ind w:left="597" w:hanging="298"/>
            </w:pPr>
            <w:r w:rsidRPr="00A82A36">
              <w:rPr>
                <w:sz w:val="20"/>
                <w:szCs w:val="20"/>
              </w:rPr>
              <w:t>A separate evaluation of the QSP has been undertaken</w:t>
            </w:r>
            <w:r w:rsidRPr="00A82A36">
              <w:t>.</w:t>
            </w:r>
            <w:r w:rsidRPr="00A82A36">
              <w:rPr>
                <w:vertAlign w:val="superscript"/>
              </w:rPr>
              <w:t>1</w:t>
            </w:r>
          </w:p>
        </w:tc>
      </w:tr>
      <w:tr w:rsidR="00A82A36" w:rsidRPr="00A82A36" w14:paraId="7A17A2BC" w14:textId="77777777" w:rsidTr="00290EF7">
        <w:trPr>
          <w:cantSplit/>
        </w:trPr>
        <w:tc>
          <w:tcPr>
            <w:tcW w:w="1929" w:type="dxa"/>
            <w:tcBorders>
              <w:top w:val="nil"/>
              <w:left w:val="nil"/>
              <w:bottom w:val="nil"/>
              <w:right w:val="nil"/>
            </w:tcBorders>
            <w:shd w:val="clear" w:color="auto" w:fill="E5E5E5" w:themeFill="background1" w:themeFillTint="33"/>
          </w:tcPr>
          <w:p w14:paraId="79125B69" w14:textId="77777777" w:rsidR="00A82A36" w:rsidRPr="00E54A52" w:rsidRDefault="00A82A36" w:rsidP="00E54A52">
            <w:pPr>
              <w:spacing w:line="276" w:lineRule="auto"/>
              <w:rPr>
                <w:sz w:val="20"/>
                <w:szCs w:val="20"/>
              </w:rPr>
            </w:pPr>
            <w:r w:rsidRPr="00E54A52">
              <w:rPr>
                <w:sz w:val="20"/>
                <w:szCs w:val="20"/>
              </w:rPr>
              <w:t>Changes to reduce provider red tape</w:t>
            </w:r>
          </w:p>
          <w:p w14:paraId="5049BED5" w14:textId="77777777" w:rsidR="00A82A36" w:rsidRPr="00E54A52" w:rsidRDefault="00A82A36" w:rsidP="00A82A36">
            <w:pPr>
              <w:spacing w:after="166" w:line="276" w:lineRule="auto"/>
              <w:rPr>
                <w:sz w:val="20"/>
                <w:szCs w:val="20"/>
              </w:rPr>
            </w:pPr>
            <w:r w:rsidRPr="00E54A52">
              <w:rPr>
                <w:b/>
                <w:sz w:val="20"/>
                <w:szCs w:val="20"/>
              </w:rPr>
              <w:t>Chapter Seven</w:t>
            </w:r>
          </w:p>
        </w:tc>
        <w:tc>
          <w:tcPr>
            <w:tcW w:w="7088" w:type="dxa"/>
            <w:tcBorders>
              <w:top w:val="nil"/>
              <w:left w:val="nil"/>
              <w:bottom w:val="nil"/>
              <w:right w:val="nil"/>
            </w:tcBorders>
            <w:shd w:val="clear" w:color="auto" w:fill="E5E5E5" w:themeFill="background1" w:themeFillTint="33"/>
          </w:tcPr>
          <w:p w14:paraId="382ADC9A" w14:textId="602AA4F7" w:rsidR="00A82A36" w:rsidRPr="00E54A52" w:rsidRDefault="00A82A36" w:rsidP="00E54A52">
            <w:pPr>
              <w:numPr>
                <w:ilvl w:val="0"/>
                <w:numId w:val="56"/>
              </w:numPr>
              <w:spacing w:line="276" w:lineRule="auto"/>
              <w:ind w:left="624" w:hanging="298"/>
              <w:rPr>
                <w:sz w:val="20"/>
                <w:szCs w:val="20"/>
              </w:rPr>
            </w:pPr>
            <w:r w:rsidRPr="00E54A52">
              <w:rPr>
                <w:sz w:val="20"/>
                <w:szCs w:val="20"/>
              </w:rPr>
              <w:t>The JSCI process was changed in JSA 2012 so that fewer JSCI assessments were conducted.</w:t>
            </w:r>
          </w:p>
          <w:p w14:paraId="5F5DD703" w14:textId="77777777" w:rsidR="00A82A36" w:rsidRPr="00E54A52" w:rsidRDefault="00A82A36" w:rsidP="00E54A52">
            <w:pPr>
              <w:numPr>
                <w:ilvl w:val="0"/>
                <w:numId w:val="22"/>
              </w:numPr>
              <w:spacing w:line="276" w:lineRule="auto"/>
              <w:ind w:left="597" w:hanging="298"/>
              <w:rPr>
                <w:sz w:val="20"/>
                <w:szCs w:val="20"/>
              </w:rPr>
            </w:pPr>
            <w:r w:rsidRPr="00E54A52">
              <w:rPr>
                <w:sz w:val="20"/>
                <w:szCs w:val="20"/>
              </w:rPr>
              <w:t>A number of documentary evidence requirements regarding job seeker interviews were relaxed in JSA 2012.</w:t>
            </w:r>
          </w:p>
          <w:p w14:paraId="2E0E6A7A" w14:textId="77777777" w:rsidR="00A82A36" w:rsidRPr="00E54A52" w:rsidRDefault="00A82A36" w:rsidP="00A82A36">
            <w:pPr>
              <w:numPr>
                <w:ilvl w:val="0"/>
                <w:numId w:val="22"/>
              </w:numPr>
              <w:spacing w:after="166" w:line="276" w:lineRule="auto"/>
              <w:ind w:left="597" w:hanging="298"/>
              <w:rPr>
                <w:sz w:val="20"/>
                <w:szCs w:val="20"/>
              </w:rPr>
            </w:pPr>
            <w:r w:rsidRPr="00E54A52">
              <w:rPr>
                <w:sz w:val="20"/>
                <w:szCs w:val="20"/>
              </w:rPr>
              <w:t>Providers were no longer required to distinguish between Provider Brokered and Provider Assisted Outcomes.</w:t>
            </w:r>
          </w:p>
        </w:tc>
      </w:tr>
      <w:tr w:rsidR="00A82A36" w:rsidRPr="00A82A36" w14:paraId="2C07647F" w14:textId="77777777" w:rsidTr="00040B63">
        <w:tc>
          <w:tcPr>
            <w:tcW w:w="1929" w:type="dxa"/>
            <w:tcBorders>
              <w:top w:val="nil"/>
              <w:left w:val="nil"/>
              <w:bottom w:val="nil"/>
              <w:right w:val="nil"/>
            </w:tcBorders>
          </w:tcPr>
          <w:p w14:paraId="77CAED05" w14:textId="77777777" w:rsidR="00A82A36" w:rsidRPr="00E54A52" w:rsidRDefault="00A82A36" w:rsidP="00A82A36">
            <w:pPr>
              <w:spacing w:after="166" w:line="276" w:lineRule="auto"/>
              <w:rPr>
                <w:sz w:val="20"/>
                <w:szCs w:val="20"/>
              </w:rPr>
            </w:pPr>
            <w:r w:rsidRPr="00E54A52">
              <w:rPr>
                <w:sz w:val="20"/>
                <w:szCs w:val="20"/>
              </w:rPr>
              <w:t xml:space="preserve">Changes to evidentiary requirements </w:t>
            </w:r>
            <w:r w:rsidRPr="00E54A52">
              <w:rPr>
                <w:b/>
                <w:sz w:val="20"/>
                <w:szCs w:val="20"/>
              </w:rPr>
              <w:t>Chapter Nine</w:t>
            </w:r>
          </w:p>
        </w:tc>
        <w:tc>
          <w:tcPr>
            <w:tcW w:w="7088" w:type="dxa"/>
            <w:tcBorders>
              <w:top w:val="nil"/>
              <w:left w:val="nil"/>
              <w:bottom w:val="nil"/>
              <w:right w:val="nil"/>
            </w:tcBorders>
          </w:tcPr>
          <w:p w14:paraId="3EF3DA38" w14:textId="77777777" w:rsidR="00A82A36" w:rsidRPr="00A82A36" w:rsidRDefault="00A82A36" w:rsidP="00A82A36">
            <w:pPr>
              <w:numPr>
                <w:ilvl w:val="0"/>
                <w:numId w:val="53"/>
              </w:numPr>
              <w:spacing w:after="166" w:line="276" w:lineRule="auto"/>
              <w:ind w:left="597" w:hanging="298"/>
            </w:pPr>
            <w:r w:rsidRPr="00E54A52">
              <w:rPr>
                <w:sz w:val="20"/>
                <w:szCs w:val="20"/>
              </w:rPr>
              <w:t>Evidentiary requirements for the billing of both post-placement support and reverse marketing were tightened</w:t>
            </w:r>
            <w:r w:rsidRPr="00A82A36">
              <w:t>.</w:t>
            </w:r>
            <w:r w:rsidRPr="00A82A36">
              <w:rPr>
                <w:vertAlign w:val="superscript"/>
              </w:rPr>
              <w:t>2,3</w:t>
            </w:r>
          </w:p>
        </w:tc>
      </w:tr>
      <w:tr w:rsidR="00A82A36" w:rsidRPr="00A82A36" w14:paraId="0BE69082" w14:textId="77777777" w:rsidTr="00A82A36">
        <w:tc>
          <w:tcPr>
            <w:tcW w:w="1929" w:type="dxa"/>
            <w:tcBorders>
              <w:top w:val="nil"/>
              <w:left w:val="nil"/>
              <w:bottom w:val="nil"/>
              <w:right w:val="nil"/>
            </w:tcBorders>
            <w:shd w:val="clear" w:color="auto" w:fill="E5E5E5" w:themeFill="background1" w:themeFillTint="33"/>
          </w:tcPr>
          <w:p w14:paraId="32A720EC" w14:textId="77777777" w:rsidR="00A82A36" w:rsidRPr="00E54A52" w:rsidRDefault="00A82A36" w:rsidP="00E54A52">
            <w:pPr>
              <w:spacing w:line="276" w:lineRule="auto"/>
              <w:rPr>
                <w:sz w:val="20"/>
                <w:szCs w:val="20"/>
              </w:rPr>
            </w:pPr>
            <w:r w:rsidRPr="00E54A52">
              <w:rPr>
                <w:sz w:val="20"/>
                <w:szCs w:val="20"/>
              </w:rPr>
              <w:t>Changes to the job seeker participation and compliance framework</w:t>
            </w:r>
          </w:p>
          <w:p w14:paraId="50A6CDD5" w14:textId="77777777" w:rsidR="00A82A36" w:rsidRPr="00E54A52" w:rsidRDefault="00A82A36" w:rsidP="00A82A36">
            <w:pPr>
              <w:spacing w:after="166" w:line="276" w:lineRule="auto"/>
              <w:rPr>
                <w:b/>
                <w:sz w:val="20"/>
                <w:szCs w:val="20"/>
              </w:rPr>
            </w:pPr>
            <w:r w:rsidRPr="00E54A52">
              <w:rPr>
                <w:b/>
                <w:sz w:val="20"/>
                <w:szCs w:val="20"/>
              </w:rPr>
              <w:t>Chapter Seven</w:t>
            </w:r>
          </w:p>
        </w:tc>
        <w:tc>
          <w:tcPr>
            <w:tcW w:w="7088" w:type="dxa"/>
            <w:tcBorders>
              <w:top w:val="nil"/>
              <w:left w:val="nil"/>
              <w:bottom w:val="nil"/>
              <w:right w:val="nil"/>
            </w:tcBorders>
            <w:shd w:val="clear" w:color="auto" w:fill="E5E5E5" w:themeFill="background1" w:themeFillTint="33"/>
          </w:tcPr>
          <w:p w14:paraId="2A3344E3" w14:textId="77777777" w:rsidR="00A82A36" w:rsidRPr="00E54A52" w:rsidRDefault="00A82A36" w:rsidP="00A82A36">
            <w:pPr>
              <w:numPr>
                <w:ilvl w:val="0"/>
                <w:numId w:val="52"/>
              </w:numPr>
              <w:spacing w:after="166" w:line="276" w:lineRule="auto"/>
              <w:ind w:left="597" w:hanging="298"/>
              <w:rPr>
                <w:sz w:val="20"/>
                <w:szCs w:val="20"/>
              </w:rPr>
            </w:pPr>
            <w:r w:rsidRPr="00E54A52">
              <w:rPr>
                <w:sz w:val="20"/>
                <w:szCs w:val="20"/>
              </w:rPr>
              <w:t>This measure was introduced in two stages. These were designed to increase the rate and timeliness of reengagement with services. They were introduced in 2014 and 2015.</w:t>
            </w:r>
          </w:p>
        </w:tc>
      </w:tr>
      <w:tr w:rsidR="00A82A36" w:rsidRPr="00A82A36" w14:paraId="77B2EEB8" w14:textId="77777777" w:rsidTr="00A82A36">
        <w:tc>
          <w:tcPr>
            <w:tcW w:w="1929" w:type="dxa"/>
            <w:tcBorders>
              <w:top w:val="nil"/>
              <w:left w:val="nil"/>
              <w:bottom w:val="single" w:sz="4" w:space="0" w:color="auto"/>
              <w:right w:val="nil"/>
            </w:tcBorders>
          </w:tcPr>
          <w:p w14:paraId="27428F1D" w14:textId="77777777" w:rsidR="00A82A36" w:rsidRPr="00E54A52" w:rsidRDefault="00A82A36" w:rsidP="00E54A52">
            <w:pPr>
              <w:spacing w:line="276" w:lineRule="auto"/>
              <w:rPr>
                <w:sz w:val="20"/>
                <w:szCs w:val="20"/>
              </w:rPr>
            </w:pPr>
            <w:r w:rsidRPr="00E54A52">
              <w:rPr>
                <w:sz w:val="20"/>
                <w:szCs w:val="20"/>
              </w:rPr>
              <w:t>Wage subsidies</w:t>
            </w:r>
          </w:p>
          <w:p w14:paraId="3F7914BE" w14:textId="77777777" w:rsidR="00A82A36" w:rsidRPr="00A82A36" w:rsidRDefault="00A82A36" w:rsidP="00A82A36">
            <w:pPr>
              <w:spacing w:after="166" w:line="276" w:lineRule="auto"/>
              <w:rPr>
                <w:b/>
              </w:rPr>
            </w:pPr>
            <w:r w:rsidRPr="00E54A52">
              <w:rPr>
                <w:b/>
                <w:sz w:val="20"/>
                <w:szCs w:val="20"/>
              </w:rPr>
              <w:t>Chapter Eight</w:t>
            </w:r>
          </w:p>
        </w:tc>
        <w:tc>
          <w:tcPr>
            <w:tcW w:w="7088" w:type="dxa"/>
            <w:tcBorders>
              <w:top w:val="nil"/>
              <w:left w:val="nil"/>
              <w:bottom w:val="single" w:sz="4" w:space="0" w:color="auto"/>
              <w:right w:val="nil"/>
            </w:tcBorders>
          </w:tcPr>
          <w:p w14:paraId="231D8242" w14:textId="77777777" w:rsidR="00A82A36" w:rsidRPr="00E54A52" w:rsidRDefault="00A82A36" w:rsidP="00E54A52">
            <w:pPr>
              <w:numPr>
                <w:ilvl w:val="0"/>
                <w:numId w:val="52"/>
              </w:numPr>
              <w:spacing w:line="276" w:lineRule="auto"/>
              <w:ind w:left="597" w:hanging="298"/>
              <w:rPr>
                <w:sz w:val="20"/>
                <w:szCs w:val="20"/>
              </w:rPr>
            </w:pPr>
            <w:r w:rsidRPr="00E54A52">
              <w:rPr>
                <w:sz w:val="20"/>
                <w:szCs w:val="20"/>
              </w:rPr>
              <w:t>Wage subsidies operated in different forms under both JSA 2009 and JSA 2012.</w:t>
            </w:r>
          </w:p>
          <w:p w14:paraId="3E1AF186" w14:textId="77777777" w:rsidR="00A82A36" w:rsidRPr="00E54A52" w:rsidRDefault="00A82A36" w:rsidP="00E54A52">
            <w:pPr>
              <w:numPr>
                <w:ilvl w:val="0"/>
                <w:numId w:val="52"/>
              </w:numPr>
              <w:spacing w:line="276" w:lineRule="auto"/>
              <w:ind w:left="597" w:hanging="298"/>
              <w:rPr>
                <w:sz w:val="20"/>
                <w:szCs w:val="20"/>
              </w:rPr>
            </w:pPr>
            <w:r w:rsidRPr="00E54A52">
              <w:rPr>
                <w:sz w:val="20"/>
                <w:szCs w:val="20"/>
              </w:rPr>
              <w:t>Their purpose is to encourage employers to recruit, train and retain disadvantaged or other job seekers in employment services. Wage subsidies which operated in the JSA 2012 contract included.</w:t>
            </w:r>
          </w:p>
          <w:p w14:paraId="2AB06976" w14:textId="77777777" w:rsidR="00A82A36" w:rsidRPr="00E54A52" w:rsidRDefault="00A82A36" w:rsidP="00E54A52">
            <w:pPr>
              <w:numPr>
                <w:ilvl w:val="0"/>
                <w:numId w:val="52"/>
              </w:numPr>
              <w:spacing w:line="276" w:lineRule="auto"/>
              <w:ind w:left="597" w:hanging="298"/>
              <w:rPr>
                <w:b/>
                <w:sz w:val="20"/>
                <w:szCs w:val="20"/>
              </w:rPr>
            </w:pPr>
            <w:r w:rsidRPr="00E54A52">
              <w:rPr>
                <w:b/>
                <w:sz w:val="20"/>
                <w:szCs w:val="20"/>
              </w:rPr>
              <w:t>Wage Connect</w:t>
            </w:r>
          </w:p>
          <w:p w14:paraId="4CCAAE28" w14:textId="77777777" w:rsidR="00A82A36" w:rsidRPr="00E54A52" w:rsidRDefault="00A82A36" w:rsidP="00E54A52">
            <w:pPr>
              <w:numPr>
                <w:ilvl w:val="0"/>
                <w:numId w:val="57"/>
              </w:numPr>
              <w:spacing w:line="276" w:lineRule="auto"/>
              <w:ind w:left="896" w:hanging="298"/>
              <w:rPr>
                <w:sz w:val="20"/>
                <w:szCs w:val="20"/>
              </w:rPr>
            </w:pPr>
            <w:r w:rsidRPr="00E54A52">
              <w:rPr>
                <w:sz w:val="20"/>
                <w:szCs w:val="20"/>
              </w:rPr>
              <w:t>became available in JSA and DES on 1 January 2012 under the Building Australia’s Future Workforce (BAFW) package announced in the 2011-12 Budget</w:t>
            </w:r>
          </w:p>
          <w:p w14:paraId="168809A7" w14:textId="77777777" w:rsidR="00A82A36" w:rsidRPr="00E54A52" w:rsidRDefault="00A82A36" w:rsidP="00E54A52">
            <w:pPr>
              <w:numPr>
                <w:ilvl w:val="0"/>
                <w:numId w:val="57"/>
              </w:numPr>
              <w:spacing w:line="276" w:lineRule="auto"/>
              <w:ind w:left="896" w:hanging="298"/>
              <w:rPr>
                <w:sz w:val="20"/>
                <w:szCs w:val="20"/>
              </w:rPr>
            </w:pPr>
            <w:r w:rsidRPr="00E54A52">
              <w:rPr>
                <w:sz w:val="20"/>
                <w:szCs w:val="20"/>
              </w:rPr>
              <w:t>aimed to encourage employers to provide ongoing employment to VLTU job seekers</w:t>
            </w:r>
          </w:p>
          <w:p w14:paraId="7BE70C54" w14:textId="77777777" w:rsidR="00A82A36" w:rsidRPr="00E54A52" w:rsidRDefault="00A82A36" w:rsidP="00E54A52">
            <w:pPr>
              <w:numPr>
                <w:ilvl w:val="0"/>
                <w:numId w:val="57"/>
              </w:numPr>
              <w:spacing w:line="276" w:lineRule="auto"/>
              <w:ind w:left="896" w:hanging="298"/>
              <w:rPr>
                <w:sz w:val="20"/>
                <w:szCs w:val="20"/>
              </w:rPr>
            </w:pPr>
            <w:r w:rsidRPr="00E54A52">
              <w:rPr>
                <w:sz w:val="20"/>
                <w:szCs w:val="20"/>
              </w:rPr>
              <w:t>was available for job placements of at least 26 weeks duration where the employee worked an average of at least 15 hours per week</w:t>
            </w:r>
          </w:p>
          <w:p w14:paraId="69D0E95A" w14:textId="77777777" w:rsidR="00A82A36" w:rsidRPr="00E54A52" w:rsidRDefault="00A82A36" w:rsidP="00E54A52">
            <w:pPr>
              <w:numPr>
                <w:ilvl w:val="0"/>
                <w:numId w:val="57"/>
              </w:numPr>
              <w:spacing w:line="276" w:lineRule="auto"/>
              <w:ind w:left="896" w:hanging="298"/>
              <w:rPr>
                <w:b/>
                <w:sz w:val="20"/>
                <w:szCs w:val="20"/>
              </w:rPr>
            </w:pPr>
            <w:r w:rsidRPr="00E54A52">
              <w:rPr>
                <w:sz w:val="20"/>
                <w:szCs w:val="20"/>
              </w:rPr>
              <w:t>had a value roughly equivalent to the maximum rate of NSA over a 26-week period</w:t>
            </w:r>
          </w:p>
          <w:p w14:paraId="0E94FED6" w14:textId="77777777" w:rsidR="00A82A36" w:rsidRPr="00E54A52" w:rsidRDefault="00A82A36" w:rsidP="00E54A52">
            <w:pPr>
              <w:numPr>
                <w:ilvl w:val="0"/>
                <w:numId w:val="57"/>
              </w:numPr>
              <w:spacing w:line="276" w:lineRule="auto"/>
              <w:ind w:left="896" w:hanging="298"/>
              <w:rPr>
                <w:b/>
                <w:sz w:val="20"/>
                <w:szCs w:val="20"/>
              </w:rPr>
            </w:pPr>
            <w:r w:rsidRPr="00E54A52">
              <w:rPr>
                <w:sz w:val="20"/>
                <w:szCs w:val="20"/>
              </w:rPr>
              <w:t>the employment services provider negotiated a payment schedule, frequency and method suiting the employer’s business arrangements</w:t>
            </w:r>
          </w:p>
          <w:p w14:paraId="050102C1" w14:textId="77777777" w:rsidR="00A82A36" w:rsidRPr="00E54A52" w:rsidRDefault="00A82A36" w:rsidP="003467A8">
            <w:pPr>
              <w:numPr>
                <w:ilvl w:val="0"/>
                <w:numId w:val="52"/>
              </w:numPr>
              <w:spacing w:line="276" w:lineRule="auto"/>
              <w:ind w:left="597" w:hanging="298"/>
              <w:rPr>
                <w:b/>
                <w:sz w:val="20"/>
                <w:szCs w:val="20"/>
              </w:rPr>
            </w:pPr>
            <w:r w:rsidRPr="00E54A52">
              <w:rPr>
                <w:b/>
                <w:sz w:val="20"/>
                <w:szCs w:val="20"/>
              </w:rPr>
              <w:t>Employment Pathway Fund (EPF) wage subsidies</w:t>
            </w:r>
          </w:p>
          <w:p w14:paraId="12D363A2" w14:textId="77777777" w:rsidR="00A82A36" w:rsidRPr="00E54A52" w:rsidRDefault="00A82A36" w:rsidP="00E54A52">
            <w:pPr>
              <w:numPr>
                <w:ilvl w:val="0"/>
                <w:numId w:val="57"/>
              </w:numPr>
              <w:spacing w:line="276" w:lineRule="auto"/>
              <w:ind w:left="896" w:hanging="298"/>
              <w:rPr>
                <w:sz w:val="20"/>
                <w:szCs w:val="20"/>
              </w:rPr>
            </w:pPr>
            <w:r w:rsidRPr="00E54A52">
              <w:rPr>
                <w:sz w:val="20"/>
                <w:szCs w:val="20"/>
              </w:rPr>
              <w:t>parameters were negotiated between provider and employer on a case-by-case basis</w:t>
            </w:r>
          </w:p>
          <w:p w14:paraId="52A1F632" w14:textId="77777777" w:rsidR="00A82A36" w:rsidRPr="00E54A52" w:rsidRDefault="00A82A36" w:rsidP="00E54A52">
            <w:pPr>
              <w:numPr>
                <w:ilvl w:val="0"/>
                <w:numId w:val="57"/>
              </w:numPr>
              <w:spacing w:line="276" w:lineRule="auto"/>
              <w:ind w:left="896" w:hanging="298"/>
              <w:rPr>
                <w:sz w:val="20"/>
                <w:szCs w:val="20"/>
              </w:rPr>
            </w:pPr>
            <w:r w:rsidRPr="00E54A52">
              <w:rPr>
                <w:sz w:val="20"/>
                <w:szCs w:val="20"/>
              </w:rPr>
              <w:t>guidelines stipulated that subsidy duration should be around 26 weeks and must be paid in arrears. The amount of the subsidy should be commensurate with the job seeker’s level of disadvan</w:t>
            </w:r>
            <w:r w:rsidRPr="00A82A36">
              <w:t xml:space="preserve">tage and could not </w:t>
            </w:r>
            <w:r w:rsidRPr="00E54A52">
              <w:rPr>
                <w:sz w:val="20"/>
                <w:szCs w:val="20"/>
              </w:rPr>
              <w:t>exceed 100 per cent of the wage over the subsidy period</w:t>
            </w:r>
          </w:p>
          <w:p w14:paraId="2A6ECCC8" w14:textId="77777777" w:rsidR="00A82A36" w:rsidRPr="00A82A36" w:rsidRDefault="00A82A36" w:rsidP="00E54A52">
            <w:pPr>
              <w:numPr>
                <w:ilvl w:val="0"/>
                <w:numId w:val="57"/>
              </w:numPr>
              <w:spacing w:line="276" w:lineRule="auto"/>
              <w:ind w:left="896" w:hanging="298"/>
            </w:pPr>
            <w:r w:rsidRPr="00E54A52">
              <w:rPr>
                <w:sz w:val="20"/>
                <w:szCs w:val="20"/>
              </w:rPr>
              <w:t>the employer was expected to make a significant contribution towards the employee’s wage to demonstrate their commitment to the employment.</w:t>
            </w:r>
          </w:p>
        </w:tc>
      </w:tr>
    </w:tbl>
    <w:p w14:paraId="4905CF2E" w14:textId="77777777" w:rsidR="00A82A36" w:rsidRPr="00E54A52" w:rsidRDefault="00A82A36" w:rsidP="00727643">
      <w:pPr>
        <w:pStyle w:val="Source"/>
        <w:spacing w:after="0"/>
        <w:rPr>
          <w:b/>
          <w:lang w:val="en-US"/>
        </w:rPr>
      </w:pPr>
      <w:r w:rsidRPr="00E54A52">
        <w:rPr>
          <w:b/>
          <w:lang w:val="en-US"/>
        </w:rPr>
        <w:t>Notes:</w:t>
      </w:r>
    </w:p>
    <w:p w14:paraId="7EE9F6DE" w14:textId="77777777" w:rsidR="00A82A36" w:rsidRPr="00E54A52" w:rsidRDefault="00A82A36" w:rsidP="00E54A52">
      <w:pPr>
        <w:numPr>
          <w:ilvl w:val="0"/>
          <w:numId w:val="220"/>
        </w:numPr>
        <w:spacing w:after="0"/>
        <w:rPr>
          <w:sz w:val="20"/>
          <w:szCs w:val="20"/>
        </w:rPr>
      </w:pPr>
      <w:r w:rsidRPr="00E54A52">
        <w:rPr>
          <w:sz w:val="20"/>
          <w:szCs w:val="20"/>
        </w:rPr>
        <w:t xml:space="preserve">Department of Employment, 2014. </w:t>
      </w:r>
      <w:r w:rsidRPr="00E54A52">
        <w:rPr>
          <w:i/>
          <w:sz w:val="20"/>
          <w:szCs w:val="20"/>
        </w:rPr>
        <w:t>JSA Quality Standards Pilot Evaluation Report</w:t>
      </w:r>
      <w:r w:rsidRPr="00E54A52">
        <w:rPr>
          <w:sz w:val="20"/>
          <w:szCs w:val="20"/>
        </w:rPr>
        <w:t>, Canberra</w:t>
      </w:r>
    </w:p>
    <w:p w14:paraId="70B096B6" w14:textId="77777777" w:rsidR="00A82A36" w:rsidRPr="00E54A52" w:rsidRDefault="00A82A36" w:rsidP="00E54A52">
      <w:pPr>
        <w:numPr>
          <w:ilvl w:val="0"/>
          <w:numId w:val="220"/>
        </w:numPr>
        <w:spacing w:after="0"/>
        <w:rPr>
          <w:sz w:val="20"/>
          <w:szCs w:val="20"/>
        </w:rPr>
      </w:pPr>
      <w:r w:rsidRPr="00E54A52">
        <w:rPr>
          <w:sz w:val="20"/>
          <w:szCs w:val="20"/>
        </w:rPr>
        <w:t>Post-placement support is designed to support job seekers by addressing issues likely to impact the sustainability of an employment or education/training placement.</w:t>
      </w:r>
    </w:p>
    <w:p w14:paraId="4192ABE5" w14:textId="77777777" w:rsidR="00A82A36" w:rsidRPr="00E54A52" w:rsidRDefault="00A82A36" w:rsidP="00E54A52">
      <w:pPr>
        <w:numPr>
          <w:ilvl w:val="0"/>
          <w:numId w:val="220"/>
        </w:numPr>
        <w:spacing w:after="0"/>
        <w:rPr>
          <w:sz w:val="20"/>
          <w:szCs w:val="20"/>
        </w:rPr>
      </w:pPr>
      <w:r w:rsidRPr="00E54A52">
        <w:rPr>
          <w:sz w:val="20"/>
          <w:szCs w:val="20"/>
        </w:rPr>
        <w:t>Reverse marketing encourages providers to actively market job seekers to potential employers where vacancies have not been advertised, and to refer and place job seekers into those jobs. Reverse marketing provides a mechanism to stimulate demand for labour by pre-empting employers’ labour needs before they create a vacancy.</w:t>
      </w:r>
    </w:p>
    <w:p w14:paraId="2E1B32F4" w14:textId="77777777" w:rsidR="00167784" w:rsidRDefault="008C4FD8" w:rsidP="006E205D">
      <w:pPr>
        <w:pStyle w:val="Heading2"/>
        <w:keepNext/>
        <w:numPr>
          <w:ilvl w:val="1"/>
          <w:numId w:val="15"/>
        </w:numPr>
        <w:ind w:left="709"/>
      </w:pPr>
      <w:r>
        <w:tab/>
      </w:r>
      <w:bookmarkStart w:id="88" w:name="_Toc450919327"/>
      <w:bookmarkStart w:id="89" w:name="_Toc22543058"/>
      <w:r w:rsidR="00167784">
        <w:t xml:space="preserve">Policy </w:t>
      </w:r>
      <w:r w:rsidR="003205F4">
        <w:t>c</w:t>
      </w:r>
      <w:r w:rsidR="00167784">
        <w:t>ontext</w:t>
      </w:r>
      <w:bookmarkEnd w:id="88"/>
      <w:bookmarkEnd w:id="89"/>
    </w:p>
    <w:p w14:paraId="647E7588" w14:textId="77777777" w:rsidR="007969CC" w:rsidRDefault="007969CC" w:rsidP="007969CC">
      <w:pPr>
        <w:pStyle w:val="bulletlist0"/>
        <w:tabs>
          <w:tab w:val="clear" w:pos="227"/>
          <w:tab w:val="clear" w:pos="284"/>
        </w:tabs>
        <w:suppressAutoHyphens w:val="0"/>
        <w:autoSpaceDE/>
        <w:autoSpaceDN/>
        <w:adjustRightInd/>
        <w:spacing w:line="276" w:lineRule="auto"/>
        <w:ind w:left="0" w:firstLine="0"/>
        <w:contextualSpacing/>
        <w:textAlignment w:val="auto"/>
      </w:pPr>
      <w:r w:rsidRPr="00BC326C">
        <w:t xml:space="preserve">External factors, such as the general economic climate and social policy changes will affect the performance of </w:t>
      </w:r>
      <w:r w:rsidR="00364746" w:rsidRPr="00BC326C">
        <w:t>employment services</w:t>
      </w:r>
      <w:r w:rsidRPr="00BC326C">
        <w:t>. Where possible, the evaluation use</w:t>
      </w:r>
      <w:r w:rsidR="0031228A" w:rsidRPr="00BC326C">
        <w:t>s</w:t>
      </w:r>
      <w:r w:rsidRPr="00BC326C">
        <w:t xml:space="preserve"> measures and techniques</w:t>
      </w:r>
      <w:r w:rsidR="00C2535B" w:rsidRPr="00BC326C">
        <w:t xml:space="preserve"> (such as regression modelling)</w:t>
      </w:r>
      <w:r w:rsidRPr="00BC326C">
        <w:t xml:space="preserve"> that take these contextual factors into account</w:t>
      </w:r>
      <w:r>
        <w:t>.</w:t>
      </w:r>
    </w:p>
    <w:p w14:paraId="626FD9C4" w14:textId="77777777" w:rsidR="00167784" w:rsidRDefault="00167784" w:rsidP="00364746">
      <w:pPr>
        <w:pStyle w:val="Heading3"/>
      </w:pPr>
      <w:bookmarkStart w:id="90" w:name="_Toc22543059"/>
      <w:r>
        <w:t>1.2.1</w:t>
      </w:r>
      <w:r>
        <w:tab/>
        <w:t xml:space="preserve">The </w:t>
      </w:r>
      <w:r w:rsidR="00CA1DA7">
        <w:t>labour market</w:t>
      </w:r>
      <w:bookmarkEnd w:id="90"/>
    </w:p>
    <w:p w14:paraId="78021B9A" w14:textId="77777777" w:rsidR="007969CC" w:rsidRPr="002B5D93" w:rsidRDefault="007969CC" w:rsidP="007969CC">
      <w:r w:rsidRPr="002B5D93">
        <w:t xml:space="preserve">Employment services programmes </w:t>
      </w:r>
      <w:r>
        <w:t>are subject to</w:t>
      </w:r>
      <w:r w:rsidRPr="002B5D93">
        <w:t xml:space="preserve"> the economic environment in which they operate. </w:t>
      </w:r>
      <w:r w:rsidR="009F0D61">
        <w:t>M</w:t>
      </w:r>
      <w:r w:rsidRPr="002B5D93">
        <w:t xml:space="preserve">acroeconomic conditions affect </w:t>
      </w:r>
      <w:r>
        <w:t xml:space="preserve">both </w:t>
      </w:r>
      <w:r w:rsidR="009F0D61">
        <w:t xml:space="preserve">inflow and outflow from services. Any deterioration in the economic environment will be reflected in increasing number of job seekers entering services </w:t>
      </w:r>
      <w:r w:rsidR="00A27F51">
        <w:t xml:space="preserve">as </w:t>
      </w:r>
      <w:r w:rsidR="009F0D61">
        <w:t xml:space="preserve">they become unemployed. It will also be reflected in fewer </w:t>
      </w:r>
      <w:r w:rsidR="00A27F51">
        <w:t xml:space="preserve">achievable </w:t>
      </w:r>
      <w:r w:rsidR="009F0D61">
        <w:t>outcomes as fewer jobs are available</w:t>
      </w:r>
      <w:r w:rsidRPr="002B5D93">
        <w:t>.</w:t>
      </w:r>
    </w:p>
    <w:p w14:paraId="03E9D644" w14:textId="77777777" w:rsidR="007969CC" w:rsidRPr="003C5A8D" w:rsidRDefault="007969CC" w:rsidP="007969CC">
      <w:pPr>
        <w:spacing w:after="120"/>
        <w:rPr>
          <w:rFonts w:cstheme="minorHAnsi"/>
        </w:rPr>
      </w:pPr>
      <w:r w:rsidRPr="003C5A8D">
        <w:rPr>
          <w:rFonts w:cstheme="minorHAnsi"/>
        </w:rPr>
        <w:t>JSA 2009</w:t>
      </w:r>
      <w:r w:rsidR="003B308A">
        <w:rPr>
          <w:rFonts w:cstheme="minorHAnsi"/>
        </w:rPr>
        <w:t xml:space="preserve"> </w:t>
      </w:r>
      <w:r w:rsidRPr="003C5A8D">
        <w:rPr>
          <w:rFonts w:cstheme="minorHAnsi"/>
        </w:rPr>
        <w:t xml:space="preserve">was introduced against the backdrop of the Global Financial Crisis (GFC), </w:t>
      </w:r>
      <w:r>
        <w:rPr>
          <w:rFonts w:cstheme="minorHAnsi"/>
        </w:rPr>
        <w:t xml:space="preserve">which was </w:t>
      </w:r>
      <w:r w:rsidRPr="003C5A8D">
        <w:rPr>
          <w:rFonts w:cstheme="minorHAnsi"/>
        </w:rPr>
        <w:t>marked by a deterioration in the Australian labour market</w:t>
      </w:r>
      <w:r>
        <w:rPr>
          <w:rFonts w:cstheme="minorHAnsi"/>
        </w:rPr>
        <w:t>. A</w:t>
      </w:r>
      <w:r w:rsidRPr="003C5A8D">
        <w:rPr>
          <w:rFonts w:cstheme="minorHAnsi"/>
        </w:rPr>
        <w:t>t the commencement of JSA 2009</w:t>
      </w:r>
      <w:r w:rsidR="003B308A">
        <w:rPr>
          <w:rFonts w:cstheme="minorHAnsi"/>
        </w:rPr>
        <w:t xml:space="preserve"> </w:t>
      </w:r>
      <w:r w:rsidRPr="003C5A8D">
        <w:rPr>
          <w:rFonts w:cstheme="minorHAnsi"/>
        </w:rPr>
        <w:t>in July</w:t>
      </w:r>
      <w:r>
        <w:t> </w:t>
      </w:r>
      <w:r w:rsidRPr="003C5A8D">
        <w:rPr>
          <w:rFonts w:cstheme="minorHAnsi"/>
        </w:rPr>
        <w:t xml:space="preserve">2009, the unemployment rate had already risen to 5.7 per cent (from </w:t>
      </w:r>
      <w:r>
        <w:rPr>
          <w:rFonts w:cstheme="minorHAnsi"/>
        </w:rPr>
        <w:t>a low of 4.0 per cent in August </w:t>
      </w:r>
      <w:r w:rsidRPr="003C5A8D">
        <w:rPr>
          <w:rFonts w:cstheme="minorHAnsi"/>
        </w:rPr>
        <w:t>2008)</w:t>
      </w:r>
      <w:r>
        <w:rPr>
          <w:rFonts w:cstheme="minorHAnsi"/>
        </w:rPr>
        <w:t>. T</w:t>
      </w:r>
      <w:r w:rsidRPr="003C5A8D">
        <w:rPr>
          <w:rFonts w:cstheme="minorHAnsi"/>
        </w:rPr>
        <w:t xml:space="preserve">he participation rate </w:t>
      </w:r>
      <w:r>
        <w:rPr>
          <w:rFonts w:cstheme="minorHAnsi"/>
        </w:rPr>
        <w:t>was</w:t>
      </w:r>
      <w:r w:rsidRPr="003C5A8D">
        <w:rPr>
          <w:rFonts w:cstheme="minorHAnsi"/>
        </w:rPr>
        <w:t xml:space="preserve"> 65.4 per cent</w:t>
      </w:r>
      <w:r>
        <w:rPr>
          <w:rFonts w:cstheme="minorHAnsi"/>
        </w:rPr>
        <w:t xml:space="preserve"> in July 2009, having fluctuated between 65.4 per cent and 65.7 per cent </w:t>
      </w:r>
      <w:r w:rsidR="003B308A">
        <w:rPr>
          <w:rFonts w:cstheme="minorHAnsi"/>
        </w:rPr>
        <w:t>over</w:t>
      </w:r>
      <w:r>
        <w:rPr>
          <w:rFonts w:cstheme="minorHAnsi"/>
        </w:rPr>
        <w:t xml:space="preserve"> the </w:t>
      </w:r>
      <w:r w:rsidR="00482D67">
        <w:rPr>
          <w:rFonts w:cstheme="minorHAnsi"/>
        </w:rPr>
        <w:t>preceding</w:t>
      </w:r>
      <w:r>
        <w:rPr>
          <w:rFonts w:cstheme="minorHAnsi"/>
        </w:rPr>
        <w:t xml:space="preserve"> 12 month</w:t>
      </w:r>
      <w:r w:rsidR="003B308A">
        <w:rPr>
          <w:rFonts w:cstheme="minorHAnsi"/>
        </w:rPr>
        <w:t>s</w:t>
      </w:r>
      <w:r w:rsidRPr="003C5A8D">
        <w:rPr>
          <w:rFonts w:cstheme="minorHAnsi"/>
        </w:rPr>
        <w:t xml:space="preserve">. </w:t>
      </w:r>
      <w:r>
        <w:rPr>
          <w:rFonts w:cstheme="minorHAnsi"/>
        </w:rPr>
        <w:t>T</w:t>
      </w:r>
      <w:r w:rsidRPr="003C5A8D">
        <w:rPr>
          <w:rFonts w:cstheme="minorHAnsi"/>
        </w:rPr>
        <w:t xml:space="preserve">he Australian labour market displayed remarkable resilience </w:t>
      </w:r>
      <w:r w:rsidR="003B308A">
        <w:rPr>
          <w:rFonts w:cstheme="minorHAnsi"/>
        </w:rPr>
        <w:t>throughout</w:t>
      </w:r>
      <w:r w:rsidRPr="003C5A8D">
        <w:rPr>
          <w:rFonts w:cstheme="minorHAnsi"/>
        </w:rPr>
        <w:t xml:space="preserve"> 2010, with the unemployment rate falling to 4.9 per cent in December 2010, while the participation rate reached a record high of 65.8 per cent in November</w:t>
      </w:r>
      <w:r>
        <w:rPr>
          <w:rFonts w:cstheme="minorHAnsi"/>
        </w:rPr>
        <w:t> </w:t>
      </w:r>
      <w:r w:rsidRPr="003C5A8D">
        <w:rPr>
          <w:rFonts w:cstheme="minorHAnsi"/>
        </w:rPr>
        <w:t>2010</w:t>
      </w:r>
      <w:r>
        <w:rPr>
          <w:rFonts w:cstheme="minorHAnsi"/>
        </w:rPr>
        <w:t xml:space="preserve"> (Figure</w:t>
      </w:r>
      <w:r w:rsidR="00ED2A92">
        <w:rPr>
          <w:rFonts w:cstheme="minorHAnsi"/>
        </w:rPr>
        <w:t> 1.2</w:t>
      </w:r>
      <w:r>
        <w:rPr>
          <w:rFonts w:cstheme="minorHAnsi"/>
        </w:rPr>
        <w:t>)</w:t>
      </w:r>
      <w:r w:rsidRPr="003C5A8D">
        <w:rPr>
          <w:rFonts w:cstheme="minorHAnsi"/>
        </w:rPr>
        <w:t>.</w:t>
      </w:r>
    </w:p>
    <w:p w14:paraId="3CCD90CC" w14:textId="77777777" w:rsidR="007969CC" w:rsidRDefault="007969CC" w:rsidP="007969CC">
      <w:r>
        <w:t xml:space="preserve">From </w:t>
      </w:r>
      <w:r w:rsidRPr="00FB1CA0">
        <w:t>2011-12</w:t>
      </w:r>
      <w:r>
        <w:t xml:space="preserve"> onwards</w:t>
      </w:r>
      <w:r w:rsidRPr="00FB1CA0">
        <w:t xml:space="preserve"> there was a clear slowdown in </w:t>
      </w:r>
      <w:r>
        <w:t xml:space="preserve">the Australian </w:t>
      </w:r>
      <w:r w:rsidRPr="00FB1CA0">
        <w:t>labour market</w:t>
      </w:r>
      <w:r w:rsidR="003B308A">
        <w:t xml:space="preserve">. </w:t>
      </w:r>
      <w:r>
        <w:t>T</w:t>
      </w:r>
      <w:r w:rsidRPr="00FB1CA0">
        <w:t xml:space="preserve">he unemployment rate </w:t>
      </w:r>
      <w:r>
        <w:t>again rose</w:t>
      </w:r>
      <w:r w:rsidRPr="00FB1CA0">
        <w:t xml:space="preserve"> to 5.3 per cent in September 2011 and the participation rate f</w:t>
      </w:r>
      <w:r>
        <w:t>e</w:t>
      </w:r>
      <w:r w:rsidRPr="00FB1CA0">
        <w:t>ll to 65.1 per cent in December 2011</w:t>
      </w:r>
      <w:r>
        <w:t>.</w:t>
      </w:r>
    </w:p>
    <w:p w14:paraId="3538AE63" w14:textId="29D6F5A5" w:rsidR="007969CC" w:rsidRDefault="00F026BC" w:rsidP="002665A6">
      <w:pPr>
        <w:spacing w:after="120"/>
      </w:pPr>
      <w:r w:rsidRPr="003C5A8D">
        <w:rPr>
          <w:rFonts w:cstheme="minorHAnsi"/>
        </w:rPr>
        <w:t xml:space="preserve">Labour market conditions remained reasonably soft throughout </w:t>
      </w:r>
      <w:r>
        <w:rPr>
          <w:rFonts w:cstheme="minorHAnsi"/>
        </w:rPr>
        <w:t xml:space="preserve">the </w:t>
      </w:r>
      <w:r w:rsidRPr="003C5A8D">
        <w:rPr>
          <w:rFonts w:cstheme="minorHAnsi"/>
        </w:rPr>
        <w:t>JSA 2012</w:t>
      </w:r>
      <w:r>
        <w:rPr>
          <w:rFonts w:cstheme="minorHAnsi"/>
        </w:rPr>
        <w:t xml:space="preserve"> contract period</w:t>
      </w:r>
      <w:r w:rsidRPr="003C5A8D">
        <w:rPr>
          <w:rFonts w:cstheme="minorHAnsi"/>
        </w:rPr>
        <w:t xml:space="preserve">. </w:t>
      </w:r>
      <w:r>
        <w:rPr>
          <w:rFonts w:cstheme="minorHAnsi"/>
        </w:rPr>
        <w:t>T</w:t>
      </w:r>
      <w:r w:rsidRPr="003C5A8D">
        <w:rPr>
          <w:rFonts w:cstheme="minorHAnsi"/>
        </w:rPr>
        <w:t>he unemployment rate continued to edge up, rising to 6.</w:t>
      </w:r>
      <w:r>
        <w:rPr>
          <w:rFonts w:cstheme="minorHAnsi"/>
        </w:rPr>
        <w:t>0</w:t>
      </w:r>
      <w:r w:rsidRPr="003C5A8D">
        <w:rPr>
          <w:rFonts w:cstheme="minorHAnsi"/>
        </w:rPr>
        <w:t xml:space="preserve"> per cent in </w:t>
      </w:r>
      <w:r>
        <w:rPr>
          <w:rFonts w:cstheme="minorHAnsi"/>
        </w:rPr>
        <w:t>June 2015</w:t>
      </w:r>
      <w:r w:rsidR="00D34BAF">
        <w:rPr>
          <w:rFonts w:cstheme="minorHAnsi"/>
        </w:rPr>
        <w:t xml:space="preserve">, </w:t>
      </w:r>
      <w:r w:rsidRPr="003C5A8D">
        <w:rPr>
          <w:rFonts w:cstheme="minorHAnsi"/>
        </w:rPr>
        <w:t xml:space="preserve">the equal highest rate since </w:t>
      </w:r>
      <w:r>
        <w:rPr>
          <w:rFonts w:cstheme="minorHAnsi"/>
        </w:rPr>
        <w:t>December 2002</w:t>
      </w:r>
      <w:r w:rsidRPr="003C5A8D">
        <w:rPr>
          <w:rFonts w:cstheme="minorHAnsi"/>
        </w:rPr>
        <w:t xml:space="preserve">. Moreover, the participation rate </w:t>
      </w:r>
      <w:r w:rsidR="00D34BAF">
        <w:rPr>
          <w:rFonts w:cstheme="minorHAnsi"/>
        </w:rPr>
        <w:t>fell</w:t>
      </w:r>
      <w:r w:rsidRPr="003C5A8D">
        <w:rPr>
          <w:rFonts w:cstheme="minorHAnsi"/>
        </w:rPr>
        <w:t xml:space="preserve"> to 64.</w:t>
      </w:r>
      <w:r>
        <w:rPr>
          <w:rFonts w:cstheme="minorHAnsi"/>
        </w:rPr>
        <w:t>8</w:t>
      </w:r>
      <w:r w:rsidRPr="003C5A8D">
        <w:rPr>
          <w:rFonts w:cstheme="minorHAnsi"/>
        </w:rPr>
        <w:t xml:space="preserve"> per cent in </w:t>
      </w:r>
      <w:r>
        <w:rPr>
          <w:rFonts w:cstheme="minorHAnsi"/>
        </w:rPr>
        <w:t xml:space="preserve">June 2015 (from </w:t>
      </w:r>
      <w:r w:rsidRPr="003C5A8D">
        <w:rPr>
          <w:rFonts w:cstheme="minorHAnsi"/>
        </w:rPr>
        <w:t>65.1 per cent</w:t>
      </w:r>
      <w:r>
        <w:rPr>
          <w:rFonts w:cstheme="minorHAnsi"/>
        </w:rPr>
        <w:t xml:space="preserve"> </w:t>
      </w:r>
      <w:r w:rsidRPr="003C5A8D">
        <w:rPr>
          <w:rFonts w:cstheme="minorHAnsi"/>
        </w:rPr>
        <w:t>at the commencement of JSA</w:t>
      </w:r>
      <w:r>
        <w:rPr>
          <w:rFonts w:cstheme="minorHAnsi"/>
        </w:rPr>
        <w:t> </w:t>
      </w:r>
      <w:r w:rsidRPr="003C5A8D">
        <w:rPr>
          <w:rFonts w:cstheme="minorHAnsi"/>
        </w:rPr>
        <w:t>2012</w:t>
      </w:r>
      <w:r>
        <w:rPr>
          <w:rFonts w:cstheme="minorHAnsi"/>
        </w:rPr>
        <w:t>)</w:t>
      </w:r>
      <w:r w:rsidRPr="003C5A8D">
        <w:rPr>
          <w:rFonts w:cstheme="minorHAnsi"/>
        </w:rPr>
        <w:t>.</w:t>
      </w:r>
    </w:p>
    <w:p w14:paraId="5A86E25B" w14:textId="77777777" w:rsidR="007969CC" w:rsidRPr="005172B5" w:rsidRDefault="005879B0" w:rsidP="00EC6C8B">
      <w:pPr>
        <w:pStyle w:val="Figureheadingforcontents"/>
      </w:pPr>
      <w:bookmarkStart w:id="91" w:name="_Toc436400131"/>
      <w:bookmarkStart w:id="92" w:name="_Toc436400261"/>
      <w:bookmarkStart w:id="93" w:name="_Toc443152015"/>
      <w:bookmarkStart w:id="94" w:name="_Toc22544021"/>
      <w:r w:rsidRPr="00DE47F2">
        <w:t>Figure 1.2:</w:t>
      </w:r>
      <w:r>
        <w:t xml:space="preserve"> </w:t>
      </w:r>
      <w:r w:rsidR="007969CC" w:rsidRPr="00DE47F2">
        <w:t xml:space="preserve">Unemployment and participation rates, </w:t>
      </w:r>
      <w:r w:rsidR="008C4FD8">
        <w:t xml:space="preserve">July </w:t>
      </w:r>
      <w:r w:rsidR="007969CC" w:rsidRPr="00DE47F2">
        <w:t xml:space="preserve">2009 to </w:t>
      </w:r>
      <w:r w:rsidR="008C4FD8">
        <w:t xml:space="preserve">June </w:t>
      </w:r>
      <w:r w:rsidR="002F7EB7" w:rsidRPr="00DE47F2">
        <w:t>2015</w:t>
      </w:r>
      <w:r w:rsidR="007969CC" w:rsidRPr="00DE47F2">
        <w:t>, Australia, (seasonally</w:t>
      </w:r>
      <w:r w:rsidR="007969CC" w:rsidRPr="005172B5">
        <w:t xml:space="preserve"> adjusted)</w:t>
      </w:r>
      <w:bookmarkEnd w:id="91"/>
      <w:bookmarkEnd w:id="92"/>
      <w:bookmarkEnd w:id="93"/>
      <w:bookmarkEnd w:id="94"/>
    </w:p>
    <w:p w14:paraId="03A6A776" w14:textId="77777777" w:rsidR="007969CC" w:rsidRPr="00C61EF7" w:rsidRDefault="008F7BB6" w:rsidP="0033478B">
      <w:pPr>
        <w:pStyle w:val="Source"/>
        <w:rPr>
          <w:rStyle w:val="SourceandnotetextChar"/>
        </w:rPr>
      </w:pPr>
      <w:r w:rsidRPr="008F7BB6">
        <w:rPr>
          <w:lang w:eastAsia="en-AU"/>
        </w:rPr>
        <w:drawing>
          <wp:inline distT="0" distB="0" distL="0" distR="0" wp14:anchorId="79E8E009" wp14:editId="69F43959">
            <wp:extent cx="5732145" cy="3971242"/>
            <wp:effectExtent l="0" t="0" r="1905" b="0"/>
            <wp:docPr id="230" name="Picture 230" descr="Line chart showing data discussed in the previous discussion, that during JSA 2012 the unemployment rate increased, rising to 6.0 per cent in June 2015 and the participation rate f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145" cy="3971242"/>
                    </a:xfrm>
                    <a:prstGeom prst="rect">
                      <a:avLst/>
                    </a:prstGeom>
                    <a:noFill/>
                    <a:ln>
                      <a:noFill/>
                    </a:ln>
                  </pic:spPr>
                </pic:pic>
              </a:graphicData>
            </a:graphic>
          </wp:inline>
        </w:drawing>
      </w:r>
      <w:r w:rsidR="007969CC" w:rsidRPr="00C61EF7">
        <w:rPr>
          <w:b/>
          <w:szCs w:val="18"/>
        </w:rPr>
        <w:t>Source</w:t>
      </w:r>
      <w:r w:rsidR="007969CC" w:rsidRPr="00C61EF7">
        <w:rPr>
          <w:b/>
        </w:rPr>
        <w:t>:</w:t>
      </w:r>
      <w:r w:rsidR="00C61EF7" w:rsidRPr="00C61EF7">
        <w:rPr>
          <w:rStyle w:val="SourceandnotetextChar"/>
        </w:rPr>
        <w:t xml:space="preserve"> </w:t>
      </w:r>
      <w:r w:rsidR="007969CC" w:rsidRPr="00C61EF7">
        <w:rPr>
          <w:rStyle w:val="SourceandnotetextChar"/>
        </w:rPr>
        <w:t xml:space="preserve">Australian Bureau of Statistics, </w:t>
      </w:r>
      <w:r w:rsidR="00647F5E" w:rsidRPr="00C61EF7">
        <w:rPr>
          <w:rStyle w:val="SourceandnotetextChar"/>
        </w:rPr>
        <w:t xml:space="preserve">October 2015, </w:t>
      </w:r>
      <w:r w:rsidR="007969CC" w:rsidRPr="00C61EF7">
        <w:rPr>
          <w:rStyle w:val="SourceandnotetextChar"/>
        </w:rPr>
        <w:t xml:space="preserve">Labour Force Australia, </w:t>
      </w:r>
      <w:r w:rsidR="002F7EB7" w:rsidRPr="00C61EF7">
        <w:rPr>
          <w:rStyle w:val="SourceandnotetextChar"/>
        </w:rPr>
        <w:t>'Table 01. Labour force status by sex, Australia - trend, seasonally adjusted and original’, tim</w:t>
      </w:r>
      <w:r w:rsidR="00647F5E" w:rsidRPr="00C61EF7">
        <w:rPr>
          <w:rStyle w:val="SourceandnotetextChar"/>
        </w:rPr>
        <w:t xml:space="preserve">e series spreadsheet, cat. No. </w:t>
      </w:r>
      <w:r w:rsidR="002F7EB7" w:rsidRPr="00C61EF7">
        <w:rPr>
          <w:rStyle w:val="SourceandnotetextChar"/>
        </w:rPr>
        <w:t>6202.0</w:t>
      </w:r>
      <w:r w:rsidR="005879B0" w:rsidRPr="00C61EF7">
        <w:rPr>
          <w:rStyle w:val="SourceandnotetextChar"/>
        </w:rPr>
        <w:t>.</w:t>
      </w:r>
    </w:p>
    <w:p w14:paraId="2B730AA6" w14:textId="77777777" w:rsidR="007969CC" w:rsidRDefault="007969CC" w:rsidP="00C61EF7">
      <w:pPr>
        <w:spacing w:before="120" w:after="120"/>
        <w:rPr>
          <w:rFonts w:cstheme="minorHAnsi"/>
        </w:rPr>
      </w:pPr>
      <w:r w:rsidRPr="003C5A8D">
        <w:rPr>
          <w:rFonts w:cstheme="minorHAnsi"/>
        </w:rPr>
        <w:t>A number of factors likely influenced movements in the participation rate over recent years, including the ‘discouraged worker’ effect</w:t>
      </w:r>
      <w:r>
        <w:rPr>
          <w:rStyle w:val="FootnoteReference"/>
          <w:rFonts w:cstheme="minorHAnsi"/>
        </w:rPr>
        <w:footnoteReference w:id="11"/>
      </w:r>
      <w:r w:rsidRPr="003C5A8D">
        <w:rPr>
          <w:rFonts w:cstheme="minorHAnsi"/>
        </w:rPr>
        <w:t xml:space="preserve"> and the ageing of the first tranche of the baby boomer </w:t>
      </w:r>
      <w:r w:rsidR="005879B0" w:rsidRPr="003C5A8D">
        <w:rPr>
          <w:rFonts w:cstheme="minorHAnsi"/>
        </w:rPr>
        <w:t>population</w:t>
      </w:r>
      <w:r>
        <w:rPr>
          <w:rFonts w:cstheme="minorHAnsi"/>
        </w:rPr>
        <w:t>.</w:t>
      </w:r>
    </w:p>
    <w:p w14:paraId="776C3F4B" w14:textId="77777777" w:rsidR="007969CC" w:rsidRPr="003C5A8D" w:rsidRDefault="007969CC" w:rsidP="007969CC">
      <w:pPr>
        <w:spacing w:after="120"/>
        <w:rPr>
          <w:rFonts w:cstheme="minorHAnsi"/>
        </w:rPr>
      </w:pPr>
      <w:r>
        <w:t xml:space="preserve">The effect of macroeconomic conditions on the performance of employment services is further demonstrated by the strong alignment </w:t>
      </w:r>
      <w:r w:rsidR="005879B0">
        <w:t xml:space="preserve">between </w:t>
      </w:r>
      <w:r w:rsidR="005879B0" w:rsidRPr="008C74C6">
        <w:t xml:space="preserve">the </w:t>
      </w:r>
      <w:r w:rsidR="00F82C6A">
        <w:t xml:space="preserve">monthly movements in the </w:t>
      </w:r>
      <w:r w:rsidR="005879B0" w:rsidRPr="008C74C6">
        <w:t>number of JSA job placements and the number of advertised jobs from September 2009</w:t>
      </w:r>
      <w:r w:rsidR="005879B0">
        <w:t xml:space="preserve"> to March 2015 (</w:t>
      </w:r>
      <w:r w:rsidR="005879B0" w:rsidRPr="008C74C6">
        <w:t xml:space="preserve">Figure </w:t>
      </w:r>
      <w:r w:rsidR="005879B0">
        <w:t>1.3)</w:t>
      </w:r>
      <w:r w:rsidR="00750FA4">
        <w:t>.</w:t>
      </w:r>
      <w:r w:rsidR="005879B0">
        <w:t xml:space="preserve"> </w:t>
      </w:r>
      <w:r>
        <w:t xml:space="preserve">As illustrated, trends in job placements in employment services closely mirror advertised job vacancies. Given this, the impact of the macroeconomic environment on the </w:t>
      </w:r>
      <w:r w:rsidRPr="008C74C6">
        <w:t>performance of employment services cannot be over</w:t>
      </w:r>
      <w:r>
        <w:t>look</w:t>
      </w:r>
      <w:r w:rsidRPr="008C74C6">
        <w:t>ed</w:t>
      </w:r>
      <w:r>
        <w:t>. Wh</w:t>
      </w:r>
      <w:r w:rsidRPr="008C74C6">
        <w:t xml:space="preserve">ere possible in this report, macroeconomic conditions are </w:t>
      </w:r>
      <w:r>
        <w:t>taken into account through</w:t>
      </w:r>
      <w:r w:rsidRPr="008C74C6">
        <w:t xml:space="preserve"> </w:t>
      </w:r>
      <w:r>
        <w:t>regression analyses</w:t>
      </w:r>
      <w:r w:rsidRPr="008C74C6">
        <w:t>.</w:t>
      </w:r>
    </w:p>
    <w:p w14:paraId="0EC51AE8" w14:textId="77777777" w:rsidR="00D712A1" w:rsidRDefault="007969CC" w:rsidP="00DE47F2">
      <w:pPr>
        <w:pStyle w:val="Figureheadingforcontents"/>
      </w:pPr>
      <w:bookmarkStart w:id="95" w:name="_Toc436400132"/>
      <w:bookmarkStart w:id="96" w:name="_Toc436400262"/>
      <w:bookmarkStart w:id="97" w:name="_Toc22544022"/>
      <w:bookmarkStart w:id="98" w:name="_Toc443152016"/>
      <w:r w:rsidRPr="005172B5">
        <w:t xml:space="preserve">Figure </w:t>
      </w:r>
      <w:r w:rsidR="00284D35" w:rsidRPr="005172B5">
        <w:t>1.3</w:t>
      </w:r>
      <w:r w:rsidR="00CF00FC">
        <w:t>:</w:t>
      </w:r>
      <w:r w:rsidR="007752F6">
        <w:t xml:space="preserve"> </w:t>
      </w:r>
      <w:r w:rsidR="00D712A1" w:rsidRPr="005172B5">
        <w:t>Internet job advertisements</w:t>
      </w:r>
      <w:r w:rsidR="00D712A1" w:rsidRPr="005172B5" w:rsidDel="00D712A1">
        <w:t xml:space="preserve"> </w:t>
      </w:r>
      <w:r w:rsidRPr="005172B5">
        <w:t xml:space="preserve">and number of </w:t>
      </w:r>
      <w:r w:rsidR="00D712A1" w:rsidRPr="005172B5">
        <w:t xml:space="preserve">job placements by employment services </w:t>
      </w:r>
      <w:r w:rsidR="00D712A1">
        <w:t>September</w:t>
      </w:r>
      <w:r w:rsidR="00D712A1" w:rsidRPr="005172B5">
        <w:t xml:space="preserve"> </w:t>
      </w:r>
      <w:r w:rsidRPr="005172B5">
        <w:t>2009 to March 201</w:t>
      </w:r>
      <w:r w:rsidR="00D712A1">
        <w:t>5</w:t>
      </w:r>
      <w:bookmarkEnd w:id="95"/>
      <w:bookmarkEnd w:id="96"/>
      <w:r w:rsidR="00640731">
        <w:t xml:space="preserve"> (number)</w:t>
      </w:r>
      <w:bookmarkEnd w:id="97"/>
    </w:p>
    <w:bookmarkEnd w:id="98"/>
    <w:p w14:paraId="3AA5F718" w14:textId="77777777" w:rsidR="007969CC" w:rsidRPr="00640731" w:rsidRDefault="008F7BB6" w:rsidP="0033478B">
      <w:pPr>
        <w:pStyle w:val="Source"/>
      </w:pPr>
      <w:r w:rsidRPr="008F7BB6">
        <w:rPr>
          <w:lang w:eastAsia="en-AU"/>
        </w:rPr>
        <w:drawing>
          <wp:inline distT="0" distB="0" distL="0" distR="0" wp14:anchorId="557B4C03" wp14:editId="761FEA6D">
            <wp:extent cx="5732145" cy="3616831"/>
            <wp:effectExtent l="0" t="0" r="1905" b="3175"/>
            <wp:docPr id="231" name="Picture 231" descr="Line chart showing strong alignment between movements in job placements in employment services and advertised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2145" cy="3616831"/>
                    </a:xfrm>
                    <a:prstGeom prst="rect">
                      <a:avLst/>
                    </a:prstGeom>
                    <a:noFill/>
                    <a:ln>
                      <a:noFill/>
                    </a:ln>
                  </pic:spPr>
                </pic:pic>
              </a:graphicData>
            </a:graphic>
          </wp:inline>
        </w:drawing>
      </w:r>
      <w:r w:rsidR="007969CC" w:rsidRPr="00640731">
        <w:rPr>
          <w:b/>
        </w:rPr>
        <w:t>Source</w:t>
      </w:r>
      <w:r w:rsidR="007969CC" w:rsidRPr="00640731">
        <w:t xml:space="preserve">: </w:t>
      </w:r>
      <w:r w:rsidR="007969CC" w:rsidRPr="00640731">
        <w:rPr>
          <w:rStyle w:val="SourceandnotetextChar"/>
        </w:rPr>
        <w:t xml:space="preserve">Department of Employment, Vacancy Report and Job Services Australia administrative data, </w:t>
      </w:r>
      <w:r w:rsidR="00A12E8A">
        <w:rPr>
          <w:rStyle w:val="SourceandnotetextChar"/>
        </w:rPr>
        <w:t xml:space="preserve">December 2015, </w:t>
      </w:r>
      <w:r w:rsidR="007969CC" w:rsidRPr="00640731">
        <w:rPr>
          <w:rStyle w:val="SourceandnotetextChar"/>
        </w:rPr>
        <w:t xml:space="preserve"> three month averages of original data</w:t>
      </w:r>
      <w:r w:rsidR="007969CC" w:rsidRPr="00640731">
        <w:t>.</w:t>
      </w:r>
    </w:p>
    <w:p w14:paraId="0C053222" w14:textId="2D89CC32" w:rsidR="007969CC" w:rsidRDefault="00F43AD8" w:rsidP="007969CC">
      <w:pPr>
        <w:pStyle w:val="Heading3"/>
      </w:pPr>
      <w:bookmarkStart w:id="99" w:name="_Toc22543060"/>
      <w:r>
        <w:t>1.2.2</w:t>
      </w:r>
      <w:r w:rsidR="007969CC">
        <w:tab/>
      </w:r>
      <w:r w:rsidR="00484286">
        <w:t xml:space="preserve">JSA 2012 </w:t>
      </w:r>
      <w:r w:rsidR="003C7EBE">
        <w:t>p</w:t>
      </w:r>
      <w:r w:rsidR="007969CC">
        <w:t>olicy and programme c</w:t>
      </w:r>
      <w:r w:rsidR="007969CC" w:rsidRPr="00501B5A">
        <w:t>ontext</w:t>
      </w:r>
      <w:bookmarkEnd w:id="99"/>
    </w:p>
    <w:p w14:paraId="3E60F0BC" w14:textId="214E8643" w:rsidR="00A62584" w:rsidRDefault="00F82C6A" w:rsidP="00A62F06">
      <w:pPr>
        <w:pStyle w:val="bullet"/>
        <w:numPr>
          <w:ilvl w:val="0"/>
          <w:numId w:val="0"/>
        </w:numPr>
      </w:pPr>
      <w:r>
        <w:t>The comparability of the study populations are affected by the programme and policy differences between the timeframes. The m</w:t>
      </w:r>
      <w:r w:rsidR="00364746">
        <w:t>ajor factors</w:t>
      </w:r>
      <w:r w:rsidR="00B42E47">
        <w:t xml:space="preserve"> </w:t>
      </w:r>
      <w:r>
        <w:t xml:space="preserve">which affect comparability </w:t>
      </w:r>
      <w:r w:rsidR="00B42E47">
        <w:t>and their impact</w:t>
      </w:r>
      <w:r>
        <w:t xml:space="preserve">s </w:t>
      </w:r>
      <w:r w:rsidR="00B42E47">
        <w:t xml:space="preserve">are shown </w:t>
      </w:r>
      <w:r w:rsidR="00482D67">
        <w:t xml:space="preserve">in </w:t>
      </w:r>
      <w:r w:rsidR="00B42E47">
        <w:t>Table 1.2.</w:t>
      </w:r>
    </w:p>
    <w:p w14:paraId="36ECCDC7" w14:textId="3006B6DD" w:rsidR="00467C94" w:rsidRDefault="00467C94" w:rsidP="00467C94">
      <w:pPr>
        <w:pStyle w:val="Tableforcontents"/>
      </w:pPr>
      <w:bookmarkStart w:id="100" w:name="_Toc22543967"/>
      <w:r w:rsidRPr="00940174">
        <w:t xml:space="preserve">Table </w:t>
      </w:r>
      <w:r>
        <w:t xml:space="preserve">1.2: </w:t>
      </w:r>
      <w:r w:rsidRPr="004D6525">
        <w:t>Programmes/Measures which may have affected the comparability of the performance of employment services</w:t>
      </w:r>
      <w:bookmarkEnd w:id="10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9"/>
      </w:tblGrid>
      <w:tr w:rsidR="00051584" w:rsidRPr="00506F69" w14:paraId="4DA7A98B" w14:textId="77777777" w:rsidTr="00F93877">
        <w:trPr>
          <w:tblHeader/>
        </w:trPr>
        <w:tc>
          <w:tcPr>
            <w:tcW w:w="1838" w:type="dxa"/>
            <w:shd w:val="clear" w:color="auto" w:fill="165788" w:themeFill="text2"/>
          </w:tcPr>
          <w:p w14:paraId="0BCCECD8" w14:textId="567950DF" w:rsidR="00051584" w:rsidRPr="00506F69" w:rsidRDefault="00051584" w:rsidP="00467C94">
            <w:pPr>
              <w:pStyle w:val="Tableforcontents"/>
              <w:tabs>
                <w:tab w:val="clear" w:pos="1134"/>
                <w:tab w:val="left" w:pos="941"/>
              </w:tabs>
              <w:rPr>
                <w:rStyle w:val="tableheading"/>
              </w:rPr>
            </w:pPr>
            <w:bookmarkStart w:id="101" w:name="_Toc514424264"/>
            <w:bookmarkStart w:id="102" w:name="_Toc22543968"/>
            <w:r w:rsidRPr="00506F69">
              <w:rPr>
                <w:rStyle w:val="tableheading"/>
              </w:rPr>
              <w:t>Program/Policy</w:t>
            </w:r>
            <w:bookmarkEnd w:id="101"/>
            <w:bookmarkEnd w:id="102"/>
          </w:p>
        </w:tc>
        <w:tc>
          <w:tcPr>
            <w:tcW w:w="7179" w:type="dxa"/>
            <w:shd w:val="clear" w:color="auto" w:fill="165788" w:themeFill="text2"/>
          </w:tcPr>
          <w:p w14:paraId="4FA6D0DE" w14:textId="1FDFA40E" w:rsidR="00051584" w:rsidRPr="00956B9F" w:rsidRDefault="00051584" w:rsidP="00913D5E">
            <w:pPr>
              <w:pStyle w:val="Tableforcontents"/>
              <w:tabs>
                <w:tab w:val="clear" w:pos="1134"/>
                <w:tab w:val="left" w:pos="941"/>
              </w:tabs>
            </w:pPr>
            <w:bookmarkStart w:id="103" w:name="_Toc514424265"/>
            <w:bookmarkStart w:id="104" w:name="_Toc22543969"/>
            <w:r w:rsidRPr="00913D5E">
              <w:rPr>
                <w:rStyle w:val="tableheading"/>
              </w:rPr>
              <w:t>Definition</w:t>
            </w:r>
            <w:bookmarkEnd w:id="103"/>
            <w:bookmarkEnd w:id="104"/>
          </w:p>
        </w:tc>
      </w:tr>
      <w:tr w:rsidR="00051584" w14:paraId="2E1F9EA9" w14:textId="77777777" w:rsidTr="00040B63">
        <w:tc>
          <w:tcPr>
            <w:tcW w:w="1838" w:type="dxa"/>
            <w:tcBorders>
              <w:bottom w:val="nil"/>
            </w:tcBorders>
          </w:tcPr>
          <w:p w14:paraId="34200B9E" w14:textId="1C1D7E6C" w:rsidR="00051584" w:rsidRPr="00F93877" w:rsidRDefault="00051584" w:rsidP="00956B9F">
            <w:pPr>
              <w:pStyle w:val="BodyText"/>
            </w:pPr>
            <w:bookmarkStart w:id="105" w:name="_Toc514424266"/>
            <w:r w:rsidRPr="00F93877">
              <w:t>Remote Jobs and Communities Programme (RJCP)</w:t>
            </w:r>
            <w:bookmarkEnd w:id="105"/>
          </w:p>
        </w:tc>
        <w:tc>
          <w:tcPr>
            <w:tcW w:w="7179" w:type="dxa"/>
            <w:tcBorders>
              <w:bottom w:val="nil"/>
            </w:tcBorders>
          </w:tcPr>
          <w:p w14:paraId="2DF92DF8" w14:textId="67478F81" w:rsidR="00051584" w:rsidRPr="00F93877" w:rsidRDefault="00051584" w:rsidP="00F93877">
            <w:pPr>
              <w:pStyle w:val="BodyText"/>
              <w:numPr>
                <w:ilvl w:val="0"/>
                <w:numId w:val="305"/>
              </w:numPr>
              <w:spacing w:after="0"/>
              <w:ind w:left="258" w:hanging="298"/>
            </w:pPr>
            <w:bookmarkStart w:id="106" w:name="_Toc514424267"/>
            <w:r w:rsidRPr="00F93877">
              <w:t xml:space="preserve">RJCP replaced many different employment services including JSA in 60 remote regions on </w:t>
            </w:r>
            <w:r w:rsidR="00C84926" w:rsidRPr="00F93877">
              <w:t xml:space="preserve">1 </w:t>
            </w:r>
            <w:r w:rsidRPr="00F93877">
              <w:t>July 2013 for job seekers living in remote servicing regions</w:t>
            </w:r>
            <w:r w:rsidR="00260CAF" w:rsidRPr="00F93877">
              <w:t>.</w:t>
            </w:r>
            <w:r w:rsidR="00260CAF" w:rsidRPr="00956B9F">
              <w:rPr>
                <w:rFonts w:eastAsiaTheme="minorEastAsia" w:cstheme="minorBidi"/>
                <w:szCs w:val="20"/>
                <w:vertAlign w:val="superscript"/>
                <w:lang w:eastAsia="en-US"/>
              </w:rPr>
              <w:t>1,2</w:t>
            </w:r>
            <w:bookmarkEnd w:id="106"/>
          </w:p>
          <w:p w14:paraId="5F3072EF" w14:textId="77777777" w:rsidR="002C05BD" w:rsidRPr="00F93877" w:rsidRDefault="00051584" w:rsidP="00F93877">
            <w:pPr>
              <w:pStyle w:val="BodyText"/>
              <w:numPr>
                <w:ilvl w:val="0"/>
                <w:numId w:val="305"/>
              </w:numPr>
              <w:spacing w:after="0"/>
              <w:ind w:left="258" w:hanging="298"/>
            </w:pPr>
            <w:r w:rsidRPr="00F93877">
              <w:t>designed to provide greater opportunities to gain local employment and skills that match local jobs</w:t>
            </w:r>
          </w:p>
          <w:p w14:paraId="4C6A893C" w14:textId="61A11BCB" w:rsidR="00051584" w:rsidRPr="00F93877" w:rsidRDefault="00051584" w:rsidP="00F93877">
            <w:pPr>
              <w:pStyle w:val="BodyText"/>
              <w:numPr>
                <w:ilvl w:val="0"/>
                <w:numId w:val="305"/>
              </w:numPr>
              <w:spacing w:after="0"/>
              <w:ind w:left="258" w:hanging="298"/>
            </w:pPr>
            <w:r w:rsidRPr="00F93877">
              <w:t>substantially changed the type of job seekers using JSA for some cohorts (eg: Indigenous). Job seekers residing in any of the 60 RJCP regions were excluded from the study groups for both JSA 2009 and JSA 2012 in this</w:t>
            </w:r>
            <w:r w:rsidR="002C05BD" w:rsidRPr="00F93877">
              <w:t xml:space="preserve"> evaluation</w:t>
            </w:r>
            <w:r w:rsidR="00260CAF" w:rsidRPr="00F93877">
              <w:t>.</w:t>
            </w:r>
            <w:r w:rsidR="00260CAF" w:rsidRPr="00956B9F">
              <w:rPr>
                <w:rFonts w:eastAsiaTheme="minorEastAsia" w:cstheme="minorBidi"/>
                <w:szCs w:val="20"/>
                <w:vertAlign w:val="superscript"/>
                <w:lang w:eastAsia="en-US"/>
              </w:rPr>
              <w:t>3</w:t>
            </w:r>
          </w:p>
        </w:tc>
      </w:tr>
      <w:tr w:rsidR="00051584" w14:paraId="06901843" w14:textId="77777777" w:rsidTr="00040B63">
        <w:tc>
          <w:tcPr>
            <w:tcW w:w="1838" w:type="dxa"/>
            <w:tcBorders>
              <w:top w:val="nil"/>
              <w:bottom w:val="nil"/>
            </w:tcBorders>
            <w:shd w:val="clear" w:color="auto" w:fill="E5E5E5" w:themeFill="background1" w:themeFillTint="33"/>
          </w:tcPr>
          <w:p w14:paraId="0E168766" w14:textId="523AC9F5" w:rsidR="00051584" w:rsidRPr="002C05BD" w:rsidRDefault="002C05BD" w:rsidP="00861BD8">
            <w:pPr>
              <w:pStyle w:val="BodyText"/>
              <w:spacing w:after="99"/>
              <w:rPr>
                <w:b/>
                <w:i/>
              </w:rPr>
            </w:pPr>
            <w:r w:rsidRPr="002C05BD">
              <w:t>Welfare system</w:t>
            </w:r>
            <w:r>
              <w:t xml:space="preserve"> changes</w:t>
            </w:r>
          </w:p>
        </w:tc>
        <w:tc>
          <w:tcPr>
            <w:tcW w:w="7179" w:type="dxa"/>
            <w:tcBorders>
              <w:top w:val="nil"/>
              <w:bottom w:val="nil"/>
            </w:tcBorders>
            <w:shd w:val="clear" w:color="auto" w:fill="E5E5E5" w:themeFill="background1" w:themeFillTint="33"/>
          </w:tcPr>
          <w:p w14:paraId="1B50F0F7" w14:textId="1D4C9165" w:rsidR="00051584" w:rsidRPr="002C05BD" w:rsidRDefault="002C05BD" w:rsidP="00260CAF">
            <w:pPr>
              <w:pStyle w:val="BodyText"/>
              <w:numPr>
                <w:ilvl w:val="0"/>
                <w:numId w:val="305"/>
              </w:numPr>
              <w:spacing w:after="0"/>
              <w:ind w:left="258" w:hanging="298"/>
              <w:rPr>
                <w:b/>
                <w:i/>
              </w:rPr>
            </w:pPr>
            <w:r>
              <w:t xml:space="preserve">The </w:t>
            </w:r>
            <w:r w:rsidRPr="002F6CC4">
              <w:t xml:space="preserve">tightening of eligibility and participation requirements for PP and the Disability Support Pension (DSP) </w:t>
            </w:r>
            <w:r w:rsidR="00C84926" w:rsidRPr="002F6CC4">
              <w:t>ha</w:t>
            </w:r>
            <w:r w:rsidR="00C84926">
              <w:t>d</w:t>
            </w:r>
            <w:r w:rsidR="00C84926" w:rsidRPr="002F6CC4">
              <w:t xml:space="preserve"> </w:t>
            </w:r>
            <w:r w:rsidRPr="002F6CC4">
              <w:t>continuing cumulative effects on the caseload</w:t>
            </w:r>
            <w:r>
              <w:t xml:space="preserve"> composition</w:t>
            </w:r>
            <w:r w:rsidR="00260CAF">
              <w:t>.</w:t>
            </w:r>
          </w:p>
          <w:p w14:paraId="10D0D44A" w14:textId="77777777" w:rsidR="002C05BD" w:rsidRDefault="002C05BD" w:rsidP="007840D5">
            <w:pPr>
              <w:pStyle w:val="ListBullet2"/>
              <w:numPr>
                <w:ilvl w:val="1"/>
                <w:numId w:val="305"/>
              </w:numPr>
              <w:spacing w:after="99"/>
              <w:ind w:left="977" w:hanging="298"/>
              <w:rPr>
                <w:sz w:val="20"/>
                <w:szCs w:val="20"/>
              </w:rPr>
            </w:pPr>
            <w:r w:rsidRPr="002F6CC4">
              <w:rPr>
                <w:sz w:val="20"/>
                <w:szCs w:val="20"/>
              </w:rPr>
              <w:t xml:space="preserve">from 3 September 2011 DSP applicants who did not have a severe impairment were required to provide sufficient evidence that they </w:t>
            </w:r>
            <w:r>
              <w:rPr>
                <w:sz w:val="20"/>
                <w:szCs w:val="20"/>
              </w:rPr>
              <w:t>we</w:t>
            </w:r>
            <w:r w:rsidRPr="002F6CC4">
              <w:rPr>
                <w:sz w:val="20"/>
                <w:szCs w:val="20"/>
              </w:rPr>
              <w:t xml:space="preserve">re unable to work independently, even with assistance and support. Claims for those without such evidence were rejected in the first instance and referred to employment services, and typically placed on </w:t>
            </w:r>
            <w:r>
              <w:rPr>
                <w:sz w:val="20"/>
                <w:szCs w:val="20"/>
              </w:rPr>
              <w:t>NS</w:t>
            </w:r>
            <w:r w:rsidRPr="002F6CC4">
              <w:rPr>
                <w:sz w:val="20"/>
                <w:szCs w:val="20"/>
              </w:rPr>
              <w:t>A</w:t>
            </w:r>
          </w:p>
          <w:p w14:paraId="11550AE8" w14:textId="52D5211B" w:rsidR="002C05BD" w:rsidRPr="002C05BD" w:rsidRDefault="002C05BD" w:rsidP="007840D5">
            <w:pPr>
              <w:pStyle w:val="ListBullet2"/>
              <w:numPr>
                <w:ilvl w:val="1"/>
                <w:numId w:val="305"/>
              </w:numPr>
              <w:spacing w:after="99"/>
              <w:ind w:left="977" w:hanging="298"/>
              <w:rPr>
                <w:sz w:val="20"/>
                <w:szCs w:val="20"/>
              </w:rPr>
            </w:pPr>
            <w:r w:rsidRPr="002F6CC4">
              <w:rPr>
                <w:sz w:val="20"/>
                <w:szCs w:val="20"/>
              </w:rPr>
              <w:t xml:space="preserve">from </w:t>
            </w:r>
            <w:r w:rsidRPr="002F6CC4">
              <w:rPr>
                <w:rFonts w:eastAsia="Times New Roman"/>
                <w:sz w:val="20"/>
                <w:szCs w:val="20"/>
              </w:rPr>
              <w:t xml:space="preserve">January 2013, </w:t>
            </w:r>
            <w:r w:rsidRPr="002F6CC4">
              <w:rPr>
                <w:sz w:val="20"/>
                <w:szCs w:val="20"/>
              </w:rPr>
              <w:t>eligibility for PP</w:t>
            </w:r>
            <w:r>
              <w:rPr>
                <w:sz w:val="20"/>
                <w:szCs w:val="20"/>
              </w:rPr>
              <w:t xml:space="preserve"> </w:t>
            </w:r>
            <w:r w:rsidRPr="002F6CC4">
              <w:rPr>
                <w:sz w:val="20"/>
                <w:szCs w:val="20"/>
              </w:rPr>
              <w:t>for grandfathered recipients ceased</w:t>
            </w:r>
            <w:r>
              <w:rPr>
                <w:sz w:val="20"/>
                <w:szCs w:val="20"/>
              </w:rPr>
              <w:t xml:space="preserve"> </w:t>
            </w:r>
            <w:r w:rsidRPr="002F6CC4">
              <w:rPr>
                <w:rFonts w:eastAsia="Times New Roman"/>
                <w:sz w:val="20"/>
                <w:szCs w:val="20"/>
              </w:rPr>
              <w:t xml:space="preserve">for </w:t>
            </w:r>
            <w:r w:rsidRPr="002F6CC4">
              <w:rPr>
                <w:rFonts w:eastAsia="Times New Roman"/>
                <w:sz w:val="20"/>
                <w:szCs w:val="20"/>
                <w:lang w:eastAsia="en-AU"/>
              </w:rPr>
              <w:t xml:space="preserve">all single parents whose youngest child </w:t>
            </w:r>
            <w:r w:rsidRPr="002F6CC4">
              <w:rPr>
                <w:sz w:val="20"/>
                <w:szCs w:val="20"/>
                <w:lang w:eastAsia="en-AU"/>
              </w:rPr>
              <w:t>wa</w:t>
            </w:r>
            <w:r w:rsidRPr="002F6CC4">
              <w:rPr>
                <w:rFonts w:eastAsia="Times New Roman"/>
                <w:sz w:val="20"/>
                <w:szCs w:val="20"/>
                <w:lang w:eastAsia="en-AU"/>
              </w:rPr>
              <w:t>s turning eight</w:t>
            </w:r>
            <w:r w:rsidRPr="002F6CC4">
              <w:rPr>
                <w:sz w:val="20"/>
                <w:szCs w:val="20"/>
                <w:lang w:eastAsia="en-AU"/>
              </w:rPr>
              <w:t xml:space="preserve"> (or </w:t>
            </w:r>
            <w:r>
              <w:rPr>
                <w:sz w:val="20"/>
                <w:szCs w:val="20"/>
                <w:lang w:eastAsia="en-AU"/>
              </w:rPr>
              <w:t>six</w:t>
            </w:r>
            <w:r w:rsidRPr="002F6CC4">
              <w:rPr>
                <w:sz w:val="20"/>
                <w:szCs w:val="20"/>
                <w:lang w:eastAsia="en-AU"/>
              </w:rPr>
              <w:t xml:space="preserve"> for partnered parents).</w:t>
            </w:r>
            <w:r w:rsidRPr="002F6CC4">
              <w:rPr>
                <w:sz w:val="20"/>
                <w:szCs w:val="20"/>
                <w:vertAlign w:val="superscript"/>
              </w:rPr>
              <w:t>4</w:t>
            </w:r>
            <w:r w:rsidRPr="002F6CC4">
              <w:rPr>
                <w:sz w:val="20"/>
                <w:szCs w:val="20"/>
                <w:lang w:eastAsia="en-AU"/>
              </w:rPr>
              <w:t xml:space="preserve"> Many of the affected recipients were transferred to </w:t>
            </w:r>
            <w:r w:rsidRPr="002F6CC4">
              <w:rPr>
                <w:rFonts w:eastAsia="Times New Roman"/>
                <w:sz w:val="20"/>
                <w:szCs w:val="20"/>
                <w:lang w:eastAsia="en-AU"/>
              </w:rPr>
              <w:t>N</w:t>
            </w:r>
            <w:r>
              <w:rPr>
                <w:rFonts w:eastAsia="Times New Roman"/>
                <w:sz w:val="20"/>
                <w:szCs w:val="20"/>
                <w:lang w:eastAsia="en-AU"/>
              </w:rPr>
              <w:t>S</w:t>
            </w:r>
            <w:r w:rsidRPr="002F6CC4">
              <w:rPr>
                <w:sz w:val="20"/>
                <w:szCs w:val="20"/>
                <w:lang w:eastAsia="en-AU"/>
              </w:rPr>
              <w:t>A</w:t>
            </w:r>
            <w:r w:rsidRPr="002F6CC4">
              <w:rPr>
                <w:sz w:val="20"/>
                <w:szCs w:val="20"/>
              </w:rPr>
              <w:t>.</w:t>
            </w:r>
          </w:p>
        </w:tc>
      </w:tr>
      <w:tr w:rsidR="002C05BD" w14:paraId="1C0D0856" w14:textId="77777777" w:rsidTr="00040B63">
        <w:tc>
          <w:tcPr>
            <w:tcW w:w="1838" w:type="dxa"/>
            <w:tcBorders>
              <w:top w:val="nil"/>
              <w:bottom w:val="nil"/>
            </w:tcBorders>
          </w:tcPr>
          <w:p w14:paraId="60FF7BBC" w14:textId="6877D0A7" w:rsidR="002C05BD" w:rsidRPr="00051584" w:rsidRDefault="002C05BD" w:rsidP="002C05BD">
            <w:pPr>
              <w:pStyle w:val="BodyText"/>
              <w:spacing w:after="99"/>
              <w:rPr>
                <w:b/>
                <w:i/>
              </w:rPr>
            </w:pPr>
            <w:r>
              <w:t>Changes to participation requirements for some DSP recipients</w:t>
            </w:r>
          </w:p>
        </w:tc>
        <w:tc>
          <w:tcPr>
            <w:tcW w:w="7179" w:type="dxa"/>
            <w:tcBorders>
              <w:top w:val="nil"/>
              <w:bottom w:val="nil"/>
            </w:tcBorders>
          </w:tcPr>
          <w:p w14:paraId="443ABA62" w14:textId="1C2946E4" w:rsidR="002C05BD" w:rsidRPr="000F1FE0" w:rsidRDefault="002C05BD" w:rsidP="000F1FE0">
            <w:pPr>
              <w:pStyle w:val="BodyText"/>
              <w:numPr>
                <w:ilvl w:val="0"/>
                <w:numId w:val="305"/>
              </w:numPr>
              <w:spacing w:after="0"/>
              <w:ind w:left="258" w:hanging="258"/>
              <w:rPr>
                <w:b/>
                <w:i/>
              </w:rPr>
            </w:pPr>
            <w:r>
              <w:t>T</w:t>
            </w:r>
            <w:r w:rsidRPr="00C458DE">
              <w:t>he introduction of a new requirement (from 1 July 2014) for DSP recipients aged less than 35 and with an assessed work capacity of eight or more hours a week to develop a participation plan with the Department of Human Servi</w:t>
            </w:r>
            <w:r>
              <w:t>ces (DHS)</w:t>
            </w:r>
            <w:r w:rsidR="00260CAF">
              <w:t>.</w:t>
            </w:r>
          </w:p>
        </w:tc>
      </w:tr>
      <w:tr w:rsidR="00260CAF" w14:paraId="7744A006" w14:textId="77777777" w:rsidTr="00040B63">
        <w:tc>
          <w:tcPr>
            <w:tcW w:w="1838" w:type="dxa"/>
            <w:tcBorders>
              <w:top w:val="nil"/>
              <w:bottom w:val="nil"/>
            </w:tcBorders>
            <w:shd w:val="clear" w:color="auto" w:fill="E5E5E5" w:themeFill="background1" w:themeFillTint="33"/>
          </w:tcPr>
          <w:p w14:paraId="1EA5903F" w14:textId="7A7E5ED3" w:rsidR="00260CAF" w:rsidRPr="00A62584" w:rsidRDefault="00260CAF" w:rsidP="00260CAF">
            <w:pPr>
              <w:pStyle w:val="BodyText"/>
              <w:spacing w:after="99"/>
            </w:pPr>
            <w:r>
              <w:t>Work for the Dole 2014-15</w:t>
            </w:r>
          </w:p>
        </w:tc>
        <w:tc>
          <w:tcPr>
            <w:tcW w:w="7179" w:type="dxa"/>
            <w:tcBorders>
              <w:top w:val="nil"/>
              <w:bottom w:val="nil"/>
            </w:tcBorders>
            <w:shd w:val="clear" w:color="auto" w:fill="E5E5E5" w:themeFill="background1" w:themeFillTint="33"/>
          </w:tcPr>
          <w:p w14:paraId="5D08D15E" w14:textId="77777777" w:rsidR="00260CAF" w:rsidRPr="002F6CC4" w:rsidRDefault="00260CAF" w:rsidP="00260CAF">
            <w:pPr>
              <w:pStyle w:val="ListBullet"/>
              <w:spacing w:after="99"/>
              <w:ind w:left="298" w:hanging="298"/>
              <w:rPr>
                <w:sz w:val="20"/>
                <w:szCs w:val="20"/>
              </w:rPr>
            </w:pPr>
            <w:r>
              <w:rPr>
                <w:sz w:val="20"/>
                <w:szCs w:val="20"/>
              </w:rPr>
              <w:t>F</w:t>
            </w:r>
            <w:r w:rsidRPr="002F6CC4">
              <w:rPr>
                <w:sz w:val="20"/>
                <w:szCs w:val="20"/>
              </w:rPr>
              <w:t xml:space="preserve">rom 1 July 2014 this </w:t>
            </w:r>
            <w:r>
              <w:rPr>
                <w:sz w:val="20"/>
                <w:szCs w:val="20"/>
              </w:rPr>
              <w:t xml:space="preserve">pilot </w:t>
            </w:r>
            <w:r w:rsidRPr="002F6CC4">
              <w:rPr>
                <w:sz w:val="20"/>
                <w:szCs w:val="20"/>
              </w:rPr>
              <w:t>programme was implemented in 18 locations</w:t>
            </w:r>
            <w:r>
              <w:rPr>
                <w:sz w:val="20"/>
                <w:szCs w:val="20"/>
              </w:rPr>
              <w:t xml:space="preserve"> </w:t>
            </w:r>
            <w:r w:rsidRPr="002F6CC4">
              <w:rPr>
                <w:sz w:val="20"/>
                <w:szCs w:val="20"/>
              </w:rPr>
              <w:t>for eligible job seekers aged 18 – 30</w:t>
            </w:r>
            <w:r>
              <w:rPr>
                <w:sz w:val="20"/>
                <w:szCs w:val="20"/>
              </w:rPr>
              <w:t>.</w:t>
            </w:r>
          </w:p>
          <w:p w14:paraId="509B7782" w14:textId="3654E1C9" w:rsidR="00260CAF" w:rsidRPr="002F6CC4" w:rsidRDefault="00260CAF" w:rsidP="007840D5">
            <w:pPr>
              <w:pStyle w:val="ListBullet"/>
              <w:numPr>
                <w:ilvl w:val="0"/>
                <w:numId w:val="306"/>
              </w:numPr>
              <w:spacing w:after="99"/>
              <w:ind w:left="271" w:hanging="298"/>
              <w:rPr>
                <w:rFonts w:eastAsia="Times New Roman"/>
                <w:sz w:val="20"/>
                <w:szCs w:val="20"/>
              </w:rPr>
            </w:pPr>
            <w:r>
              <w:rPr>
                <w:sz w:val="20"/>
                <w:szCs w:val="20"/>
              </w:rPr>
              <w:t>C</w:t>
            </w:r>
            <w:r w:rsidRPr="002F6CC4">
              <w:rPr>
                <w:sz w:val="20"/>
                <w:szCs w:val="20"/>
              </w:rPr>
              <w:t xml:space="preserve">omparisons of in-scope and out-of-scope areas indicated that the pilot did have an identifiable effect in those locations. As such comparisons made in this report are confined to the period before the introduction of </w:t>
            </w:r>
            <w:r>
              <w:rPr>
                <w:sz w:val="20"/>
                <w:szCs w:val="20"/>
              </w:rPr>
              <w:t>this programme.</w:t>
            </w:r>
            <w:r w:rsidRPr="006C7C90">
              <w:rPr>
                <w:sz w:val="20"/>
                <w:szCs w:val="20"/>
                <w:vertAlign w:val="superscript"/>
              </w:rPr>
              <w:t>5</w:t>
            </w:r>
          </w:p>
        </w:tc>
      </w:tr>
      <w:tr w:rsidR="002C05BD" w14:paraId="40FE291A" w14:textId="77777777" w:rsidTr="00040B63">
        <w:tc>
          <w:tcPr>
            <w:tcW w:w="1838" w:type="dxa"/>
            <w:tcBorders>
              <w:top w:val="nil"/>
            </w:tcBorders>
          </w:tcPr>
          <w:p w14:paraId="3B0590B4" w14:textId="4D5A0A9D" w:rsidR="002C05BD" w:rsidRPr="00051584" w:rsidRDefault="002C05BD" w:rsidP="002C05BD">
            <w:pPr>
              <w:pStyle w:val="BodyText"/>
              <w:spacing w:after="99"/>
              <w:rPr>
                <w:b/>
                <w:i/>
              </w:rPr>
            </w:pPr>
            <w:r w:rsidRPr="00A62584">
              <w:t>Reforms to the Job Capacity Assessment (JCA) programme</w:t>
            </w:r>
          </w:p>
        </w:tc>
        <w:tc>
          <w:tcPr>
            <w:tcW w:w="7179" w:type="dxa"/>
            <w:tcBorders>
              <w:top w:val="nil"/>
            </w:tcBorders>
          </w:tcPr>
          <w:p w14:paraId="55C060CC" w14:textId="77777777" w:rsidR="002C05BD" w:rsidRPr="002C05BD" w:rsidRDefault="002C05BD" w:rsidP="002C05BD">
            <w:pPr>
              <w:pStyle w:val="ListBullet"/>
              <w:numPr>
                <w:ilvl w:val="0"/>
                <w:numId w:val="306"/>
              </w:numPr>
              <w:spacing w:after="99"/>
              <w:ind w:left="258" w:hanging="298"/>
              <w:rPr>
                <w:sz w:val="20"/>
                <w:szCs w:val="20"/>
              </w:rPr>
            </w:pPr>
            <w:r w:rsidRPr="002F6CC4">
              <w:rPr>
                <w:rFonts w:eastAsia="Times New Roman"/>
                <w:sz w:val="20"/>
                <w:szCs w:val="20"/>
              </w:rPr>
              <w:t xml:space="preserve">From February 2011, the ability of JSA providers to refer job seekers participating </w:t>
            </w:r>
            <w:r w:rsidRPr="002F6CC4">
              <w:rPr>
                <w:sz w:val="20"/>
                <w:szCs w:val="20"/>
              </w:rPr>
              <w:t>in JSA Streams 1 to 3 to DHS for ‘change of circumstances’ JCAs was suspended. This change was made permanent in July 2011</w:t>
            </w:r>
            <w:r>
              <w:rPr>
                <w:sz w:val="20"/>
                <w:szCs w:val="20"/>
              </w:rPr>
              <w:t xml:space="preserve"> following a review of the JCA</w:t>
            </w:r>
            <w:r w:rsidRPr="002F6CC4">
              <w:rPr>
                <w:sz w:val="20"/>
                <w:szCs w:val="20"/>
              </w:rPr>
              <w:t>.</w:t>
            </w:r>
            <w:r w:rsidRPr="006C7C90">
              <w:rPr>
                <w:sz w:val="20"/>
                <w:szCs w:val="20"/>
                <w:vertAlign w:val="superscript"/>
              </w:rPr>
              <w:t>6</w:t>
            </w:r>
          </w:p>
          <w:p w14:paraId="4FFDA7EF" w14:textId="77777777" w:rsidR="002C05BD" w:rsidRDefault="002C05BD" w:rsidP="00260CAF">
            <w:pPr>
              <w:pStyle w:val="ListBullet"/>
              <w:numPr>
                <w:ilvl w:val="0"/>
                <w:numId w:val="306"/>
              </w:numPr>
              <w:spacing w:after="0"/>
              <w:ind w:left="258" w:hanging="298"/>
              <w:rPr>
                <w:sz w:val="20"/>
                <w:szCs w:val="20"/>
              </w:rPr>
            </w:pPr>
            <w:r w:rsidRPr="002C05BD">
              <w:rPr>
                <w:sz w:val="20"/>
                <w:szCs w:val="20"/>
              </w:rPr>
              <w:t>The JCA programme was separated into two types of assessment processes</w:t>
            </w:r>
          </w:p>
          <w:p w14:paraId="243A41BB" w14:textId="77777777" w:rsidR="002C05BD" w:rsidRPr="002F6CC4" w:rsidRDefault="002C05BD" w:rsidP="007840D5">
            <w:pPr>
              <w:pStyle w:val="ListBullet2"/>
              <w:numPr>
                <w:ilvl w:val="0"/>
                <w:numId w:val="43"/>
              </w:numPr>
              <w:spacing w:after="0"/>
              <w:ind w:left="977" w:hanging="298"/>
              <w:rPr>
                <w:sz w:val="20"/>
                <w:szCs w:val="20"/>
              </w:rPr>
            </w:pPr>
            <w:r w:rsidRPr="002F6CC4">
              <w:rPr>
                <w:sz w:val="20"/>
                <w:szCs w:val="20"/>
              </w:rPr>
              <w:t xml:space="preserve">ESAts used to establish employment services eligibility and work capacity, as well as to identifying barriers to employment and recommend interventions to address those barriers. </w:t>
            </w:r>
          </w:p>
          <w:p w14:paraId="69F86E89" w14:textId="77777777" w:rsidR="002C05BD" w:rsidRPr="002F6CC4" w:rsidRDefault="002C05BD" w:rsidP="003467A8">
            <w:pPr>
              <w:pStyle w:val="ListBullet2"/>
              <w:numPr>
                <w:ilvl w:val="0"/>
                <w:numId w:val="43"/>
              </w:numPr>
              <w:spacing w:after="0"/>
              <w:ind w:left="977" w:hanging="298"/>
              <w:rPr>
                <w:sz w:val="20"/>
                <w:szCs w:val="20"/>
              </w:rPr>
            </w:pPr>
            <w:r w:rsidRPr="002F6CC4">
              <w:rPr>
                <w:sz w:val="20"/>
                <w:szCs w:val="20"/>
              </w:rPr>
              <w:t>JCAs used to determine eligibility for DSP.</w:t>
            </w:r>
          </w:p>
          <w:p w14:paraId="7AB5622C" w14:textId="77777777" w:rsidR="002C05BD" w:rsidRPr="002F6CC4" w:rsidRDefault="002C05BD" w:rsidP="007C51E3">
            <w:pPr>
              <w:pStyle w:val="ListBullet"/>
              <w:numPr>
                <w:ilvl w:val="0"/>
                <w:numId w:val="306"/>
              </w:numPr>
              <w:spacing w:after="0"/>
              <w:ind w:left="258" w:hanging="298"/>
              <w:rPr>
                <w:sz w:val="20"/>
                <w:szCs w:val="20"/>
              </w:rPr>
            </w:pPr>
            <w:r w:rsidRPr="002F6CC4">
              <w:rPr>
                <w:sz w:val="20"/>
                <w:szCs w:val="20"/>
              </w:rPr>
              <w:t xml:space="preserve">The JCA was </w:t>
            </w:r>
            <w:r>
              <w:rPr>
                <w:sz w:val="20"/>
                <w:szCs w:val="20"/>
              </w:rPr>
              <w:t xml:space="preserve">changed </w:t>
            </w:r>
            <w:r w:rsidRPr="002F6CC4">
              <w:rPr>
                <w:sz w:val="20"/>
                <w:szCs w:val="20"/>
              </w:rPr>
              <w:t>from 1 January 2011</w:t>
            </w:r>
            <w:r>
              <w:rPr>
                <w:sz w:val="20"/>
                <w:szCs w:val="20"/>
              </w:rPr>
              <w:t xml:space="preserve"> so that </w:t>
            </w:r>
            <w:r w:rsidRPr="002F6CC4">
              <w:rPr>
                <w:sz w:val="20"/>
                <w:szCs w:val="20"/>
              </w:rPr>
              <w:t>assessors were no longer directly involved in referring job seekers for assistance.</w:t>
            </w:r>
          </w:p>
          <w:p w14:paraId="1B841B1C" w14:textId="77777777" w:rsidR="002C05BD" w:rsidRPr="002F6CC4" w:rsidRDefault="002C05BD" w:rsidP="007840D5">
            <w:pPr>
              <w:pStyle w:val="ListBullet"/>
              <w:numPr>
                <w:ilvl w:val="0"/>
                <w:numId w:val="308"/>
              </w:numPr>
              <w:spacing w:after="0"/>
              <w:ind w:left="271" w:hanging="298"/>
              <w:rPr>
                <w:rFonts w:eastAsia="Times New Roman"/>
              </w:rPr>
            </w:pPr>
            <w:r w:rsidRPr="002F6CC4">
              <w:rPr>
                <w:sz w:val="20"/>
                <w:szCs w:val="20"/>
              </w:rPr>
              <w:t>These changes were made in order to</w:t>
            </w:r>
            <w:r w:rsidRPr="002F6CC4">
              <w:rPr>
                <w:rFonts w:eastAsia="Times New Roman"/>
              </w:rPr>
              <w:t>:</w:t>
            </w:r>
          </w:p>
          <w:p w14:paraId="3610D504" w14:textId="77777777" w:rsidR="002C05BD" w:rsidRPr="00990848" w:rsidRDefault="002C05BD" w:rsidP="007840D5">
            <w:pPr>
              <w:pStyle w:val="ListBullet2"/>
              <w:numPr>
                <w:ilvl w:val="1"/>
                <w:numId w:val="44"/>
              </w:numPr>
              <w:spacing w:after="0"/>
              <w:ind w:left="977" w:hanging="282"/>
              <w:rPr>
                <w:rFonts w:eastAsia="Times New Roman"/>
                <w:sz w:val="20"/>
                <w:szCs w:val="20"/>
              </w:rPr>
            </w:pPr>
            <w:r w:rsidRPr="00990848">
              <w:rPr>
                <w:rFonts w:eastAsia="Times New Roman"/>
                <w:sz w:val="20"/>
                <w:szCs w:val="20"/>
              </w:rPr>
              <w:t>streamline assessments</w:t>
            </w:r>
          </w:p>
          <w:p w14:paraId="3EC8DE1C" w14:textId="77777777" w:rsidR="002C05BD" w:rsidRPr="00990848" w:rsidRDefault="002C05BD" w:rsidP="007840D5">
            <w:pPr>
              <w:pStyle w:val="ListBullet2"/>
              <w:numPr>
                <w:ilvl w:val="1"/>
                <w:numId w:val="44"/>
              </w:numPr>
              <w:spacing w:after="99"/>
              <w:ind w:left="977" w:hanging="282"/>
              <w:rPr>
                <w:rFonts w:eastAsia="Times New Roman"/>
                <w:sz w:val="20"/>
                <w:szCs w:val="20"/>
              </w:rPr>
            </w:pPr>
            <w:r w:rsidRPr="00990848">
              <w:rPr>
                <w:rFonts w:eastAsia="Times New Roman"/>
                <w:sz w:val="20"/>
                <w:szCs w:val="20"/>
              </w:rPr>
              <w:t>reduce the likelihood of unnecessary assessments</w:t>
            </w:r>
          </w:p>
          <w:p w14:paraId="7DC95FD0" w14:textId="77777777" w:rsidR="007840D5" w:rsidRPr="007840D5" w:rsidRDefault="002C05BD" w:rsidP="007840D5">
            <w:pPr>
              <w:pStyle w:val="ListBullet2"/>
              <w:numPr>
                <w:ilvl w:val="1"/>
                <w:numId w:val="44"/>
              </w:numPr>
              <w:spacing w:after="0"/>
              <w:ind w:left="977" w:hanging="282"/>
              <w:rPr>
                <w:rFonts w:eastAsia="Times New Roman"/>
                <w:sz w:val="20"/>
                <w:szCs w:val="20"/>
              </w:rPr>
            </w:pPr>
            <w:r w:rsidRPr="00990848">
              <w:rPr>
                <w:rFonts w:eastAsia="Times New Roman" w:cs="Calibri"/>
                <w:color w:val="000000"/>
                <w:sz w:val="20"/>
                <w:szCs w:val="20"/>
              </w:rPr>
              <w:t>better prepare job seekers for assessment</w:t>
            </w:r>
          </w:p>
          <w:p w14:paraId="5F8D0B7A" w14:textId="3C7208D3" w:rsidR="002C05BD" w:rsidRPr="007840D5" w:rsidRDefault="002C05BD" w:rsidP="007840D5">
            <w:pPr>
              <w:pStyle w:val="ListBullet2"/>
              <w:numPr>
                <w:ilvl w:val="1"/>
                <w:numId w:val="44"/>
              </w:numPr>
              <w:spacing w:after="0"/>
              <w:ind w:left="977" w:hanging="282"/>
              <w:rPr>
                <w:rFonts w:eastAsia="Times New Roman"/>
                <w:sz w:val="20"/>
                <w:szCs w:val="20"/>
              </w:rPr>
            </w:pPr>
            <w:r w:rsidRPr="007840D5">
              <w:rPr>
                <w:rFonts w:eastAsia="Times New Roman"/>
                <w:sz w:val="20"/>
                <w:szCs w:val="20"/>
              </w:rPr>
              <w:t>improve attendance rates at assessment interviews</w:t>
            </w:r>
          </w:p>
        </w:tc>
      </w:tr>
    </w:tbl>
    <w:p w14:paraId="47EF4554" w14:textId="77777777" w:rsidR="00246C8A" w:rsidRPr="00447AAD" w:rsidRDefault="007F54BE" w:rsidP="00447AAD">
      <w:pPr>
        <w:pStyle w:val="Notes"/>
        <w:rPr>
          <w:b/>
        </w:rPr>
      </w:pPr>
      <w:r w:rsidRPr="00447AAD">
        <w:rPr>
          <w:b/>
        </w:rPr>
        <w:t>Notes:</w:t>
      </w:r>
      <w:r w:rsidRPr="00447AAD">
        <w:rPr>
          <w:b/>
        </w:rPr>
        <w:tab/>
      </w:r>
    </w:p>
    <w:p w14:paraId="41439044" w14:textId="77777777" w:rsidR="007978CD" w:rsidRPr="004E6541" w:rsidRDefault="007F54BE" w:rsidP="00BC2802">
      <w:pPr>
        <w:pStyle w:val="Notesnumbered"/>
        <w:numPr>
          <w:ilvl w:val="0"/>
          <w:numId w:val="142"/>
        </w:numPr>
      </w:pPr>
      <w:r w:rsidRPr="004E6541">
        <w:t>Services replaced in these regions included Disability Employment Services</w:t>
      </w:r>
      <w:r w:rsidR="002A6DE7">
        <w:t xml:space="preserve"> (DES)</w:t>
      </w:r>
      <w:r w:rsidRPr="004E6541">
        <w:t xml:space="preserve"> and Community Development Employment Projects</w:t>
      </w:r>
      <w:r w:rsidR="002A6DE7">
        <w:t xml:space="preserve"> (CDEP)</w:t>
      </w:r>
      <w:r w:rsidRPr="004E6541">
        <w:t xml:space="preserve"> and the Indigenous Employment Program (IEP) as well as JSA.</w:t>
      </w:r>
    </w:p>
    <w:p w14:paraId="580257FE" w14:textId="77777777" w:rsidR="007978CD" w:rsidRPr="004E6541" w:rsidRDefault="007F54BE" w:rsidP="00BC2802">
      <w:pPr>
        <w:pStyle w:val="Notesnumbered"/>
        <w:numPr>
          <w:ilvl w:val="0"/>
          <w:numId w:val="142"/>
        </w:numPr>
      </w:pPr>
      <w:r w:rsidRPr="004E6541">
        <w:t xml:space="preserve">Lists of the regions and successful providers </w:t>
      </w:r>
      <w:r w:rsidR="00264682">
        <w:t xml:space="preserve">are </w:t>
      </w:r>
      <w:r w:rsidR="00F9381C" w:rsidRPr="004E6541">
        <w:t>available on the Department’s website.</w:t>
      </w:r>
    </w:p>
    <w:p w14:paraId="6CF69C90" w14:textId="50D78FBC" w:rsidR="007978CD" w:rsidRPr="004E6541" w:rsidRDefault="0068259C" w:rsidP="00BC2802">
      <w:pPr>
        <w:pStyle w:val="Notesnumbered"/>
        <w:numPr>
          <w:ilvl w:val="0"/>
          <w:numId w:val="142"/>
        </w:numPr>
      </w:pPr>
      <w:r w:rsidRPr="004E6541">
        <w:t xml:space="preserve">The RJCP </w:t>
      </w:r>
      <w:r w:rsidR="002A6DE7">
        <w:t>was replaced by</w:t>
      </w:r>
      <w:r w:rsidRPr="004E6541">
        <w:t xml:space="preserve"> the Community Development Programme (CDP</w:t>
      </w:r>
      <w:r w:rsidR="007E1F15" w:rsidRPr="004E6541">
        <w:t>)</w:t>
      </w:r>
      <w:r w:rsidR="007978CD" w:rsidRPr="004E6541">
        <w:t>.</w:t>
      </w:r>
    </w:p>
    <w:p w14:paraId="4BE132BA" w14:textId="6F9F90F3" w:rsidR="007978CD" w:rsidRPr="004E6541" w:rsidRDefault="007E1F15" w:rsidP="00BC2802">
      <w:pPr>
        <w:pStyle w:val="Notesnumbered"/>
        <w:numPr>
          <w:ilvl w:val="0"/>
          <w:numId w:val="142"/>
        </w:numPr>
      </w:pPr>
      <w:r w:rsidRPr="004E6541">
        <w:t xml:space="preserve">These were </w:t>
      </w:r>
      <w:r w:rsidR="002A6DE7">
        <w:t>PP</w:t>
      </w:r>
      <w:r w:rsidRPr="004E6541">
        <w:t xml:space="preserve"> recipients who were grandfathered under the 2006 Welfare to Work reforms.</w:t>
      </w:r>
    </w:p>
    <w:p w14:paraId="1963F180" w14:textId="77777777" w:rsidR="007978CD" w:rsidRPr="004E6541" w:rsidRDefault="00BC46CC" w:rsidP="00BC2802">
      <w:pPr>
        <w:pStyle w:val="Notesnumbered"/>
        <w:numPr>
          <w:ilvl w:val="0"/>
          <w:numId w:val="142"/>
        </w:numPr>
      </w:pPr>
      <w:r w:rsidRPr="004E6541">
        <w:t>Social Research Centre</w:t>
      </w:r>
      <w:r w:rsidR="002617BB" w:rsidRPr="004E6541">
        <w:t>,</w:t>
      </w:r>
      <w:r w:rsidRPr="004E6541">
        <w:t xml:space="preserve"> 2015. </w:t>
      </w:r>
      <w:r w:rsidR="002617BB" w:rsidRPr="004E6541">
        <w:t>Evaluation of Work for the Dole 2014-15.</w:t>
      </w:r>
    </w:p>
    <w:p w14:paraId="2A346C81" w14:textId="77777777" w:rsidR="003C7EBE" w:rsidRPr="004E6541" w:rsidRDefault="003C7EBE" w:rsidP="00BC2802">
      <w:pPr>
        <w:pStyle w:val="Notesnumbered"/>
        <w:numPr>
          <w:ilvl w:val="0"/>
          <w:numId w:val="142"/>
        </w:numPr>
      </w:pPr>
      <w:r w:rsidRPr="004E6541">
        <w:t>Department of Finance 2009, Strategic review of the Job Capacity Assessment Program</w:t>
      </w:r>
      <w:r w:rsidR="00FA1263" w:rsidRPr="004E6541">
        <w:t>.</w:t>
      </w:r>
    </w:p>
    <w:p w14:paraId="383362C3" w14:textId="77777777" w:rsidR="004541A6" w:rsidRDefault="004541A6" w:rsidP="00054230">
      <w:pPr>
        <w:pStyle w:val="Heading2"/>
        <w:keepNext/>
      </w:pPr>
      <w:bookmarkStart w:id="107" w:name="_Toc450919328"/>
      <w:bookmarkStart w:id="108" w:name="_Toc22543061"/>
      <w:r>
        <w:t>1.</w:t>
      </w:r>
      <w:r w:rsidR="00167784">
        <w:t>3</w:t>
      </w:r>
      <w:r>
        <w:tab/>
        <w:t xml:space="preserve">Evaluation </w:t>
      </w:r>
      <w:r w:rsidR="00F43AD8">
        <w:t>a</w:t>
      </w:r>
      <w:r w:rsidR="007969CC">
        <w:t>pproach</w:t>
      </w:r>
      <w:bookmarkEnd w:id="107"/>
      <w:bookmarkEnd w:id="108"/>
    </w:p>
    <w:p w14:paraId="26609AC6" w14:textId="77777777" w:rsidR="00B171AB" w:rsidRDefault="00B171AB" w:rsidP="00B171AB">
      <w:r w:rsidRPr="00BE1637">
        <w:rPr>
          <w:lang w:val="en"/>
        </w:rPr>
        <w:t xml:space="preserve">The </w:t>
      </w:r>
      <w:r>
        <w:rPr>
          <w:lang w:val="en"/>
        </w:rPr>
        <w:t>Department is required to progressively monitor and</w:t>
      </w:r>
      <w:r w:rsidRPr="00BE1637">
        <w:rPr>
          <w:lang w:val="en"/>
        </w:rPr>
        <w:t xml:space="preserve"> evaluate</w:t>
      </w:r>
      <w:r>
        <w:rPr>
          <w:lang w:val="en"/>
        </w:rPr>
        <w:t xml:space="preserve"> government employment </w:t>
      </w:r>
      <w:r w:rsidR="005879B0">
        <w:rPr>
          <w:lang w:val="en"/>
        </w:rPr>
        <w:t>services</w:t>
      </w:r>
      <w:r w:rsidRPr="00BE1637">
        <w:rPr>
          <w:lang w:val="en"/>
        </w:rPr>
        <w:t xml:space="preserve">. </w:t>
      </w:r>
      <w:r>
        <w:t xml:space="preserve">This evaluation examines the </w:t>
      </w:r>
      <w:r w:rsidR="00977577">
        <w:t xml:space="preserve">performance of </w:t>
      </w:r>
      <w:r>
        <w:t>Job Services Australia (JSA) over its second contract period</w:t>
      </w:r>
      <w:r w:rsidR="006E6C71">
        <w:t xml:space="preserve"> 2012-2015</w:t>
      </w:r>
      <w:r>
        <w:t>.</w:t>
      </w:r>
    </w:p>
    <w:p w14:paraId="631E5FCA" w14:textId="77777777" w:rsidR="004541A6" w:rsidRPr="00C86D0C" w:rsidRDefault="004541A6" w:rsidP="00904F45">
      <w:pPr>
        <w:pStyle w:val="Heading3"/>
      </w:pPr>
      <w:bookmarkStart w:id="109" w:name="_Toc22543062"/>
      <w:r w:rsidRPr="00C86D0C">
        <w:t>1.</w:t>
      </w:r>
      <w:r w:rsidR="00B75FBC">
        <w:t>3</w:t>
      </w:r>
      <w:r w:rsidRPr="00C86D0C">
        <w:t>.1</w:t>
      </w:r>
      <w:r w:rsidRPr="00C86D0C">
        <w:tab/>
        <w:t xml:space="preserve">Evaluation </w:t>
      </w:r>
      <w:r w:rsidR="00F43AD8">
        <w:t>q</w:t>
      </w:r>
      <w:r w:rsidRPr="00C86D0C">
        <w:t>uestions</w:t>
      </w:r>
      <w:bookmarkEnd w:id="109"/>
    </w:p>
    <w:p w14:paraId="1F4DBBA0" w14:textId="77777777" w:rsidR="00B75FBC" w:rsidRDefault="00B75FBC" w:rsidP="0026626A">
      <w:r w:rsidRPr="0026626A">
        <w:t>The following questions focus attention on the relative performance of JSA over the second contract period and the way specific programme changes</w:t>
      </w:r>
      <w:r w:rsidR="009F0D61" w:rsidRPr="0026626A">
        <w:t xml:space="preserve"> since the first contract</w:t>
      </w:r>
      <w:r w:rsidR="00664588">
        <w:t xml:space="preserve"> </w:t>
      </w:r>
      <w:r w:rsidR="002C1F24" w:rsidRPr="0026626A">
        <w:t>affected the JSA model</w:t>
      </w:r>
      <w:r w:rsidR="002C1F24">
        <w:t>.</w:t>
      </w:r>
    </w:p>
    <w:p w14:paraId="0423AA8B" w14:textId="77777777" w:rsidR="004541A6" w:rsidRPr="00EB09F1" w:rsidRDefault="004541A6"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rsidRPr="00EB09F1">
        <w:t xml:space="preserve">How </w:t>
      </w:r>
      <w:r w:rsidR="005402F0" w:rsidRPr="00EB09F1">
        <w:t>d</w:t>
      </w:r>
      <w:r w:rsidR="00664588">
        <w:t>id</w:t>
      </w:r>
      <w:r w:rsidR="005402F0" w:rsidRPr="00EB09F1">
        <w:t xml:space="preserve"> </w:t>
      </w:r>
      <w:r w:rsidR="005E1B5A" w:rsidRPr="00EB09F1">
        <w:t>job seekers</w:t>
      </w:r>
      <w:r w:rsidR="002A6DE7">
        <w:t>’</w:t>
      </w:r>
      <w:r w:rsidR="005E1B5A" w:rsidRPr="00EB09F1">
        <w:t xml:space="preserve"> reliance on income support compare between </w:t>
      </w:r>
      <w:r w:rsidRPr="00EB09F1">
        <w:t>JSA 2009 and JSA 2012?</w:t>
      </w:r>
    </w:p>
    <w:p w14:paraId="6752398F"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Pr="00EB09F1">
        <w:t xml:space="preserve"> </w:t>
      </w:r>
      <w:r w:rsidR="004541A6" w:rsidRPr="00EB09F1">
        <w:t>outcomes improve</w:t>
      </w:r>
      <w:r>
        <w:t xml:space="preserve"> </w:t>
      </w:r>
      <w:r w:rsidR="004541A6" w:rsidRPr="00EB09F1">
        <w:t xml:space="preserve">for </w:t>
      </w:r>
      <w:r w:rsidR="005879B0" w:rsidRPr="00EB09F1">
        <w:t xml:space="preserve">Indigenous </w:t>
      </w:r>
      <w:r w:rsidR="002C1F24" w:rsidRPr="00EB09F1">
        <w:t>job seekers?</w:t>
      </w:r>
    </w:p>
    <w:p w14:paraId="58772373"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004541A6" w:rsidRPr="00EB09F1">
        <w:t xml:space="preserve"> this model improve employer experiences of Job Services Australia?</w:t>
      </w:r>
    </w:p>
    <w:p w14:paraId="6D97E052" w14:textId="77777777" w:rsidR="004541A6" w:rsidRPr="00EB09F1" w:rsidRDefault="004541A6"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rsidRPr="00EB09F1">
        <w:t xml:space="preserve">What </w:t>
      </w:r>
      <w:r w:rsidR="00664588">
        <w:t>we</w:t>
      </w:r>
      <w:r w:rsidRPr="00EB09F1">
        <w:t xml:space="preserve">re the costs associated with employment and education outcomes? How </w:t>
      </w:r>
      <w:r w:rsidR="00664588">
        <w:t>did</w:t>
      </w:r>
      <w:r w:rsidR="006C7496">
        <w:t xml:space="preserve"> costs change</w:t>
      </w:r>
      <w:r w:rsidRPr="00EB09F1">
        <w:t xml:space="preserve"> compared to JSA 2009? How </w:t>
      </w:r>
      <w:r w:rsidR="00664588" w:rsidRPr="00EB09F1">
        <w:t>d</w:t>
      </w:r>
      <w:r w:rsidR="00664588">
        <w:t>id</w:t>
      </w:r>
      <w:r w:rsidR="00664588" w:rsidRPr="00EB09F1">
        <w:t xml:space="preserve"> </w:t>
      </w:r>
      <w:r w:rsidRPr="00EB09F1">
        <w:t>costs vary for specific groups of job seekers?</w:t>
      </w:r>
    </w:p>
    <w:p w14:paraId="7685990E"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Pr="00EB09F1">
        <w:t xml:space="preserve"> </w:t>
      </w:r>
      <w:r w:rsidR="004541A6" w:rsidRPr="00EB09F1">
        <w:t xml:space="preserve">the continuing emphasis on keeping job seekers actively engaged, for example, the introduction of increased activity requirements in the Compulsory Activity Phase, result in improved engagement with services? </w:t>
      </w:r>
      <w:r>
        <w:t>Did</w:t>
      </w:r>
      <w:r w:rsidRPr="00EB09F1">
        <w:t xml:space="preserve"> </w:t>
      </w:r>
      <w:r w:rsidR="004541A6" w:rsidRPr="00EB09F1">
        <w:t>employment, education and social outcomes for this group improve compared to under JSA 2009?</w:t>
      </w:r>
    </w:p>
    <w:p w14:paraId="7E4DA43F"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Pr="00EB09F1">
        <w:t xml:space="preserve"> </w:t>
      </w:r>
      <w:r w:rsidR="004541A6" w:rsidRPr="00EB09F1">
        <w:t xml:space="preserve">changes to the </w:t>
      </w:r>
      <w:r w:rsidR="00F978E4" w:rsidRPr="00EB09F1">
        <w:t xml:space="preserve">job seeker </w:t>
      </w:r>
      <w:r w:rsidR="004541A6" w:rsidRPr="00EB09F1">
        <w:t>compliance regime achieve improved engagement and participation in general and for</w:t>
      </w:r>
      <w:r w:rsidR="006E1FD1" w:rsidRPr="00EB09F1">
        <w:t xml:space="preserve"> job seekers who are difficult to engage</w:t>
      </w:r>
      <w:r w:rsidR="006706B3" w:rsidRPr="00EB09F1">
        <w:t xml:space="preserve"> </w:t>
      </w:r>
      <w:r w:rsidR="004541A6" w:rsidRPr="00EB09F1">
        <w:t>in particular?</w:t>
      </w:r>
    </w:p>
    <w:p w14:paraId="03A2EFF7" w14:textId="77777777" w:rsidR="004541A6" w:rsidRPr="00EB09F1" w:rsidRDefault="004541A6"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rsidRPr="00EB09F1">
        <w:t xml:space="preserve">How </w:t>
      </w:r>
      <w:r w:rsidR="00664588">
        <w:t>did</w:t>
      </w:r>
      <w:r w:rsidR="00664588" w:rsidRPr="00EB09F1">
        <w:t xml:space="preserve"> </w:t>
      </w:r>
      <w:r w:rsidRPr="00EB09F1">
        <w:t>the changes in timing and duration of Intensive Activity requirements affect the timing of outcomes and overall outcome rates for Stream 1 job seekers?</w:t>
      </w:r>
    </w:p>
    <w:p w14:paraId="1CDC7993" w14:textId="77777777" w:rsidR="004541A6" w:rsidRPr="00EB09F1" w:rsidRDefault="004541A6"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rsidRPr="00EB09F1">
        <w:t xml:space="preserve">For the most job ready job seekers, how effective </w:t>
      </w:r>
      <w:r w:rsidR="00664588">
        <w:t>we</w:t>
      </w:r>
      <w:r w:rsidR="00664588" w:rsidRPr="00EB09F1">
        <w:t xml:space="preserve">re </w:t>
      </w:r>
      <w:r w:rsidRPr="00EB09F1">
        <w:t>the changes to servicing and fee structures in increasing employment outcomes?</w:t>
      </w:r>
    </w:p>
    <w:p w14:paraId="5130C1A3"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Pr="00EB09F1">
        <w:t xml:space="preserve"> </w:t>
      </w:r>
      <w:r w:rsidR="004541A6" w:rsidRPr="00EB09F1">
        <w:t>changes to the requirements and streamlining of processes help reduce administrative demands on providers?</w:t>
      </w:r>
    </w:p>
    <w:p w14:paraId="56815DC2" w14:textId="77777777" w:rsidR="004541A6" w:rsidRPr="00EB09F1" w:rsidRDefault="00664588"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t>Did</w:t>
      </w:r>
      <w:r w:rsidR="004541A6" w:rsidRPr="00EB09F1">
        <w:t xml:space="preserve"> the removal of Stream Services Review affect streaming and assessment outcomes of job seekers?</w:t>
      </w:r>
    </w:p>
    <w:p w14:paraId="3BF6C99F" w14:textId="77777777" w:rsidR="004541A6" w:rsidRPr="00EB09F1" w:rsidRDefault="004541A6" w:rsidP="00EB09F1">
      <w:pPr>
        <w:pStyle w:val="bulletlist0"/>
        <w:numPr>
          <w:ilvl w:val="0"/>
          <w:numId w:val="282"/>
        </w:numPr>
        <w:tabs>
          <w:tab w:val="clear" w:pos="227"/>
        </w:tabs>
        <w:suppressAutoHyphens w:val="0"/>
        <w:autoSpaceDE/>
        <w:autoSpaceDN/>
        <w:adjustRightInd/>
        <w:spacing w:before="240" w:after="0" w:line="276" w:lineRule="auto"/>
        <w:ind w:hanging="720"/>
        <w:contextualSpacing/>
        <w:textAlignment w:val="auto"/>
      </w:pPr>
      <w:r w:rsidRPr="00EB09F1">
        <w:t>How d</w:t>
      </w:r>
      <w:r w:rsidR="00664588">
        <w:t>id</w:t>
      </w:r>
      <w:r w:rsidRPr="00EB09F1">
        <w:t xml:space="preserve"> different employer incentives (EPF-funded wage subsidies and Wage Connect) perform under JSA?</w:t>
      </w:r>
    </w:p>
    <w:p w14:paraId="05A1B30E" w14:textId="77777777" w:rsidR="004541A6" w:rsidRDefault="004541A6" w:rsidP="00904F45">
      <w:pPr>
        <w:pStyle w:val="Heading3"/>
      </w:pPr>
      <w:bookmarkStart w:id="110" w:name="_Toc401826407"/>
      <w:bookmarkStart w:id="111" w:name="_Toc402170607"/>
      <w:bookmarkStart w:id="112" w:name="_Toc22543063"/>
      <w:bookmarkEnd w:id="79"/>
      <w:bookmarkEnd w:id="80"/>
      <w:r w:rsidRPr="00487A57">
        <w:t>1.</w:t>
      </w:r>
      <w:r w:rsidR="00FB6A27">
        <w:t>3</w:t>
      </w:r>
      <w:r>
        <w:t>.2</w:t>
      </w:r>
      <w:r w:rsidRPr="00487A57">
        <w:tab/>
        <w:t>Methodology</w:t>
      </w:r>
      <w:bookmarkEnd w:id="110"/>
      <w:bookmarkEnd w:id="111"/>
      <w:bookmarkEnd w:id="112"/>
    </w:p>
    <w:p w14:paraId="275ECED8" w14:textId="77777777" w:rsidR="001D3AC4" w:rsidRDefault="00FB6A27" w:rsidP="004541A6">
      <w:r>
        <w:t>The o</w:t>
      </w:r>
      <w:r w:rsidR="004541A6">
        <w:t>verall comparison</w:t>
      </w:r>
      <w:r>
        <w:t>s of the models</w:t>
      </w:r>
      <w:r w:rsidR="004541A6">
        <w:t xml:space="preserve"> use </w:t>
      </w:r>
      <w:r w:rsidR="000A2258">
        <w:t xml:space="preserve">two types of </w:t>
      </w:r>
      <w:r w:rsidR="004541A6">
        <w:t>core study populations from JSA 2009 and JSA 2012.</w:t>
      </w:r>
    </w:p>
    <w:p w14:paraId="7B31F521" w14:textId="77777777" w:rsidR="001D3AC4" w:rsidRDefault="001D3AC4" w:rsidP="005402F0">
      <w:pPr>
        <w:pStyle w:val="Heading4"/>
      </w:pPr>
      <w:r>
        <w:t>Inflow</w:t>
      </w:r>
    </w:p>
    <w:p w14:paraId="4695E9D3" w14:textId="70C9EA6E" w:rsidR="001D3AC4" w:rsidRDefault="000A2258" w:rsidP="004541A6">
      <w:r>
        <w:t>The</w:t>
      </w:r>
      <w:r w:rsidR="001D3AC4">
        <w:t xml:space="preserve">se are </w:t>
      </w:r>
      <w:r w:rsidR="00C25EE3">
        <w:t xml:space="preserve">job seekers </w:t>
      </w:r>
      <w:r w:rsidR="004541A6">
        <w:t>new to employment services</w:t>
      </w:r>
      <w:r>
        <w:t xml:space="preserve"> over a </w:t>
      </w:r>
      <w:r w:rsidR="0008723A">
        <w:t>six-month</w:t>
      </w:r>
      <w:r>
        <w:t xml:space="preserve"> period</w:t>
      </w:r>
      <w:r w:rsidR="00FB6A27">
        <w:t xml:space="preserve"> (</w:t>
      </w:r>
      <w:r w:rsidR="009F0D61">
        <w:t>in</w:t>
      </w:r>
      <w:r w:rsidR="00FB6A27">
        <w:t>flow population)</w:t>
      </w:r>
      <w:r>
        <w:t xml:space="preserve">. </w:t>
      </w:r>
      <w:r w:rsidR="001D3AC4">
        <w:t>The inflow population enables analysis of job seekers according to their time in service. Job seekers who tend to be in service for longer periods are underrepresented in this population</w:t>
      </w:r>
      <w:r w:rsidR="005921FD">
        <w:t>.</w:t>
      </w:r>
    </w:p>
    <w:p w14:paraId="003820CB" w14:textId="77777777" w:rsidR="001D3AC4" w:rsidRDefault="001D3AC4" w:rsidP="005402F0">
      <w:pPr>
        <w:pStyle w:val="Heading4"/>
      </w:pPr>
      <w:r>
        <w:t>Caseload</w:t>
      </w:r>
    </w:p>
    <w:p w14:paraId="044EB6C2" w14:textId="77777777" w:rsidR="004541A6" w:rsidRDefault="000A2258" w:rsidP="004541A6">
      <w:r>
        <w:t>The</w:t>
      </w:r>
      <w:r w:rsidR="001D3AC4">
        <w:t>se</w:t>
      </w:r>
      <w:r>
        <w:t xml:space="preserve"> </w:t>
      </w:r>
      <w:r w:rsidR="001D3AC4">
        <w:t>are</w:t>
      </w:r>
      <w:r w:rsidR="004541A6">
        <w:t xml:space="preserve"> </w:t>
      </w:r>
      <w:r w:rsidR="00C25EE3">
        <w:t>job seekers in the</w:t>
      </w:r>
      <w:r w:rsidR="004541A6">
        <w:t xml:space="preserve"> caseload at a </w:t>
      </w:r>
      <w:r>
        <w:t xml:space="preserve">given date </w:t>
      </w:r>
      <w:r w:rsidR="009F0D61">
        <w:t>(stock population)</w:t>
      </w:r>
      <w:r w:rsidR="004541A6">
        <w:t>.</w:t>
      </w:r>
      <w:r w:rsidR="001D3AC4">
        <w:t xml:space="preserve"> The caseload population allows examination of populations in service for extended periods and is used for the analysis </w:t>
      </w:r>
      <w:r w:rsidR="004541A6">
        <w:t>of long</w:t>
      </w:r>
      <w:r w:rsidR="0026626A">
        <w:t>-</w:t>
      </w:r>
      <w:r w:rsidR="004541A6">
        <w:t>term unemployed</w:t>
      </w:r>
      <w:r w:rsidR="0026626A">
        <w:t xml:space="preserve"> (LTU)</w:t>
      </w:r>
      <w:r w:rsidR="004541A6">
        <w:t xml:space="preserve"> </w:t>
      </w:r>
      <w:r w:rsidR="001D3AC4">
        <w:t>job seekers</w:t>
      </w:r>
      <w:r w:rsidR="004541A6">
        <w:t>.</w:t>
      </w:r>
    </w:p>
    <w:p w14:paraId="5AC5EDFE" w14:textId="77777777" w:rsidR="001D3AC4" w:rsidRDefault="004541A6" w:rsidP="00C96943">
      <w:pPr>
        <w:keepNext/>
      </w:pPr>
      <w:r>
        <w:t>These two types of core study populations are designed to be as similar as possible across the models</w:t>
      </w:r>
      <w:r w:rsidR="001D3AC4">
        <w:t xml:space="preserve">, with some </w:t>
      </w:r>
      <w:r w:rsidR="00402B83">
        <w:t>unavoidable</w:t>
      </w:r>
      <w:r w:rsidR="001D3AC4">
        <w:t xml:space="preserve"> differences</w:t>
      </w:r>
      <w:r w:rsidR="00050F44">
        <w:t>. W</w:t>
      </w:r>
      <w:r>
        <w:t xml:space="preserve">here possible, </w:t>
      </w:r>
      <w:r w:rsidR="00050F44">
        <w:t xml:space="preserve">these differences </w:t>
      </w:r>
      <w:r>
        <w:t xml:space="preserve">are </w:t>
      </w:r>
      <w:r w:rsidR="001D3AC4">
        <w:t>man</w:t>
      </w:r>
      <w:r w:rsidR="005402F0">
        <w:t>a</w:t>
      </w:r>
      <w:r w:rsidR="001D3AC4">
        <w:t>ged through:</w:t>
      </w:r>
    </w:p>
    <w:p w14:paraId="7648165A" w14:textId="73245B7E" w:rsidR="00402B83" w:rsidRPr="0099598E" w:rsidRDefault="001D3AC4" w:rsidP="00C96943">
      <w:pPr>
        <w:pStyle w:val="ListParagraph"/>
        <w:keepNext/>
      </w:pPr>
      <w:r w:rsidRPr="0099598E">
        <w:t xml:space="preserve">Exclusion – where particular groups are excluded from the caseload. </w:t>
      </w:r>
      <w:r w:rsidR="00B37618" w:rsidRPr="0099598E">
        <w:t xml:space="preserve">For example participants in RJCP regions have been excluded from both populations </w:t>
      </w:r>
      <w:r w:rsidR="00402B83" w:rsidRPr="0099598E">
        <w:t>because</w:t>
      </w:r>
      <w:r w:rsidR="00B37618" w:rsidRPr="0099598E">
        <w:t xml:space="preserve"> RJCP was </w:t>
      </w:r>
      <w:r w:rsidR="00402B83" w:rsidRPr="0099598E">
        <w:t>implemented</w:t>
      </w:r>
      <w:r w:rsidR="00B37618" w:rsidRPr="0099598E">
        <w:t xml:space="preserve"> </w:t>
      </w:r>
      <w:r w:rsidR="00050F44" w:rsidRPr="0099598E">
        <w:t>during</w:t>
      </w:r>
      <w:r w:rsidR="00B37618" w:rsidRPr="0099598E">
        <w:t xml:space="preserve"> the </w:t>
      </w:r>
      <w:r w:rsidR="00050F44" w:rsidRPr="0099598E">
        <w:t>second</w:t>
      </w:r>
      <w:r w:rsidR="002C1F24" w:rsidRPr="0099598E">
        <w:t xml:space="preserve"> contract period.</w:t>
      </w:r>
    </w:p>
    <w:p w14:paraId="468E7607" w14:textId="77777777" w:rsidR="004541A6" w:rsidRPr="0099598E" w:rsidRDefault="00050F44" w:rsidP="00054230">
      <w:pPr>
        <w:pStyle w:val="ListParagraph"/>
      </w:pPr>
      <w:r w:rsidRPr="0099598E">
        <w:t xml:space="preserve">Statistical </w:t>
      </w:r>
      <w:r w:rsidR="00B37618" w:rsidRPr="0099598E">
        <w:t>methods</w:t>
      </w:r>
      <w:r w:rsidR="00402B83" w:rsidRPr="0099598E">
        <w:t xml:space="preserve"> – such </w:t>
      </w:r>
      <w:r w:rsidR="00B37618" w:rsidRPr="0099598E">
        <w:t>as r</w:t>
      </w:r>
      <w:r w:rsidR="004541A6" w:rsidRPr="0099598E">
        <w:t>egression techniques</w:t>
      </w:r>
      <w:r w:rsidRPr="0099598E">
        <w:t xml:space="preserve"> </w:t>
      </w:r>
      <w:r w:rsidR="00402B83" w:rsidRPr="0099598E">
        <w:t xml:space="preserve">were </w:t>
      </w:r>
      <w:r w:rsidRPr="0099598E">
        <w:t>used where appropriate</w:t>
      </w:r>
      <w:r w:rsidR="004541A6" w:rsidRPr="0099598E">
        <w:t xml:space="preserve">. </w:t>
      </w:r>
      <w:r w:rsidR="00D66DCF" w:rsidRPr="0099598E">
        <w:t>For example, to account for varying labour market conditions.</w:t>
      </w:r>
    </w:p>
    <w:p w14:paraId="6252C3C8" w14:textId="77777777" w:rsidR="002F496A" w:rsidRDefault="002F496A" w:rsidP="00054230">
      <w:pPr>
        <w:pStyle w:val="ListParagraph"/>
      </w:pPr>
      <w:r w:rsidRPr="0099598E">
        <w:t xml:space="preserve">Setting appropriate study periods – </w:t>
      </w:r>
      <w:r>
        <w:t xml:space="preserve">where programmes occur in particular </w:t>
      </w:r>
      <w:r w:rsidR="00F721AF">
        <w:t>p</w:t>
      </w:r>
      <w:r>
        <w:t xml:space="preserve">eriods we can ensure that our analyses do not overlap these programmes. For example we excluded the period of operation of the 2014 Work for the Dole pilot, as this had been </w:t>
      </w:r>
      <w:r w:rsidR="006706B3">
        <w:t xml:space="preserve">shown to be effective </w:t>
      </w:r>
      <w:r>
        <w:t xml:space="preserve">and would </w:t>
      </w:r>
      <w:r w:rsidR="000D26A6">
        <w:t xml:space="preserve">make </w:t>
      </w:r>
      <w:r w:rsidR="006706B3">
        <w:t>comparisons</w:t>
      </w:r>
      <w:r w:rsidR="000D26A6">
        <w:t xml:space="preserve"> much less robust.</w:t>
      </w:r>
      <w:r w:rsidR="006E1FD1">
        <w:rPr>
          <w:rStyle w:val="FootnoteReference"/>
        </w:rPr>
        <w:footnoteReference w:id="12"/>
      </w:r>
      <w:r>
        <w:rPr>
          <w:i/>
        </w:rPr>
        <w:t xml:space="preserve"> </w:t>
      </w:r>
    </w:p>
    <w:p w14:paraId="1C2DB64F" w14:textId="77777777" w:rsidR="004541A6" w:rsidRDefault="00402B83" w:rsidP="004541A6">
      <w:r>
        <w:t>To account for service delivery changes affecting different groups of job seekers at different stages of their service history, s</w:t>
      </w:r>
      <w:r w:rsidR="004541A6">
        <w:t xml:space="preserve">pecific groups of job seekers </w:t>
      </w:r>
      <w:r>
        <w:t>were</w:t>
      </w:r>
      <w:r w:rsidR="004541A6">
        <w:t xml:space="preserve"> s</w:t>
      </w:r>
      <w:r w:rsidR="0011132B">
        <w:t xml:space="preserve">elected from </w:t>
      </w:r>
      <w:r w:rsidR="004541A6">
        <w:t>the core study populations</w:t>
      </w:r>
      <w:r w:rsidR="005E1B5A">
        <w:t xml:space="preserve"> (and in some cases outside of them)</w:t>
      </w:r>
      <w:r w:rsidR="004541A6">
        <w:t xml:space="preserve"> and used in separate analyses.</w:t>
      </w:r>
      <w:r w:rsidR="000D26A6">
        <w:t xml:space="preserve"> </w:t>
      </w:r>
      <w:r>
        <w:t>For example, t</w:t>
      </w:r>
      <w:r w:rsidR="004541A6">
        <w:t xml:space="preserve">he CAP changes affected </w:t>
      </w:r>
      <w:r w:rsidR="0026626A">
        <w:t>LTU job seekers</w:t>
      </w:r>
      <w:r>
        <w:t xml:space="preserve"> </w:t>
      </w:r>
      <w:r w:rsidR="004541A6">
        <w:t xml:space="preserve">after 12 months in service, whereas changes to Stream 1 conditions affected job ready job seekers in their first 12 months of service. </w:t>
      </w:r>
      <w:r>
        <w:t xml:space="preserve">Consequently, </w:t>
      </w:r>
      <w:r w:rsidR="004541A6">
        <w:t xml:space="preserve">specific studies have their own </w:t>
      </w:r>
      <w:r>
        <w:t xml:space="preserve">associated </w:t>
      </w:r>
      <w:r w:rsidR="004541A6">
        <w:t xml:space="preserve">methodologies. </w:t>
      </w:r>
      <w:r w:rsidR="00013F41">
        <w:t xml:space="preserve">Details of these various methodologies </w:t>
      </w:r>
      <w:r w:rsidR="009C72C5">
        <w:t xml:space="preserve">used for this report </w:t>
      </w:r>
      <w:r w:rsidR="00013F41">
        <w:t xml:space="preserve">are in Appendix </w:t>
      </w:r>
      <w:r w:rsidR="005E1B5A">
        <w:t>B</w:t>
      </w:r>
      <w:r w:rsidR="00013F41">
        <w:t>.</w:t>
      </w:r>
    </w:p>
    <w:p w14:paraId="20B7C8B2" w14:textId="77777777" w:rsidR="004541A6" w:rsidRDefault="004541A6" w:rsidP="008500E2">
      <w:pPr>
        <w:pStyle w:val="Heading3"/>
      </w:pPr>
      <w:bookmarkStart w:id="113" w:name="_Toc401826408"/>
      <w:bookmarkStart w:id="114" w:name="_Toc402170611"/>
      <w:bookmarkStart w:id="115" w:name="_Toc22543064"/>
      <w:r>
        <w:t>1.</w:t>
      </w:r>
      <w:r w:rsidR="00F43AD8">
        <w:t>3</w:t>
      </w:r>
      <w:r>
        <w:t>.3</w:t>
      </w:r>
      <w:r w:rsidRPr="00C401A9">
        <w:tab/>
      </w:r>
      <w:r>
        <w:t>Data sources</w:t>
      </w:r>
      <w:bookmarkEnd w:id="113"/>
      <w:bookmarkEnd w:id="114"/>
      <w:bookmarkEnd w:id="115"/>
    </w:p>
    <w:p w14:paraId="459B1FE4" w14:textId="77777777" w:rsidR="008E59C0" w:rsidRDefault="008E59C0" w:rsidP="008E59C0">
      <w:r w:rsidRPr="00BF04D0">
        <w:t xml:space="preserve">A variety of </w:t>
      </w:r>
      <w:r>
        <w:t xml:space="preserve">quantitative and qualitative </w:t>
      </w:r>
      <w:r w:rsidRPr="00BF04D0">
        <w:t>data sources were used in th</w:t>
      </w:r>
      <w:r>
        <w:t xml:space="preserve">is </w:t>
      </w:r>
      <w:r w:rsidRPr="00BF04D0">
        <w:t>evaluation</w:t>
      </w:r>
      <w:r w:rsidRPr="001F4054">
        <w:t>, including</w:t>
      </w:r>
      <w:r w:rsidRPr="00BF04D0">
        <w:t xml:space="preserve"> a combination of collectio</w:t>
      </w:r>
      <w:r>
        <w:t>ns designed specifically for this</w:t>
      </w:r>
      <w:r w:rsidRPr="00BF04D0">
        <w:t xml:space="preserve"> evaluation </w:t>
      </w:r>
      <w:r>
        <w:t>as well as</w:t>
      </w:r>
      <w:r w:rsidRPr="00BF04D0">
        <w:t xml:space="preserve"> existing data sources. </w:t>
      </w:r>
      <w:r>
        <w:t>They include:</w:t>
      </w:r>
    </w:p>
    <w:p w14:paraId="6B2355C0" w14:textId="77777777" w:rsidR="00C25EE3" w:rsidRDefault="004541A6" w:rsidP="00C25EE3">
      <w:pPr>
        <w:pStyle w:val="Heading4"/>
        <w:keepNext w:val="0"/>
      </w:pPr>
      <w:r w:rsidRPr="00C25EE3">
        <w:t>Department of Employment administrative data</w:t>
      </w:r>
    </w:p>
    <w:p w14:paraId="459DA47B" w14:textId="77777777" w:rsidR="004541A6" w:rsidRPr="00C25EE3" w:rsidRDefault="004541A6" w:rsidP="005402F0">
      <w:r w:rsidRPr="00C25EE3">
        <w:t>This data includes information on job seekers who have received employment assistance including their JSCI assessments, types of assistance received through employment services, job placements and paid outcomes</w:t>
      </w:r>
      <w:r w:rsidRPr="008E59C0">
        <w:t>.</w:t>
      </w:r>
    </w:p>
    <w:p w14:paraId="4BBBD4BB" w14:textId="77777777" w:rsidR="00C25EE3" w:rsidRDefault="004541A6" w:rsidP="00C25EE3">
      <w:pPr>
        <w:pStyle w:val="Heading4"/>
      </w:pPr>
      <w:r w:rsidRPr="00C25EE3">
        <w:t>Income support data in the Research and Evaluation Dataset (RED)</w:t>
      </w:r>
    </w:p>
    <w:p w14:paraId="7FDCDFCC" w14:textId="77777777" w:rsidR="004541A6" w:rsidRPr="00773009" w:rsidRDefault="004541A6" w:rsidP="005402F0">
      <w:pPr>
        <w:rPr>
          <w:b/>
        </w:rPr>
      </w:pPr>
      <w:r w:rsidRPr="00773009">
        <w:t>RED consists of unit record level data for customers on income support payments (excluding Department of Veterans’ Affairs pensions) who were on an income support payment with duration of at least one day since 1 July 1998</w:t>
      </w:r>
      <w:r>
        <w:t>.</w:t>
      </w:r>
    </w:p>
    <w:p w14:paraId="57829B74" w14:textId="77777777" w:rsidR="00C25EE3" w:rsidRDefault="004541A6" w:rsidP="00C25EE3">
      <w:pPr>
        <w:rPr>
          <w:rStyle w:val="Heading4Char"/>
        </w:rPr>
      </w:pPr>
      <w:r w:rsidRPr="005402F0">
        <w:rPr>
          <w:rStyle w:val="Heading4Char"/>
        </w:rPr>
        <w:t>P</w:t>
      </w:r>
      <w:r w:rsidR="007969CC" w:rsidRPr="005402F0">
        <w:rPr>
          <w:rStyle w:val="Heading4Char"/>
        </w:rPr>
        <w:t xml:space="preserve">ost </w:t>
      </w:r>
      <w:r w:rsidRPr="005402F0">
        <w:rPr>
          <w:rStyle w:val="Heading4Char"/>
        </w:rPr>
        <w:t>P</w:t>
      </w:r>
      <w:r w:rsidR="007969CC" w:rsidRPr="005402F0">
        <w:rPr>
          <w:rStyle w:val="Heading4Char"/>
        </w:rPr>
        <w:t xml:space="preserve">rogramme </w:t>
      </w:r>
      <w:r w:rsidRPr="005402F0">
        <w:rPr>
          <w:rStyle w:val="Heading4Char"/>
        </w:rPr>
        <w:t>M</w:t>
      </w:r>
      <w:r w:rsidR="007969CC" w:rsidRPr="005402F0">
        <w:rPr>
          <w:rStyle w:val="Heading4Char"/>
        </w:rPr>
        <w:t>onitoring</w:t>
      </w:r>
      <w:r w:rsidRPr="005402F0">
        <w:rPr>
          <w:rStyle w:val="Heading4Char"/>
        </w:rPr>
        <w:t xml:space="preserve"> </w:t>
      </w:r>
      <w:r w:rsidR="007969CC" w:rsidRPr="005402F0">
        <w:rPr>
          <w:rStyle w:val="Heading4Char"/>
        </w:rPr>
        <w:t xml:space="preserve">(PPM) </w:t>
      </w:r>
      <w:r w:rsidR="00C86A27">
        <w:rPr>
          <w:rStyle w:val="Heading4Char"/>
        </w:rPr>
        <w:t>s</w:t>
      </w:r>
      <w:r w:rsidR="00655921" w:rsidRPr="005402F0">
        <w:rPr>
          <w:rStyle w:val="Heading4Char"/>
        </w:rPr>
        <w:t xml:space="preserve">urvey </w:t>
      </w:r>
      <w:r w:rsidRPr="005402F0">
        <w:rPr>
          <w:rStyle w:val="Heading4Char"/>
        </w:rPr>
        <w:t>data</w:t>
      </w:r>
    </w:p>
    <w:p w14:paraId="4892A534" w14:textId="77777777" w:rsidR="004541A6" w:rsidRDefault="004541A6" w:rsidP="00C25EE3">
      <w:r w:rsidRPr="008E59C0">
        <w:t xml:space="preserve">Since 1987 the </w:t>
      </w:r>
      <w:r w:rsidR="003C7EBE">
        <w:t>D</w:t>
      </w:r>
      <w:r w:rsidRPr="008E59C0">
        <w:t>epartment has conducted the ongoing Post Programme Monitoring (PPM)</w:t>
      </w:r>
      <w:r w:rsidR="00C86A27">
        <w:t xml:space="preserve"> survey</w:t>
      </w:r>
      <w:r w:rsidRPr="008E59C0">
        <w:t xml:space="preserve"> to measure the labour market and education status of job seekers who participated in employment services. In most cases, outcomes are measured aroun</w:t>
      </w:r>
      <w:r w:rsidR="002C1F24">
        <w:t>d three months post-assistance.</w:t>
      </w:r>
    </w:p>
    <w:p w14:paraId="3CD8A398" w14:textId="77777777" w:rsidR="00C25EE3" w:rsidRDefault="004541A6" w:rsidP="005402F0">
      <w:pPr>
        <w:pStyle w:val="Heading4"/>
      </w:pPr>
      <w:r>
        <w:t>Department of Employment survey data including:</w:t>
      </w:r>
    </w:p>
    <w:p w14:paraId="5E08C0AE" w14:textId="29A660EC" w:rsidR="00C25EE3" w:rsidRPr="007B55E7" w:rsidRDefault="003A1A9C" w:rsidP="00054230">
      <w:pPr>
        <w:pStyle w:val="ListParagraph"/>
      </w:pPr>
      <w:r w:rsidRPr="007B55E7">
        <w:t>t</w:t>
      </w:r>
      <w:r w:rsidR="004541A6" w:rsidRPr="007B55E7">
        <w:t>he survey of Employment Service</w:t>
      </w:r>
      <w:r w:rsidR="00E7638D">
        <w:t>s</w:t>
      </w:r>
      <w:r w:rsidR="004541A6" w:rsidRPr="007B55E7">
        <w:t xml:space="preserve"> Providers</w:t>
      </w:r>
    </w:p>
    <w:p w14:paraId="10D4B179" w14:textId="77777777" w:rsidR="003A1A9C" w:rsidRPr="007B55E7" w:rsidRDefault="003A1A9C" w:rsidP="00054230">
      <w:pPr>
        <w:pStyle w:val="ListParagraph"/>
      </w:pPr>
      <w:r w:rsidRPr="007B55E7">
        <w:t xml:space="preserve">the survey of </w:t>
      </w:r>
      <w:r w:rsidR="001E693A" w:rsidRPr="007B55E7">
        <w:t>E</w:t>
      </w:r>
      <w:r w:rsidRPr="007B55E7">
        <w:t>mployers</w:t>
      </w:r>
    </w:p>
    <w:p w14:paraId="4AA935C4" w14:textId="77777777" w:rsidR="00EF5763" w:rsidRPr="007B55E7" w:rsidRDefault="00EF5763" w:rsidP="00054230">
      <w:pPr>
        <w:pStyle w:val="ListParagraph"/>
      </w:pPr>
      <w:r w:rsidRPr="007B55E7">
        <w:t>2011 Employer Incentives Survey</w:t>
      </w:r>
    </w:p>
    <w:p w14:paraId="58806CA1" w14:textId="77777777" w:rsidR="004541A6" w:rsidRPr="00D22402" w:rsidRDefault="003A1A9C" w:rsidP="00054230">
      <w:pPr>
        <w:pStyle w:val="ListParagraph"/>
      </w:pPr>
      <w:r w:rsidRPr="007B55E7">
        <w:t>t</w:t>
      </w:r>
      <w:r w:rsidR="004541A6" w:rsidRPr="007B55E7">
        <w:t>he Employers</w:t>
      </w:r>
      <w:r w:rsidR="004541A6" w:rsidRPr="00D22402">
        <w:t xml:space="preserve"> use</w:t>
      </w:r>
      <w:r w:rsidRPr="00D22402">
        <w:t xml:space="preserve"> of</w:t>
      </w:r>
      <w:r w:rsidR="004541A6" w:rsidRPr="00D22402">
        <w:t xml:space="preserve"> Recruitment Agencies survey</w:t>
      </w:r>
    </w:p>
    <w:p w14:paraId="51D440D1" w14:textId="77777777" w:rsidR="004541A6" w:rsidRDefault="003A1A9C" w:rsidP="00054230">
      <w:pPr>
        <w:pStyle w:val="ListParagraph"/>
      </w:pPr>
      <w:r w:rsidRPr="00D22402">
        <w:t>t</w:t>
      </w:r>
      <w:r w:rsidR="004541A6" w:rsidRPr="00D22402">
        <w:t xml:space="preserve">he Survey of </w:t>
      </w:r>
      <w:r w:rsidR="004541A6" w:rsidRPr="001F7344">
        <w:t>Employers Recruitment Experience</w:t>
      </w:r>
      <w:r w:rsidR="00664588">
        <w:t>.</w:t>
      </w:r>
    </w:p>
    <w:p w14:paraId="56C77415" w14:textId="77777777" w:rsidR="004541A6" w:rsidRDefault="004541A6" w:rsidP="005402F0">
      <w:pPr>
        <w:pStyle w:val="Heading4"/>
      </w:pPr>
      <w:r w:rsidRPr="001F7344">
        <w:t>Qualitative data</w:t>
      </w:r>
    </w:p>
    <w:p w14:paraId="3CBD2185" w14:textId="77777777" w:rsidR="004541A6" w:rsidRPr="001F7344" w:rsidRDefault="004541A6" w:rsidP="005402F0">
      <w:r>
        <w:t xml:space="preserve">This data </w:t>
      </w:r>
      <w:r w:rsidR="006706B3">
        <w:t>is gained</w:t>
      </w:r>
      <w:r w:rsidR="00877E83">
        <w:t xml:space="preserve"> </w:t>
      </w:r>
      <w:r>
        <w:t>from job seekers, employers and providers during research for specific projects.</w:t>
      </w:r>
      <w:r w:rsidR="00877E83">
        <w:t xml:space="preserve"> This data is collected using a range of qualitative research techniques, including structured interviews and focus groups</w:t>
      </w:r>
      <w:r w:rsidR="00C86A27">
        <w:t>.</w:t>
      </w:r>
    </w:p>
    <w:p w14:paraId="3EBBC7A1" w14:textId="77777777" w:rsidR="004541A6" w:rsidRDefault="004541A6" w:rsidP="0026626A">
      <w:pPr>
        <w:pStyle w:val="Heading4"/>
        <w:keepNext w:val="0"/>
      </w:pPr>
      <w:r w:rsidRPr="00E90990">
        <w:t>A</w:t>
      </w:r>
      <w:r w:rsidR="00C86A27">
        <w:t xml:space="preserve">ustralian </w:t>
      </w:r>
      <w:r w:rsidRPr="00E90990">
        <w:t>B</w:t>
      </w:r>
      <w:r w:rsidR="00C86A27">
        <w:t xml:space="preserve">ureau of </w:t>
      </w:r>
      <w:r w:rsidRPr="00E90990">
        <w:t>S</w:t>
      </w:r>
      <w:r w:rsidR="00C86A27">
        <w:t>tatistics</w:t>
      </w:r>
      <w:r w:rsidRPr="00E90990">
        <w:t xml:space="preserve"> labour force </w:t>
      </w:r>
      <w:r w:rsidR="00B332E1">
        <w:t xml:space="preserve">and other </w:t>
      </w:r>
      <w:r w:rsidRPr="00E90990">
        <w:t>data</w:t>
      </w:r>
      <w:r w:rsidR="00B332E1">
        <w:t xml:space="preserve"> releases</w:t>
      </w:r>
    </w:p>
    <w:p w14:paraId="44E63CEF" w14:textId="77777777" w:rsidR="007978CD" w:rsidRPr="007978CD" w:rsidRDefault="007978CD" w:rsidP="007978CD">
      <w:r>
        <w:t>Data from the Australian Bureau of Statistics</w:t>
      </w:r>
      <w:r w:rsidR="00C86A27">
        <w:t xml:space="preserve"> (ABS)</w:t>
      </w:r>
      <w:r w:rsidR="006706B3">
        <w:t>, including Labour Force, Australia, the Census of Population and Housing, etc.</w:t>
      </w:r>
    </w:p>
    <w:p w14:paraId="4FBC87AC" w14:textId="77777777" w:rsidR="007969CC" w:rsidRDefault="007969CC" w:rsidP="0026626A">
      <w:pPr>
        <w:pStyle w:val="Heading2"/>
        <w:keepNext/>
      </w:pPr>
      <w:bookmarkStart w:id="116" w:name="_Toc450919329"/>
      <w:bookmarkStart w:id="117" w:name="_Toc22543065"/>
      <w:r>
        <w:t>1.4</w:t>
      </w:r>
      <w:r>
        <w:tab/>
        <w:t xml:space="preserve">Scope and </w:t>
      </w:r>
      <w:r w:rsidR="00F43AD8">
        <w:t>l</w:t>
      </w:r>
      <w:r>
        <w:t>imitations</w:t>
      </w:r>
      <w:bookmarkEnd w:id="116"/>
      <w:bookmarkEnd w:id="117"/>
    </w:p>
    <w:p w14:paraId="0EADAC13" w14:textId="77777777" w:rsidR="007969CC" w:rsidRDefault="003B26DB" w:rsidP="00BC326C">
      <w:r>
        <w:t xml:space="preserve">Both </w:t>
      </w:r>
      <w:r w:rsidR="007969CC">
        <w:t xml:space="preserve">Wage Connect </w:t>
      </w:r>
      <w:r>
        <w:t>and the CAP</w:t>
      </w:r>
      <w:r w:rsidR="007969CC">
        <w:t xml:space="preserve"> </w:t>
      </w:r>
      <w:r>
        <w:t>w</w:t>
      </w:r>
      <w:r w:rsidR="0011132B">
        <w:t>ere</w:t>
      </w:r>
      <w:r>
        <w:t xml:space="preserve"> introduced as part of the Building Australia</w:t>
      </w:r>
      <w:r w:rsidR="006706B3">
        <w:t>’</w:t>
      </w:r>
      <w:r>
        <w:t xml:space="preserve">s Future Workforce (BAFW) suite of measures </w:t>
      </w:r>
      <w:r w:rsidR="007969CC">
        <w:t>during the first JSA contract period (1 January 2012)</w:t>
      </w:r>
      <w:r>
        <w:t>. Longer</w:t>
      </w:r>
      <w:r w:rsidR="003C7EBE">
        <w:t>-</w:t>
      </w:r>
      <w:r>
        <w:t>term o</w:t>
      </w:r>
      <w:r w:rsidR="007969CC">
        <w:t>utcomes from th</w:t>
      </w:r>
      <w:r>
        <w:t xml:space="preserve">ese </w:t>
      </w:r>
      <w:r w:rsidR="007969CC">
        <w:t>programme</w:t>
      </w:r>
      <w:r>
        <w:t>s</w:t>
      </w:r>
      <w:r w:rsidR="007969CC">
        <w:t xml:space="preserve"> could not be accounted for in the evaluation of the 2009</w:t>
      </w:r>
      <w:r>
        <w:t xml:space="preserve"> – </w:t>
      </w:r>
      <w:r w:rsidR="007969CC">
        <w:t>2012</w:t>
      </w:r>
      <w:r>
        <w:t xml:space="preserve"> </w:t>
      </w:r>
      <w:r w:rsidR="007969CC">
        <w:t xml:space="preserve">period. </w:t>
      </w:r>
      <w:r w:rsidR="00D66DCF">
        <w:t>B</w:t>
      </w:r>
      <w:r>
        <w:t xml:space="preserve">oth programmes </w:t>
      </w:r>
      <w:r w:rsidR="0011132B">
        <w:t xml:space="preserve">are </w:t>
      </w:r>
      <w:r w:rsidR="007969CC">
        <w:t>in scope of this evaluation.</w:t>
      </w:r>
    </w:p>
    <w:p w14:paraId="37AF1F88" w14:textId="77777777" w:rsidR="007969CC" w:rsidRDefault="007969CC" w:rsidP="00BC326C">
      <w:r>
        <w:t>As t</w:t>
      </w:r>
      <w:r w:rsidRPr="003123DF">
        <w:t xml:space="preserve">his is a </w:t>
      </w:r>
      <w:r>
        <w:t>programme</w:t>
      </w:r>
      <w:r w:rsidRPr="003123DF">
        <w:t xml:space="preserve"> level evaluation </w:t>
      </w:r>
      <w:r>
        <w:t>it</w:t>
      </w:r>
      <w:r w:rsidRPr="003123DF">
        <w:t xml:space="preserve"> </w:t>
      </w:r>
      <w:r w:rsidR="006706B3">
        <w:t xml:space="preserve">excludes </w:t>
      </w:r>
      <w:r w:rsidRPr="003123DF">
        <w:t xml:space="preserve">the performance of individual </w:t>
      </w:r>
      <w:r w:rsidR="00D66DCF">
        <w:t xml:space="preserve">employment </w:t>
      </w:r>
      <w:r w:rsidRPr="003123DF">
        <w:t>service</w:t>
      </w:r>
      <w:r w:rsidR="00D96ADF">
        <w:t>s</w:t>
      </w:r>
      <w:r w:rsidRPr="003123DF">
        <w:t xml:space="preserve"> providers.</w:t>
      </w:r>
    </w:p>
    <w:p w14:paraId="54597AF3" w14:textId="77777777" w:rsidR="00A62F06" w:rsidRDefault="000F4368">
      <w:pPr>
        <w:rPr>
          <w:rFonts w:ascii="Calibri" w:eastAsiaTheme="majorEastAsia" w:hAnsi="Calibri" w:cstheme="majorBidi"/>
          <w:b/>
          <w:bCs/>
          <w:color w:val="1E3D6B"/>
          <w:sz w:val="36"/>
          <w:szCs w:val="28"/>
        </w:rPr>
      </w:pPr>
      <w:r w:rsidRPr="000F4368">
        <w:t xml:space="preserve">Because different </w:t>
      </w:r>
      <w:r w:rsidR="00364746" w:rsidRPr="000F4368">
        <w:t xml:space="preserve">service delivery models </w:t>
      </w:r>
      <w:r>
        <w:t>often</w:t>
      </w:r>
      <w:r w:rsidR="00364746" w:rsidRPr="000F4368">
        <w:t xml:space="preserve"> have different administrative arrangements to JSA 2012</w:t>
      </w:r>
      <w:r w:rsidR="00364746">
        <w:t>,</w:t>
      </w:r>
      <w:r>
        <w:t xml:space="preserve"> </w:t>
      </w:r>
      <w:r w:rsidR="00364746">
        <w:t xml:space="preserve">it </w:t>
      </w:r>
      <w:r w:rsidR="006F2A3F">
        <w:t xml:space="preserve">is </w:t>
      </w:r>
      <w:r w:rsidR="00364746">
        <w:t xml:space="preserve">important that </w:t>
      </w:r>
      <w:r w:rsidR="00D66DCF">
        <w:t>to the extent possible,</w:t>
      </w:r>
      <w:r w:rsidR="005402F0">
        <w:t xml:space="preserve"> </w:t>
      </w:r>
      <w:r w:rsidR="00364746">
        <w:t>key outcome measures be ’model independent‘</w:t>
      </w:r>
      <w:r w:rsidR="006706B3">
        <w:t>.</w:t>
      </w:r>
      <w:r w:rsidR="00364746">
        <w:t xml:space="preserve"> </w:t>
      </w:r>
      <w:r w:rsidR="006F2A3F">
        <w:t>That is</w:t>
      </w:r>
      <w:r w:rsidR="00F978E4">
        <w:t>,</w:t>
      </w:r>
      <w:r w:rsidR="006F2A3F">
        <w:t xml:space="preserve"> t</w:t>
      </w:r>
      <w:r w:rsidR="00364746">
        <w:t>he outcome measures used to evaluate the programme should not rely entirely on programme administrative data which may change between models. M</w:t>
      </w:r>
      <w:r w:rsidR="007177C0">
        <w:t>any</w:t>
      </w:r>
      <w:r w:rsidR="00364746">
        <w:t xml:space="preserve"> of the job seeker outcome measures used in this evaluation are, therefore, based on income support status.</w:t>
      </w:r>
      <w:bookmarkStart w:id="118" w:name="_Toc397333797"/>
      <w:r w:rsidR="00A62F06">
        <w:br w:type="page"/>
      </w:r>
    </w:p>
    <w:p w14:paraId="07CE8E41" w14:textId="77777777" w:rsidR="008500E2" w:rsidRPr="00E85014" w:rsidRDefault="008500E2" w:rsidP="008500E2">
      <w:pPr>
        <w:pStyle w:val="Heading1"/>
      </w:pPr>
      <w:bookmarkStart w:id="119" w:name="_Toc22543066"/>
      <w:r>
        <w:t>2</w:t>
      </w:r>
      <w:r w:rsidRPr="00E85014">
        <w:tab/>
      </w:r>
      <w:bookmarkEnd w:id="118"/>
      <w:r w:rsidR="007969CC">
        <w:t>Population</w:t>
      </w:r>
      <w:r w:rsidR="00810C71">
        <w:t>s</w:t>
      </w:r>
      <w:bookmarkEnd w:id="119"/>
    </w:p>
    <w:p w14:paraId="1A33FC27" w14:textId="77777777" w:rsidR="008500E2" w:rsidRDefault="008500E2" w:rsidP="008500E2">
      <w:pPr>
        <w:pStyle w:val="Heading2"/>
        <w:rPr>
          <w:rFonts w:eastAsia="Times New Roman"/>
        </w:rPr>
      </w:pPr>
      <w:bookmarkStart w:id="120" w:name="_Toc397333802"/>
      <w:bookmarkStart w:id="121" w:name="_Toc450919330"/>
      <w:bookmarkStart w:id="122" w:name="_Toc22543067"/>
      <w:r>
        <w:rPr>
          <w:rFonts w:eastAsia="Times New Roman"/>
        </w:rPr>
        <w:t>2.</w:t>
      </w:r>
      <w:r w:rsidR="00412E9D">
        <w:rPr>
          <w:rFonts w:eastAsia="Times New Roman"/>
        </w:rPr>
        <w:t>1</w:t>
      </w:r>
      <w:r w:rsidR="00016799">
        <w:rPr>
          <w:rFonts w:eastAsia="Times New Roman"/>
        </w:rPr>
        <w:t xml:space="preserve"> </w:t>
      </w:r>
      <w:r>
        <w:rPr>
          <w:rFonts w:eastAsia="Times New Roman"/>
        </w:rPr>
        <w:tab/>
        <w:t xml:space="preserve">Caseload </w:t>
      </w:r>
      <w:r w:rsidR="00412E9D">
        <w:rPr>
          <w:rFonts w:eastAsia="Times New Roman"/>
        </w:rPr>
        <w:t>o</w:t>
      </w:r>
      <w:r>
        <w:rPr>
          <w:rFonts w:eastAsia="Times New Roman"/>
        </w:rPr>
        <w:t>verview</w:t>
      </w:r>
      <w:bookmarkEnd w:id="120"/>
      <w:r w:rsidR="00810C71">
        <w:rPr>
          <w:rFonts w:eastAsia="Times New Roman"/>
        </w:rPr>
        <w:t xml:space="preserve"> JSA 2012 – 2015</w:t>
      </w:r>
      <w:bookmarkEnd w:id="121"/>
      <w:bookmarkEnd w:id="122"/>
    </w:p>
    <w:p w14:paraId="575D21E8" w14:textId="77777777" w:rsidR="00A71255" w:rsidRDefault="00A71255" w:rsidP="00A71255">
      <w:bookmarkStart w:id="123" w:name="_Toc397333803"/>
      <w:r>
        <w:rPr>
          <w:rFonts w:cstheme="minorHAnsi"/>
        </w:rPr>
        <w:t>During the three years of</w:t>
      </w:r>
      <w:r w:rsidR="003319F8">
        <w:rPr>
          <w:rFonts w:cstheme="minorHAnsi"/>
        </w:rPr>
        <w:t xml:space="preserve"> the</w:t>
      </w:r>
      <w:r>
        <w:rPr>
          <w:rFonts w:cstheme="minorHAnsi"/>
        </w:rPr>
        <w:t xml:space="preserve"> JSA 2012 operation</w:t>
      </w:r>
      <w:r w:rsidR="003319F8">
        <w:rPr>
          <w:rFonts w:cstheme="minorHAnsi"/>
        </w:rPr>
        <w:t>,</w:t>
      </w:r>
      <w:r>
        <w:rPr>
          <w:rFonts w:cstheme="minorHAnsi"/>
        </w:rPr>
        <w:t xml:space="preserve"> </w:t>
      </w:r>
      <w:r w:rsidR="006772FF">
        <w:rPr>
          <w:rFonts w:cstheme="minorHAnsi"/>
        </w:rPr>
        <w:t xml:space="preserve">there were </w:t>
      </w:r>
      <w:r>
        <w:rPr>
          <w:rFonts w:cstheme="minorHAnsi"/>
        </w:rPr>
        <w:t xml:space="preserve">2,097,816 </w:t>
      </w:r>
      <w:r w:rsidR="006772FF">
        <w:rPr>
          <w:rFonts w:cstheme="minorHAnsi"/>
        </w:rPr>
        <w:t xml:space="preserve">referrals of </w:t>
      </w:r>
      <w:r>
        <w:rPr>
          <w:rFonts w:cstheme="minorHAnsi"/>
        </w:rPr>
        <w:t>job seekers to JSA providers</w:t>
      </w:r>
      <w:r w:rsidR="003319F8">
        <w:rPr>
          <w:rFonts w:cstheme="minorHAnsi"/>
        </w:rPr>
        <w:t xml:space="preserve">. The </w:t>
      </w:r>
      <w:r>
        <w:rPr>
          <w:rFonts w:cstheme="minorHAnsi"/>
        </w:rPr>
        <w:t>active caseload gr</w:t>
      </w:r>
      <w:r w:rsidR="003319F8">
        <w:rPr>
          <w:rFonts w:cstheme="minorHAnsi"/>
        </w:rPr>
        <w:t>e</w:t>
      </w:r>
      <w:r>
        <w:rPr>
          <w:rFonts w:cstheme="minorHAnsi"/>
        </w:rPr>
        <w:t xml:space="preserve">w by over </w:t>
      </w:r>
      <w:r w:rsidR="00655921">
        <w:rPr>
          <w:rFonts w:cstheme="minorHAnsi"/>
        </w:rPr>
        <w:t xml:space="preserve">9 </w:t>
      </w:r>
      <w:r>
        <w:rPr>
          <w:rFonts w:cstheme="minorHAnsi"/>
        </w:rPr>
        <w:t xml:space="preserve">per cent from 739,523 in July 2012 </w:t>
      </w:r>
      <w:r w:rsidRPr="00006A36">
        <w:rPr>
          <w:rFonts w:cstheme="minorHAnsi"/>
        </w:rPr>
        <w:t>to 809,</w:t>
      </w:r>
      <w:r>
        <w:rPr>
          <w:rFonts w:cstheme="minorHAnsi"/>
        </w:rPr>
        <w:t>189 by June 2015, peaking at 828,</w:t>
      </w:r>
      <w:r w:rsidR="00F912BF">
        <w:rPr>
          <w:rFonts w:cstheme="minorHAnsi"/>
        </w:rPr>
        <w:t xml:space="preserve">852 </w:t>
      </w:r>
      <w:r>
        <w:rPr>
          <w:rFonts w:cstheme="minorHAnsi"/>
        </w:rPr>
        <w:t xml:space="preserve">in February 2015. </w:t>
      </w:r>
      <w:r w:rsidR="004314A0">
        <w:rPr>
          <w:rFonts w:cstheme="minorHAnsi"/>
        </w:rPr>
        <w:t xml:space="preserve">A seasonal pattern is observed in the caseload figures with increases </w:t>
      </w:r>
      <w:r w:rsidR="00877E83">
        <w:rPr>
          <w:rFonts w:cstheme="minorHAnsi"/>
        </w:rPr>
        <w:t>between December and February</w:t>
      </w:r>
      <w:r>
        <w:rPr>
          <w:rFonts w:cstheme="minorHAnsi"/>
        </w:rPr>
        <w:t xml:space="preserve"> for each of the three years, </w:t>
      </w:r>
      <w:r w:rsidR="003319F8">
        <w:rPr>
          <w:rFonts w:cstheme="minorHAnsi"/>
        </w:rPr>
        <w:t xml:space="preserve">showing </w:t>
      </w:r>
      <w:r>
        <w:rPr>
          <w:rFonts w:cstheme="minorHAnsi"/>
        </w:rPr>
        <w:t>the magnitude of the caseload slightly larger each time than for the corresponding quarter in the previous year</w:t>
      </w:r>
      <w:r w:rsidR="00CA462C">
        <w:rPr>
          <w:rFonts w:cstheme="minorHAnsi"/>
        </w:rPr>
        <w:t xml:space="preserve"> (Figure 2.1)</w:t>
      </w:r>
      <w:r>
        <w:rPr>
          <w:rFonts w:cstheme="minorHAnsi"/>
        </w:rPr>
        <w:t>.</w:t>
      </w:r>
    </w:p>
    <w:p w14:paraId="2AEAB4E6" w14:textId="77777777" w:rsidR="00A71255" w:rsidRPr="00EC6C8B" w:rsidRDefault="00CF00FC" w:rsidP="00373F75">
      <w:pPr>
        <w:pStyle w:val="Figureheadingforcontents"/>
      </w:pPr>
      <w:bookmarkStart w:id="124" w:name="_Toc436400133"/>
      <w:bookmarkStart w:id="125" w:name="_Toc436400263"/>
      <w:bookmarkStart w:id="126" w:name="_Toc443152017"/>
      <w:bookmarkStart w:id="127" w:name="_Toc22544023"/>
      <w:r>
        <w:t>Figure 2.1:</w:t>
      </w:r>
      <w:r w:rsidR="007752F6">
        <w:t xml:space="preserve"> </w:t>
      </w:r>
      <w:r w:rsidR="00A71255" w:rsidRPr="00EC6C8B">
        <w:t>Active JSA caseload, July 2012 to June 2015</w:t>
      </w:r>
      <w:bookmarkEnd w:id="124"/>
      <w:bookmarkEnd w:id="125"/>
      <w:bookmarkEnd w:id="126"/>
      <w:r w:rsidR="00A12E8A">
        <w:t xml:space="preserve"> </w:t>
      </w:r>
      <w:r w:rsidR="00640731">
        <w:t>(monthly numbers)</w:t>
      </w:r>
      <w:bookmarkEnd w:id="127"/>
    </w:p>
    <w:p w14:paraId="092A9973" w14:textId="77777777" w:rsidR="00B771D9" w:rsidRDefault="00D44AAA" w:rsidP="00170EE9">
      <w:pPr>
        <w:pStyle w:val="Note"/>
        <w:rPr>
          <w:b/>
        </w:rPr>
      </w:pPr>
      <w:r w:rsidRPr="00D44AAA">
        <w:rPr>
          <w:noProof/>
          <w:lang w:eastAsia="en-AU"/>
        </w:rPr>
        <w:drawing>
          <wp:inline distT="0" distB="0" distL="0" distR="0" wp14:anchorId="4171418C" wp14:editId="30EC6BB5">
            <wp:extent cx="5732145" cy="3708083"/>
            <wp:effectExtent l="0" t="0" r="1905" b="6985"/>
            <wp:docPr id="1" name="Picture 1" descr="Area chart showing the active caseload by stream. This figure illustrates the seasonal peaks mentioned above. It also shows that the active caseload grew between July 2012 and June 2015, as discussed in the previous paragraph.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2145" cy="3708083"/>
                    </a:xfrm>
                    <a:prstGeom prst="rect">
                      <a:avLst/>
                    </a:prstGeom>
                    <a:noFill/>
                    <a:ln>
                      <a:noFill/>
                    </a:ln>
                  </pic:spPr>
                </pic:pic>
              </a:graphicData>
            </a:graphic>
          </wp:inline>
        </w:drawing>
      </w:r>
    </w:p>
    <w:p w14:paraId="424D859A" w14:textId="77777777" w:rsidR="00E80C53" w:rsidRDefault="00A71255" w:rsidP="00170EE9">
      <w:pPr>
        <w:pStyle w:val="Note"/>
      </w:pPr>
      <w:r w:rsidRPr="00170EE9">
        <w:rPr>
          <w:b/>
        </w:rPr>
        <w:t>Note</w:t>
      </w:r>
      <w:r w:rsidR="00E80C53">
        <w:rPr>
          <w:b/>
        </w:rPr>
        <w:t>s</w:t>
      </w:r>
      <w:r w:rsidRPr="00170EE9">
        <w:rPr>
          <w:b/>
        </w:rPr>
        <w:t>:</w:t>
      </w:r>
      <w:r w:rsidR="004D4671" w:rsidRPr="00170EE9">
        <w:tab/>
      </w:r>
    </w:p>
    <w:p w14:paraId="330B40F5" w14:textId="77777777" w:rsidR="00A71255" w:rsidRPr="00BC2802" w:rsidRDefault="00A71255" w:rsidP="00BC2802">
      <w:pPr>
        <w:pStyle w:val="Notesnumbered"/>
        <w:numPr>
          <w:ilvl w:val="0"/>
          <w:numId w:val="224"/>
        </w:numPr>
      </w:pPr>
      <w:r w:rsidRPr="00170EE9">
        <w:t xml:space="preserve">Data as </w:t>
      </w:r>
      <w:r w:rsidRPr="00BC2802">
        <w:t>at 30 June 2015.</w:t>
      </w:r>
    </w:p>
    <w:p w14:paraId="51C7D2F1" w14:textId="77777777" w:rsidR="00E80C53" w:rsidRPr="00170EE9" w:rsidRDefault="00E80C53" w:rsidP="00BC2802">
      <w:pPr>
        <w:pStyle w:val="Notesnumbered"/>
        <w:numPr>
          <w:ilvl w:val="0"/>
          <w:numId w:val="224"/>
        </w:numPr>
      </w:pPr>
      <w:r w:rsidRPr="00BC2802">
        <w:t xml:space="preserve">Refer </w:t>
      </w:r>
      <w:hyperlink w:anchor="Title_A21" w:history="1">
        <w:r w:rsidRPr="004A74AA">
          <w:rPr>
            <w:rStyle w:val="Hyperlink"/>
          </w:rPr>
          <w:t>Appendix</w:t>
        </w:r>
        <w:r w:rsidRPr="004A74AA">
          <w:rPr>
            <w:rStyle w:val="Hyperlink"/>
            <w:szCs w:val="20"/>
          </w:rPr>
          <w:t xml:space="preserve"> A, Table A2.1</w:t>
        </w:r>
      </w:hyperlink>
      <w:r>
        <w:rPr>
          <w:rStyle w:val="SourceandnotetextChar"/>
        </w:rPr>
        <w:t>.</w:t>
      </w:r>
      <w:bookmarkStart w:id="128" w:name="Place_A21"/>
      <w:bookmarkEnd w:id="128"/>
    </w:p>
    <w:p w14:paraId="79F43C84" w14:textId="77777777" w:rsidR="00170EE9" w:rsidRPr="0033478B" w:rsidRDefault="00170EE9" w:rsidP="0033478B">
      <w:pPr>
        <w:pStyle w:val="Source"/>
      </w:pPr>
      <w:r w:rsidRPr="0033478B">
        <w:rPr>
          <w:b/>
        </w:rPr>
        <w:t>Source:</w:t>
      </w:r>
      <w:r w:rsidRPr="0033478B">
        <w:t xml:space="preserve"> </w:t>
      </w:r>
      <w:r w:rsidRPr="0033478B">
        <w:tab/>
        <w:t>Department of Employment administrative data</w:t>
      </w:r>
      <w:r w:rsidRPr="0033478B">
        <w:rPr>
          <w:rStyle w:val="SourceandnotetextChar"/>
        </w:rPr>
        <w:t>.</w:t>
      </w:r>
    </w:p>
    <w:p w14:paraId="29C29368" w14:textId="77777777" w:rsidR="001C639A" w:rsidRPr="001C639A" w:rsidRDefault="001C639A" w:rsidP="001C639A">
      <w:pPr>
        <w:pStyle w:val="Normalhangingindent"/>
        <w:ind w:left="0" w:firstLine="0"/>
        <w:rPr>
          <w:noProof/>
        </w:rPr>
      </w:pPr>
      <w:r w:rsidRPr="001C639A">
        <w:rPr>
          <w:noProof/>
        </w:rPr>
        <w:t xml:space="preserve">Table 2.1 </w:t>
      </w:r>
      <w:r>
        <w:rPr>
          <w:noProof/>
        </w:rPr>
        <w:t>shows the difference in composition of the caseload by stream between the beginning and end of the evaluation period.</w:t>
      </w:r>
    </w:p>
    <w:p w14:paraId="289DD593" w14:textId="77777777" w:rsidR="006B29A2" w:rsidRPr="000E1345" w:rsidRDefault="006B29A2" w:rsidP="006B29A2">
      <w:pPr>
        <w:pStyle w:val="Tableforcontents"/>
      </w:pPr>
      <w:bookmarkStart w:id="129" w:name="_Toc22543970"/>
      <w:r w:rsidRPr="000E1345">
        <w:t>Table</w:t>
      </w:r>
      <w:r>
        <w:t xml:space="preserve"> 2.1:</w:t>
      </w:r>
      <w:r w:rsidR="007752F6">
        <w:t xml:space="preserve"> </w:t>
      </w:r>
      <w:r>
        <w:t>Caseload by Stream July 2012 and June 2015 (per cent)</w:t>
      </w:r>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2054"/>
        <w:gridCol w:w="2026"/>
        <w:gridCol w:w="2119"/>
      </w:tblGrid>
      <w:tr w:rsidR="006B29A2" w:rsidRPr="0011747A" w14:paraId="2A988142" w14:textId="77777777" w:rsidTr="00834103">
        <w:trPr>
          <w:tblHeader/>
        </w:trPr>
        <w:tc>
          <w:tcPr>
            <w:tcW w:w="1212" w:type="dxa"/>
            <w:shd w:val="clear" w:color="auto" w:fill="1E3D6B"/>
          </w:tcPr>
          <w:p w14:paraId="4A17253E" w14:textId="77777777" w:rsidR="006B29A2" w:rsidRPr="0011747A" w:rsidRDefault="006B29A2" w:rsidP="00DB777F">
            <w:pPr>
              <w:pStyle w:val="Tableheadingleft"/>
              <w:spacing w:before="99" w:after="33"/>
            </w:pPr>
            <w:bookmarkStart w:id="130" w:name="Title_21"/>
            <w:bookmarkEnd w:id="130"/>
            <w:r>
              <w:t>Stream</w:t>
            </w:r>
          </w:p>
        </w:tc>
        <w:tc>
          <w:tcPr>
            <w:tcW w:w="2054" w:type="dxa"/>
            <w:shd w:val="clear" w:color="auto" w:fill="1E3D6B"/>
          </w:tcPr>
          <w:p w14:paraId="74FCA83E" w14:textId="77777777" w:rsidR="006B29A2" w:rsidRPr="0011747A" w:rsidRDefault="006B29A2" w:rsidP="00DB777F">
            <w:pPr>
              <w:pStyle w:val="Tableheadingright"/>
              <w:spacing w:before="99" w:after="33"/>
            </w:pPr>
            <w:r>
              <w:t xml:space="preserve">July 2012 </w:t>
            </w:r>
          </w:p>
        </w:tc>
        <w:tc>
          <w:tcPr>
            <w:tcW w:w="2026" w:type="dxa"/>
            <w:shd w:val="clear" w:color="auto" w:fill="1E3D6B"/>
          </w:tcPr>
          <w:p w14:paraId="1BCF41DF" w14:textId="77777777" w:rsidR="006B29A2" w:rsidRPr="0011747A" w:rsidRDefault="006B29A2" w:rsidP="00DB777F">
            <w:pPr>
              <w:pStyle w:val="Tableheadingright"/>
              <w:spacing w:before="99" w:after="33"/>
            </w:pPr>
            <w:r>
              <w:t>June 2015</w:t>
            </w:r>
          </w:p>
        </w:tc>
        <w:tc>
          <w:tcPr>
            <w:tcW w:w="2119" w:type="dxa"/>
            <w:shd w:val="clear" w:color="auto" w:fill="1E3D6B"/>
          </w:tcPr>
          <w:p w14:paraId="791EB87D" w14:textId="77777777" w:rsidR="006B29A2" w:rsidRPr="0011747A" w:rsidRDefault="006B29A2" w:rsidP="00DB777F">
            <w:pPr>
              <w:pStyle w:val="Tableheadingright"/>
              <w:spacing w:before="99" w:after="33"/>
            </w:pPr>
            <w:r>
              <w:t>Difference</w:t>
            </w:r>
          </w:p>
        </w:tc>
      </w:tr>
      <w:tr w:rsidR="006B29A2" w:rsidRPr="00D06E1A" w14:paraId="4E1D9003" w14:textId="77777777" w:rsidTr="00834103">
        <w:trPr>
          <w:trHeight w:hRule="exact" w:val="340"/>
        </w:trPr>
        <w:tc>
          <w:tcPr>
            <w:tcW w:w="1212" w:type="dxa"/>
            <w:vAlign w:val="center"/>
          </w:tcPr>
          <w:p w14:paraId="37A37F8B" w14:textId="77777777" w:rsidR="006B29A2" w:rsidRPr="00D06E1A" w:rsidRDefault="006B29A2" w:rsidP="00DB777F">
            <w:pPr>
              <w:pStyle w:val="Tablefirstcolumn"/>
            </w:pPr>
            <w:r w:rsidRPr="00D06E1A">
              <w:t>Stream 1</w:t>
            </w:r>
          </w:p>
        </w:tc>
        <w:tc>
          <w:tcPr>
            <w:tcW w:w="2054" w:type="dxa"/>
            <w:vAlign w:val="center"/>
          </w:tcPr>
          <w:p w14:paraId="1660C4AD" w14:textId="77777777" w:rsidR="006B29A2" w:rsidRPr="00D06E1A" w:rsidRDefault="006B29A2" w:rsidP="00DB777F">
            <w:pPr>
              <w:pStyle w:val="tablebodytextright"/>
              <w:spacing w:before="83" w:after="33"/>
              <w:ind w:right="257"/>
              <w:rPr>
                <w:sz w:val="20"/>
                <w:szCs w:val="20"/>
              </w:rPr>
            </w:pPr>
            <w:r>
              <w:t>28.7</w:t>
            </w:r>
          </w:p>
        </w:tc>
        <w:tc>
          <w:tcPr>
            <w:tcW w:w="2026" w:type="dxa"/>
            <w:vAlign w:val="center"/>
          </w:tcPr>
          <w:p w14:paraId="1965D7C6" w14:textId="77777777" w:rsidR="006B29A2" w:rsidRPr="00D06E1A" w:rsidRDefault="00555CE6" w:rsidP="00DB777F">
            <w:pPr>
              <w:pStyle w:val="tablebodytextright"/>
              <w:spacing w:before="83" w:after="33"/>
              <w:ind w:right="257"/>
              <w:rPr>
                <w:sz w:val="20"/>
                <w:szCs w:val="20"/>
              </w:rPr>
            </w:pPr>
            <w:r>
              <w:t>36</w:t>
            </w:r>
            <w:r w:rsidR="006B29A2">
              <w:t>.</w:t>
            </w:r>
            <w:r>
              <w:t>0</w:t>
            </w:r>
          </w:p>
        </w:tc>
        <w:tc>
          <w:tcPr>
            <w:tcW w:w="2119" w:type="dxa"/>
            <w:vAlign w:val="center"/>
          </w:tcPr>
          <w:p w14:paraId="73137FDF" w14:textId="77777777" w:rsidR="006B29A2" w:rsidRPr="00D06E1A" w:rsidRDefault="00555CE6" w:rsidP="00DB777F">
            <w:pPr>
              <w:pStyle w:val="tablebodytextright"/>
              <w:spacing w:before="83" w:after="33"/>
              <w:ind w:right="257"/>
              <w:rPr>
                <w:sz w:val="20"/>
                <w:szCs w:val="20"/>
              </w:rPr>
            </w:pPr>
            <w:r>
              <w:rPr>
                <w:sz w:val="20"/>
                <w:szCs w:val="20"/>
              </w:rPr>
              <w:t>7.3</w:t>
            </w:r>
          </w:p>
        </w:tc>
      </w:tr>
      <w:tr w:rsidR="006B29A2" w:rsidRPr="00D06E1A" w14:paraId="53C23620" w14:textId="77777777" w:rsidTr="00834103">
        <w:trPr>
          <w:trHeight w:hRule="exact" w:val="340"/>
        </w:trPr>
        <w:tc>
          <w:tcPr>
            <w:tcW w:w="1212" w:type="dxa"/>
            <w:shd w:val="clear" w:color="auto" w:fill="E5E5E5" w:themeFill="background1" w:themeFillTint="33"/>
            <w:vAlign w:val="center"/>
          </w:tcPr>
          <w:p w14:paraId="5F2AA29F" w14:textId="77777777" w:rsidR="006B29A2" w:rsidRPr="00D06E1A" w:rsidRDefault="006B29A2" w:rsidP="00DB777F">
            <w:pPr>
              <w:pStyle w:val="Tablefirstcolumn"/>
            </w:pPr>
            <w:r w:rsidRPr="00D06E1A">
              <w:t>Stream 2</w:t>
            </w:r>
          </w:p>
        </w:tc>
        <w:tc>
          <w:tcPr>
            <w:tcW w:w="2054" w:type="dxa"/>
            <w:shd w:val="clear" w:color="auto" w:fill="E5E5E5" w:themeFill="background1" w:themeFillTint="33"/>
            <w:vAlign w:val="center"/>
          </w:tcPr>
          <w:p w14:paraId="01AD9E4F" w14:textId="77777777" w:rsidR="006B29A2" w:rsidRPr="00D06E1A" w:rsidRDefault="006B29A2" w:rsidP="00DB777F">
            <w:pPr>
              <w:pStyle w:val="tablebodytextright"/>
              <w:spacing w:before="83" w:after="33"/>
              <w:ind w:right="257"/>
              <w:rPr>
                <w:sz w:val="20"/>
                <w:szCs w:val="20"/>
              </w:rPr>
            </w:pPr>
            <w:r>
              <w:t>24.9</w:t>
            </w:r>
          </w:p>
        </w:tc>
        <w:tc>
          <w:tcPr>
            <w:tcW w:w="2026" w:type="dxa"/>
            <w:shd w:val="clear" w:color="auto" w:fill="E5E5E5" w:themeFill="background1" w:themeFillTint="33"/>
            <w:vAlign w:val="center"/>
          </w:tcPr>
          <w:p w14:paraId="7C9EE96E" w14:textId="77777777" w:rsidR="006B29A2" w:rsidRPr="00D06E1A" w:rsidRDefault="00555CE6" w:rsidP="00DB777F">
            <w:pPr>
              <w:pStyle w:val="tablebodytextright"/>
              <w:spacing w:before="83" w:after="33"/>
              <w:ind w:right="257"/>
              <w:rPr>
                <w:sz w:val="20"/>
                <w:szCs w:val="20"/>
              </w:rPr>
            </w:pPr>
            <w:r>
              <w:rPr>
                <w:sz w:val="20"/>
                <w:szCs w:val="20"/>
              </w:rPr>
              <w:t>2</w:t>
            </w:r>
            <w:r w:rsidRPr="00D06E1A">
              <w:rPr>
                <w:sz w:val="20"/>
                <w:szCs w:val="20"/>
              </w:rPr>
              <w:t>4</w:t>
            </w:r>
            <w:r w:rsidR="006B29A2" w:rsidRPr="00D06E1A">
              <w:rPr>
                <w:sz w:val="20"/>
                <w:szCs w:val="20"/>
              </w:rPr>
              <w:t>.</w:t>
            </w:r>
            <w:r>
              <w:rPr>
                <w:sz w:val="20"/>
                <w:szCs w:val="20"/>
              </w:rPr>
              <w:t>8</w:t>
            </w:r>
          </w:p>
        </w:tc>
        <w:tc>
          <w:tcPr>
            <w:tcW w:w="2119" w:type="dxa"/>
            <w:shd w:val="clear" w:color="auto" w:fill="E5E5E5" w:themeFill="background1" w:themeFillTint="33"/>
            <w:vAlign w:val="center"/>
          </w:tcPr>
          <w:p w14:paraId="776E0BA8" w14:textId="77777777" w:rsidR="006B29A2" w:rsidRPr="00D06E1A" w:rsidRDefault="00D6383E" w:rsidP="00DB777F">
            <w:pPr>
              <w:pStyle w:val="tablebodytextright"/>
              <w:spacing w:before="83" w:after="33"/>
              <w:ind w:right="257"/>
              <w:rPr>
                <w:sz w:val="20"/>
                <w:szCs w:val="20"/>
              </w:rPr>
            </w:pPr>
            <w:r>
              <w:rPr>
                <w:sz w:val="20"/>
                <w:szCs w:val="20"/>
              </w:rPr>
              <w:t>0.1</w:t>
            </w:r>
          </w:p>
        </w:tc>
      </w:tr>
      <w:tr w:rsidR="006B29A2" w:rsidRPr="00D06E1A" w14:paraId="28C12F71" w14:textId="77777777" w:rsidTr="00834103">
        <w:trPr>
          <w:trHeight w:hRule="exact" w:val="340"/>
        </w:trPr>
        <w:tc>
          <w:tcPr>
            <w:tcW w:w="1212" w:type="dxa"/>
            <w:vAlign w:val="center"/>
          </w:tcPr>
          <w:p w14:paraId="5CA33A79" w14:textId="77777777" w:rsidR="006B29A2" w:rsidRPr="00D06E1A" w:rsidRDefault="006B29A2" w:rsidP="00DB777F">
            <w:pPr>
              <w:pStyle w:val="Tablefirstcolumn"/>
            </w:pPr>
            <w:r w:rsidRPr="00D06E1A">
              <w:t>Stream 3</w:t>
            </w:r>
          </w:p>
        </w:tc>
        <w:tc>
          <w:tcPr>
            <w:tcW w:w="2054" w:type="dxa"/>
            <w:vAlign w:val="center"/>
          </w:tcPr>
          <w:p w14:paraId="7D070D6B" w14:textId="77777777" w:rsidR="006B29A2" w:rsidRPr="00D06E1A" w:rsidRDefault="006B29A2" w:rsidP="00DB777F">
            <w:pPr>
              <w:pStyle w:val="tablebodytextright"/>
              <w:spacing w:before="83" w:after="33"/>
              <w:ind w:right="257"/>
              <w:rPr>
                <w:sz w:val="20"/>
                <w:szCs w:val="20"/>
              </w:rPr>
            </w:pPr>
            <w:r>
              <w:t>22.2</w:t>
            </w:r>
          </w:p>
        </w:tc>
        <w:tc>
          <w:tcPr>
            <w:tcW w:w="2026" w:type="dxa"/>
            <w:vAlign w:val="center"/>
          </w:tcPr>
          <w:p w14:paraId="129ABD6E" w14:textId="77777777" w:rsidR="006B29A2" w:rsidRPr="00D06E1A" w:rsidRDefault="00555CE6" w:rsidP="00DB777F">
            <w:pPr>
              <w:pStyle w:val="tablebodytextright"/>
              <w:spacing w:before="83" w:after="33"/>
              <w:ind w:right="257"/>
              <w:rPr>
                <w:sz w:val="20"/>
                <w:szCs w:val="20"/>
              </w:rPr>
            </w:pPr>
            <w:r>
              <w:rPr>
                <w:sz w:val="20"/>
                <w:szCs w:val="20"/>
              </w:rPr>
              <w:t>18.8</w:t>
            </w:r>
          </w:p>
        </w:tc>
        <w:tc>
          <w:tcPr>
            <w:tcW w:w="2119" w:type="dxa"/>
            <w:vAlign w:val="center"/>
          </w:tcPr>
          <w:p w14:paraId="5561ECAB" w14:textId="77777777" w:rsidR="006B29A2" w:rsidRPr="00D06E1A" w:rsidRDefault="00D6383E" w:rsidP="00DB777F">
            <w:pPr>
              <w:pStyle w:val="tablebodytextright"/>
              <w:spacing w:before="83" w:after="33"/>
              <w:ind w:right="257"/>
              <w:rPr>
                <w:sz w:val="20"/>
                <w:szCs w:val="20"/>
              </w:rPr>
            </w:pPr>
            <w:r>
              <w:rPr>
                <w:sz w:val="20"/>
                <w:szCs w:val="20"/>
              </w:rPr>
              <w:t>-3.4</w:t>
            </w:r>
          </w:p>
        </w:tc>
      </w:tr>
      <w:tr w:rsidR="006B29A2" w:rsidRPr="00D06E1A" w14:paraId="5F49DFD4" w14:textId="77777777" w:rsidTr="0020771F">
        <w:trPr>
          <w:trHeight w:hRule="exact" w:val="340"/>
        </w:trPr>
        <w:tc>
          <w:tcPr>
            <w:tcW w:w="1212" w:type="dxa"/>
            <w:shd w:val="clear" w:color="auto" w:fill="E5E5E5" w:themeFill="background1" w:themeFillTint="33"/>
            <w:vAlign w:val="center"/>
          </w:tcPr>
          <w:p w14:paraId="1645DB4B" w14:textId="77777777" w:rsidR="006B29A2" w:rsidRPr="00D06E1A" w:rsidRDefault="006B29A2" w:rsidP="00DB777F">
            <w:pPr>
              <w:pStyle w:val="Tablefirstcolumn"/>
            </w:pPr>
            <w:r w:rsidRPr="00D06E1A">
              <w:t>Stream 4</w:t>
            </w:r>
          </w:p>
        </w:tc>
        <w:tc>
          <w:tcPr>
            <w:tcW w:w="2054" w:type="dxa"/>
            <w:shd w:val="clear" w:color="auto" w:fill="E5E5E5" w:themeFill="background1" w:themeFillTint="33"/>
            <w:vAlign w:val="center"/>
          </w:tcPr>
          <w:p w14:paraId="10FA8C8A" w14:textId="77777777" w:rsidR="006B29A2" w:rsidRPr="00D06E1A" w:rsidRDefault="006B29A2" w:rsidP="00DB777F">
            <w:pPr>
              <w:pStyle w:val="tablebodytextright"/>
              <w:spacing w:before="83" w:after="33"/>
              <w:ind w:right="257"/>
              <w:rPr>
                <w:sz w:val="20"/>
                <w:szCs w:val="20"/>
              </w:rPr>
            </w:pPr>
            <w:r>
              <w:t>22.1</w:t>
            </w:r>
          </w:p>
        </w:tc>
        <w:tc>
          <w:tcPr>
            <w:tcW w:w="2026" w:type="dxa"/>
            <w:shd w:val="clear" w:color="auto" w:fill="E5E5E5" w:themeFill="background1" w:themeFillTint="33"/>
            <w:vAlign w:val="center"/>
          </w:tcPr>
          <w:p w14:paraId="76EE37C3" w14:textId="77777777" w:rsidR="006B29A2" w:rsidRPr="00D06E1A" w:rsidRDefault="00555CE6" w:rsidP="00DB777F">
            <w:pPr>
              <w:pStyle w:val="tablebodytextright"/>
              <w:spacing w:before="83" w:after="33"/>
              <w:ind w:right="257"/>
              <w:rPr>
                <w:sz w:val="20"/>
                <w:szCs w:val="20"/>
              </w:rPr>
            </w:pPr>
            <w:r>
              <w:rPr>
                <w:sz w:val="20"/>
                <w:szCs w:val="20"/>
              </w:rPr>
              <w:t>19.4</w:t>
            </w:r>
          </w:p>
        </w:tc>
        <w:tc>
          <w:tcPr>
            <w:tcW w:w="2119" w:type="dxa"/>
            <w:shd w:val="clear" w:color="auto" w:fill="E5E5E5" w:themeFill="background1" w:themeFillTint="33"/>
            <w:vAlign w:val="center"/>
          </w:tcPr>
          <w:p w14:paraId="2BDE256F" w14:textId="77777777" w:rsidR="006B29A2" w:rsidRDefault="00D6383E" w:rsidP="00DB777F">
            <w:pPr>
              <w:pStyle w:val="tablebodytextright"/>
              <w:spacing w:before="83" w:after="33"/>
              <w:ind w:right="257"/>
              <w:rPr>
                <w:sz w:val="20"/>
                <w:szCs w:val="20"/>
              </w:rPr>
            </w:pPr>
            <w:r>
              <w:rPr>
                <w:sz w:val="20"/>
                <w:szCs w:val="20"/>
              </w:rPr>
              <w:t>-2.7</w:t>
            </w:r>
          </w:p>
          <w:p w14:paraId="044ED4E4" w14:textId="77777777" w:rsidR="00D6383E" w:rsidRPr="00D06E1A" w:rsidRDefault="00D6383E" w:rsidP="00DB777F">
            <w:pPr>
              <w:pStyle w:val="tablebodytextright"/>
              <w:spacing w:before="83" w:after="33"/>
              <w:ind w:right="257"/>
              <w:rPr>
                <w:sz w:val="20"/>
                <w:szCs w:val="20"/>
              </w:rPr>
            </w:pPr>
          </w:p>
        </w:tc>
      </w:tr>
      <w:tr w:rsidR="006B29A2" w:rsidRPr="00834103" w14:paraId="20C91F4E" w14:textId="77777777" w:rsidTr="0020771F">
        <w:trPr>
          <w:trHeight w:hRule="exact" w:val="340"/>
        </w:trPr>
        <w:tc>
          <w:tcPr>
            <w:tcW w:w="1212" w:type="dxa"/>
            <w:shd w:val="clear" w:color="auto" w:fill="8EAEDE"/>
            <w:vAlign w:val="center"/>
          </w:tcPr>
          <w:p w14:paraId="301CC047" w14:textId="77777777" w:rsidR="006B29A2" w:rsidRPr="00834103" w:rsidRDefault="006B29A2" w:rsidP="00DB777F">
            <w:pPr>
              <w:pStyle w:val="Tablefirstcolumn"/>
            </w:pPr>
            <w:r w:rsidRPr="00834103">
              <w:t>Total</w:t>
            </w:r>
          </w:p>
        </w:tc>
        <w:tc>
          <w:tcPr>
            <w:tcW w:w="2054" w:type="dxa"/>
            <w:shd w:val="clear" w:color="auto" w:fill="8EAEDE"/>
            <w:vAlign w:val="center"/>
          </w:tcPr>
          <w:p w14:paraId="5A092BB9" w14:textId="77777777" w:rsidR="006B29A2" w:rsidRPr="00834103" w:rsidRDefault="006B29A2" w:rsidP="00DB777F">
            <w:pPr>
              <w:pStyle w:val="tablebodytextright"/>
              <w:spacing w:before="83" w:after="33"/>
              <w:ind w:right="257"/>
              <w:rPr>
                <w:sz w:val="20"/>
                <w:szCs w:val="20"/>
              </w:rPr>
            </w:pPr>
            <w:r w:rsidRPr="00834103">
              <w:rPr>
                <w:sz w:val="20"/>
                <w:szCs w:val="20"/>
              </w:rPr>
              <w:t>100.0</w:t>
            </w:r>
          </w:p>
        </w:tc>
        <w:tc>
          <w:tcPr>
            <w:tcW w:w="2026" w:type="dxa"/>
            <w:shd w:val="clear" w:color="auto" w:fill="8EAEDE"/>
            <w:vAlign w:val="center"/>
          </w:tcPr>
          <w:p w14:paraId="2CDF406F" w14:textId="77777777" w:rsidR="006B29A2" w:rsidRPr="00834103" w:rsidRDefault="006B29A2" w:rsidP="00DB777F">
            <w:pPr>
              <w:pStyle w:val="tablebodytextright"/>
              <w:spacing w:before="83" w:after="33"/>
              <w:ind w:right="257"/>
              <w:rPr>
                <w:sz w:val="20"/>
                <w:szCs w:val="20"/>
              </w:rPr>
            </w:pPr>
            <w:r w:rsidRPr="00834103">
              <w:rPr>
                <w:sz w:val="20"/>
                <w:szCs w:val="20"/>
              </w:rPr>
              <w:t>100.0</w:t>
            </w:r>
          </w:p>
        </w:tc>
        <w:tc>
          <w:tcPr>
            <w:tcW w:w="2119" w:type="dxa"/>
            <w:shd w:val="clear" w:color="auto" w:fill="8EAEDE"/>
            <w:vAlign w:val="center"/>
          </w:tcPr>
          <w:p w14:paraId="0BB7AF34" w14:textId="77777777" w:rsidR="006B29A2" w:rsidRPr="000F4368" w:rsidRDefault="00664588" w:rsidP="00DB777F">
            <w:pPr>
              <w:pStyle w:val="tablebodytextright"/>
              <w:spacing w:before="83" w:after="33"/>
              <w:ind w:right="257"/>
              <w:rPr>
                <w:color w:val="8EAEDE"/>
                <w:sz w:val="20"/>
                <w:szCs w:val="20"/>
              </w:rPr>
            </w:pPr>
            <w:r w:rsidRPr="000F4368">
              <w:rPr>
                <w:color w:val="8EAEDE"/>
                <w:sz w:val="20"/>
                <w:szCs w:val="20"/>
              </w:rPr>
              <w:t xml:space="preserve"> blank</w:t>
            </w:r>
          </w:p>
        </w:tc>
      </w:tr>
    </w:tbl>
    <w:p w14:paraId="5EC2BCC4" w14:textId="77777777" w:rsidR="0033478B" w:rsidRDefault="006B29A2" w:rsidP="0033478B">
      <w:pPr>
        <w:pStyle w:val="Notes"/>
        <w:rPr>
          <w:noProof/>
        </w:rPr>
      </w:pPr>
      <w:r w:rsidRPr="00344074">
        <w:rPr>
          <w:rFonts w:cstheme="minorHAnsi"/>
          <w:b/>
          <w:noProof/>
        </w:rPr>
        <w:t>Note:</w:t>
      </w:r>
      <w:r w:rsidR="00555CE6">
        <w:rPr>
          <w:rFonts w:cstheme="minorHAnsi"/>
          <w:b/>
          <w:noProof/>
        </w:rPr>
        <w:tab/>
      </w:r>
      <w:r w:rsidR="00186408">
        <w:t>Job seekers whose s</w:t>
      </w:r>
      <w:r w:rsidR="00555CE6" w:rsidRPr="00555CE6">
        <w:t>tream of service had not yet been determined have been excluded from this calculation</w:t>
      </w:r>
      <w:r w:rsidRPr="00C32B0C">
        <w:rPr>
          <w:rFonts w:cstheme="minorHAnsi"/>
          <w:noProof/>
        </w:rPr>
        <w:t>.</w:t>
      </w:r>
    </w:p>
    <w:p w14:paraId="6FD08557" w14:textId="77777777" w:rsidR="0033478B" w:rsidRDefault="0033478B" w:rsidP="0033478B">
      <w:pPr>
        <w:pStyle w:val="Source"/>
      </w:pPr>
      <w:r w:rsidRPr="00344074">
        <w:rPr>
          <w:b/>
        </w:rPr>
        <w:t>Source:</w:t>
      </w:r>
      <w:r w:rsidRPr="00344074">
        <w:t xml:space="preserve"> </w:t>
      </w:r>
      <w:r>
        <w:tab/>
      </w:r>
      <w:r w:rsidRPr="0033478B">
        <w:t>Department</w:t>
      </w:r>
      <w:r w:rsidRPr="00344074">
        <w:t xml:space="preserve"> of Employment administrative data.</w:t>
      </w:r>
    </w:p>
    <w:p w14:paraId="2D984827" w14:textId="77777777" w:rsidR="003C7EBE" w:rsidRDefault="00A71255">
      <w:pPr>
        <w:rPr>
          <w:rFonts w:cstheme="minorHAnsi"/>
        </w:rPr>
      </w:pPr>
      <w:r>
        <w:rPr>
          <w:rFonts w:cstheme="minorHAnsi"/>
        </w:rPr>
        <w:t xml:space="preserve">More </w:t>
      </w:r>
      <w:r w:rsidR="004314A0">
        <w:rPr>
          <w:rFonts w:cstheme="minorHAnsi"/>
        </w:rPr>
        <w:t xml:space="preserve">than one million job placements </w:t>
      </w:r>
      <w:r>
        <w:rPr>
          <w:rFonts w:cstheme="minorHAnsi"/>
        </w:rPr>
        <w:t>occurred during this period (1,018,500) of which 8</w:t>
      </w:r>
      <w:r w:rsidR="003F6BE4">
        <w:rPr>
          <w:rFonts w:cstheme="minorHAnsi"/>
        </w:rPr>
        <w:t>2</w:t>
      </w:r>
      <w:r>
        <w:rPr>
          <w:rFonts w:cstheme="minorHAnsi"/>
        </w:rPr>
        <w:t>.6 per cent (841,579) were placements that could have resulted in employment outcome payments (anchored placements) if the job was sustained for the required length of time</w:t>
      </w:r>
      <w:r w:rsidR="00CA462C">
        <w:rPr>
          <w:rFonts w:cstheme="minorHAnsi"/>
        </w:rPr>
        <w:t xml:space="preserve"> (Table 2.2)</w:t>
      </w:r>
      <w:r>
        <w:rPr>
          <w:rFonts w:cstheme="minorHAnsi"/>
        </w:rPr>
        <w:t>.</w:t>
      </w:r>
    </w:p>
    <w:p w14:paraId="4614C939" w14:textId="77777777" w:rsidR="00A71255" w:rsidRDefault="00A71255" w:rsidP="00373F75">
      <w:pPr>
        <w:pStyle w:val="Tableforcontents"/>
      </w:pPr>
      <w:bookmarkStart w:id="131" w:name="_Toc436142551"/>
      <w:bookmarkStart w:id="132" w:name="_Toc436214880"/>
      <w:bookmarkStart w:id="133" w:name="_Toc436214978"/>
      <w:bookmarkStart w:id="134" w:name="_Toc22543971"/>
      <w:r w:rsidRPr="000E1345">
        <w:t>Table</w:t>
      </w:r>
      <w:r>
        <w:t xml:space="preserve"> 2.</w:t>
      </w:r>
      <w:r w:rsidR="00D6383E">
        <w:t>2</w:t>
      </w:r>
      <w:r w:rsidR="00CF00FC">
        <w:t>:</w:t>
      </w:r>
      <w:r w:rsidR="007752F6">
        <w:t xml:space="preserve"> </w:t>
      </w:r>
      <w:r>
        <w:t>Job pl</w:t>
      </w:r>
      <w:r w:rsidR="00F840D2">
        <w:t>acements and employment outcome</w:t>
      </w:r>
      <w:r>
        <w:t>s</w:t>
      </w:r>
      <w:r w:rsidR="00F840D2">
        <w:t>,</w:t>
      </w:r>
      <w:r w:rsidR="00834103">
        <w:t xml:space="preserve"> 1 July 2012 to 30 June 2015</w:t>
      </w:r>
      <w:bookmarkEnd w:id="131"/>
      <w:bookmarkEnd w:id="132"/>
      <w:bookmarkEnd w:id="133"/>
      <w:bookmarkEnd w:id="134"/>
    </w:p>
    <w:p w14:paraId="26786D5F" w14:textId="77777777" w:rsidR="00834103" w:rsidRPr="00834103" w:rsidRDefault="00834103" w:rsidP="00834103">
      <w:pPr>
        <w:spacing w:before="120" w:after="0"/>
        <w:rPr>
          <w:b/>
          <w:sz w:val="20"/>
          <w:szCs w:val="20"/>
        </w:rPr>
      </w:pPr>
      <w:r w:rsidRPr="00834103">
        <w:rPr>
          <w:b/>
          <w:sz w:val="20"/>
          <w:szCs w:val="20"/>
        </w:rPr>
        <w:t>P</w:t>
      </w:r>
      <w:r>
        <w:rPr>
          <w:b/>
          <w:sz w:val="20"/>
          <w:szCs w:val="20"/>
        </w:rPr>
        <w:t>roportion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268"/>
        <w:gridCol w:w="1550"/>
        <w:gridCol w:w="2094"/>
        <w:gridCol w:w="2230"/>
      </w:tblGrid>
      <w:tr w:rsidR="00D06E1A" w:rsidRPr="0011747A" w14:paraId="2E355ECC" w14:textId="77777777" w:rsidTr="00834103">
        <w:trPr>
          <w:tblHeader/>
        </w:trPr>
        <w:tc>
          <w:tcPr>
            <w:tcW w:w="1101" w:type="dxa"/>
            <w:shd w:val="clear" w:color="auto" w:fill="1E3D6B"/>
          </w:tcPr>
          <w:p w14:paraId="75088AEF" w14:textId="77777777" w:rsidR="00A71255" w:rsidRPr="0011747A" w:rsidRDefault="0029557C" w:rsidP="00DB777F">
            <w:pPr>
              <w:pStyle w:val="Tableheadingleft"/>
              <w:spacing w:before="99" w:after="33"/>
            </w:pPr>
            <w:bookmarkStart w:id="135" w:name="Title_22a"/>
            <w:bookmarkEnd w:id="135"/>
            <w:r>
              <w:t>Stream</w:t>
            </w:r>
          </w:p>
        </w:tc>
        <w:tc>
          <w:tcPr>
            <w:tcW w:w="2268" w:type="dxa"/>
            <w:shd w:val="clear" w:color="auto" w:fill="1E3D6B"/>
          </w:tcPr>
          <w:p w14:paraId="63C6E038" w14:textId="77777777" w:rsidR="00A71255" w:rsidRPr="0011747A" w:rsidRDefault="00A71255" w:rsidP="00834103">
            <w:pPr>
              <w:keepNext/>
              <w:ind w:left="498"/>
              <w:jc w:val="center"/>
              <w:rPr>
                <w:rFonts w:cstheme="minorHAnsi"/>
                <w:b/>
                <w:color w:val="FFFFFF" w:themeColor="background2"/>
                <w:sz w:val="20"/>
                <w:szCs w:val="20"/>
              </w:rPr>
            </w:pPr>
            <w:r w:rsidRPr="0011747A">
              <w:rPr>
                <w:rFonts w:cstheme="minorHAnsi"/>
                <w:b/>
                <w:color w:val="FFFFFF" w:themeColor="background2"/>
                <w:sz w:val="20"/>
                <w:szCs w:val="20"/>
              </w:rPr>
              <w:t>Total</w:t>
            </w:r>
            <w:r w:rsidR="00F840D2">
              <w:rPr>
                <w:rFonts w:cstheme="minorHAnsi"/>
                <w:b/>
                <w:color w:val="FFFFFF" w:themeColor="background2"/>
                <w:sz w:val="20"/>
                <w:szCs w:val="20"/>
              </w:rPr>
              <w:t xml:space="preserve"> job placements</w:t>
            </w:r>
            <w:r w:rsidR="00834103">
              <w:rPr>
                <w:rFonts w:cstheme="minorHAnsi"/>
                <w:b/>
                <w:color w:val="FFFFFF" w:themeColor="background2"/>
                <w:sz w:val="20"/>
                <w:szCs w:val="20"/>
              </w:rPr>
              <w:br/>
              <w:t>(%)</w:t>
            </w:r>
          </w:p>
        </w:tc>
        <w:tc>
          <w:tcPr>
            <w:tcW w:w="1550" w:type="dxa"/>
            <w:shd w:val="clear" w:color="auto" w:fill="1E3D6B"/>
          </w:tcPr>
          <w:p w14:paraId="5F94A5AD" w14:textId="77777777" w:rsidR="00A71255" w:rsidRPr="0011747A" w:rsidRDefault="00A71255" w:rsidP="00834103">
            <w:pPr>
              <w:keepNext/>
              <w:jc w:val="center"/>
              <w:rPr>
                <w:rFonts w:cstheme="minorHAnsi"/>
                <w:b/>
                <w:color w:val="FFFFFF" w:themeColor="background2"/>
                <w:sz w:val="20"/>
                <w:szCs w:val="20"/>
              </w:rPr>
            </w:pPr>
            <w:r w:rsidRPr="0011747A">
              <w:rPr>
                <w:rFonts w:cstheme="minorHAnsi"/>
                <w:b/>
                <w:color w:val="FFFFFF" w:themeColor="background2"/>
                <w:sz w:val="20"/>
                <w:szCs w:val="20"/>
              </w:rPr>
              <w:t>Anchored</w:t>
            </w:r>
            <w:r w:rsidR="00F840D2">
              <w:rPr>
                <w:rFonts w:cstheme="minorHAnsi"/>
                <w:b/>
                <w:color w:val="FFFFFF" w:themeColor="background2"/>
                <w:sz w:val="20"/>
                <w:szCs w:val="20"/>
              </w:rPr>
              <w:t xml:space="preserve"> job placements</w:t>
            </w:r>
            <w:r w:rsidR="00834103">
              <w:rPr>
                <w:rFonts w:cstheme="minorHAnsi"/>
                <w:b/>
                <w:color w:val="FFFFFF" w:themeColor="background2"/>
                <w:sz w:val="20"/>
                <w:szCs w:val="20"/>
              </w:rPr>
              <w:br/>
              <w:t>(%)</w:t>
            </w:r>
          </w:p>
        </w:tc>
        <w:tc>
          <w:tcPr>
            <w:tcW w:w="2094" w:type="dxa"/>
            <w:shd w:val="clear" w:color="auto" w:fill="1E3D6B"/>
          </w:tcPr>
          <w:p w14:paraId="64A4B5D0" w14:textId="340DA6A9" w:rsidR="00A71255" w:rsidRPr="0011747A" w:rsidRDefault="00A71255" w:rsidP="005B7636">
            <w:pPr>
              <w:keepNext/>
              <w:jc w:val="center"/>
              <w:rPr>
                <w:rFonts w:cstheme="minorHAnsi"/>
                <w:b/>
                <w:color w:val="FFFFFF" w:themeColor="background2"/>
                <w:sz w:val="20"/>
                <w:szCs w:val="20"/>
              </w:rPr>
            </w:pPr>
            <w:r w:rsidRPr="0011747A">
              <w:rPr>
                <w:rFonts w:cstheme="minorHAnsi"/>
                <w:b/>
                <w:color w:val="FFFFFF" w:themeColor="background2"/>
                <w:sz w:val="20"/>
                <w:szCs w:val="20"/>
              </w:rPr>
              <w:t>13</w:t>
            </w:r>
            <w:r w:rsidR="005B7636">
              <w:rPr>
                <w:rFonts w:cstheme="minorHAnsi"/>
                <w:b/>
                <w:color w:val="FFFFFF" w:themeColor="background2"/>
                <w:sz w:val="20"/>
                <w:szCs w:val="20"/>
              </w:rPr>
              <w:t>-</w:t>
            </w:r>
            <w:r w:rsidRPr="0011747A">
              <w:rPr>
                <w:rFonts w:cstheme="minorHAnsi"/>
                <w:b/>
                <w:color w:val="FFFFFF" w:themeColor="background2"/>
                <w:sz w:val="20"/>
                <w:szCs w:val="20"/>
              </w:rPr>
              <w:t>week</w:t>
            </w:r>
            <w:r w:rsidR="00F840D2">
              <w:rPr>
                <w:rFonts w:cstheme="minorHAnsi"/>
                <w:b/>
                <w:color w:val="FFFFFF" w:themeColor="background2"/>
                <w:sz w:val="20"/>
                <w:szCs w:val="20"/>
              </w:rPr>
              <w:t xml:space="preserve"> employment outcomes</w:t>
            </w:r>
            <w:r w:rsidR="00834103">
              <w:rPr>
                <w:rFonts w:cstheme="minorHAnsi"/>
                <w:b/>
                <w:color w:val="FFFFFF" w:themeColor="background2"/>
                <w:sz w:val="20"/>
                <w:szCs w:val="20"/>
              </w:rPr>
              <w:br/>
              <w:t>(%)</w:t>
            </w:r>
          </w:p>
        </w:tc>
        <w:tc>
          <w:tcPr>
            <w:tcW w:w="2230" w:type="dxa"/>
            <w:shd w:val="clear" w:color="auto" w:fill="1E3D6B"/>
          </w:tcPr>
          <w:p w14:paraId="1DDFCFD8" w14:textId="52A95241" w:rsidR="00A71255" w:rsidRPr="0011747A" w:rsidRDefault="00A71255" w:rsidP="00A254DF">
            <w:pPr>
              <w:keepNext/>
              <w:ind w:left="-55"/>
              <w:jc w:val="center"/>
              <w:rPr>
                <w:rFonts w:cstheme="minorHAnsi"/>
                <w:b/>
                <w:color w:val="FFFFFF" w:themeColor="background2"/>
                <w:sz w:val="20"/>
                <w:szCs w:val="20"/>
              </w:rPr>
            </w:pPr>
            <w:r w:rsidRPr="0011747A">
              <w:rPr>
                <w:rFonts w:cstheme="minorHAnsi"/>
                <w:b/>
                <w:color w:val="FFFFFF" w:themeColor="background2"/>
                <w:sz w:val="20"/>
                <w:szCs w:val="20"/>
              </w:rPr>
              <w:t>26</w:t>
            </w:r>
            <w:r w:rsidR="00A254DF">
              <w:rPr>
                <w:rFonts w:cstheme="minorHAnsi"/>
                <w:b/>
                <w:color w:val="FFFFFF" w:themeColor="background2"/>
                <w:sz w:val="20"/>
                <w:szCs w:val="20"/>
              </w:rPr>
              <w:t>-</w:t>
            </w:r>
            <w:r w:rsidRPr="0011747A">
              <w:rPr>
                <w:rFonts w:cstheme="minorHAnsi"/>
                <w:b/>
                <w:color w:val="FFFFFF" w:themeColor="background2"/>
                <w:sz w:val="20"/>
                <w:szCs w:val="20"/>
              </w:rPr>
              <w:t>week</w:t>
            </w:r>
            <w:r w:rsidR="00F840D2">
              <w:rPr>
                <w:rFonts w:cstheme="minorHAnsi"/>
                <w:b/>
                <w:color w:val="FFFFFF" w:themeColor="background2"/>
                <w:sz w:val="20"/>
                <w:szCs w:val="20"/>
              </w:rPr>
              <w:t xml:space="preserve"> employment outcomes</w:t>
            </w:r>
            <w:r w:rsidR="00834103">
              <w:rPr>
                <w:rFonts w:cstheme="minorHAnsi"/>
                <w:b/>
                <w:color w:val="FFFFFF" w:themeColor="background2"/>
                <w:sz w:val="20"/>
                <w:szCs w:val="20"/>
              </w:rPr>
              <w:br/>
              <w:t>(%)</w:t>
            </w:r>
          </w:p>
        </w:tc>
      </w:tr>
      <w:tr w:rsidR="004314A0" w:rsidRPr="00D06E1A" w14:paraId="7FBC593D" w14:textId="77777777" w:rsidTr="00834103">
        <w:trPr>
          <w:trHeight w:hRule="exact" w:val="340"/>
        </w:trPr>
        <w:tc>
          <w:tcPr>
            <w:tcW w:w="1101" w:type="dxa"/>
            <w:vAlign w:val="center"/>
          </w:tcPr>
          <w:p w14:paraId="50827CF8" w14:textId="77777777" w:rsidR="004314A0" w:rsidRPr="00D06E1A" w:rsidRDefault="004314A0" w:rsidP="006510E3">
            <w:pPr>
              <w:keepNext/>
              <w:rPr>
                <w:rFonts w:cstheme="minorHAnsi"/>
                <w:sz w:val="20"/>
                <w:szCs w:val="20"/>
              </w:rPr>
            </w:pPr>
            <w:r w:rsidRPr="00D06E1A">
              <w:rPr>
                <w:rFonts w:cstheme="minorHAnsi"/>
                <w:sz w:val="20"/>
                <w:szCs w:val="20"/>
              </w:rPr>
              <w:t>Stream 1</w:t>
            </w:r>
          </w:p>
        </w:tc>
        <w:tc>
          <w:tcPr>
            <w:tcW w:w="2268" w:type="dxa"/>
            <w:vAlign w:val="center"/>
          </w:tcPr>
          <w:p w14:paraId="39010D29" w14:textId="77777777" w:rsidR="004314A0" w:rsidRPr="00D06E1A" w:rsidRDefault="004314A0" w:rsidP="00834103">
            <w:pPr>
              <w:keepNext/>
              <w:ind w:right="498"/>
              <w:jc w:val="right"/>
              <w:rPr>
                <w:rFonts w:cstheme="minorHAnsi"/>
                <w:sz w:val="20"/>
                <w:szCs w:val="20"/>
              </w:rPr>
            </w:pPr>
            <w:r w:rsidRPr="00D06E1A">
              <w:rPr>
                <w:rFonts w:cstheme="minorHAnsi"/>
                <w:sz w:val="20"/>
                <w:szCs w:val="20"/>
              </w:rPr>
              <w:t>29.7</w:t>
            </w:r>
          </w:p>
        </w:tc>
        <w:tc>
          <w:tcPr>
            <w:tcW w:w="1550" w:type="dxa"/>
            <w:vAlign w:val="center"/>
          </w:tcPr>
          <w:p w14:paraId="7862BA47" w14:textId="77777777" w:rsidR="004314A0" w:rsidRPr="00D06E1A" w:rsidRDefault="004314A0" w:rsidP="00834103">
            <w:pPr>
              <w:keepNext/>
              <w:ind w:right="255"/>
              <w:jc w:val="right"/>
              <w:rPr>
                <w:rFonts w:cstheme="minorHAnsi"/>
                <w:sz w:val="20"/>
                <w:szCs w:val="20"/>
              </w:rPr>
            </w:pPr>
            <w:r w:rsidRPr="00D06E1A">
              <w:rPr>
                <w:rFonts w:cstheme="minorHAnsi"/>
                <w:sz w:val="20"/>
                <w:szCs w:val="20"/>
              </w:rPr>
              <w:t>8.2</w:t>
            </w:r>
          </w:p>
        </w:tc>
        <w:tc>
          <w:tcPr>
            <w:tcW w:w="2094" w:type="dxa"/>
            <w:vAlign w:val="center"/>
          </w:tcPr>
          <w:p w14:paraId="7E913491" w14:textId="77777777" w:rsidR="004314A0" w:rsidRPr="00D06E1A" w:rsidRDefault="004314A0" w:rsidP="00834103">
            <w:pPr>
              <w:keepNext/>
              <w:ind w:right="346"/>
              <w:jc w:val="right"/>
              <w:rPr>
                <w:rFonts w:cstheme="minorHAnsi"/>
                <w:sz w:val="20"/>
                <w:szCs w:val="20"/>
              </w:rPr>
            </w:pPr>
            <w:r w:rsidRPr="00D06E1A">
              <w:rPr>
                <w:rFonts w:cstheme="minorHAnsi"/>
                <w:sz w:val="20"/>
                <w:szCs w:val="20"/>
              </w:rPr>
              <w:t>8.2</w:t>
            </w:r>
          </w:p>
        </w:tc>
        <w:tc>
          <w:tcPr>
            <w:tcW w:w="2230" w:type="dxa"/>
            <w:vAlign w:val="center"/>
          </w:tcPr>
          <w:p w14:paraId="239AABC5" w14:textId="77777777" w:rsidR="004314A0" w:rsidRPr="00D06E1A" w:rsidRDefault="004314A0" w:rsidP="00834103">
            <w:pPr>
              <w:keepNext/>
              <w:ind w:right="498"/>
              <w:jc w:val="right"/>
              <w:rPr>
                <w:rFonts w:cstheme="minorHAnsi"/>
                <w:sz w:val="20"/>
                <w:szCs w:val="20"/>
              </w:rPr>
            </w:pPr>
            <w:r w:rsidRPr="00D06E1A">
              <w:rPr>
                <w:rFonts w:cstheme="minorHAnsi"/>
                <w:sz w:val="20"/>
                <w:szCs w:val="20"/>
              </w:rPr>
              <w:t>7.7</w:t>
            </w:r>
          </w:p>
        </w:tc>
      </w:tr>
      <w:tr w:rsidR="00A71255" w:rsidRPr="00D06E1A" w14:paraId="5E97FC9F" w14:textId="77777777" w:rsidTr="00834103">
        <w:trPr>
          <w:trHeight w:hRule="exact" w:val="340"/>
        </w:trPr>
        <w:tc>
          <w:tcPr>
            <w:tcW w:w="1101" w:type="dxa"/>
            <w:shd w:val="clear" w:color="auto" w:fill="E5E5E5" w:themeFill="background1" w:themeFillTint="33"/>
            <w:vAlign w:val="center"/>
          </w:tcPr>
          <w:p w14:paraId="77B86D98" w14:textId="77777777" w:rsidR="00A71255" w:rsidRPr="00D06E1A" w:rsidRDefault="00A71255" w:rsidP="006510E3">
            <w:pPr>
              <w:keepNext/>
              <w:rPr>
                <w:rFonts w:cstheme="minorHAnsi"/>
                <w:sz w:val="20"/>
                <w:szCs w:val="20"/>
              </w:rPr>
            </w:pPr>
            <w:r w:rsidRPr="00D06E1A">
              <w:rPr>
                <w:rFonts w:cstheme="minorHAnsi"/>
                <w:sz w:val="20"/>
                <w:szCs w:val="20"/>
              </w:rPr>
              <w:t>Stream 2</w:t>
            </w:r>
          </w:p>
        </w:tc>
        <w:tc>
          <w:tcPr>
            <w:tcW w:w="2268" w:type="dxa"/>
            <w:shd w:val="clear" w:color="auto" w:fill="E5E5E5" w:themeFill="background1" w:themeFillTint="33"/>
            <w:vAlign w:val="center"/>
          </w:tcPr>
          <w:p w14:paraId="79516AE8"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34.8</w:t>
            </w:r>
          </w:p>
        </w:tc>
        <w:tc>
          <w:tcPr>
            <w:tcW w:w="1550" w:type="dxa"/>
            <w:shd w:val="clear" w:color="auto" w:fill="E5E5E5" w:themeFill="background1" w:themeFillTint="33"/>
            <w:vAlign w:val="center"/>
          </w:tcPr>
          <w:p w14:paraId="437F4EE0" w14:textId="77777777" w:rsidR="00A71255" w:rsidRPr="00D06E1A" w:rsidRDefault="00A71255" w:rsidP="00834103">
            <w:pPr>
              <w:keepNext/>
              <w:ind w:right="255"/>
              <w:jc w:val="right"/>
              <w:rPr>
                <w:rFonts w:cstheme="minorHAnsi"/>
                <w:sz w:val="20"/>
                <w:szCs w:val="20"/>
              </w:rPr>
            </w:pPr>
            <w:r w:rsidRPr="00D06E1A">
              <w:rPr>
                <w:rFonts w:cstheme="minorHAnsi"/>
                <w:sz w:val="20"/>
                <w:szCs w:val="20"/>
              </w:rPr>
              <w:t>44.6</w:t>
            </w:r>
          </w:p>
        </w:tc>
        <w:tc>
          <w:tcPr>
            <w:tcW w:w="2094" w:type="dxa"/>
            <w:shd w:val="clear" w:color="auto" w:fill="E5E5E5" w:themeFill="background1" w:themeFillTint="33"/>
            <w:vAlign w:val="center"/>
          </w:tcPr>
          <w:p w14:paraId="0601C650" w14:textId="77777777" w:rsidR="00A71255" w:rsidRPr="00D06E1A" w:rsidRDefault="00A71255" w:rsidP="00834103">
            <w:pPr>
              <w:keepNext/>
              <w:ind w:right="346"/>
              <w:jc w:val="right"/>
              <w:rPr>
                <w:rFonts w:cstheme="minorHAnsi"/>
                <w:sz w:val="20"/>
                <w:szCs w:val="20"/>
              </w:rPr>
            </w:pPr>
            <w:r w:rsidRPr="00D06E1A">
              <w:rPr>
                <w:rFonts w:cstheme="minorHAnsi"/>
                <w:sz w:val="20"/>
                <w:szCs w:val="20"/>
              </w:rPr>
              <w:t>48.7</w:t>
            </w:r>
          </w:p>
        </w:tc>
        <w:tc>
          <w:tcPr>
            <w:tcW w:w="2230" w:type="dxa"/>
            <w:shd w:val="clear" w:color="auto" w:fill="E5E5E5" w:themeFill="background1" w:themeFillTint="33"/>
            <w:vAlign w:val="center"/>
          </w:tcPr>
          <w:p w14:paraId="0D21A3DD"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50.4</w:t>
            </w:r>
          </w:p>
        </w:tc>
      </w:tr>
      <w:tr w:rsidR="00A71255" w:rsidRPr="00D06E1A" w14:paraId="7DF7BA43" w14:textId="77777777" w:rsidTr="00834103">
        <w:trPr>
          <w:trHeight w:hRule="exact" w:val="340"/>
        </w:trPr>
        <w:tc>
          <w:tcPr>
            <w:tcW w:w="1101" w:type="dxa"/>
            <w:vAlign w:val="center"/>
          </w:tcPr>
          <w:p w14:paraId="07C34777" w14:textId="77777777" w:rsidR="00A71255" w:rsidRPr="00D06E1A" w:rsidRDefault="00A71255" w:rsidP="006510E3">
            <w:pPr>
              <w:keepNext/>
              <w:rPr>
                <w:rFonts w:cstheme="minorHAnsi"/>
                <w:sz w:val="20"/>
                <w:szCs w:val="20"/>
              </w:rPr>
            </w:pPr>
            <w:r w:rsidRPr="00D06E1A">
              <w:rPr>
                <w:rFonts w:cstheme="minorHAnsi"/>
                <w:sz w:val="20"/>
                <w:szCs w:val="20"/>
              </w:rPr>
              <w:t>Stream 3</w:t>
            </w:r>
          </w:p>
        </w:tc>
        <w:tc>
          <w:tcPr>
            <w:tcW w:w="2268" w:type="dxa"/>
            <w:vAlign w:val="center"/>
          </w:tcPr>
          <w:p w14:paraId="699962B1"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16.8</w:t>
            </w:r>
          </w:p>
        </w:tc>
        <w:tc>
          <w:tcPr>
            <w:tcW w:w="1550" w:type="dxa"/>
            <w:vAlign w:val="center"/>
          </w:tcPr>
          <w:p w14:paraId="3C6BFE90" w14:textId="77777777" w:rsidR="00A71255" w:rsidRPr="00D06E1A" w:rsidRDefault="00A71255" w:rsidP="00834103">
            <w:pPr>
              <w:keepNext/>
              <w:ind w:right="255"/>
              <w:jc w:val="right"/>
              <w:rPr>
                <w:rFonts w:cstheme="minorHAnsi"/>
                <w:sz w:val="20"/>
                <w:szCs w:val="20"/>
              </w:rPr>
            </w:pPr>
            <w:r w:rsidRPr="00D06E1A">
              <w:rPr>
                <w:rFonts w:cstheme="minorHAnsi"/>
                <w:sz w:val="20"/>
                <w:szCs w:val="20"/>
              </w:rPr>
              <w:t>23.1</w:t>
            </w:r>
          </w:p>
        </w:tc>
        <w:tc>
          <w:tcPr>
            <w:tcW w:w="2094" w:type="dxa"/>
            <w:vAlign w:val="center"/>
          </w:tcPr>
          <w:p w14:paraId="1611A11F" w14:textId="77777777" w:rsidR="00A71255" w:rsidRPr="00D06E1A" w:rsidRDefault="00A71255" w:rsidP="00834103">
            <w:pPr>
              <w:keepNext/>
              <w:ind w:right="346"/>
              <w:jc w:val="right"/>
              <w:rPr>
                <w:rFonts w:cstheme="minorHAnsi"/>
                <w:sz w:val="20"/>
                <w:szCs w:val="20"/>
              </w:rPr>
            </w:pPr>
            <w:r w:rsidRPr="00D06E1A">
              <w:rPr>
                <w:rFonts w:cstheme="minorHAnsi"/>
                <w:sz w:val="20"/>
                <w:szCs w:val="20"/>
              </w:rPr>
              <w:t>22.1</w:t>
            </w:r>
          </w:p>
        </w:tc>
        <w:tc>
          <w:tcPr>
            <w:tcW w:w="2230" w:type="dxa"/>
            <w:vAlign w:val="center"/>
          </w:tcPr>
          <w:p w14:paraId="3D5EEEB0"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22.5</w:t>
            </w:r>
          </w:p>
        </w:tc>
      </w:tr>
      <w:tr w:rsidR="00A71255" w:rsidRPr="00D06E1A" w14:paraId="575F7AD2" w14:textId="77777777" w:rsidTr="00834103">
        <w:trPr>
          <w:trHeight w:hRule="exact" w:val="340"/>
        </w:trPr>
        <w:tc>
          <w:tcPr>
            <w:tcW w:w="1101" w:type="dxa"/>
            <w:shd w:val="clear" w:color="auto" w:fill="E5E5E5" w:themeFill="background1" w:themeFillTint="33"/>
            <w:vAlign w:val="center"/>
          </w:tcPr>
          <w:p w14:paraId="23B1A4DC" w14:textId="77777777" w:rsidR="00A71255" w:rsidRPr="00D06E1A" w:rsidRDefault="00A71255" w:rsidP="006510E3">
            <w:pPr>
              <w:keepNext/>
              <w:rPr>
                <w:rFonts w:cstheme="minorHAnsi"/>
                <w:sz w:val="20"/>
                <w:szCs w:val="20"/>
              </w:rPr>
            </w:pPr>
            <w:r w:rsidRPr="00D06E1A">
              <w:rPr>
                <w:rFonts w:cstheme="minorHAnsi"/>
                <w:sz w:val="20"/>
                <w:szCs w:val="20"/>
              </w:rPr>
              <w:t>Stream 4</w:t>
            </w:r>
          </w:p>
        </w:tc>
        <w:tc>
          <w:tcPr>
            <w:tcW w:w="2268" w:type="dxa"/>
            <w:shd w:val="clear" w:color="auto" w:fill="E5E5E5" w:themeFill="background1" w:themeFillTint="33"/>
            <w:vAlign w:val="center"/>
          </w:tcPr>
          <w:p w14:paraId="710E63F6"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18.6</w:t>
            </w:r>
          </w:p>
        </w:tc>
        <w:tc>
          <w:tcPr>
            <w:tcW w:w="1550" w:type="dxa"/>
            <w:shd w:val="clear" w:color="auto" w:fill="E5E5E5" w:themeFill="background1" w:themeFillTint="33"/>
            <w:vAlign w:val="center"/>
          </w:tcPr>
          <w:p w14:paraId="501DBE9D" w14:textId="77777777" w:rsidR="00A71255" w:rsidRPr="00D06E1A" w:rsidRDefault="00A71255" w:rsidP="00834103">
            <w:pPr>
              <w:keepNext/>
              <w:ind w:right="255"/>
              <w:jc w:val="right"/>
              <w:rPr>
                <w:rFonts w:cstheme="minorHAnsi"/>
                <w:sz w:val="20"/>
                <w:szCs w:val="20"/>
              </w:rPr>
            </w:pPr>
            <w:r w:rsidRPr="00D06E1A">
              <w:rPr>
                <w:rFonts w:cstheme="minorHAnsi"/>
                <w:sz w:val="20"/>
                <w:szCs w:val="20"/>
              </w:rPr>
              <w:t>24.1</w:t>
            </w:r>
          </w:p>
        </w:tc>
        <w:tc>
          <w:tcPr>
            <w:tcW w:w="2094" w:type="dxa"/>
            <w:shd w:val="clear" w:color="auto" w:fill="E5E5E5" w:themeFill="background1" w:themeFillTint="33"/>
            <w:vAlign w:val="center"/>
          </w:tcPr>
          <w:p w14:paraId="20267CC1" w14:textId="77777777" w:rsidR="00A71255" w:rsidRPr="00D06E1A" w:rsidRDefault="00A71255" w:rsidP="00834103">
            <w:pPr>
              <w:keepNext/>
              <w:ind w:right="346"/>
              <w:jc w:val="right"/>
              <w:rPr>
                <w:rFonts w:cstheme="minorHAnsi"/>
                <w:sz w:val="20"/>
                <w:szCs w:val="20"/>
              </w:rPr>
            </w:pPr>
            <w:r w:rsidRPr="00D06E1A">
              <w:rPr>
                <w:rFonts w:cstheme="minorHAnsi"/>
                <w:sz w:val="20"/>
                <w:szCs w:val="20"/>
              </w:rPr>
              <w:t>21.1</w:t>
            </w:r>
          </w:p>
        </w:tc>
        <w:tc>
          <w:tcPr>
            <w:tcW w:w="2230" w:type="dxa"/>
            <w:shd w:val="clear" w:color="auto" w:fill="E5E5E5" w:themeFill="background1" w:themeFillTint="33"/>
            <w:vAlign w:val="center"/>
          </w:tcPr>
          <w:p w14:paraId="7F8CCB48" w14:textId="77777777" w:rsidR="00A71255" w:rsidRPr="00D06E1A" w:rsidRDefault="00A71255" w:rsidP="00834103">
            <w:pPr>
              <w:keepNext/>
              <w:ind w:right="498"/>
              <w:jc w:val="right"/>
              <w:rPr>
                <w:rFonts w:cstheme="minorHAnsi"/>
                <w:sz w:val="20"/>
                <w:szCs w:val="20"/>
              </w:rPr>
            </w:pPr>
            <w:r w:rsidRPr="00D06E1A">
              <w:rPr>
                <w:rFonts w:cstheme="minorHAnsi"/>
                <w:sz w:val="20"/>
                <w:szCs w:val="20"/>
              </w:rPr>
              <w:t>19.4</w:t>
            </w:r>
          </w:p>
        </w:tc>
      </w:tr>
      <w:tr w:rsidR="00A71255" w:rsidRPr="0020771F" w14:paraId="033AD72D" w14:textId="77777777" w:rsidTr="00834103">
        <w:trPr>
          <w:trHeight w:hRule="exact" w:val="340"/>
        </w:trPr>
        <w:tc>
          <w:tcPr>
            <w:tcW w:w="1101" w:type="dxa"/>
            <w:shd w:val="clear" w:color="auto" w:fill="8EAEDE"/>
            <w:vAlign w:val="center"/>
          </w:tcPr>
          <w:p w14:paraId="04F7B943" w14:textId="77777777" w:rsidR="00A71255" w:rsidRPr="0020771F" w:rsidRDefault="00A71255" w:rsidP="006510E3">
            <w:pPr>
              <w:keepNext/>
              <w:rPr>
                <w:rFonts w:cstheme="minorHAnsi"/>
                <w:sz w:val="20"/>
                <w:szCs w:val="20"/>
              </w:rPr>
            </w:pPr>
            <w:r w:rsidRPr="0020771F">
              <w:rPr>
                <w:rFonts w:cstheme="minorHAnsi"/>
                <w:sz w:val="20"/>
                <w:szCs w:val="20"/>
              </w:rPr>
              <w:t>Total</w:t>
            </w:r>
          </w:p>
        </w:tc>
        <w:tc>
          <w:tcPr>
            <w:tcW w:w="2268" w:type="dxa"/>
            <w:shd w:val="clear" w:color="auto" w:fill="8EAEDE"/>
            <w:vAlign w:val="center"/>
          </w:tcPr>
          <w:p w14:paraId="2E8AF331" w14:textId="77777777" w:rsidR="00A71255" w:rsidRPr="0020771F" w:rsidRDefault="00A71255" w:rsidP="00834103">
            <w:pPr>
              <w:keepNext/>
              <w:ind w:right="498"/>
              <w:jc w:val="right"/>
              <w:rPr>
                <w:rFonts w:cstheme="minorHAnsi"/>
                <w:sz w:val="20"/>
                <w:szCs w:val="20"/>
              </w:rPr>
            </w:pPr>
            <w:r w:rsidRPr="0020771F">
              <w:rPr>
                <w:rFonts w:cstheme="minorHAnsi"/>
                <w:sz w:val="20"/>
                <w:szCs w:val="20"/>
              </w:rPr>
              <w:t>100.0</w:t>
            </w:r>
          </w:p>
        </w:tc>
        <w:tc>
          <w:tcPr>
            <w:tcW w:w="1550" w:type="dxa"/>
            <w:shd w:val="clear" w:color="auto" w:fill="8EAEDE"/>
            <w:vAlign w:val="center"/>
          </w:tcPr>
          <w:p w14:paraId="23A06CF4" w14:textId="77777777" w:rsidR="00A71255" w:rsidRPr="0020771F" w:rsidRDefault="00A71255" w:rsidP="00834103">
            <w:pPr>
              <w:keepNext/>
              <w:ind w:right="255"/>
              <w:jc w:val="right"/>
              <w:rPr>
                <w:rFonts w:cstheme="minorHAnsi"/>
                <w:sz w:val="20"/>
                <w:szCs w:val="20"/>
              </w:rPr>
            </w:pPr>
            <w:r w:rsidRPr="0020771F">
              <w:rPr>
                <w:rFonts w:cstheme="minorHAnsi"/>
                <w:sz w:val="20"/>
                <w:szCs w:val="20"/>
              </w:rPr>
              <w:t>100.0</w:t>
            </w:r>
          </w:p>
        </w:tc>
        <w:tc>
          <w:tcPr>
            <w:tcW w:w="2094" w:type="dxa"/>
            <w:shd w:val="clear" w:color="auto" w:fill="8EAEDE"/>
            <w:vAlign w:val="center"/>
          </w:tcPr>
          <w:p w14:paraId="5C80916C" w14:textId="77777777" w:rsidR="00A71255" w:rsidRPr="0020771F" w:rsidRDefault="00A71255" w:rsidP="00834103">
            <w:pPr>
              <w:keepNext/>
              <w:ind w:right="346"/>
              <w:jc w:val="right"/>
              <w:rPr>
                <w:rFonts w:cstheme="minorHAnsi"/>
                <w:sz w:val="20"/>
                <w:szCs w:val="20"/>
              </w:rPr>
            </w:pPr>
            <w:r w:rsidRPr="0020771F">
              <w:rPr>
                <w:rFonts w:cstheme="minorHAnsi"/>
                <w:sz w:val="20"/>
                <w:szCs w:val="20"/>
              </w:rPr>
              <w:t>100.0</w:t>
            </w:r>
          </w:p>
        </w:tc>
        <w:tc>
          <w:tcPr>
            <w:tcW w:w="2230" w:type="dxa"/>
            <w:shd w:val="clear" w:color="auto" w:fill="8EAEDE"/>
            <w:vAlign w:val="center"/>
          </w:tcPr>
          <w:p w14:paraId="4B57D2B2" w14:textId="77777777" w:rsidR="00A71255" w:rsidRPr="0020771F" w:rsidRDefault="00A71255" w:rsidP="00834103">
            <w:pPr>
              <w:keepNext/>
              <w:ind w:right="498"/>
              <w:jc w:val="right"/>
              <w:rPr>
                <w:rFonts w:cstheme="minorHAnsi"/>
                <w:sz w:val="20"/>
                <w:szCs w:val="20"/>
              </w:rPr>
            </w:pPr>
            <w:r w:rsidRPr="0020771F">
              <w:rPr>
                <w:rFonts w:cstheme="minorHAnsi"/>
                <w:sz w:val="20"/>
                <w:szCs w:val="20"/>
              </w:rPr>
              <w:t>100.0</w:t>
            </w:r>
          </w:p>
        </w:tc>
      </w:tr>
    </w:tbl>
    <w:p w14:paraId="035D8B07" w14:textId="77777777" w:rsidR="00834103" w:rsidRDefault="00834103" w:rsidP="00282936">
      <w:pPr>
        <w:spacing w:before="240" w:after="0"/>
        <w:rPr>
          <w:b/>
          <w:sz w:val="20"/>
          <w:szCs w:val="20"/>
        </w:rPr>
      </w:pPr>
      <w:r w:rsidRPr="00834103">
        <w:rPr>
          <w:b/>
          <w:sz w:val="20"/>
          <w:szCs w:val="20"/>
        </w:rPr>
        <w:t>Number</w:t>
      </w:r>
    </w:p>
    <w:tbl>
      <w:tblPr>
        <w:tblStyle w:val="TableGrid"/>
        <w:tblW w:w="0" w:type="auto"/>
        <w:tblLayout w:type="fixed"/>
        <w:tblLook w:val="04A0" w:firstRow="1" w:lastRow="0" w:firstColumn="1" w:lastColumn="0" w:noHBand="0" w:noVBand="1"/>
      </w:tblPr>
      <w:tblGrid>
        <w:gridCol w:w="1101"/>
        <w:gridCol w:w="2268"/>
        <w:gridCol w:w="1550"/>
        <w:gridCol w:w="2094"/>
        <w:gridCol w:w="2230"/>
      </w:tblGrid>
      <w:tr w:rsidR="00834103" w:rsidRPr="0011747A" w14:paraId="66DFC26D" w14:textId="77777777" w:rsidTr="0020771F">
        <w:trPr>
          <w:tblHeader/>
        </w:trPr>
        <w:tc>
          <w:tcPr>
            <w:tcW w:w="1101" w:type="dxa"/>
            <w:tcBorders>
              <w:top w:val="nil"/>
              <w:left w:val="nil"/>
              <w:bottom w:val="nil"/>
              <w:right w:val="nil"/>
            </w:tcBorders>
            <w:shd w:val="clear" w:color="auto" w:fill="1E3D6B"/>
          </w:tcPr>
          <w:p w14:paraId="36AB4F6E" w14:textId="77777777" w:rsidR="00834103" w:rsidRPr="0011747A" w:rsidRDefault="00834103" w:rsidP="0020771F">
            <w:pPr>
              <w:pStyle w:val="Tableheadingleft"/>
              <w:spacing w:before="99" w:after="33"/>
            </w:pPr>
            <w:bookmarkStart w:id="136" w:name="Title_22b"/>
            <w:bookmarkEnd w:id="136"/>
            <w:r>
              <w:t>Stream</w:t>
            </w:r>
          </w:p>
        </w:tc>
        <w:tc>
          <w:tcPr>
            <w:tcW w:w="2268" w:type="dxa"/>
            <w:tcBorders>
              <w:top w:val="nil"/>
              <w:left w:val="nil"/>
              <w:bottom w:val="nil"/>
              <w:right w:val="nil"/>
            </w:tcBorders>
            <w:shd w:val="clear" w:color="auto" w:fill="1E3D6B"/>
          </w:tcPr>
          <w:p w14:paraId="65130F28" w14:textId="77777777" w:rsidR="00834103" w:rsidRPr="0011747A" w:rsidRDefault="00834103" w:rsidP="00834103">
            <w:pPr>
              <w:keepNext/>
              <w:ind w:left="498"/>
              <w:jc w:val="center"/>
              <w:rPr>
                <w:rFonts w:cstheme="minorHAnsi"/>
                <w:b/>
                <w:color w:val="FFFFFF" w:themeColor="background2"/>
                <w:sz w:val="20"/>
                <w:szCs w:val="20"/>
              </w:rPr>
            </w:pPr>
            <w:r w:rsidRPr="0011747A">
              <w:rPr>
                <w:rFonts w:cstheme="minorHAnsi"/>
                <w:b/>
                <w:color w:val="FFFFFF" w:themeColor="background2"/>
                <w:sz w:val="20"/>
                <w:szCs w:val="20"/>
              </w:rPr>
              <w:t>Total</w:t>
            </w:r>
            <w:r>
              <w:rPr>
                <w:rFonts w:cstheme="minorHAnsi"/>
                <w:b/>
                <w:color w:val="FFFFFF" w:themeColor="background2"/>
                <w:sz w:val="20"/>
                <w:szCs w:val="20"/>
              </w:rPr>
              <w:t xml:space="preserve"> job placements</w:t>
            </w:r>
            <w:r w:rsidR="002B46B5">
              <w:rPr>
                <w:rFonts w:cstheme="minorHAnsi"/>
                <w:b/>
                <w:color w:val="FFFFFF" w:themeColor="background2"/>
                <w:sz w:val="20"/>
                <w:szCs w:val="20"/>
              </w:rPr>
              <w:br/>
              <w:t>(number)</w:t>
            </w:r>
          </w:p>
        </w:tc>
        <w:tc>
          <w:tcPr>
            <w:tcW w:w="1550" w:type="dxa"/>
            <w:tcBorders>
              <w:top w:val="nil"/>
              <w:left w:val="nil"/>
              <w:bottom w:val="nil"/>
              <w:right w:val="nil"/>
            </w:tcBorders>
            <w:shd w:val="clear" w:color="auto" w:fill="1E3D6B"/>
          </w:tcPr>
          <w:p w14:paraId="27396B24" w14:textId="77777777" w:rsidR="00834103" w:rsidRPr="0011747A" w:rsidRDefault="00834103" w:rsidP="00834103">
            <w:pPr>
              <w:keepNext/>
              <w:jc w:val="center"/>
              <w:rPr>
                <w:rFonts w:cstheme="minorHAnsi"/>
                <w:b/>
                <w:color w:val="FFFFFF" w:themeColor="background2"/>
                <w:sz w:val="20"/>
                <w:szCs w:val="20"/>
              </w:rPr>
            </w:pPr>
            <w:r w:rsidRPr="0011747A">
              <w:rPr>
                <w:rFonts w:cstheme="minorHAnsi"/>
                <w:b/>
                <w:color w:val="FFFFFF" w:themeColor="background2"/>
                <w:sz w:val="20"/>
                <w:szCs w:val="20"/>
              </w:rPr>
              <w:t>Anchored</w:t>
            </w:r>
            <w:r>
              <w:rPr>
                <w:rFonts w:cstheme="minorHAnsi"/>
                <w:b/>
                <w:color w:val="FFFFFF" w:themeColor="background2"/>
                <w:sz w:val="20"/>
                <w:szCs w:val="20"/>
              </w:rPr>
              <w:t xml:space="preserve"> job placements</w:t>
            </w:r>
            <w:r w:rsidR="002B46B5">
              <w:rPr>
                <w:rFonts w:cstheme="minorHAnsi"/>
                <w:b/>
                <w:color w:val="FFFFFF" w:themeColor="background2"/>
                <w:sz w:val="20"/>
                <w:szCs w:val="20"/>
              </w:rPr>
              <w:br/>
              <w:t>(number)</w:t>
            </w:r>
          </w:p>
        </w:tc>
        <w:tc>
          <w:tcPr>
            <w:tcW w:w="2094" w:type="dxa"/>
            <w:tcBorders>
              <w:top w:val="nil"/>
              <w:left w:val="nil"/>
              <w:bottom w:val="nil"/>
              <w:right w:val="nil"/>
            </w:tcBorders>
            <w:shd w:val="clear" w:color="auto" w:fill="1E3D6B"/>
          </w:tcPr>
          <w:p w14:paraId="60D01659" w14:textId="3E946F36" w:rsidR="00834103" w:rsidRPr="0011747A" w:rsidRDefault="00834103" w:rsidP="005B7636">
            <w:pPr>
              <w:keepNext/>
              <w:jc w:val="center"/>
              <w:rPr>
                <w:rFonts w:cstheme="minorHAnsi"/>
                <w:b/>
                <w:color w:val="FFFFFF" w:themeColor="background2"/>
                <w:sz w:val="20"/>
                <w:szCs w:val="20"/>
              </w:rPr>
            </w:pPr>
            <w:r w:rsidRPr="0011747A">
              <w:rPr>
                <w:rFonts w:cstheme="minorHAnsi"/>
                <w:b/>
                <w:color w:val="FFFFFF" w:themeColor="background2"/>
                <w:sz w:val="20"/>
                <w:szCs w:val="20"/>
              </w:rPr>
              <w:t>13</w:t>
            </w:r>
            <w:r w:rsidR="005B7636">
              <w:rPr>
                <w:rFonts w:cstheme="minorHAnsi"/>
                <w:b/>
                <w:color w:val="FFFFFF" w:themeColor="background2"/>
                <w:sz w:val="20"/>
                <w:szCs w:val="20"/>
              </w:rPr>
              <w:t>-</w:t>
            </w:r>
            <w:r w:rsidRPr="0011747A">
              <w:rPr>
                <w:rFonts w:cstheme="minorHAnsi"/>
                <w:b/>
                <w:color w:val="FFFFFF" w:themeColor="background2"/>
                <w:sz w:val="20"/>
                <w:szCs w:val="20"/>
              </w:rPr>
              <w:t>week</w:t>
            </w:r>
            <w:r>
              <w:rPr>
                <w:rFonts w:cstheme="minorHAnsi"/>
                <w:b/>
                <w:color w:val="FFFFFF" w:themeColor="background2"/>
                <w:sz w:val="20"/>
                <w:szCs w:val="20"/>
              </w:rPr>
              <w:t xml:space="preserve"> employment outcomes</w:t>
            </w:r>
            <w:r w:rsidR="002B46B5">
              <w:rPr>
                <w:rFonts w:cstheme="minorHAnsi"/>
                <w:b/>
                <w:color w:val="FFFFFF" w:themeColor="background2"/>
                <w:sz w:val="20"/>
                <w:szCs w:val="20"/>
              </w:rPr>
              <w:br/>
              <w:t>(number)</w:t>
            </w:r>
          </w:p>
        </w:tc>
        <w:tc>
          <w:tcPr>
            <w:tcW w:w="2230" w:type="dxa"/>
            <w:tcBorders>
              <w:top w:val="nil"/>
              <w:left w:val="nil"/>
              <w:bottom w:val="nil"/>
              <w:right w:val="nil"/>
            </w:tcBorders>
            <w:shd w:val="clear" w:color="auto" w:fill="1E3D6B"/>
          </w:tcPr>
          <w:p w14:paraId="29F63F1B" w14:textId="156B29DB" w:rsidR="00834103" w:rsidRPr="0011747A" w:rsidRDefault="00834103" w:rsidP="00A254DF">
            <w:pPr>
              <w:keepNext/>
              <w:ind w:left="-55"/>
              <w:jc w:val="center"/>
              <w:rPr>
                <w:rFonts w:cstheme="minorHAnsi"/>
                <w:b/>
                <w:color w:val="FFFFFF" w:themeColor="background2"/>
                <w:sz w:val="20"/>
                <w:szCs w:val="20"/>
              </w:rPr>
            </w:pPr>
            <w:r w:rsidRPr="0011747A">
              <w:rPr>
                <w:rFonts w:cstheme="minorHAnsi"/>
                <w:b/>
                <w:color w:val="FFFFFF" w:themeColor="background2"/>
                <w:sz w:val="20"/>
                <w:szCs w:val="20"/>
              </w:rPr>
              <w:t>26</w:t>
            </w:r>
            <w:r w:rsidR="00A254DF">
              <w:rPr>
                <w:rFonts w:cstheme="minorHAnsi"/>
                <w:b/>
                <w:color w:val="FFFFFF" w:themeColor="background2"/>
                <w:sz w:val="20"/>
                <w:szCs w:val="20"/>
              </w:rPr>
              <w:t>-</w:t>
            </w:r>
            <w:r w:rsidRPr="0011747A">
              <w:rPr>
                <w:rFonts w:cstheme="minorHAnsi"/>
                <w:b/>
                <w:color w:val="FFFFFF" w:themeColor="background2"/>
                <w:sz w:val="20"/>
                <w:szCs w:val="20"/>
              </w:rPr>
              <w:t>week</w:t>
            </w:r>
            <w:r>
              <w:rPr>
                <w:rFonts w:cstheme="minorHAnsi"/>
                <w:b/>
                <w:color w:val="FFFFFF" w:themeColor="background2"/>
                <w:sz w:val="20"/>
                <w:szCs w:val="20"/>
              </w:rPr>
              <w:t xml:space="preserve"> employment outcomes</w:t>
            </w:r>
            <w:r w:rsidR="002B46B5">
              <w:rPr>
                <w:rFonts w:cstheme="minorHAnsi"/>
                <w:b/>
                <w:color w:val="FFFFFF" w:themeColor="background2"/>
                <w:sz w:val="20"/>
                <w:szCs w:val="20"/>
              </w:rPr>
              <w:br/>
              <w:t>(number)</w:t>
            </w:r>
          </w:p>
        </w:tc>
      </w:tr>
      <w:tr w:rsidR="00A71255" w:rsidRPr="00834103" w14:paraId="293833B7" w14:textId="77777777" w:rsidTr="00834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101" w:type="dxa"/>
            <w:tcBorders>
              <w:bottom w:val="single" w:sz="4" w:space="0" w:color="auto"/>
            </w:tcBorders>
            <w:vAlign w:val="center"/>
          </w:tcPr>
          <w:p w14:paraId="3132C4B6" w14:textId="77777777" w:rsidR="00A71255" w:rsidRPr="00834103" w:rsidRDefault="00A71255" w:rsidP="006510E3">
            <w:pPr>
              <w:keepNext/>
              <w:rPr>
                <w:rFonts w:cstheme="minorHAnsi"/>
                <w:sz w:val="20"/>
                <w:szCs w:val="20"/>
              </w:rPr>
            </w:pPr>
            <w:r w:rsidRPr="00834103">
              <w:rPr>
                <w:rFonts w:cstheme="minorHAnsi"/>
                <w:sz w:val="20"/>
                <w:szCs w:val="20"/>
              </w:rPr>
              <w:t>Number</w:t>
            </w:r>
          </w:p>
        </w:tc>
        <w:tc>
          <w:tcPr>
            <w:tcW w:w="2268" w:type="dxa"/>
            <w:tcBorders>
              <w:bottom w:val="single" w:sz="4" w:space="0" w:color="auto"/>
            </w:tcBorders>
            <w:vAlign w:val="center"/>
          </w:tcPr>
          <w:p w14:paraId="03B1504A" w14:textId="77777777" w:rsidR="00A71255" w:rsidRPr="00834103" w:rsidRDefault="00A71255" w:rsidP="002B46B5">
            <w:pPr>
              <w:keepNext/>
              <w:tabs>
                <w:tab w:val="left" w:pos="1439"/>
              </w:tabs>
              <w:ind w:right="263"/>
              <w:jc w:val="right"/>
              <w:rPr>
                <w:rFonts w:cstheme="minorHAnsi"/>
                <w:sz w:val="20"/>
                <w:szCs w:val="20"/>
              </w:rPr>
            </w:pPr>
            <w:r w:rsidRPr="00834103">
              <w:rPr>
                <w:rFonts w:cstheme="minorHAnsi"/>
                <w:sz w:val="20"/>
                <w:szCs w:val="20"/>
              </w:rPr>
              <w:t>1,018,500</w:t>
            </w:r>
          </w:p>
        </w:tc>
        <w:tc>
          <w:tcPr>
            <w:tcW w:w="1550" w:type="dxa"/>
            <w:tcBorders>
              <w:bottom w:val="single" w:sz="4" w:space="0" w:color="auto"/>
            </w:tcBorders>
            <w:vAlign w:val="center"/>
          </w:tcPr>
          <w:p w14:paraId="4461D603" w14:textId="77777777" w:rsidR="00A71255" w:rsidRPr="00834103" w:rsidRDefault="00A71255" w:rsidP="002B46B5">
            <w:pPr>
              <w:keepNext/>
              <w:tabs>
                <w:tab w:val="left" w:pos="1439"/>
              </w:tabs>
              <w:ind w:right="263"/>
              <w:jc w:val="right"/>
              <w:rPr>
                <w:rFonts w:cstheme="minorHAnsi"/>
                <w:sz w:val="20"/>
                <w:szCs w:val="20"/>
              </w:rPr>
            </w:pPr>
            <w:r w:rsidRPr="00834103">
              <w:rPr>
                <w:rFonts w:cstheme="minorHAnsi"/>
                <w:sz w:val="20"/>
                <w:szCs w:val="20"/>
              </w:rPr>
              <w:t>841,579</w:t>
            </w:r>
          </w:p>
        </w:tc>
        <w:tc>
          <w:tcPr>
            <w:tcW w:w="2094" w:type="dxa"/>
            <w:tcBorders>
              <w:bottom w:val="single" w:sz="4" w:space="0" w:color="auto"/>
            </w:tcBorders>
            <w:vAlign w:val="center"/>
          </w:tcPr>
          <w:p w14:paraId="785C1497" w14:textId="77777777" w:rsidR="00A71255" w:rsidRPr="00834103" w:rsidRDefault="00A71255" w:rsidP="002B46B5">
            <w:pPr>
              <w:keepNext/>
              <w:tabs>
                <w:tab w:val="left" w:pos="1439"/>
              </w:tabs>
              <w:ind w:right="464"/>
              <w:jc w:val="right"/>
              <w:rPr>
                <w:rFonts w:cstheme="minorHAnsi"/>
                <w:sz w:val="20"/>
                <w:szCs w:val="20"/>
              </w:rPr>
            </w:pPr>
            <w:r w:rsidRPr="00834103">
              <w:rPr>
                <w:rFonts w:cstheme="minorHAnsi"/>
                <w:sz w:val="20"/>
                <w:szCs w:val="20"/>
              </w:rPr>
              <w:t>367,218</w:t>
            </w:r>
          </w:p>
        </w:tc>
        <w:tc>
          <w:tcPr>
            <w:tcW w:w="2230" w:type="dxa"/>
            <w:tcBorders>
              <w:bottom w:val="single" w:sz="4" w:space="0" w:color="auto"/>
            </w:tcBorders>
            <w:vAlign w:val="center"/>
          </w:tcPr>
          <w:p w14:paraId="7F8EED72" w14:textId="77777777" w:rsidR="00A71255" w:rsidRPr="00834103" w:rsidRDefault="00A71255" w:rsidP="002B46B5">
            <w:pPr>
              <w:keepNext/>
              <w:tabs>
                <w:tab w:val="left" w:pos="1121"/>
              </w:tabs>
              <w:ind w:right="550"/>
              <w:jc w:val="right"/>
              <w:rPr>
                <w:rFonts w:cstheme="minorHAnsi"/>
                <w:sz w:val="20"/>
                <w:szCs w:val="20"/>
              </w:rPr>
            </w:pPr>
            <w:r w:rsidRPr="00834103">
              <w:rPr>
                <w:rFonts w:cstheme="minorHAnsi"/>
                <w:sz w:val="20"/>
                <w:szCs w:val="20"/>
              </w:rPr>
              <w:t>257,993</w:t>
            </w:r>
          </w:p>
        </w:tc>
      </w:tr>
    </w:tbl>
    <w:p w14:paraId="6C24AC59" w14:textId="77777777" w:rsidR="00BC2802" w:rsidRDefault="00A71255" w:rsidP="00BC2802">
      <w:pPr>
        <w:pStyle w:val="Notes"/>
        <w:rPr>
          <w:b/>
        </w:rPr>
      </w:pPr>
      <w:r w:rsidRPr="0033478B">
        <w:rPr>
          <w:b/>
        </w:rPr>
        <w:t>Note</w:t>
      </w:r>
      <w:r w:rsidR="00BC2802">
        <w:rPr>
          <w:b/>
        </w:rPr>
        <w:t>s</w:t>
      </w:r>
      <w:r w:rsidRPr="0033478B">
        <w:rPr>
          <w:b/>
        </w:rPr>
        <w:t>:</w:t>
      </w:r>
      <w:r w:rsidR="00BC2802">
        <w:rPr>
          <w:b/>
        </w:rPr>
        <w:tab/>
      </w:r>
    </w:p>
    <w:p w14:paraId="55F4CD5D" w14:textId="77777777" w:rsidR="00067C93" w:rsidRPr="00BC2802" w:rsidRDefault="006B29A2" w:rsidP="00294CB5">
      <w:pPr>
        <w:pStyle w:val="Notesnumbered"/>
        <w:numPr>
          <w:ilvl w:val="0"/>
          <w:numId w:val="223"/>
        </w:numPr>
        <w:ind w:left="709" w:hanging="567"/>
      </w:pPr>
      <w:r w:rsidRPr="00BC2802">
        <w:t xml:space="preserve">Job seekers whose </w:t>
      </w:r>
      <w:r w:rsidR="00702C0E" w:rsidRPr="00BC2802">
        <w:t>s</w:t>
      </w:r>
      <w:r w:rsidRPr="00BC2802">
        <w:t>tream of service had not yet been determin</w:t>
      </w:r>
      <w:r w:rsidR="00246C8A" w:rsidRPr="00BC2802">
        <w:t xml:space="preserve">ed have been excluded from this </w:t>
      </w:r>
      <w:r w:rsidRPr="00BC2802">
        <w:t>calculation</w:t>
      </w:r>
      <w:r w:rsidR="00246C8A" w:rsidRPr="00BC2802">
        <w:t>.</w:t>
      </w:r>
    </w:p>
    <w:p w14:paraId="2B774C84" w14:textId="77777777" w:rsidR="001C639A" w:rsidRPr="00BC2802" w:rsidRDefault="001C639A" w:rsidP="00294CB5">
      <w:pPr>
        <w:pStyle w:val="Notesnumbered"/>
        <w:numPr>
          <w:ilvl w:val="0"/>
          <w:numId w:val="223"/>
        </w:numPr>
        <w:ind w:left="709" w:hanging="567"/>
      </w:pPr>
      <w:r w:rsidRPr="00BC2802">
        <w:t>Providers were not eligible for outcome payments for Stream 1 job seekers who had not been in services for more than 12 months. Providers will therefore be less likely to report placements (or make them) for this group.</w:t>
      </w:r>
    </w:p>
    <w:p w14:paraId="1ABF34BA" w14:textId="77777777" w:rsidR="00A71255" w:rsidRPr="004E6541" w:rsidRDefault="00A71255" w:rsidP="00294CB5">
      <w:pPr>
        <w:pStyle w:val="Notesnumbered"/>
        <w:numPr>
          <w:ilvl w:val="0"/>
          <w:numId w:val="223"/>
        </w:numPr>
        <w:ind w:left="709" w:hanging="567"/>
      </w:pPr>
      <w:r w:rsidRPr="00BC2802">
        <w:t>Number of total job placements includes 2,475 for job seekers that were in Stream</w:t>
      </w:r>
      <w:r w:rsidR="00B448A6">
        <w:t xml:space="preserve"> </w:t>
      </w:r>
      <w:r w:rsidRPr="00BC2802">
        <w:t xml:space="preserve">1 Limited of whose </w:t>
      </w:r>
      <w:r w:rsidR="00750FA4" w:rsidRPr="00BC2802">
        <w:t>eligibility</w:t>
      </w:r>
      <w:r w:rsidRPr="00BC2802">
        <w:t xml:space="preserve"> had not </w:t>
      </w:r>
      <w:r w:rsidR="0042738A" w:rsidRPr="00BC2802">
        <w:t>been</w:t>
      </w:r>
      <w:r w:rsidR="0042738A" w:rsidRPr="004E6541">
        <w:t xml:space="preserve"> determined</w:t>
      </w:r>
      <w:r w:rsidRPr="004E6541">
        <w:t>. These placements are not included in the calculation of percentages.</w:t>
      </w:r>
    </w:p>
    <w:p w14:paraId="34569611" w14:textId="77777777" w:rsidR="00170EE9" w:rsidRPr="00246C8A" w:rsidRDefault="00170EE9" w:rsidP="0033478B">
      <w:pPr>
        <w:pStyle w:val="Source"/>
      </w:pPr>
      <w:r w:rsidRPr="00170EE9">
        <w:rPr>
          <w:b/>
        </w:rPr>
        <w:t>Source:</w:t>
      </w:r>
      <w:r>
        <w:rPr>
          <w:b/>
        </w:rPr>
        <w:tab/>
      </w:r>
      <w:r w:rsidRPr="00170EE9">
        <w:rPr>
          <w:rStyle w:val="SourceandnotetextChar"/>
        </w:rPr>
        <w:t>Department of Employment administrative data.</w:t>
      </w:r>
    </w:p>
    <w:p w14:paraId="78C7E37D" w14:textId="6B06B157" w:rsidR="00A71255" w:rsidRDefault="0040414C" w:rsidP="00170EE9">
      <w:pPr>
        <w:spacing w:before="120"/>
      </w:pPr>
      <w:r>
        <w:t xml:space="preserve">In addition to employment outcomes, providers </w:t>
      </w:r>
      <w:r w:rsidR="00664588">
        <w:t xml:space="preserve">could </w:t>
      </w:r>
      <w:r>
        <w:t xml:space="preserve">be paid for education </w:t>
      </w:r>
      <w:r w:rsidR="00750FA4">
        <w:t>outcomes</w:t>
      </w:r>
      <w:r>
        <w:t xml:space="preserve">. </w:t>
      </w:r>
      <w:r w:rsidR="00A71255">
        <w:t>In total 443,671 13</w:t>
      </w:r>
      <w:r w:rsidR="005B7636">
        <w:t>-</w:t>
      </w:r>
      <w:r w:rsidR="00A71255">
        <w:t>week and 281,884 26</w:t>
      </w:r>
      <w:r w:rsidR="005B7636">
        <w:t>-</w:t>
      </w:r>
      <w:r w:rsidR="00A71255">
        <w:t>week outcomes were paid, of which the vast majority (82.8 per cent and 91.5 per cent respectively) were employment outcomes.</w:t>
      </w:r>
    </w:p>
    <w:p w14:paraId="276F2008" w14:textId="4F12A733" w:rsidR="00A71255" w:rsidRDefault="008A151F" w:rsidP="006F455A">
      <w:r>
        <w:t>T</w:t>
      </w:r>
      <w:r w:rsidR="00A71255">
        <w:t xml:space="preserve">he majority of employment outcomes claims </w:t>
      </w:r>
      <w:r>
        <w:t xml:space="preserve">for anchored job placements </w:t>
      </w:r>
      <w:r w:rsidR="00A71255">
        <w:t>were for Stream 2 job seekers,</w:t>
      </w:r>
      <w:r w:rsidR="008E13E5">
        <w:t xml:space="preserve"> </w:t>
      </w:r>
      <w:r>
        <w:t>(</w:t>
      </w:r>
      <w:r w:rsidR="00A71255">
        <w:t>48.7 per cent of 13</w:t>
      </w:r>
      <w:r w:rsidR="005B7636">
        <w:t>-</w:t>
      </w:r>
      <w:r w:rsidR="00A71255">
        <w:t>week employment outcome claims and 50.4 per cent of 26</w:t>
      </w:r>
      <w:r w:rsidR="00A254DF">
        <w:t>-</w:t>
      </w:r>
      <w:r w:rsidR="00A71255">
        <w:t>week employment outcomes</w:t>
      </w:r>
      <w:r>
        <w:t>)</w:t>
      </w:r>
      <w:r w:rsidR="00A71255">
        <w:t>. Th</w:t>
      </w:r>
      <w:r>
        <w:t>is</w:t>
      </w:r>
      <w:r w:rsidR="00A71255">
        <w:t xml:space="preserve"> large proportion is to be expected given </w:t>
      </w:r>
      <w:r>
        <w:t>Stream 2</w:t>
      </w:r>
      <w:r w:rsidR="00A71255">
        <w:t xml:space="preserve"> job seekers are more job ready than those in Streams 3 and 4</w:t>
      </w:r>
      <w:r>
        <w:t>. W</w:t>
      </w:r>
      <w:r w:rsidR="00A71255">
        <w:t>hile Stream 1 job seekers represented a larger proportion of the caseload than Stream 2 job seekers, Stream 1 job placements could not attract an outcome payment if the job seeker had been in employment services for one year or less.</w:t>
      </w:r>
    </w:p>
    <w:p w14:paraId="6D2CA2DA" w14:textId="0E99B0FF" w:rsidR="00587658" w:rsidRDefault="00587658" w:rsidP="00A62F06">
      <w:pPr>
        <w:spacing w:after="0"/>
      </w:pPr>
      <w:r>
        <w:t xml:space="preserve">The </w:t>
      </w:r>
      <w:r w:rsidR="00A644BF">
        <w:t xml:space="preserve">income support status of the </w:t>
      </w:r>
      <w:r>
        <w:t xml:space="preserve">caseload </w:t>
      </w:r>
      <w:r w:rsidR="00A644BF">
        <w:t xml:space="preserve">changed </w:t>
      </w:r>
      <w:r>
        <w:t xml:space="preserve">composition during the JSA 2012 period. Higher numbers of job seekers were on </w:t>
      </w:r>
      <w:r w:rsidR="00E9606A">
        <w:t>Newstart Allowance (NSA)</w:t>
      </w:r>
      <w:r w:rsidR="00D96ADF">
        <w:t xml:space="preserve"> </w:t>
      </w:r>
      <w:r>
        <w:t>and fewer were on both P</w:t>
      </w:r>
      <w:r w:rsidR="00E9606A">
        <w:t>arenting Payment</w:t>
      </w:r>
      <w:r w:rsidR="00A644BF">
        <w:t xml:space="preserve"> </w:t>
      </w:r>
      <w:r>
        <w:t xml:space="preserve">(partnered </w:t>
      </w:r>
      <w:r w:rsidR="00E9606A">
        <w:t>(PPP)</w:t>
      </w:r>
      <w:r w:rsidR="00822A77">
        <w:t xml:space="preserve"> </w:t>
      </w:r>
      <w:r>
        <w:t>and single</w:t>
      </w:r>
      <w:r w:rsidR="00822A77">
        <w:t xml:space="preserve"> </w:t>
      </w:r>
      <w:r w:rsidR="00E9606A">
        <w:t>(PPS)</w:t>
      </w:r>
      <w:r>
        <w:t xml:space="preserve">) and </w:t>
      </w:r>
      <w:r w:rsidR="00E9606A">
        <w:t>Disability Support Pension (</w:t>
      </w:r>
      <w:r>
        <w:t>DSP</w:t>
      </w:r>
      <w:r w:rsidR="00E9606A">
        <w:t>)</w:t>
      </w:r>
      <w:r>
        <w:t>. These changes are likely due to a combination of factors including:</w:t>
      </w:r>
    </w:p>
    <w:p w14:paraId="64707E21" w14:textId="77777777" w:rsidR="00A644BF" w:rsidRPr="007B55E7" w:rsidRDefault="00A644BF" w:rsidP="00054230">
      <w:pPr>
        <w:pStyle w:val="ListParagraph"/>
      </w:pPr>
      <w:r w:rsidRPr="007B55E7">
        <w:t xml:space="preserve">the revocation of </w:t>
      </w:r>
      <w:r w:rsidR="003C7EBE" w:rsidRPr="007B55E7">
        <w:t>PP</w:t>
      </w:r>
      <w:r w:rsidR="008E13E5" w:rsidRPr="007B55E7">
        <w:t>S</w:t>
      </w:r>
      <w:r w:rsidRPr="007B55E7">
        <w:t xml:space="preserve">, from January 2013, for all single parents whose youngest child </w:t>
      </w:r>
      <w:r w:rsidR="00664588" w:rsidRPr="007B55E7">
        <w:t>turn</w:t>
      </w:r>
      <w:r w:rsidR="00664588">
        <w:t xml:space="preserve">ed </w:t>
      </w:r>
      <w:r w:rsidRPr="007B55E7">
        <w:t xml:space="preserve">eight or more – meaning many </w:t>
      </w:r>
      <w:r w:rsidR="004314A0" w:rsidRPr="007B55E7">
        <w:t>were transferred</w:t>
      </w:r>
      <w:r w:rsidRPr="007B55E7">
        <w:t xml:space="preserve"> to NS</w:t>
      </w:r>
      <w:r w:rsidR="00E9606A" w:rsidRPr="007B55E7">
        <w:t>A</w:t>
      </w:r>
      <w:r w:rsidRPr="007B55E7">
        <w:t xml:space="preserve"> (</w:t>
      </w:r>
      <w:r w:rsidR="00664588">
        <w:t>s</w:t>
      </w:r>
      <w:r w:rsidR="00664588" w:rsidRPr="007B55E7">
        <w:t xml:space="preserve">ection </w:t>
      </w:r>
      <w:r w:rsidRPr="007B55E7">
        <w:t>1.2.2)</w:t>
      </w:r>
    </w:p>
    <w:p w14:paraId="4AA3986C" w14:textId="77777777" w:rsidR="00A644BF" w:rsidRPr="007B55E7" w:rsidRDefault="00A644BF" w:rsidP="00054230">
      <w:pPr>
        <w:pStyle w:val="ListParagraph"/>
      </w:pPr>
      <w:r w:rsidRPr="007B55E7">
        <w:t xml:space="preserve">continued tightening of </w:t>
      </w:r>
      <w:r w:rsidR="003C7EBE" w:rsidRPr="007B55E7">
        <w:t>DSP</w:t>
      </w:r>
      <w:r w:rsidRPr="007B55E7">
        <w:t xml:space="preserve"> eligibility requirements – resulting in fewer DSP and </w:t>
      </w:r>
      <w:r w:rsidR="004314A0" w:rsidRPr="007B55E7">
        <w:t xml:space="preserve">a greater number of </w:t>
      </w:r>
      <w:r w:rsidR="003C7EBE" w:rsidRPr="007B55E7">
        <w:t>NSA</w:t>
      </w:r>
      <w:r w:rsidRPr="007B55E7">
        <w:t xml:space="preserve"> recipients </w:t>
      </w:r>
      <w:r w:rsidR="00D96ADF">
        <w:t xml:space="preserve">in JSA </w:t>
      </w:r>
      <w:r w:rsidRPr="007B55E7">
        <w:t>(section 1.2.2)</w:t>
      </w:r>
    </w:p>
    <w:p w14:paraId="011B3850" w14:textId="77777777" w:rsidR="00A644BF" w:rsidRDefault="00A644BF" w:rsidP="00054230">
      <w:pPr>
        <w:pStyle w:val="ListParagraph"/>
      </w:pPr>
      <w:r w:rsidRPr="007B55E7">
        <w:t>an increase</w:t>
      </w:r>
      <w:r>
        <w:t xml:space="preserve"> in the unemployment rate over the period (by </w:t>
      </w:r>
      <w:r w:rsidR="00E9606A">
        <w:t xml:space="preserve">1 </w:t>
      </w:r>
      <w:r>
        <w:t>per</w:t>
      </w:r>
      <w:r w:rsidR="00C00A04">
        <w:t>centage point</w:t>
      </w:r>
      <w:r>
        <w:t>) – resulting in higher proportions of N</w:t>
      </w:r>
      <w:r w:rsidR="003C7EBE">
        <w:t>SA</w:t>
      </w:r>
      <w:r>
        <w:t xml:space="preserve"> recipients (section 1.2.1).</w:t>
      </w:r>
    </w:p>
    <w:p w14:paraId="0C4BF6B5" w14:textId="738D0ECB" w:rsidR="00CA61F7" w:rsidRDefault="00CA61F7" w:rsidP="0020771F">
      <w:pPr>
        <w:pStyle w:val="Tableforcontents"/>
        <w:keepLines/>
      </w:pPr>
      <w:bookmarkStart w:id="137" w:name="_Toc22543972"/>
      <w:r>
        <w:t>Table 2.</w:t>
      </w:r>
      <w:r w:rsidR="00587658">
        <w:t>3</w:t>
      </w:r>
      <w:r>
        <w:t>:</w:t>
      </w:r>
      <w:r w:rsidR="00640731">
        <w:t xml:space="preserve"> </w:t>
      </w:r>
      <w:r>
        <w:t xml:space="preserve">Caseload by </w:t>
      </w:r>
      <w:r w:rsidR="00664588">
        <w:t xml:space="preserve">income support </w:t>
      </w:r>
      <w:r w:rsidR="005C0FEC">
        <w:t xml:space="preserve">type </w:t>
      </w:r>
      <w:r>
        <w:t>July 2012 and June 2015 (per cent)</w:t>
      </w:r>
      <w:bookmarkEnd w:id="137"/>
    </w:p>
    <w:tbl>
      <w:tblPr>
        <w:tblW w:w="8897" w:type="dxa"/>
        <w:tblBorders>
          <w:bottom w:val="single" w:sz="8" w:space="0" w:color="auto"/>
        </w:tblBorders>
        <w:tblCellMar>
          <w:left w:w="0" w:type="dxa"/>
          <w:right w:w="0" w:type="dxa"/>
        </w:tblCellMar>
        <w:tblLook w:val="04A0" w:firstRow="1" w:lastRow="0" w:firstColumn="1" w:lastColumn="0" w:noHBand="0" w:noVBand="1"/>
      </w:tblPr>
      <w:tblGrid>
        <w:gridCol w:w="4503"/>
        <w:gridCol w:w="985"/>
        <w:gridCol w:w="1850"/>
        <w:gridCol w:w="1559"/>
      </w:tblGrid>
      <w:tr w:rsidR="00CA61F7" w14:paraId="10244D2D" w14:textId="77777777" w:rsidTr="00282936">
        <w:trPr>
          <w:trHeight w:hRule="exact" w:val="340"/>
          <w:tblHeader/>
        </w:trPr>
        <w:tc>
          <w:tcPr>
            <w:tcW w:w="4503" w:type="dxa"/>
            <w:shd w:val="clear" w:color="auto" w:fill="1E3D6B"/>
            <w:tcMar>
              <w:top w:w="0" w:type="dxa"/>
              <w:left w:w="108" w:type="dxa"/>
              <w:bottom w:w="0" w:type="dxa"/>
              <w:right w:w="108" w:type="dxa"/>
            </w:tcMar>
            <w:vAlign w:val="center"/>
            <w:hideMark/>
          </w:tcPr>
          <w:p w14:paraId="59444696" w14:textId="77777777" w:rsidR="00CA61F7" w:rsidRDefault="00CA61F7" w:rsidP="0020771F">
            <w:pPr>
              <w:pStyle w:val="Tableheadingleft"/>
              <w:keepNext/>
              <w:keepLines/>
              <w:spacing w:before="99" w:after="33" w:line="276" w:lineRule="auto"/>
              <w:rPr>
                <w:color w:val="FFFFFF"/>
              </w:rPr>
            </w:pPr>
            <w:bookmarkStart w:id="138" w:name="Title_23"/>
            <w:bookmarkEnd w:id="138"/>
            <w:r>
              <w:rPr>
                <w:color w:val="FFFFFF"/>
              </w:rPr>
              <w:t>Stream</w:t>
            </w:r>
          </w:p>
        </w:tc>
        <w:tc>
          <w:tcPr>
            <w:tcW w:w="985" w:type="dxa"/>
            <w:shd w:val="clear" w:color="auto" w:fill="1E3D6B"/>
            <w:tcMar>
              <w:top w:w="0" w:type="dxa"/>
              <w:left w:w="108" w:type="dxa"/>
              <w:bottom w:w="0" w:type="dxa"/>
              <w:right w:w="108" w:type="dxa"/>
            </w:tcMar>
            <w:vAlign w:val="center"/>
            <w:hideMark/>
          </w:tcPr>
          <w:p w14:paraId="2B54BCC0" w14:textId="77777777" w:rsidR="00CA61F7" w:rsidRDefault="00CA61F7" w:rsidP="0020771F">
            <w:pPr>
              <w:pStyle w:val="Tableheadingright"/>
              <w:keepNext/>
              <w:keepLines/>
              <w:spacing w:before="99" w:after="33" w:line="276" w:lineRule="auto"/>
            </w:pPr>
            <w:r>
              <w:t xml:space="preserve">July 2012 </w:t>
            </w:r>
          </w:p>
        </w:tc>
        <w:tc>
          <w:tcPr>
            <w:tcW w:w="1850" w:type="dxa"/>
            <w:shd w:val="clear" w:color="auto" w:fill="1E3D6B"/>
            <w:tcMar>
              <w:top w:w="0" w:type="dxa"/>
              <w:left w:w="108" w:type="dxa"/>
              <w:bottom w:w="0" w:type="dxa"/>
              <w:right w:w="108" w:type="dxa"/>
            </w:tcMar>
            <w:vAlign w:val="center"/>
            <w:hideMark/>
          </w:tcPr>
          <w:p w14:paraId="6CD9E238" w14:textId="77777777" w:rsidR="00CA61F7" w:rsidRDefault="00CA61F7" w:rsidP="0020771F">
            <w:pPr>
              <w:pStyle w:val="Tableheadingright"/>
              <w:keepNext/>
              <w:keepLines/>
              <w:spacing w:before="99" w:after="33" w:line="276" w:lineRule="auto"/>
            </w:pPr>
            <w:r>
              <w:t>June 2015</w:t>
            </w:r>
          </w:p>
        </w:tc>
        <w:tc>
          <w:tcPr>
            <w:tcW w:w="1559" w:type="dxa"/>
            <w:shd w:val="clear" w:color="auto" w:fill="1E3D6B"/>
            <w:tcMar>
              <w:top w:w="0" w:type="dxa"/>
              <w:left w:w="108" w:type="dxa"/>
              <w:bottom w:w="0" w:type="dxa"/>
              <w:right w:w="108" w:type="dxa"/>
            </w:tcMar>
            <w:vAlign w:val="center"/>
            <w:hideMark/>
          </w:tcPr>
          <w:p w14:paraId="7DC881B1" w14:textId="77777777" w:rsidR="00CA61F7" w:rsidRDefault="00CA61F7" w:rsidP="0020771F">
            <w:pPr>
              <w:pStyle w:val="Tableheadingright"/>
              <w:keepNext/>
              <w:keepLines/>
              <w:spacing w:before="99" w:after="33" w:line="276" w:lineRule="auto"/>
            </w:pPr>
            <w:r>
              <w:t>Difference</w:t>
            </w:r>
          </w:p>
        </w:tc>
      </w:tr>
      <w:tr w:rsidR="00CA61F7" w14:paraId="2A63C4AF" w14:textId="77777777" w:rsidTr="00282936">
        <w:trPr>
          <w:trHeight w:hRule="exact" w:val="340"/>
        </w:trPr>
        <w:tc>
          <w:tcPr>
            <w:tcW w:w="4503" w:type="dxa"/>
            <w:tcMar>
              <w:top w:w="0" w:type="dxa"/>
              <w:left w:w="108" w:type="dxa"/>
              <w:bottom w:w="0" w:type="dxa"/>
              <w:right w:w="108" w:type="dxa"/>
            </w:tcMar>
            <w:vAlign w:val="center"/>
            <w:hideMark/>
          </w:tcPr>
          <w:p w14:paraId="5BB18426" w14:textId="77777777" w:rsidR="00CA61F7" w:rsidRDefault="00CA61F7" w:rsidP="00282936">
            <w:pPr>
              <w:pStyle w:val="Tablefirstcolumn"/>
              <w:keepNext/>
              <w:keepLines/>
              <w:spacing w:line="240" w:lineRule="auto"/>
              <w:rPr>
                <w:rFonts w:eastAsia="Times New Roman"/>
                <w:sz w:val="18"/>
                <w:szCs w:val="18"/>
              </w:rPr>
            </w:pPr>
            <w:r>
              <w:rPr>
                <w:sz w:val="18"/>
                <w:szCs w:val="18"/>
              </w:rPr>
              <w:t>New</w:t>
            </w:r>
            <w:r w:rsidR="00B97FC9">
              <w:rPr>
                <w:sz w:val="18"/>
                <w:szCs w:val="18"/>
              </w:rPr>
              <w:t>s</w:t>
            </w:r>
            <w:r>
              <w:rPr>
                <w:sz w:val="18"/>
                <w:szCs w:val="18"/>
              </w:rPr>
              <w:t>tart</w:t>
            </w:r>
            <w:r w:rsidR="00E9606A">
              <w:rPr>
                <w:sz w:val="18"/>
                <w:szCs w:val="18"/>
              </w:rPr>
              <w:t xml:space="preserve"> Allowance (NSA)</w:t>
            </w:r>
          </w:p>
        </w:tc>
        <w:tc>
          <w:tcPr>
            <w:tcW w:w="985" w:type="dxa"/>
            <w:tcMar>
              <w:top w:w="0" w:type="dxa"/>
              <w:left w:w="108" w:type="dxa"/>
              <w:bottom w:w="0" w:type="dxa"/>
              <w:right w:w="108" w:type="dxa"/>
            </w:tcMar>
            <w:vAlign w:val="center"/>
            <w:hideMark/>
          </w:tcPr>
          <w:p w14:paraId="4427869D" w14:textId="77777777" w:rsidR="00CA61F7" w:rsidRDefault="00CA61F7" w:rsidP="00282936">
            <w:pPr>
              <w:pStyle w:val="tablebodytextright"/>
              <w:keepNext/>
              <w:keepLines/>
              <w:spacing w:before="83" w:after="33"/>
              <w:ind w:right="257"/>
            </w:pPr>
            <w:r>
              <w:t>68.9</w:t>
            </w:r>
          </w:p>
        </w:tc>
        <w:tc>
          <w:tcPr>
            <w:tcW w:w="1850" w:type="dxa"/>
            <w:tcMar>
              <w:top w:w="0" w:type="dxa"/>
              <w:left w:w="108" w:type="dxa"/>
              <w:bottom w:w="0" w:type="dxa"/>
              <w:right w:w="108" w:type="dxa"/>
            </w:tcMar>
            <w:vAlign w:val="center"/>
            <w:hideMark/>
          </w:tcPr>
          <w:p w14:paraId="3B640296" w14:textId="77777777" w:rsidR="00CA61F7" w:rsidRDefault="00CA61F7" w:rsidP="00282936">
            <w:pPr>
              <w:pStyle w:val="tablebodytextright"/>
              <w:keepNext/>
              <w:keepLines/>
              <w:spacing w:before="83" w:after="33"/>
              <w:ind w:right="257"/>
            </w:pPr>
            <w:r>
              <w:t>77.3</w:t>
            </w:r>
          </w:p>
        </w:tc>
        <w:tc>
          <w:tcPr>
            <w:tcW w:w="1559" w:type="dxa"/>
            <w:tcMar>
              <w:top w:w="0" w:type="dxa"/>
              <w:left w:w="108" w:type="dxa"/>
              <w:bottom w:w="0" w:type="dxa"/>
              <w:right w:w="108" w:type="dxa"/>
            </w:tcMar>
            <w:vAlign w:val="center"/>
            <w:hideMark/>
          </w:tcPr>
          <w:p w14:paraId="06C40E43" w14:textId="77777777" w:rsidR="00CA61F7" w:rsidRDefault="00CA61F7" w:rsidP="00282936">
            <w:pPr>
              <w:pStyle w:val="tablebodytextright"/>
              <w:keepNext/>
              <w:keepLines/>
              <w:spacing w:before="83" w:after="33"/>
              <w:ind w:right="257"/>
            </w:pPr>
            <w:r>
              <w:t>8.4</w:t>
            </w:r>
          </w:p>
        </w:tc>
      </w:tr>
      <w:tr w:rsidR="00CA61F7" w14:paraId="53B77E35" w14:textId="77777777" w:rsidTr="00282936">
        <w:trPr>
          <w:trHeight w:hRule="exact" w:val="340"/>
        </w:trPr>
        <w:tc>
          <w:tcPr>
            <w:tcW w:w="4503" w:type="dxa"/>
            <w:shd w:val="clear" w:color="auto" w:fill="E5E5E5" w:themeFill="background1" w:themeFillTint="33"/>
            <w:tcMar>
              <w:top w:w="0" w:type="dxa"/>
              <w:left w:w="108" w:type="dxa"/>
              <w:bottom w:w="0" w:type="dxa"/>
              <w:right w:w="108" w:type="dxa"/>
            </w:tcMar>
            <w:vAlign w:val="center"/>
            <w:hideMark/>
          </w:tcPr>
          <w:p w14:paraId="507D24B9" w14:textId="77777777" w:rsidR="00CA61F7" w:rsidRDefault="00E9606A" w:rsidP="00282936">
            <w:pPr>
              <w:pStyle w:val="Tablefirstcolumn"/>
              <w:keepNext/>
              <w:keepLines/>
              <w:spacing w:line="240" w:lineRule="auto"/>
              <w:rPr>
                <w:rFonts w:eastAsia="Times New Roman"/>
                <w:sz w:val="18"/>
                <w:szCs w:val="18"/>
              </w:rPr>
            </w:pPr>
            <w:r>
              <w:rPr>
                <w:sz w:val="18"/>
                <w:szCs w:val="18"/>
              </w:rPr>
              <w:t xml:space="preserve">Youth Allowance (Other) </w:t>
            </w:r>
            <w:r w:rsidR="00CA61F7">
              <w:rPr>
                <w:sz w:val="18"/>
                <w:szCs w:val="18"/>
              </w:rPr>
              <w:t>YA(O)</w:t>
            </w:r>
          </w:p>
        </w:tc>
        <w:tc>
          <w:tcPr>
            <w:tcW w:w="985" w:type="dxa"/>
            <w:shd w:val="clear" w:color="auto" w:fill="E5E5E5" w:themeFill="background1" w:themeFillTint="33"/>
            <w:tcMar>
              <w:top w:w="0" w:type="dxa"/>
              <w:left w:w="108" w:type="dxa"/>
              <w:bottom w:w="0" w:type="dxa"/>
              <w:right w:w="108" w:type="dxa"/>
            </w:tcMar>
            <w:vAlign w:val="center"/>
            <w:hideMark/>
          </w:tcPr>
          <w:p w14:paraId="6BF69B0E" w14:textId="77777777" w:rsidR="00CA61F7" w:rsidRDefault="00CA61F7" w:rsidP="00282936">
            <w:pPr>
              <w:pStyle w:val="tablebodytextright"/>
              <w:keepNext/>
              <w:keepLines/>
              <w:spacing w:before="83" w:after="33"/>
              <w:ind w:right="257"/>
            </w:pPr>
            <w:r>
              <w:t>11.1</w:t>
            </w:r>
          </w:p>
        </w:tc>
        <w:tc>
          <w:tcPr>
            <w:tcW w:w="1850" w:type="dxa"/>
            <w:shd w:val="clear" w:color="auto" w:fill="E5E5E5" w:themeFill="background1" w:themeFillTint="33"/>
            <w:tcMar>
              <w:top w:w="0" w:type="dxa"/>
              <w:left w:w="108" w:type="dxa"/>
              <w:bottom w:w="0" w:type="dxa"/>
              <w:right w:w="108" w:type="dxa"/>
            </w:tcMar>
            <w:vAlign w:val="center"/>
            <w:hideMark/>
          </w:tcPr>
          <w:p w14:paraId="6EA75DB9" w14:textId="77777777" w:rsidR="00CA61F7" w:rsidRDefault="00CA61F7" w:rsidP="00282936">
            <w:pPr>
              <w:pStyle w:val="tablebodytextright"/>
              <w:keepNext/>
              <w:keepLines/>
              <w:spacing w:before="83" w:after="33"/>
              <w:ind w:right="257"/>
            </w:pPr>
            <w:r>
              <w:t>12.3</w:t>
            </w:r>
          </w:p>
        </w:tc>
        <w:tc>
          <w:tcPr>
            <w:tcW w:w="1559" w:type="dxa"/>
            <w:shd w:val="clear" w:color="auto" w:fill="E5E5E5" w:themeFill="background1" w:themeFillTint="33"/>
            <w:tcMar>
              <w:top w:w="0" w:type="dxa"/>
              <w:left w:w="108" w:type="dxa"/>
              <w:bottom w:w="0" w:type="dxa"/>
              <w:right w:w="108" w:type="dxa"/>
            </w:tcMar>
            <w:vAlign w:val="center"/>
            <w:hideMark/>
          </w:tcPr>
          <w:p w14:paraId="25C362F1" w14:textId="77777777" w:rsidR="00CA61F7" w:rsidRDefault="00CA61F7" w:rsidP="00282936">
            <w:pPr>
              <w:pStyle w:val="tablebodytextright"/>
              <w:keepNext/>
              <w:keepLines/>
              <w:spacing w:before="83" w:after="33"/>
              <w:ind w:right="257"/>
            </w:pPr>
            <w:r>
              <w:t>1.2</w:t>
            </w:r>
          </w:p>
        </w:tc>
      </w:tr>
      <w:tr w:rsidR="00CA61F7" w14:paraId="7CC81688" w14:textId="77777777" w:rsidTr="00282936">
        <w:trPr>
          <w:trHeight w:hRule="exact" w:val="340"/>
        </w:trPr>
        <w:tc>
          <w:tcPr>
            <w:tcW w:w="4503" w:type="dxa"/>
            <w:tcMar>
              <w:top w:w="0" w:type="dxa"/>
              <w:left w:w="108" w:type="dxa"/>
              <w:bottom w:w="0" w:type="dxa"/>
              <w:right w:w="108" w:type="dxa"/>
            </w:tcMar>
            <w:vAlign w:val="center"/>
            <w:hideMark/>
          </w:tcPr>
          <w:p w14:paraId="41719C1C" w14:textId="77777777" w:rsidR="00CA61F7" w:rsidRDefault="00E9606A" w:rsidP="00282936">
            <w:pPr>
              <w:pStyle w:val="Tablefirstcolumn"/>
              <w:keepNext/>
              <w:keepLines/>
              <w:spacing w:line="240" w:lineRule="auto"/>
              <w:rPr>
                <w:rFonts w:eastAsia="Times New Roman"/>
                <w:sz w:val="18"/>
                <w:szCs w:val="18"/>
              </w:rPr>
            </w:pPr>
            <w:r>
              <w:rPr>
                <w:sz w:val="18"/>
                <w:szCs w:val="18"/>
              </w:rPr>
              <w:t>Parenting Payment Partnered (</w:t>
            </w:r>
            <w:r w:rsidR="00CA61F7">
              <w:rPr>
                <w:sz w:val="18"/>
                <w:szCs w:val="18"/>
              </w:rPr>
              <w:t>PPP</w:t>
            </w:r>
            <w:r>
              <w:rPr>
                <w:sz w:val="18"/>
                <w:szCs w:val="18"/>
              </w:rPr>
              <w:t>) and Single (</w:t>
            </w:r>
            <w:r w:rsidR="00CA61F7">
              <w:rPr>
                <w:sz w:val="18"/>
                <w:szCs w:val="18"/>
              </w:rPr>
              <w:t>PPS</w:t>
            </w:r>
            <w:r>
              <w:rPr>
                <w:sz w:val="18"/>
                <w:szCs w:val="18"/>
              </w:rPr>
              <w:t>)</w:t>
            </w:r>
          </w:p>
        </w:tc>
        <w:tc>
          <w:tcPr>
            <w:tcW w:w="985" w:type="dxa"/>
            <w:tcMar>
              <w:top w:w="0" w:type="dxa"/>
              <w:left w:w="108" w:type="dxa"/>
              <w:bottom w:w="0" w:type="dxa"/>
              <w:right w:w="108" w:type="dxa"/>
            </w:tcMar>
            <w:vAlign w:val="center"/>
            <w:hideMark/>
          </w:tcPr>
          <w:p w14:paraId="3E7EA461" w14:textId="77777777" w:rsidR="00CA61F7" w:rsidRDefault="00CA61F7" w:rsidP="00282936">
            <w:pPr>
              <w:pStyle w:val="tablebodytextright"/>
              <w:keepNext/>
              <w:keepLines/>
              <w:spacing w:before="83" w:after="33"/>
              <w:ind w:right="257"/>
            </w:pPr>
            <w:r>
              <w:t>10.7</w:t>
            </w:r>
          </w:p>
        </w:tc>
        <w:tc>
          <w:tcPr>
            <w:tcW w:w="1850" w:type="dxa"/>
            <w:tcMar>
              <w:top w:w="0" w:type="dxa"/>
              <w:left w:w="108" w:type="dxa"/>
              <w:bottom w:w="0" w:type="dxa"/>
              <w:right w:w="108" w:type="dxa"/>
            </w:tcMar>
            <w:vAlign w:val="center"/>
            <w:hideMark/>
          </w:tcPr>
          <w:p w14:paraId="1B74FEA6" w14:textId="77777777" w:rsidR="00CA61F7" w:rsidRDefault="00CA61F7" w:rsidP="00282936">
            <w:pPr>
              <w:pStyle w:val="tablebodytextright"/>
              <w:keepNext/>
              <w:keepLines/>
              <w:spacing w:before="83" w:after="33"/>
              <w:ind w:right="257"/>
            </w:pPr>
            <w:r>
              <w:t>4.8</w:t>
            </w:r>
          </w:p>
        </w:tc>
        <w:tc>
          <w:tcPr>
            <w:tcW w:w="1559" w:type="dxa"/>
            <w:tcMar>
              <w:top w:w="0" w:type="dxa"/>
              <w:left w:w="108" w:type="dxa"/>
              <w:bottom w:w="0" w:type="dxa"/>
              <w:right w:w="108" w:type="dxa"/>
            </w:tcMar>
            <w:vAlign w:val="center"/>
            <w:hideMark/>
          </w:tcPr>
          <w:p w14:paraId="7259DEDF" w14:textId="77777777" w:rsidR="00CA61F7" w:rsidRDefault="00CA61F7" w:rsidP="00282936">
            <w:pPr>
              <w:pStyle w:val="tablebodytextright"/>
              <w:keepNext/>
              <w:keepLines/>
              <w:spacing w:before="83" w:after="33"/>
              <w:ind w:right="257"/>
            </w:pPr>
            <w:r>
              <w:t>-5.9</w:t>
            </w:r>
          </w:p>
        </w:tc>
      </w:tr>
      <w:tr w:rsidR="00CA61F7" w14:paraId="691B0EC3" w14:textId="77777777" w:rsidTr="00282936">
        <w:trPr>
          <w:trHeight w:hRule="exact" w:val="340"/>
        </w:trPr>
        <w:tc>
          <w:tcPr>
            <w:tcW w:w="4503" w:type="dxa"/>
            <w:shd w:val="clear" w:color="auto" w:fill="E5E5E5" w:themeFill="background1" w:themeFillTint="33"/>
            <w:tcMar>
              <w:top w:w="0" w:type="dxa"/>
              <w:left w:w="108" w:type="dxa"/>
              <w:bottom w:w="0" w:type="dxa"/>
              <w:right w:w="108" w:type="dxa"/>
            </w:tcMar>
            <w:vAlign w:val="center"/>
            <w:hideMark/>
          </w:tcPr>
          <w:p w14:paraId="2315539F" w14:textId="77777777" w:rsidR="00CA61F7" w:rsidRDefault="00E9606A" w:rsidP="00282936">
            <w:pPr>
              <w:pStyle w:val="Tablefirstcolumn"/>
              <w:keepNext/>
              <w:keepLines/>
              <w:spacing w:line="240" w:lineRule="auto"/>
              <w:rPr>
                <w:rFonts w:eastAsia="Times New Roman"/>
                <w:sz w:val="18"/>
                <w:szCs w:val="18"/>
              </w:rPr>
            </w:pPr>
            <w:r>
              <w:rPr>
                <w:sz w:val="18"/>
                <w:szCs w:val="18"/>
              </w:rPr>
              <w:t>Disability Support Pension (</w:t>
            </w:r>
            <w:r w:rsidR="00CA61F7">
              <w:rPr>
                <w:sz w:val="18"/>
                <w:szCs w:val="18"/>
              </w:rPr>
              <w:t>DSP</w:t>
            </w:r>
            <w:r>
              <w:rPr>
                <w:sz w:val="18"/>
                <w:szCs w:val="18"/>
              </w:rPr>
              <w:t>)</w:t>
            </w:r>
          </w:p>
        </w:tc>
        <w:tc>
          <w:tcPr>
            <w:tcW w:w="985" w:type="dxa"/>
            <w:shd w:val="clear" w:color="auto" w:fill="E5E5E5" w:themeFill="background1" w:themeFillTint="33"/>
            <w:tcMar>
              <w:top w:w="0" w:type="dxa"/>
              <w:left w:w="108" w:type="dxa"/>
              <w:bottom w:w="0" w:type="dxa"/>
              <w:right w:w="108" w:type="dxa"/>
            </w:tcMar>
            <w:vAlign w:val="center"/>
            <w:hideMark/>
          </w:tcPr>
          <w:p w14:paraId="0435CA1D" w14:textId="77777777" w:rsidR="00CA61F7" w:rsidRDefault="00CA61F7" w:rsidP="00282936">
            <w:pPr>
              <w:pStyle w:val="tablebodytextright"/>
              <w:keepNext/>
              <w:keepLines/>
              <w:spacing w:before="83" w:after="33"/>
              <w:ind w:right="257"/>
            </w:pPr>
            <w:r>
              <w:t>0.6</w:t>
            </w:r>
          </w:p>
        </w:tc>
        <w:tc>
          <w:tcPr>
            <w:tcW w:w="1850" w:type="dxa"/>
            <w:shd w:val="clear" w:color="auto" w:fill="E5E5E5" w:themeFill="background1" w:themeFillTint="33"/>
            <w:tcMar>
              <w:top w:w="0" w:type="dxa"/>
              <w:left w:w="108" w:type="dxa"/>
              <w:bottom w:w="0" w:type="dxa"/>
              <w:right w:w="108" w:type="dxa"/>
            </w:tcMar>
            <w:vAlign w:val="center"/>
            <w:hideMark/>
          </w:tcPr>
          <w:p w14:paraId="1E977BBA" w14:textId="77777777" w:rsidR="00CA61F7" w:rsidRDefault="00CA61F7" w:rsidP="00282936">
            <w:pPr>
              <w:pStyle w:val="tablebodytextright"/>
              <w:keepNext/>
              <w:keepLines/>
              <w:spacing w:before="83" w:after="33"/>
              <w:ind w:right="257"/>
            </w:pPr>
            <w:r>
              <w:t>0.3</w:t>
            </w:r>
          </w:p>
        </w:tc>
        <w:tc>
          <w:tcPr>
            <w:tcW w:w="1559" w:type="dxa"/>
            <w:shd w:val="clear" w:color="auto" w:fill="E5E5E5" w:themeFill="background1" w:themeFillTint="33"/>
            <w:tcMar>
              <w:top w:w="0" w:type="dxa"/>
              <w:left w:w="108" w:type="dxa"/>
              <w:bottom w:w="0" w:type="dxa"/>
              <w:right w:w="108" w:type="dxa"/>
            </w:tcMar>
            <w:vAlign w:val="center"/>
          </w:tcPr>
          <w:p w14:paraId="34724319" w14:textId="77777777" w:rsidR="00CA61F7" w:rsidRDefault="00CA61F7" w:rsidP="00282936">
            <w:pPr>
              <w:pStyle w:val="tablebodytextright"/>
              <w:keepNext/>
              <w:keepLines/>
              <w:spacing w:before="83" w:after="33"/>
              <w:ind w:right="257"/>
              <w:rPr>
                <w:rFonts w:eastAsiaTheme="minorHAnsi" w:cs="Calibri"/>
                <w:szCs w:val="18"/>
              </w:rPr>
            </w:pPr>
            <w:r>
              <w:t>-0.3</w:t>
            </w:r>
          </w:p>
          <w:p w14:paraId="1E84D639" w14:textId="77777777" w:rsidR="00CA61F7" w:rsidRDefault="00CA61F7" w:rsidP="00282936">
            <w:pPr>
              <w:pStyle w:val="tablebodytextright"/>
              <w:keepNext/>
              <w:keepLines/>
              <w:spacing w:before="83" w:after="33"/>
              <w:ind w:right="257"/>
            </w:pPr>
          </w:p>
        </w:tc>
      </w:tr>
      <w:tr w:rsidR="00CA61F7" w14:paraId="768CC150" w14:textId="77777777" w:rsidTr="00282936">
        <w:trPr>
          <w:trHeight w:hRule="exact" w:val="340"/>
        </w:trPr>
        <w:tc>
          <w:tcPr>
            <w:tcW w:w="4503" w:type="dxa"/>
            <w:tcMar>
              <w:top w:w="0" w:type="dxa"/>
              <w:left w:w="108" w:type="dxa"/>
              <w:bottom w:w="0" w:type="dxa"/>
              <w:right w:w="108" w:type="dxa"/>
            </w:tcMar>
            <w:vAlign w:val="center"/>
            <w:hideMark/>
          </w:tcPr>
          <w:p w14:paraId="4E1248AC" w14:textId="77777777" w:rsidR="00CA61F7" w:rsidRDefault="00CA61F7" w:rsidP="00282936">
            <w:pPr>
              <w:pStyle w:val="Tablefirstcolumn"/>
              <w:keepNext/>
              <w:keepLines/>
              <w:spacing w:line="240" w:lineRule="auto"/>
              <w:rPr>
                <w:rFonts w:eastAsia="Times New Roman"/>
                <w:sz w:val="18"/>
                <w:szCs w:val="18"/>
              </w:rPr>
            </w:pPr>
            <w:r>
              <w:rPr>
                <w:sz w:val="18"/>
                <w:szCs w:val="18"/>
              </w:rPr>
              <w:t>Non-Allowees</w:t>
            </w:r>
          </w:p>
        </w:tc>
        <w:tc>
          <w:tcPr>
            <w:tcW w:w="985" w:type="dxa"/>
            <w:tcMar>
              <w:top w:w="0" w:type="dxa"/>
              <w:left w:w="108" w:type="dxa"/>
              <w:bottom w:w="0" w:type="dxa"/>
              <w:right w:w="108" w:type="dxa"/>
            </w:tcMar>
            <w:vAlign w:val="center"/>
            <w:hideMark/>
          </w:tcPr>
          <w:p w14:paraId="2E7AD5A9" w14:textId="77777777" w:rsidR="00CA61F7" w:rsidRDefault="00CA61F7" w:rsidP="00282936">
            <w:pPr>
              <w:pStyle w:val="tablebodytextright"/>
              <w:keepNext/>
              <w:keepLines/>
              <w:spacing w:before="83" w:after="33"/>
              <w:ind w:right="257"/>
            </w:pPr>
            <w:r>
              <w:t>7.9</w:t>
            </w:r>
          </w:p>
        </w:tc>
        <w:tc>
          <w:tcPr>
            <w:tcW w:w="1850" w:type="dxa"/>
            <w:tcMar>
              <w:top w:w="0" w:type="dxa"/>
              <w:left w:w="108" w:type="dxa"/>
              <w:bottom w:w="0" w:type="dxa"/>
              <w:right w:w="108" w:type="dxa"/>
            </w:tcMar>
            <w:vAlign w:val="center"/>
            <w:hideMark/>
          </w:tcPr>
          <w:p w14:paraId="396392CE" w14:textId="77777777" w:rsidR="00CA61F7" w:rsidRDefault="00CA61F7" w:rsidP="00282936">
            <w:pPr>
              <w:pStyle w:val="tablebodytextright"/>
              <w:keepNext/>
              <w:keepLines/>
              <w:spacing w:before="83" w:after="33"/>
              <w:ind w:right="257"/>
            </w:pPr>
            <w:r>
              <w:t>4.8</w:t>
            </w:r>
          </w:p>
        </w:tc>
        <w:tc>
          <w:tcPr>
            <w:tcW w:w="1559" w:type="dxa"/>
            <w:tcMar>
              <w:top w:w="0" w:type="dxa"/>
              <w:left w:w="108" w:type="dxa"/>
              <w:bottom w:w="0" w:type="dxa"/>
              <w:right w:w="108" w:type="dxa"/>
            </w:tcMar>
            <w:vAlign w:val="center"/>
            <w:hideMark/>
          </w:tcPr>
          <w:p w14:paraId="3C03BD95" w14:textId="77777777" w:rsidR="00CA61F7" w:rsidRDefault="00CA61F7" w:rsidP="00282936">
            <w:pPr>
              <w:pStyle w:val="tablebodytextright"/>
              <w:keepNext/>
              <w:keepLines/>
              <w:spacing w:before="83" w:after="33"/>
              <w:ind w:right="257"/>
            </w:pPr>
            <w:r>
              <w:t>3.1</w:t>
            </w:r>
          </w:p>
        </w:tc>
      </w:tr>
      <w:tr w:rsidR="00CA61F7" w14:paraId="6807E0D6" w14:textId="77777777" w:rsidTr="00282936">
        <w:trPr>
          <w:trHeight w:hRule="exact" w:val="340"/>
        </w:trPr>
        <w:tc>
          <w:tcPr>
            <w:tcW w:w="4503" w:type="dxa"/>
            <w:tcBorders>
              <w:bottom w:val="nil"/>
            </w:tcBorders>
            <w:shd w:val="clear" w:color="auto" w:fill="E5E5E5" w:themeFill="background1" w:themeFillTint="33"/>
            <w:tcMar>
              <w:top w:w="0" w:type="dxa"/>
              <w:left w:w="108" w:type="dxa"/>
              <w:bottom w:w="0" w:type="dxa"/>
              <w:right w:w="108" w:type="dxa"/>
            </w:tcMar>
            <w:vAlign w:val="center"/>
            <w:hideMark/>
          </w:tcPr>
          <w:p w14:paraId="10E0FF25" w14:textId="77777777" w:rsidR="00CA61F7" w:rsidRDefault="00CA61F7" w:rsidP="00282936">
            <w:pPr>
              <w:pStyle w:val="Tablefirstcolumn"/>
              <w:keepNext/>
              <w:keepLines/>
              <w:spacing w:line="240" w:lineRule="auto"/>
              <w:rPr>
                <w:rFonts w:eastAsia="Times New Roman"/>
                <w:sz w:val="18"/>
                <w:szCs w:val="18"/>
              </w:rPr>
            </w:pPr>
            <w:r>
              <w:rPr>
                <w:sz w:val="18"/>
                <w:szCs w:val="18"/>
              </w:rPr>
              <w:t xml:space="preserve">Other </w:t>
            </w:r>
          </w:p>
        </w:tc>
        <w:tc>
          <w:tcPr>
            <w:tcW w:w="985" w:type="dxa"/>
            <w:tcBorders>
              <w:bottom w:val="nil"/>
            </w:tcBorders>
            <w:shd w:val="clear" w:color="auto" w:fill="E5E5E5" w:themeFill="background1" w:themeFillTint="33"/>
            <w:tcMar>
              <w:top w:w="0" w:type="dxa"/>
              <w:left w:w="108" w:type="dxa"/>
              <w:bottom w:w="0" w:type="dxa"/>
              <w:right w:w="108" w:type="dxa"/>
            </w:tcMar>
            <w:vAlign w:val="center"/>
            <w:hideMark/>
          </w:tcPr>
          <w:p w14:paraId="22A8E345" w14:textId="77777777" w:rsidR="00CA61F7" w:rsidRDefault="00CA61F7" w:rsidP="00282936">
            <w:pPr>
              <w:pStyle w:val="tablebodytextright"/>
              <w:keepNext/>
              <w:keepLines/>
              <w:spacing w:before="83" w:after="33"/>
              <w:ind w:right="257"/>
            </w:pPr>
            <w:r>
              <w:t>0.8</w:t>
            </w:r>
          </w:p>
        </w:tc>
        <w:tc>
          <w:tcPr>
            <w:tcW w:w="1850" w:type="dxa"/>
            <w:tcBorders>
              <w:bottom w:val="nil"/>
            </w:tcBorders>
            <w:shd w:val="clear" w:color="auto" w:fill="E5E5E5" w:themeFill="background1" w:themeFillTint="33"/>
            <w:tcMar>
              <w:top w:w="0" w:type="dxa"/>
              <w:left w:w="108" w:type="dxa"/>
              <w:bottom w:w="0" w:type="dxa"/>
              <w:right w:w="108" w:type="dxa"/>
            </w:tcMar>
            <w:vAlign w:val="center"/>
            <w:hideMark/>
          </w:tcPr>
          <w:p w14:paraId="442383B7" w14:textId="77777777" w:rsidR="00CA61F7" w:rsidRDefault="00CA61F7" w:rsidP="00282936">
            <w:pPr>
              <w:pStyle w:val="tablebodytextright"/>
              <w:keepNext/>
              <w:keepLines/>
              <w:spacing w:before="83" w:after="33"/>
              <w:ind w:right="257"/>
            </w:pPr>
            <w:r>
              <w:t>0.6</w:t>
            </w:r>
          </w:p>
        </w:tc>
        <w:tc>
          <w:tcPr>
            <w:tcW w:w="1559" w:type="dxa"/>
            <w:tcBorders>
              <w:bottom w:val="nil"/>
            </w:tcBorders>
            <w:shd w:val="clear" w:color="auto" w:fill="E5E5E5" w:themeFill="background1" w:themeFillTint="33"/>
            <w:tcMar>
              <w:top w:w="0" w:type="dxa"/>
              <w:left w:w="108" w:type="dxa"/>
              <w:bottom w:w="0" w:type="dxa"/>
              <w:right w:w="108" w:type="dxa"/>
            </w:tcMar>
            <w:vAlign w:val="center"/>
            <w:hideMark/>
          </w:tcPr>
          <w:p w14:paraId="2180DF6B" w14:textId="77777777" w:rsidR="00CA61F7" w:rsidRDefault="00CA61F7" w:rsidP="00282936">
            <w:pPr>
              <w:pStyle w:val="tablebodytextright"/>
              <w:keepNext/>
              <w:keepLines/>
              <w:spacing w:before="83" w:after="33"/>
              <w:ind w:right="257"/>
            </w:pPr>
            <w:r>
              <w:t>0.2</w:t>
            </w:r>
          </w:p>
        </w:tc>
      </w:tr>
      <w:tr w:rsidR="00CA61F7" w:rsidRPr="0020771F" w14:paraId="6F1A4993" w14:textId="77777777" w:rsidTr="00282936">
        <w:trPr>
          <w:trHeight w:hRule="exact" w:val="340"/>
        </w:trPr>
        <w:tc>
          <w:tcPr>
            <w:tcW w:w="4503" w:type="dxa"/>
            <w:tcBorders>
              <w:bottom w:val="nil"/>
            </w:tcBorders>
            <w:shd w:val="clear" w:color="auto" w:fill="8EAEDE"/>
            <w:tcMar>
              <w:top w:w="0" w:type="dxa"/>
              <w:left w:w="108" w:type="dxa"/>
              <w:bottom w:w="0" w:type="dxa"/>
              <w:right w:w="108" w:type="dxa"/>
            </w:tcMar>
            <w:vAlign w:val="center"/>
            <w:hideMark/>
          </w:tcPr>
          <w:p w14:paraId="11497133" w14:textId="77777777" w:rsidR="00CA61F7" w:rsidRPr="0020771F" w:rsidRDefault="00CA61F7" w:rsidP="0020771F">
            <w:pPr>
              <w:pStyle w:val="Tablefirstcolumn"/>
              <w:keepLines/>
              <w:spacing w:line="240" w:lineRule="auto"/>
              <w:rPr>
                <w:rFonts w:eastAsia="Times New Roman"/>
                <w:bCs/>
              </w:rPr>
            </w:pPr>
            <w:r w:rsidRPr="0020771F">
              <w:rPr>
                <w:bCs/>
              </w:rPr>
              <w:t>Total</w:t>
            </w:r>
          </w:p>
        </w:tc>
        <w:tc>
          <w:tcPr>
            <w:tcW w:w="985" w:type="dxa"/>
            <w:tcBorders>
              <w:bottom w:val="nil"/>
            </w:tcBorders>
            <w:shd w:val="clear" w:color="auto" w:fill="8EAEDE"/>
            <w:tcMar>
              <w:top w:w="0" w:type="dxa"/>
              <w:left w:w="108" w:type="dxa"/>
              <w:bottom w:w="0" w:type="dxa"/>
              <w:right w:w="108" w:type="dxa"/>
            </w:tcMar>
            <w:vAlign w:val="center"/>
            <w:hideMark/>
          </w:tcPr>
          <w:p w14:paraId="498863E1" w14:textId="77777777" w:rsidR="00CA61F7" w:rsidRPr="0020771F" w:rsidRDefault="00CA61F7" w:rsidP="0020771F">
            <w:pPr>
              <w:pStyle w:val="tablebodytextright"/>
              <w:keepLines/>
              <w:spacing w:before="83" w:after="33"/>
              <w:ind w:right="257"/>
              <w:rPr>
                <w:bCs/>
                <w:sz w:val="20"/>
                <w:szCs w:val="20"/>
              </w:rPr>
            </w:pPr>
            <w:r w:rsidRPr="0020771F">
              <w:rPr>
                <w:bCs/>
                <w:sz w:val="20"/>
                <w:szCs w:val="20"/>
              </w:rPr>
              <w:t>100.0</w:t>
            </w:r>
          </w:p>
        </w:tc>
        <w:tc>
          <w:tcPr>
            <w:tcW w:w="1850" w:type="dxa"/>
            <w:tcBorders>
              <w:bottom w:val="nil"/>
            </w:tcBorders>
            <w:shd w:val="clear" w:color="auto" w:fill="8EAEDE"/>
            <w:tcMar>
              <w:top w:w="0" w:type="dxa"/>
              <w:left w:w="108" w:type="dxa"/>
              <w:bottom w:w="0" w:type="dxa"/>
              <w:right w:w="108" w:type="dxa"/>
            </w:tcMar>
            <w:vAlign w:val="center"/>
            <w:hideMark/>
          </w:tcPr>
          <w:p w14:paraId="106C8AFA" w14:textId="77777777" w:rsidR="00CA61F7" w:rsidRPr="0020771F" w:rsidRDefault="00CA61F7" w:rsidP="0020771F">
            <w:pPr>
              <w:pStyle w:val="tablebodytextright"/>
              <w:keepLines/>
              <w:spacing w:before="83" w:after="33"/>
              <w:ind w:right="257"/>
              <w:rPr>
                <w:bCs/>
                <w:sz w:val="20"/>
                <w:szCs w:val="20"/>
              </w:rPr>
            </w:pPr>
            <w:r w:rsidRPr="0020771F">
              <w:rPr>
                <w:bCs/>
                <w:sz w:val="20"/>
                <w:szCs w:val="20"/>
              </w:rPr>
              <w:t>100.0</w:t>
            </w:r>
          </w:p>
        </w:tc>
        <w:tc>
          <w:tcPr>
            <w:tcW w:w="1559" w:type="dxa"/>
            <w:tcBorders>
              <w:bottom w:val="nil"/>
            </w:tcBorders>
            <w:shd w:val="clear" w:color="auto" w:fill="8EAEDE"/>
            <w:tcMar>
              <w:top w:w="0" w:type="dxa"/>
              <w:left w:w="108" w:type="dxa"/>
              <w:bottom w:w="0" w:type="dxa"/>
              <w:right w:w="108" w:type="dxa"/>
            </w:tcMar>
            <w:vAlign w:val="center"/>
            <w:hideMark/>
          </w:tcPr>
          <w:p w14:paraId="2F1C634D" w14:textId="77777777" w:rsidR="00CA61F7" w:rsidRPr="0020771F" w:rsidRDefault="00664588" w:rsidP="000F4368">
            <w:pPr>
              <w:pStyle w:val="tablebodytextright"/>
              <w:keepLines/>
              <w:spacing w:before="83" w:after="33"/>
              <w:ind w:right="257"/>
              <w:jc w:val="center"/>
            </w:pPr>
            <w:r w:rsidRPr="000F4368">
              <w:rPr>
                <w:color w:val="8EAEDE"/>
              </w:rPr>
              <w:t>blank</w:t>
            </w:r>
          </w:p>
        </w:tc>
      </w:tr>
    </w:tbl>
    <w:p w14:paraId="5E858CFA" w14:textId="77777777" w:rsidR="00CA61F7" w:rsidRDefault="00CA61F7" w:rsidP="0033478B">
      <w:pPr>
        <w:pStyle w:val="Source"/>
      </w:pPr>
      <w:r w:rsidRPr="00170EE9">
        <w:rPr>
          <w:b/>
        </w:rPr>
        <w:t>Source:</w:t>
      </w:r>
      <w:r>
        <w:t xml:space="preserve"> </w:t>
      </w:r>
      <w:r w:rsidRPr="00170EE9">
        <w:rPr>
          <w:rStyle w:val="SourceandnotetextChar"/>
        </w:rPr>
        <w:t>Department of Employment administrative data.</w:t>
      </w:r>
    </w:p>
    <w:p w14:paraId="447E4755" w14:textId="77777777" w:rsidR="008500E2" w:rsidRPr="00412E9D" w:rsidRDefault="00412E9D" w:rsidP="00412E9D">
      <w:pPr>
        <w:pStyle w:val="Heading2withoutnumbering"/>
      </w:pPr>
      <w:bookmarkStart w:id="139" w:name="_Toc22543068"/>
      <w:bookmarkEnd w:id="123"/>
      <w:r w:rsidRPr="00412E9D">
        <w:t xml:space="preserve">2.2 </w:t>
      </w:r>
      <w:r w:rsidRPr="00412E9D">
        <w:tab/>
      </w:r>
      <w:r>
        <w:t>Study population</w:t>
      </w:r>
      <w:r w:rsidR="00AD6D88">
        <w:t>s</w:t>
      </w:r>
      <w:r w:rsidR="0093240A">
        <w:t xml:space="preserve"> </w:t>
      </w:r>
      <w:r>
        <w:t>o</w:t>
      </w:r>
      <w:r w:rsidRPr="00412E9D">
        <w:t>verview</w:t>
      </w:r>
      <w:bookmarkEnd w:id="139"/>
    </w:p>
    <w:p w14:paraId="3B837307" w14:textId="67DFEFC4" w:rsidR="000A3829" w:rsidRDefault="00674C1A" w:rsidP="00412E9D">
      <w:pPr>
        <w:spacing w:after="120"/>
        <w:rPr>
          <w:rFonts w:cstheme="minorHAnsi"/>
        </w:rPr>
      </w:pPr>
      <w:bookmarkStart w:id="140" w:name="_Toc402170616"/>
      <w:r>
        <w:t xml:space="preserve">The populations used for this evaluation are new entrant and long-term unemployed </w:t>
      </w:r>
      <w:r w:rsidR="00500A89">
        <w:t xml:space="preserve">(LTU) </w:t>
      </w:r>
      <w:r>
        <w:t>job seekers.</w:t>
      </w:r>
      <w:r w:rsidR="009355D9" w:rsidRPr="009355D9">
        <w:t xml:space="preserve"> </w:t>
      </w:r>
      <w:r w:rsidR="009355D9">
        <w:t xml:space="preserve">Job seeker </w:t>
      </w:r>
      <w:r>
        <w:t>c</w:t>
      </w:r>
      <w:r w:rsidRPr="0008707A">
        <w:t xml:space="preserve">haracteristics </w:t>
      </w:r>
      <w:r w:rsidR="006845FC">
        <w:t xml:space="preserve">strongly </w:t>
      </w:r>
      <w:r>
        <w:t xml:space="preserve">influence </w:t>
      </w:r>
      <w:r w:rsidR="000A3829" w:rsidRPr="0008707A">
        <w:t xml:space="preserve">their </w:t>
      </w:r>
      <w:r>
        <w:t>capacity</w:t>
      </w:r>
      <w:r w:rsidRPr="0008707A">
        <w:t xml:space="preserve"> </w:t>
      </w:r>
      <w:r w:rsidR="000A3829" w:rsidRPr="0008707A">
        <w:t xml:space="preserve">to obtain and retain </w:t>
      </w:r>
      <w:r>
        <w:t>employment</w:t>
      </w:r>
      <w:r w:rsidR="005E1B5A">
        <w:t>. Th</w:t>
      </w:r>
      <w:r>
        <w:t>erefore</w:t>
      </w:r>
      <w:r w:rsidR="00294CB5">
        <w:t>,</w:t>
      </w:r>
      <w:r w:rsidR="005E1B5A">
        <w:t xml:space="preserve"> differences in the composition of the study populations </w:t>
      </w:r>
      <w:r>
        <w:t>will</w:t>
      </w:r>
      <w:r w:rsidRPr="0008707A">
        <w:t xml:space="preserve"> </w:t>
      </w:r>
      <w:r w:rsidR="000A3829" w:rsidRPr="0008707A">
        <w:t>likely influence outcome</w:t>
      </w:r>
      <w:r w:rsidR="005E1B5A">
        <w:t>s</w:t>
      </w:r>
      <w:r w:rsidR="000A3829" w:rsidRPr="0008707A">
        <w:t xml:space="preserve"> across job programmes. When evaluating the effectiveness of employment programmes important consideration should be given to the </w:t>
      </w:r>
      <w:r w:rsidR="005E1B5A">
        <w:t xml:space="preserve">representation of certain groups </w:t>
      </w:r>
      <w:r w:rsidR="000A3829" w:rsidRPr="0008707A">
        <w:t xml:space="preserve">within the </w:t>
      </w:r>
      <w:r w:rsidR="000A3829">
        <w:t>compar</w:t>
      </w:r>
      <w:r w:rsidR="005E1B5A">
        <w:t>i</w:t>
      </w:r>
      <w:r w:rsidR="000A3829">
        <w:t xml:space="preserve">son </w:t>
      </w:r>
      <w:r w:rsidR="000A3829" w:rsidRPr="0008707A">
        <w:t>study populations.</w:t>
      </w:r>
    </w:p>
    <w:p w14:paraId="3CE0A3A4" w14:textId="77777777" w:rsidR="00A05B74" w:rsidRDefault="00674C1A" w:rsidP="00412E9D">
      <w:pPr>
        <w:spacing w:after="120"/>
        <w:rPr>
          <w:rFonts w:cstheme="minorHAnsi"/>
        </w:rPr>
      </w:pPr>
      <w:r>
        <w:rPr>
          <w:rFonts w:cstheme="minorHAnsi"/>
        </w:rPr>
        <w:t>T</w:t>
      </w:r>
      <w:r w:rsidR="00412E9D" w:rsidRPr="003C5A8D">
        <w:rPr>
          <w:rFonts w:cstheme="minorHAnsi"/>
        </w:rPr>
        <w:t xml:space="preserve">he relative sizes of the study populations </w:t>
      </w:r>
      <w:r>
        <w:rPr>
          <w:rFonts w:cstheme="minorHAnsi"/>
        </w:rPr>
        <w:t xml:space="preserve">in this evaluation </w:t>
      </w:r>
      <w:r w:rsidR="00412E9D" w:rsidRPr="003C5A8D">
        <w:rPr>
          <w:rFonts w:cstheme="minorHAnsi"/>
        </w:rPr>
        <w:t xml:space="preserve">reflect the different macroeconomic climates </w:t>
      </w:r>
      <w:r>
        <w:rPr>
          <w:rFonts w:cstheme="minorHAnsi"/>
        </w:rPr>
        <w:t xml:space="preserve">that existed </w:t>
      </w:r>
      <w:r w:rsidR="00412E9D" w:rsidRPr="003C5A8D">
        <w:rPr>
          <w:rFonts w:cstheme="minorHAnsi"/>
        </w:rPr>
        <w:t xml:space="preserve">under the two models. </w:t>
      </w:r>
      <w:r>
        <w:rPr>
          <w:rFonts w:cstheme="minorHAnsi"/>
        </w:rPr>
        <w:t xml:space="preserve">As a consequence of the </w:t>
      </w:r>
      <w:r w:rsidRPr="003C5A8D">
        <w:rPr>
          <w:rFonts w:cstheme="minorHAnsi"/>
        </w:rPr>
        <w:t>more sluggish labour market conditions prevailing during th</w:t>
      </w:r>
      <w:r>
        <w:rPr>
          <w:rFonts w:cstheme="minorHAnsi"/>
        </w:rPr>
        <w:t>e 2012-2015 inflow period (section 1.2.1), there are</w:t>
      </w:r>
      <w:r w:rsidRPr="00674C1A">
        <w:rPr>
          <w:rFonts w:cstheme="minorHAnsi"/>
        </w:rPr>
        <w:t xml:space="preserve"> </w:t>
      </w:r>
      <w:r>
        <w:rPr>
          <w:rFonts w:cstheme="minorHAnsi"/>
        </w:rPr>
        <w:t>more</w:t>
      </w:r>
      <w:r w:rsidRPr="003C5A8D">
        <w:rPr>
          <w:rFonts w:cstheme="minorHAnsi"/>
        </w:rPr>
        <w:t xml:space="preserve"> job seekers</w:t>
      </w:r>
      <w:r>
        <w:rPr>
          <w:rFonts w:cstheme="minorHAnsi"/>
        </w:rPr>
        <w:t xml:space="preserve"> in t</w:t>
      </w:r>
      <w:r w:rsidR="00412E9D" w:rsidRPr="003C5A8D">
        <w:rPr>
          <w:rFonts w:cstheme="minorHAnsi"/>
        </w:rPr>
        <w:t>he JSA 20</w:t>
      </w:r>
      <w:r w:rsidR="00412E9D">
        <w:rPr>
          <w:rFonts w:cstheme="minorHAnsi"/>
        </w:rPr>
        <w:t>12</w:t>
      </w:r>
      <w:r w:rsidR="000A3829">
        <w:rPr>
          <w:rFonts w:cstheme="minorHAnsi"/>
        </w:rPr>
        <w:t xml:space="preserve"> </w:t>
      </w:r>
      <w:r>
        <w:rPr>
          <w:rFonts w:cstheme="minorHAnsi"/>
        </w:rPr>
        <w:t xml:space="preserve">study </w:t>
      </w:r>
      <w:r w:rsidR="000A3829">
        <w:rPr>
          <w:rFonts w:cstheme="minorHAnsi"/>
        </w:rPr>
        <w:t xml:space="preserve">population </w:t>
      </w:r>
      <w:r w:rsidR="00412E9D">
        <w:rPr>
          <w:rFonts w:cstheme="minorHAnsi"/>
        </w:rPr>
        <w:t xml:space="preserve">than the JSA 2009 </w:t>
      </w:r>
      <w:r>
        <w:rPr>
          <w:rFonts w:cstheme="minorHAnsi"/>
        </w:rPr>
        <w:t xml:space="preserve">study </w:t>
      </w:r>
      <w:r w:rsidR="00412E9D">
        <w:rPr>
          <w:rFonts w:cstheme="minorHAnsi"/>
        </w:rPr>
        <w:t>population</w:t>
      </w:r>
      <w:r w:rsidR="00412E9D" w:rsidRPr="003C5A8D">
        <w:rPr>
          <w:rFonts w:cstheme="minorHAnsi"/>
        </w:rPr>
        <w:t xml:space="preserve"> (</w:t>
      </w:r>
      <w:r w:rsidR="00412E9D" w:rsidRPr="004A74AA">
        <w:rPr>
          <w:rFonts w:cstheme="minorHAnsi"/>
        </w:rPr>
        <w:t>Table</w:t>
      </w:r>
      <w:r w:rsidR="004268A6" w:rsidRPr="004A74AA">
        <w:rPr>
          <w:rFonts w:cstheme="minorHAnsi"/>
        </w:rPr>
        <w:t xml:space="preserve"> A1.1</w:t>
      </w:r>
      <w:r w:rsidR="00412E9D" w:rsidRPr="003C5A8D">
        <w:rPr>
          <w:rFonts w:cstheme="minorHAnsi"/>
        </w:rPr>
        <w:t>)</w:t>
      </w:r>
      <w:r w:rsidR="00412E9D">
        <w:rPr>
          <w:rFonts w:cstheme="minorHAnsi"/>
        </w:rPr>
        <w:t>.</w:t>
      </w:r>
    </w:p>
    <w:p w14:paraId="10F2AB17" w14:textId="77777777" w:rsidR="000A3829" w:rsidRDefault="000A3829" w:rsidP="00412E9D">
      <w:pPr>
        <w:spacing w:after="120"/>
        <w:rPr>
          <w:rFonts w:cstheme="minorHAnsi"/>
        </w:rPr>
      </w:pPr>
      <w:r>
        <w:rPr>
          <w:rFonts w:cstheme="minorHAnsi"/>
        </w:rPr>
        <w:t>The following sections examine the overall comparability of the core study populations.</w:t>
      </w:r>
    </w:p>
    <w:p w14:paraId="489A4308" w14:textId="77777777" w:rsidR="007C2C37" w:rsidRDefault="007C2C37" w:rsidP="007C2C37">
      <w:r>
        <w:rPr>
          <w:rFonts w:cstheme="minorHAnsi"/>
        </w:rPr>
        <w:t>It should be noted, however, that r</w:t>
      </w:r>
      <w:r w:rsidRPr="00132645">
        <w:rPr>
          <w:rFonts w:cstheme="minorHAnsi"/>
        </w:rPr>
        <w:t xml:space="preserve">egression techniques </w:t>
      </w:r>
      <w:r>
        <w:rPr>
          <w:rFonts w:cstheme="minorHAnsi"/>
        </w:rPr>
        <w:t>are used to control for d</w:t>
      </w:r>
      <w:r w:rsidRPr="00132645">
        <w:rPr>
          <w:rFonts w:cstheme="minorHAnsi"/>
        </w:rPr>
        <w:t xml:space="preserve">ifferences between the compositions of </w:t>
      </w:r>
      <w:r>
        <w:rPr>
          <w:rFonts w:cstheme="minorHAnsi"/>
        </w:rPr>
        <w:t>the new entrant and LTU</w:t>
      </w:r>
      <w:r w:rsidRPr="00132645">
        <w:rPr>
          <w:rFonts w:cstheme="minorHAnsi"/>
        </w:rPr>
        <w:t xml:space="preserve"> study populations as required</w:t>
      </w:r>
      <w:r w:rsidR="003C7EBE">
        <w:rPr>
          <w:rFonts w:cstheme="minorHAnsi"/>
        </w:rPr>
        <w:t>.</w:t>
      </w:r>
    </w:p>
    <w:p w14:paraId="610A7427" w14:textId="77777777" w:rsidR="000A3829" w:rsidRDefault="000A3829" w:rsidP="000A3829">
      <w:pPr>
        <w:pStyle w:val="Heading3"/>
      </w:pPr>
      <w:bookmarkStart w:id="141" w:name="_Toc22543069"/>
      <w:r>
        <w:t>2.2.1</w:t>
      </w:r>
      <w:r>
        <w:tab/>
        <w:t xml:space="preserve">The </w:t>
      </w:r>
      <w:r w:rsidR="00F43AD8">
        <w:t>n</w:t>
      </w:r>
      <w:r>
        <w:t xml:space="preserve">ew </w:t>
      </w:r>
      <w:r w:rsidR="00F43AD8">
        <w:t>e</w:t>
      </w:r>
      <w:r>
        <w:t>ntrant populations</w:t>
      </w:r>
      <w:bookmarkEnd w:id="141"/>
    </w:p>
    <w:p w14:paraId="6916EBBC" w14:textId="77777777" w:rsidR="00365867" w:rsidRPr="00132645" w:rsidRDefault="00365867" w:rsidP="00365867">
      <w:pPr>
        <w:rPr>
          <w:rFonts w:cstheme="minorHAnsi"/>
        </w:rPr>
      </w:pPr>
      <w:r w:rsidRPr="00132645">
        <w:rPr>
          <w:rFonts w:cstheme="minorHAnsi"/>
        </w:rPr>
        <w:t xml:space="preserve">Most analyses in this report use </w:t>
      </w:r>
      <w:r w:rsidR="009355D9">
        <w:rPr>
          <w:rFonts w:cstheme="minorHAnsi"/>
        </w:rPr>
        <w:t xml:space="preserve">the </w:t>
      </w:r>
      <w:r w:rsidRPr="00132645">
        <w:rPr>
          <w:rFonts w:cstheme="minorHAnsi"/>
        </w:rPr>
        <w:t xml:space="preserve">new entrant study populations </w:t>
      </w:r>
      <w:r w:rsidR="00540922">
        <w:rPr>
          <w:rFonts w:cstheme="minorHAnsi"/>
        </w:rPr>
        <w:t xml:space="preserve">(job seekers who </w:t>
      </w:r>
      <w:r w:rsidRPr="00132645">
        <w:rPr>
          <w:rFonts w:cstheme="minorHAnsi"/>
        </w:rPr>
        <w:t>commenced in Streams 1 to 4</w:t>
      </w:r>
      <w:r w:rsidR="00540922">
        <w:rPr>
          <w:rFonts w:cstheme="minorHAnsi"/>
        </w:rPr>
        <w:t>)</w:t>
      </w:r>
      <w:r w:rsidRPr="00132645">
        <w:rPr>
          <w:rFonts w:cstheme="minorHAnsi"/>
        </w:rPr>
        <w:t>.</w:t>
      </w:r>
      <w:r w:rsidR="00540922" w:rsidRPr="00540922">
        <w:rPr>
          <w:rFonts w:cstheme="minorHAnsi"/>
        </w:rPr>
        <w:t xml:space="preserve"> </w:t>
      </w:r>
      <w:r w:rsidR="00664588">
        <w:rPr>
          <w:rFonts w:cstheme="minorHAnsi"/>
        </w:rPr>
        <w:t>T</w:t>
      </w:r>
      <w:r w:rsidR="00540922" w:rsidRPr="00132645">
        <w:rPr>
          <w:rFonts w:cstheme="minorHAnsi"/>
        </w:rPr>
        <w:t>he JSA 2012</w:t>
      </w:r>
      <w:r w:rsidRPr="00132645">
        <w:rPr>
          <w:rFonts w:cstheme="minorHAnsi"/>
        </w:rPr>
        <w:t xml:space="preserve"> </w:t>
      </w:r>
      <w:r w:rsidR="00664588">
        <w:rPr>
          <w:rFonts w:cstheme="minorHAnsi"/>
        </w:rPr>
        <w:t xml:space="preserve">new entrant </w:t>
      </w:r>
      <w:r w:rsidRPr="00132645">
        <w:rPr>
          <w:rFonts w:cstheme="minorHAnsi"/>
        </w:rPr>
        <w:t>study population is around 22 per cent larger than the JSA 2009 new entrant study population (</w:t>
      </w:r>
      <w:r w:rsidR="002C1F24">
        <w:rPr>
          <w:rFonts w:cstheme="minorHAnsi"/>
        </w:rPr>
        <w:t>212,065 compared with 173,258).</w:t>
      </w:r>
    </w:p>
    <w:p w14:paraId="2F5E76E5" w14:textId="77777777" w:rsidR="00365867" w:rsidRDefault="00365867" w:rsidP="00365867">
      <w:pPr>
        <w:rPr>
          <w:rFonts w:cstheme="minorHAnsi"/>
        </w:rPr>
      </w:pPr>
      <w:r w:rsidRPr="00132645">
        <w:rPr>
          <w:rFonts w:cstheme="minorHAnsi"/>
        </w:rPr>
        <w:t xml:space="preserve">The composition of the </w:t>
      </w:r>
      <w:r w:rsidR="00540922">
        <w:rPr>
          <w:rFonts w:cstheme="minorHAnsi"/>
        </w:rPr>
        <w:t xml:space="preserve">JSA 2009 and JSA 2012 </w:t>
      </w:r>
      <w:r w:rsidRPr="00132645">
        <w:rPr>
          <w:rFonts w:cstheme="minorHAnsi"/>
        </w:rPr>
        <w:t>new entrant study populations</w:t>
      </w:r>
      <w:r w:rsidR="00540922">
        <w:rPr>
          <w:rFonts w:cstheme="minorHAnsi"/>
        </w:rPr>
        <w:t xml:space="preserve"> </w:t>
      </w:r>
      <w:r w:rsidRPr="00132645">
        <w:rPr>
          <w:rFonts w:cstheme="minorHAnsi"/>
        </w:rPr>
        <w:t xml:space="preserve">is shown in </w:t>
      </w:r>
      <w:hyperlink w:anchor="Title_A11" w:history="1">
        <w:r w:rsidR="00EB2BB5" w:rsidRPr="004A74AA">
          <w:rPr>
            <w:rStyle w:val="Hyperlink"/>
            <w:rFonts w:cstheme="minorHAnsi"/>
          </w:rPr>
          <w:t>Table</w:t>
        </w:r>
        <w:r w:rsidR="000748CA" w:rsidRPr="004A74AA">
          <w:rPr>
            <w:rStyle w:val="Hyperlink"/>
            <w:rFonts w:cstheme="minorHAnsi"/>
          </w:rPr>
          <w:t> </w:t>
        </w:r>
        <w:r w:rsidR="00EB2BB5" w:rsidRPr="004A74AA">
          <w:rPr>
            <w:rStyle w:val="Hyperlink"/>
            <w:rFonts w:cstheme="minorHAnsi"/>
          </w:rPr>
          <w:t>A1.1</w:t>
        </w:r>
      </w:hyperlink>
      <w:r w:rsidRPr="00132645">
        <w:rPr>
          <w:rFonts w:cstheme="minorHAnsi"/>
        </w:rPr>
        <w:t>.</w:t>
      </w:r>
      <w:bookmarkStart w:id="142" w:name="Place_A11"/>
      <w:bookmarkEnd w:id="142"/>
      <w:r w:rsidR="00D6383E">
        <w:rPr>
          <w:rFonts w:cstheme="minorHAnsi"/>
        </w:rPr>
        <w:t xml:space="preserve"> </w:t>
      </w:r>
      <w:r w:rsidR="00540922">
        <w:rPr>
          <w:rFonts w:cstheme="minorHAnsi"/>
        </w:rPr>
        <w:t>W</w:t>
      </w:r>
      <w:r w:rsidR="00D6383E">
        <w:rPr>
          <w:rFonts w:cstheme="minorHAnsi"/>
        </w:rPr>
        <w:t>hen compared with JSA 2009 new entrants,</w:t>
      </w:r>
      <w:r w:rsidRPr="00132645">
        <w:rPr>
          <w:rFonts w:cstheme="minorHAnsi"/>
        </w:rPr>
        <w:t xml:space="preserve"> </w:t>
      </w:r>
      <w:r w:rsidR="00540922" w:rsidRPr="00132645">
        <w:rPr>
          <w:rFonts w:cstheme="minorHAnsi"/>
        </w:rPr>
        <w:t xml:space="preserve">JSA 2012 new entrants </w:t>
      </w:r>
      <w:r w:rsidRPr="00132645">
        <w:rPr>
          <w:rFonts w:cstheme="minorHAnsi"/>
        </w:rPr>
        <w:t>were</w:t>
      </w:r>
      <w:r w:rsidR="00D6383E">
        <w:rPr>
          <w:rFonts w:cstheme="minorHAnsi"/>
        </w:rPr>
        <w:t xml:space="preserve"> more likely to be</w:t>
      </w:r>
      <w:r w:rsidRPr="00132645">
        <w:rPr>
          <w:rFonts w:cstheme="minorHAnsi"/>
        </w:rPr>
        <w:t>:</w:t>
      </w:r>
      <w:r w:rsidRPr="00132645">
        <w:rPr>
          <w:rStyle w:val="FootnoteReference"/>
          <w:rFonts w:cstheme="minorHAnsi"/>
        </w:rPr>
        <w:footnoteReference w:id="13"/>
      </w:r>
    </w:p>
    <w:p w14:paraId="560402BC" w14:textId="77777777" w:rsidR="00365867" w:rsidRPr="00132645" w:rsidRDefault="00365867" w:rsidP="00054230">
      <w:pPr>
        <w:pStyle w:val="ListParagraph"/>
      </w:pPr>
      <w:r w:rsidRPr="00132645">
        <w:t xml:space="preserve">less job ready, with </w:t>
      </w:r>
      <w:r w:rsidR="004314A0" w:rsidRPr="00132645">
        <w:t>2.6 per</w:t>
      </w:r>
      <w:r w:rsidR="00C00A04">
        <w:t>centage points</w:t>
      </w:r>
      <w:r w:rsidR="004314A0" w:rsidRPr="00132645">
        <w:t xml:space="preserve"> </w:t>
      </w:r>
      <w:r w:rsidRPr="00132645">
        <w:t>less commencing in Stream 1 (71.6 per cent compared with 74.2 per cent)</w:t>
      </w:r>
    </w:p>
    <w:p w14:paraId="72E9D470" w14:textId="77777777" w:rsidR="00365867" w:rsidRPr="00132645" w:rsidRDefault="00365867" w:rsidP="00054230">
      <w:pPr>
        <w:pStyle w:val="ListParagraph"/>
      </w:pPr>
      <w:r w:rsidRPr="00132645">
        <w:t>male (55.9 per cent compared with 52.3 per cent)</w:t>
      </w:r>
      <w:r w:rsidR="00D6383E">
        <w:t xml:space="preserve"> </w:t>
      </w:r>
    </w:p>
    <w:p w14:paraId="0F87CD58" w14:textId="77777777" w:rsidR="00365867" w:rsidRPr="00132645" w:rsidRDefault="00365867" w:rsidP="00054230">
      <w:pPr>
        <w:pStyle w:val="ListParagraph"/>
      </w:pPr>
      <w:r w:rsidRPr="00132645">
        <w:t xml:space="preserve">older, with </w:t>
      </w:r>
      <w:r w:rsidR="004314A0" w:rsidRPr="00132645">
        <w:t>6 per</w:t>
      </w:r>
      <w:r w:rsidR="00C00A04">
        <w:t>centage points</w:t>
      </w:r>
      <w:r w:rsidR="004314A0" w:rsidRPr="00132645">
        <w:t xml:space="preserve"> </w:t>
      </w:r>
      <w:r w:rsidRPr="00132645">
        <w:t>less being 30 or older (48.4 per cent compared with 42.4 per cent).</w:t>
      </w:r>
    </w:p>
    <w:p w14:paraId="67DD57CC" w14:textId="77777777" w:rsidR="003410BA" w:rsidRDefault="00365867" w:rsidP="00054230">
      <w:pPr>
        <w:pStyle w:val="ListParagraph"/>
      </w:pPr>
      <w:r w:rsidRPr="00132645">
        <w:t>have TAFE</w:t>
      </w:r>
      <w:r w:rsidR="000B40E8" w:rsidRPr="000B40E8">
        <w:t xml:space="preserve"> </w:t>
      </w:r>
      <w:r w:rsidR="000B40E8">
        <w:t>Certificate</w:t>
      </w:r>
      <w:r w:rsidRPr="00132645">
        <w:t xml:space="preserve">/Diploma </w:t>
      </w:r>
      <w:r w:rsidR="000B40E8">
        <w:t xml:space="preserve">as their highest level of </w:t>
      </w:r>
      <w:r w:rsidR="000B40E8" w:rsidRPr="00132645">
        <w:t>education</w:t>
      </w:r>
      <w:r w:rsidR="000B40E8">
        <w:t>al attainment</w:t>
      </w:r>
      <w:r w:rsidR="000B40E8" w:rsidRPr="00132645">
        <w:t xml:space="preserve"> </w:t>
      </w:r>
      <w:r w:rsidRPr="00132645">
        <w:t>(33.8 per cent compared with 25.9 per cent). This increase was observed across all age groups</w:t>
      </w:r>
    </w:p>
    <w:p w14:paraId="317E1B1B" w14:textId="77777777" w:rsidR="003410BA" w:rsidRDefault="00365867" w:rsidP="007C2C37">
      <w:pPr>
        <w:pStyle w:val="bullet"/>
        <w:numPr>
          <w:ilvl w:val="1"/>
          <w:numId w:val="4"/>
        </w:numPr>
      </w:pPr>
      <w:r w:rsidRPr="00132645">
        <w:t>9.9 per cent more of those under 25 years having TAFE</w:t>
      </w:r>
      <w:r w:rsidR="000B40E8" w:rsidRPr="000B40E8">
        <w:t xml:space="preserve"> </w:t>
      </w:r>
      <w:r w:rsidR="000B40E8">
        <w:t>Certificate</w:t>
      </w:r>
      <w:r w:rsidRPr="00132645">
        <w:t xml:space="preserve">/Diploma </w:t>
      </w:r>
      <w:r w:rsidR="000B40E8">
        <w:t xml:space="preserve">as their highest level of </w:t>
      </w:r>
      <w:r w:rsidR="000B40E8" w:rsidRPr="00132645">
        <w:t>education</w:t>
      </w:r>
      <w:r w:rsidR="000B40E8">
        <w:t>al attainment</w:t>
      </w:r>
      <w:r w:rsidR="000B40E8" w:rsidRPr="00132645">
        <w:t xml:space="preserve"> </w:t>
      </w:r>
      <w:r w:rsidRPr="00132645">
        <w:t>(29.1 per cent compared with 19.2 per cent)</w:t>
      </w:r>
    </w:p>
    <w:p w14:paraId="4DE2A729" w14:textId="77777777" w:rsidR="00365867" w:rsidRPr="00132645" w:rsidRDefault="00365867" w:rsidP="007C2C37">
      <w:pPr>
        <w:pStyle w:val="bullet"/>
        <w:numPr>
          <w:ilvl w:val="1"/>
          <w:numId w:val="4"/>
        </w:numPr>
      </w:pPr>
      <w:r w:rsidRPr="00132645">
        <w:t>5.5 per cent more of those aged 25 or older having TAFE</w:t>
      </w:r>
      <w:r w:rsidR="000B40E8" w:rsidRPr="000B40E8">
        <w:t xml:space="preserve"> </w:t>
      </w:r>
      <w:r w:rsidR="000B40E8">
        <w:t>Certificate</w:t>
      </w:r>
      <w:r w:rsidRPr="00132645">
        <w:t xml:space="preserve">/Diploma </w:t>
      </w:r>
      <w:r w:rsidR="000B40E8">
        <w:t xml:space="preserve">as their highest level of </w:t>
      </w:r>
      <w:r w:rsidR="000B40E8" w:rsidRPr="00132645">
        <w:t>education</w:t>
      </w:r>
      <w:r w:rsidR="000B40E8">
        <w:t>al attainment</w:t>
      </w:r>
      <w:r w:rsidR="000B40E8" w:rsidRPr="00132645">
        <w:t xml:space="preserve"> </w:t>
      </w:r>
      <w:r w:rsidRPr="00132645">
        <w:t>(36.7 per cent compared with 31.2 per cent)</w:t>
      </w:r>
    </w:p>
    <w:p w14:paraId="0B33AD42" w14:textId="2B884022" w:rsidR="00365867" w:rsidRPr="00132645" w:rsidRDefault="00365867" w:rsidP="00054230">
      <w:pPr>
        <w:pStyle w:val="ListParagraph"/>
      </w:pPr>
      <w:r w:rsidRPr="00132645">
        <w:t xml:space="preserve">be an </w:t>
      </w:r>
      <w:r w:rsidR="00ED6E1B">
        <w:t>E</w:t>
      </w:r>
      <w:r w:rsidRPr="00132645">
        <w:t xml:space="preserve">arly </w:t>
      </w:r>
      <w:r w:rsidR="00ED6E1B">
        <w:t>S</w:t>
      </w:r>
      <w:r w:rsidRPr="00132645">
        <w:t xml:space="preserve">chool </w:t>
      </w:r>
      <w:r w:rsidR="00ED6E1B">
        <w:t>L</w:t>
      </w:r>
      <w:r w:rsidRPr="00132645">
        <w:t>eaver (ESL) (11.9 per ce</w:t>
      </w:r>
      <w:r w:rsidR="002C1F24">
        <w:t>nt compared with 7.3 per cent)</w:t>
      </w:r>
    </w:p>
    <w:p w14:paraId="588A7CE4" w14:textId="77777777" w:rsidR="00365867" w:rsidRPr="00132645" w:rsidRDefault="00365867" w:rsidP="00054230">
      <w:pPr>
        <w:pStyle w:val="ListParagraph"/>
      </w:pPr>
      <w:r w:rsidRPr="00132645">
        <w:t>be on NSA/YAO (76.6 per cent compared with 68.1 per cent)</w:t>
      </w:r>
    </w:p>
    <w:p w14:paraId="53E60E58" w14:textId="77777777" w:rsidR="00365867" w:rsidRPr="00132645" w:rsidRDefault="00365867" w:rsidP="00054230">
      <w:pPr>
        <w:pStyle w:val="ListParagraph"/>
      </w:pPr>
      <w:r w:rsidRPr="00132645">
        <w:t>have disability (15.7 per cent compared with 14.3 per cent).</w:t>
      </w:r>
    </w:p>
    <w:p w14:paraId="3BC125CD" w14:textId="77777777" w:rsidR="000A3829" w:rsidRDefault="00F43AD8" w:rsidP="007C2C37">
      <w:pPr>
        <w:pStyle w:val="Heading3"/>
        <w:rPr>
          <w:color w:val="1E3D6B"/>
          <w:sz w:val="36"/>
          <w:szCs w:val="28"/>
        </w:rPr>
      </w:pPr>
      <w:bookmarkStart w:id="143" w:name="_Toc22543070"/>
      <w:r>
        <w:t>2.2.2</w:t>
      </w:r>
      <w:r>
        <w:tab/>
        <w:t>The long</w:t>
      </w:r>
      <w:r w:rsidR="00640731">
        <w:t>-</w:t>
      </w:r>
      <w:r>
        <w:t>term u</w:t>
      </w:r>
      <w:r w:rsidR="000A3829">
        <w:t>nemployed populations</w:t>
      </w:r>
      <w:bookmarkEnd w:id="143"/>
    </w:p>
    <w:p w14:paraId="7BD40F86" w14:textId="77777777" w:rsidR="00365867" w:rsidRDefault="00365867" w:rsidP="00365867">
      <w:r>
        <w:t xml:space="preserve">A </w:t>
      </w:r>
      <w:r w:rsidR="003410BA">
        <w:t xml:space="preserve">large </w:t>
      </w:r>
      <w:r>
        <w:t xml:space="preserve">proportion of job seekers in the JSA 2009 LTU study population were also in the JSA 2012 LTU study population </w:t>
      </w:r>
      <w:r w:rsidR="003410BA">
        <w:t xml:space="preserve">as they either </w:t>
      </w:r>
      <w:r>
        <w:t>remained in services in the three years between the study periods</w:t>
      </w:r>
      <w:r w:rsidR="003410BA">
        <w:t xml:space="preserve"> or </w:t>
      </w:r>
      <w:r>
        <w:t>exited services and then returned (Figure 2.2)</w:t>
      </w:r>
      <w:r w:rsidR="008E13E5">
        <w:t>.</w:t>
      </w:r>
    </w:p>
    <w:p w14:paraId="116470A8" w14:textId="77777777" w:rsidR="00365867" w:rsidRPr="00F55ACE" w:rsidRDefault="00365867" w:rsidP="005172B5">
      <w:pPr>
        <w:pStyle w:val="Figureheadingforcontents"/>
      </w:pPr>
      <w:bookmarkStart w:id="144" w:name="_Toc436400134"/>
      <w:bookmarkStart w:id="145" w:name="_Toc436400264"/>
      <w:bookmarkStart w:id="146" w:name="_Toc443152018"/>
      <w:bookmarkStart w:id="147" w:name="_Toc22544024"/>
      <w:r w:rsidRPr="00F55ACE">
        <w:t xml:space="preserve">Figure </w:t>
      </w:r>
      <w:r>
        <w:t>2.2</w:t>
      </w:r>
      <w:r w:rsidR="00CF00FC">
        <w:t>:</w:t>
      </w:r>
      <w:r w:rsidR="007752F6">
        <w:t xml:space="preserve"> </w:t>
      </w:r>
      <w:r>
        <w:t>The JSA 2012 LTU study population by relationship to the JSA 2009 LTU study population</w:t>
      </w:r>
      <w:bookmarkEnd w:id="144"/>
      <w:bookmarkEnd w:id="145"/>
      <w:bookmarkEnd w:id="146"/>
      <w:bookmarkEnd w:id="147"/>
    </w:p>
    <w:p w14:paraId="5542A2F0" w14:textId="77777777" w:rsidR="00BC2802" w:rsidRPr="00BC2802" w:rsidRDefault="008F7BB6" w:rsidP="00BC2802">
      <w:pPr>
        <w:pStyle w:val="Notes"/>
      </w:pPr>
      <w:r w:rsidRPr="008F7BB6">
        <w:rPr>
          <w:noProof/>
          <w:lang w:val="en-AU" w:eastAsia="en-AU"/>
        </w:rPr>
        <w:drawing>
          <wp:inline distT="0" distB="0" distL="0" distR="0" wp14:anchorId="78ECBC0B" wp14:editId="2CF6E22A">
            <wp:extent cx="5732145" cy="3655173"/>
            <wp:effectExtent l="0" t="0" r="1905" b="2540"/>
            <wp:docPr id="233" name="Picture 233" descr="Bar chart showing around half of the 2012 LTU study population were not in employment services in 2010, with a further quarter having been long term unemployed in 2010 and had remained in service to the 2012 snapshot dat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2145" cy="3655173"/>
                    </a:xfrm>
                    <a:prstGeom prst="rect">
                      <a:avLst/>
                    </a:prstGeom>
                    <a:noFill/>
                    <a:ln>
                      <a:noFill/>
                    </a:ln>
                  </pic:spPr>
                </pic:pic>
              </a:graphicData>
            </a:graphic>
          </wp:inline>
        </w:drawing>
      </w:r>
      <w:r w:rsidR="00BC2802">
        <w:rPr>
          <w:b/>
        </w:rPr>
        <w:t>Note:</w:t>
      </w:r>
      <w:r w:rsidR="00BC2802">
        <w:rPr>
          <w:b/>
        </w:rPr>
        <w:tab/>
      </w:r>
      <w:r w:rsidR="00BC2802" w:rsidRPr="00BC2802">
        <w:t xml:space="preserve">Refer </w:t>
      </w:r>
      <w:hyperlink w:anchor="Title_A13" w:history="1">
        <w:r w:rsidR="00BC2802" w:rsidRPr="004A74AA">
          <w:rPr>
            <w:rStyle w:val="Hyperlink"/>
          </w:rPr>
          <w:t>Appendix A, Table A1.3</w:t>
        </w:r>
      </w:hyperlink>
      <w:r w:rsidR="00BC2802" w:rsidRPr="00BC2802">
        <w:t>.</w:t>
      </w:r>
      <w:bookmarkStart w:id="148" w:name="Place_A13"/>
      <w:bookmarkEnd w:id="148"/>
    </w:p>
    <w:p w14:paraId="7871BD15" w14:textId="77777777" w:rsidR="00365867" w:rsidRPr="00D75FE6" w:rsidRDefault="00365867" w:rsidP="0033478B">
      <w:pPr>
        <w:pStyle w:val="Source"/>
      </w:pPr>
      <w:r w:rsidRPr="00170EE9">
        <w:rPr>
          <w:b/>
        </w:rPr>
        <w:t>Source:</w:t>
      </w:r>
      <w:r>
        <w:tab/>
      </w:r>
      <w:r w:rsidRPr="00170EE9">
        <w:rPr>
          <w:rStyle w:val="SourceandnotetextChar"/>
        </w:rPr>
        <w:t>Department of Employment administrative data.</w:t>
      </w:r>
    </w:p>
    <w:p w14:paraId="3E6FBE0C" w14:textId="77777777" w:rsidR="00365867" w:rsidRDefault="00365867" w:rsidP="007C2C37">
      <w:pPr>
        <w:spacing w:before="240"/>
      </w:pPr>
      <w:r>
        <w:t xml:space="preserve">When compared with the JSA 2009 LTU study population, the JSA 2012 LTU study population </w:t>
      </w:r>
      <w:r w:rsidR="00664588">
        <w:t xml:space="preserve">was </w:t>
      </w:r>
      <w:r w:rsidR="00994B7D">
        <w:t>more likely to be</w:t>
      </w:r>
      <w:r>
        <w:t>:</w:t>
      </w:r>
    </w:p>
    <w:p w14:paraId="69AB7A2B" w14:textId="77777777" w:rsidR="00712E49" w:rsidRDefault="00365867" w:rsidP="00746C30">
      <w:pPr>
        <w:pStyle w:val="ListParagraph"/>
      </w:pPr>
      <w:r>
        <w:t xml:space="preserve">in </w:t>
      </w:r>
      <w:r w:rsidRPr="007B55E7">
        <w:t>Stream 4 (30.8 per cent compared with 24.3 per cent)</w:t>
      </w:r>
    </w:p>
    <w:p w14:paraId="63A26B79" w14:textId="633B013D" w:rsidR="00365867" w:rsidRPr="007B55E7" w:rsidRDefault="00365867" w:rsidP="00746C30">
      <w:pPr>
        <w:pStyle w:val="ListParagraph"/>
      </w:pPr>
      <w:r w:rsidRPr="007B55E7">
        <w:t xml:space="preserve">female (by </w:t>
      </w:r>
      <w:r w:rsidR="008E13E5" w:rsidRPr="007B55E7">
        <w:t>2</w:t>
      </w:r>
      <w:r w:rsidRPr="007B55E7">
        <w:t xml:space="preserve"> percentage points), and in particular females aged 55 years or more (1.7 percentage points)</w:t>
      </w:r>
    </w:p>
    <w:p w14:paraId="6901EA3B" w14:textId="77777777" w:rsidR="00365867" w:rsidRPr="007B55E7" w:rsidRDefault="00365867" w:rsidP="00DB48FA">
      <w:pPr>
        <w:pStyle w:val="ListParagraph"/>
      </w:pPr>
      <w:r w:rsidRPr="007B55E7">
        <w:t>job seekers with vocational qualifications</w:t>
      </w:r>
      <w:r w:rsidR="00994B7D" w:rsidRPr="007B55E7">
        <w:t>. This</w:t>
      </w:r>
      <w:r w:rsidRPr="007B55E7">
        <w:t xml:space="preserve"> may reflect some success in the focus on education and skill</w:t>
      </w:r>
      <w:r w:rsidR="00994B7D" w:rsidRPr="007B55E7">
        <w:t>s</w:t>
      </w:r>
      <w:r w:rsidRPr="007B55E7">
        <w:t xml:space="preserve"> training both in the JSA 2009 contract and other policies, such as ‘Learn or Earn’</w:t>
      </w:r>
    </w:p>
    <w:p w14:paraId="0983BB25" w14:textId="77777777" w:rsidR="00E850D4" w:rsidRDefault="002C1F24" w:rsidP="00DB48FA">
      <w:pPr>
        <w:pStyle w:val="ListParagraph"/>
      </w:pPr>
      <w:r w:rsidRPr="007B55E7">
        <w:t>unemployed</w:t>
      </w:r>
      <w:r>
        <w:t xml:space="preserve"> for longer periods</w:t>
      </w:r>
    </w:p>
    <w:p w14:paraId="1DAF2886" w14:textId="77777777" w:rsidR="00E850D4" w:rsidRDefault="00365867" w:rsidP="007C2C37">
      <w:pPr>
        <w:pStyle w:val="bullet"/>
        <w:numPr>
          <w:ilvl w:val="1"/>
          <w:numId w:val="4"/>
        </w:numPr>
      </w:pPr>
      <w:r>
        <w:t>t</w:t>
      </w:r>
      <w:r w:rsidRPr="00063705">
        <w:t xml:space="preserve">he mean duration of unemployment at </w:t>
      </w:r>
      <w:r>
        <w:t xml:space="preserve">the </w:t>
      </w:r>
      <w:r w:rsidRPr="00063705">
        <w:t xml:space="preserve">snapshot date </w:t>
      </w:r>
      <w:r>
        <w:t xml:space="preserve">was </w:t>
      </w:r>
      <w:r w:rsidRPr="00063705">
        <w:t>113 days</w:t>
      </w:r>
      <w:r>
        <w:t xml:space="preserve"> higher (</w:t>
      </w:r>
      <w:r w:rsidRPr="00063705">
        <w:t>3.</w:t>
      </w:r>
      <w:r>
        <w:t>4</w:t>
      </w:r>
      <w:r w:rsidRPr="00063705">
        <w:t xml:space="preserve"> years </w:t>
      </w:r>
      <w:r>
        <w:t xml:space="preserve">compared to </w:t>
      </w:r>
      <w:r w:rsidRPr="00063705">
        <w:t>3.</w:t>
      </w:r>
      <w:r>
        <w:t>7</w:t>
      </w:r>
      <w:r w:rsidRPr="00063705">
        <w:t xml:space="preserve"> years</w:t>
      </w:r>
      <w:r>
        <w:t>, respectively)</w:t>
      </w:r>
    </w:p>
    <w:p w14:paraId="63B26B5A" w14:textId="77777777" w:rsidR="00365867" w:rsidRDefault="00365867" w:rsidP="007C2C37">
      <w:pPr>
        <w:pStyle w:val="bullet"/>
        <w:numPr>
          <w:ilvl w:val="1"/>
          <w:numId w:val="4"/>
        </w:numPr>
      </w:pPr>
      <w:r>
        <w:t xml:space="preserve">median duration </w:t>
      </w:r>
      <w:r w:rsidR="00E850D4" w:rsidRPr="00063705">
        <w:t xml:space="preserve">of unemployment </w:t>
      </w:r>
      <w:r>
        <w:t>increased from 2.3 years to 2.7 years, respectively</w:t>
      </w:r>
      <w:r w:rsidR="00E850D4">
        <w:rPr>
          <w:rStyle w:val="FootnoteReference"/>
        </w:rPr>
        <w:footnoteReference w:id="14"/>
      </w:r>
      <w:r>
        <w:t xml:space="preserve"> </w:t>
      </w:r>
    </w:p>
    <w:p w14:paraId="4ECD5142" w14:textId="77777777" w:rsidR="00E850D4" w:rsidRDefault="00365867" w:rsidP="00DB48FA">
      <w:pPr>
        <w:pStyle w:val="ListParagraph"/>
      </w:pPr>
      <w:r>
        <w:t>on NSA and YA</w:t>
      </w:r>
      <w:r w:rsidR="003C7EBE">
        <w:t>(</w:t>
      </w:r>
      <w:r>
        <w:t>O</w:t>
      </w:r>
      <w:r w:rsidR="003C7EBE">
        <w:t>)</w:t>
      </w:r>
      <w:r>
        <w:t xml:space="preserve"> (90.7 per cent compared with 75.9 per cent)</w:t>
      </w:r>
    </w:p>
    <w:p w14:paraId="35B32A97" w14:textId="729F612C" w:rsidR="00365867" w:rsidRDefault="00193992" w:rsidP="007C2C37">
      <w:pPr>
        <w:pStyle w:val="bullet"/>
        <w:numPr>
          <w:ilvl w:val="1"/>
          <w:numId w:val="4"/>
        </w:numPr>
      </w:pPr>
      <w:r>
        <w:t>less likely to be</w:t>
      </w:r>
      <w:r w:rsidR="00822A77">
        <w:t xml:space="preserve"> on Parenting Payment</w:t>
      </w:r>
      <w:r w:rsidR="00365867">
        <w:t xml:space="preserve"> (PPS/PPP</w:t>
      </w:r>
      <w:r w:rsidR="00750FA4">
        <w:t>) (</w:t>
      </w:r>
      <w:r w:rsidR="00365867">
        <w:t>3.3 per cent compared with 14.8</w:t>
      </w:r>
      <w:r w:rsidR="00822A77">
        <w:t> </w:t>
      </w:r>
      <w:r w:rsidR="00365867">
        <w:t>per cent)</w:t>
      </w:r>
      <w:r w:rsidR="00994B7D">
        <w:t xml:space="preserve">. This is </w:t>
      </w:r>
      <w:r w:rsidR="00E850D4">
        <w:t xml:space="preserve">a </w:t>
      </w:r>
      <w:r w:rsidR="00994B7D">
        <w:t xml:space="preserve">likely </w:t>
      </w:r>
      <w:r w:rsidR="00E850D4">
        <w:t xml:space="preserve">consequence </w:t>
      </w:r>
      <w:r w:rsidR="00994B7D">
        <w:t xml:space="preserve">of changes to grandfathering of </w:t>
      </w:r>
      <w:r w:rsidR="00ED6E1B">
        <w:t>PP</w:t>
      </w:r>
      <w:r w:rsidR="00994B7D">
        <w:t xml:space="preserve"> recipients</w:t>
      </w:r>
      <w:r w:rsidR="00686C0B">
        <w:t xml:space="preserve"> (section 1.2.2)</w:t>
      </w:r>
      <w:r w:rsidR="003C7EBE">
        <w:t>.</w:t>
      </w:r>
    </w:p>
    <w:p w14:paraId="3575C5FD" w14:textId="77777777" w:rsidR="00EB2BB5" w:rsidRDefault="00EB2BB5">
      <w:r>
        <w:t xml:space="preserve">Further details are shown in </w:t>
      </w:r>
      <w:hyperlink w:anchor="Title_A12" w:history="1">
        <w:r w:rsidRPr="004A74AA">
          <w:rPr>
            <w:rStyle w:val="Hyperlink"/>
          </w:rPr>
          <w:t>Table A1.2</w:t>
        </w:r>
      </w:hyperlink>
      <w:r>
        <w:t>.</w:t>
      </w:r>
      <w:bookmarkStart w:id="149" w:name="Place_A12"/>
      <w:bookmarkEnd w:id="149"/>
    </w:p>
    <w:p w14:paraId="02393A4E" w14:textId="77777777" w:rsidR="00817E29" w:rsidRDefault="00817E29">
      <w:pPr>
        <w:rPr>
          <w:rFonts w:ascii="Calibri" w:eastAsiaTheme="majorEastAsia" w:hAnsi="Calibri" w:cstheme="majorBidi"/>
          <w:b/>
          <w:bCs/>
          <w:color w:val="1E3D6B"/>
          <w:sz w:val="36"/>
          <w:szCs w:val="28"/>
        </w:rPr>
      </w:pPr>
      <w:r>
        <w:br w:type="page"/>
      </w:r>
    </w:p>
    <w:p w14:paraId="687E6912" w14:textId="77777777" w:rsidR="004541A6" w:rsidRDefault="004541A6" w:rsidP="0012210A">
      <w:pPr>
        <w:pStyle w:val="Heading1"/>
      </w:pPr>
      <w:bookmarkStart w:id="150" w:name="_Toc22543071"/>
      <w:r>
        <w:t>3</w:t>
      </w:r>
      <w:r>
        <w:tab/>
        <w:t xml:space="preserve">Overall </w:t>
      </w:r>
      <w:r w:rsidR="005E1B5A">
        <w:t>effectiveness</w:t>
      </w:r>
      <w:bookmarkEnd w:id="150"/>
    </w:p>
    <w:p w14:paraId="5491D439" w14:textId="77777777" w:rsidR="005E1B5A" w:rsidRDefault="005E1B5A" w:rsidP="005E1B5A">
      <w:pPr>
        <w:pStyle w:val="Heading2"/>
      </w:pPr>
      <w:bookmarkStart w:id="151" w:name="_Toc450919331"/>
      <w:bookmarkStart w:id="152" w:name="_Toc22543072"/>
      <w:r>
        <w:t>3.1</w:t>
      </w:r>
      <w:r>
        <w:tab/>
      </w:r>
      <w:r w:rsidR="008357B8">
        <w:t>Effectiveness for n</w:t>
      </w:r>
      <w:r>
        <w:t>ew entrant job seekers</w:t>
      </w:r>
      <w:bookmarkEnd w:id="151"/>
      <w:bookmarkEnd w:id="152"/>
    </w:p>
    <w:p w14:paraId="798762C6" w14:textId="77777777" w:rsidR="008C11CB" w:rsidRDefault="008C11CB" w:rsidP="00990848">
      <w:pPr>
        <w:pStyle w:val="Heading3"/>
      </w:pPr>
      <w:bookmarkStart w:id="153" w:name="_Toc22543073"/>
      <w:bookmarkStart w:id="154" w:name="_Toc396583920"/>
      <w:bookmarkStart w:id="155" w:name="_Toc396588615"/>
      <w:r>
        <w:t>3.1.1</w:t>
      </w:r>
      <w:r>
        <w:tab/>
        <w:t>Introduction</w:t>
      </w:r>
      <w:bookmarkEnd w:id="153"/>
    </w:p>
    <w:p w14:paraId="59E53E7D" w14:textId="2F0AD08D" w:rsidR="007D6A93" w:rsidRDefault="007D6A93" w:rsidP="007D6A93">
      <w:r>
        <w:rPr>
          <w:rFonts w:cstheme="minorHAnsi"/>
        </w:rPr>
        <w:t xml:space="preserve">The way in which new entrant job seekers interact with employment services remained constant through both Job Services Australia </w:t>
      </w:r>
      <w:r w:rsidR="00EF652C">
        <w:rPr>
          <w:rFonts w:cstheme="minorHAnsi"/>
        </w:rPr>
        <w:t xml:space="preserve">(JSA) </w:t>
      </w:r>
      <w:r>
        <w:rPr>
          <w:rFonts w:cstheme="minorHAnsi"/>
        </w:rPr>
        <w:t xml:space="preserve">contracts. This provides </w:t>
      </w:r>
      <w:r w:rsidR="0040414C">
        <w:rPr>
          <w:rFonts w:cstheme="minorHAnsi"/>
        </w:rPr>
        <w:t>the</w:t>
      </w:r>
      <w:r>
        <w:rPr>
          <w:rFonts w:cstheme="minorHAnsi"/>
        </w:rPr>
        <w:t xml:space="preserve"> opportunity to compare the effectiveness of the models at different stages of </w:t>
      </w:r>
      <w:r w:rsidR="00EF652C">
        <w:rPr>
          <w:rFonts w:cstheme="minorHAnsi"/>
        </w:rPr>
        <w:t xml:space="preserve">the job seeker </w:t>
      </w:r>
      <w:r>
        <w:rPr>
          <w:rFonts w:cstheme="minorHAnsi"/>
        </w:rPr>
        <w:t>interaction (Figure 3.1).</w:t>
      </w:r>
    </w:p>
    <w:p w14:paraId="4A9B254A" w14:textId="77777777" w:rsidR="007D6A93" w:rsidRPr="006F4725" w:rsidRDefault="007D6A93" w:rsidP="00686C0B">
      <w:pPr>
        <w:pStyle w:val="Figureheadingforcontents"/>
      </w:pPr>
      <w:bookmarkStart w:id="156" w:name="_Toc443152019"/>
      <w:bookmarkStart w:id="157" w:name="_Toc22544025"/>
      <w:r w:rsidRPr="006F4725">
        <w:t xml:space="preserve">Figure </w:t>
      </w:r>
      <w:r w:rsidR="00EF652C">
        <w:t>3</w:t>
      </w:r>
      <w:r w:rsidRPr="006F4725">
        <w:t>.1: Generalised job seeker interaction with employment services</w:t>
      </w:r>
      <w:bookmarkEnd w:id="154"/>
      <w:bookmarkEnd w:id="155"/>
      <w:bookmarkEnd w:id="156"/>
      <w:bookmarkEnd w:id="157"/>
    </w:p>
    <w:p w14:paraId="3CF26698" w14:textId="77777777" w:rsidR="00EF652C" w:rsidRPr="001B7264" w:rsidRDefault="008F7BB6" w:rsidP="00EF652C">
      <w:pPr>
        <w:spacing w:before="120" w:after="0"/>
      </w:pPr>
      <w:r>
        <w:rPr>
          <w:noProof/>
          <w:lang w:eastAsia="en-AU"/>
        </w:rPr>
        <w:drawing>
          <wp:inline distT="0" distB="0" distL="0" distR="0" wp14:anchorId="164F3BF4" wp14:editId="78BBB92F">
            <wp:extent cx="5732145" cy="715010"/>
            <wp:effectExtent l="0" t="0" r="1905" b="8890"/>
            <wp:docPr id="235" name="Picture 235" descr="Diagram showing five stages of job seeker interaction with employment services:&#10;1) registration with employment services.&#10;2) referral to appropriate service – JSA/DES etc.&#10;3) commencement in appropriate service.&#10;4) service delivery period.&#10;5) exit from servi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2145" cy="715010"/>
                    </a:xfrm>
                    <a:prstGeom prst="rect">
                      <a:avLst/>
                    </a:prstGeom>
                  </pic:spPr>
                </pic:pic>
              </a:graphicData>
            </a:graphic>
          </wp:inline>
        </w:drawing>
      </w:r>
      <w:r w:rsidR="00EF652C" w:rsidRPr="001B7264">
        <w:rPr>
          <w:noProof/>
          <w:lang w:eastAsia="en-AU"/>
        </w:rPr>
        <w:t>To assess the</w:t>
      </w:r>
      <w:r w:rsidR="00EF652C" w:rsidRPr="001B7264">
        <w:t xml:space="preserve"> overall effectiveness of JSA 2012 in comparison to JSA 2009 for new entrant job seekers the following aspects were considered:</w:t>
      </w:r>
    </w:p>
    <w:p w14:paraId="3A569F79" w14:textId="77777777" w:rsidR="00EF652C" w:rsidRPr="007B55E7" w:rsidRDefault="00EF652C" w:rsidP="00DB48FA">
      <w:pPr>
        <w:pStyle w:val="ListParagraph"/>
      </w:pPr>
      <w:r w:rsidRPr="007B55E7">
        <w:t>time to commencement in service</w:t>
      </w:r>
    </w:p>
    <w:p w14:paraId="2830BF06" w14:textId="77777777" w:rsidR="00EF652C" w:rsidRPr="007B55E7" w:rsidRDefault="0040414C" w:rsidP="00DB48FA">
      <w:pPr>
        <w:pStyle w:val="ListParagraph"/>
      </w:pPr>
      <w:r w:rsidRPr="007B55E7">
        <w:t xml:space="preserve">job seeker </w:t>
      </w:r>
      <w:r w:rsidR="000B40E8" w:rsidRPr="007B55E7">
        <w:t>compliance</w:t>
      </w:r>
      <w:r w:rsidR="00C00A04" w:rsidRPr="007B55E7">
        <w:t xml:space="preserve"> </w:t>
      </w:r>
    </w:p>
    <w:p w14:paraId="711D0964" w14:textId="77777777" w:rsidR="00EF652C" w:rsidRPr="007B55E7" w:rsidRDefault="00EF652C" w:rsidP="00DB48FA">
      <w:pPr>
        <w:pStyle w:val="ListParagraph"/>
      </w:pPr>
      <w:r w:rsidRPr="007B55E7">
        <w:t>employment and education outcomes</w:t>
      </w:r>
    </w:p>
    <w:p w14:paraId="01FE34B9" w14:textId="77777777" w:rsidR="00EF652C" w:rsidRPr="007B55E7" w:rsidRDefault="00EF652C" w:rsidP="00DB48FA">
      <w:pPr>
        <w:pStyle w:val="ListParagraph"/>
      </w:pPr>
      <w:r w:rsidRPr="007B55E7">
        <w:t>reliance on income support</w:t>
      </w:r>
    </w:p>
    <w:p w14:paraId="10394632" w14:textId="77777777" w:rsidR="00EF652C" w:rsidRPr="001B7264" w:rsidRDefault="00EF652C" w:rsidP="00DB48FA">
      <w:pPr>
        <w:pStyle w:val="ListParagraph"/>
        <w:rPr>
          <w:rFonts w:eastAsia="Univers"/>
        </w:rPr>
      </w:pPr>
      <w:r w:rsidRPr="007B55E7">
        <w:t>sustainability</w:t>
      </w:r>
      <w:r w:rsidRPr="001B7264">
        <w:rPr>
          <w:rFonts w:eastAsia="Univers"/>
        </w:rPr>
        <w:t xml:space="preserve"> of exits from income support.</w:t>
      </w:r>
      <w:r>
        <w:rPr>
          <w:rStyle w:val="FootnoteReference"/>
          <w:rFonts w:eastAsia="Univers"/>
        </w:rPr>
        <w:footnoteReference w:id="15"/>
      </w:r>
    </w:p>
    <w:p w14:paraId="0046AD5C" w14:textId="77777777" w:rsidR="001B7264" w:rsidRDefault="002B0485" w:rsidP="002B0485">
      <w:pPr>
        <w:pStyle w:val="Heading3"/>
      </w:pPr>
      <w:bookmarkStart w:id="158" w:name="_Toc22543074"/>
      <w:r>
        <w:t>3.1.</w:t>
      </w:r>
      <w:r w:rsidR="008C11CB">
        <w:t>2</w:t>
      </w:r>
      <w:r>
        <w:tab/>
      </w:r>
      <w:r w:rsidR="001B7264" w:rsidRPr="001B7264">
        <w:t>Key findings</w:t>
      </w:r>
      <w:bookmarkEnd w:id="158"/>
    </w:p>
    <w:p w14:paraId="32754796" w14:textId="77777777" w:rsidR="00F2538E" w:rsidRPr="00F2538E" w:rsidRDefault="00C2521F" w:rsidP="00C458DE">
      <w:r>
        <w:t>Differences between the JSA 2009 and JSA 2012 new entrant study populations are described in section 2.2.1. These d</w:t>
      </w:r>
      <w:r w:rsidR="00F2538E">
        <w:t xml:space="preserve">ifferences (particularly the degree of job seeker disadvantage) will affect comparisons between </w:t>
      </w:r>
      <w:r w:rsidR="00990848">
        <w:t>the populations</w:t>
      </w:r>
      <w:r w:rsidR="0041014B">
        <w:t xml:space="preserve">. </w:t>
      </w:r>
      <w:r w:rsidR="001D03AB">
        <w:t>Where possible these</w:t>
      </w:r>
      <w:r>
        <w:t>,</w:t>
      </w:r>
      <w:r w:rsidR="001D03AB">
        <w:t xml:space="preserve"> and differences in macroeconomic conditions are accounted for using regression techniq</w:t>
      </w:r>
      <w:r w:rsidR="00250992">
        <w:t>u</w:t>
      </w:r>
      <w:r w:rsidR="001D03AB">
        <w:t>es (</w:t>
      </w:r>
      <w:r w:rsidR="00250992">
        <w:t>Appendix B</w:t>
      </w:r>
      <w:r w:rsidR="008D3BC4">
        <w:t>8</w:t>
      </w:r>
      <w:r w:rsidR="00250992">
        <w:t>).</w:t>
      </w:r>
    </w:p>
    <w:p w14:paraId="584822EE" w14:textId="77777777" w:rsidR="001B7264" w:rsidRPr="001B7264" w:rsidRDefault="00EF652C" w:rsidP="002B0485">
      <w:pPr>
        <w:pStyle w:val="Heading4"/>
      </w:pPr>
      <w:r>
        <w:t>Registration, referral and c</w:t>
      </w:r>
      <w:r w:rsidR="001B7264" w:rsidRPr="001B7264">
        <w:t>ommencement in service</w:t>
      </w:r>
    </w:p>
    <w:p w14:paraId="6270D9BA" w14:textId="77777777" w:rsidR="003013B7" w:rsidRDefault="003013B7" w:rsidP="003013B7">
      <w:pPr>
        <w:pStyle w:val="Heading5"/>
      </w:pPr>
      <w:r>
        <w:t>Registration and referral</w:t>
      </w:r>
    </w:p>
    <w:p w14:paraId="1E5DA989" w14:textId="77777777" w:rsidR="001B7264" w:rsidRPr="001B7264" w:rsidRDefault="000B40E8" w:rsidP="001B7264">
      <w:pPr>
        <w:spacing w:before="120"/>
      </w:pPr>
      <w:r w:rsidRPr="001B7264">
        <w:t xml:space="preserve">After registration with </w:t>
      </w:r>
      <w:r>
        <w:t>the Department of Human Services (</w:t>
      </w:r>
      <w:r w:rsidRPr="001B7264">
        <w:t>DHS</w:t>
      </w:r>
      <w:r>
        <w:t>)</w:t>
      </w:r>
      <w:r w:rsidRPr="001B7264">
        <w:t xml:space="preserve"> </w:t>
      </w:r>
      <w:r w:rsidR="001B7264" w:rsidRPr="001B7264">
        <w:t>a slightly higher percentage of job seekers were referred to JSA services under JSA 2012 (67.3 per cent compared with 61.5 per cent)</w:t>
      </w:r>
      <w:r w:rsidR="00CA462C">
        <w:t xml:space="preserve"> (Table 3.1)</w:t>
      </w:r>
      <w:r w:rsidR="001B7264" w:rsidRPr="001B7264">
        <w:t>.</w:t>
      </w:r>
    </w:p>
    <w:p w14:paraId="0A3DB501" w14:textId="223AE086" w:rsidR="001B7264" w:rsidRPr="001B7264" w:rsidRDefault="001B7264" w:rsidP="00C2452E">
      <w:pPr>
        <w:pStyle w:val="Tableforcontents"/>
      </w:pPr>
      <w:bookmarkStart w:id="159" w:name="_Toc436142552"/>
      <w:bookmarkStart w:id="160" w:name="_Toc22543973"/>
      <w:r w:rsidRPr="001B7264">
        <w:t xml:space="preserve">Table </w:t>
      </w:r>
      <w:r>
        <w:t>3.1</w:t>
      </w:r>
      <w:r w:rsidR="00CF00FC">
        <w:t>:</w:t>
      </w:r>
      <w:r w:rsidR="007752F6">
        <w:t xml:space="preserve"> </w:t>
      </w:r>
      <w:r w:rsidRPr="001B7264">
        <w:t xml:space="preserve">Registrations in employment services by </w:t>
      </w:r>
      <w:r w:rsidR="001F0A6B">
        <w:t xml:space="preserve">initial </w:t>
      </w:r>
      <w:r w:rsidRPr="001B7264">
        <w:t xml:space="preserve">referral </w:t>
      </w:r>
      <w:r w:rsidR="00992CE9">
        <w:t>mechanism</w:t>
      </w:r>
      <w:r w:rsidRPr="001B7264">
        <w:t xml:space="preserve"> (per cent)</w:t>
      </w:r>
      <w:bookmarkEnd w:id="159"/>
      <w:bookmarkEnd w:id="160"/>
    </w:p>
    <w:tbl>
      <w:tblPr>
        <w:tblW w:w="8436" w:type="dxa"/>
        <w:tblInd w:w="93" w:type="dxa"/>
        <w:tblLook w:val="04A0" w:firstRow="1" w:lastRow="0" w:firstColumn="1" w:lastColumn="0" w:noHBand="0" w:noVBand="1"/>
      </w:tblPr>
      <w:tblGrid>
        <w:gridCol w:w="6252"/>
        <w:gridCol w:w="1008"/>
        <w:gridCol w:w="1176"/>
      </w:tblGrid>
      <w:tr w:rsidR="001B7264" w:rsidRPr="001B7264" w14:paraId="038C442A" w14:textId="77777777" w:rsidTr="00282936">
        <w:trPr>
          <w:trHeight w:val="518"/>
          <w:tblHeader/>
        </w:trPr>
        <w:tc>
          <w:tcPr>
            <w:tcW w:w="6252" w:type="dxa"/>
            <w:tcBorders>
              <w:left w:val="nil"/>
              <w:right w:val="nil"/>
            </w:tcBorders>
            <w:shd w:val="clear" w:color="auto" w:fill="1E3D6B"/>
            <w:noWrap/>
            <w:vAlign w:val="center"/>
            <w:hideMark/>
          </w:tcPr>
          <w:p w14:paraId="7C559EBB" w14:textId="77777777" w:rsidR="001B7264" w:rsidRPr="001B7264" w:rsidRDefault="001B7264" w:rsidP="00282936">
            <w:pPr>
              <w:pStyle w:val="Tableheadingleft"/>
              <w:keepNext/>
              <w:spacing w:before="99" w:after="33"/>
            </w:pPr>
            <w:bookmarkStart w:id="161" w:name="Title_31"/>
            <w:bookmarkEnd w:id="161"/>
            <w:r w:rsidRPr="001B7264">
              <w:t>Referral  type</w:t>
            </w:r>
          </w:p>
        </w:tc>
        <w:tc>
          <w:tcPr>
            <w:tcW w:w="1008" w:type="dxa"/>
            <w:tcBorders>
              <w:left w:val="nil"/>
              <w:right w:val="nil"/>
            </w:tcBorders>
            <w:shd w:val="clear" w:color="auto" w:fill="1E3D6B"/>
            <w:noWrap/>
            <w:vAlign w:val="center"/>
          </w:tcPr>
          <w:p w14:paraId="7BB7750D" w14:textId="77777777" w:rsidR="001B7264" w:rsidRPr="001B7264" w:rsidRDefault="001B7264" w:rsidP="00282936">
            <w:pPr>
              <w:pStyle w:val="Tableheadingright"/>
              <w:keepNext/>
              <w:spacing w:before="99" w:after="33"/>
            </w:pPr>
            <w:r w:rsidRPr="001B7264">
              <w:t>JSA 2009</w:t>
            </w:r>
          </w:p>
        </w:tc>
        <w:tc>
          <w:tcPr>
            <w:tcW w:w="1176" w:type="dxa"/>
            <w:tcBorders>
              <w:left w:val="nil"/>
              <w:right w:val="nil"/>
            </w:tcBorders>
            <w:shd w:val="clear" w:color="auto" w:fill="1E3D6B"/>
            <w:noWrap/>
            <w:vAlign w:val="center"/>
          </w:tcPr>
          <w:p w14:paraId="48125D26" w14:textId="77777777" w:rsidR="001B7264" w:rsidRPr="001B7264" w:rsidRDefault="001B7264" w:rsidP="00282936">
            <w:pPr>
              <w:pStyle w:val="Tableheadingright"/>
              <w:keepNext/>
              <w:spacing w:before="99" w:after="33"/>
            </w:pPr>
            <w:r w:rsidRPr="001B7264">
              <w:t>JSA 2012</w:t>
            </w:r>
          </w:p>
        </w:tc>
      </w:tr>
      <w:tr w:rsidR="001B7264" w:rsidRPr="001B7264" w14:paraId="28DAB73A" w14:textId="77777777" w:rsidTr="00282936">
        <w:trPr>
          <w:trHeight w:val="340"/>
          <w:tblHeader/>
        </w:trPr>
        <w:tc>
          <w:tcPr>
            <w:tcW w:w="6252" w:type="dxa"/>
            <w:tcBorders>
              <w:left w:val="nil"/>
              <w:right w:val="nil"/>
            </w:tcBorders>
            <w:shd w:val="clear" w:color="auto" w:fill="auto"/>
            <w:noWrap/>
            <w:vAlign w:val="center"/>
            <w:hideMark/>
          </w:tcPr>
          <w:p w14:paraId="371FAC11" w14:textId="77777777" w:rsidR="001B7264" w:rsidRPr="001B7264" w:rsidRDefault="001B7264" w:rsidP="00282936">
            <w:pPr>
              <w:pStyle w:val="Tablefirstcolumn"/>
              <w:keepNext/>
              <w:rPr>
                <w:rFonts w:eastAsia="Times New Roman"/>
                <w:lang w:eastAsia="en-AU"/>
              </w:rPr>
            </w:pPr>
            <w:r w:rsidRPr="001B7264">
              <w:rPr>
                <w:rFonts w:eastAsia="Times New Roman"/>
                <w:lang w:eastAsia="en-AU"/>
              </w:rPr>
              <w:t xml:space="preserve">Job Services Australia </w:t>
            </w:r>
          </w:p>
        </w:tc>
        <w:tc>
          <w:tcPr>
            <w:tcW w:w="1008" w:type="dxa"/>
            <w:tcBorders>
              <w:left w:val="nil"/>
              <w:right w:val="nil"/>
            </w:tcBorders>
            <w:shd w:val="clear" w:color="auto" w:fill="auto"/>
            <w:noWrap/>
            <w:vAlign w:val="center"/>
          </w:tcPr>
          <w:p w14:paraId="5518D37A" w14:textId="77777777" w:rsidR="001B7264" w:rsidRPr="001B7264" w:rsidRDefault="001B7264" w:rsidP="00282936">
            <w:pPr>
              <w:pStyle w:val="Tablebodytextrightaligned"/>
              <w:keepNext/>
              <w:spacing w:before="99" w:after="33"/>
              <w:rPr>
                <w:lang w:eastAsia="en-AU"/>
              </w:rPr>
            </w:pPr>
            <w:r w:rsidRPr="001B7264">
              <w:rPr>
                <w:lang w:eastAsia="en-AU"/>
              </w:rPr>
              <w:t xml:space="preserve">61.5 </w:t>
            </w:r>
          </w:p>
        </w:tc>
        <w:tc>
          <w:tcPr>
            <w:tcW w:w="1176" w:type="dxa"/>
            <w:tcBorders>
              <w:left w:val="nil"/>
              <w:right w:val="nil"/>
            </w:tcBorders>
            <w:shd w:val="clear" w:color="auto" w:fill="auto"/>
            <w:noWrap/>
            <w:vAlign w:val="center"/>
          </w:tcPr>
          <w:p w14:paraId="3475DE37" w14:textId="77777777" w:rsidR="001B7264" w:rsidRPr="001B7264" w:rsidRDefault="001B7264" w:rsidP="00282936">
            <w:pPr>
              <w:pStyle w:val="Tablebodytextrightaligned"/>
              <w:keepNext/>
              <w:spacing w:before="99" w:after="33"/>
              <w:rPr>
                <w:lang w:eastAsia="en-AU"/>
              </w:rPr>
            </w:pPr>
            <w:r w:rsidRPr="001B7264">
              <w:t>67.3</w:t>
            </w:r>
          </w:p>
        </w:tc>
      </w:tr>
      <w:tr w:rsidR="001B7264" w:rsidRPr="001B7264" w14:paraId="093EBCAD" w14:textId="77777777" w:rsidTr="00282936">
        <w:trPr>
          <w:trHeight w:val="340"/>
          <w:tblHeader/>
        </w:trPr>
        <w:tc>
          <w:tcPr>
            <w:tcW w:w="6252" w:type="dxa"/>
            <w:tcBorders>
              <w:left w:val="nil"/>
              <w:right w:val="nil"/>
            </w:tcBorders>
            <w:shd w:val="clear" w:color="auto" w:fill="E5E5E5" w:themeFill="background1" w:themeFillTint="33"/>
            <w:noWrap/>
            <w:vAlign w:val="center"/>
            <w:hideMark/>
          </w:tcPr>
          <w:p w14:paraId="69B3FE57" w14:textId="77777777" w:rsidR="001B7264" w:rsidRPr="001B7264" w:rsidRDefault="001B7264" w:rsidP="00282936">
            <w:pPr>
              <w:pStyle w:val="Tablefirstcolumn"/>
              <w:keepNext/>
              <w:rPr>
                <w:rFonts w:eastAsia="Times New Roman"/>
                <w:lang w:eastAsia="en-AU"/>
              </w:rPr>
            </w:pPr>
            <w:r w:rsidRPr="001B7264">
              <w:rPr>
                <w:rFonts w:eastAsia="Times New Roman"/>
                <w:lang w:eastAsia="en-AU"/>
              </w:rPr>
              <w:t xml:space="preserve">Referred for </w:t>
            </w:r>
            <w:r w:rsidR="00850AFC">
              <w:rPr>
                <w:rFonts w:eastAsia="Times New Roman"/>
                <w:lang w:eastAsia="en-AU"/>
              </w:rPr>
              <w:t>Job Capacity Assessment (</w:t>
            </w:r>
            <w:r w:rsidRPr="001B7264">
              <w:rPr>
                <w:rFonts w:eastAsia="Times New Roman"/>
                <w:lang w:eastAsia="en-AU"/>
              </w:rPr>
              <w:t>JCA</w:t>
            </w:r>
            <w:r w:rsidR="00850AFC">
              <w:rPr>
                <w:rFonts w:eastAsia="Times New Roman"/>
                <w:lang w:eastAsia="en-AU"/>
              </w:rPr>
              <w:t>)</w:t>
            </w:r>
            <w:r w:rsidRPr="001B7264">
              <w:rPr>
                <w:rFonts w:eastAsia="Times New Roman"/>
                <w:lang w:eastAsia="en-AU"/>
              </w:rPr>
              <w:t>,</w:t>
            </w:r>
            <w:r w:rsidR="00850AFC">
              <w:rPr>
                <w:rFonts w:eastAsia="Times New Roman"/>
                <w:lang w:eastAsia="en-AU"/>
              </w:rPr>
              <w:t>Employment Services Assessment (</w:t>
            </w:r>
            <w:r w:rsidRPr="001B7264">
              <w:rPr>
                <w:rFonts w:eastAsia="Times New Roman"/>
                <w:lang w:eastAsia="en-AU"/>
              </w:rPr>
              <w:t>ESAt</w:t>
            </w:r>
            <w:r w:rsidR="00850AFC">
              <w:rPr>
                <w:rFonts w:eastAsia="Times New Roman"/>
                <w:lang w:eastAsia="en-AU"/>
              </w:rPr>
              <w:t>)</w:t>
            </w:r>
            <w:r w:rsidRPr="001B7264">
              <w:rPr>
                <w:rFonts w:eastAsia="Times New Roman"/>
                <w:lang w:eastAsia="en-AU"/>
              </w:rPr>
              <w:t xml:space="preserve">, or Current Work Capacity assessment </w:t>
            </w:r>
          </w:p>
        </w:tc>
        <w:tc>
          <w:tcPr>
            <w:tcW w:w="1008" w:type="dxa"/>
            <w:tcBorders>
              <w:left w:val="nil"/>
              <w:right w:val="nil"/>
            </w:tcBorders>
            <w:shd w:val="clear" w:color="auto" w:fill="E5E5E5" w:themeFill="background1" w:themeFillTint="33"/>
            <w:noWrap/>
            <w:vAlign w:val="center"/>
          </w:tcPr>
          <w:p w14:paraId="39313A61" w14:textId="77777777" w:rsidR="001B7264" w:rsidRPr="001B7264" w:rsidRDefault="001B7264" w:rsidP="00282936">
            <w:pPr>
              <w:pStyle w:val="Tablebodytextrightaligned"/>
              <w:keepNext/>
              <w:spacing w:before="99" w:after="33"/>
              <w:rPr>
                <w:lang w:eastAsia="en-AU"/>
              </w:rPr>
            </w:pPr>
            <w:r w:rsidRPr="001B7264">
              <w:rPr>
                <w:lang w:eastAsia="en-AU"/>
              </w:rPr>
              <w:t>24.4</w:t>
            </w:r>
          </w:p>
        </w:tc>
        <w:tc>
          <w:tcPr>
            <w:tcW w:w="1176" w:type="dxa"/>
            <w:tcBorders>
              <w:left w:val="nil"/>
              <w:right w:val="nil"/>
            </w:tcBorders>
            <w:shd w:val="clear" w:color="auto" w:fill="E5E5E5" w:themeFill="background1" w:themeFillTint="33"/>
            <w:noWrap/>
            <w:vAlign w:val="center"/>
          </w:tcPr>
          <w:p w14:paraId="30996EDC" w14:textId="77777777" w:rsidR="001B7264" w:rsidRPr="001B7264" w:rsidRDefault="001B7264" w:rsidP="00282936">
            <w:pPr>
              <w:pStyle w:val="Tablebodytextrightaligned"/>
              <w:keepNext/>
              <w:spacing w:before="99" w:after="33"/>
              <w:rPr>
                <w:lang w:eastAsia="en-AU"/>
              </w:rPr>
            </w:pPr>
            <w:r w:rsidRPr="001B7264">
              <w:t>16.0</w:t>
            </w:r>
          </w:p>
        </w:tc>
      </w:tr>
      <w:tr w:rsidR="001B7264" w:rsidRPr="001B7264" w14:paraId="3BD85749" w14:textId="77777777" w:rsidTr="00282936">
        <w:trPr>
          <w:trHeight w:val="340"/>
          <w:tblHeader/>
        </w:trPr>
        <w:tc>
          <w:tcPr>
            <w:tcW w:w="6252" w:type="dxa"/>
            <w:tcBorders>
              <w:left w:val="nil"/>
              <w:right w:val="nil"/>
            </w:tcBorders>
            <w:shd w:val="clear" w:color="auto" w:fill="auto"/>
            <w:noWrap/>
            <w:vAlign w:val="center"/>
            <w:hideMark/>
          </w:tcPr>
          <w:p w14:paraId="46D8E8A7" w14:textId="77777777" w:rsidR="001B7264" w:rsidRPr="001B7264" w:rsidRDefault="001B7264" w:rsidP="00282936">
            <w:pPr>
              <w:pStyle w:val="Tablefirstcolumn"/>
              <w:keepNext/>
              <w:rPr>
                <w:rFonts w:eastAsia="Times New Roman"/>
                <w:lang w:eastAsia="en-AU"/>
              </w:rPr>
            </w:pPr>
            <w:r w:rsidRPr="001B7264">
              <w:rPr>
                <w:rFonts w:eastAsia="Times New Roman"/>
                <w:lang w:eastAsia="en-AU"/>
              </w:rPr>
              <w:t xml:space="preserve">Referred to </w:t>
            </w:r>
            <w:r w:rsidR="00850AFC">
              <w:rPr>
                <w:rFonts w:eastAsia="Times New Roman"/>
                <w:lang w:eastAsia="en-AU"/>
              </w:rPr>
              <w:t>D</w:t>
            </w:r>
            <w:r w:rsidRPr="001B7264">
              <w:rPr>
                <w:rFonts w:eastAsia="Times New Roman"/>
                <w:lang w:eastAsia="en-AU"/>
              </w:rPr>
              <w:t>isability</w:t>
            </w:r>
            <w:r w:rsidR="00850AFC">
              <w:rPr>
                <w:rFonts w:eastAsia="Times New Roman"/>
                <w:lang w:eastAsia="en-AU"/>
              </w:rPr>
              <w:t xml:space="preserve"> Employment S</w:t>
            </w:r>
            <w:r w:rsidRPr="001B7264">
              <w:rPr>
                <w:rFonts w:eastAsia="Times New Roman"/>
                <w:lang w:eastAsia="en-AU"/>
              </w:rPr>
              <w:t>ervices</w:t>
            </w:r>
            <w:r w:rsidR="00850AFC">
              <w:rPr>
                <w:rFonts w:eastAsia="Times New Roman"/>
                <w:lang w:eastAsia="en-AU"/>
              </w:rPr>
              <w:t xml:space="preserve"> (DES)</w:t>
            </w:r>
          </w:p>
        </w:tc>
        <w:tc>
          <w:tcPr>
            <w:tcW w:w="1008" w:type="dxa"/>
            <w:tcBorders>
              <w:left w:val="nil"/>
              <w:right w:val="nil"/>
            </w:tcBorders>
            <w:shd w:val="clear" w:color="auto" w:fill="auto"/>
            <w:noWrap/>
            <w:vAlign w:val="center"/>
          </w:tcPr>
          <w:p w14:paraId="0A62242A" w14:textId="77777777" w:rsidR="001B7264" w:rsidRPr="001B7264" w:rsidRDefault="001B7264" w:rsidP="00282936">
            <w:pPr>
              <w:pStyle w:val="Tablebodytextrightaligned"/>
              <w:keepNext/>
              <w:spacing w:before="99" w:after="33"/>
              <w:rPr>
                <w:lang w:eastAsia="en-AU"/>
              </w:rPr>
            </w:pPr>
            <w:r w:rsidRPr="001B7264">
              <w:rPr>
                <w:lang w:eastAsia="en-AU"/>
              </w:rPr>
              <w:t>6.3</w:t>
            </w:r>
          </w:p>
        </w:tc>
        <w:tc>
          <w:tcPr>
            <w:tcW w:w="1176" w:type="dxa"/>
            <w:tcBorders>
              <w:left w:val="nil"/>
              <w:right w:val="nil"/>
            </w:tcBorders>
            <w:shd w:val="clear" w:color="auto" w:fill="auto"/>
            <w:noWrap/>
            <w:vAlign w:val="center"/>
          </w:tcPr>
          <w:p w14:paraId="72121C66" w14:textId="77777777" w:rsidR="001B7264" w:rsidRPr="001B7264" w:rsidRDefault="001B7264" w:rsidP="00282936">
            <w:pPr>
              <w:pStyle w:val="Tablebodytextrightaligned"/>
              <w:keepNext/>
              <w:spacing w:before="99" w:after="33"/>
              <w:rPr>
                <w:lang w:eastAsia="en-AU"/>
              </w:rPr>
            </w:pPr>
            <w:r w:rsidRPr="001B7264">
              <w:t>7.1</w:t>
            </w:r>
          </w:p>
        </w:tc>
      </w:tr>
      <w:tr w:rsidR="001B7264" w:rsidRPr="001B7264" w14:paraId="347B23ED" w14:textId="77777777" w:rsidTr="00282936">
        <w:trPr>
          <w:trHeight w:val="340"/>
          <w:tblHeader/>
        </w:trPr>
        <w:tc>
          <w:tcPr>
            <w:tcW w:w="6252" w:type="dxa"/>
            <w:tcBorders>
              <w:left w:val="nil"/>
              <w:right w:val="nil"/>
            </w:tcBorders>
            <w:shd w:val="clear" w:color="auto" w:fill="E5E5E5" w:themeFill="background1" w:themeFillTint="33"/>
            <w:noWrap/>
            <w:vAlign w:val="center"/>
          </w:tcPr>
          <w:p w14:paraId="75996A73" w14:textId="77777777" w:rsidR="001B7264" w:rsidRPr="001B7264" w:rsidRDefault="001B7264" w:rsidP="00282936">
            <w:pPr>
              <w:pStyle w:val="Tablefirstcolumn"/>
              <w:keepNext/>
              <w:rPr>
                <w:rFonts w:eastAsia="Times New Roman"/>
                <w:lang w:eastAsia="en-AU"/>
              </w:rPr>
            </w:pPr>
            <w:r w:rsidRPr="001B7264">
              <w:rPr>
                <w:rFonts w:eastAsia="Times New Roman"/>
                <w:lang w:eastAsia="en-AU"/>
              </w:rPr>
              <w:t>Other</w:t>
            </w:r>
          </w:p>
        </w:tc>
        <w:tc>
          <w:tcPr>
            <w:tcW w:w="1008" w:type="dxa"/>
            <w:tcBorders>
              <w:left w:val="nil"/>
              <w:right w:val="nil"/>
            </w:tcBorders>
            <w:shd w:val="clear" w:color="auto" w:fill="E5E5E5" w:themeFill="background1" w:themeFillTint="33"/>
            <w:noWrap/>
            <w:vAlign w:val="center"/>
          </w:tcPr>
          <w:p w14:paraId="1995C34D" w14:textId="77777777" w:rsidR="001B7264" w:rsidRPr="001B7264" w:rsidRDefault="001B7264" w:rsidP="00282936">
            <w:pPr>
              <w:pStyle w:val="Tablebodytextrightaligned"/>
              <w:keepNext/>
              <w:spacing w:before="99" w:after="33"/>
              <w:rPr>
                <w:lang w:eastAsia="en-AU"/>
              </w:rPr>
            </w:pPr>
            <w:r w:rsidRPr="001B7264">
              <w:rPr>
                <w:lang w:eastAsia="en-AU"/>
              </w:rPr>
              <w:t>0.0</w:t>
            </w:r>
          </w:p>
        </w:tc>
        <w:tc>
          <w:tcPr>
            <w:tcW w:w="1176" w:type="dxa"/>
            <w:tcBorders>
              <w:left w:val="nil"/>
              <w:right w:val="nil"/>
            </w:tcBorders>
            <w:shd w:val="clear" w:color="auto" w:fill="E5E5E5" w:themeFill="background1" w:themeFillTint="33"/>
            <w:noWrap/>
            <w:vAlign w:val="center"/>
          </w:tcPr>
          <w:p w14:paraId="21722ED3" w14:textId="77777777" w:rsidR="001B7264" w:rsidRPr="001B7264" w:rsidRDefault="001B7264" w:rsidP="00282936">
            <w:pPr>
              <w:pStyle w:val="Tablebodytextrightaligned"/>
              <w:keepNext/>
              <w:spacing w:before="99" w:after="33"/>
            </w:pPr>
            <w:r w:rsidRPr="001B7264">
              <w:rPr>
                <w:lang w:eastAsia="en-AU"/>
              </w:rPr>
              <w:t>1.2</w:t>
            </w:r>
          </w:p>
        </w:tc>
      </w:tr>
      <w:tr w:rsidR="001B7264" w:rsidRPr="001B7264" w14:paraId="40C35689" w14:textId="77777777" w:rsidTr="00282936">
        <w:trPr>
          <w:trHeight w:val="340"/>
          <w:tblHeader/>
        </w:trPr>
        <w:tc>
          <w:tcPr>
            <w:tcW w:w="6252" w:type="dxa"/>
            <w:tcBorders>
              <w:left w:val="nil"/>
              <w:right w:val="nil"/>
            </w:tcBorders>
            <w:shd w:val="clear" w:color="auto" w:fill="auto"/>
            <w:noWrap/>
            <w:vAlign w:val="center"/>
            <w:hideMark/>
          </w:tcPr>
          <w:p w14:paraId="731E1BAD" w14:textId="77777777" w:rsidR="001B7264" w:rsidRPr="001B7264" w:rsidRDefault="001B7264" w:rsidP="00282936">
            <w:pPr>
              <w:pStyle w:val="Tablefirstcolumn"/>
              <w:keepNext/>
              <w:rPr>
                <w:rFonts w:eastAsia="Times New Roman"/>
                <w:lang w:eastAsia="en-AU"/>
              </w:rPr>
            </w:pPr>
            <w:r w:rsidRPr="001B7264">
              <w:rPr>
                <w:rFonts w:eastAsia="Times New Roman"/>
                <w:lang w:eastAsia="en-AU"/>
              </w:rPr>
              <w:t>None (not referred)</w:t>
            </w:r>
          </w:p>
        </w:tc>
        <w:tc>
          <w:tcPr>
            <w:tcW w:w="1008" w:type="dxa"/>
            <w:tcBorders>
              <w:left w:val="nil"/>
              <w:right w:val="nil"/>
            </w:tcBorders>
            <w:shd w:val="clear" w:color="auto" w:fill="auto"/>
            <w:noWrap/>
            <w:vAlign w:val="center"/>
          </w:tcPr>
          <w:p w14:paraId="6518C138" w14:textId="77777777" w:rsidR="001B7264" w:rsidRPr="001B7264" w:rsidRDefault="001B7264" w:rsidP="00282936">
            <w:pPr>
              <w:pStyle w:val="Tablebodytextrightaligned"/>
              <w:keepNext/>
              <w:spacing w:before="99" w:after="33"/>
              <w:rPr>
                <w:lang w:eastAsia="en-AU"/>
              </w:rPr>
            </w:pPr>
            <w:r w:rsidRPr="001B7264">
              <w:rPr>
                <w:lang w:eastAsia="en-AU"/>
              </w:rPr>
              <w:t>7.8</w:t>
            </w:r>
          </w:p>
        </w:tc>
        <w:tc>
          <w:tcPr>
            <w:tcW w:w="1176" w:type="dxa"/>
            <w:tcBorders>
              <w:left w:val="nil"/>
              <w:right w:val="nil"/>
            </w:tcBorders>
            <w:shd w:val="clear" w:color="auto" w:fill="auto"/>
            <w:noWrap/>
            <w:vAlign w:val="center"/>
          </w:tcPr>
          <w:p w14:paraId="01B9677A" w14:textId="77777777" w:rsidR="001B7264" w:rsidRPr="001B7264" w:rsidRDefault="001B7264" w:rsidP="00282936">
            <w:pPr>
              <w:pStyle w:val="Tablebodytextrightaligned"/>
              <w:keepNext/>
              <w:spacing w:before="99" w:after="33"/>
              <w:rPr>
                <w:lang w:eastAsia="en-AU"/>
              </w:rPr>
            </w:pPr>
            <w:r w:rsidRPr="001B7264">
              <w:t>8.3</w:t>
            </w:r>
          </w:p>
        </w:tc>
      </w:tr>
      <w:tr w:rsidR="001B7264" w:rsidRPr="00282936" w14:paraId="1DD1BC9C" w14:textId="77777777" w:rsidTr="00282936">
        <w:trPr>
          <w:trHeight w:val="340"/>
          <w:tblHeader/>
        </w:trPr>
        <w:tc>
          <w:tcPr>
            <w:tcW w:w="6252" w:type="dxa"/>
            <w:tcBorders>
              <w:left w:val="nil"/>
              <w:right w:val="nil"/>
            </w:tcBorders>
            <w:shd w:val="clear" w:color="auto" w:fill="8EAEDE"/>
            <w:noWrap/>
            <w:vAlign w:val="center"/>
            <w:hideMark/>
          </w:tcPr>
          <w:p w14:paraId="20DBADD9" w14:textId="77777777" w:rsidR="001B7264" w:rsidRPr="00282936" w:rsidRDefault="001B7264" w:rsidP="00282936">
            <w:pPr>
              <w:pStyle w:val="Tablefirstcolumn"/>
              <w:keepNext/>
              <w:rPr>
                <w:rFonts w:eastAsia="Times New Roman"/>
                <w:lang w:eastAsia="en-AU"/>
              </w:rPr>
            </w:pPr>
            <w:r w:rsidRPr="00282936">
              <w:rPr>
                <w:rFonts w:eastAsia="Times New Roman"/>
                <w:lang w:eastAsia="en-AU"/>
              </w:rPr>
              <w:t>Total</w:t>
            </w:r>
          </w:p>
        </w:tc>
        <w:tc>
          <w:tcPr>
            <w:tcW w:w="1008" w:type="dxa"/>
            <w:tcBorders>
              <w:left w:val="nil"/>
              <w:right w:val="nil"/>
            </w:tcBorders>
            <w:shd w:val="clear" w:color="auto" w:fill="8EAEDE"/>
            <w:noWrap/>
            <w:vAlign w:val="center"/>
            <w:hideMark/>
          </w:tcPr>
          <w:p w14:paraId="26A933C7" w14:textId="77777777" w:rsidR="001B7264" w:rsidRPr="00282936" w:rsidRDefault="001B7264" w:rsidP="00282936">
            <w:pPr>
              <w:pStyle w:val="Tablebodytextrightaligned"/>
              <w:keepNext/>
              <w:spacing w:before="99" w:after="33"/>
              <w:rPr>
                <w:lang w:eastAsia="en-AU"/>
              </w:rPr>
            </w:pPr>
            <w:r w:rsidRPr="00282936">
              <w:rPr>
                <w:lang w:eastAsia="en-AU"/>
              </w:rPr>
              <w:t>100.0</w:t>
            </w:r>
          </w:p>
        </w:tc>
        <w:tc>
          <w:tcPr>
            <w:tcW w:w="1176" w:type="dxa"/>
            <w:tcBorders>
              <w:left w:val="nil"/>
              <w:right w:val="nil"/>
            </w:tcBorders>
            <w:shd w:val="clear" w:color="auto" w:fill="8EAEDE"/>
            <w:noWrap/>
            <w:vAlign w:val="center"/>
          </w:tcPr>
          <w:p w14:paraId="443419E2" w14:textId="77777777" w:rsidR="001B7264" w:rsidRPr="00282936" w:rsidRDefault="001B7264" w:rsidP="00282936">
            <w:pPr>
              <w:pStyle w:val="Tablebodytextrightaligned"/>
              <w:keepNext/>
              <w:spacing w:before="99" w:after="33"/>
              <w:rPr>
                <w:lang w:eastAsia="en-AU"/>
              </w:rPr>
            </w:pPr>
            <w:r w:rsidRPr="00282936">
              <w:rPr>
                <w:lang w:eastAsia="en-AU"/>
              </w:rPr>
              <w:t>100.0</w:t>
            </w:r>
          </w:p>
        </w:tc>
      </w:tr>
    </w:tbl>
    <w:p w14:paraId="123D676B" w14:textId="77777777" w:rsidR="001B7264" w:rsidRPr="004D4671" w:rsidRDefault="001B7264" w:rsidP="00067C93">
      <w:pPr>
        <w:pStyle w:val="Sourceandnotetextmultiplenotes"/>
        <w:numPr>
          <w:ilvl w:val="0"/>
          <w:numId w:val="0"/>
        </w:numPr>
        <w:ind w:left="360" w:hanging="360"/>
        <w:rPr>
          <w:b/>
        </w:rPr>
      </w:pPr>
      <w:r w:rsidRPr="004D4671">
        <w:rPr>
          <w:b/>
        </w:rPr>
        <w:t>Notes:</w:t>
      </w:r>
    </w:p>
    <w:p w14:paraId="58B536EE" w14:textId="7CD393D7" w:rsidR="00067C93" w:rsidRPr="00BC2802" w:rsidRDefault="001B7264" w:rsidP="00294CB5">
      <w:pPr>
        <w:pStyle w:val="Notesnumbered"/>
        <w:numPr>
          <w:ilvl w:val="0"/>
          <w:numId w:val="225"/>
        </w:numPr>
        <w:ind w:left="709" w:hanging="567"/>
      </w:pPr>
      <w:r w:rsidRPr="004E6541">
        <w:t xml:space="preserve">A </w:t>
      </w:r>
      <w:r w:rsidRPr="00BC2802">
        <w:t xml:space="preserve">small percentage of job seekers, less than one per cent in both models, had more than one registration in the </w:t>
      </w:r>
      <w:r w:rsidR="00294CB5" w:rsidRPr="00BC2802">
        <w:t>six-month</w:t>
      </w:r>
      <w:r w:rsidRPr="00BC2802">
        <w:t xml:space="preserve"> </w:t>
      </w:r>
      <w:r w:rsidR="00664588">
        <w:t xml:space="preserve">inflow </w:t>
      </w:r>
      <w:r w:rsidR="00B07CB9">
        <w:t>interval</w:t>
      </w:r>
      <w:r w:rsidRPr="00BC2802">
        <w:t>.</w:t>
      </w:r>
    </w:p>
    <w:p w14:paraId="3B09381B" w14:textId="77777777" w:rsidR="001B7264" w:rsidRPr="004E6541" w:rsidRDefault="001B7264" w:rsidP="00294CB5">
      <w:pPr>
        <w:pStyle w:val="Notesnumbered"/>
        <w:numPr>
          <w:ilvl w:val="0"/>
          <w:numId w:val="225"/>
        </w:numPr>
        <w:ind w:left="709" w:hanging="567"/>
      </w:pPr>
      <w:r w:rsidRPr="00BC2802">
        <w:t>Other includes</w:t>
      </w:r>
      <w:r w:rsidRPr="004E6541">
        <w:t xml:space="preserve"> JSA job seekers who transferred to regions which were to be covered by RJCP.</w:t>
      </w:r>
    </w:p>
    <w:p w14:paraId="6BBA3002" w14:textId="77777777" w:rsidR="004E6541" w:rsidRPr="004D4671" w:rsidRDefault="004E6541" w:rsidP="004E6541">
      <w:pPr>
        <w:pStyle w:val="Source"/>
      </w:pPr>
      <w:r w:rsidRPr="004D4671">
        <w:rPr>
          <w:b/>
        </w:rPr>
        <w:t>Source</w:t>
      </w:r>
      <w:r w:rsidRPr="001B7264">
        <w:t xml:space="preserve">: </w:t>
      </w:r>
      <w:r w:rsidRPr="004D4671">
        <w:tab/>
        <w:t>Department of Employment administrative data.</w:t>
      </w:r>
    </w:p>
    <w:p w14:paraId="60D0B283" w14:textId="77777777" w:rsidR="003013B7" w:rsidRDefault="003013B7" w:rsidP="00246C8A">
      <w:pPr>
        <w:pStyle w:val="Heading4"/>
      </w:pPr>
      <w:r>
        <w:t>Commencement in service</w:t>
      </w:r>
    </w:p>
    <w:p w14:paraId="415D3A1C" w14:textId="74966F63" w:rsidR="003013B7" w:rsidRDefault="003013B7" w:rsidP="00686C0B">
      <w:r w:rsidRPr="001B7264">
        <w:t xml:space="preserve">Of the job seekers who were </w:t>
      </w:r>
      <w:r w:rsidR="00712E49">
        <w:t xml:space="preserve">initially </w:t>
      </w:r>
      <w:r w:rsidRPr="001B7264">
        <w:t xml:space="preserve">referred to JSA services, a lower proportion </w:t>
      </w:r>
      <w:r>
        <w:t xml:space="preserve">actually </w:t>
      </w:r>
      <w:r w:rsidRPr="001B7264">
        <w:t>commenced in JSA 2012 (64.5 per cent compared with 69 per cent).</w:t>
      </w:r>
      <w:r w:rsidR="001402B3" w:rsidRPr="00246C8A">
        <w:rPr>
          <w:rStyle w:val="FootnoteReference"/>
        </w:rPr>
        <w:footnoteReference w:id="16"/>
      </w:r>
    </w:p>
    <w:p w14:paraId="308B1AF1" w14:textId="77777777" w:rsidR="001B7264" w:rsidRPr="001B7264" w:rsidRDefault="001B7264" w:rsidP="008173A1">
      <w:pPr>
        <w:spacing w:after="0"/>
      </w:pPr>
      <w:r w:rsidRPr="001B7264">
        <w:t xml:space="preserve">JSA 2012 had a lower proportion of job seekers referred for </w:t>
      </w:r>
      <w:r w:rsidR="00850AFC">
        <w:t>Job Capacity Assessments (</w:t>
      </w:r>
      <w:r w:rsidRPr="001B7264">
        <w:t>JCA</w:t>
      </w:r>
      <w:r w:rsidR="00850AFC">
        <w:t>)</w:t>
      </w:r>
      <w:r w:rsidR="00686C0B">
        <w:t xml:space="preserve"> (</w:t>
      </w:r>
      <w:r w:rsidR="00686C0B" w:rsidRPr="001B7264">
        <w:t>16.0 per cent</w:t>
      </w:r>
      <w:r w:rsidR="00686C0B">
        <w:t>)</w:t>
      </w:r>
      <w:r w:rsidRPr="001B7264">
        <w:t xml:space="preserve"> or </w:t>
      </w:r>
      <w:r w:rsidR="00850AFC">
        <w:t>Employment Services Assessments (</w:t>
      </w:r>
      <w:r w:rsidRPr="001B7264">
        <w:t>ESAt</w:t>
      </w:r>
      <w:r w:rsidR="00850AFC">
        <w:t>)</w:t>
      </w:r>
      <w:r w:rsidR="00686C0B">
        <w:t xml:space="preserve"> (</w:t>
      </w:r>
      <w:r w:rsidR="00686C0B" w:rsidRPr="001B7264">
        <w:t>24.4 per cent</w:t>
      </w:r>
      <w:r w:rsidR="00686C0B">
        <w:t>)</w:t>
      </w:r>
      <w:r w:rsidRPr="001B7264">
        <w:t xml:space="preserve">. The reasons are </w:t>
      </w:r>
      <w:r w:rsidR="00686C0B">
        <w:t>likely</w:t>
      </w:r>
      <w:r w:rsidR="00686C0B" w:rsidRPr="001B7264">
        <w:t xml:space="preserve"> </w:t>
      </w:r>
      <w:r w:rsidRPr="001B7264">
        <w:t>twofold:</w:t>
      </w:r>
    </w:p>
    <w:p w14:paraId="63955010" w14:textId="77777777" w:rsidR="001B7264" w:rsidRPr="001B7264" w:rsidRDefault="001B7264" w:rsidP="008173A1">
      <w:pPr>
        <w:pStyle w:val="bullet"/>
        <w:spacing w:line="240" w:lineRule="auto"/>
      </w:pPr>
      <w:r w:rsidRPr="001B7264">
        <w:t>changes made to the JCA/ESAt procedures in 2011 led to fewer assessments</w:t>
      </w:r>
      <w:r w:rsidRPr="00246C8A">
        <w:rPr>
          <w:rStyle w:val="FootnoteReference"/>
        </w:rPr>
        <w:footnoteReference w:id="17"/>
      </w:r>
      <w:r w:rsidR="001402B3" w:rsidRPr="001402B3">
        <w:t xml:space="preserve"> </w:t>
      </w:r>
      <w:r w:rsidR="001402B3">
        <w:t>(section 1.2.2</w:t>
      </w:r>
      <w:r w:rsidR="00B07CB9">
        <w:t>)</w:t>
      </w:r>
    </w:p>
    <w:p w14:paraId="722D5EB6" w14:textId="13D335E1" w:rsidR="001B7264" w:rsidRPr="001B7264" w:rsidRDefault="001B7264" w:rsidP="008173A1">
      <w:pPr>
        <w:pStyle w:val="bullet"/>
        <w:spacing w:line="240" w:lineRule="auto"/>
      </w:pPr>
      <w:r w:rsidRPr="001B7264">
        <w:t>a greater proportion of Stream 4 job seekers in JSA 2012 had</w:t>
      </w:r>
      <w:r w:rsidR="001402B3">
        <w:t xml:space="preserve"> a</w:t>
      </w:r>
      <w:r w:rsidRPr="001B7264">
        <w:t xml:space="preserve"> current JCA or ESAt</w:t>
      </w:r>
      <w:r w:rsidR="00712E49" w:rsidRPr="00712E49">
        <w:t xml:space="preserve"> </w:t>
      </w:r>
      <w:r w:rsidR="00712E49">
        <w:t>(less than 2 years old)</w:t>
      </w:r>
      <w:r w:rsidR="001402B3">
        <w:t>,</w:t>
      </w:r>
      <w:r w:rsidRPr="001B7264">
        <w:t xml:space="preserve"> </w:t>
      </w:r>
      <w:r w:rsidR="001402B3">
        <w:t xml:space="preserve">allowing them to </w:t>
      </w:r>
      <w:r w:rsidRPr="001B7264">
        <w:t xml:space="preserve">be directly referred to the relevant </w:t>
      </w:r>
      <w:r w:rsidR="00702C0E">
        <w:t>s</w:t>
      </w:r>
      <w:r w:rsidRPr="001B7264">
        <w:t>tream in JSA 2012.</w:t>
      </w:r>
    </w:p>
    <w:p w14:paraId="51975158" w14:textId="77777777" w:rsidR="0012210A" w:rsidRPr="00B72AD4" w:rsidRDefault="0012210A" w:rsidP="00BB4EA3">
      <w:pPr>
        <w:pStyle w:val="Heading4"/>
      </w:pPr>
      <w:r w:rsidRPr="00B72AD4">
        <w:t>RapidConnect</w:t>
      </w:r>
    </w:p>
    <w:p w14:paraId="35188618" w14:textId="77777777" w:rsidR="00BD7794" w:rsidRDefault="00BD7794" w:rsidP="008173A1">
      <w:pPr>
        <w:spacing w:after="0"/>
      </w:pPr>
      <w:r w:rsidRPr="001B7264">
        <w:t xml:space="preserve">RapidConnect aimed to connect job-ready job seekers with </w:t>
      </w:r>
      <w:r w:rsidR="0012210A">
        <w:t xml:space="preserve">employment services </w:t>
      </w:r>
      <w:r w:rsidRPr="001B7264">
        <w:t>providers as soon as possible after their initial DHS contact.</w:t>
      </w:r>
      <w:r>
        <w:t xml:space="preserve"> </w:t>
      </w:r>
      <w:r w:rsidRPr="002F2A4A">
        <w:t>RapidConnect</w:t>
      </w:r>
      <w:r>
        <w:t xml:space="preserve"> </w:t>
      </w:r>
      <w:r w:rsidRPr="002F2A4A">
        <w:t xml:space="preserve">applied </w:t>
      </w:r>
      <w:r>
        <w:t xml:space="preserve">in both JSA contracts for </w:t>
      </w:r>
      <w:r w:rsidRPr="002F2A4A">
        <w:t>job seekers who were:</w:t>
      </w:r>
    </w:p>
    <w:p w14:paraId="08DD1A7E" w14:textId="77777777" w:rsidR="00BD7794" w:rsidRPr="007B55E7" w:rsidRDefault="00BD7794" w:rsidP="00DB48FA">
      <w:pPr>
        <w:pStyle w:val="ListParagraph"/>
      </w:pPr>
      <w:r w:rsidRPr="007B55E7">
        <w:t>job ready</w:t>
      </w:r>
    </w:p>
    <w:p w14:paraId="254E0A19" w14:textId="77777777" w:rsidR="00BD7794" w:rsidRPr="007B55E7" w:rsidRDefault="000B40E8" w:rsidP="00DB48FA">
      <w:pPr>
        <w:pStyle w:val="ListParagraph"/>
      </w:pPr>
      <w:r w:rsidRPr="007B55E7">
        <w:t>f</w:t>
      </w:r>
      <w:r w:rsidR="00BD7794" w:rsidRPr="007B55E7">
        <w:t xml:space="preserve">ully </w:t>
      </w:r>
      <w:r w:rsidRPr="007B55E7">
        <w:t>e</w:t>
      </w:r>
      <w:r w:rsidR="00BD7794" w:rsidRPr="007B55E7">
        <w:t>ligible</w:t>
      </w:r>
    </w:p>
    <w:p w14:paraId="3DE62F02" w14:textId="77777777" w:rsidR="00BD7794" w:rsidRPr="007B55E7" w:rsidRDefault="00BD7794" w:rsidP="00DB48FA">
      <w:pPr>
        <w:pStyle w:val="ListParagraph"/>
      </w:pPr>
      <w:r w:rsidRPr="007B55E7">
        <w:t>eligible to claim New</w:t>
      </w:r>
      <w:r w:rsidR="0063429A" w:rsidRPr="007B55E7">
        <w:t>s</w:t>
      </w:r>
      <w:r w:rsidRPr="007B55E7">
        <w:t>tart Allowance</w:t>
      </w:r>
      <w:r w:rsidR="008A7925" w:rsidRPr="007B55E7">
        <w:t xml:space="preserve"> (NSA)</w:t>
      </w:r>
      <w:r w:rsidRPr="007B55E7">
        <w:t xml:space="preserve"> or Youth Allowance (Other)</w:t>
      </w:r>
      <w:r w:rsidR="008A7925" w:rsidRPr="007B55E7">
        <w:t xml:space="preserve"> (YA(O))</w:t>
      </w:r>
    </w:p>
    <w:p w14:paraId="42A635F8" w14:textId="77777777" w:rsidR="00BD7794" w:rsidRPr="007B55E7" w:rsidRDefault="00BD7794" w:rsidP="00DB48FA">
      <w:pPr>
        <w:pStyle w:val="ListParagraph"/>
      </w:pPr>
      <w:r w:rsidRPr="007B55E7">
        <w:t>not subject to RapidConnect exemption</w:t>
      </w:r>
    </w:p>
    <w:p w14:paraId="7D71478D" w14:textId="77777777" w:rsidR="00BD7794" w:rsidRDefault="00BD7794" w:rsidP="00DB48FA">
      <w:pPr>
        <w:pStyle w:val="ListParagraph"/>
      </w:pPr>
      <w:r w:rsidRPr="007B55E7">
        <w:t>not subject</w:t>
      </w:r>
      <w:r>
        <w:t xml:space="preserve"> to activity test exemptions.</w:t>
      </w:r>
      <w:r w:rsidRPr="00890C0D">
        <w:rPr>
          <w:rStyle w:val="FootnoteReference"/>
        </w:rPr>
        <w:footnoteReference w:id="18"/>
      </w:r>
    </w:p>
    <w:p w14:paraId="7DD2F1F7" w14:textId="501689F2" w:rsidR="001B7264" w:rsidRPr="001B7264" w:rsidRDefault="000B40E8" w:rsidP="001B7264">
      <w:r>
        <w:t>DHS arranged appointments for e</w:t>
      </w:r>
      <w:r w:rsidRPr="001B7264">
        <w:t>ligible job seekers with employment service</w:t>
      </w:r>
      <w:r w:rsidR="00E7638D">
        <w:t>s</w:t>
      </w:r>
      <w:r w:rsidRPr="001B7264">
        <w:t xml:space="preserve"> provider</w:t>
      </w:r>
      <w:r>
        <w:t>s</w:t>
      </w:r>
      <w:r w:rsidRPr="001B7264">
        <w:t xml:space="preserve"> within two working days (best practice), </w:t>
      </w:r>
      <w:r w:rsidR="001B7264" w:rsidRPr="001B7264">
        <w:t>or a maximum of 14 calendar days from their initial contact with DHS.</w:t>
      </w:r>
    </w:p>
    <w:p w14:paraId="209999C7" w14:textId="77777777" w:rsidR="001B7264" w:rsidRPr="001B7264" w:rsidRDefault="001B7264" w:rsidP="001B7264">
      <w:r w:rsidRPr="001B7264">
        <w:t>JSA 2012 w</w:t>
      </w:r>
      <w:r w:rsidR="00BD7794">
        <w:t xml:space="preserve">as </w:t>
      </w:r>
      <w:r w:rsidRPr="001B7264">
        <w:t xml:space="preserve">similar </w:t>
      </w:r>
      <w:r w:rsidR="00BD7794">
        <w:t xml:space="preserve">to JSA 2009 </w:t>
      </w:r>
      <w:r w:rsidRPr="001B7264">
        <w:t>in the time it took to connect RapidConnect job seekers</w:t>
      </w:r>
      <w:r w:rsidR="00BD7794">
        <w:t xml:space="preserve">, but </w:t>
      </w:r>
      <w:r w:rsidR="00750FA4" w:rsidRPr="001B7264">
        <w:t>faster (</w:t>
      </w:r>
      <w:r w:rsidR="0012210A">
        <w:t>eight</w:t>
      </w:r>
      <w:r w:rsidR="0012210A" w:rsidRPr="001B7264">
        <w:t xml:space="preserve"> days on average)</w:t>
      </w:r>
      <w:r w:rsidR="0012210A">
        <w:t>,</w:t>
      </w:r>
      <w:r w:rsidRPr="001B7264">
        <w:t xml:space="preserve"> in the commencement of non-RapidConnect job seekers in all </w:t>
      </w:r>
      <w:r w:rsidR="00702C0E">
        <w:t>s</w:t>
      </w:r>
      <w:r w:rsidRPr="001B7264">
        <w:t>treams</w:t>
      </w:r>
      <w:r w:rsidR="00CA462C">
        <w:t xml:space="preserve"> (Table 3.2)</w:t>
      </w:r>
      <w:r w:rsidRPr="001B7264">
        <w:t>.</w:t>
      </w:r>
    </w:p>
    <w:p w14:paraId="3FAD2350" w14:textId="538DD5D3" w:rsidR="001B7264" w:rsidRPr="001B7264" w:rsidRDefault="001B7264" w:rsidP="00C2452E">
      <w:pPr>
        <w:pStyle w:val="Tableforcontents"/>
      </w:pPr>
      <w:bookmarkStart w:id="162" w:name="_Toc430765620"/>
      <w:bookmarkStart w:id="163" w:name="_Toc436142553"/>
      <w:bookmarkStart w:id="164" w:name="_Toc396588742"/>
      <w:bookmarkStart w:id="165" w:name="_Toc22543974"/>
      <w:r w:rsidRPr="001B7264">
        <w:t xml:space="preserve">Table </w:t>
      </w:r>
      <w:r>
        <w:t>3.2</w:t>
      </w:r>
      <w:r w:rsidR="00CF00FC">
        <w:t>:</w:t>
      </w:r>
      <w:r w:rsidR="007752F6">
        <w:t xml:space="preserve"> </w:t>
      </w:r>
      <w:r w:rsidR="00640731">
        <w:t>Time</w:t>
      </w:r>
      <w:r w:rsidRPr="001B7264">
        <w:t xml:space="preserve"> </w:t>
      </w:r>
      <w:r w:rsidR="005C0FEC">
        <w:t xml:space="preserve">taken </w:t>
      </w:r>
      <w:r w:rsidRPr="001B7264">
        <w:t xml:space="preserve">to commence 90 per cent of job seekers </w:t>
      </w:r>
      <w:r w:rsidR="005C0FEC">
        <w:t xml:space="preserve">from date of </w:t>
      </w:r>
      <w:r w:rsidRPr="001B7264">
        <w:t>registration</w:t>
      </w:r>
      <w:bookmarkEnd w:id="162"/>
      <w:bookmarkEnd w:id="163"/>
      <w:r w:rsidRPr="001B7264">
        <w:t xml:space="preserve"> </w:t>
      </w:r>
      <w:bookmarkEnd w:id="164"/>
      <w:r w:rsidR="00175E1D">
        <w:t>(days)</w:t>
      </w:r>
      <w:bookmarkEnd w:id="165"/>
    </w:p>
    <w:tbl>
      <w:tblPr>
        <w:tblW w:w="8789" w:type="dxa"/>
        <w:tblInd w:w="108" w:type="dxa"/>
        <w:tblLayout w:type="fixed"/>
        <w:tblLook w:val="0420" w:firstRow="1" w:lastRow="0" w:firstColumn="0" w:lastColumn="0" w:noHBand="0" w:noVBand="1"/>
      </w:tblPr>
      <w:tblGrid>
        <w:gridCol w:w="1754"/>
        <w:gridCol w:w="1648"/>
        <w:gridCol w:w="1701"/>
        <w:gridCol w:w="1843"/>
        <w:gridCol w:w="1843"/>
      </w:tblGrid>
      <w:tr w:rsidR="001B7264" w:rsidRPr="001B7264" w14:paraId="405D974C" w14:textId="77777777" w:rsidTr="00850AFC">
        <w:trPr>
          <w:tblHeader/>
        </w:trPr>
        <w:tc>
          <w:tcPr>
            <w:tcW w:w="1754" w:type="dxa"/>
            <w:shd w:val="clear" w:color="auto" w:fill="1E3D6B"/>
          </w:tcPr>
          <w:p w14:paraId="70307A7E" w14:textId="77777777" w:rsidR="001B7264" w:rsidRPr="001B7264" w:rsidRDefault="001B7264" w:rsidP="0012210A">
            <w:pPr>
              <w:pStyle w:val="Tableheadingleft"/>
              <w:spacing w:before="99" w:after="33"/>
            </w:pPr>
            <w:bookmarkStart w:id="166" w:name="Title_32"/>
            <w:bookmarkEnd w:id="166"/>
            <w:r w:rsidRPr="001B7264">
              <w:t>Commencement Stream</w:t>
            </w:r>
          </w:p>
        </w:tc>
        <w:tc>
          <w:tcPr>
            <w:tcW w:w="1648" w:type="dxa"/>
            <w:shd w:val="clear" w:color="auto" w:fill="1E3D6B"/>
          </w:tcPr>
          <w:p w14:paraId="0ED82A17" w14:textId="77777777" w:rsidR="001B7264" w:rsidRPr="001B7264" w:rsidRDefault="00F840D2" w:rsidP="00282936">
            <w:pPr>
              <w:pStyle w:val="Tableheadingleft"/>
              <w:spacing w:before="99" w:after="33"/>
              <w:jc w:val="center"/>
            </w:pPr>
            <w:r>
              <w:t>RapidConnect</w:t>
            </w:r>
            <w:r w:rsidR="00282936">
              <w:br/>
            </w:r>
            <w:r w:rsidR="001B7264" w:rsidRPr="001B7264">
              <w:t>JSA 2009</w:t>
            </w:r>
          </w:p>
        </w:tc>
        <w:tc>
          <w:tcPr>
            <w:tcW w:w="1701" w:type="dxa"/>
            <w:shd w:val="clear" w:color="auto" w:fill="1E3D6B"/>
          </w:tcPr>
          <w:p w14:paraId="15D360A4" w14:textId="77777777" w:rsidR="001B7264" w:rsidRPr="001B7264" w:rsidRDefault="00F840D2" w:rsidP="00282936">
            <w:pPr>
              <w:pStyle w:val="Tableheadingleft"/>
              <w:spacing w:before="99" w:after="33"/>
              <w:jc w:val="center"/>
            </w:pPr>
            <w:r>
              <w:t>RapidConnect</w:t>
            </w:r>
            <w:r w:rsidR="00282936">
              <w:br/>
            </w:r>
            <w:r w:rsidR="001B7264" w:rsidRPr="001B7264">
              <w:t>JSA 2012</w:t>
            </w:r>
          </w:p>
        </w:tc>
        <w:tc>
          <w:tcPr>
            <w:tcW w:w="1843" w:type="dxa"/>
            <w:shd w:val="clear" w:color="auto" w:fill="1E3D6B"/>
          </w:tcPr>
          <w:p w14:paraId="692F3477" w14:textId="77777777" w:rsidR="001B7264" w:rsidRPr="001B7264" w:rsidRDefault="00F840D2" w:rsidP="00282936">
            <w:pPr>
              <w:pStyle w:val="Tableheadingleft"/>
              <w:spacing w:before="99" w:after="33"/>
              <w:jc w:val="center"/>
            </w:pPr>
            <w:r>
              <w:t>Not RapidConnect</w:t>
            </w:r>
            <w:r w:rsidR="00282936">
              <w:br/>
            </w:r>
            <w:r>
              <w:t>J</w:t>
            </w:r>
            <w:r w:rsidR="001B7264" w:rsidRPr="001B7264">
              <w:t>SA 2009</w:t>
            </w:r>
          </w:p>
        </w:tc>
        <w:tc>
          <w:tcPr>
            <w:tcW w:w="1843" w:type="dxa"/>
            <w:shd w:val="clear" w:color="auto" w:fill="1E3D6B"/>
          </w:tcPr>
          <w:p w14:paraId="52FC9E9C" w14:textId="77777777" w:rsidR="001B7264" w:rsidRPr="001B7264" w:rsidRDefault="00F840D2" w:rsidP="00282936">
            <w:pPr>
              <w:pStyle w:val="Tableheadingleft"/>
              <w:spacing w:before="99" w:after="33"/>
              <w:jc w:val="center"/>
            </w:pPr>
            <w:r>
              <w:t>Not RapidConnect</w:t>
            </w:r>
            <w:r w:rsidR="00282936">
              <w:br/>
            </w:r>
            <w:r w:rsidR="001B7264" w:rsidRPr="001B7264">
              <w:t>JSA 2012</w:t>
            </w:r>
          </w:p>
        </w:tc>
      </w:tr>
      <w:tr w:rsidR="001B7264" w:rsidRPr="001B7264" w14:paraId="2C78D20B" w14:textId="77777777" w:rsidTr="00282936">
        <w:trPr>
          <w:trHeight w:hRule="exact" w:val="340"/>
          <w:tblHeader/>
        </w:trPr>
        <w:tc>
          <w:tcPr>
            <w:tcW w:w="1754" w:type="dxa"/>
            <w:vAlign w:val="center"/>
          </w:tcPr>
          <w:p w14:paraId="6182032B" w14:textId="77777777" w:rsidR="001B7264" w:rsidRPr="001B7264" w:rsidRDefault="001B7264" w:rsidP="0012210A">
            <w:pPr>
              <w:pStyle w:val="Tablefirstcolumn"/>
            </w:pPr>
            <w:r w:rsidRPr="001B7264">
              <w:t>Stream 1</w:t>
            </w:r>
          </w:p>
        </w:tc>
        <w:tc>
          <w:tcPr>
            <w:tcW w:w="1648" w:type="dxa"/>
            <w:vAlign w:val="center"/>
          </w:tcPr>
          <w:p w14:paraId="53C06A2D" w14:textId="77777777" w:rsidR="001B7264" w:rsidRPr="001B7264" w:rsidRDefault="001B7264" w:rsidP="0012210A">
            <w:pPr>
              <w:pStyle w:val="Tablebodytextrightaligned"/>
              <w:spacing w:before="99" w:after="33"/>
              <w:jc w:val="center"/>
            </w:pPr>
            <w:r w:rsidRPr="001B7264">
              <w:t>10</w:t>
            </w:r>
          </w:p>
        </w:tc>
        <w:tc>
          <w:tcPr>
            <w:tcW w:w="1701" w:type="dxa"/>
            <w:vAlign w:val="center"/>
          </w:tcPr>
          <w:p w14:paraId="17B62D39" w14:textId="77777777" w:rsidR="001B7264" w:rsidRPr="001B7264" w:rsidRDefault="001B7264" w:rsidP="0012210A">
            <w:pPr>
              <w:pStyle w:val="Tablebodytextrightaligned"/>
              <w:spacing w:before="99" w:after="33"/>
              <w:jc w:val="center"/>
            </w:pPr>
            <w:r w:rsidRPr="001B7264">
              <w:t>10</w:t>
            </w:r>
          </w:p>
        </w:tc>
        <w:tc>
          <w:tcPr>
            <w:tcW w:w="1843" w:type="dxa"/>
            <w:shd w:val="clear" w:color="auto" w:fill="auto"/>
            <w:vAlign w:val="center"/>
          </w:tcPr>
          <w:p w14:paraId="42F19443" w14:textId="77777777" w:rsidR="001B7264" w:rsidRPr="001B7264" w:rsidRDefault="001B7264" w:rsidP="0012210A">
            <w:pPr>
              <w:pStyle w:val="Tablebodytextrightaligned"/>
              <w:spacing w:before="99" w:after="33"/>
              <w:jc w:val="center"/>
            </w:pPr>
            <w:r w:rsidRPr="001B7264">
              <w:t>52</w:t>
            </w:r>
          </w:p>
        </w:tc>
        <w:tc>
          <w:tcPr>
            <w:tcW w:w="1843" w:type="dxa"/>
            <w:vAlign w:val="center"/>
          </w:tcPr>
          <w:p w14:paraId="48D19CCA" w14:textId="77777777" w:rsidR="001B7264" w:rsidRPr="001B7264" w:rsidRDefault="001B7264" w:rsidP="0012210A">
            <w:pPr>
              <w:pStyle w:val="Tablebodytextrightaligned"/>
              <w:spacing w:before="99" w:after="33"/>
              <w:jc w:val="center"/>
            </w:pPr>
            <w:r w:rsidRPr="001B7264">
              <w:t>43</w:t>
            </w:r>
          </w:p>
        </w:tc>
      </w:tr>
      <w:tr w:rsidR="001B7264" w:rsidRPr="001B7264" w14:paraId="69C03E9B" w14:textId="77777777" w:rsidTr="00282936">
        <w:trPr>
          <w:trHeight w:hRule="exact" w:val="340"/>
          <w:tblHeader/>
        </w:trPr>
        <w:tc>
          <w:tcPr>
            <w:tcW w:w="1754" w:type="dxa"/>
            <w:shd w:val="clear" w:color="auto" w:fill="E5E5E5" w:themeFill="background1" w:themeFillTint="33"/>
            <w:vAlign w:val="center"/>
          </w:tcPr>
          <w:p w14:paraId="321EAF9D" w14:textId="77777777" w:rsidR="001B7264" w:rsidRPr="001B7264" w:rsidRDefault="001B7264" w:rsidP="0012210A">
            <w:pPr>
              <w:pStyle w:val="Tablefirstcolumn"/>
            </w:pPr>
            <w:r w:rsidRPr="001B7264">
              <w:t>Stream 2</w:t>
            </w:r>
          </w:p>
        </w:tc>
        <w:tc>
          <w:tcPr>
            <w:tcW w:w="1648" w:type="dxa"/>
            <w:shd w:val="clear" w:color="auto" w:fill="E5E5E5" w:themeFill="background1" w:themeFillTint="33"/>
            <w:vAlign w:val="center"/>
          </w:tcPr>
          <w:p w14:paraId="5E43D5AD" w14:textId="77777777" w:rsidR="001B7264" w:rsidRPr="001B7264" w:rsidRDefault="001B7264" w:rsidP="0012210A">
            <w:pPr>
              <w:pStyle w:val="Tablebodytextrightaligned"/>
              <w:spacing w:before="99" w:after="33"/>
              <w:jc w:val="center"/>
            </w:pPr>
            <w:r w:rsidRPr="001B7264">
              <w:t>11</w:t>
            </w:r>
          </w:p>
        </w:tc>
        <w:tc>
          <w:tcPr>
            <w:tcW w:w="1701" w:type="dxa"/>
            <w:shd w:val="clear" w:color="auto" w:fill="E5E5E5" w:themeFill="background1" w:themeFillTint="33"/>
            <w:vAlign w:val="center"/>
          </w:tcPr>
          <w:p w14:paraId="6B693E2A" w14:textId="77777777" w:rsidR="001B7264" w:rsidRPr="001B7264" w:rsidRDefault="001B7264" w:rsidP="0012210A">
            <w:pPr>
              <w:pStyle w:val="Tablebodytextrightaligned"/>
              <w:spacing w:before="99" w:after="33"/>
              <w:jc w:val="center"/>
            </w:pPr>
            <w:r w:rsidRPr="001B7264">
              <w:t>10</w:t>
            </w:r>
          </w:p>
        </w:tc>
        <w:tc>
          <w:tcPr>
            <w:tcW w:w="1843" w:type="dxa"/>
            <w:shd w:val="clear" w:color="auto" w:fill="E5E5E5" w:themeFill="background1" w:themeFillTint="33"/>
            <w:vAlign w:val="center"/>
          </w:tcPr>
          <w:p w14:paraId="3F82B5D0" w14:textId="77777777" w:rsidR="001B7264" w:rsidRPr="001B7264" w:rsidRDefault="001B7264" w:rsidP="0012210A">
            <w:pPr>
              <w:pStyle w:val="Tablebodytextrightaligned"/>
              <w:spacing w:before="99" w:after="33"/>
              <w:jc w:val="center"/>
            </w:pPr>
            <w:r w:rsidRPr="001B7264">
              <w:t>53</w:t>
            </w:r>
          </w:p>
        </w:tc>
        <w:tc>
          <w:tcPr>
            <w:tcW w:w="1843" w:type="dxa"/>
            <w:shd w:val="clear" w:color="auto" w:fill="E5E5E5" w:themeFill="background1" w:themeFillTint="33"/>
            <w:vAlign w:val="center"/>
          </w:tcPr>
          <w:p w14:paraId="1485BD6A" w14:textId="77777777" w:rsidR="001B7264" w:rsidRPr="001B7264" w:rsidRDefault="001B7264" w:rsidP="0012210A">
            <w:pPr>
              <w:pStyle w:val="Tablebodytextrightaligned"/>
              <w:spacing w:before="99" w:after="33"/>
              <w:jc w:val="center"/>
            </w:pPr>
            <w:r w:rsidRPr="001B7264">
              <w:t>45</w:t>
            </w:r>
          </w:p>
        </w:tc>
      </w:tr>
      <w:tr w:rsidR="001B7264" w:rsidRPr="001B7264" w14:paraId="544A2E15" w14:textId="77777777" w:rsidTr="00282936">
        <w:trPr>
          <w:trHeight w:hRule="exact" w:val="340"/>
          <w:tblHeader/>
        </w:trPr>
        <w:tc>
          <w:tcPr>
            <w:tcW w:w="1754" w:type="dxa"/>
            <w:vAlign w:val="center"/>
          </w:tcPr>
          <w:p w14:paraId="0F2EBBDE" w14:textId="77777777" w:rsidR="001B7264" w:rsidRPr="001B7264" w:rsidRDefault="001B7264" w:rsidP="0012210A">
            <w:pPr>
              <w:pStyle w:val="Tablefirstcolumn"/>
            </w:pPr>
            <w:r w:rsidRPr="001B7264">
              <w:t>Stream 3</w:t>
            </w:r>
          </w:p>
        </w:tc>
        <w:tc>
          <w:tcPr>
            <w:tcW w:w="1648" w:type="dxa"/>
            <w:vAlign w:val="center"/>
          </w:tcPr>
          <w:p w14:paraId="0EE9FB49" w14:textId="77777777" w:rsidR="001B7264" w:rsidRPr="001B7264" w:rsidRDefault="001B7264" w:rsidP="0012210A">
            <w:pPr>
              <w:pStyle w:val="Tablebodytextrightaligned"/>
              <w:spacing w:before="99" w:after="33"/>
              <w:jc w:val="center"/>
            </w:pPr>
            <w:r w:rsidRPr="001B7264">
              <w:t>11</w:t>
            </w:r>
          </w:p>
        </w:tc>
        <w:tc>
          <w:tcPr>
            <w:tcW w:w="1701" w:type="dxa"/>
            <w:vAlign w:val="center"/>
          </w:tcPr>
          <w:p w14:paraId="4159C582" w14:textId="77777777" w:rsidR="001B7264" w:rsidRPr="001B7264" w:rsidRDefault="001B7264" w:rsidP="0012210A">
            <w:pPr>
              <w:pStyle w:val="Tablebodytextrightaligned"/>
              <w:spacing w:before="99" w:after="33"/>
              <w:jc w:val="center"/>
            </w:pPr>
            <w:r w:rsidRPr="001B7264">
              <w:t>10</w:t>
            </w:r>
          </w:p>
        </w:tc>
        <w:tc>
          <w:tcPr>
            <w:tcW w:w="1843" w:type="dxa"/>
            <w:shd w:val="clear" w:color="auto" w:fill="auto"/>
            <w:vAlign w:val="center"/>
          </w:tcPr>
          <w:p w14:paraId="2BFAE997" w14:textId="77777777" w:rsidR="001B7264" w:rsidRPr="001B7264" w:rsidRDefault="001B7264" w:rsidP="0012210A">
            <w:pPr>
              <w:pStyle w:val="Tablebodytextrightaligned"/>
              <w:spacing w:before="99" w:after="33"/>
              <w:jc w:val="center"/>
            </w:pPr>
            <w:r w:rsidRPr="001B7264">
              <w:t>50</w:t>
            </w:r>
          </w:p>
        </w:tc>
        <w:tc>
          <w:tcPr>
            <w:tcW w:w="1843" w:type="dxa"/>
            <w:vAlign w:val="center"/>
          </w:tcPr>
          <w:p w14:paraId="53E005C5" w14:textId="77777777" w:rsidR="001B7264" w:rsidRPr="001B7264" w:rsidRDefault="001B7264" w:rsidP="0012210A">
            <w:pPr>
              <w:pStyle w:val="Tablebodytextrightaligned"/>
              <w:spacing w:before="99" w:after="33"/>
              <w:jc w:val="center"/>
            </w:pPr>
            <w:r w:rsidRPr="001B7264">
              <w:t>46</w:t>
            </w:r>
          </w:p>
        </w:tc>
      </w:tr>
      <w:tr w:rsidR="001B7264" w:rsidRPr="001B7264" w14:paraId="4CEAFDB0" w14:textId="77777777" w:rsidTr="00282936">
        <w:trPr>
          <w:trHeight w:hRule="exact" w:val="340"/>
          <w:tblHeader/>
        </w:trPr>
        <w:tc>
          <w:tcPr>
            <w:tcW w:w="1754" w:type="dxa"/>
            <w:shd w:val="clear" w:color="auto" w:fill="E5E5E5" w:themeFill="background1" w:themeFillTint="33"/>
            <w:vAlign w:val="center"/>
          </w:tcPr>
          <w:p w14:paraId="3CD6BB76" w14:textId="77777777" w:rsidR="001B7264" w:rsidRPr="001B7264" w:rsidRDefault="001B7264" w:rsidP="0012210A">
            <w:pPr>
              <w:pStyle w:val="Tablefirstcolumn"/>
            </w:pPr>
            <w:r w:rsidRPr="001B7264">
              <w:t>Stream 4</w:t>
            </w:r>
          </w:p>
        </w:tc>
        <w:tc>
          <w:tcPr>
            <w:tcW w:w="1648" w:type="dxa"/>
            <w:shd w:val="clear" w:color="auto" w:fill="E5E5E5" w:themeFill="background1" w:themeFillTint="33"/>
            <w:vAlign w:val="center"/>
          </w:tcPr>
          <w:p w14:paraId="14E283EC" w14:textId="77777777" w:rsidR="001B7264" w:rsidRPr="001B7264" w:rsidRDefault="001B7264" w:rsidP="0012210A">
            <w:pPr>
              <w:pStyle w:val="Tablebodytextrightaligned"/>
              <w:spacing w:before="99" w:after="33"/>
              <w:jc w:val="center"/>
            </w:pPr>
            <w:r w:rsidRPr="001B7264">
              <w:t>11</w:t>
            </w:r>
          </w:p>
        </w:tc>
        <w:tc>
          <w:tcPr>
            <w:tcW w:w="1701" w:type="dxa"/>
            <w:shd w:val="clear" w:color="auto" w:fill="E5E5E5" w:themeFill="background1" w:themeFillTint="33"/>
            <w:vAlign w:val="center"/>
          </w:tcPr>
          <w:p w14:paraId="50EBB758" w14:textId="77777777" w:rsidR="001B7264" w:rsidRPr="001B7264" w:rsidRDefault="001B7264" w:rsidP="0012210A">
            <w:pPr>
              <w:pStyle w:val="Tablebodytextrightaligned"/>
              <w:spacing w:before="99" w:after="33"/>
              <w:jc w:val="center"/>
            </w:pPr>
            <w:r w:rsidRPr="001B7264">
              <w:t>9</w:t>
            </w:r>
          </w:p>
        </w:tc>
        <w:tc>
          <w:tcPr>
            <w:tcW w:w="1843" w:type="dxa"/>
            <w:shd w:val="clear" w:color="auto" w:fill="E5E5E5" w:themeFill="background1" w:themeFillTint="33"/>
            <w:vAlign w:val="center"/>
          </w:tcPr>
          <w:p w14:paraId="7DE59729" w14:textId="77777777" w:rsidR="001B7264" w:rsidRPr="001B7264" w:rsidRDefault="001B7264" w:rsidP="0012210A">
            <w:pPr>
              <w:pStyle w:val="Tablebodytextrightaligned"/>
              <w:spacing w:before="99" w:after="33"/>
              <w:jc w:val="center"/>
            </w:pPr>
            <w:r w:rsidRPr="001B7264">
              <w:t>76</w:t>
            </w:r>
          </w:p>
        </w:tc>
        <w:tc>
          <w:tcPr>
            <w:tcW w:w="1843" w:type="dxa"/>
            <w:shd w:val="clear" w:color="auto" w:fill="E5E5E5" w:themeFill="background1" w:themeFillTint="33"/>
            <w:vAlign w:val="center"/>
          </w:tcPr>
          <w:p w14:paraId="6BE50B2F" w14:textId="77777777" w:rsidR="001B7264" w:rsidRPr="001B7264" w:rsidRDefault="001B7264" w:rsidP="0012210A">
            <w:pPr>
              <w:pStyle w:val="Tablebodytextrightaligned"/>
              <w:spacing w:before="99" w:after="33"/>
              <w:jc w:val="center"/>
            </w:pPr>
            <w:r w:rsidRPr="001B7264">
              <w:t>68</w:t>
            </w:r>
          </w:p>
        </w:tc>
      </w:tr>
      <w:tr w:rsidR="001B7264" w:rsidRPr="00282936" w14:paraId="09AAEC70" w14:textId="77777777" w:rsidTr="00282936">
        <w:trPr>
          <w:trHeight w:hRule="exact" w:val="340"/>
          <w:tblHeader/>
        </w:trPr>
        <w:tc>
          <w:tcPr>
            <w:tcW w:w="1754" w:type="dxa"/>
            <w:shd w:val="clear" w:color="auto" w:fill="8EAEDE"/>
            <w:vAlign w:val="center"/>
          </w:tcPr>
          <w:p w14:paraId="6E132D44" w14:textId="77777777" w:rsidR="001B7264" w:rsidRPr="00282936" w:rsidRDefault="001B7264" w:rsidP="0012210A">
            <w:pPr>
              <w:pStyle w:val="Tablefirstcolumn"/>
            </w:pPr>
            <w:r w:rsidRPr="00282936">
              <w:t>Total</w:t>
            </w:r>
          </w:p>
        </w:tc>
        <w:tc>
          <w:tcPr>
            <w:tcW w:w="1648" w:type="dxa"/>
            <w:shd w:val="clear" w:color="auto" w:fill="8EAEDE"/>
            <w:vAlign w:val="center"/>
          </w:tcPr>
          <w:p w14:paraId="70BC6BDB" w14:textId="77777777" w:rsidR="001B7264" w:rsidRPr="00282936" w:rsidRDefault="001B7264" w:rsidP="0012210A">
            <w:pPr>
              <w:pStyle w:val="Tablebodytextrightaligned"/>
              <w:spacing w:before="99" w:after="33"/>
              <w:jc w:val="center"/>
            </w:pPr>
            <w:r w:rsidRPr="00282936">
              <w:t>10</w:t>
            </w:r>
          </w:p>
        </w:tc>
        <w:tc>
          <w:tcPr>
            <w:tcW w:w="1701" w:type="dxa"/>
            <w:shd w:val="clear" w:color="auto" w:fill="8EAEDE"/>
            <w:vAlign w:val="center"/>
          </w:tcPr>
          <w:p w14:paraId="0782AEF7" w14:textId="77777777" w:rsidR="001B7264" w:rsidRPr="00282936" w:rsidRDefault="001B7264" w:rsidP="0012210A">
            <w:pPr>
              <w:pStyle w:val="Tablebodytextrightaligned"/>
              <w:spacing w:before="99" w:after="33"/>
              <w:jc w:val="center"/>
            </w:pPr>
            <w:r w:rsidRPr="00282936">
              <w:t>10</w:t>
            </w:r>
          </w:p>
        </w:tc>
        <w:tc>
          <w:tcPr>
            <w:tcW w:w="1843" w:type="dxa"/>
            <w:shd w:val="clear" w:color="auto" w:fill="8EAEDE"/>
            <w:vAlign w:val="center"/>
          </w:tcPr>
          <w:p w14:paraId="3B7EFDB1" w14:textId="77777777" w:rsidR="001B7264" w:rsidRPr="00282936" w:rsidRDefault="001B7264" w:rsidP="0012210A">
            <w:pPr>
              <w:pStyle w:val="Tablebodytextrightaligned"/>
              <w:spacing w:before="99" w:after="33"/>
              <w:jc w:val="center"/>
            </w:pPr>
            <w:r w:rsidRPr="00282936">
              <w:t>53</w:t>
            </w:r>
          </w:p>
        </w:tc>
        <w:tc>
          <w:tcPr>
            <w:tcW w:w="1843" w:type="dxa"/>
            <w:shd w:val="clear" w:color="auto" w:fill="8EAEDE"/>
            <w:vAlign w:val="center"/>
          </w:tcPr>
          <w:p w14:paraId="11D73F7A" w14:textId="77777777" w:rsidR="001B7264" w:rsidRPr="00282936" w:rsidRDefault="001B7264" w:rsidP="0012210A">
            <w:pPr>
              <w:pStyle w:val="Tablebodytextrightaligned"/>
              <w:spacing w:before="99" w:after="33"/>
              <w:jc w:val="center"/>
            </w:pPr>
            <w:r w:rsidRPr="00282936">
              <w:t>45</w:t>
            </w:r>
          </w:p>
        </w:tc>
      </w:tr>
    </w:tbl>
    <w:p w14:paraId="7D3D323E" w14:textId="77777777" w:rsidR="001B7264" w:rsidRPr="001B7264" w:rsidRDefault="001B7264" w:rsidP="001B7264">
      <w:pPr>
        <w:keepLines/>
        <w:spacing w:after="0"/>
        <w:rPr>
          <w:b/>
          <w:sz w:val="20"/>
          <w:szCs w:val="20"/>
        </w:rPr>
      </w:pPr>
      <w:r w:rsidRPr="001B7264">
        <w:rPr>
          <w:b/>
          <w:sz w:val="18"/>
        </w:rPr>
        <w:t>Note</w:t>
      </w:r>
      <w:r w:rsidR="00956148">
        <w:rPr>
          <w:b/>
          <w:sz w:val="18"/>
        </w:rPr>
        <w:t>s</w:t>
      </w:r>
      <w:r w:rsidRPr="001B7264">
        <w:rPr>
          <w:b/>
          <w:sz w:val="18"/>
        </w:rPr>
        <w:t>:</w:t>
      </w:r>
    </w:p>
    <w:p w14:paraId="2FBD5F26" w14:textId="77777777" w:rsidR="00956148" w:rsidRPr="00BC2802" w:rsidRDefault="001B7264" w:rsidP="00BC2802">
      <w:pPr>
        <w:pStyle w:val="Notesnumbered"/>
        <w:numPr>
          <w:ilvl w:val="0"/>
          <w:numId w:val="226"/>
        </w:numPr>
      </w:pPr>
      <w:r w:rsidRPr="00BC2802">
        <w:t>This table includes volunteers, but not Stream 1 (Limited) job seekers.</w:t>
      </w:r>
    </w:p>
    <w:p w14:paraId="0EF7FA91" w14:textId="77777777" w:rsidR="001B7264" w:rsidRPr="00BC2802" w:rsidRDefault="001B7264" w:rsidP="00BC2802">
      <w:pPr>
        <w:pStyle w:val="Notesnumbered"/>
        <w:numPr>
          <w:ilvl w:val="0"/>
          <w:numId w:val="226"/>
        </w:numPr>
      </w:pPr>
      <w:r w:rsidRPr="00BC2802">
        <w:t>Durations for exemptions and suspensions taken in to consideration.</w:t>
      </w:r>
    </w:p>
    <w:p w14:paraId="5A544445" w14:textId="77777777" w:rsidR="00E80C53" w:rsidRPr="004E6541" w:rsidRDefault="00E80C53" w:rsidP="00BC2802">
      <w:pPr>
        <w:pStyle w:val="Notesnumbered"/>
        <w:numPr>
          <w:ilvl w:val="0"/>
          <w:numId w:val="226"/>
        </w:numPr>
      </w:pPr>
      <w:r w:rsidRPr="00BC2802">
        <w:t>Refer</w:t>
      </w:r>
      <w:r>
        <w:rPr>
          <w:rStyle w:val="SourceandnotetextChar"/>
        </w:rPr>
        <w:t xml:space="preserve"> </w:t>
      </w:r>
      <w:hyperlink w:anchor="Title_A22a" w:history="1">
        <w:r w:rsidRPr="004A74AA">
          <w:rPr>
            <w:rStyle w:val="Hyperlink"/>
            <w:szCs w:val="20"/>
          </w:rPr>
          <w:t>Appendix A</w:t>
        </w:r>
        <w:r w:rsidR="000748CA" w:rsidRPr="004A74AA">
          <w:rPr>
            <w:rStyle w:val="Hyperlink"/>
            <w:szCs w:val="20"/>
          </w:rPr>
          <w:t>2</w:t>
        </w:r>
        <w:r w:rsidRPr="004A74AA">
          <w:rPr>
            <w:rStyle w:val="Hyperlink"/>
            <w:szCs w:val="20"/>
          </w:rPr>
          <w:t>, Table A2.2</w:t>
        </w:r>
      </w:hyperlink>
      <w:r>
        <w:rPr>
          <w:rStyle w:val="SourceandnotetextChar"/>
        </w:rPr>
        <w:t>.</w:t>
      </w:r>
      <w:bookmarkStart w:id="167" w:name="Place_A22"/>
      <w:bookmarkEnd w:id="167"/>
    </w:p>
    <w:p w14:paraId="6DCC02B9" w14:textId="77777777" w:rsidR="004E6541" w:rsidRDefault="004E6541" w:rsidP="004E6541">
      <w:pPr>
        <w:spacing w:after="0"/>
        <w:rPr>
          <w:sz w:val="20"/>
          <w:szCs w:val="20"/>
        </w:rPr>
      </w:pPr>
      <w:r w:rsidRPr="001B7264">
        <w:rPr>
          <w:b/>
          <w:sz w:val="18"/>
        </w:rPr>
        <w:t>Source:</w:t>
      </w:r>
      <w:r>
        <w:rPr>
          <w:sz w:val="18"/>
        </w:rPr>
        <w:tab/>
      </w:r>
      <w:r w:rsidRPr="001B7264">
        <w:rPr>
          <w:sz w:val="18"/>
        </w:rPr>
        <w:t>Department of Employment administrative data</w:t>
      </w:r>
      <w:r w:rsidRPr="001B7264">
        <w:rPr>
          <w:sz w:val="20"/>
          <w:szCs w:val="20"/>
        </w:rPr>
        <w:t>.</w:t>
      </w:r>
    </w:p>
    <w:p w14:paraId="4691767B" w14:textId="77777777" w:rsidR="003013B7" w:rsidRDefault="003013B7" w:rsidP="002B0485">
      <w:pPr>
        <w:pStyle w:val="Heading4"/>
      </w:pPr>
      <w:r>
        <w:t>Leaving the system or achieving outcomes</w:t>
      </w:r>
    </w:p>
    <w:p w14:paraId="557B2F83" w14:textId="77777777" w:rsidR="001B7264" w:rsidRPr="001B7264" w:rsidRDefault="001B7264" w:rsidP="003013B7">
      <w:pPr>
        <w:pStyle w:val="Heading5"/>
      </w:pPr>
      <w:r w:rsidRPr="001B7264">
        <w:t>Employment outcomes</w:t>
      </w:r>
      <w:r w:rsidR="00374A04">
        <w:t xml:space="preserve"> (unregressed)</w:t>
      </w:r>
    </w:p>
    <w:p w14:paraId="71DAA4D4" w14:textId="77777777" w:rsidR="001B7264" w:rsidRPr="001B7264" w:rsidRDefault="003013B7" w:rsidP="001B7264">
      <w:pPr>
        <w:rPr>
          <w:bCs/>
        </w:rPr>
      </w:pPr>
      <w:r>
        <w:rPr>
          <w:bCs/>
        </w:rPr>
        <w:t>According to Post Programme Monitoring (PPM)</w:t>
      </w:r>
      <w:r w:rsidR="00827FF5">
        <w:rPr>
          <w:bCs/>
        </w:rPr>
        <w:t xml:space="preserve"> </w:t>
      </w:r>
      <w:r>
        <w:rPr>
          <w:bCs/>
        </w:rPr>
        <w:t>survey results for the new entrant populations, o</w:t>
      </w:r>
      <w:r w:rsidR="001B7264" w:rsidRPr="001B7264">
        <w:rPr>
          <w:bCs/>
        </w:rPr>
        <w:t>verall employment outcomes were</w:t>
      </w:r>
      <w:r w:rsidR="000B40E8">
        <w:rPr>
          <w:bCs/>
        </w:rPr>
        <w:t xml:space="preserve"> </w:t>
      </w:r>
      <w:r w:rsidR="006107F3">
        <w:rPr>
          <w:bCs/>
        </w:rPr>
        <w:t>relatively</w:t>
      </w:r>
      <w:r w:rsidR="001B7264" w:rsidRPr="001B7264">
        <w:rPr>
          <w:bCs/>
        </w:rPr>
        <w:t xml:space="preserve"> lower for new entrant job seekers across all streams in JSA</w:t>
      </w:r>
      <w:r w:rsidR="001B7264" w:rsidRPr="001B7264">
        <w:t xml:space="preserve"> </w:t>
      </w:r>
      <w:r w:rsidR="00604AF3">
        <w:rPr>
          <w:bCs/>
        </w:rPr>
        <w:t>2012 than JSA 2009 (</w:t>
      </w:r>
      <w:r w:rsidR="00CA462C">
        <w:rPr>
          <w:bCs/>
        </w:rPr>
        <w:t>Figure 3.</w:t>
      </w:r>
      <w:r w:rsidR="000F1544">
        <w:rPr>
          <w:bCs/>
        </w:rPr>
        <w:t>2</w:t>
      </w:r>
      <w:r w:rsidR="00CA462C">
        <w:rPr>
          <w:bCs/>
        </w:rPr>
        <w:t xml:space="preserve">, </w:t>
      </w:r>
      <w:r w:rsidR="00604AF3">
        <w:rPr>
          <w:bCs/>
        </w:rPr>
        <w:t>Tables A2.</w:t>
      </w:r>
      <w:r w:rsidR="000748CA">
        <w:rPr>
          <w:bCs/>
        </w:rPr>
        <w:t>3</w:t>
      </w:r>
      <w:r w:rsidR="002B7D83">
        <w:rPr>
          <w:bCs/>
        </w:rPr>
        <w:t>, A2.</w:t>
      </w:r>
      <w:r w:rsidR="000748CA">
        <w:rPr>
          <w:bCs/>
        </w:rPr>
        <w:t>4</w:t>
      </w:r>
      <w:r w:rsidR="002B7D83">
        <w:rPr>
          <w:bCs/>
        </w:rPr>
        <w:t xml:space="preserve"> and</w:t>
      </w:r>
      <w:r w:rsidR="00604AF3">
        <w:rPr>
          <w:bCs/>
        </w:rPr>
        <w:t xml:space="preserve"> A2.</w:t>
      </w:r>
      <w:r w:rsidR="000748CA">
        <w:rPr>
          <w:bCs/>
        </w:rPr>
        <w:t>5</w:t>
      </w:r>
      <w:r w:rsidR="00604AF3">
        <w:rPr>
          <w:bCs/>
        </w:rPr>
        <w:t>).</w:t>
      </w:r>
    </w:p>
    <w:p w14:paraId="6BF25CF6" w14:textId="21F2F6CC" w:rsidR="001B7264" w:rsidRPr="001B7264" w:rsidRDefault="00F9502A" w:rsidP="005172B5">
      <w:pPr>
        <w:pStyle w:val="Figureheadingforcontents"/>
      </w:pPr>
      <w:bookmarkStart w:id="168" w:name="_Toc436400136"/>
      <w:bookmarkStart w:id="169" w:name="_Toc436400266"/>
      <w:bookmarkStart w:id="170" w:name="_Toc443152020"/>
      <w:bookmarkStart w:id="171" w:name="_Toc22544026"/>
      <w:r w:rsidRPr="000E2C43">
        <w:rPr>
          <w:noProof/>
          <w:color w:val="FFFFFF" w:themeColor="background2"/>
          <w:lang w:eastAsia="en-AU"/>
        </w:rPr>
        <w:drawing>
          <wp:anchor distT="0" distB="0" distL="114300" distR="114300" simplePos="0" relativeHeight="251658240" behindDoc="0" locked="0" layoutInCell="1" allowOverlap="1" wp14:anchorId="54BC2D18" wp14:editId="3D0A3ABC">
            <wp:simplePos x="0" y="0"/>
            <wp:positionH relativeFrom="column">
              <wp:posOffset>-5715</wp:posOffset>
            </wp:positionH>
            <wp:positionV relativeFrom="paragraph">
              <wp:posOffset>144085</wp:posOffset>
            </wp:positionV>
            <wp:extent cx="5664200" cy="3440430"/>
            <wp:effectExtent l="0" t="0" r="0" b="7620"/>
            <wp:wrapNone/>
            <wp:docPr id="236" name="Picture 236" descr="A chart showing the employment outcome rates for new entrant job seekers in JSA 2009 and JSA 2012 by stream. Employment outcome rates for stream 1 JSA 2009 job seekers were highest (just under 70 per cent), followed by stream 1 JSA 2012 job seekers (just over 60 per cent), then stream 2 JSA 2009 and 2012 job seeker (just over 50 per cent and just over 40 per cent respectively), then Stream 3 and 4 JSA 2009 job seeker (around 40 and 35 per cent) and finally stream 4 and 3 JSA2012 job seekers (around 30 and 25 per cent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64200" cy="3440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264" w:rsidRPr="001B7264">
        <w:t>Figure</w:t>
      </w:r>
      <w:r w:rsidR="001B7264">
        <w:t xml:space="preserve"> </w:t>
      </w:r>
      <w:r w:rsidR="00CF00FC">
        <w:t>3.</w:t>
      </w:r>
      <w:r w:rsidR="000F1544">
        <w:t>2</w:t>
      </w:r>
      <w:r w:rsidR="00CF00FC">
        <w:t>:</w:t>
      </w:r>
      <w:r w:rsidR="007752F6">
        <w:t xml:space="preserve"> </w:t>
      </w:r>
      <w:r w:rsidR="001B7264" w:rsidRPr="001B7264">
        <w:t>Employment</w:t>
      </w:r>
      <w:r w:rsidR="00B07CB9">
        <w:t xml:space="preserve"> </w:t>
      </w:r>
      <w:r w:rsidR="001B7264" w:rsidRPr="001B7264">
        <w:t>outcomes</w:t>
      </w:r>
      <w:r w:rsidR="00640731">
        <w:t xml:space="preserve">, </w:t>
      </w:r>
      <w:r w:rsidR="001B7264" w:rsidRPr="001B7264">
        <w:t>Streams 1-4</w:t>
      </w:r>
      <w:r w:rsidR="00B10CFF">
        <w:t>, new entrants</w:t>
      </w:r>
      <w:r w:rsidR="00C531EF">
        <w:t xml:space="preserve"> (per cent)</w:t>
      </w:r>
      <w:bookmarkEnd w:id="168"/>
      <w:bookmarkEnd w:id="169"/>
      <w:bookmarkEnd w:id="170"/>
      <w:bookmarkEnd w:id="171"/>
    </w:p>
    <w:tbl>
      <w:tblPr>
        <w:tblW w:w="5118" w:type="dxa"/>
        <w:jc w:val="center"/>
        <w:tblLook w:val="04A0" w:firstRow="1" w:lastRow="0" w:firstColumn="1" w:lastColumn="0" w:noHBand="0" w:noVBand="1"/>
      </w:tblPr>
      <w:tblGrid>
        <w:gridCol w:w="1300"/>
        <w:gridCol w:w="2259"/>
        <w:gridCol w:w="1559"/>
      </w:tblGrid>
      <w:tr w:rsidR="000E2C43" w:rsidRPr="000E2C43" w14:paraId="031177F7" w14:textId="77777777" w:rsidTr="00946ACE">
        <w:trPr>
          <w:trHeight w:val="288"/>
          <w:tblHeader/>
          <w:jc w:val="center"/>
        </w:trPr>
        <w:tc>
          <w:tcPr>
            <w:tcW w:w="1300" w:type="dxa"/>
            <w:shd w:val="clear" w:color="auto" w:fill="auto"/>
            <w:vAlign w:val="center"/>
            <w:hideMark/>
          </w:tcPr>
          <w:p w14:paraId="4BE544A0" w14:textId="375A6574" w:rsidR="00144C6F" w:rsidRPr="000E2C43" w:rsidRDefault="00144C6F" w:rsidP="00144C6F">
            <w:pPr>
              <w:spacing w:after="166"/>
              <w:rPr>
                <w:rFonts w:cstheme="minorHAnsi"/>
                <w:b/>
                <w:bCs/>
                <w:color w:val="FFFFFF" w:themeColor="background2"/>
                <w:sz w:val="20"/>
                <w:szCs w:val="20"/>
              </w:rPr>
            </w:pPr>
            <w:bookmarkStart w:id="172" w:name="Title_fig31"/>
            <w:bookmarkEnd w:id="172"/>
            <w:r w:rsidRPr="000E2C43">
              <w:rPr>
                <w:rFonts w:cstheme="minorHAnsi"/>
                <w:b/>
                <w:bCs/>
                <w:color w:val="FFFFFF" w:themeColor="background2"/>
                <w:sz w:val="20"/>
                <w:szCs w:val="20"/>
              </w:rPr>
              <w:t> </w:t>
            </w:r>
          </w:p>
        </w:tc>
        <w:tc>
          <w:tcPr>
            <w:tcW w:w="2259" w:type="dxa"/>
            <w:shd w:val="clear" w:color="auto" w:fill="auto"/>
            <w:noWrap/>
            <w:vAlign w:val="bottom"/>
            <w:hideMark/>
          </w:tcPr>
          <w:p w14:paraId="35868053" w14:textId="77777777" w:rsidR="00144C6F" w:rsidRPr="000E2C43" w:rsidRDefault="00144C6F" w:rsidP="00144C6F">
            <w:pPr>
              <w:spacing w:after="166"/>
              <w:rPr>
                <w:rFonts w:cstheme="minorHAnsi"/>
                <w:color w:val="FFFFFF" w:themeColor="background2"/>
              </w:rPr>
            </w:pPr>
            <w:r w:rsidRPr="000E2C43">
              <w:rPr>
                <w:rFonts w:cstheme="minorHAnsi"/>
                <w:color w:val="FFFFFF" w:themeColor="background2"/>
              </w:rPr>
              <w:t>JSA 2009</w:t>
            </w:r>
          </w:p>
        </w:tc>
        <w:tc>
          <w:tcPr>
            <w:tcW w:w="1559" w:type="dxa"/>
            <w:shd w:val="clear" w:color="auto" w:fill="auto"/>
            <w:noWrap/>
            <w:vAlign w:val="bottom"/>
            <w:hideMark/>
          </w:tcPr>
          <w:p w14:paraId="03F5AD99" w14:textId="77777777" w:rsidR="00144C6F" w:rsidRPr="000E2C43" w:rsidRDefault="00144C6F" w:rsidP="00144C6F">
            <w:pPr>
              <w:spacing w:after="166"/>
              <w:rPr>
                <w:rFonts w:cstheme="minorHAnsi"/>
                <w:color w:val="FFFFFF" w:themeColor="background2"/>
              </w:rPr>
            </w:pPr>
            <w:r w:rsidRPr="000E2C43">
              <w:rPr>
                <w:rFonts w:cstheme="minorHAnsi"/>
                <w:color w:val="FFFFFF" w:themeColor="background2"/>
              </w:rPr>
              <w:t>JSA 2012</w:t>
            </w:r>
          </w:p>
        </w:tc>
      </w:tr>
      <w:tr w:rsidR="000E2C43" w:rsidRPr="000E2C43" w14:paraId="24EFE7FC" w14:textId="77777777" w:rsidTr="00946ACE">
        <w:trPr>
          <w:trHeight w:val="288"/>
          <w:jc w:val="center"/>
        </w:trPr>
        <w:tc>
          <w:tcPr>
            <w:tcW w:w="1300" w:type="dxa"/>
            <w:shd w:val="clear" w:color="auto" w:fill="auto"/>
            <w:vAlign w:val="center"/>
            <w:hideMark/>
          </w:tcPr>
          <w:p w14:paraId="5033E6BE" w14:textId="77777777" w:rsidR="00144C6F" w:rsidRPr="000E2C43" w:rsidRDefault="00144C6F" w:rsidP="00144C6F">
            <w:pPr>
              <w:spacing w:after="166"/>
              <w:rPr>
                <w:rFonts w:cstheme="minorHAnsi"/>
                <w:color w:val="FFFFFF" w:themeColor="background2"/>
                <w:sz w:val="20"/>
                <w:szCs w:val="20"/>
              </w:rPr>
            </w:pPr>
            <w:r w:rsidRPr="000E2C43">
              <w:rPr>
                <w:rFonts w:cstheme="minorHAnsi"/>
                <w:color w:val="FFFFFF" w:themeColor="background2"/>
                <w:sz w:val="20"/>
                <w:szCs w:val="20"/>
              </w:rPr>
              <w:t>Stream 1</w:t>
            </w:r>
          </w:p>
        </w:tc>
        <w:tc>
          <w:tcPr>
            <w:tcW w:w="2259" w:type="dxa"/>
            <w:shd w:val="clear" w:color="auto" w:fill="auto"/>
            <w:noWrap/>
            <w:vAlign w:val="bottom"/>
            <w:hideMark/>
          </w:tcPr>
          <w:p w14:paraId="7227E0B6"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68.8</w:t>
            </w:r>
          </w:p>
        </w:tc>
        <w:tc>
          <w:tcPr>
            <w:tcW w:w="1559" w:type="dxa"/>
            <w:shd w:val="clear" w:color="auto" w:fill="auto"/>
            <w:noWrap/>
            <w:vAlign w:val="bottom"/>
            <w:hideMark/>
          </w:tcPr>
          <w:p w14:paraId="7EE4A737"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63.0</w:t>
            </w:r>
          </w:p>
        </w:tc>
      </w:tr>
      <w:tr w:rsidR="000E2C43" w:rsidRPr="000E2C43" w14:paraId="0DA27172" w14:textId="77777777" w:rsidTr="00946ACE">
        <w:trPr>
          <w:trHeight w:val="288"/>
          <w:jc w:val="center"/>
        </w:trPr>
        <w:tc>
          <w:tcPr>
            <w:tcW w:w="1300" w:type="dxa"/>
            <w:shd w:val="clear" w:color="auto" w:fill="auto"/>
            <w:vAlign w:val="center"/>
            <w:hideMark/>
          </w:tcPr>
          <w:p w14:paraId="22A383E4" w14:textId="77777777" w:rsidR="00144C6F" w:rsidRPr="000E2C43" w:rsidRDefault="00144C6F" w:rsidP="00144C6F">
            <w:pPr>
              <w:spacing w:after="166"/>
              <w:rPr>
                <w:rFonts w:cstheme="minorHAnsi"/>
                <w:color w:val="FFFFFF" w:themeColor="background2"/>
                <w:sz w:val="20"/>
                <w:szCs w:val="20"/>
              </w:rPr>
            </w:pPr>
            <w:r w:rsidRPr="000E2C43">
              <w:rPr>
                <w:rFonts w:cstheme="minorHAnsi"/>
                <w:color w:val="FFFFFF" w:themeColor="background2"/>
                <w:sz w:val="20"/>
                <w:szCs w:val="20"/>
              </w:rPr>
              <w:t>Stream 2</w:t>
            </w:r>
          </w:p>
        </w:tc>
        <w:tc>
          <w:tcPr>
            <w:tcW w:w="2259" w:type="dxa"/>
            <w:shd w:val="clear" w:color="auto" w:fill="auto"/>
            <w:noWrap/>
            <w:vAlign w:val="bottom"/>
            <w:hideMark/>
          </w:tcPr>
          <w:p w14:paraId="76079765"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52.0</w:t>
            </w:r>
          </w:p>
        </w:tc>
        <w:tc>
          <w:tcPr>
            <w:tcW w:w="1559" w:type="dxa"/>
            <w:shd w:val="clear" w:color="auto" w:fill="auto"/>
            <w:noWrap/>
            <w:vAlign w:val="bottom"/>
            <w:hideMark/>
          </w:tcPr>
          <w:p w14:paraId="1C47E82B"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42.1</w:t>
            </w:r>
          </w:p>
        </w:tc>
      </w:tr>
      <w:tr w:rsidR="000E2C43" w:rsidRPr="000E2C43" w14:paraId="23E53A83" w14:textId="77777777" w:rsidTr="00946ACE">
        <w:trPr>
          <w:trHeight w:val="288"/>
          <w:jc w:val="center"/>
        </w:trPr>
        <w:tc>
          <w:tcPr>
            <w:tcW w:w="1300" w:type="dxa"/>
            <w:shd w:val="clear" w:color="auto" w:fill="auto"/>
            <w:vAlign w:val="center"/>
            <w:hideMark/>
          </w:tcPr>
          <w:p w14:paraId="2BE6E241" w14:textId="77777777" w:rsidR="00144C6F" w:rsidRPr="000E2C43" w:rsidRDefault="00144C6F" w:rsidP="00144C6F">
            <w:pPr>
              <w:spacing w:after="166"/>
              <w:rPr>
                <w:rFonts w:cstheme="minorHAnsi"/>
                <w:color w:val="FFFFFF" w:themeColor="background2"/>
                <w:sz w:val="20"/>
                <w:szCs w:val="20"/>
              </w:rPr>
            </w:pPr>
            <w:r w:rsidRPr="000E2C43">
              <w:rPr>
                <w:rFonts w:cstheme="minorHAnsi"/>
                <w:color w:val="FFFFFF" w:themeColor="background2"/>
                <w:sz w:val="20"/>
                <w:szCs w:val="20"/>
              </w:rPr>
              <w:t>Stream 3</w:t>
            </w:r>
          </w:p>
        </w:tc>
        <w:tc>
          <w:tcPr>
            <w:tcW w:w="2259" w:type="dxa"/>
            <w:shd w:val="clear" w:color="auto" w:fill="auto"/>
            <w:noWrap/>
            <w:vAlign w:val="bottom"/>
            <w:hideMark/>
          </w:tcPr>
          <w:p w14:paraId="5382A829"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40.0</w:t>
            </w:r>
          </w:p>
        </w:tc>
        <w:tc>
          <w:tcPr>
            <w:tcW w:w="1559" w:type="dxa"/>
            <w:shd w:val="clear" w:color="auto" w:fill="auto"/>
            <w:noWrap/>
            <w:vAlign w:val="bottom"/>
            <w:hideMark/>
          </w:tcPr>
          <w:p w14:paraId="567A10D9"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24.8</w:t>
            </w:r>
          </w:p>
        </w:tc>
      </w:tr>
      <w:tr w:rsidR="000E2C43" w:rsidRPr="000E2C43" w14:paraId="06FB8993" w14:textId="77777777" w:rsidTr="00946ACE">
        <w:trPr>
          <w:trHeight w:val="288"/>
          <w:jc w:val="center"/>
        </w:trPr>
        <w:tc>
          <w:tcPr>
            <w:tcW w:w="1300" w:type="dxa"/>
            <w:shd w:val="clear" w:color="auto" w:fill="auto"/>
            <w:vAlign w:val="center"/>
            <w:hideMark/>
          </w:tcPr>
          <w:p w14:paraId="2C0279B9" w14:textId="77777777" w:rsidR="00144C6F" w:rsidRPr="000E2C43" w:rsidRDefault="00144C6F" w:rsidP="00144C6F">
            <w:pPr>
              <w:spacing w:after="166"/>
              <w:rPr>
                <w:rFonts w:cstheme="minorHAnsi"/>
                <w:color w:val="FFFFFF" w:themeColor="background2"/>
                <w:sz w:val="20"/>
                <w:szCs w:val="20"/>
              </w:rPr>
            </w:pPr>
            <w:r w:rsidRPr="000E2C43">
              <w:rPr>
                <w:rFonts w:cstheme="minorHAnsi"/>
                <w:color w:val="FFFFFF" w:themeColor="background2"/>
                <w:sz w:val="20"/>
                <w:szCs w:val="20"/>
              </w:rPr>
              <w:t>Stream 4</w:t>
            </w:r>
          </w:p>
        </w:tc>
        <w:tc>
          <w:tcPr>
            <w:tcW w:w="2259" w:type="dxa"/>
            <w:shd w:val="clear" w:color="auto" w:fill="auto"/>
            <w:noWrap/>
            <w:vAlign w:val="bottom"/>
            <w:hideMark/>
          </w:tcPr>
          <w:p w14:paraId="760488A4"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36.2</w:t>
            </w:r>
          </w:p>
        </w:tc>
        <w:tc>
          <w:tcPr>
            <w:tcW w:w="1559" w:type="dxa"/>
            <w:shd w:val="clear" w:color="auto" w:fill="auto"/>
            <w:noWrap/>
            <w:vAlign w:val="bottom"/>
            <w:hideMark/>
          </w:tcPr>
          <w:p w14:paraId="26FB0500" w14:textId="77777777" w:rsidR="00144C6F" w:rsidRPr="000E2C43" w:rsidRDefault="00144C6F" w:rsidP="00144C6F">
            <w:pPr>
              <w:spacing w:after="166"/>
              <w:jc w:val="right"/>
              <w:rPr>
                <w:rFonts w:cstheme="minorHAnsi"/>
                <w:color w:val="FFFFFF" w:themeColor="background2"/>
              </w:rPr>
            </w:pPr>
            <w:r w:rsidRPr="000E2C43">
              <w:rPr>
                <w:rFonts w:cstheme="minorHAnsi"/>
                <w:color w:val="FFFFFF" w:themeColor="background2"/>
              </w:rPr>
              <w:t>31.2</w:t>
            </w:r>
          </w:p>
        </w:tc>
      </w:tr>
    </w:tbl>
    <w:p w14:paraId="7AD98532" w14:textId="77777777" w:rsidR="00B97A51" w:rsidRDefault="00B97A51" w:rsidP="000E2C43">
      <w:pPr>
        <w:pStyle w:val="Notes"/>
        <w:spacing w:before="3000"/>
        <w:rPr>
          <w:b/>
        </w:rPr>
      </w:pPr>
      <w:r>
        <w:rPr>
          <w:b/>
        </w:rPr>
        <w:t>Note:</w:t>
      </w:r>
      <w:r>
        <w:rPr>
          <w:b/>
        </w:rPr>
        <w:tab/>
      </w:r>
      <w:r>
        <w:rPr>
          <w:rStyle w:val="SourceandnotetextChar"/>
        </w:rPr>
        <w:t xml:space="preserve">Refer </w:t>
      </w:r>
      <w:hyperlink w:anchor="Title_A23" w:history="1">
        <w:r w:rsidRPr="004A74AA">
          <w:rPr>
            <w:rStyle w:val="Hyperlink"/>
          </w:rPr>
          <w:t>Appendix A</w:t>
        </w:r>
        <w:r w:rsidR="000748CA" w:rsidRPr="004A74AA">
          <w:rPr>
            <w:rStyle w:val="Hyperlink"/>
          </w:rPr>
          <w:t>2</w:t>
        </w:r>
        <w:r w:rsidRPr="004A74AA">
          <w:rPr>
            <w:rStyle w:val="Hyperlink"/>
          </w:rPr>
          <w:t>, Table A2.3 to Table A2.5.</w:t>
        </w:r>
        <w:bookmarkStart w:id="173" w:name="Place_A23a"/>
        <w:bookmarkEnd w:id="173"/>
      </w:hyperlink>
    </w:p>
    <w:p w14:paraId="05D7C33B" w14:textId="77777777" w:rsidR="001B7264" w:rsidRPr="001B7264" w:rsidRDefault="001B7264" w:rsidP="00F774E4">
      <w:pPr>
        <w:pStyle w:val="Source"/>
      </w:pPr>
      <w:r w:rsidRPr="001B7264">
        <w:rPr>
          <w:b/>
        </w:rPr>
        <w:t>Source:</w:t>
      </w:r>
      <w:r w:rsidRPr="001B7264">
        <w:t xml:space="preserve"> </w:t>
      </w:r>
      <w:r w:rsidR="00F774E4">
        <w:t xml:space="preserve">Department of Employment </w:t>
      </w:r>
      <w:r w:rsidRPr="004D4671">
        <w:t>Post Programme Monitoring survey</w:t>
      </w:r>
      <w:r w:rsidRPr="001B7264">
        <w:t>.</w:t>
      </w:r>
    </w:p>
    <w:p w14:paraId="41696FD9" w14:textId="77777777" w:rsidR="00732012" w:rsidRPr="00602C1E" w:rsidRDefault="00732012" w:rsidP="00227C3C">
      <w:pPr>
        <w:pStyle w:val="Figureheadingforcontents"/>
      </w:pPr>
      <w:bookmarkStart w:id="174" w:name="_Toc22544027"/>
      <w:r w:rsidRPr="00602C1E">
        <w:t>Figure 3.</w:t>
      </w:r>
      <w:r w:rsidR="007D1AA8">
        <w:t>3</w:t>
      </w:r>
      <w:r w:rsidRPr="00602C1E">
        <w:t xml:space="preserve"> Employmen</w:t>
      </w:r>
      <w:r w:rsidR="00B07CB9">
        <w:t>t o</w:t>
      </w:r>
      <w:r w:rsidRPr="00602C1E">
        <w:t xml:space="preserve">utcomes, </w:t>
      </w:r>
      <w:r w:rsidR="00B07CB9">
        <w:t xml:space="preserve">new entrants, </w:t>
      </w:r>
      <w:r w:rsidRPr="00602C1E">
        <w:t>by cohort (per cent)</w:t>
      </w:r>
      <w:bookmarkEnd w:id="174"/>
    </w:p>
    <w:tbl>
      <w:tblPr>
        <w:tblW w:w="7720" w:type="dxa"/>
        <w:jc w:val="center"/>
        <w:tblLook w:val="04A0" w:firstRow="1" w:lastRow="0" w:firstColumn="1" w:lastColumn="0" w:noHBand="0" w:noVBand="1"/>
      </w:tblPr>
      <w:tblGrid>
        <w:gridCol w:w="2704"/>
        <w:gridCol w:w="1254"/>
        <w:gridCol w:w="1254"/>
        <w:gridCol w:w="1254"/>
        <w:gridCol w:w="1254"/>
      </w:tblGrid>
      <w:tr w:rsidR="000E2C43" w:rsidRPr="000E2C43" w14:paraId="25CE649A" w14:textId="77777777" w:rsidTr="000E2C43">
        <w:trPr>
          <w:trHeight w:val="288"/>
          <w:jc w:val="center"/>
        </w:trPr>
        <w:tc>
          <w:tcPr>
            <w:tcW w:w="2704" w:type="dxa"/>
            <w:shd w:val="clear" w:color="auto" w:fill="auto"/>
            <w:noWrap/>
            <w:vAlign w:val="bottom"/>
            <w:hideMark/>
          </w:tcPr>
          <w:p w14:paraId="04F4A144" w14:textId="168BBC8E" w:rsidR="00144C6F" w:rsidRPr="000E2C43" w:rsidRDefault="00144C6F" w:rsidP="000E2C43">
            <w:pPr>
              <w:keepNext/>
              <w:spacing w:after="166"/>
              <w:rPr>
                <w:rFonts w:cstheme="minorHAnsi"/>
                <w:color w:val="FFFFFF" w:themeColor="background2"/>
                <w:sz w:val="20"/>
                <w:szCs w:val="20"/>
              </w:rPr>
            </w:pPr>
            <w:bookmarkStart w:id="175" w:name="Title_fig33" w:colFirst="0" w:colLast="0"/>
          </w:p>
        </w:tc>
        <w:tc>
          <w:tcPr>
            <w:tcW w:w="1254" w:type="dxa"/>
            <w:shd w:val="clear" w:color="auto" w:fill="auto"/>
            <w:noWrap/>
            <w:vAlign w:val="bottom"/>
            <w:hideMark/>
          </w:tcPr>
          <w:p w14:paraId="37DB617B" w14:textId="77777777" w:rsidR="00144C6F" w:rsidRPr="000E2C43" w:rsidRDefault="00144C6F" w:rsidP="000E2C43">
            <w:pPr>
              <w:keepNext/>
              <w:spacing w:after="166"/>
              <w:rPr>
                <w:rFonts w:cstheme="minorHAnsi"/>
                <w:color w:val="FFFFFF" w:themeColor="background2"/>
                <w:sz w:val="20"/>
                <w:szCs w:val="20"/>
              </w:rPr>
            </w:pPr>
            <w:r w:rsidRPr="000E2C43">
              <w:rPr>
                <w:rFonts w:cstheme="minorHAnsi"/>
                <w:color w:val="FFFFFF" w:themeColor="background2"/>
                <w:sz w:val="20"/>
                <w:szCs w:val="20"/>
              </w:rPr>
              <w:t>JSA 2009 Full-time employment</w:t>
            </w:r>
          </w:p>
        </w:tc>
        <w:tc>
          <w:tcPr>
            <w:tcW w:w="1254" w:type="dxa"/>
            <w:shd w:val="clear" w:color="auto" w:fill="auto"/>
            <w:noWrap/>
            <w:vAlign w:val="bottom"/>
            <w:hideMark/>
          </w:tcPr>
          <w:p w14:paraId="763772DD" w14:textId="77777777" w:rsidR="00144C6F" w:rsidRPr="000E2C43" w:rsidRDefault="00144C6F" w:rsidP="000E2C43">
            <w:pPr>
              <w:keepNext/>
              <w:spacing w:after="166"/>
              <w:rPr>
                <w:rFonts w:cstheme="minorHAnsi"/>
                <w:color w:val="FFFFFF" w:themeColor="background2"/>
                <w:sz w:val="20"/>
                <w:szCs w:val="20"/>
              </w:rPr>
            </w:pPr>
            <w:r w:rsidRPr="000E2C43">
              <w:rPr>
                <w:rFonts w:cstheme="minorHAnsi"/>
                <w:color w:val="FFFFFF" w:themeColor="background2"/>
                <w:sz w:val="20"/>
                <w:szCs w:val="20"/>
              </w:rPr>
              <w:t>JSA 2012 Full-time employment</w:t>
            </w:r>
          </w:p>
        </w:tc>
        <w:tc>
          <w:tcPr>
            <w:tcW w:w="1254" w:type="dxa"/>
            <w:shd w:val="clear" w:color="auto" w:fill="auto"/>
            <w:noWrap/>
            <w:vAlign w:val="bottom"/>
            <w:hideMark/>
          </w:tcPr>
          <w:p w14:paraId="483E778E" w14:textId="77777777" w:rsidR="00144C6F" w:rsidRPr="000E2C43" w:rsidRDefault="00144C6F" w:rsidP="000E2C43">
            <w:pPr>
              <w:keepNext/>
              <w:spacing w:after="166"/>
              <w:rPr>
                <w:rFonts w:cstheme="minorHAnsi"/>
                <w:color w:val="FFFFFF" w:themeColor="background2"/>
                <w:sz w:val="20"/>
                <w:szCs w:val="20"/>
              </w:rPr>
            </w:pPr>
            <w:r w:rsidRPr="000E2C43">
              <w:rPr>
                <w:rFonts w:cstheme="minorHAnsi"/>
                <w:color w:val="FFFFFF" w:themeColor="background2"/>
                <w:sz w:val="20"/>
                <w:szCs w:val="20"/>
              </w:rPr>
              <w:t>JSA 2009 Part-time employment</w:t>
            </w:r>
          </w:p>
        </w:tc>
        <w:tc>
          <w:tcPr>
            <w:tcW w:w="1254" w:type="dxa"/>
            <w:shd w:val="clear" w:color="auto" w:fill="auto"/>
            <w:noWrap/>
            <w:vAlign w:val="bottom"/>
            <w:hideMark/>
          </w:tcPr>
          <w:p w14:paraId="1F7D5263" w14:textId="77777777" w:rsidR="00144C6F" w:rsidRPr="000E2C43" w:rsidRDefault="00144C6F" w:rsidP="000E2C43">
            <w:pPr>
              <w:keepNext/>
              <w:spacing w:after="166"/>
              <w:rPr>
                <w:rFonts w:cstheme="minorHAnsi"/>
                <w:color w:val="FFFFFF" w:themeColor="background2"/>
                <w:sz w:val="20"/>
                <w:szCs w:val="20"/>
              </w:rPr>
            </w:pPr>
            <w:r w:rsidRPr="000E2C43">
              <w:rPr>
                <w:rFonts w:cstheme="minorHAnsi"/>
                <w:color w:val="FFFFFF" w:themeColor="background2"/>
                <w:sz w:val="20"/>
                <w:szCs w:val="20"/>
              </w:rPr>
              <w:t>JSA 2012 Part-time employment</w:t>
            </w:r>
          </w:p>
        </w:tc>
      </w:tr>
      <w:bookmarkEnd w:id="175"/>
      <w:tr w:rsidR="0081003D" w:rsidRPr="0081003D" w14:paraId="74E8EBF2" w14:textId="77777777" w:rsidTr="000E2C43">
        <w:trPr>
          <w:trHeight w:val="288"/>
          <w:jc w:val="center"/>
        </w:trPr>
        <w:tc>
          <w:tcPr>
            <w:tcW w:w="2704" w:type="dxa"/>
            <w:shd w:val="clear" w:color="auto" w:fill="auto"/>
            <w:noWrap/>
            <w:vAlign w:val="bottom"/>
            <w:hideMark/>
          </w:tcPr>
          <w:p w14:paraId="79F62A1B" w14:textId="77777777" w:rsidR="00144C6F" w:rsidRPr="0081003D" w:rsidRDefault="00144C6F" w:rsidP="000E2C43">
            <w:pPr>
              <w:keepNext/>
              <w:spacing w:after="166"/>
              <w:rPr>
                <w:rFonts w:cstheme="minorHAnsi"/>
                <w:color w:val="000000" w:themeColor="text1"/>
                <w:sz w:val="20"/>
                <w:szCs w:val="20"/>
              </w:rPr>
            </w:pPr>
            <w:r w:rsidRPr="0081003D">
              <w:rPr>
                <w:rFonts w:cstheme="minorHAnsi"/>
                <w:color w:val="000000" w:themeColor="text1"/>
                <w:sz w:val="20"/>
                <w:szCs w:val="20"/>
              </w:rPr>
              <w:t>Youth (&lt; 25)</w:t>
            </w:r>
          </w:p>
        </w:tc>
        <w:tc>
          <w:tcPr>
            <w:tcW w:w="1254" w:type="dxa"/>
            <w:shd w:val="clear" w:color="auto" w:fill="auto"/>
            <w:noWrap/>
            <w:vAlign w:val="bottom"/>
            <w:hideMark/>
          </w:tcPr>
          <w:p w14:paraId="73BA368E"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35.8</w:t>
            </w:r>
          </w:p>
        </w:tc>
        <w:tc>
          <w:tcPr>
            <w:tcW w:w="1254" w:type="dxa"/>
            <w:shd w:val="clear" w:color="auto" w:fill="auto"/>
            <w:noWrap/>
            <w:vAlign w:val="bottom"/>
            <w:hideMark/>
          </w:tcPr>
          <w:p w14:paraId="49CBE364"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30.3</w:t>
            </w:r>
          </w:p>
        </w:tc>
        <w:tc>
          <w:tcPr>
            <w:tcW w:w="1254" w:type="dxa"/>
            <w:shd w:val="clear" w:color="auto" w:fill="auto"/>
            <w:noWrap/>
            <w:vAlign w:val="bottom"/>
            <w:hideMark/>
          </w:tcPr>
          <w:p w14:paraId="2DDF4C45"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26.9</w:t>
            </w:r>
          </w:p>
        </w:tc>
        <w:tc>
          <w:tcPr>
            <w:tcW w:w="1254" w:type="dxa"/>
            <w:shd w:val="clear" w:color="auto" w:fill="auto"/>
            <w:noWrap/>
            <w:vAlign w:val="bottom"/>
            <w:hideMark/>
          </w:tcPr>
          <w:p w14:paraId="6A7DBDD8"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26.0</w:t>
            </w:r>
          </w:p>
        </w:tc>
      </w:tr>
      <w:tr w:rsidR="0081003D" w:rsidRPr="0081003D" w14:paraId="152ECEE5" w14:textId="77777777" w:rsidTr="000E2C43">
        <w:trPr>
          <w:trHeight w:val="288"/>
          <w:jc w:val="center"/>
        </w:trPr>
        <w:tc>
          <w:tcPr>
            <w:tcW w:w="2704" w:type="dxa"/>
            <w:shd w:val="clear" w:color="auto" w:fill="auto"/>
            <w:noWrap/>
            <w:vAlign w:val="bottom"/>
            <w:hideMark/>
          </w:tcPr>
          <w:p w14:paraId="26B09302" w14:textId="09CD41AC" w:rsidR="00144C6F" w:rsidRPr="0081003D" w:rsidRDefault="00F9502A" w:rsidP="000E2C43">
            <w:pPr>
              <w:keepNext/>
              <w:spacing w:after="166"/>
              <w:rPr>
                <w:rFonts w:cstheme="minorHAnsi"/>
                <w:color w:val="000000" w:themeColor="text1"/>
                <w:sz w:val="20"/>
                <w:szCs w:val="20"/>
              </w:rPr>
            </w:pPr>
            <w:r w:rsidRPr="000E2C43">
              <w:rPr>
                <w:noProof/>
                <w:color w:val="FFFFFF" w:themeColor="background2"/>
                <w:lang w:eastAsia="en-AU"/>
              </w:rPr>
              <w:drawing>
                <wp:anchor distT="0" distB="0" distL="114300" distR="114300" simplePos="0" relativeHeight="251658241" behindDoc="0" locked="0" layoutInCell="1" allowOverlap="1" wp14:anchorId="6AA96B7B" wp14:editId="5523C8A3">
                  <wp:simplePos x="0" y="0"/>
                  <wp:positionH relativeFrom="column">
                    <wp:posOffset>-518795</wp:posOffset>
                  </wp:positionH>
                  <wp:positionV relativeFrom="paragraph">
                    <wp:posOffset>-879475</wp:posOffset>
                  </wp:positionV>
                  <wp:extent cx="5434330" cy="3421380"/>
                  <wp:effectExtent l="0" t="0" r="0" b="7620"/>
                  <wp:wrapNone/>
                  <wp:docPr id="237" name="Picture 237" descr="A chart showing the employment outcome rates for new entrant job seekers in JSA 2009 and JSA 2012 by cohort demographics and employment type. Compared with JSA 2009, JSA 2012 has slightly lower employment outcome rates for both full time and part time employed job seekers for all cohorts. The highest differential is for the single parent and disability (based on ESAt/JCA) cohorts. The lower differential is for the mature age (50+) and Indigenous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34330" cy="342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C6F" w:rsidRPr="0081003D">
              <w:rPr>
                <w:rFonts w:cstheme="minorHAnsi"/>
                <w:color w:val="000000" w:themeColor="text1"/>
                <w:sz w:val="20"/>
                <w:szCs w:val="20"/>
              </w:rPr>
              <w:t>Mature age (50+)</w:t>
            </w:r>
          </w:p>
        </w:tc>
        <w:tc>
          <w:tcPr>
            <w:tcW w:w="1254" w:type="dxa"/>
            <w:shd w:val="clear" w:color="auto" w:fill="auto"/>
            <w:noWrap/>
            <w:vAlign w:val="bottom"/>
            <w:hideMark/>
          </w:tcPr>
          <w:p w14:paraId="5F048360"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27.4</w:t>
            </w:r>
          </w:p>
        </w:tc>
        <w:tc>
          <w:tcPr>
            <w:tcW w:w="1254" w:type="dxa"/>
            <w:shd w:val="clear" w:color="auto" w:fill="auto"/>
            <w:noWrap/>
            <w:vAlign w:val="bottom"/>
            <w:hideMark/>
          </w:tcPr>
          <w:p w14:paraId="4B30D6F0"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24.4</w:t>
            </w:r>
          </w:p>
        </w:tc>
        <w:tc>
          <w:tcPr>
            <w:tcW w:w="1254" w:type="dxa"/>
            <w:shd w:val="clear" w:color="auto" w:fill="auto"/>
            <w:noWrap/>
            <w:vAlign w:val="bottom"/>
            <w:hideMark/>
          </w:tcPr>
          <w:p w14:paraId="2BB27F98"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26.8</w:t>
            </w:r>
          </w:p>
        </w:tc>
        <w:tc>
          <w:tcPr>
            <w:tcW w:w="1254" w:type="dxa"/>
            <w:shd w:val="clear" w:color="auto" w:fill="auto"/>
            <w:noWrap/>
            <w:vAlign w:val="bottom"/>
            <w:hideMark/>
          </w:tcPr>
          <w:p w14:paraId="79D5ABDA"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23.1</w:t>
            </w:r>
          </w:p>
        </w:tc>
      </w:tr>
      <w:tr w:rsidR="0081003D" w:rsidRPr="0081003D" w14:paraId="5218F861" w14:textId="77777777" w:rsidTr="000E2C43">
        <w:trPr>
          <w:trHeight w:val="288"/>
          <w:jc w:val="center"/>
        </w:trPr>
        <w:tc>
          <w:tcPr>
            <w:tcW w:w="2704" w:type="dxa"/>
            <w:shd w:val="clear" w:color="auto" w:fill="auto"/>
            <w:noWrap/>
            <w:vAlign w:val="bottom"/>
            <w:hideMark/>
          </w:tcPr>
          <w:p w14:paraId="3FC3F50B" w14:textId="77777777" w:rsidR="00144C6F" w:rsidRPr="0081003D" w:rsidRDefault="00144C6F" w:rsidP="000E2C43">
            <w:pPr>
              <w:keepNext/>
              <w:spacing w:after="166"/>
              <w:rPr>
                <w:rFonts w:cstheme="minorHAnsi"/>
                <w:color w:val="000000" w:themeColor="text1"/>
                <w:sz w:val="20"/>
                <w:szCs w:val="20"/>
              </w:rPr>
            </w:pPr>
            <w:r w:rsidRPr="0081003D">
              <w:rPr>
                <w:rFonts w:cstheme="minorHAnsi"/>
                <w:color w:val="000000" w:themeColor="text1"/>
                <w:sz w:val="20"/>
                <w:szCs w:val="20"/>
              </w:rPr>
              <w:t>Single parent</w:t>
            </w:r>
          </w:p>
        </w:tc>
        <w:tc>
          <w:tcPr>
            <w:tcW w:w="1254" w:type="dxa"/>
            <w:shd w:val="clear" w:color="auto" w:fill="auto"/>
            <w:noWrap/>
            <w:vAlign w:val="bottom"/>
            <w:hideMark/>
          </w:tcPr>
          <w:p w14:paraId="5B9C7645"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22.6</w:t>
            </w:r>
          </w:p>
        </w:tc>
        <w:tc>
          <w:tcPr>
            <w:tcW w:w="1254" w:type="dxa"/>
            <w:shd w:val="clear" w:color="auto" w:fill="auto"/>
            <w:noWrap/>
            <w:vAlign w:val="bottom"/>
            <w:hideMark/>
          </w:tcPr>
          <w:p w14:paraId="1C7215A7"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11.7</w:t>
            </w:r>
          </w:p>
        </w:tc>
        <w:tc>
          <w:tcPr>
            <w:tcW w:w="1254" w:type="dxa"/>
            <w:shd w:val="clear" w:color="auto" w:fill="auto"/>
            <w:noWrap/>
            <w:vAlign w:val="bottom"/>
            <w:hideMark/>
          </w:tcPr>
          <w:p w14:paraId="5FB56050"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39.6</w:t>
            </w:r>
          </w:p>
        </w:tc>
        <w:tc>
          <w:tcPr>
            <w:tcW w:w="1254" w:type="dxa"/>
            <w:shd w:val="clear" w:color="auto" w:fill="auto"/>
            <w:noWrap/>
            <w:vAlign w:val="bottom"/>
            <w:hideMark/>
          </w:tcPr>
          <w:p w14:paraId="4C3CC330"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33.3</w:t>
            </w:r>
          </w:p>
        </w:tc>
      </w:tr>
      <w:tr w:rsidR="0081003D" w:rsidRPr="0081003D" w14:paraId="4E2DBFA3" w14:textId="77777777" w:rsidTr="000E2C43">
        <w:trPr>
          <w:trHeight w:val="288"/>
          <w:jc w:val="center"/>
        </w:trPr>
        <w:tc>
          <w:tcPr>
            <w:tcW w:w="2704" w:type="dxa"/>
            <w:shd w:val="clear" w:color="auto" w:fill="auto"/>
            <w:noWrap/>
            <w:vAlign w:val="bottom"/>
            <w:hideMark/>
          </w:tcPr>
          <w:p w14:paraId="22FD8951" w14:textId="77777777" w:rsidR="00144C6F" w:rsidRPr="0081003D" w:rsidRDefault="00144C6F" w:rsidP="000E2C43">
            <w:pPr>
              <w:keepNext/>
              <w:spacing w:after="166"/>
              <w:rPr>
                <w:rFonts w:cstheme="minorHAnsi"/>
                <w:color w:val="000000" w:themeColor="text1"/>
                <w:sz w:val="20"/>
                <w:szCs w:val="20"/>
              </w:rPr>
            </w:pPr>
            <w:r w:rsidRPr="0081003D">
              <w:rPr>
                <w:rFonts w:cstheme="minorHAnsi"/>
                <w:color w:val="000000" w:themeColor="text1"/>
                <w:sz w:val="20"/>
                <w:szCs w:val="20"/>
              </w:rPr>
              <w:t>Indigenous</w:t>
            </w:r>
          </w:p>
        </w:tc>
        <w:tc>
          <w:tcPr>
            <w:tcW w:w="1254" w:type="dxa"/>
            <w:shd w:val="clear" w:color="auto" w:fill="auto"/>
            <w:noWrap/>
            <w:vAlign w:val="bottom"/>
            <w:hideMark/>
          </w:tcPr>
          <w:p w14:paraId="7389A75D"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25.4</w:t>
            </w:r>
          </w:p>
        </w:tc>
        <w:tc>
          <w:tcPr>
            <w:tcW w:w="1254" w:type="dxa"/>
            <w:shd w:val="clear" w:color="auto" w:fill="auto"/>
            <w:noWrap/>
            <w:vAlign w:val="bottom"/>
            <w:hideMark/>
          </w:tcPr>
          <w:p w14:paraId="02E68ACF"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24.1</w:t>
            </w:r>
          </w:p>
        </w:tc>
        <w:tc>
          <w:tcPr>
            <w:tcW w:w="1254" w:type="dxa"/>
            <w:shd w:val="clear" w:color="auto" w:fill="auto"/>
            <w:noWrap/>
            <w:vAlign w:val="bottom"/>
            <w:hideMark/>
          </w:tcPr>
          <w:p w14:paraId="6167C997"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15.9</w:t>
            </w:r>
          </w:p>
        </w:tc>
        <w:tc>
          <w:tcPr>
            <w:tcW w:w="1254" w:type="dxa"/>
            <w:shd w:val="clear" w:color="auto" w:fill="auto"/>
            <w:noWrap/>
            <w:vAlign w:val="bottom"/>
            <w:hideMark/>
          </w:tcPr>
          <w:p w14:paraId="65AD8E02"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13.1</w:t>
            </w:r>
          </w:p>
        </w:tc>
      </w:tr>
      <w:tr w:rsidR="0081003D" w:rsidRPr="0081003D" w14:paraId="312808BD" w14:textId="77777777" w:rsidTr="000E2C43">
        <w:trPr>
          <w:trHeight w:val="288"/>
          <w:jc w:val="center"/>
        </w:trPr>
        <w:tc>
          <w:tcPr>
            <w:tcW w:w="2704" w:type="dxa"/>
            <w:shd w:val="clear" w:color="auto" w:fill="auto"/>
            <w:noWrap/>
            <w:vAlign w:val="bottom"/>
            <w:hideMark/>
          </w:tcPr>
          <w:p w14:paraId="4C1DB30B" w14:textId="77777777" w:rsidR="00144C6F" w:rsidRPr="0081003D" w:rsidRDefault="00144C6F" w:rsidP="000E2C43">
            <w:pPr>
              <w:keepNext/>
              <w:spacing w:after="166"/>
              <w:rPr>
                <w:rFonts w:cstheme="minorHAnsi"/>
                <w:color w:val="000000" w:themeColor="text1"/>
                <w:sz w:val="20"/>
                <w:szCs w:val="20"/>
              </w:rPr>
            </w:pPr>
            <w:r w:rsidRPr="0081003D">
              <w:rPr>
                <w:rFonts w:cstheme="minorHAnsi"/>
                <w:color w:val="000000" w:themeColor="text1"/>
                <w:sz w:val="20"/>
                <w:szCs w:val="20"/>
              </w:rPr>
              <w:t>Disability (based on ESAt/JCA)</w:t>
            </w:r>
          </w:p>
        </w:tc>
        <w:tc>
          <w:tcPr>
            <w:tcW w:w="1254" w:type="dxa"/>
            <w:shd w:val="clear" w:color="auto" w:fill="auto"/>
            <w:noWrap/>
            <w:vAlign w:val="bottom"/>
            <w:hideMark/>
          </w:tcPr>
          <w:p w14:paraId="2A6A9D3E"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16.1</w:t>
            </w:r>
          </w:p>
        </w:tc>
        <w:tc>
          <w:tcPr>
            <w:tcW w:w="1254" w:type="dxa"/>
            <w:shd w:val="clear" w:color="auto" w:fill="auto"/>
            <w:noWrap/>
            <w:vAlign w:val="bottom"/>
            <w:hideMark/>
          </w:tcPr>
          <w:p w14:paraId="571F0ABF"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9.5</w:t>
            </w:r>
          </w:p>
        </w:tc>
        <w:tc>
          <w:tcPr>
            <w:tcW w:w="1254" w:type="dxa"/>
            <w:shd w:val="clear" w:color="auto" w:fill="auto"/>
            <w:noWrap/>
            <w:vAlign w:val="bottom"/>
            <w:hideMark/>
          </w:tcPr>
          <w:p w14:paraId="5CEC1634"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24.3</w:t>
            </w:r>
          </w:p>
        </w:tc>
        <w:tc>
          <w:tcPr>
            <w:tcW w:w="1254" w:type="dxa"/>
            <w:shd w:val="clear" w:color="auto" w:fill="auto"/>
            <w:noWrap/>
            <w:vAlign w:val="bottom"/>
            <w:hideMark/>
          </w:tcPr>
          <w:p w14:paraId="681CBA68" w14:textId="77777777" w:rsidR="00144C6F" w:rsidRPr="0081003D" w:rsidRDefault="00144C6F" w:rsidP="000E2C43">
            <w:pPr>
              <w:keepNext/>
              <w:spacing w:after="166"/>
              <w:jc w:val="right"/>
              <w:rPr>
                <w:rFonts w:cstheme="minorHAnsi"/>
                <w:color w:val="000000" w:themeColor="text1"/>
                <w:sz w:val="20"/>
                <w:szCs w:val="20"/>
              </w:rPr>
            </w:pPr>
            <w:r w:rsidRPr="0081003D">
              <w:rPr>
                <w:rFonts w:cstheme="minorHAnsi"/>
                <w:color w:val="000000" w:themeColor="text1"/>
                <w:sz w:val="20"/>
                <w:szCs w:val="20"/>
              </w:rPr>
              <w:t>15.7</w:t>
            </w:r>
          </w:p>
        </w:tc>
      </w:tr>
    </w:tbl>
    <w:p w14:paraId="67E41625" w14:textId="77777777" w:rsidR="00B97A51" w:rsidRDefault="00B97A51" w:rsidP="000E2C43">
      <w:pPr>
        <w:pStyle w:val="Notes"/>
        <w:spacing w:before="2200"/>
        <w:rPr>
          <w:b/>
        </w:rPr>
      </w:pPr>
      <w:r>
        <w:rPr>
          <w:b/>
        </w:rPr>
        <w:t>Note:</w:t>
      </w:r>
      <w:r>
        <w:rPr>
          <w:b/>
        </w:rPr>
        <w:tab/>
      </w:r>
      <w:r>
        <w:rPr>
          <w:rStyle w:val="SourceandnotetextChar"/>
        </w:rPr>
        <w:t xml:space="preserve">Refer </w:t>
      </w:r>
      <w:hyperlink w:anchor="Title_A23" w:history="1">
        <w:r w:rsidRPr="004A74AA">
          <w:rPr>
            <w:rStyle w:val="Hyperlink"/>
          </w:rPr>
          <w:t>Appendix A</w:t>
        </w:r>
        <w:r w:rsidR="000748CA" w:rsidRPr="004A74AA">
          <w:rPr>
            <w:rStyle w:val="Hyperlink"/>
          </w:rPr>
          <w:t>2</w:t>
        </w:r>
        <w:r w:rsidRPr="004A74AA">
          <w:rPr>
            <w:rStyle w:val="Hyperlink"/>
          </w:rPr>
          <w:t>, Table A2.3 to Table A2.5</w:t>
        </w:r>
      </w:hyperlink>
      <w:r>
        <w:rPr>
          <w:rStyle w:val="SourceandnotetextChar"/>
        </w:rPr>
        <w:t>.</w:t>
      </w:r>
      <w:bookmarkStart w:id="176" w:name="Place_A23b"/>
      <w:bookmarkEnd w:id="176"/>
    </w:p>
    <w:p w14:paraId="34328154" w14:textId="77777777" w:rsidR="00F774E4" w:rsidRPr="001B7264" w:rsidRDefault="00F774E4" w:rsidP="00F774E4">
      <w:pPr>
        <w:pStyle w:val="Source"/>
      </w:pPr>
      <w:r w:rsidRPr="001B7264">
        <w:rPr>
          <w:b/>
        </w:rPr>
        <w:t>Source:</w:t>
      </w:r>
      <w:r w:rsidRPr="001B7264">
        <w:t xml:space="preserve"> </w:t>
      </w:r>
      <w:r w:rsidR="00E80C53">
        <w:tab/>
      </w:r>
      <w:r>
        <w:t xml:space="preserve">Department of Employment </w:t>
      </w:r>
      <w:r w:rsidRPr="004D4671">
        <w:t>Post Programme Monitoring survey</w:t>
      </w:r>
      <w:r w:rsidRPr="001B7264">
        <w:t>.</w:t>
      </w:r>
    </w:p>
    <w:p w14:paraId="10983EF9" w14:textId="77777777" w:rsidR="00732012" w:rsidRDefault="001B7264" w:rsidP="000F4368">
      <w:pPr>
        <w:spacing w:after="0"/>
      </w:pPr>
      <w:r w:rsidRPr="001B7264">
        <w:rPr>
          <w:bCs/>
        </w:rPr>
        <w:t xml:space="preserve">Specific groups </w:t>
      </w:r>
      <w:r w:rsidR="003013B7">
        <w:rPr>
          <w:bCs/>
        </w:rPr>
        <w:t xml:space="preserve">of job seekers who </w:t>
      </w:r>
      <w:r w:rsidRPr="001B7264">
        <w:rPr>
          <w:bCs/>
        </w:rPr>
        <w:t xml:space="preserve">were less likely to achieve employment outcomes under JSA 2012 </w:t>
      </w:r>
      <w:r w:rsidR="005D7B0F">
        <w:rPr>
          <w:bCs/>
        </w:rPr>
        <w:t xml:space="preserve">compared with JSA 2009 </w:t>
      </w:r>
      <w:r w:rsidRPr="001B7264">
        <w:rPr>
          <w:bCs/>
        </w:rPr>
        <w:t>were:</w:t>
      </w:r>
    </w:p>
    <w:p w14:paraId="3BB48690" w14:textId="77777777" w:rsidR="00732012" w:rsidRDefault="00732012" w:rsidP="00DB48FA">
      <w:pPr>
        <w:pStyle w:val="ListParagraph"/>
      </w:pPr>
      <w:r>
        <w:t>youth</w:t>
      </w:r>
    </w:p>
    <w:p w14:paraId="179B0D52" w14:textId="77777777" w:rsidR="00732012" w:rsidRPr="007B55E7" w:rsidRDefault="00732012" w:rsidP="00DB48FA">
      <w:pPr>
        <w:pStyle w:val="ListParagraph"/>
      </w:pPr>
      <w:r>
        <w:t>mature age</w:t>
      </w:r>
    </w:p>
    <w:p w14:paraId="325AAF73" w14:textId="77777777" w:rsidR="001B7264" w:rsidRDefault="001B7264" w:rsidP="00DB48FA">
      <w:pPr>
        <w:pStyle w:val="ListParagraph"/>
      </w:pPr>
      <w:r w:rsidRPr="007B55E7">
        <w:t>single parents</w:t>
      </w:r>
    </w:p>
    <w:p w14:paraId="5C098C24" w14:textId="786DFA01" w:rsidR="00732012" w:rsidRPr="007B55E7" w:rsidRDefault="00A71F69" w:rsidP="00DB48FA">
      <w:pPr>
        <w:pStyle w:val="ListParagraph"/>
      </w:pPr>
      <w:r>
        <w:t>I</w:t>
      </w:r>
      <w:r w:rsidR="00732012">
        <w:t xml:space="preserve">ndigenous, and </w:t>
      </w:r>
    </w:p>
    <w:p w14:paraId="75523836" w14:textId="77777777" w:rsidR="001B7264" w:rsidRPr="001B7264" w:rsidRDefault="001B7264" w:rsidP="00DB48FA">
      <w:pPr>
        <w:pStyle w:val="ListParagraph"/>
      </w:pPr>
      <w:r w:rsidRPr="007B55E7">
        <w:t>job seekers</w:t>
      </w:r>
      <w:r w:rsidRPr="001B7264">
        <w:t xml:space="preserve"> with disability with employment restrictions</w:t>
      </w:r>
      <w:r w:rsidR="00732012">
        <w:t xml:space="preserve"> based on ESAt/JCA</w:t>
      </w:r>
      <w:r w:rsidRPr="001B7264">
        <w:t>.</w:t>
      </w:r>
    </w:p>
    <w:p w14:paraId="6E436879" w14:textId="77777777" w:rsidR="000A2B66" w:rsidRDefault="000A2B66" w:rsidP="000F4368">
      <w:pPr>
        <w:pStyle w:val="Heading5"/>
      </w:pPr>
      <w:r>
        <w:t>Education outcomes (unregressed)</w:t>
      </w:r>
    </w:p>
    <w:p w14:paraId="2B0BE9B6" w14:textId="77777777" w:rsidR="001B7264" w:rsidRDefault="00D24CD8" w:rsidP="003F2E9C">
      <w:r>
        <w:t>For new entrant job seekers e</w:t>
      </w:r>
      <w:r w:rsidR="001B7264" w:rsidRPr="001B7264">
        <w:t>ducation outcomes for Stream 4 were</w:t>
      </w:r>
      <w:r w:rsidR="003013B7">
        <w:t xml:space="preserve"> </w:t>
      </w:r>
      <w:r w:rsidR="001B7264" w:rsidRPr="001B7264">
        <w:t>noticeably higher under JSA 2012</w:t>
      </w:r>
      <w:r>
        <w:t>, but lower for the other streams</w:t>
      </w:r>
      <w:r w:rsidR="000E7530">
        <w:t xml:space="preserve"> (Figure 3.</w:t>
      </w:r>
      <w:r w:rsidR="000748CA">
        <w:t>4</w:t>
      </w:r>
      <w:r w:rsidR="000E7530">
        <w:t>)</w:t>
      </w:r>
      <w:r w:rsidR="001B7264" w:rsidRPr="001B7264">
        <w:t>.</w:t>
      </w:r>
    </w:p>
    <w:p w14:paraId="0311B96C" w14:textId="77777777" w:rsidR="00E80C53" w:rsidRDefault="00E80C53" w:rsidP="003F2E9C">
      <w:r>
        <w:t>This result potentially reflects</w:t>
      </w:r>
      <w:r w:rsidRPr="00E3774F">
        <w:t xml:space="preserve"> </w:t>
      </w:r>
      <w:r>
        <w:t xml:space="preserve">the difficulty in finding employment immediately for Stream 4 job seekers, transitioning them through education and training in the first instance. </w:t>
      </w:r>
      <w:r w:rsidRPr="00E3774F">
        <w:t xml:space="preserve">It could be expected that higher education outcomes would lead </w:t>
      </w:r>
      <w:r w:rsidRPr="001B606A">
        <w:t>in the longer</w:t>
      </w:r>
      <w:r>
        <w:t>-</w:t>
      </w:r>
      <w:r w:rsidRPr="001B606A">
        <w:t>term to a more responsive labour force</w:t>
      </w:r>
      <w:r>
        <w:t>.</w:t>
      </w:r>
      <w:r>
        <w:rPr>
          <w:rStyle w:val="FootnoteReference"/>
        </w:rPr>
        <w:footnoteReference w:id="19"/>
      </w:r>
      <w:r>
        <w:t xml:space="preserve"> </w:t>
      </w:r>
    </w:p>
    <w:p w14:paraId="5A031097" w14:textId="77777777" w:rsidR="000E7530" w:rsidRDefault="000E7530" w:rsidP="00E673A8">
      <w:pPr>
        <w:pStyle w:val="Figureheadingforcontents"/>
      </w:pPr>
      <w:bookmarkStart w:id="177" w:name="_Toc22544028"/>
      <w:r>
        <w:t>Figure 3.</w:t>
      </w:r>
      <w:r w:rsidR="007D1AA8">
        <w:t>4</w:t>
      </w:r>
      <w:r>
        <w:t>: Education outcomes</w:t>
      </w:r>
      <w:r w:rsidR="00B07CB9">
        <w:t>,</w:t>
      </w:r>
      <w:r>
        <w:t xml:space="preserve"> Streams 1 to 4, new entrants (per cent)</w:t>
      </w:r>
      <w:bookmarkEnd w:id="177"/>
    </w:p>
    <w:tbl>
      <w:tblPr>
        <w:tblW w:w="5827" w:type="dxa"/>
        <w:jc w:val="center"/>
        <w:tblLook w:val="04A0" w:firstRow="1" w:lastRow="0" w:firstColumn="1" w:lastColumn="0" w:noHBand="0" w:noVBand="1"/>
      </w:tblPr>
      <w:tblGrid>
        <w:gridCol w:w="3160"/>
        <w:gridCol w:w="1391"/>
        <w:gridCol w:w="1276"/>
      </w:tblGrid>
      <w:tr w:rsidR="000E2C43" w:rsidRPr="000E2C43" w14:paraId="05E5F4AB" w14:textId="77777777" w:rsidTr="00946ACE">
        <w:trPr>
          <w:trHeight w:val="288"/>
          <w:tblHeader/>
          <w:jc w:val="center"/>
        </w:trPr>
        <w:tc>
          <w:tcPr>
            <w:tcW w:w="3160" w:type="dxa"/>
            <w:shd w:val="clear" w:color="auto" w:fill="auto"/>
            <w:noWrap/>
            <w:vAlign w:val="bottom"/>
            <w:hideMark/>
          </w:tcPr>
          <w:p w14:paraId="42A05F14" w14:textId="77777777" w:rsidR="00E673A8" w:rsidRPr="000E2C43" w:rsidRDefault="000E2C43" w:rsidP="00E673A8">
            <w:pPr>
              <w:keepNext/>
              <w:spacing w:after="166"/>
              <w:rPr>
                <w:rFonts w:cstheme="minorHAnsi"/>
                <w:color w:val="FFFFFF" w:themeColor="background2"/>
              </w:rPr>
            </w:pPr>
            <w:bookmarkStart w:id="178" w:name="Title_fig34" w:colFirst="0" w:colLast="0"/>
            <w:r w:rsidRPr="008F7BB6">
              <w:rPr>
                <w:noProof/>
                <w:lang w:eastAsia="en-AU"/>
              </w:rPr>
              <w:drawing>
                <wp:anchor distT="0" distB="0" distL="114300" distR="114300" simplePos="0" relativeHeight="251658242" behindDoc="0" locked="0" layoutInCell="1" allowOverlap="1" wp14:anchorId="42B64B67" wp14:editId="1B64C6E8">
                  <wp:simplePos x="0" y="0"/>
                  <wp:positionH relativeFrom="column">
                    <wp:posOffset>-1084580</wp:posOffset>
                  </wp:positionH>
                  <wp:positionV relativeFrom="paragraph">
                    <wp:posOffset>26035</wp:posOffset>
                  </wp:positionV>
                  <wp:extent cx="5330825" cy="3519170"/>
                  <wp:effectExtent l="0" t="0" r="3175" b="5080"/>
                  <wp:wrapNone/>
                  <wp:docPr id="238" name="Picture 238" descr="A chart showing the education outcome rates for new entrant job seekers in JSA 2009 and JSA 2012 by stream. Compared with JSA 2009, education outcome rates were slightly lower for JSA 2012 streams 1 through 3 (between 1 and 8 percentage points) and significantly higher for JSA 2012 stream 4 (around 20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0825" cy="35191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91" w:type="dxa"/>
            <w:shd w:val="clear" w:color="auto" w:fill="auto"/>
            <w:noWrap/>
            <w:vAlign w:val="bottom"/>
            <w:hideMark/>
          </w:tcPr>
          <w:p w14:paraId="1D6C542A"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JSA 2009</w:t>
            </w:r>
          </w:p>
        </w:tc>
        <w:tc>
          <w:tcPr>
            <w:tcW w:w="1276" w:type="dxa"/>
            <w:shd w:val="clear" w:color="auto" w:fill="auto"/>
            <w:noWrap/>
            <w:vAlign w:val="bottom"/>
            <w:hideMark/>
          </w:tcPr>
          <w:p w14:paraId="5FE59730"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JSA 2012</w:t>
            </w:r>
          </w:p>
        </w:tc>
      </w:tr>
      <w:bookmarkEnd w:id="178"/>
      <w:tr w:rsidR="000E2C43" w:rsidRPr="000E2C43" w14:paraId="7DAD6682" w14:textId="77777777" w:rsidTr="00946ACE">
        <w:trPr>
          <w:trHeight w:val="288"/>
          <w:jc w:val="center"/>
        </w:trPr>
        <w:tc>
          <w:tcPr>
            <w:tcW w:w="3160" w:type="dxa"/>
            <w:shd w:val="clear" w:color="auto" w:fill="auto"/>
            <w:noWrap/>
            <w:vAlign w:val="bottom"/>
            <w:hideMark/>
          </w:tcPr>
          <w:p w14:paraId="61E7EAA2"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Stream 1</w:t>
            </w:r>
          </w:p>
        </w:tc>
        <w:tc>
          <w:tcPr>
            <w:tcW w:w="1391" w:type="dxa"/>
            <w:shd w:val="clear" w:color="auto" w:fill="auto"/>
            <w:noWrap/>
            <w:vAlign w:val="bottom"/>
            <w:hideMark/>
          </w:tcPr>
          <w:p w14:paraId="192130A1"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21.9</w:t>
            </w:r>
          </w:p>
        </w:tc>
        <w:tc>
          <w:tcPr>
            <w:tcW w:w="1276" w:type="dxa"/>
            <w:shd w:val="clear" w:color="auto" w:fill="auto"/>
            <w:noWrap/>
            <w:vAlign w:val="bottom"/>
            <w:hideMark/>
          </w:tcPr>
          <w:p w14:paraId="295359EB"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21.6</w:t>
            </w:r>
          </w:p>
        </w:tc>
      </w:tr>
      <w:tr w:rsidR="000E2C43" w:rsidRPr="000E2C43" w14:paraId="67D4BA68" w14:textId="77777777" w:rsidTr="00946ACE">
        <w:trPr>
          <w:trHeight w:val="288"/>
          <w:jc w:val="center"/>
        </w:trPr>
        <w:tc>
          <w:tcPr>
            <w:tcW w:w="3160" w:type="dxa"/>
            <w:shd w:val="clear" w:color="auto" w:fill="auto"/>
            <w:noWrap/>
            <w:vAlign w:val="bottom"/>
            <w:hideMark/>
          </w:tcPr>
          <w:p w14:paraId="004276C7"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Stream 2</w:t>
            </w:r>
          </w:p>
        </w:tc>
        <w:tc>
          <w:tcPr>
            <w:tcW w:w="1391" w:type="dxa"/>
            <w:shd w:val="clear" w:color="auto" w:fill="auto"/>
            <w:noWrap/>
            <w:vAlign w:val="bottom"/>
            <w:hideMark/>
          </w:tcPr>
          <w:p w14:paraId="10D352FD"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29.1</w:t>
            </w:r>
          </w:p>
        </w:tc>
        <w:tc>
          <w:tcPr>
            <w:tcW w:w="1276" w:type="dxa"/>
            <w:shd w:val="clear" w:color="auto" w:fill="auto"/>
            <w:noWrap/>
            <w:vAlign w:val="bottom"/>
            <w:hideMark/>
          </w:tcPr>
          <w:p w14:paraId="16236B36"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28.3</w:t>
            </w:r>
          </w:p>
        </w:tc>
      </w:tr>
      <w:tr w:rsidR="000E2C43" w:rsidRPr="000E2C43" w14:paraId="03439F5E" w14:textId="77777777" w:rsidTr="00946ACE">
        <w:trPr>
          <w:trHeight w:val="288"/>
          <w:jc w:val="center"/>
        </w:trPr>
        <w:tc>
          <w:tcPr>
            <w:tcW w:w="3160" w:type="dxa"/>
            <w:shd w:val="clear" w:color="auto" w:fill="auto"/>
            <w:noWrap/>
            <w:vAlign w:val="bottom"/>
            <w:hideMark/>
          </w:tcPr>
          <w:p w14:paraId="6700183A"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Stream 3</w:t>
            </w:r>
          </w:p>
        </w:tc>
        <w:tc>
          <w:tcPr>
            <w:tcW w:w="1391" w:type="dxa"/>
            <w:shd w:val="clear" w:color="auto" w:fill="auto"/>
            <w:noWrap/>
            <w:vAlign w:val="bottom"/>
            <w:hideMark/>
          </w:tcPr>
          <w:p w14:paraId="09AE636F"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33.6</w:t>
            </w:r>
          </w:p>
        </w:tc>
        <w:tc>
          <w:tcPr>
            <w:tcW w:w="1276" w:type="dxa"/>
            <w:shd w:val="clear" w:color="auto" w:fill="auto"/>
            <w:noWrap/>
            <w:vAlign w:val="bottom"/>
            <w:hideMark/>
          </w:tcPr>
          <w:p w14:paraId="02293E31"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29.5</w:t>
            </w:r>
          </w:p>
        </w:tc>
      </w:tr>
      <w:tr w:rsidR="000E2C43" w:rsidRPr="000E2C43" w14:paraId="03FBAFE1" w14:textId="77777777" w:rsidTr="00946ACE">
        <w:trPr>
          <w:trHeight w:val="288"/>
          <w:jc w:val="center"/>
        </w:trPr>
        <w:tc>
          <w:tcPr>
            <w:tcW w:w="3160" w:type="dxa"/>
            <w:shd w:val="clear" w:color="auto" w:fill="auto"/>
            <w:noWrap/>
            <w:vAlign w:val="bottom"/>
            <w:hideMark/>
          </w:tcPr>
          <w:p w14:paraId="54458A27" w14:textId="77777777" w:rsidR="00E673A8" w:rsidRPr="000E2C43" w:rsidRDefault="00E673A8" w:rsidP="00E673A8">
            <w:pPr>
              <w:keepNext/>
              <w:spacing w:after="166"/>
              <w:rPr>
                <w:rFonts w:cstheme="minorHAnsi"/>
                <w:color w:val="FFFFFF" w:themeColor="background2"/>
              </w:rPr>
            </w:pPr>
            <w:r w:rsidRPr="000E2C43">
              <w:rPr>
                <w:rFonts w:cstheme="minorHAnsi"/>
                <w:color w:val="FFFFFF" w:themeColor="background2"/>
              </w:rPr>
              <w:t>Stream 4</w:t>
            </w:r>
          </w:p>
        </w:tc>
        <w:tc>
          <w:tcPr>
            <w:tcW w:w="1391" w:type="dxa"/>
            <w:shd w:val="clear" w:color="auto" w:fill="auto"/>
            <w:noWrap/>
            <w:vAlign w:val="bottom"/>
            <w:hideMark/>
          </w:tcPr>
          <w:p w14:paraId="0AD1E311"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31.5</w:t>
            </w:r>
          </w:p>
        </w:tc>
        <w:tc>
          <w:tcPr>
            <w:tcW w:w="1276" w:type="dxa"/>
            <w:shd w:val="clear" w:color="auto" w:fill="auto"/>
            <w:noWrap/>
            <w:vAlign w:val="bottom"/>
            <w:hideMark/>
          </w:tcPr>
          <w:p w14:paraId="3100BA66" w14:textId="77777777" w:rsidR="00E673A8" w:rsidRPr="000E2C43" w:rsidRDefault="00E673A8" w:rsidP="00E673A8">
            <w:pPr>
              <w:keepNext/>
              <w:spacing w:after="166"/>
              <w:jc w:val="right"/>
              <w:rPr>
                <w:rFonts w:cstheme="minorHAnsi"/>
                <w:color w:val="FFFFFF" w:themeColor="background2"/>
              </w:rPr>
            </w:pPr>
            <w:r w:rsidRPr="000E2C43">
              <w:rPr>
                <w:rFonts w:cstheme="minorHAnsi"/>
                <w:color w:val="FFFFFF" w:themeColor="background2"/>
              </w:rPr>
              <w:t>42.2</w:t>
            </w:r>
          </w:p>
        </w:tc>
      </w:tr>
    </w:tbl>
    <w:p w14:paraId="6996EF87" w14:textId="77777777" w:rsidR="00B97A51" w:rsidRDefault="00B97A51" w:rsidP="000E2C43">
      <w:pPr>
        <w:pStyle w:val="Notes"/>
        <w:spacing w:before="3200"/>
        <w:rPr>
          <w:b/>
        </w:rPr>
      </w:pPr>
      <w:r>
        <w:rPr>
          <w:b/>
        </w:rPr>
        <w:t>Note:</w:t>
      </w:r>
      <w:r>
        <w:rPr>
          <w:b/>
        </w:rPr>
        <w:tab/>
      </w:r>
      <w:r>
        <w:rPr>
          <w:rStyle w:val="SourceandnotetextChar"/>
        </w:rPr>
        <w:t xml:space="preserve">Refer </w:t>
      </w:r>
      <w:hyperlink w:anchor="Title_A23" w:history="1">
        <w:r w:rsidRPr="004A74AA">
          <w:rPr>
            <w:rStyle w:val="Hyperlink"/>
          </w:rPr>
          <w:t>Appendix A</w:t>
        </w:r>
        <w:r w:rsidR="000748CA" w:rsidRPr="004A74AA">
          <w:rPr>
            <w:rStyle w:val="Hyperlink"/>
          </w:rPr>
          <w:t>2</w:t>
        </w:r>
        <w:r w:rsidRPr="004A74AA">
          <w:rPr>
            <w:rStyle w:val="Hyperlink"/>
          </w:rPr>
          <w:t>, Table A2.3 to Table A2.5</w:t>
        </w:r>
      </w:hyperlink>
      <w:r>
        <w:rPr>
          <w:rStyle w:val="SourceandnotetextChar"/>
        </w:rPr>
        <w:t>.</w:t>
      </w:r>
      <w:bookmarkStart w:id="179" w:name="Place_A23c"/>
      <w:bookmarkEnd w:id="179"/>
    </w:p>
    <w:p w14:paraId="5E6FEF00" w14:textId="77777777" w:rsidR="00D24CD8" w:rsidRPr="009905A8" w:rsidRDefault="00F774E4" w:rsidP="00E80C53">
      <w:pPr>
        <w:pStyle w:val="Source"/>
      </w:pPr>
      <w:r w:rsidRPr="001B7264">
        <w:rPr>
          <w:b/>
        </w:rPr>
        <w:t>Source:</w:t>
      </w:r>
      <w:r w:rsidR="00E80C53">
        <w:tab/>
      </w:r>
      <w:r>
        <w:t xml:space="preserve">Department of Employment </w:t>
      </w:r>
      <w:r w:rsidRPr="004D4671">
        <w:t>Post Programme Monitoring survey</w:t>
      </w:r>
      <w:r w:rsidR="00E80C53">
        <w:t>.</w:t>
      </w:r>
    </w:p>
    <w:p w14:paraId="0730AE7E" w14:textId="77777777" w:rsidR="001B7264" w:rsidRPr="001B7264" w:rsidRDefault="000B40E8" w:rsidP="006845FC">
      <w:pPr>
        <w:pStyle w:val="Heading5"/>
      </w:pPr>
      <w:r w:rsidRPr="001B7264">
        <w:t xml:space="preserve">Reliance </w:t>
      </w:r>
      <w:r w:rsidR="001B7264" w:rsidRPr="001B7264">
        <w:t>on income support</w:t>
      </w:r>
      <w:r w:rsidR="00374A04">
        <w:t xml:space="preserve"> (regressed)</w:t>
      </w:r>
    </w:p>
    <w:p w14:paraId="71A2C2EE" w14:textId="77777777" w:rsidR="001B7264" w:rsidRPr="001B7264" w:rsidRDefault="001B7264" w:rsidP="001B7264">
      <w:r w:rsidRPr="001B7264">
        <w:t xml:space="preserve">Using the reliance on income support measure, JSA 2012 </w:t>
      </w:r>
      <w:r w:rsidR="000B40E8">
        <w:t xml:space="preserve">appears relatively </w:t>
      </w:r>
      <w:r w:rsidRPr="001B7264">
        <w:t>less effective at moving job seekers off incom</w:t>
      </w:r>
      <w:r w:rsidR="00604AF3">
        <w:t>e support than its predecessor (Table A2.</w:t>
      </w:r>
      <w:r w:rsidR="008E387A">
        <w:t>6</w:t>
      </w:r>
      <w:r w:rsidR="00604AF3">
        <w:t>).</w:t>
      </w:r>
    </w:p>
    <w:p w14:paraId="0C1D1648" w14:textId="77777777" w:rsidR="001B7264" w:rsidRPr="001B7264" w:rsidRDefault="001B7264" w:rsidP="001B7264">
      <w:r w:rsidRPr="001B7264">
        <w:t>Overall</w:t>
      </w:r>
      <w:r w:rsidR="002F0B81">
        <w:t>,</w:t>
      </w:r>
      <w:r w:rsidRPr="001B7264">
        <w:t xml:space="preserve"> job seekers </w:t>
      </w:r>
      <w:r w:rsidR="00374A04">
        <w:t>in</w:t>
      </w:r>
      <w:r w:rsidRPr="001B7264">
        <w:t xml:space="preserve"> JSA 2012 were more reliant on income support 12 months after registration than job seekers in JSA 2009, with fewer </w:t>
      </w:r>
      <w:r w:rsidR="000B40E8" w:rsidRPr="001B7264">
        <w:t xml:space="preserve">off </w:t>
      </w:r>
      <w:r w:rsidRPr="001B7264">
        <w:t xml:space="preserve">income support (6.5 percentage point </w:t>
      </w:r>
      <w:r w:rsidR="00BB3FAD">
        <w:t>a</w:t>
      </w:r>
      <w:r w:rsidR="006A12D5">
        <w:t xml:space="preserve">verage </w:t>
      </w:r>
      <w:r w:rsidR="00BB3FAD">
        <w:t>m</w:t>
      </w:r>
      <w:r w:rsidR="00C65138">
        <w:t xml:space="preserve">arginal </w:t>
      </w:r>
      <w:r w:rsidR="00BB3FAD">
        <w:t>e</w:t>
      </w:r>
      <w:r w:rsidR="00C65138">
        <w:t>ffect</w:t>
      </w:r>
      <w:r w:rsidRPr="001B7264">
        <w:t>s</w:t>
      </w:r>
      <w:r w:rsidR="00C65138">
        <w:t xml:space="preserve"> (</w:t>
      </w:r>
      <w:r w:rsidR="006A12D5">
        <w:t>A</w:t>
      </w:r>
      <w:r w:rsidR="00C65138">
        <w:t>MEs)</w:t>
      </w:r>
      <w:r w:rsidRPr="001B7264">
        <w:t xml:space="preserve">), about the same proportion on a partial income support (within </w:t>
      </w:r>
      <w:r w:rsidR="00C65138">
        <w:t>1</w:t>
      </w:r>
      <w:r w:rsidR="00C65138" w:rsidRPr="001B7264">
        <w:t xml:space="preserve"> </w:t>
      </w:r>
      <w:r w:rsidRPr="001B7264">
        <w:t xml:space="preserve">percentage point </w:t>
      </w:r>
      <w:r w:rsidR="00BB3FAD">
        <w:t>A</w:t>
      </w:r>
      <w:r w:rsidRPr="001B7264">
        <w:t xml:space="preserve">ME) and more on a full income support (6.2 percentage points </w:t>
      </w:r>
      <w:r w:rsidR="00BB3FAD">
        <w:t>A</w:t>
      </w:r>
      <w:r w:rsidRPr="001B7264">
        <w:t xml:space="preserve">ME). The pattern by </w:t>
      </w:r>
      <w:r w:rsidR="006107F3">
        <w:t>s</w:t>
      </w:r>
      <w:r w:rsidRPr="001B7264">
        <w:t xml:space="preserve">tream is similar, with a greater proportion of job seekers on full income support (between 6.3 and 3.9 percentage point </w:t>
      </w:r>
      <w:r w:rsidR="006A12D5">
        <w:t>A</w:t>
      </w:r>
      <w:r w:rsidRPr="001B7264">
        <w:t>MEs) and a smaller proportion off income support (6.8 p</w:t>
      </w:r>
      <w:r w:rsidR="00C65138">
        <w:t xml:space="preserve">ercentage </w:t>
      </w:r>
      <w:r w:rsidRPr="001B7264">
        <w:t>p</w:t>
      </w:r>
      <w:r w:rsidR="00C65138">
        <w:t>oin</w:t>
      </w:r>
      <w:r w:rsidRPr="001B7264">
        <w:t>t</w:t>
      </w:r>
      <w:r w:rsidR="00384298">
        <w:t>s</w:t>
      </w:r>
      <w:r w:rsidRPr="001B7264">
        <w:t xml:space="preserve"> to 1.7 percentage points </w:t>
      </w:r>
      <w:r w:rsidR="006A12D5">
        <w:t>A</w:t>
      </w:r>
      <w:r w:rsidRPr="001B7264">
        <w:t xml:space="preserve">ME). The proportion of job seekers on partial income support was similar between </w:t>
      </w:r>
      <w:r w:rsidR="006D3884">
        <w:t>the two models</w:t>
      </w:r>
      <w:r w:rsidRPr="001B7264">
        <w:t xml:space="preserve"> (within </w:t>
      </w:r>
      <w:r w:rsidR="00C65138">
        <w:t>1</w:t>
      </w:r>
      <w:r w:rsidR="00C65138" w:rsidRPr="001B7264">
        <w:t xml:space="preserve"> </w:t>
      </w:r>
      <w:r w:rsidRPr="001B7264">
        <w:t xml:space="preserve">percentage point) for all </w:t>
      </w:r>
      <w:r w:rsidR="006107F3">
        <w:t>s</w:t>
      </w:r>
      <w:r w:rsidRPr="001B7264">
        <w:t xml:space="preserve">treams except Stream 3, where the </w:t>
      </w:r>
      <w:r w:rsidR="006A12D5">
        <w:t>A</w:t>
      </w:r>
      <w:r w:rsidRPr="001B7264">
        <w:t>ME was 3.1 percentage points lower in JSA 2012</w:t>
      </w:r>
      <w:r w:rsidR="00153F4C">
        <w:t xml:space="preserve"> (Figure 3.</w:t>
      </w:r>
      <w:r w:rsidR="00EF7CFF">
        <w:t>5</w:t>
      </w:r>
      <w:r w:rsidR="00153F4C">
        <w:t>)</w:t>
      </w:r>
      <w:r w:rsidRPr="001B7264">
        <w:t>.</w:t>
      </w:r>
      <w:r w:rsidR="00C65138">
        <w:rPr>
          <w:rStyle w:val="FootnoteReference"/>
        </w:rPr>
        <w:footnoteReference w:id="20"/>
      </w:r>
    </w:p>
    <w:p w14:paraId="52EC7856" w14:textId="77777777" w:rsidR="001B7264" w:rsidRPr="001B7264" w:rsidRDefault="001B7264" w:rsidP="005172B5">
      <w:pPr>
        <w:pStyle w:val="Figureheadingforcontents"/>
      </w:pPr>
      <w:bookmarkStart w:id="180" w:name="_Toc436400137"/>
      <w:bookmarkStart w:id="181" w:name="_Toc436400267"/>
      <w:bookmarkStart w:id="182" w:name="_Toc443152021"/>
      <w:bookmarkStart w:id="183" w:name="_Toc22544029"/>
      <w:r w:rsidRPr="001B7264">
        <w:t xml:space="preserve">Figure </w:t>
      </w:r>
      <w:r>
        <w:t>3.</w:t>
      </w:r>
      <w:r w:rsidR="00EF7CFF">
        <w:t>5</w:t>
      </w:r>
      <w:r>
        <w:t>:</w:t>
      </w:r>
      <w:r w:rsidR="007752F6">
        <w:t xml:space="preserve"> </w:t>
      </w:r>
      <w:r w:rsidR="006A12D5">
        <w:t xml:space="preserve">Average </w:t>
      </w:r>
      <w:r w:rsidR="00BB3FAD">
        <w:t>m</w:t>
      </w:r>
      <w:r w:rsidR="00640731">
        <w:t xml:space="preserve">arginal </w:t>
      </w:r>
      <w:r w:rsidR="00BB3FAD">
        <w:t>e</w:t>
      </w:r>
      <w:r w:rsidR="00640731">
        <w:t>ffect (</w:t>
      </w:r>
      <w:r w:rsidR="006A12D5">
        <w:t>A</w:t>
      </w:r>
      <w:r w:rsidR="00640731">
        <w:t>ME)</w:t>
      </w:r>
      <w:r w:rsidRPr="001B7264">
        <w:t xml:space="preserve"> estimates of income support status 12 months after registration for JSA 2012 compared with JSA 2009 (</w:t>
      </w:r>
      <w:r w:rsidR="002C5033">
        <w:t>p</w:t>
      </w:r>
      <w:r w:rsidR="00CF4879">
        <w:t xml:space="preserve">ercentage </w:t>
      </w:r>
      <w:r w:rsidR="002C5033">
        <w:t>p</w:t>
      </w:r>
      <w:r w:rsidR="00CF4879">
        <w:t>oin</w:t>
      </w:r>
      <w:r w:rsidR="002C5033">
        <w:t>t</w:t>
      </w:r>
      <w:r w:rsidRPr="001B7264">
        <w:t>)</w:t>
      </w:r>
      <w:bookmarkEnd w:id="180"/>
      <w:bookmarkEnd w:id="181"/>
      <w:bookmarkEnd w:id="182"/>
      <w:bookmarkEnd w:id="183"/>
    </w:p>
    <w:tbl>
      <w:tblPr>
        <w:tblW w:w="7528" w:type="dxa"/>
        <w:jc w:val="center"/>
        <w:tblLook w:val="04A0" w:firstRow="1" w:lastRow="0" w:firstColumn="1" w:lastColumn="0" w:noHBand="0" w:noVBand="1"/>
      </w:tblPr>
      <w:tblGrid>
        <w:gridCol w:w="2142"/>
        <w:gridCol w:w="1275"/>
        <w:gridCol w:w="993"/>
        <w:gridCol w:w="992"/>
        <w:gridCol w:w="1134"/>
        <w:gridCol w:w="992"/>
      </w:tblGrid>
      <w:tr w:rsidR="000E2C43" w:rsidRPr="000E2C43" w14:paraId="7DCB9713" w14:textId="77777777" w:rsidTr="00946ACE">
        <w:trPr>
          <w:trHeight w:hRule="exact" w:val="227"/>
          <w:tblHeader/>
          <w:jc w:val="center"/>
        </w:trPr>
        <w:tc>
          <w:tcPr>
            <w:tcW w:w="2142" w:type="dxa"/>
            <w:shd w:val="clear" w:color="auto" w:fill="auto"/>
            <w:noWrap/>
            <w:vAlign w:val="bottom"/>
            <w:hideMark/>
          </w:tcPr>
          <w:p w14:paraId="54D14D36" w14:textId="77777777" w:rsidR="00D0566D" w:rsidRPr="000E2C43" w:rsidRDefault="000E2C43" w:rsidP="00D0566D">
            <w:pPr>
              <w:keepNext/>
              <w:spacing w:after="166"/>
              <w:rPr>
                <w:rFonts w:cstheme="minorHAnsi"/>
                <w:color w:val="FFFFFF" w:themeColor="background2"/>
                <w:sz w:val="20"/>
                <w:szCs w:val="20"/>
              </w:rPr>
            </w:pPr>
            <w:bookmarkStart w:id="184" w:name="Title_fig35"/>
            <w:r w:rsidRPr="000E2C43">
              <w:rPr>
                <w:noProof/>
                <w:color w:val="FFFFFF" w:themeColor="background2"/>
                <w:lang w:eastAsia="en-AU"/>
              </w:rPr>
              <w:drawing>
                <wp:anchor distT="0" distB="0" distL="114300" distR="114300" simplePos="0" relativeHeight="251658243" behindDoc="0" locked="0" layoutInCell="1" allowOverlap="1" wp14:anchorId="12F82603" wp14:editId="42AD45D1">
                  <wp:simplePos x="0" y="0"/>
                  <wp:positionH relativeFrom="column">
                    <wp:posOffset>-532765</wp:posOffset>
                  </wp:positionH>
                  <wp:positionV relativeFrom="paragraph">
                    <wp:posOffset>22860</wp:posOffset>
                  </wp:positionV>
                  <wp:extent cx="5730875" cy="3142615"/>
                  <wp:effectExtent l="0" t="0" r="3175" b="635"/>
                  <wp:wrapNone/>
                  <wp:docPr id="239" name="Picture 239" descr="A chart showing the estimated average marginal effect (difference) in per cent of income support status 12 months after registration for JSA 2012 compared with JSA 2009 by stream and overall. The chart shows that compared with JSA 2009, a higher proportion of JSA 2012 job seekers were receiving full income support 12 months after registration across all stre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875" cy="31426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5" w:type="dxa"/>
            <w:shd w:val="clear" w:color="auto" w:fill="auto"/>
            <w:noWrap/>
            <w:vAlign w:val="bottom"/>
            <w:hideMark/>
          </w:tcPr>
          <w:p w14:paraId="7C8C05E0"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Total</w:t>
            </w:r>
          </w:p>
        </w:tc>
        <w:tc>
          <w:tcPr>
            <w:tcW w:w="993" w:type="dxa"/>
            <w:shd w:val="clear" w:color="auto" w:fill="auto"/>
            <w:noWrap/>
            <w:vAlign w:val="bottom"/>
            <w:hideMark/>
          </w:tcPr>
          <w:p w14:paraId="22CA6CD8"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Stream 1</w:t>
            </w:r>
          </w:p>
        </w:tc>
        <w:tc>
          <w:tcPr>
            <w:tcW w:w="992" w:type="dxa"/>
            <w:shd w:val="clear" w:color="auto" w:fill="auto"/>
            <w:noWrap/>
            <w:vAlign w:val="bottom"/>
            <w:hideMark/>
          </w:tcPr>
          <w:p w14:paraId="4ABE67B8"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Stream 2</w:t>
            </w:r>
          </w:p>
        </w:tc>
        <w:tc>
          <w:tcPr>
            <w:tcW w:w="1134" w:type="dxa"/>
            <w:shd w:val="clear" w:color="auto" w:fill="auto"/>
            <w:noWrap/>
            <w:vAlign w:val="bottom"/>
            <w:hideMark/>
          </w:tcPr>
          <w:p w14:paraId="059DE21A"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Stream 3</w:t>
            </w:r>
          </w:p>
        </w:tc>
        <w:tc>
          <w:tcPr>
            <w:tcW w:w="992" w:type="dxa"/>
            <w:shd w:val="clear" w:color="auto" w:fill="auto"/>
            <w:noWrap/>
            <w:vAlign w:val="bottom"/>
            <w:hideMark/>
          </w:tcPr>
          <w:p w14:paraId="14F7B446"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Stream 4</w:t>
            </w:r>
          </w:p>
        </w:tc>
      </w:tr>
      <w:bookmarkEnd w:id="184"/>
      <w:tr w:rsidR="000E2C43" w:rsidRPr="000E2C43" w14:paraId="63C3D61D" w14:textId="77777777" w:rsidTr="00946ACE">
        <w:trPr>
          <w:trHeight w:hRule="exact" w:val="227"/>
          <w:jc w:val="center"/>
        </w:trPr>
        <w:tc>
          <w:tcPr>
            <w:tcW w:w="2142" w:type="dxa"/>
            <w:shd w:val="clear" w:color="auto" w:fill="auto"/>
            <w:noWrap/>
            <w:vAlign w:val="bottom"/>
            <w:hideMark/>
          </w:tcPr>
          <w:p w14:paraId="066FB635"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Off income support</w:t>
            </w:r>
          </w:p>
        </w:tc>
        <w:tc>
          <w:tcPr>
            <w:tcW w:w="1275" w:type="dxa"/>
            <w:shd w:val="clear" w:color="auto" w:fill="auto"/>
            <w:noWrap/>
            <w:vAlign w:val="bottom"/>
            <w:hideMark/>
          </w:tcPr>
          <w:p w14:paraId="06ADBDF0"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-6.5</w:t>
            </w:r>
          </w:p>
        </w:tc>
        <w:tc>
          <w:tcPr>
            <w:tcW w:w="993" w:type="dxa"/>
            <w:shd w:val="clear" w:color="auto" w:fill="auto"/>
            <w:noWrap/>
            <w:vAlign w:val="bottom"/>
            <w:hideMark/>
          </w:tcPr>
          <w:p w14:paraId="525C59E2"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-6.8</w:t>
            </w:r>
          </w:p>
        </w:tc>
        <w:tc>
          <w:tcPr>
            <w:tcW w:w="992" w:type="dxa"/>
            <w:shd w:val="clear" w:color="auto" w:fill="auto"/>
            <w:noWrap/>
            <w:vAlign w:val="bottom"/>
            <w:hideMark/>
          </w:tcPr>
          <w:p w14:paraId="3BF107B2"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-5.5</w:t>
            </w:r>
          </w:p>
        </w:tc>
        <w:tc>
          <w:tcPr>
            <w:tcW w:w="1134" w:type="dxa"/>
            <w:shd w:val="clear" w:color="auto" w:fill="auto"/>
            <w:noWrap/>
            <w:vAlign w:val="bottom"/>
            <w:hideMark/>
          </w:tcPr>
          <w:p w14:paraId="28C11447"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-1.7</w:t>
            </w:r>
          </w:p>
        </w:tc>
        <w:tc>
          <w:tcPr>
            <w:tcW w:w="992" w:type="dxa"/>
            <w:shd w:val="clear" w:color="auto" w:fill="auto"/>
            <w:noWrap/>
            <w:vAlign w:val="bottom"/>
            <w:hideMark/>
          </w:tcPr>
          <w:p w14:paraId="1233AEC1"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-3.3</w:t>
            </w:r>
          </w:p>
        </w:tc>
      </w:tr>
      <w:tr w:rsidR="000E2C43" w:rsidRPr="000E2C43" w14:paraId="5C64DA09" w14:textId="77777777" w:rsidTr="00946ACE">
        <w:trPr>
          <w:trHeight w:hRule="exact" w:val="227"/>
          <w:jc w:val="center"/>
        </w:trPr>
        <w:tc>
          <w:tcPr>
            <w:tcW w:w="2142" w:type="dxa"/>
            <w:shd w:val="clear" w:color="auto" w:fill="auto"/>
            <w:noWrap/>
            <w:vAlign w:val="bottom"/>
            <w:hideMark/>
          </w:tcPr>
          <w:p w14:paraId="6AF9F29F"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Partial income support</w:t>
            </w:r>
          </w:p>
        </w:tc>
        <w:tc>
          <w:tcPr>
            <w:tcW w:w="1275" w:type="dxa"/>
            <w:shd w:val="clear" w:color="auto" w:fill="auto"/>
            <w:noWrap/>
            <w:vAlign w:val="bottom"/>
            <w:hideMark/>
          </w:tcPr>
          <w:p w14:paraId="11DDA0AC"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0.3</w:t>
            </w:r>
          </w:p>
        </w:tc>
        <w:tc>
          <w:tcPr>
            <w:tcW w:w="993" w:type="dxa"/>
            <w:shd w:val="clear" w:color="auto" w:fill="auto"/>
            <w:noWrap/>
            <w:vAlign w:val="bottom"/>
            <w:hideMark/>
          </w:tcPr>
          <w:p w14:paraId="7E6990F7"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0.8</w:t>
            </w:r>
          </w:p>
        </w:tc>
        <w:tc>
          <w:tcPr>
            <w:tcW w:w="992" w:type="dxa"/>
            <w:shd w:val="clear" w:color="auto" w:fill="auto"/>
            <w:noWrap/>
            <w:vAlign w:val="bottom"/>
            <w:hideMark/>
          </w:tcPr>
          <w:p w14:paraId="32EB538F"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-0.8</w:t>
            </w:r>
          </w:p>
        </w:tc>
        <w:tc>
          <w:tcPr>
            <w:tcW w:w="1134" w:type="dxa"/>
            <w:shd w:val="clear" w:color="auto" w:fill="auto"/>
            <w:noWrap/>
            <w:vAlign w:val="bottom"/>
            <w:hideMark/>
          </w:tcPr>
          <w:p w14:paraId="08F16A4C"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-3.1</w:t>
            </w:r>
          </w:p>
        </w:tc>
        <w:tc>
          <w:tcPr>
            <w:tcW w:w="992" w:type="dxa"/>
            <w:shd w:val="clear" w:color="auto" w:fill="auto"/>
            <w:noWrap/>
            <w:vAlign w:val="bottom"/>
            <w:hideMark/>
          </w:tcPr>
          <w:p w14:paraId="308794D1"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-0.7</w:t>
            </w:r>
          </w:p>
        </w:tc>
      </w:tr>
      <w:tr w:rsidR="000E2C43" w:rsidRPr="000E2C43" w14:paraId="527370C8" w14:textId="77777777" w:rsidTr="00946ACE">
        <w:trPr>
          <w:trHeight w:hRule="exact" w:val="227"/>
          <w:jc w:val="center"/>
        </w:trPr>
        <w:tc>
          <w:tcPr>
            <w:tcW w:w="2142" w:type="dxa"/>
            <w:shd w:val="clear" w:color="auto" w:fill="auto"/>
            <w:noWrap/>
            <w:vAlign w:val="bottom"/>
            <w:hideMark/>
          </w:tcPr>
          <w:p w14:paraId="240D6962" w14:textId="77777777" w:rsidR="00D0566D" w:rsidRPr="000E2C43" w:rsidRDefault="00D0566D" w:rsidP="00D0566D">
            <w:pPr>
              <w:keepNext/>
              <w:spacing w:after="166"/>
              <w:rPr>
                <w:rFonts w:cstheme="minorHAnsi"/>
                <w:color w:val="FFFFFF" w:themeColor="background2"/>
                <w:sz w:val="20"/>
                <w:szCs w:val="20"/>
              </w:rPr>
            </w:pPr>
            <w:r w:rsidRPr="000E2C43">
              <w:rPr>
                <w:rFonts w:cstheme="minorHAnsi"/>
                <w:color w:val="FFFFFF" w:themeColor="background2"/>
                <w:sz w:val="20"/>
                <w:szCs w:val="20"/>
              </w:rPr>
              <w:t>Full income support</w:t>
            </w:r>
          </w:p>
        </w:tc>
        <w:tc>
          <w:tcPr>
            <w:tcW w:w="1275" w:type="dxa"/>
            <w:shd w:val="clear" w:color="auto" w:fill="auto"/>
            <w:noWrap/>
            <w:vAlign w:val="bottom"/>
            <w:hideMark/>
          </w:tcPr>
          <w:p w14:paraId="31908D79"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6.2</w:t>
            </w:r>
          </w:p>
        </w:tc>
        <w:tc>
          <w:tcPr>
            <w:tcW w:w="993" w:type="dxa"/>
            <w:shd w:val="clear" w:color="auto" w:fill="auto"/>
            <w:noWrap/>
            <w:vAlign w:val="bottom"/>
            <w:hideMark/>
          </w:tcPr>
          <w:p w14:paraId="11902FA1"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6.1</w:t>
            </w:r>
          </w:p>
        </w:tc>
        <w:tc>
          <w:tcPr>
            <w:tcW w:w="992" w:type="dxa"/>
            <w:shd w:val="clear" w:color="auto" w:fill="auto"/>
            <w:noWrap/>
            <w:vAlign w:val="bottom"/>
            <w:hideMark/>
          </w:tcPr>
          <w:p w14:paraId="637FF0B4"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6.3</w:t>
            </w:r>
          </w:p>
        </w:tc>
        <w:tc>
          <w:tcPr>
            <w:tcW w:w="1134" w:type="dxa"/>
            <w:shd w:val="clear" w:color="auto" w:fill="auto"/>
            <w:noWrap/>
            <w:vAlign w:val="bottom"/>
            <w:hideMark/>
          </w:tcPr>
          <w:p w14:paraId="3E421297"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4.7</w:t>
            </w:r>
          </w:p>
        </w:tc>
        <w:tc>
          <w:tcPr>
            <w:tcW w:w="992" w:type="dxa"/>
            <w:shd w:val="clear" w:color="auto" w:fill="auto"/>
            <w:noWrap/>
            <w:vAlign w:val="bottom"/>
            <w:hideMark/>
          </w:tcPr>
          <w:p w14:paraId="07D00599" w14:textId="77777777" w:rsidR="00D0566D" w:rsidRPr="000E2C43" w:rsidRDefault="00D0566D" w:rsidP="00D0566D">
            <w:pPr>
              <w:keepNext/>
              <w:spacing w:after="166"/>
              <w:jc w:val="right"/>
              <w:rPr>
                <w:rFonts w:cstheme="minorHAnsi"/>
                <w:color w:val="FFFFFF" w:themeColor="background2"/>
                <w:sz w:val="20"/>
                <w:szCs w:val="20"/>
              </w:rPr>
            </w:pPr>
            <w:r w:rsidRPr="000E2C43">
              <w:rPr>
                <w:rFonts w:cstheme="minorHAnsi"/>
                <w:color w:val="FFFFFF" w:themeColor="background2"/>
                <w:sz w:val="20"/>
                <w:szCs w:val="20"/>
              </w:rPr>
              <w:t>3.9</w:t>
            </w:r>
          </w:p>
        </w:tc>
      </w:tr>
    </w:tbl>
    <w:p w14:paraId="31BA9D52" w14:textId="77777777" w:rsidR="00E80C53" w:rsidRDefault="00E80C53" w:rsidP="000E2C43">
      <w:pPr>
        <w:pStyle w:val="Notes"/>
        <w:spacing w:before="4100"/>
        <w:rPr>
          <w:b/>
        </w:rPr>
      </w:pPr>
      <w:r w:rsidRPr="00E80C53">
        <w:rPr>
          <w:rStyle w:val="NotesChar"/>
          <w:b/>
        </w:rPr>
        <w:t>Note:</w:t>
      </w:r>
      <w:r>
        <w:rPr>
          <w:b/>
        </w:rPr>
        <w:tab/>
      </w:r>
      <w:r w:rsidRPr="00E80C53">
        <w:rPr>
          <w:rStyle w:val="NotesChar"/>
        </w:rPr>
        <w:t xml:space="preserve">Refer </w:t>
      </w:r>
      <w:hyperlink w:anchor="Title_A26" w:history="1">
        <w:r w:rsidRPr="00B535F8">
          <w:rPr>
            <w:rStyle w:val="Hyperlink"/>
          </w:rPr>
          <w:t>Appendix A</w:t>
        </w:r>
        <w:r w:rsidR="000748CA" w:rsidRPr="00B535F8">
          <w:rPr>
            <w:rStyle w:val="Hyperlink"/>
          </w:rPr>
          <w:t>2</w:t>
        </w:r>
        <w:r w:rsidRPr="00B535F8">
          <w:rPr>
            <w:rStyle w:val="Hyperlink"/>
          </w:rPr>
          <w:t>, Table A2.6</w:t>
        </w:r>
      </w:hyperlink>
      <w:r w:rsidRPr="00E80C53">
        <w:rPr>
          <w:rStyle w:val="NotesChar"/>
        </w:rPr>
        <w:t>.</w:t>
      </w:r>
      <w:bookmarkStart w:id="185" w:name="Place_A26"/>
      <w:bookmarkEnd w:id="185"/>
    </w:p>
    <w:p w14:paraId="5F322582" w14:textId="77777777" w:rsidR="001B7264" w:rsidRPr="001B7264" w:rsidRDefault="001B7264" w:rsidP="004E6541">
      <w:pPr>
        <w:pStyle w:val="Source"/>
      </w:pPr>
      <w:r w:rsidRPr="001B7264">
        <w:rPr>
          <w:b/>
        </w:rPr>
        <w:t>Source:</w:t>
      </w:r>
      <w:r w:rsidR="00640731">
        <w:t xml:space="preserve"> </w:t>
      </w:r>
      <w:r w:rsidRPr="001B7264">
        <w:t>Department of Employment administrative data</w:t>
      </w:r>
      <w:r w:rsidR="00F774E4">
        <w:t xml:space="preserve"> and Research and Evaluation dataset (RED)</w:t>
      </w:r>
      <w:r w:rsidR="00374A04">
        <w:t>.</w:t>
      </w:r>
    </w:p>
    <w:p w14:paraId="21D5DA73" w14:textId="7D7BE1BC" w:rsidR="001B7264" w:rsidRPr="001B7264" w:rsidRDefault="004C5472" w:rsidP="001B7264">
      <w:r>
        <w:t>The pattern of more job seekers on full income support and fewer off and on part income support in JSA 2012</w:t>
      </w:r>
      <w:r w:rsidR="00F11ED9">
        <w:t xml:space="preserve"> </w:t>
      </w:r>
      <w:r>
        <w:t xml:space="preserve">(shown above) </w:t>
      </w:r>
      <w:r w:rsidR="009B706E">
        <w:t xml:space="preserve">is </w:t>
      </w:r>
      <w:r w:rsidR="009B706E" w:rsidRPr="001B7264">
        <w:t xml:space="preserve">similar </w:t>
      </w:r>
      <w:r>
        <w:t>across</w:t>
      </w:r>
      <w:r w:rsidR="009B706E" w:rsidRPr="001B7264">
        <w:t xml:space="preserve"> most job seeker </w:t>
      </w:r>
      <w:r w:rsidR="009B706E">
        <w:t>demographic</w:t>
      </w:r>
      <w:r w:rsidR="009B706E" w:rsidRPr="001B7264">
        <w:t xml:space="preserve"> groups considered</w:t>
      </w:r>
      <w:r w:rsidR="009B706E">
        <w:t>, including</w:t>
      </w:r>
      <w:r w:rsidR="001B7264" w:rsidRPr="001B7264">
        <w:t xml:space="preserve">: </w:t>
      </w:r>
      <w:r w:rsidR="00C70E25">
        <w:t xml:space="preserve">Indigenous </w:t>
      </w:r>
      <w:r w:rsidR="001B7264" w:rsidRPr="001B7264">
        <w:t xml:space="preserve">job seekers, </w:t>
      </w:r>
      <w:r w:rsidR="000B7C54">
        <w:t>job seekers</w:t>
      </w:r>
      <w:r w:rsidR="001B7264" w:rsidRPr="001B7264">
        <w:t xml:space="preserve"> with disability affecting work capacity, </w:t>
      </w:r>
      <w:r w:rsidR="002F0B81" w:rsidRPr="001B7264">
        <w:t xml:space="preserve">job seekers </w:t>
      </w:r>
      <w:r w:rsidR="002F0B81">
        <w:t xml:space="preserve">with </w:t>
      </w:r>
      <w:r w:rsidR="001B7264" w:rsidRPr="001B7264">
        <w:t>partial capacity</w:t>
      </w:r>
      <w:r w:rsidR="002F0B81">
        <w:t xml:space="preserve"> to work</w:t>
      </w:r>
      <w:r w:rsidR="001B7264" w:rsidRPr="001B7264">
        <w:t>, youth</w:t>
      </w:r>
      <w:r w:rsidR="009E6EC6">
        <w:t xml:space="preserve"> (under 25)</w:t>
      </w:r>
      <w:r w:rsidR="001B7264" w:rsidRPr="001B7264">
        <w:t xml:space="preserve">, mature age and </w:t>
      </w:r>
      <w:r w:rsidR="00200410">
        <w:t>single</w:t>
      </w:r>
      <w:r w:rsidR="00200410" w:rsidRPr="001B7264">
        <w:t xml:space="preserve"> </w:t>
      </w:r>
      <w:r w:rsidR="001B7264" w:rsidRPr="001B7264">
        <w:t>parents.</w:t>
      </w:r>
    </w:p>
    <w:p w14:paraId="242A28AC" w14:textId="588D4971" w:rsidR="001B7264" w:rsidRPr="001B7264" w:rsidRDefault="006D3884" w:rsidP="001B7264">
      <w:r>
        <w:t>However, t</w:t>
      </w:r>
      <w:r w:rsidR="002F0B81">
        <w:t xml:space="preserve">here are </w:t>
      </w:r>
      <w:r w:rsidR="001B7264" w:rsidRPr="001B7264">
        <w:t>notable exception</w:t>
      </w:r>
      <w:r w:rsidR="002F0B81">
        <w:t>s</w:t>
      </w:r>
      <w:r w:rsidR="001B7264" w:rsidRPr="001B7264">
        <w:t xml:space="preserve"> for Stream 4 job seekers in some of these demographic groups who are found to be less reliant on income support under JSA 2012 (</w:t>
      </w:r>
      <w:r w:rsidR="000B7C54">
        <w:t>job seekers</w:t>
      </w:r>
      <w:r w:rsidR="000B7C54" w:rsidRPr="001B7264">
        <w:t xml:space="preserve"> </w:t>
      </w:r>
      <w:r w:rsidR="001B7264" w:rsidRPr="001B7264">
        <w:t xml:space="preserve">with disability affecting capacity to work, </w:t>
      </w:r>
      <w:r w:rsidR="002F0B81" w:rsidRPr="001B7264">
        <w:t>partial capacity</w:t>
      </w:r>
      <w:r w:rsidR="002F0B81">
        <w:t xml:space="preserve"> to work</w:t>
      </w:r>
      <w:r w:rsidR="002F0B81" w:rsidRPr="001B7264" w:rsidDel="002F0B81">
        <w:t xml:space="preserve"> </w:t>
      </w:r>
      <w:r w:rsidR="001B7264" w:rsidRPr="001B7264">
        <w:t xml:space="preserve">and </w:t>
      </w:r>
      <w:r w:rsidR="00200410">
        <w:t>single</w:t>
      </w:r>
      <w:r w:rsidR="00200410" w:rsidRPr="001B7264">
        <w:t xml:space="preserve"> </w:t>
      </w:r>
      <w:r w:rsidR="001B7264" w:rsidRPr="001B7264">
        <w:t>parents).</w:t>
      </w:r>
      <w:r w:rsidR="000A6817" w:rsidRPr="000A6817">
        <w:t xml:space="preserve"> </w:t>
      </w:r>
      <w:r w:rsidR="000A6817">
        <w:t xml:space="preserve">These exceptions may, in part, </w:t>
      </w:r>
      <w:r w:rsidR="00C84926">
        <w:t xml:space="preserve">have been </w:t>
      </w:r>
      <w:r w:rsidR="000A6817">
        <w:t>influenced by activation measures such as the DSP Participation Requirements, introduced on 1 July 2012 and the Parenting Payment Refor</w:t>
      </w:r>
      <w:r w:rsidR="00A71F69">
        <w:t>m</w:t>
      </w:r>
      <w:r w:rsidR="000A6817">
        <w:t>s introduced on 1 January 2013.</w:t>
      </w:r>
    </w:p>
    <w:p w14:paraId="00671F7C" w14:textId="77777777" w:rsidR="001B7264" w:rsidRDefault="001B7264" w:rsidP="001B7264">
      <w:r w:rsidRPr="001B7264">
        <w:t>Regression analyses,</w:t>
      </w:r>
      <w:r w:rsidR="004C5472">
        <w:t xml:space="preserve"> applied across varying time periods,</w:t>
      </w:r>
      <w:r w:rsidRPr="001B7264">
        <w:t xml:space="preserve"> confirm that there </w:t>
      </w:r>
      <w:r w:rsidR="009B706E">
        <w:t xml:space="preserve">appears to be </w:t>
      </w:r>
      <w:r w:rsidRPr="001B7264">
        <w:t>a significant programme effect</w:t>
      </w:r>
      <w:r w:rsidR="004C5472">
        <w:t>. This is regardless of prevailing economic conditions (Figure 3.</w:t>
      </w:r>
      <w:r w:rsidR="00EF7CFF">
        <w:t>6</w:t>
      </w:r>
      <w:r w:rsidR="004C5472">
        <w:t>).</w:t>
      </w:r>
    </w:p>
    <w:p w14:paraId="0F2F9917" w14:textId="77777777" w:rsidR="00BC46CC" w:rsidRDefault="00BC46CC" w:rsidP="00BC46CC">
      <w:pPr>
        <w:pStyle w:val="Figureheadingforcontents"/>
      </w:pPr>
      <w:bookmarkStart w:id="186" w:name="_Toc22544030"/>
      <w:r>
        <w:t>Figure 3.</w:t>
      </w:r>
      <w:r w:rsidR="00EF7CFF">
        <w:t>6</w:t>
      </w:r>
      <w:r>
        <w:t xml:space="preserve">: Estimated length of time job seekers were on income support by year of registration in JSA (per cent </w:t>
      </w:r>
      <w:r w:rsidR="00B07CB9">
        <w:t xml:space="preserve">each </w:t>
      </w:r>
      <w:r>
        <w:t>fortnight)</w:t>
      </w:r>
      <w:bookmarkEnd w:id="186"/>
    </w:p>
    <w:p w14:paraId="3010ADF2" w14:textId="77777777" w:rsidR="00E80C53" w:rsidRDefault="00C622F1" w:rsidP="00E80C53">
      <w:pPr>
        <w:pStyle w:val="Notes"/>
        <w:rPr>
          <w:b/>
        </w:rPr>
      </w:pPr>
      <w:r>
        <w:rPr>
          <w:b/>
          <w:noProof/>
          <w:lang w:val="en-AU" w:eastAsia="en-AU"/>
        </w:rPr>
        <w:drawing>
          <wp:inline distT="0" distB="0" distL="0" distR="0" wp14:anchorId="56994307" wp14:editId="50AD3A76">
            <wp:extent cx="5732145" cy="3839210"/>
            <wp:effectExtent l="0" t="0" r="1905" b="8890"/>
            <wp:docPr id="10" name="Picture 10" descr="Line chart showing the three JSA 2009 lines grouped together (with a higher probability of exit than JSA 2012) with the three JSA 2012 lines clustered together lower down the chart. The gap between the group of three JSA 2009 lines and the group of three JSA 2012 lines represents the programme effect.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6.jpg"/>
                    <pic:cNvPicPr/>
                  </pic:nvPicPr>
                  <pic:blipFill>
                    <a:blip r:embed="rId28">
                      <a:extLst>
                        <a:ext uri="{28A0092B-C50C-407E-A947-70E740481C1C}">
                          <a14:useLocalDpi xmlns:a14="http://schemas.microsoft.com/office/drawing/2010/main" val="0"/>
                        </a:ext>
                      </a:extLst>
                    </a:blip>
                    <a:stretch>
                      <a:fillRect/>
                    </a:stretch>
                  </pic:blipFill>
                  <pic:spPr>
                    <a:xfrm>
                      <a:off x="0" y="0"/>
                      <a:ext cx="5732145" cy="3839210"/>
                    </a:xfrm>
                    <a:prstGeom prst="rect">
                      <a:avLst/>
                    </a:prstGeom>
                  </pic:spPr>
                </pic:pic>
              </a:graphicData>
            </a:graphic>
          </wp:inline>
        </w:drawing>
      </w:r>
      <w:r w:rsidR="00E80C53" w:rsidRPr="00E80C53">
        <w:rPr>
          <w:rStyle w:val="NotesChar"/>
          <w:b/>
        </w:rPr>
        <w:t>Note:</w:t>
      </w:r>
      <w:r w:rsidR="00E80C53">
        <w:rPr>
          <w:b/>
        </w:rPr>
        <w:tab/>
      </w:r>
      <w:r w:rsidR="00E80C53" w:rsidRPr="00E80C53">
        <w:rPr>
          <w:rStyle w:val="NotesChar"/>
        </w:rPr>
        <w:t xml:space="preserve">Refer </w:t>
      </w:r>
      <w:hyperlink w:anchor="Title_A27" w:history="1">
        <w:r w:rsidR="00E80C53" w:rsidRPr="00B535F8">
          <w:rPr>
            <w:rStyle w:val="Hyperlink"/>
          </w:rPr>
          <w:t>Appendix A</w:t>
        </w:r>
        <w:r w:rsidR="000748CA" w:rsidRPr="00B535F8">
          <w:rPr>
            <w:rStyle w:val="Hyperlink"/>
          </w:rPr>
          <w:t>2</w:t>
        </w:r>
        <w:r w:rsidR="00E80C53" w:rsidRPr="00B535F8">
          <w:rPr>
            <w:rStyle w:val="Hyperlink"/>
          </w:rPr>
          <w:t>, Table A2.7</w:t>
        </w:r>
      </w:hyperlink>
      <w:r w:rsidR="00E80C53" w:rsidRPr="00E80C53">
        <w:rPr>
          <w:rStyle w:val="NotesChar"/>
        </w:rPr>
        <w:t>.</w:t>
      </w:r>
      <w:bookmarkStart w:id="187" w:name="Place_A27"/>
      <w:bookmarkEnd w:id="187"/>
    </w:p>
    <w:p w14:paraId="0AEDF3AA" w14:textId="77777777" w:rsidR="006A644B" w:rsidRPr="006A644B" w:rsidRDefault="006A644B" w:rsidP="00D20CB6">
      <w:pPr>
        <w:pStyle w:val="Source"/>
        <w:rPr>
          <w:b/>
        </w:rPr>
      </w:pPr>
      <w:r w:rsidRPr="00D20CB6">
        <w:rPr>
          <w:b/>
        </w:rPr>
        <w:t>Source:</w:t>
      </w:r>
      <w:r w:rsidRPr="00D20CB6">
        <w:t xml:space="preserve"> Department of Employment administrative data</w:t>
      </w:r>
      <w:r w:rsidR="00F774E4" w:rsidRPr="00D20CB6">
        <w:t xml:space="preserve"> and Research and Evaluation dataset (RED)</w:t>
      </w:r>
      <w:r w:rsidR="00227C3C" w:rsidRPr="00D20CB6">
        <w:t>.</w:t>
      </w:r>
    </w:p>
    <w:p w14:paraId="65A98923" w14:textId="77777777" w:rsidR="001B7264" w:rsidRPr="001B7264" w:rsidRDefault="001B7264" w:rsidP="002F4FD1">
      <w:pPr>
        <w:pStyle w:val="Heading5"/>
      </w:pPr>
      <w:r w:rsidRPr="001B7264">
        <w:t>Sustainability of exits from income support</w:t>
      </w:r>
      <w:r w:rsidR="00374A04">
        <w:t xml:space="preserve"> (regressed)</w:t>
      </w:r>
    </w:p>
    <w:p w14:paraId="33FEEF63" w14:textId="77777777" w:rsidR="001B7264" w:rsidRPr="00C76ADF" w:rsidRDefault="002F0B81" w:rsidP="001B7264">
      <w:pPr>
        <w:rPr>
          <w:color w:val="000000" w:themeColor="text1"/>
        </w:rPr>
      </w:pPr>
      <w:r>
        <w:t xml:space="preserve">By </w:t>
      </w:r>
      <w:r w:rsidRPr="001B7264">
        <w:t>this measure</w:t>
      </w:r>
      <w:r>
        <w:t>,</w:t>
      </w:r>
      <w:r w:rsidRPr="001B7264">
        <w:t xml:space="preserve"> </w:t>
      </w:r>
      <w:r w:rsidR="001B7264" w:rsidRPr="001B7264">
        <w:t>JSA 2012 was less effective than JSA 2009</w:t>
      </w:r>
      <w:r>
        <w:t>. N</w:t>
      </w:r>
      <w:r w:rsidR="00374A04">
        <w:t>ew entrant job seekers</w:t>
      </w:r>
      <w:r w:rsidR="001B7264" w:rsidRPr="001B7264">
        <w:t xml:space="preserve"> who came off income support in JSA 2012 </w:t>
      </w:r>
      <w:r w:rsidR="00374A04">
        <w:t xml:space="preserve">were </w:t>
      </w:r>
      <w:r w:rsidR="001B7264" w:rsidRPr="001B7264">
        <w:t xml:space="preserve">slightly more likely to have returned to it and be on full income support 12 months later, compared </w:t>
      </w:r>
      <w:r w:rsidR="00374A04">
        <w:t>with</w:t>
      </w:r>
      <w:r w:rsidR="00374A04" w:rsidRPr="001B7264">
        <w:t xml:space="preserve"> </w:t>
      </w:r>
      <w:r w:rsidR="001B7264" w:rsidRPr="001B7264">
        <w:t xml:space="preserve">equivalent job seekers in JSA 2009. </w:t>
      </w:r>
      <w:bookmarkStart w:id="188" w:name="_Toc430765629"/>
      <w:r w:rsidR="00A91CD1">
        <w:t xml:space="preserve">Job seekers were 1.7 per cent </w:t>
      </w:r>
      <w:r w:rsidR="00A91CD1" w:rsidRPr="006A644B">
        <w:rPr>
          <w:u w:val="single"/>
        </w:rPr>
        <w:t>more likely</w:t>
      </w:r>
      <w:r w:rsidR="00A91CD1">
        <w:t xml:space="preserve"> to be on full income support under JSA 2012 compared with JSA 2009</w:t>
      </w:r>
      <w:r w:rsidR="00E80C53">
        <w:t>.</w:t>
      </w:r>
      <w:r w:rsidR="00750FA4">
        <w:rPr>
          <w:color w:val="000000" w:themeColor="text1"/>
        </w:rPr>
        <w:t xml:space="preserve"> </w:t>
      </w:r>
      <w:r w:rsidR="001B7264" w:rsidRPr="00C76ADF">
        <w:rPr>
          <w:color w:val="000000" w:themeColor="text1"/>
        </w:rPr>
        <w:t>This differential increased with</w:t>
      </w:r>
      <w:r w:rsidR="001F3E3A">
        <w:rPr>
          <w:color w:val="000000" w:themeColor="text1"/>
        </w:rPr>
        <w:t xml:space="preserve"> the</w:t>
      </w:r>
      <w:r w:rsidR="001B7264" w:rsidRPr="00C76ADF">
        <w:rPr>
          <w:color w:val="000000" w:themeColor="text1"/>
        </w:rPr>
        <w:t xml:space="preserve"> level of disadvantage, with a </w:t>
      </w:r>
      <w:r w:rsidR="002C399A" w:rsidRPr="00C76ADF">
        <w:rPr>
          <w:color w:val="000000" w:themeColor="text1"/>
        </w:rPr>
        <w:t>1.</w:t>
      </w:r>
      <w:r w:rsidR="00C76ADF" w:rsidRPr="00C76ADF">
        <w:rPr>
          <w:color w:val="000000" w:themeColor="text1"/>
        </w:rPr>
        <w:t>6</w:t>
      </w:r>
      <w:r w:rsidR="001B7264" w:rsidRPr="00C76ADF">
        <w:rPr>
          <w:color w:val="000000" w:themeColor="text1"/>
        </w:rPr>
        <w:t xml:space="preserve"> percentage point difference for Stream 1 and 3.</w:t>
      </w:r>
      <w:r w:rsidR="00C76ADF" w:rsidRPr="00C76ADF">
        <w:rPr>
          <w:color w:val="000000" w:themeColor="text1"/>
        </w:rPr>
        <w:t>3</w:t>
      </w:r>
      <w:r w:rsidR="001B7264" w:rsidRPr="00C76ADF">
        <w:rPr>
          <w:color w:val="000000" w:themeColor="text1"/>
        </w:rPr>
        <w:t xml:space="preserve"> percentage points for Stream 4 job seekers</w:t>
      </w:r>
      <w:r w:rsidR="00604AF3" w:rsidRPr="00C76ADF">
        <w:rPr>
          <w:color w:val="000000" w:themeColor="text1"/>
        </w:rPr>
        <w:t xml:space="preserve"> (Table </w:t>
      </w:r>
      <w:r w:rsidR="00E23082">
        <w:rPr>
          <w:color w:val="000000" w:themeColor="text1"/>
        </w:rPr>
        <w:t>3.3</w:t>
      </w:r>
      <w:r w:rsidR="00604AF3" w:rsidRPr="00C76ADF">
        <w:rPr>
          <w:color w:val="000000" w:themeColor="text1"/>
        </w:rPr>
        <w:t>)</w:t>
      </w:r>
      <w:r w:rsidR="00B07CB9">
        <w:rPr>
          <w:color w:val="000000" w:themeColor="text1"/>
        </w:rPr>
        <w:t>.</w:t>
      </w:r>
    </w:p>
    <w:p w14:paraId="5632837A" w14:textId="77777777" w:rsidR="001B7264" w:rsidRPr="001B7264" w:rsidRDefault="001B7264" w:rsidP="00C2452E">
      <w:pPr>
        <w:pStyle w:val="Tableforcontents"/>
      </w:pPr>
      <w:bookmarkStart w:id="189" w:name="_Toc436142555"/>
      <w:bookmarkStart w:id="190" w:name="_Toc22543975"/>
      <w:r w:rsidRPr="001B7264">
        <w:t xml:space="preserve">Table </w:t>
      </w:r>
      <w:r w:rsidR="002B0485">
        <w:t>3.</w:t>
      </w:r>
      <w:r w:rsidR="003C29A5">
        <w:t>3</w:t>
      </w:r>
      <w:r w:rsidR="00CF00FC">
        <w:t>:</w:t>
      </w:r>
      <w:r w:rsidR="007752F6">
        <w:t xml:space="preserve"> </w:t>
      </w:r>
      <w:r w:rsidR="006A12D5">
        <w:t xml:space="preserve">Average </w:t>
      </w:r>
      <w:r w:rsidR="00BB3FAD">
        <w:t>m</w:t>
      </w:r>
      <w:r w:rsidR="00640731">
        <w:t xml:space="preserve">arginal </w:t>
      </w:r>
      <w:r w:rsidR="00BB3FAD">
        <w:t>e</w:t>
      </w:r>
      <w:r w:rsidR="00640731">
        <w:t>ffect (</w:t>
      </w:r>
      <w:r w:rsidR="006A12D5">
        <w:t>A</w:t>
      </w:r>
      <w:r w:rsidR="00640731">
        <w:t>ME)</w:t>
      </w:r>
      <w:r w:rsidRPr="001B7264">
        <w:t xml:space="preserve"> estimates for income support status 12 months after exiting income support</w:t>
      </w:r>
      <w:r w:rsidR="00B10CFF">
        <w:t xml:space="preserve"> for new entrants</w:t>
      </w:r>
      <w:r w:rsidRPr="001B7264">
        <w:t>, JSA 2012 compared with JSA 2009 (</w:t>
      </w:r>
      <w:r w:rsidR="00916231">
        <w:t>p</w:t>
      </w:r>
      <w:r w:rsidR="00640731">
        <w:t xml:space="preserve">ercentage </w:t>
      </w:r>
      <w:r w:rsidR="00916231">
        <w:t>p</w:t>
      </w:r>
      <w:r w:rsidR="00640731">
        <w:t xml:space="preserve">oint </w:t>
      </w:r>
      <w:r w:rsidRPr="001B7264">
        <w:t>difference)</w:t>
      </w:r>
      <w:bookmarkEnd w:id="188"/>
      <w:bookmarkEnd w:id="189"/>
      <w:bookmarkEnd w:id="190"/>
    </w:p>
    <w:tbl>
      <w:tblPr>
        <w:tblStyle w:val="TableGrid21"/>
        <w:tblW w:w="0" w:type="auto"/>
        <w:tblBorders>
          <w:top w:val="none" w:sz="0" w:space="0" w:color="auto"/>
        </w:tblBorders>
        <w:tblLook w:val="04A0" w:firstRow="1" w:lastRow="0" w:firstColumn="1" w:lastColumn="0" w:noHBand="0" w:noVBand="1"/>
      </w:tblPr>
      <w:tblGrid>
        <w:gridCol w:w="1951"/>
        <w:gridCol w:w="2126"/>
        <w:gridCol w:w="2126"/>
        <w:gridCol w:w="2127"/>
      </w:tblGrid>
      <w:tr w:rsidR="001B7264" w:rsidRPr="0011747A" w14:paraId="605783A7" w14:textId="77777777" w:rsidTr="00282936">
        <w:trPr>
          <w:trHeight w:hRule="exact" w:val="340"/>
          <w:tblHeader/>
        </w:trPr>
        <w:tc>
          <w:tcPr>
            <w:tcW w:w="1951" w:type="dxa"/>
            <w:shd w:val="clear" w:color="auto" w:fill="1E3D6B"/>
            <w:vAlign w:val="center"/>
          </w:tcPr>
          <w:p w14:paraId="6AEAC957" w14:textId="77777777" w:rsidR="001B7264" w:rsidRPr="0011747A" w:rsidRDefault="001B7264" w:rsidP="00175E1D">
            <w:pPr>
              <w:keepNext/>
              <w:rPr>
                <w:rFonts w:ascii="Calibri" w:hAnsi="Calibri"/>
                <w:b/>
                <w:sz w:val="20"/>
                <w:szCs w:val="20"/>
              </w:rPr>
            </w:pPr>
            <w:bookmarkStart w:id="191" w:name="Title_33"/>
            <w:bookmarkEnd w:id="191"/>
            <w:r w:rsidRPr="0011747A">
              <w:rPr>
                <w:rFonts w:ascii="Calibri" w:hAnsi="Calibri"/>
                <w:b/>
                <w:sz w:val="20"/>
                <w:szCs w:val="20"/>
              </w:rPr>
              <w:t>Stream</w:t>
            </w:r>
          </w:p>
        </w:tc>
        <w:tc>
          <w:tcPr>
            <w:tcW w:w="2126" w:type="dxa"/>
            <w:shd w:val="clear" w:color="auto" w:fill="1E3D6B"/>
            <w:vAlign w:val="center"/>
          </w:tcPr>
          <w:p w14:paraId="4C3B0FA2" w14:textId="77777777" w:rsidR="001B7264" w:rsidRPr="0011747A" w:rsidRDefault="001B7264" w:rsidP="00175E1D">
            <w:pPr>
              <w:keepNext/>
              <w:rPr>
                <w:b/>
                <w:sz w:val="20"/>
                <w:szCs w:val="20"/>
              </w:rPr>
            </w:pPr>
            <w:r w:rsidRPr="0011747A">
              <w:rPr>
                <w:b/>
                <w:sz w:val="20"/>
                <w:szCs w:val="20"/>
              </w:rPr>
              <w:t>Off income support</w:t>
            </w:r>
          </w:p>
        </w:tc>
        <w:tc>
          <w:tcPr>
            <w:tcW w:w="2126" w:type="dxa"/>
            <w:shd w:val="clear" w:color="auto" w:fill="1E3D6B"/>
            <w:vAlign w:val="center"/>
          </w:tcPr>
          <w:p w14:paraId="10D38B9A" w14:textId="77777777" w:rsidR="001B7264" w:rsidRPr="0011747A" w:rsidRDefault="00175E1D" w:rsidP="00175E1D">
            <w:pPr>
              <w:keepNext/>
              <w:rPr>
                <w:b/>
                <w:sz w:val="20"/>
                <w:szCs w:val="20"/>
              </w:rPr>
            </w:pPr>
            <w:r>
              <w:rPr>
                <w:b/>
                <w:sz w:val="20"/>
                <w:szCs w:val="20"/>
              </w:rPr>
              <w:t xml:space="preserve">Partial </w:t>
            </w:r>
            <w:r w:rsidR="001B7264" w:rsidRPr="0011747A">
              <w:rPr>
                <w:b/>
                <w:sz w:val="20"/>
                <w:szCs w:val="20"/>
              </w:rPr>
              <w:t xml:space="preserve">income support  </w:t>
            </w:r>
          </w:p>
        </w:tc>
        <w:tc>
          <w:tcPr>
            <w:tcW w:w="2127" w:type="dxa"/>
            <w:shd w:val="clear" w:color="auto" w:fill="1E3D6B"/>
            <w:vAlign w:val="center"/>
          </w:tcPr>
          <w:p w14:paraId="1E9F4CF1" w14:textId="77777777" w:rsidR="001B7264" w:rsidRPr="0011747A" w:rsidRDefault="001B7264" w:rsidP="00175E1D">
            <w:pPr>
              <w:keepNext/>
              <w:rPr>
                <w:b/>
                <w:sz w:val="20"/>
                <w:szCs w:val="20"/>
              </w:rPr>
            </w:pPr>
            <w:r w:rsidRPr="0011747A">
              <w:rPr>
                <w:b/>
                <w:sz w:val="20"/>
                <w:szCs w:val="20"/>
              </w:rPr>
              <w:t>Full income support</w:t>
            </w:r>
          </w:p>
        </w:tc>
      </w:tr>
      <w:tr w:rsidR="001B7264" w:rsidRPr="0011747A" w14:paraId="0CC1F63C" w14:textId="77777777" w:rsidTr="00282936">
        <w:trPr>
          <w:trHeight w:hRule="exact" w:val="340"/>
        </w:trPr>
        <w:tc>
          <w:tcPr>
            <w:tcW w:w="1951" w:type="dxa"/>
            <w:vAlign w:val="center"/>
          </w:tcPr>
          <w:p w14:paraId="18629029" w14:textId="77777777" w:rsidR="001B7264" w:rsidRPr="0011747A" w:rsidRDefault="001B7264" w:rsidP="001B7264">
            <w:pPr>
              <w:keepNext/>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1</w:t>
            </w:r>
          </w:p>
        </w:tc>
        <w:tc>
          <w:tcPr>
            <w:tcW w:w="2126" w:type="dxa"/>
            <w:vAlign w:val="center"/>
          </w:tcPr>
          <w:p w14:paraId="18413D5A"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-1.7</w:t>
            </w:r>
          </w:p>
        </w:tc>
        <w:tc>
          <w:tcPr>
            <w:tcW w:w="2126" w:type="dxa"/>
            <w:vAlign w:val="center"/>
          </w:tcPr>
          <w:p w14:paraId="19DB71FA"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0.1</w:t>
            </w:r>
          </w:p>
        </w:tc>
        <w:tc>
          <w:tcPr>
            <w:tcW w:w="2127" w:type="dxa"/>
            <w:vAlign w:val="center"/>
          </w:tcPr>
          <w:p w14:paraId="12B033DA" w14:textId="77777777" w:rsidR="001B7264" w:rsidRPr="00C76ADF" w:rsidRDefault="00C76ADF" w:rsidP="0011747A">
            <w:pPr>
              <w:keepNext/>
              <w:tabs>
                <w:tab w:val="left" w:pos="1204"/>
              </w:tabs>
              <w:suppressAutoHyphens/>
              <w:autoSpaceDE w:val="0"/>
              <w:autoSpaceDN w:val="0"/>
              <w:adjustRightInd w:val="0"/>
              <w:spacing w:line="300" w:lineRule="atLeast"/>
              <w:ind w:left="616" w:right="146"/>
              <w:textAlignment w:val="center"/>
              <w:rPr>
                <w:rFonts w:cs="Garamond"/>
                <w:color w:val="000000" w:themeColor="text1"/>
                <w:sz w:val="20"/>
                <w:szCs w:val="20"/>
                <w:lang w:val="en-GB"/>
              </w:rPr>
            </w:pPr>
            <w:r w:rsidRPr="00C76ADF">
              <w:rPr>
                <w:rFonts w:cs="Garamond"/>
                <w:color w:val="000000" w:themeColor="text1"/>
                <w:sz w:val="20"/>
                <w:szCs w:val="20"/>
                <w:lang w:val="en-GB"/>
              </w:rPr>
              <w:t>1.6</w:t>
            </w:r>
          </w:p>
        </w:tc>
      </w:tr>
      <w:tr w:rsidR="001B7264" w:rsidRPr="0011747A" w14:paraId="58B7A790" w14:textId="77777777" w:rsidTr="00282936">
        <w:trPr>
          <w:trHeight w:hRule="exact" w:val="340"/>
        </w:trPr>
        <w:tc>
          <w:tcPr>
            <w:tcW w:w="1951" w:type="dxa"/>
            <w:shd w:val="clear" w:color="auto" w:fill="E5E5E5" w:themeFill="background1" w:themeFillTint="33"/>
            <w:vAlign w:val="center"/>
          </w:tcPr>
          <w:p w14:paraId="08100C94" w14:textId="77777777" w:rsidR="001B7264" w:rsidRPr="0011747A" w:rsidRDefault="001B7264" w:rsidP="001B7264">
            <w:pPr>
              <w:keepNext/>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2</w:t>
            </w:r>
          </w:p>
        </w:tc>
        <w:tc>
          <w:tcPr>
            <w:tcW w:w="2126" w:type="dxa"/>
            <w:shd w:val="clear" w:color="auto" w:fill="E5E5E5" w:themeFill="background1" w:themeFillTint="33"/>
            <w:vAlign w:val="center"/>
          </w:tcPr>
          <w:p w14:paraId="6ABF46C1"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-2.3</w:t>
            </w:r>
          </w:p>
        </w:tc>
        <w:tc>
          <w:tcPr>
            <w:tcW w:w="2126" w:type="dxa"/>
            <w:shd w:val="clear" w:color="auto" w:fill="E5E5E5" w:themeFill="background1" w:themeFillTint="33"/>
            <w:vAlign w:val="center"/>
          </w:tcPr>
          <w:p w14:paraId="470A54C5"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0.1</w:t>
            </w:r>
          </w:p>
        </w:tc>
        <w:tc>
          <w:tcPr>
            <w:tcW w:w="2127" w:type="dxa"/>
            <w:shd w:val="clear" w:color="auto" w:fill="E5E5E5" w:themeFill="background1" w:themeFillTint="33"/>
            <w:vAlign w:val="center"/>
          </w:tcPr>
          <w:p w14:paraId="7262F0AA" w14:textId="77777777" w:rsidR="001B7264" w:rsidRPr="00C76ADF" w:rsidRDefault="002C399A" w:rsidP="0011747A">
            <w:pPr>
              <w:keepNext/>
              <w:tabs>
                <w:tab w:val="left" w:pos="1204"/>
              </w:tabs>
              <w:suppressAutoHyphens/>
              <w:autoSpaceDE w:val="0"/>
              <w:autoSpaceDN w:val="0"/>
              <w:adjustRightInd w:val="0"/>
              <w:spacing w:line="300" w:lineRule="atLeast"/>
              <w:ind w:left="616" w:right="146"/>
              <w:textAlignment w:val="center"/>
              <w:rPr>
                <w:rFonts w:cs="Garamond"/>
                <w:color w:val="000000" w:themeColor="text1"/>
                <w:sz w:val="20"/>
                <w:szCs w:val="20"/>
                <w:lang w:val="en-GB"/>
              </w:rPr>
            </w:pPr>
            <w:r w:rsidRPr="00C76ADF">
              <w:rPr>
                <w:rFonts w:cs="Garamond"/>
                <w:color w:val="000000" w:themeColor="text1"/>
                <w:sz w:val="20"/>
                <w:szCs w:val="20"/>
                <w:lang w:val="en-GB"/>
              </w:rPr>
              <w:t>2.2</w:t>
            </w:r>
          </w:p>
        </w:tc>
      </w:tr>
      <w:tr w:rsidR="001B7264" w:rsidRPr="0011747A" w14:paraId="5541701C" w14:textId="77777777" w:rsidTr="00282936">
        <w:trPr>
          <w:trHeight w:hRule="exact" w:val="340"/>
        </w:trPr>
        <w:tc>
          <w:tcPr>
            <w:tcW w:w="1951" w:type="dxa"/>
            <w:vAlign w:val="center"/>
          </w:tcPr>
          <w:p w14:paraId="18A41841" w14:textId="77777777" w:rsidR="001B7264" w:rsidRPr="0011747A" w:rsidRDefault="001B7264" w:rsidP="001B7264">
            <w:pPr>
              <w:keepNext/>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3</w:t>
            </w:r>
          </w:p>
        </w:tc>
        <w:tc>
          <w:tcPr>
            <w:tcW w:w="2126" w:type="dxa"/>
            <w:vAlign w:val="center"/>
          </w:tcPr>
          <w:p w14:paraId="6A434064"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-2.8</w:t>
            </w:r>
          </w:p>
        </w:tc>
        <w:tc>
          <w:tcPr>
            <w:tcW w:w="2126" w:type="dxa"/>
            <w:vAlign w:val="center"/>
          </w:tcPr>
          <w:p w14:paraId="310A20CF"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0.1</w:t>
            </w:r>
          </w:p>
        </w:tc>
        <w:tc>
          <w:tcPr>
            <w:tcW w:w="2127" w:type="dxa"/>
            <w:vAlign w:val="center"/>
          </w:tcPr>
          <w:p w14:paraId="6C996EED" w14:textId="77777777" w:rsidR="001B7264" w:rsidRPr="00C76ADF" w:rsidRDefault="002C399A" w:rsidP="0011747A">
            <w:pPr>
              <w:keepNext/>
              <w:tabs>
                <w:tab w:val="left" w:pos="1204"/>
              </w:tabs>
              <w:suppressAutoHyphens/>
              <w:autoSpaceDE w:val="0"/>
              <w:autoSpaceDN w:val="0"/>
              <w:adjustRightInd w:val="0"/>
              <w:spacing w:line="300" w:lineRule="atLeast"/>
              <w:ind w:left="616" w:right="146"/>
              <w:textAlignment w:val="center"/>
              <w:rPr>
                <w:rFonts w:cs="Garamond"/>
                <w:color w:val="000000" w:themeColor="text1"/>
                <w:sz w:val="20"/>
                <w:szCs w:val="20"/>
                <w:lang w:val="en-GB"/>
              </w:rPr>
            </w:pPr>
            <w:r w:rsidRPr="00C76ADF">
              <w:rPr>
                <w:rFonts w:cs="Garamond"/>
                <w:color w:val="000000" w:themeColor="text1"/>
                <w:sz w:val="20"/>
                <w:szCs w:val="20"/>
                <w:lang w:val="en-GB"/>
              </w:rPr>
              <w:t>2.7</w:t>
            </w:r>
          </w:p>
        </w:tc>
      </w:tr>
      <w:tr w:rsidR="001B7264" w:rsidRPr="0011747A" w14:paraId="1E6E0663" w14:textId="77777777" w:rsidTr="00282936">
        <w:trPr>
          <w:trHeight w:hRule="exact" w:val="340"/>
        </w:trPr>
        <w:tc>
          <w:tcPr>
            <w:tcW w:w="1951" w:type="dxa"/>
            <w:shd w:val="clear" w:color="auto" w:fill="E5E5E5" w:themeFill="background1" w:themeFillTint="33"/>
            <w:vAlign w:val="center"/>
          </w:tcPr>
          <w:p w14:paraId="4A76BF4F" w14:textId="77777777" w:rsidR="001B7264" w:rsidRPr="0011747A" w:rsidRDefault="001B7264" w:rsidP="001B7264">
            <w:pPr>
              <w:keepNext/>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4</w:t>
            </w:r>
          </w:p>
        </w:tc>
        <w:tc>
          <w:tcPr>
            <w:tcW w:w="2126" w:type="dxa"/>
            <w:shd w:val="clear" w:color="auto" w:fill="E5E5E5" w:themeFill="background1" w:themeFillTint="33"/>
            <w:vAlign w:val="center"/>
          </w:tcPr>
          <w:p w14:paraId="48960B12"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-3.3</w:t>
            </w:r>
          </w:p>
        </w:tc>
        <w:tc>
          <w:tcPr>
            <w:tcW w:w="2126" w:type="dxa"/>
            <w:shd w:val="clear" w:color="auto" w:fill="E5E5E5" w:themeFill="background1" w:themeFillTint="33"/>
            <w:vAlign w:val="center"/>
          </w:tcPr>
          <w:p w14:paraId="3F33956B" w14:textId="77777777" w:rsidR="001B7264" w:rsidRPr="0011747A"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Pr>
                <w:rFonts w:cs="Garamond"/>
                <w:sz w:val="20"/>
                <w:szCs w:val="20"/>
                <w:lang w:val="en-GB"/>
              </w:rPr>
              <w:t>0.0</w:t>
            </w:r>
          </w:p>
        </w:tc>
        <w:tc>
          <w:tcPr>
            <w:tcW w:w="2127" w:type="dxa"/>
            <w:shd w:val="clear" w:color="auto" w:fill="E5E5E5" w:themeFill="background1" w:themeFillTint="33"/>
            <w:vAlign w:val="center"/>
          </w:tcPr>
          <w:p w14:paraId="38F80895" w14:textId="77777777" w:rsidR="001B7264" w:rsidRPr="00C76ADF" w:rsidRDefault="002C399A" w:rsidP="0011747A">
            <w:pPr>
              <w:keepNext/>
              <w:tabs>
                <w:tab w:val="left" w:pos="1204"/>
              </w:tabs>
              <w:suppressAutoHyphens/>
              <w:autoSpaceDE w:val="0"/>
              <w:autoSpaceDN w:val="0"/>
              <w:adjustRightInd w:val="0"/>
              <w:spacing w:line="300" w:lineRule="atLeast"/>
              <w:ind w:left="616" w:right="146"/>
              <w:textAlignment w:val="center"/>
              <w:rPr>
                <w:rFonts w:cs="Garamond"/>
                <w:color w:val="000000" w:themeColor="text1"/>
                <w:sz w:val="20"/>
                <w:szCs w:val="20"/>
                <w:lang w:val="en-GB"/>
              </w:rPr>
            </w:pPr>
            <w:r w:rsidRPr="00C76ADF">
              <w:rPr>
                <w:rFonts w:cs="Garamond"/>
                <w:color w:val="000000" w:themeColor="text1"/>
                <w:sz w:val="20"/>
                <w:szCs w:val="20"/>
                <w:lang w:val="en-GB"/>
              </w:rPr>
              <w:t>3.3</w:t>
            </w:r>
          </w:p>
        </w:tc>
      </w:tr>
      <w:tr w:rsidR="001B7264" w:rsidRPr="00282936" w14:paraId="632878F3" w14:textId="77777777" w:rsidTr="00282936">
        <w:trPr>
          <w:trHeight w:hRule="exact" w:val="340"/>
        </w:trPr>
        <w:tc>
          <w:tcPr>
            <w:tcW w:w="1951" w:type="dxa"/>
            <w:shd w:val="clear" w:color="auto" w:fill="8EAEDE"/>
            <w:vAlign w:val="center"/>
          </w:tcPr>
          <w:p w14:paraId="7DF7B7A9" w14:textId="77777777" w:rsidR="001B7264" w:rsidRPr="00282936" w:rsidRDefault="001B7264" w:rsidP="001B7264">
            <w:pPr>
              <w:keepNext/>
              <w:suppressAutoHyphens/>
              <w:autoSpaceDE w:val="0"/>
              <w:autoSpaceDN w:val="0"/>
              <w:adjustRightInd w:val="0"/>
              <w:spacing w:line="300" w:lineRule="atLeast"/>
              <w:ind w:right="257"/>
              <w:textAlignment w:val="center"/>
              <w:rPr>
                <w:rFonts w:cs="Garamond"/>
                <w:sz w:val="20"/>
                <w:szCs w:val="20"/>
                <w:lang w:val="en-GB"/>
              </w:rPr>
            </w:pPr>
            <w:r w:rsidRPr="00282936">
              <w:rPr>
                <w:rFonts w:cs="Garamond"/>
                <w:sz w:val="20"/>
                <w:szCs w:val="20"/>
                <w:lang w:val="en-GB"/>
              </w:rPr>
              <w:t>Total</w:t>
            </w:r>
          </w:p>
        </w:tc>
        <w:tc>
          <w:tcPr>
            <w:tcW w:w="2126" w:type="dxa"/>
            <w:shd w:val="clear" w:color="auto" w:fill="8EAEDE"/>
            <w:vAlign w:val="center"/>
          </w:tcPr>
          <w:p w14:paraId="234DDB56" w14:textId="77777777" w:rsidR="001B7264" w:rsidRPr="00282936"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sidRPr="00282936">
              <w:rPr>
                <w:rFonts w:cs="Garamond"/>
                <w:sz w:val="20"/>
                <w:szCs w:val="20"/>
                <w:lang w:val="en-GB"/>
              </w:rPr>
              <w:t>-1.8</w:t>
            </w:r>
          </w:p>
        </w:tc>
        <w:tc>
          <w:tcPr>
            <w:tcW w:w="2126" w:type="dxa"/>
            <w:shd w:val="clear" w:color="auto" w:fill="8EAEDE"/>
            <w:vAlign w:val="center"/>
          </w:tcPr>
          <w:p w14:paraId="7CE43F57" w14:textId="77777777" w:rsidR="001B7264" w:rsidRPr="00282936" w:rsidRDefault="002C399A" w:rsidP="0011747A">
            <w:pPr>
              <w:keepNext/>
              <w:tabs>
                <w:tab w:val="left" w:pos="1204"/>
              </w:tabs>
              <w:suppressAutoHyphens/>
              <w:autoSpaceDE w:val="0"/>
              <w:autoSpaceDN w:val="0"/>
              <w:adjustRightInd w:val="0"/>
              <w:spacing w:line="300" w:lineRule="atLeast"/>
              <w:ind w:left="616" w:right="263"/>
              <w:textAlignment w:val="center"/>
              <w:rPr>
                <w:rFonts w:cs="Garamond"/>
                <w:sz w:val="20"/>
                <w:szCs w:val="20"/>
                <w:lang w:val="en-GB"/>
              </w:rPr>
            </w:pPr>
            <w:r w:rsidRPr="00282936">
              <w:rPr>
                <w:rFonts w:cs="Garamond"/>
                <w:sz w:val="20"/>
                <w:szCs w:val="20"/>
                <w:lang w:val="en-GB"/>
              </w:rPr>
              <w:t>0.1</w:t>
            </w:r>
          </w:p>
        </w:tc>
        <w:tc>
          <w:tcPr>
            <w:tcW w:w="2127" w:type="dxa"/>
            <w:shd w:val="clear" w:color="auto" w:fill="8EAEDE"/>
            <w:vAlign w:val="center"/>
          </w:tcPr>
          <w:p w14:paraId="5B5EE949" w14:textId="77777777" w:rsidR="001B7264" w:rsidRPr="00282936" w:rsidRDefault="00C76ADF" w:rsidP="0011747A">
            <w:pPr>
              <w:keepNext/>
              <w:tabs>
                <w:tab w:val="left" w:pos="1204"/>
              </w:tabs>
              <w:suppressAutoHyphens/>
              <w:autoSpaceDE w:val="0"/>
              <w:autoSpaceDN w:val="0"/>
              <w:adjustRightInd w:val="0"/>
              <w:spacing w:line="300" w:lineRule="atLeast"/>
              <w:ind w:left="616" w:right="146"/>
              <w:textAlignment w:val="center"/>
              <w:rPr>
                <w:rFonts w:cs="Garamond"/>
                <w:color w:val="000000" w:themeColor="text1"/>
                <w:sz w:val="20"/>
                <w:szCs w:val="20"/>
                <w:lang w:val="en-GB"/>
              </w:rPr>
            </w:pPr>
            <w:r w:rsidRPr="00282936">
              <w:rPr>
                <w:rFonts w:cs="Garamond"/>
                <w:color w:val="000000" w:themeColor="text1"/>
                <w:sz w:val="20"/>
                <w:szCs w:val="20"/>
                <w:lang w:val="en-GB"/>
              </w:rPr>
              <w:t>1.7</w:t>
            </w:r>
          </w:p>
        </w:tc>
      </w:tr>
    </w:tbl>
    <w:p w14:paraId="22B4DD8B" w14:textId="77777777" w:rsidR="00E80C53" w:rsidRDefault="00E80C53" w:rsidP="00E80C53">
      <w:pPr>
        <w:pStyle w:val="Notes"/>
        <w:rPr>
          <w:b/>
        </w:rPr>
      </w:pPr>
      <w:r w:rsidRPr="00E80C53">
        <w:rPr>
          <w:rStyle w:val="NotesChar"/>
          <w:b/>
        </w:rPr>
        <w:t>Note:</w:t>
      </w:r>
      <w:r>
        <w:rPr>
          <w:b/>
        </w:rPr>
        <w:tab/>
      </w:r>
      <w:r w:rsidRPr="00E80C53">
        <w:rPr>
          <w:rStyle w:val="NotesChar"/>
        </w:rPr>
        <w:t xml:space="preserve">Refer </w:t>
      </w:r>
      <w:hyperlink w:anchor="Title_A28" w:history="1">
        <w:r w:rsidRPr="002F7E24">
          <w:rPr>
            <w:rStyle w:val="Hyperlink"/>
          </w:rPr>
          <w:t>Appendix A</w:t>
        </w:r>
        <w:r w:rsidR="000748CA" w:rsidRPr="002F7E24">
          <w:rPr>
            <w:rStyle w:val="Hyperlink"/>
          </w:rPr>
          <w:t>2</w:t>
        </w:r>
        <w:r w:rsidRPr="002F7E24">
          <w:rPr>
            <w:rStyle w:val="Hyperlink"/>
          </w:rPr>
          <w:t>, Table A2.8</w:t>
        </w:r>
      </w:hyperlink>
      <w:r w:rsidRPr="00E80C53">
        <w:rPr>
          <w:rStyle w:val="NotesChar"/>
        </w:rPr>
        <w:t>.</w:t>
      </w:r>
      <w:bookmarkStart w:id="192" w:name="Place_A28"/>
      <w:bookmarkEnd w:id="192"/>
    </w:p>
    <w:p w14:paraId="0FA3DA1E" w14:textId="77777777" w:rsidR="001B7264" w:rsidRPr="001B7264" w:rsidRDefault="001B7264" w:rsidP="001B7264">
      <w:pPr>
        <w:tabs>
          <w:tab w:val="left" w:pos="709"/>
        </w:tabs>
        <w:spacing w:after="0"/>
        <w:ind w:left="709" w:hanging="709"/>
        <w:rPr>
          <w:rFonts w:eastAsia="Times New Roman"/>
          <w:sz w:val="18"/>
          <w:szCs w:val="20"/>
          <w:lang w:eastAsia="en-AU"/>
        </w:rPr>
      </w:pPr>
      <w:r w:rsidRPr="001B7264">
        <w:rPr>
          <w:b/>
          <w:sz w:val="18"/>
          <w:szCs w:val="20"/>
        </w:rPr>
        <w:t>Source:</w:t>
      </w:r>
      <w:r w:rsidRPr="001B7264">
        <w:rPr>
          <w:rFonts w:eastAsia="Times New Roman"/>
          <w:sz w:val="18"/>
          <w:szCs w:val="20"/>
          <w:lang w:eastAsia="en-AU"/>
        </w:rPr>
        <w:t xml:space="preserve"> </w:t>
      </w:r>
      <w:r w:rsidRPr="001B7264">
        <w:rPr>
          <w:rFonts w:eastAsia="Times New Roman"/>
          <w:sz w:val="18"/>
          <w:szCs w:val="20"/>
          <w:lang w:eastAsia="en-AU"/>
        </w:rPr>
        <w:tab/>
        <w:t>Department of Employment administrative data</w:t>
      </w:r>
      <w:r w:rsidR="00F774E4">
        <w:rPr>
          <w:rFonts w:eastAsia="Times New Roman"/>
          <w:sz w:val="18"/>
          <w:szCs w:val="20"/>
          <w:lang w:eastAsia="en-AU"/>
        </w:rPr>
        <w:t xml:space="preserve"> and Research and Evaluation dataset (RED)</w:t>
      </w:r>
      <w:r w:rsidRPr="001B7264">
        <w:rPr>
          <w:rFonts w:eastAsia="Times New Roman"/>
          <w:sz w:val="18"/>
          <w:szCs w:val="20"/>
          <w:lang w:eastAsia="en-AU"/>
        </w:rPr>
        <w:t>.</w:t>
      </w:r>
    </w:p>
    <w:p w14:paraId="1BF3625B" w14:textId="77777777" w:rsidR="001B7264" w:rsidRPr="001B7264" w:rsidRDefault="001B7264" w:rsidP="001B7264">
      <w:pPr>
        <w:spacing w:before="120"/>
      </w:pPr>
      <w:r w:rsidRPr="001B7264">
        <w:t xml:space="preserve">Differences in sustainability of income support exits between the two </w:t>
      </w:r>
      <w:r w:rsidR="006D3884">
        <w:t>models</w:t>
      </w:r>
      <w:r w:rsidRPr="001B7264">
        <w:t xml:space="preserve"> were mostly due to differences in the </w:t>
      </w:r>
      <w:r w:rsidR="009B706E">
        <w:t xml:space="preserve">proportion </w:t>
      </w:r>
      <w:r w:rsidRPr="001B7264">
        <w:t>of job seekers that remained off income support</w:t>
      </w:r>
      <w:r w:rsidR="007D4482">
        <w:t>,</w:t>
      </w:r>
      <w:r w:rsidRPr="001B7264">
        <w:t xml:space="preserve"> compared to those being on a full rate of income support. The </w:t>
      </w:r>
      <w:r w:rsidR="009B706E">
        <w:t xml:space="preserve">share </w:t>
      </w:r>
      <w:r w:rsidRPr="001B7264">
        <w:t xml:space="preserve">of job seekers </w:t>
      </w:r>
      <w:r w:rsidR="000B7C54">
        <w:t xml:space="preserve">on </w:t>
      </w:r>
      <w:r w:rsidRPr="001B7264">
        <w:t xml:space="preserve">a partial rate of income support 12 months after exiting </w:t>
      </w:r>
      <w:r w:rsidR="00B07CB9" w:rsidRPr="001B7264">
        <w:t>w</w:t>
      </w:r>
      <w:r w:rsidR="00B07CB9">
        <w:t>as</w:t>
      </w:r>
      <w:r w:rsidR="00B07CB9" w:rsidRPr="001B7264">
        <w:t xml:space="preserve"> </w:t>
      </w:r>
      <w:r w:rsidRPr="001B7264">
        <w:t>very similar between the two models.</w:t>
      </w:r>
    </w:p>
    <w:p w14:paraId="6310EC09" w14:textId="77777777" w:rsidR="001B7264" w:rsidRPr="001B7264" w:rsidRDefault="002B0485" w:rsidP="002B0485">
      <w:pPr>
        <w:pStyle w:val="Heading3"/>
      </w:pPr>
      <w:bookmarkStart w:id="193" w:name="_Toc22543075"/>
      <w:r>
        <w:t>3.1.</w:t>
      </w:r>
      <w:r w:rsidR="008C11CB">
        <w:t>3</w:t>
      </w:r>
      <w:r>
        <w:tab/>
      </w:r>
      <w:r w:rsidR="001B7264" w:rsidRPr="001B7264">
        <w:t>Conclusion</w:t>
      </w:r>
      <w:bookmarkEnd w:id="193"/>
    </w:p>
    <w:p w14:paraId="1B3C1134" w14:textId="77777777" w:rsidR="001B7264" w:rsidRPr="001B7264" w:rsidRDefault="007D4482" w:rsidP="00A62F06">
      <w:pPr>
        <w:spacing w:after="0"/>
      </w:pPr>
      <w:r>
        <w:t>F</w:t>
      </w:r>
      <w:r w:rsidR="001B7264" w:rsidRPr="001B7264">
        <w:t>or new entrant</w:t>
      </w:r>
      <w:r>
        <w:t xml:space="preserve"> job seeker</w:t>
      </w:r>
      <w:r w:rsidR="001B7264" w:rsidRPr="001B7264">
        <w:t>s</w:t>
      </w:r>
      <w:r>
        <w:t xml:space="preserve">, </w:t>
      </w:r>
      <w:r w:rsidRPr="001B7264">
        <w:t>compared to JSA 2009</w:t>
      </w:r>
      <w:r>
        <w:t>,</w:t>
      </w:r>
      <w:r w:rsidR="001B7264" w:rsidRPr="001B7264">
        <w:t xml:space="preserve"> JSA 2012 </w:t>
      </w:r>
      <w:r>
        <w:t>was</w:t>
      </w:r>
      <w:r w:rsidR="001B7264" w:rsidRPr="001B7264">
        <w:t>:</w:t>
      </w:r>
    </w:p>
    <w:p w14:paraId="6A6CBC00" w14:textId="77777777" w:rsidR="001B7264" w:rsidRPr="00420E6F" w:rsidRDefault="001B7264" w:rsidP="00DB48FA">
      <w:pPr>
        <w:pStyle w:val="ListParagraph"/>
      </w:pPr>
      <w:r w:rsidRPr="00420E6F">
        <w:t xml:space="preserve">more effective in getting job seekers commenced outside of the RapidConnect process (on average </w:t>
      </w:r>
      <w:r w:rsidR="00200410" w:rsidRPr="00420E6F">
        <w:t xml:space="preserve">eight </w:t>
      </w:r>
      <w:r w:rsidRPr="00420E6F">
        <w:t>days quicker under JSA 2012) with similar connection rates for those using RapidConnect.</w:t>
      </w:r>
    </w:p>
    <w:p w14:paraId="68752A1C" w14:textId="77777777" w:rsidR="001B7264" w:rsidRPr="001B7264" w:rsidRDefault="001B7264" w:rsidP="00DB48FA">
      <w:pPr>
        <w:pStyle w:val="ListParagraph"/>
        <w:numPr>
          <w:ilvl w:val="0"/>
          <w:numId w:val="300"/>
        </w:numPr>
        <w:ind w:left="709"/>
      </w:pPr>
      <w:r w:rsidRPr="00420E6F">
        <w:t xml:space="preserve">less effective in getting </w:t>
      </w:r>
      <w:r w:rsidR="007D4482" w:rsidRPr="00420E6F">
        <w:t xml:space="preserve">and keeping job seekers </w:t>
      </w:r>
      <w:r w:rsidRPr="00420E6F">
        <w:t xml:space="preserve">in employment and off </w:t>
      </w:r>
      <w:r w:rsidR="00B53786" w:rsidRPr="00420E6F">
        <w:t>income support</w:t>
      </w:r>
      <w:r w:rsidRPr="00420E6F">
        <w:t>. JSA 2012 had</w:t>
      </w:r>
      <w:r w:rsidRPr="001B7264">
        <w:t>:</w:t>
      </w:r>
    </w:p>
    <w:p w14:paraId="71DD5367" w14:textId="77777777" w:rsidR="001B7264" w:rsidRPr="001B7264" w:rsidRDefault="001B7264" w:rsidP="00961617">
      <w:pPr>
        <w:numPr>
          <w:ilvl w:val="2"/>
          <w:numId w:val="90"/>
        </w:numPr>
        <w:ind w:left="1843"/>
        <w:contextualSpacing/>
      </w:pPr>
      <w:r w:rsidRPr="001B7264">
        <w:t xml:space="preserve">similar education outcome rates </w:t>
      </w:r>
      <w:r w:rsidR="00374A04">
        <w:t>(</w:t>
      </w:r>
      <w:r w:rsidR="007D4482">
        <w:t xml:space="preserve">as measured by </w:t>
      </w:r>
      <w:r w:rsidR="00374A04">
        <w:t>PPM)</w:t>
      </w:r>
    </w:p>
    <w:p w14:paraId="52D59173" w14:textId="77777777" w:rsidR="001B7264" w:rsidRPr="001B7264" w:rsidRDefault="001B7264" w:rsidP="00961617">
      <w:pPr>
        <w:numPr>
          <w:ilvl w:val="2"/>
          <w:numId w:val="90"/>
        </w:numPr>
        <w:ind w:left="1843"/>
        <w:contextualSpacing/>
      </w:pPr>
      <w:r w:rsidRPr="001B7264">
        <w:t xml:space="preserve">lower employment outcome rates </w:t>
      </w:r>
      <w:r w:rsidR="00374A04">
        <w:t>(</w:t>
      </w:r>
      <w:r w:rsidR="007D4482">
        <w:t xml:space="preserve">as measured by </w:t>
      </w:r>
      <w:r w:rsidR="00374A04">
        <w:t>PPM)</w:t>
      </w:r>
    </w:p>
    <w:p w14:paraId="6639CC81" w14:textId="77777777" w:rsidR="001B7264" w:rsidRPr="001B7264" w:rsidRDefault="001B7264" w:rsidP="00961617">
      <w:pPr>
        <w:numPr>
          <w:ilvl w:val="2"/>
          <w:numId w:val="90"/>
        </w:numPr>
        <w:ind w:left="1843"/>
        <w:contextualSpacing/>
      </w:pPr>
      <w:r w:rsidRPr="001B7264">
        <w:t>a 6.</w:t>
      </w:r>
      <w:r w:rsidR="005921FD">
        <w:t>5</w:t>
      </w:r>
      <w:r w:rsidR="005921FD" w:rsidRPr="001B7264">
        <w:t xml:space="preserve"> </w:t>
      </w:r>
      <w:r w:rsidRPr="001B7264">
        <w:t>p</w:t>
      </w:r>
      <w:r w:rsidR="00B53786">
        <w:t xml:space="preserve">ercentage </w:t>
      </w:r>
      <w:r w:rsidRPr="001B7264">
        <w:t>p</w:t>
      </w:r>
      <w:r w:rsidR="00B53786">
        <w:t>oin</w:t>
      </w:r>
      <w:r w:rsidRPr="001B7264">
        <w:t xml:space="preserve">t higher reliance on income support 12 months after registration </w:t>
      </w:r>
      <w:r w:rsidR="00374A04">
        <w:t>(regressed)</w:t>
      </w:r>
    </w:p>
    <w:p w14:paraId="52676800" w14:textId="150FFA51" w:rsidR="001B7264" w:rsidRPr="001B7264" w:rsidRDefault="001B7264" w:rsidP="00961617">
      <w:pPr>
        <w:numPr>
          <w:ilvl w:val="2"/>
          <w:numId w:val="90"/>
        </w:numPr>
        <w:ind w:left="1843"/>
        <w:contextualSpacing/>
      </w:pPr>
      <w:r w:rsidRPr="001B7264">
        <w:t>a 1.7 p</w:t>
      </w:r>
      <w:r w:rsidR="00B53786">
        <w:t xml:space="preserve">ercentage </w:t>
      </w:r>
      <w:r w:rsidRPr="001B7264">
        <w:t>p</w:t>
      </w:r>
      <w:r w:rsidR="00B53786">
        <w:t>oin</w:t>
      </w:r>
      <w:r w:rsidRPr="001B7264">
        <w:t>t higher return to income support (full rate) after 12</w:t>
      </w:r>
      <w:r w:rsidR="004028A4">
        <w:t> </w:t>
      </w:r>
      <w:r w:rsidRPr="001B7264">
        <w:t>months after exiting service and income support</w:t>
      </w:r>
      <w:r w:rsidR="003A2801">
        <w:t xml:space="preserve"> (regressed)</w:t>
      </w:r>
      <w:r w:rsidRPr="001B7264">
        <w:t>.</w:t>
      </w:r>
    </w:p>
    <w:p w14:paraId="640D9A7F" w14:textId="77777777" w:rsidR="001B7264" w:rsidRPr="001B7264" w:rsidRDefault="005921FD" w:rsidP="00EE4D5D">
      <w:pPr>
        <w:spacing w:before="240" w:after="0"/>
      </w:pPr>
      <w:r>
        <w:t xml:space="preserve">The </w:t>
      </w:r>
      <w:r w:rsidR="003A2801">
        <w:t xml:space="preserve">regressed </w:t>
      </w:r>
      <w:r>
        <w:t>m</w:t>
      </w:r>
      <w:r w:rsidR="001B7264" w:rsidRPr="001B7264">
        <w:t xml:space="preserve">easures take measurable differences in macroeconomic conditions and the demographic composition of the job seeker cohorts into account. There </w:t>
      </w:r>
      <w:r w:rsidR="003A2801">
        <w:t xml:space="preserve">may have been </w:t>
      </w:r>
      <w:r w:rsidR="001B7264" w:rsidRPr="001B7264">
        <w:t>other factors, however, which the analysis is not able to account for including, but not limited to:</w:t>
      </w:r>
    </w:p>
    <w:p w14:paraId="78ECD373" w14:textId="77777777" w:rsidR="001B7264" w:rsidRPr="001B7264" w:rsidRDefault="001B7264" w:rsidP="00DB48FA">
      <w:pPr>
        <w:pStyle w:val="ListParagraph"/>
      </w:pPr>
      <w:r w:rsidRPr="001B7264">
        <w:t>differing levels of job seeker motivation</w:t>
      </w:r>
    </w:p>
    <w:p w14:paraId="3078D066" w14:textId="77777777" w:rsidR="001B7264" w:rsidRPr="001B7264" w:rsidRDefault="001B7264" w:rsidP="00DB48FA">
      <w:pPr>
        <w:pStyle w:val="ListParagraph"/>
      </w:pPr>
      <w:r w:rsidRPr="001B7264">
        <w:t>changes in provider practices</w:t>
      </w:r>
    </w:p>
    <w:p w14:paraId="25DFA901" w14:textId="77777777" w:rsidR="001B7264" w:rsidRPr="001B7264" w:rsidRDefault="001B7264" w:rsidP="00DB48FA">
      <w:pPr>
        <w:pStyle w:val="ListParagraph"/>
      </w:pPr>
      <w:r w:rsidRPr="001B7264">
        <w:t>income support programme changes</w:t>
      </w:r>
    </w:p>
    <w:p w14:paraId="10635DF0" w14:textId="77777777" w:rsidR="001B7264" w:rsidRPr="001B7264" w:rsidRDefault="00200410" w:rsidP="00DB48FA">
      <w:pPr>
        <w:pStyle w:val="ListParagraph"/>
      </w:pPr>
      <w:r>
        <w:t>s</w:t>
      </w:r>
      <w:r w:rsidR="001B7264" w:rsidRPr="001B7264">
        <w:t>tate and local government programmes such in the education and training area.</w:t>
      </w:r>
    </w:p>
    <w:p w14:paraId="4F177A1B" w14:textId="77777777" w:rsidR="001B7264" w:rsidRPr="001B7264" w:rsidRDefault="001B7264" w:rsidP="001C4630">
      <w:pPr>
        <w:spacing w:before="240"/>
      </w:pPr>
      <w:r w:rsidRPr="001B7264">
        <w:t xml:space="preserve">Based on this research it </w:t>
      </w:r>
      <w:r w:rsidR="00EE4D5D">
        <w:t>could</w:t>
      </w:r>
      <w:r w:rsidRPr="001B7264">
        <w:t xml:space="preserve"> be reasonably concluded that JSA 2012 was </w:t>
      </w:r>
      <w:r w:rsidR="00EE4D5D">
        <w:t>probably n</w:t>
      </w:r>
      <w:r w:rsidRPr="001B7264">
        <w:t>ot as effective as JSA 2009 for m</w:t>
      </w:r>
      <w:r w:rsidR="00EE4D5D">
        <w:t>any</w:t>
      </w:r>
      <w:r w:rsidRPr="001B7264">
        <w:t xml:space="preserve"> new entrant job seekers in achieving its primary objective of getting people in to employment and off of </w:t>
      </w:r>
      <w:r w:rsidR="00B53786">
        <w:t>income support</w:t>
      </w:r>
      <w:r w:rsidRPr="001B7264">
        <w:t>, with the possible exception of Stream 4 new entrant job seekers.</w:t>
      </w:r>
    </w:p>
    <w:p w14:paraId="52B4474F" w14:textId="77777777" w:rsidR="00FC7A84" w:rsidRDefault="00FC7A84" w:rsidP="004D4671">
      <w:pPr>
        <w:pStyle w:val="Heading2"/>
        <w:keepNext/>
      </w:pPr>
      <w:bookmarkStart w:id="194" w:name="_Toc450919332"/>
      <w:bookmarkStart w:id="195" w:name="_Toc22543076"/>
      <w:r>
        <w:t>3.2</w:t>
      </w:r>
      <w:r>
        <w:tab/>
      </w:r>
      <w:r w:rsidR="008357B8">
        <w:t>Effectiveness for l</w:t>
      </w:r>
      <w:r>
        <w:t>ong term unemployed job seekers</w:t>
      </w:r>
      <w:bookmarkEnd w:id="194"/>
      <w:bookmarkEnd w:id="195"/>
    </w:p>
    <w:p w14:paraId="692071F2" w14:textId="77777777" w:rsidR="008C11CB" w:rsidRDefault="008C11CB" w:rsidP="0062471D">
      <w:pPr>
        <w:pStyle w:val="Heading3"/>
      </w:pPr>
      <w:bookmarkStart w:id="196" w:name="_Toc22543077"/>
      <w:r>
        <w:t>3.2.1</w:t>
      </w:r>
      <w:r>
        <w:tab/>
        <w:t>Introduction</w:t>
      </w:r>
      <w:bookmarkEnd w:id="196"/>
    </w:p>
    <w:p w14:paraId="1CC03F5C" w14:textId="1DEE616A" w:rsidR="00AF410D" w:rsidRDefault="00AF410D" w:rsidP="00AF410D">
      <w:r>
        <w:t>By definition new entrant job seekers are not long-term unemployed</w:t>
      </w:r>
      <w:r w:rsidR="00815EA5">
        <w:t xml:space="preserve"> (LTU)</w:t>
      </w:r>
      <w:r>
        <w:t xml:space="preserve">, although many may become so over the study </w:t>
      </w:r>
      <w:r w:rsidR="00750FA4">
        <w:t>period. As</w:t>
      </w:r>
      <w:r w:rsidR="00017C1A">
        <w:t xml:space="preserve"> </w:t>
      </w:r>
      <w:r w:rsidR="00200410">
        <w:t>s</w:t>
      </w:r>
      <w:r w:rsidR="00017C1A">
        <w:t xml:space="preserve">uch, </w:t>
      </w:r>
      <w:r>
        <w:t xml:space="preserve">the new entrant population is not </w:t>
      </w:r>
      <w:r w:rsidR="00017C1A">
        <w:t>useful for analysing</w:t>
      </w:r>
      <w:r>
        <w:t xml:space="preserve"> the effectiveness of employment services for job seekers who have been out of work (or on income support) for long periods. </w:t>
      </w:r>
      <w:r w:rsidR="00294CB5">
        <w:t>Therefore,</w:t>
      </w:r>
      <w:r w:rsidR="00017C1A">
        <w:t xml:space="preserve"> the</w:t>
      </w:r>
      <w:r>
        <w:t xml:space="preserve"> following analyses use a snapshot or caseload population </w:t>
      </w:r>
      <w:r w:rsidR="00017C1A">
        <w:t>for</w:t>
      </w:r>
      <w:r>
        <w:t xml:space="preserve"> job seekers who </w:t>
      </w:r>
      <w:r w:rsidR="00C84926">
        <w:t xml:space="preserve">had </w:t>
      </w:r>
      <w:r>
        <w:t>been in service for 12 months.</w:t>
      </w:r>
    </w:p>
    <w:p w14:paraId="164B7C39" w14:textId="77777777" w:rsidR="00940174" w:rsidRPr="00940174" w:rsidRDefault="00B53786" w:rsidP="00940174">
      <w:r>
        <w:t>S</w:t>
      </w:r>
      <w:r w:rsidR="00940174" w:rsidRPr="00940174">
        <w:t>ome important changes in the service delivery model</w:t>
      </w:r>
      <w:r>
        <w:t xml:space="preserve"> under JSA 2012 may have </w:t>
      </w:r>
      <w:r w:rsidR="00940174" w:rsidRPr="00940174">
        <w:t xml:space="preserve">affected the servicing of </w:t>
      </w:r>
      <w:r w:rsidR="00FE4270">
        <w:t>long-term unemployed (</w:t>
      </w:r>
      <w:r w:rsidR="00940174" w:rsidRPr="00940174">
        <w:t>LTU</w:t>
      </w:r>
      <w:r w:rsidR="00FE4270">
        <w:t>)</w:t>
      </w:r>
      <w:r w:rsidR="00940174" w:rsidRPr="00940174">
        <w:t xml:space="preserve"> job seekers</w:t>
      </w:r>
      <w:r w:rsidR="00292568">
        <w:t xml:space="preserve"> (Table 1.1)</w:t>
      </w:r>
      <w:r w:rsidR="00940174" w:rsidRPr="00940174">
        <w:t>.</w:t>
      </w:r>
    </w:p>
    <w:p w14:paraId="68E95B57" w14:textId="77777777" w:rsidR="00017C1A" w:rsidRDefault="00017C1A" w:rsidP="00940174">
      <w:r w:rsidRPr="00940174">
        <w:t xml:space="preserve">See </w:t>
      </w:r>
      <w:r w:rsidRPr="001B7264">
        <w:t xml:space="preserve">Appendix </w:t>
      </w:r>
      <w:r>
        <w:t>B1</w:t>
      </w:r>
      <w:r w:rsidRPr="001B7264">
        <w:t xml:space="preserve"> </w:t>
      </w:r>
      <w:r w:rsidRPr="00940174">
        <w:t>for details of the methodology used</w:t>
      </w:r>
      <w:r>
        <w:t xml:space="preserve"> in the following analysis</w:t>
      </w:r>
      <w:r w:rsidR="00CF4879">
        <w:t>.</w:t>
      </w:r>
    </w:p>
    <w:p w14:paraId="5B620121" w14:textId="77777777" w:rsidR="00017C1A" w:rsidRPr="00940174" w:rsidRDefault="00017C1A" w:rsidP="00017C1A">
      <w:pPr>
        <w:pStyle w:val="Heading3"/>
      </w:pPr>
      <w:bookmarkStart w:id="197" w:name="_Toc22543078"/>
      <w:r>
        <w:t>3.2.</w:t>
      </w:r>
      <w:r w:rsidR="006C0340">
        <w:t>2</w:t>
      </w:r>
      <w:r>
        <w:tab/>
      </w:r>
      <w:r w:rsidRPr="00940174">
        <w:t>Key findings</w:t>
      </w:r>
      <w:bookmarkEnd w:id="197"/>
    </w:p>
    <w:p w14:paraId="59D237BD" w14:textId="77777777" w:rsidR="00940174" w:rsidRPr="00292568" w:rsidRDefault="00292568" w:rsidP="00292568">
      <w:pPr>
        <w:pStyle w:val="Heading4"/>
      </w:pPr>
      <w:r>
        <w:t>R</w:t>
      </w:r>
      <w:r w:rsidR="00940174" w:rsidRPr="00292568">
        <w:t>ates of exit from service</w:t>
      </w:r>
      <w:r>
        <w:t xml:space="preserve"> (unregressed)</w:t>
      </w:r>
    </w:p>
    <w:p w14:paraId="70B124F3" w14:textId="77777777" w:rsidR="00940174" w:rsidRPr="00940174" w:rsidRDefault="00940174" w:rsidP="00940174">
      <w:r w:rsidRPr="00940174">
        <w:t xml:space="preserve">Rates of exit from employment services provide an indication of the success of these services in assisting job seekers into employment. However, available information on whether job seekers exit services to employment or for other reasons is </w:t>
      </w:r>
      <w:r w:rsidR="009B706E">
        <w:t>limited</w:t>
      </w:r>
      <w:r w:rsidRPr="00940174">
        <w:t xml:space="preserve">. </w:t>
      </w:r>
      <w:r w:rsidR="00BE2E98">
        <w:t xml:space="preserve">This section </w:t>
      </w:r>
      <w:r w:rsidR="003550E7">
        <w:t>reports</w:t>
      </w:r>
      <w:r w:rsidR="00D7566F">
        <w:t xml:space="preserve"> the </w:t>
      </w:r>
      <w:r w:rsidR="0041014B">
        <w:t xml:space="preserve">exit </w:t>
      </w:r>
      <w:r w:rsidR="00D7566F">
        <w:t xml:space="preserve">rates for the JSA 2012 LTU study population and then </w:t>
      </w:r>
      <w:r w:rsidR="003550E7">
        <w:t>provides some</w:t>
      </w:r>
      <w:r w:rsidR="00D7566F">
        <w:t xml:space="preserve"> </w:t>
      </w:r>
      <w:r w:rsidR="003550E7">
        <w:t>comparative analysis</w:t>
      </w:r>
      <w:r w:rsidR="00D7566F">
        <w:t xml:space="preserve"> with the </w:t>
      </w:r>
      <w:r w:rsidR="00BE2E98">
        <w:t>JSA 20</w:t>
      </w:r>
      <w:r w:rsidR="00D7566F">
        <w:t>0</w:t>
      </w:r>
      <w:r w:rsidR="00BE2E98">
        <w:t>9 LTU study populations.</w:t>
      </w:r>
    </w:p>
    <w:p w14:paraId="56E36F91" w14:textId="77777777" w:rsidR="00940174" w:rsidRPr="00940174" w:rsidRDefault="00940174" w:rsidP="00940174">
      <w:r w:rsidRPr="00940174">
        <w:t xml:space="preserve">For the JSA 2012 LTU study population, administrative exit codes accounted for over half of job seekers who exited services during the study period (approximately 58 per cent). </w:t>
      </w:r>
      <w:r w:rsidR="00D7566F">
        <w:t xml:space="preserve">Administrative exit codes do not </w:t>
      </w:r>
      <w:r w:rsidRPr="00940174">
        <w:t xml:space="preserve">provide information about the destination of the job </w:t>
      </w:r>
      <w:r w:rsidR="00750FA4" w:rsidRPr="00940174">
        <w:t>seeker.</w:t>
      </w:r>
      <w:r w:rsidR="00750FA4">
        <w:t xml:space="preserve"> Other</w:t>
      </w:r>
      <w:r w:rsidR="00D7566F">
        <w:t xml:space="preserve"> exit codes included a</w:t>
      </w:r>
      <w:r w:rsidRPr="00940174">
        <w:t xml:space="preserve">round 16 percent </w:t>
      </w:r>
      <w:r w:rsidR="00D7566F">
        <w:t>for</w:t>
      </w:r>
      <w:r w:rsidRPr="00940174">
        <w:t xml:space="preserve"> employment</w:t>
      </w:r>
      <w:r w:rsidR="00D7566F">
        <w:t>-related exits</w:t>
      </w:r>
      <w:r w:rsidRPr="00940174">
        <w:t xml:space="preserve">, </w:t>
      </w:r>
      <w:r w:rsidR="008E13E5">
        <w:t>7</w:t>
      </w:r>
      <w:r w:rsidRPr="00940174">
        <w:t xml:space="preserve"> per cent exit</w:t>
      </w:r>
      <w:r w:rsidR="00D7566F">
        <w:t>ing</w:t>
      </w:r>
      <w:r w:rsidRPr="00940174">
        <w:t xml:space="preserve"> from the labour force, and </w:t>
      </w:r>
      <w:r w:rsidR="008E13E5">
        <w:t>5</w:t>
      </w:r>
      <w:r w:rsidRPr="00940174">
        <w:t xml:space="preserve"> per cent </w:t>
      </w:r>
      <w:r w:rsidR="00D7566F">
        <w:t xml:space="preserve">exiting </w:t>
      </w:r>
      <w:r w:rsidRPr="00940174">
        <w:t>to study.</w:t>
      </w:r>
    </w:p>
    <w:p w14:paraId="6E3C0017" w14:textId="77777777" w:rsidR="003550E7" w:rsidRDefault="00D7566F" w:rsidP="00940174">
      <w:r>
        <w:t>E</w:t>
      </w:r>
      <w:r w:rsidRPr="00940174">
        <w:t>xit</w:t>
      </w:r>
      <w:r>
        <w:t>s to</w:t>
      </w:r>
      <w:r w:rsidRPr="00940174">
        <w:t xml:space="preserve"> either </w:t>
      </w:r>
      <w:r w:rsidR="00200410">
        <w:t>Disability Employment Services (</w:t>
      </w:r>
      <w:r w:rsidRPr="00940174">
        <w:t>DES</w:t>
      </w:r>
      <w:r w:rsidR="00200410">
        <w:t>)</w:t>
      </w:r>
      <w:r w:rsidRPr="00940174">
        <w:t xml:space="preserve"> or the </w:t>
      </w:r>
      <w:r w:rsidR="00200410">
        <w:t>Disability Support Pension (</w:t>
      </w:r>
      <w:r w:rsidRPr="00940174">
        <w:t>DSP</w:t>
      </w:r>
      <w:r w:rsidR="00200410">
        <w:t>)</w:t>
      </w:r>
      <w:r w:rsidR="003550E7">
        <w:rPr>
          <w:rStyle w:val="FootnoteReference"/>
        </w:rPr>
        <w:footnoteReference w:id="21"/>
      </w:r>
      <w:r w:rsidR="00200410">
        <w:t xml:space="preserve"> </w:t>
      </w:r>
      <w:r w:rsidR="003550E7">
        <w:t xml:space="preserve">(which </w:t>
      </w:r>
      <w:r w:rsidR="003550E7" w:rsidRPr="00940174">
        <w:t>represent one-fifth of all exits from JSA</w:t>
      </w:r>
      <w:r w:rsidR="003550E7">
        <w:t xml:space="preserve">) </w:t>
      </w:r>
      <w:r>
        <w:t xml:space="preserve">provided </w:t>
      </w:r>
      <w:r w:rsidR="00940174" w:rsidRPr="00940174">
        <w:t>sufficient information in the administrative data to</w:t>
      </w:r>
      <w:r>
        <w:t xml:space="preserve"> allow some</w:t>
      </w:r>
      <w:r w:rsidR="00940174" w:rsidRPr="00940174">
        <w:t xml:space="preserve"> compar</w:t>
      </w:r>
      <w:r>
        <w:t>isons between the two study populations</w:t>
      </w:r>
      <w:r w:rsidR="003550E7">
        <w:t>.</w:t>
      </w:r>
    </w:p>
    <w:p w14:paraId="0EDC5A36" w14:textId="70628D3B" w:rsidR="00940174" w:rsidRPr="00940174" w:rsidRDefault="003550E7" w:rsidP="00940174">
      <w:r>
        <w:t xml:space="preserve">Disability exits represented </w:t>
      </w:r>
      <w:r w:rsidR="00940174" w:rsidRPr="00940174">
        <w:t>25.0 per cent of</w:t>
      </w:r>
      <w:r w:rsidR="00B07CB9">
        <w:t xml:space="preserve"> exits of </w:t>
      </w:r>
      <w:r w:rsidR="00940174" w:rsidRPr="00940174">
        <w:t xml:space="preserve">the JSA 2009 LTU study population and 20.1 per cent of the JSA 2012 LTU study population </w:t>
      </w:r>
      <w:r w:rsidR="00FD690D">
        <w:t>(</w:t>
      </w:r>
      <w:hyperlink w:anchor="Title_A29" w:history="1">
        <w:r w:rsidR="00FD690D" w:rsidRPr="0089699C">
          <w:rPr>
            <w:rStyle w:val="Hyperlink"/>
          </w:rPr>
          <w:t>Table A2.</w:t>
        </w:r>
        <w:r w:rsidR="00B97A51" w:rsidRPr="0089699C">
          <w:rPr>
            <w:rStyle w:val="Hyperlink"/>
          </w:rPr>
          <w:t>9</w:t>
        </w:r>
      </w:hyperlink>
      <w:r w:rsidR="00FD690D">
        <w:t>)</w:t>
      </w:r>
      <w:r w:rsidR="00940174" w:rsidRPr="00940174">
        <w:t>.</w:t>
      </w:r>
      <w:bookmarkStart w:id="198" w:name="Place_A29"/>
      <w:bookmarkEnd w:id="198"/>
      <w:r w:rsidR="00940174" w:rsidRPr="00940174">
        <w:t xml:space="preserve"> The lower proportion in JSA 2012 was due to a large reduction in the proportion of job seekers exiting to DSP (12.9 per cent in JSA 2009 compared with 7.3 per cent in JSA 2012). This is likely related to tightened DSP eligibility criteria</w:t>
      </w:r>
      <w:r w:rsidR="00C57C6B">
        <w:t xml:space="preserve"> and changes to participation requirements</w:t>
      </w:r>
      <w:r w:rsidR="009B706E">
        <w:t xml:space="preserve"> </w:t>
      </w:r>
      <w:r w:rsidR="00C57C6B">
        <w:t>for some DSP recipients</w:t>
      </w:r>
      <w:r>
        <w:t xml:space="preserve"> (Table 1.2)</w:t>
      </w:r>
      <w:r w:rsidR="00940174" w:rsidRPr="00940174">
        <w:t xml:space="preserve">. These changes, along with the changes to assessment processes, mean that direct comparison of rates of exits to disability between JSA 2009 and JSA 2012 is not as meaningful as it </w:t>
      </w:r>
      <w:r w:rsidR="0071480B">
        <w:t>w</w:t>
      </w:r>
      <w:r w:rsidR="00940174" w:rsidRPr="00940174">
        <w:t xml:space="preserve">ould </w:t>
      </w:r>
      <w:r w:rsidR="0071480B">
        <w:t xml:space="preserve">otherwise have </w:t>
      </w:r>
      <w:r w:rsidR="00940174" w:rsidRPr="00940174">
        <w:t>be</w:t>
      </w:r>
      <w:r w:rsidR="0071480B">
        <w:t>en</w:t>
      </w:r>
      <w:r w:rsidR="00940174" w:rsidRPr="00940174">
        <w:t>.</w:t>
      </w:r>
    </w:p>
    <w:p w14:paraId="367D73CD" w14:textId="77777777" w:rsidR="00940174" w:rsidRPr="00940174" w:rsidRDefault="00940174" w:rsidP="00940174">
      <w:r w:rsidRPr="00940174">
        <w:t>L</w:t>
      </w:r>
      <w:r w:rsidR="00815EA5">
        <w:t>TU</w:t>
      </w:r>
      <w:r w:rsidRPr="00940174">
        <w:t xml:space="preserve"> job seekers with high proportions of exits due to disability in 2012 included those</w:t>
      </w:r>
      <w:r w:rsidR="00FD690D">
        <w:t>:</w:t>
      </w:r>
    </w:p>
    <w:p w14:paraId="05D0636E" w14:textId="77777777" w:rsidR="00E775E6" w:rsidRDefault="00E775E6" w:rsidP="00E775E6">
      <w:pPr>
        <w:pStyle w:val="ListParagraph"/>
        <w:numPr>
          <w:ilvl w:val="0"/>
          <w:numId w:val="289"/>
        </w:numPr>
        <w:pBdr>
          <w:top w:val="single" w:sz="4" w:space="1" w:color="CBCBCB" w:themeColor="background1" w:themeTint="66"/>
          <w:bottom w:val="single" w:sz="4" w:space="1" w:color="CBCBCB" w:themeColor="background1" w:themeTint="66"/>
        </w:pBdr>
        <w:tabs>
          <w:tab w:val="left" w:pos="5670"/>
        </w:tabs>
        <w:suppressAutoHyphens/>
        <w:autoSpaceDE w:val="0"/>
        <w:autoSpaceDN w:val="0"/>
        <w:adjustRightInd w:val="0"/>
        <w:ind w:left="142" w:hanging="142"/>
        <w:textAlignment w:val="center"/>
        <w:rPr>
          <w:rFonts w:cs="Garamond"/>
          <w:color w:val="000000"/>
          <w:sz w:val="20"/>
          <w:szCs w:val="20"/>
          <w:lang w:val="en-GB"/>
        </w:rPr>
      </w:pPr>
      <w:r w:rsidRPr="00E775E6">
        <w:rPr>
          <w:rFonts w:cs="Garamond"/>
          <w:color w:val="000000"/>
          <w:sz w:val="20"/>
          <w:szCs w:val="20"/>
          <w:lang w:val="en-GB"/>
        </w:rPr>
        <w:t>with a disability as identified by a JCA/ESAt</w:t>
      </w:r>
      <w:r w:rsidRPr="00E775E6">
        <w:rPr>
          <w:rFonts w:cs="Garamond"/>
          <w:color w:val="000000"/>
          <w:sz w:val="20"/>
          <w:szCs w:val="20"/>
          <w:lang w:val="en-GB"/>
        </w:rPr>
        <w:tab/>
        <w:t xml:space="preserve">71.8 per cent of these exited to disability </w:t>
      </w:r>
    </w:p>
    <w:p w14:paraId="26833247" w14:textId="77777777" w:rsidR="00E775E6" w:rsidRPr="00E775E6" w:rsidRDefault="00E775E6" w:rsidP="00E775E6">
      <w:pPr>
        <w:pStyle w:val="ListParagraph"/>
        <w:numPr>
          <w:ilvl w:val="0"/>
          <w:numId w:val="289"/>
        </w:numPr>
        <w:tabs>
          <w:tab w:val="left" w:pos="5670"/>
        </w:tabs>
        <w:suppressAutoHyphens/>
        <w:autoSpaceDE w:val="0"/>
        <w:autoSpaceDN w:val="0"/>
        <w:adjustRightInd w:val="0"/>
        <w:ind w:left="142" w:hanging="142"/>
        <w:textAlignment w:val="center"/>
        <w:rPr>
          <w:rFonts w:cs="Garamond"/>
          <w:color w:val="000000"/>
          <w:sz w:val="20"/>
          <w:szCs w:val="20"/>
          <w:lang w:val="en-GB"/>
        </w:rPr>
      </w:pPr>
      <w:r w:rsidRPr="00E775E6">
        <w:rPr>
          <w:rFonts w:cs="Garamond"/>
          <w:color w:val="000000"/>
          <w:sz w:val="20"/>
          <w:szCs w:val="20"/>
          <w:lang w:val="en-GB"/>
        </w:rPr>
        <w:t>with long-term reduced capacity to participate in the labour force</w:t>
      </w:r>
      <w:r w:rsidRPr="00E775E6">
        <w:rPr>
          <w:rFonts w:cs="Garamond"/>
          <w:color w:val="000000"/>
          <w:sz w:val="20"/>
          <w:szCs w:val="20"/>
          <w:lang w:val="en-GB"/>
        </w:rPr>
        <w:tab/>
        <w:t>41.0 per cent</w:t>
      </w:r>
    </w:p>
    <w:p w14:paraId="122C93EE" w14:textId="77777777" w:rsidR="00E775E6" w:rsidRPr="00E775E6" w:rsidRDefault="00E775E6" w:rsidP="00E775E6">
      <w:pPr>
        <w:pStyle w:val="ListParagraph"/>
        <w:numPr>
          <w:ilvl w:val="0"/>
          <w:numId w:val="289"/>
        </w:numPr>
        <w:pBdr>
          <w:top w:val="single" w:sz="4" w:space="1" w:color="CBCBCB" w:themeColor="background1" w:themeTint="66"/>
          <w:bottom w:val="single" w:sz="4" w:space="1" w:color="CBCBCB" w:themeColor="background1" w:themeTint="66"/>
        </w:pBdr>
        <w:tabs>
          <w:tab w:val="left" w:pos="5670"/>
        </w:tabs>
        <w:suppressAutoHyphens/>
        <w:autoSpaceDE w:val="0"/>
        <w:autoSpaceDN w:val="0"/>
        <w:adjustRightInd w:val="0"/>
        <w:ind w:left="142" w:hanging="142"/>
        <w:textAlignment w:val="center"/>
        <w:rPr>
          <w:rFonts w:cs="Garamond"/>
          <w:color w:val="000000"/>
          <w:sz w:val="20"/>
          <w:szCs w:val="20"/>
          <w:lang w:val="en-GB"/>
        </w:rPr>
      </w:pPr>
      <w:r w:rsidRPr="00E775E6">
        <w:rPr>
          <w:rFonts w:cs="Garamond"/>
          <w:color w:val="000000"/>
          <w:sz w:val="20"/>
          <w:szCs w:val="20"/>
          <w:lang w:val="en-GB"/>
        </w:rPr>
        <w:t>aged 50 and over</w:t>
      </w:r>
      <w:r w:rsidRPr="00E775E6">
        <w:rPr>
          <w:rFonts w:cs="Garamond"/>
          <w:color w:val="000000"/>
          <w:sz w:val="20"/>
          <w:szCs w:val="20"/>
          <w:lang w:val="en-GB"/>
        </w:rPr>
        <w:tab/>
        <w:t>33.9 per cent</w:t>
      </w:r>
    </w:p>
    <w:p w14:paraId="5333C589" w14:textId="77777777" w:rsidR="00E775E6" w:rsidRPr="00E775E6" w:rsidRDefault="00E775E6" w:rsidP="00E775E6">
      <w:pPr>
        <w:pStyle w:val="ListParagraph"/>
        <w:numPr>
          <w:ilvl w:val="0"/>
          <w:numId w:val="289"/>
        </w:numPr>
        <w:pBdr>
          <w:bottom w:val="single" w:sz="4" w:space="1" w:color="CBCBCB" w:themeColor="background1" w:themeTint="66"/>
        </w:pBdr>
        <w:tabs>
          <w:tab w:val="left" w:pos="5670"/>
        </w:tabs>
        <w:suppressAutoHyphens/>
        <w:autoSpaceDE w:val="0"/>
        <w:autoSpaceDN w:val="0"/>
        <w:adjustRightInd w:val="0"/>
        <w:ind w:left="142" w:hanging="142"/>
        <w:textAlignment w:val="center"/>
        <w:rPr>
          <w:rFonts w:cs="Garamond"/>
          <w:color w:val="000000"/>
          <w:sz w:val="20"/>
          <w:szCs w:val="20"/>
          <w:lang w:val="en-GB"/>
        </w:rPr>
      </w:pPr>
      <w:r w:rsidRPr="00E775E6">
        <w:rPr>
          <w:rFonts w:cs="Garamond"/>
          <w:color w:val="000000"/>
          <w:sz w:val="20"/>
          <w:szCs w:val="20"/>
          <w:lang w:val="en-GB"/>
        </w:rPr>
        <w:t>in Streams 3 and 4</w:t>
      </w:r>
      <w:r w:rsidRPr="00E775E6">
        <w:rPr>
          <w:rFonts w:cs="Garamond"/>
          <w:color w:val="000000"/>
          <w:sz w:val="20"/>
          <w:szCs w:val="20"/>
          <w:lang w:val="en-GB"/>
        </w:rPr>
        <w:tab/>
        <w:t>34.0 per cent and 38.0 per cent</w:t>
      </w:r>
      <w:r w:rsidRPr="00E775E6">
        <w:rPr>
          <w:rFonts w:cs="Garamond"/>
          <w:color w:val="000000"/>
          <w:sz w:val="20"/>
          <w:szCs w:val="20"/>
          <w:bdr w:val="single" w:sz="4" w:space="0" w:color="CBCBCB" w:themeColor="background1" w:themeTint="66"/>
          <w:lang w:val="en-GB"/>
        </w:rPr>
        <w:br/>
      </w:r>
      <w:r w:rsidRPr="00E775E6">
        <w:rPr>
          <w:rFonts w:cs="Garamond"/>
          <w:color w:val="FFFFFF" w:themeColor="background2"/>
          <w:sz w:val="20"/>
          <w:szCs w:val="20"/>
          <w:lang w:val="en-GB"/>
        </w:rPr>
        <w:t>.</w:t>
      </w:r>
      <w:r>
        <w:rPr>
          <w:rFonts w:cs="Garamond"/>
          <w:color w:val="000000"/>
          <w:sz w:val="20"/>
          <w:szCs w:val="20"/>
          <w:lang w:val="en-GB"/>
        </w:rPr>
        <w:tab/>
      </w:r>
      <w:r w:rsidRPr="00E775E6">
        <w:rPr>
          <w:rFonts w:cs="Garamond"/>
          <w:color w:val="000000"/>
          <w:sz w:val="20"/>
          <w:szCs w:val="20"/>
          <w:lang w:val="en-GB"/>
        </w:rPr>
        <w:t>respectively</w:t>
      </w:r>
    </w:p>
    <w:p w14:paraId="042DFBD4" w14:textId="77777777" w:rsidR="00940174" w:rsidRPr="00292568" w:rsidRDefault="00940174" w:rsidP="00292568">
      <w:pPr>
        <w:pStyle w:val="Heading4"/>
      </w:pPr>
      <w:r w:rsidRPr="00292568">
        <w:t xml:space="preserve">Predicted vs actual rates of exit from services </w:t>
      </w:r>
      <w:r w:rsidR="00292568" w:rsidRPr="00292568">
        <w:t>(regressed)</w:t>
      </w:r>
    </w:p>
    <w:p w14:paraId="7322AC6F" w14:textId="77777777" w:rsidR="00940174" w:rsidRPr="00940174" w:rsidRDefault="00940174" w:rsidP="00940174">
      <w:r w:rsidRPr="00940174">
        <w:t xml:space="preserve">Results show that in every </w:t>
      </w:r>
      <w:r w:rsidR="00FE4270">
        <w:t>s</w:t>
      </w:r>
      <w:r w:rsidRPr="00940174">
        <w:t xml:space="preserve">tream, the JSA 2009 cohort would have been less likely to exit employment services had they been serviced under JSA 2012 (Table </w:t>
      </w:r>
      <w:r w:rsidR="00CA6EAB">
        <w:t>3.</w:t>
      </w:r>
      <w:r w:rsidR="00331592">
        <w:t>4</w:t>
      </w:r>
      <w:r w:rsidRPr="00940174">
        <w:t xml:space="preserve">). For example, 52.2 per cent of JSA 2009 Stream 1 job seekers exited services during the study period, compared with the predicted exit rate of 47.1 per cent for this group, had they been serviced in JSA 2012. The difference between actual and predicted exits is most marked for </w:t>
      </w:r>
      <w:r w:rsidR="00B07CB9">
        <w:t xml:space="preserve">Stream 1 </w:t>
      </w:r>
      <w:r w:rsidRPr="00940174">
        <w:t xml:space="preserve">job seekers, with a predicted 5.1 percentage points lower exit rate had this group been serviced in JSA 2012. For higher </w:t>
      </w:r>
      <w:r w:rsidR="00FE4270">
        <w:t>s</w:t>
      </w:r>
      <w:r w:rsidRPr="00940174">
        <w:t>treams of service the differences are much smaller. Indeed, for Stream 4 job seekers the difference is only 0.6 percentage points.</w:t>
      </w:r>
    </w:p>
    <w:p w14:paraId="143E15EA" w14:textId="77777777" w:rsidR="00940174" w:rsidRPr="00C2452E" w:rsidRDefault="00940174" w:rsidP="00C2452E">
      <w:pPr>
        <w:pStyle w:val="Tableforcontents"/>
      </w:pPr>
      <w:bookmarkStart w:id="199" w:name="_Toc436142558"/>
      <w:bookmarkStart w:id="200" w:name="_Toc22543976"/>
      <w:r w:rsidRPr="00C2452E">
        <w:t xml:space="preserve">Table </w:t>
      </w:r>
      <w:r w:rsidR="00CA6EAB" w:rsidRPr="00C2452E">
        <w:t>3.</w:t>
      </w:r>
      <w:r w:rsidR="00331592">
        <w:t>4</w:t>
      </w:r>
      <w:r w:rsidR="00CF00FC">
        <w:t>:</w:t>
      </w:r>
      <w:r w:rsidR="003C29A5">
        <w:t xml:space="preserve"> </w:t>
      </w:r>
      <w:r w:rsidR="005C0FEC">
        <w:t>Proportion of</w:t>
      </w:r>
      <w:r w:rsidR="006D5A09">
        <w:t xml:space="preserve"> </w:t>
      </w:r>
      <w:r w:rsidR="00640731">
        <w:t>long-term unemployed (LTU)</w:t>
      </w:r>
      <w:r w:rsidRPr="00C2452E">
        <w:t xml:space="preserve"> study population</w:t>
      </w:r>
      <w:r w:rsidR="005C0FEC">
        <w:t xml:space="preserve"> job seeker</w:t>
      </w:r>
      <w:r w:rsidRPr="00C2452E">
        <w:t>s who exited employment services during the study period</w:t>
      </w:r>
      <w:r w:rsidR="005C0FEC">
        <w:t xml:space="preserve">, </w:t>
      </w:r>
      <w:r w:rsidR="005C0FEC" w:rsidRPr="001B7264">
        <w:t xml:space="preserve">JSA 2012 compared with JSA 2009 </w:t>
      </w:r>
      <w:r w:rsidR="005C0FEC">
        <w:t>(per cent)</w:t>
      </w:r>
      <w:bookmarkEnd w:id="199"/>
      <w:bookmarkEnd w:id="200"/>
    </w:p>
    <w:tbl>
      <w:tblPr>
        <w:tblStyle w:val="TableGrid22"/>
        <w:tblW w:w="0" w:type="auto"/>
        <w:tblLook w:val="04A0" w:firstRow="1" w:lastRow="0" w:firstColumn="1" w:lastColumn="0" w:noHBand="0" w:noVBand="1"/>
      </w:tblPr>
      <w:tblGrid>
        <w:gridCol w:w="1384"/>
        <w:gridCol w:w="1701"/>
        <w:gridCol w:w="1559"/>
        <w:gridCol w:w="1843"/>
        <w:gridCol w:w="2126"/>
      </w:tblGrid>
      <w:tr w:rsidR="00940174" w:rsidRPr="0011747A" w14:paraId="32C8CB8F" w14:textId="77777777" w:rsidTr="00282936">
        <w:trPr>
          <w:tblHeader/>
        </w:trPr>
        <w:tc>
          <w:tcPr>
            <w:tcW w:w="1384" w:type="dxa"/>
            <w:tcBorders>
              <w:top w:val="single" w:sz="4" w:space="0" w:color="auto"/>
              <w:bottom w:val="nil"/>
            </w:tcBorders>
            <w:shd w:val="clear" w:color="auto" w:fill="1E3D6B"/>
          </w:tcPr>
          <w:p w14:paraId="2CDB6197" w14:textId="77777777" w:rsidR="00940174" w:rsidRPr="0011747A" w:rsidRDefault="00940174" w:rsidP="00940174">
            <w:pPr>
              <w:keepNext/>
              <w:keepLines/>
              <w:rPr>
                <w:rFonts w:ascii="Calibri" w:hAnsi="Calibri" w:cs="Times New Roman"/>
                <w:b/>
                <w:sz w:val="20"/>
                <w:szCs w:val="20"/>
              </w:rPr>
            </w:pPr>
            <w:bookmarkStart w:id="201" w:name="Title_34"/>
            <w:bookmarkEnd w:id="201"/>
            <w:r w:rsidRPr="0011747A">
              <w:rPr>
                <w:rFonts w:ascii="Calibri" w:hAnsi="Calibri" w:cs="Times New Roman"/>
                <w:b/>
                <w:sz w:val="20"/>
                <w:szCs w:val="20"/>
              </w:rPr>
              <w:t>Stream</w:t>
            </w:r>
          </w:p>
        </w:tc>
        <w:tc>
          <w:tcPr>
            <w:tcW w:w="1701" w:type="dxa"/>
            <w:tcBorders>
              <w:top w:val="single" w:sz="4" w:space="0" w:color="auto"/>
              <w:bottom w:val="nil"/>
            </w:tcBorders>
            <w:shd w:val="clear" w:color="auto" w:fill="1E3D6B"/>
          </w:tcPr>
          <w:p w14:paraId="773B9E71" w14:textId="77777777" w:rsidR="00940174" w:rsidRPr="0011747A" w:rsidRDefault="00940174" w:rsidP="00282936">
            <w:pPr>
              <w:keepNext/>
              <w:keepLines/>
              <w:jc w:val="center"/>
              <w:rPr>
                <w:rFonts w:ascii="Calibri" w:hAnsi="Calibri" w:cs="Times New Roman"/>
                <w:b/>
                <w:sz w:val="20"/>
                <w:szCs w:val="20"/>
              </w:rPr>
            </w:pPr>
            <w:r w:rsidRPr="0011747A">
              <w:rPr>
                <w:rFonts w:ascii="Calibri" w:hAnsi="Calibri" w:cs="Times New Roman"/>
                <w:b/>
                <w:sz w:val="20"/>
                <w:szCs w:val="20"/>
              </w:rPr>
              <w:t>JSA 2012</w:t>
            </w:r>
            <w:r w:rsidR="0013397B">
              <w:rPr>
                <w:rFonts w:ascii="Calibri" w:hAnsi="Calibri" w:cs="Times New Roman"/>
                <w:b/>
                <w:sz w:val="20"/>
                <w:szCs w:val="20"/>
              </w:rPr>
              <w:t xml:space="preserve"> </w:t>
            </w:r>
            <w:r w:rsidRPr="0011747A">
              <w:rPr>
                <w:rFonts w:ascii="Calibri" w:hAnsi="Calibri" w:cs="Times New Roman"/>
                <w:b/>
                <w:sz w:val="20"/>
                <w:szCs w:val="20"/>
              </w:rPr>
              <w:t>actual</w:t>
            </w:r>
            <w:r w:rsidR="00282936">
              <w:rPr>
                <w:rFonts w:ascii="Calibri" w:hAnsi="Calibri" w:cs="Times New Roman"/>
                <w:b/>
                <w:sz w:val="20"/>
                <w:szCs w:val="20"/>
              </w:rPr>
              <w:br/>
            </w:r>
            <w:r w:rsidR="0013397B">
              <w:rPr>
                <w:rFonts w:ascii="Calibri" w:hAnsi="Calibri" w:cs="Times New Roman"/>
                <w:b/>
                <w:sz w:val="20"/>
                <w:szCs w:val="20"/>
              </w:rPr>
              <w:t>(</w:t>
            </w:r>
            <w:r w:rsidR="00282936">
              <w:rPr>
                <w:rFonts w:ascii="Calibri" w:hAnsi="Calibri" w:cs="Times New Roman"/>
                <w:b/>
                <w:sz w:val="20"/>
                <w:szCs w:val="20"/>
              </w:rPr>
              <w:t>%</w:t>
            </w:r>
            <w:r w:rsidR="0013397B">
              <w:rPr>
                <w:rFonts w:ascii="Calibri" w:hAnsi="Calibri" w:cs="Times New Roman"/>
                <w:b/>
                <w:sz w:val="20"/>
                <w:szCs w:val="20"/>
              </w:rPr>
              <w:t>)</w:t>
            </w:r>
          </w:p>
        </w:tc>
        <w:tc>
          <w:tcPr>
            <w:tcW w:w="1559" w:type="dxa"/>
            <w:tcBorders>
              <w:top w:val="single" w:sz="4" w:space="0" w:color="auto"/>
              <w:bottom w:val="nil"/>
            </w:tcBorders>
            <w:shd w:val="clear" w:color="auto" w:fill="1E3D6B"/>
          </w:tcPr>
          <w:p w14:paraId="453A44EB" w14:textId="77777777" w:rsidR="00940174" w:rsidRPr="0011747A" w:rsidRDefault="00940174" w:rsidP="00282936">
            <w:pPr>
              <w:keepNext/>
              <w:keepLines/>
              <w:jc w:val="center"/>
              <w:rPr>
                <w:rFonts w:ascii="Calibri" w:hAnsi="Calibri" w:cs="Times New Roman"/>
                <w:b/>
                <w:sz w:val="20"/>
                <w:szCs w:val="20"/>
              </w:rPr>
            </w:pPr>
            <w:r w:rsidRPr="0011747A">
              <w:rPr>
                <w:rFonts w:ascii="Calibri" w:hAnsi="Calibri" w:cs="Times New Roman"/>
                <w:b/>
                <w:sz w:val="20"/>
                <w:szCs w:val="20"/>
              </w:rPr>
              <w:t>JSA 2009</w:t>
            </w:r>
            <w:r w:rsidR="0013397B">
              <w:rPr>
                <w:rFonts w:ascii="Calibri" w:hAnsi="Calibri" w:cs="Times New Roman"/>
                <w:b/>
                <w:sz w:val="20"/>
                <w:szCs w:val="20"/>
              </w:rPr>
              <w:t xml:space="preserve"> </w:t>
            </w:r>
            <w:r w:rsidRPr="0011747A">
              <w:rPr>
                <w:rFonts w:ascii="Calibri" w:hAnsi="Calibri" w:cs="Times New Roman"/>
                <w:b/>
                <w:sz w:val="20"/>
                <w:szCs w:val="20"/>
              </w:rPr>
              <w:t>actual</w:t>
            </w:r>
            <w:r w:rsidR="00282936">
              <w:rPr>
                <w:rFonts w:ascii="Calibri" w:hAnsi="Calibri" w:cs="Times New Roman"/>
                <w:b/>
                <w:sz w:val="20"/>
                <w:szCs w:val="20"/>
              </w:rPr>
              <w:br/>
            </w:r>
            <w:r w:rsidR="0013397B">
              <w:rPr>
                <w:rFonts w:ascii="Calibri" w:hAnsi="Calibri" w:cs="Times New Roman"/>
                <w:b/>
                <w:sz w:val="20"/>
                <w:szCs w:val="20"/>
              </w:rPr>
              <w:t>(</w:t>
            </w:r>
            <w:r w:rsidR="00282936">
              <w:rPr>
                <w:rFonts w:ascii="Calibri" w:hAnsi="Calibri" w:cs="Times New Roman"/>
                <w:b/>
                <w:sz w:val="20"/>
                <w:szCs w:val="20"/>
              </w:rPr>
              <w:t>%</w:t>
            </w:r>
            <w:r w:rsidR="0013397B">
              <w:rPr>
                <w:rFonts w:ascii="Calibri" w:hAnsi="Calibri" w:cs="Times New Roman"/>
                <w:b/>
                <w:sz w:val="20"/>
                <w:szCs w:val="20"/>
              </w:rPr>
              <w:t>)</w:t>
            </w:r>
          </w:p>
        </w:tc>
        <w:tc>
          <w:tcPr>
            <w:tcW w:w="1843" w:type="dxa"/>
            <w:tcBorders>
              <w:top w:val="single" w:sz="4" w:space="0" w:color="auto"/>
              <w:bottom w:val="nil"/>
            </w:tcBorders>
            <w:shd w:val="clear" w:color="auto" w:fill="1E3D6B"/>
          </w:tcPr>
          <w:p w14:paraId="6772CC8D" w14:textId="77777777" w:rsidR="00940174" w:rsidRPr="0011747A" w:rsidRDefault="00940174" w:rsidP="00282936">
            <w:pPr>
              <w:keepNext/>
              <w:keepLines/>
              <w:jc w:val="center"/>
              <w:rPr>
                <w:rFonts w:ascii="Calibri" w:hAnsi="Calibri" w:cs="Times New Roman"/>
                <w:b/>
                <w:sz w:val="20"/>
                <w:szCs w:val="20"/>
              </w:rPr>
            </w:pPr>
            <w:r w:rsidRPr="0011747A">
              <w:rPr>
                <w:rFonts w:ascii="Calibri" w:hAnsi="Calibri" w:cs="Times New Roman"/>
                <w:b/>
                <w:sz w:val="20"/>
                <w:szCs w:val="20"/>
              </w:rPr>
              <w:t>JSA 2009</w:t>
            </w:r>
            <w:r w:rsidR="0013397B">
              <w:rPr>
                <w:rFonts w:ascii="Calibri" w:hAnsi="Calibri" w:cs="Times New Roman"/>
                <w:b/>
                <w:sz w:val="20"/>
                <w:szCs w:val="20"/>
              </w:rPr>
              <w:t xml:space="preserve"> </w:t>
            </w:r>
            <w:r w:rsidRPr="0011747A">
              <w:rPr>
                <w:rFonts w:ascii="Calibri" w:hAnsi="Calibri" w:cs="Times New Roman"/>
                <w:b/>
                <w:sz w:val="20"/>
                <w:szCs w:val="20"/>
              </w:rPr>
              <w:t>predicted</w:t>
            </w:r>
            <w:r w:rsidR="00282936">
              <w:rPr>
                <w:rFonts w:ascii="Calibri" w:hAnsi="Calibri" w:cs="Times New Roman"/>
                <w:b/>
                <w:sz w:val="20"/>
                <w:szCs w:val="20"/>
              </w:rPr>
              <w:br/>
            </w:r>
            <w:r w:rsidR="0013397B">
              <w:rPr>
                <w:rFonts w:ascii="Calibri" w:hAnsi="Calibri" w:cs="Times New Roman"/>
                <w:b/>
                <w:sz w:val="20"/>
                <w:szCs w:val="20"/>
              </w:rPr>
              <w:t>(</w:t>
            </w:r>
            <w:r w:rsidR="00282936">
              <w:rPr>
                <w:rFonts w:ascii="Calibri" w:hAnsi="Calibri" w:cs="Times New Roman"/>
                <w:b/>
                <w:sz w:val="20"/>
                <w:szCs w:val="20"/>
              </w:rPr>
              <w:t>%</w:t>
            </w:r>
            <w:r w:rsidR="0013397B">
              <w:rPr>
                <w:rFonts w:ascii="Calibri" w:hAnsi="Calibri" w:cs="Times New Roman"/>
                <w:b/>
                <w:sz w:val="20"/>
                <w:szCs w:val="20"/>
              </w:rPr>
              <w:t>)</w:t>
            </w:r>
          </w:p>
        </w:tc>
        <w:tc>
          <w:tcPr>
            <w:tcW w:w="2126" w:type="dxa"/>
            <w:tcBorders>
              <w:top w:val="single" w:sz="4" w:space="0" w:color="auto"/>
              <w:bottom w:val="nil"/>
            </w:tcBorders>
            <w:shd w:val="clear" w:color="auto" w:fill="1E3D6B"/>
          </w:tcPr>
          <w:p w14:paraId="3A1E2D9E" w14:textId="77777777" w:rsidR="00940174" w:rsidRPr="0011747A" w:rsidRDefault="00916231" w:rsidP="00282936">
            <w:pPr>
              <w:keepNext/>
              <w:keepLines/>
              <w:jc w:val="center"/>
              <w:rPr>
                <w:rFonts w:ascii="Calibri" w:hAnsi="Calibri" w:cs="Times New Roman"/>
                <w:b/>
                <w:sz w:val="20"/>
                <w:szCs w:val="20"/>
              </w:rPr>
            </w:pPr>
            <w:r>
              <w:rPr>
                <w:rFonts w:ascii="Calibri" w:hAnsi="Calibri" w:cs="Times New Roman"/>
                <w:b/>
                <w:sz w:val="20"/>
                <w:szCs w:val="20"/>
              </w:rPr>
              <w:t xml:space="preserve">Difference </w:t>
            </w:r>
            <w:r w:rsidR="0013397B">
              <w:rPr>
                <w:rFonts w:ascii="Calibri" w:hAnsi="Calibri" w:cs="Times New Roman"/>
                <w:b/>
                <w:sz w:val="20"/>
                <w:szCs w:val="20"/>
              </w:rPr>
              <w:t xml:space="preserve">2009 </w:t>
            </w:r>
            <w:r w:rsidR="00940174" w:rsidRPr="0011747A">
              <w:rPr>
                <w:rFonts w:ascii="Calibri" w:hAnsi="Calibri" w:cs="Times New Roman"/>
                <w:b/>
                <w:sz w:val="20"/>
                <w:szCs w:val="20"/>
              </w:rPr>
              <w:t>predicted and actual</w:t>
            </w:r>
            <w:r w:rsidR="00282936">
              <w:rPr>
                <w:rFonts w:ascii="Calibri" w:hAnsi="Calibri" w:cs="Times New Roman"/>
                <w:b/>
                <w:sz w:val="20"/>
                <w:szCs w:val="20"/>
              </w:rPr>
              <w:br/>
            </w:r>
            <w:r w:rsidR="00940174" w:rsidRPr="0011747A">
              <w:rPr>
                <w:rFonts w:ascii="Calibri" w:hAnsi="Calibri" w:cs="Times New Roman"/>
                <w:b/>
                <w:sz w:val="20"/>
                <w:szCs w:val="20"/>
              </w:rPr>
              <w:t>(</w:t>
            </w:r>
            <w:r w:rsidR="00282936">
              <w:rPr>
                <w:rFonts w:ascii="Calibri" w:hAnsi="Calibri" w:cs="Times New Roman"/>
                <w:b/>
                <w:sz w:val="20"/>
                <w:szCs w:val="20"/>
              </w:rPr>
              <w:t>ppt</w:t>
            </w:r>
            <w:r w:rsidR="00940174" w:rsidRPr="0011747A">
              <w:rPr>
                <w:rFonts w:ascii="Calibri" w:hAnsi="Calibri" w:cs="Times New Roman"/>
                <w:b/>
                <w:sz w:val="20"/>
                <w:szCs w:val="20"/>
              </w:rPr>
              <w:t>)</w:t>
            </w:r>
          </w:p>
        </w:tc>
      </w:tr>
      <w:tr w:rsidR="00940174" w:rsidRPr="0011747A" w14:paraId="40F45393" w14:textId="77777777" w:rsidTr="00282936">
        <w:trPr>
          <w:trHeight w:hRule="exact" w:val="340"/>
        </w:trPr>
        <w:tc>
          <w:tcPr>
            <w:tcW w:w="1384" w:type="dxa"/>
            <w:tcBorders>
              <w:top w:val="nil"/>
              <w:bottom w:val="nil"/>
            </w:tcBorders>
            <w:vAlign w:val="center"/>
          </w:tcPr>
          <w:p w14:paraId="5C35F986" w14:textId="77777777" w:rsidR="00940174" w:rsidRPr="0011747A" w:rsidRDefault="00940174" w:rsidP="00940174">
            <w:pPr>
              <w:keepNext/>
              <w:keepLines/>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 xml:space="preserve">Stream 1 </w:t>
            </w:r>
          </w:p>
        </w:tc>
        <w:tc>
          <w:tcPr>
            <w:tcW w:w="1701" w:type="dxa"/>
            <w:tcBorders>
              <w:top w:val="nil"/>
              <w:bottom w:val="nil"/>
            </w:tcBorders>
            <w:vAlign w:val="center"/>
          </w:tcPr>
          <w:p w14:paraId="1DB27BF3"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44.4</w:t>
            </w:r>
          </w:p>
        </w:tc>
        <w:tc>
          <w:tcPr>
            <w:tcW w:w="1559" w:type="dxa"/>
            <w:tcBorders>
              <w:top w:val="nil"/>
              <w:bottom w:val="nil"/>
            </w:tcBorders>
            <w:vAlign w:val="center"/>
          </w:tcPr>
          <w:p w14:paraId="6349CCD4"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52.2</w:t>
            </w:r>
          </w:p>
        </w:tc>
        <w:tc>
          <w:tcPr>
            <w:tcW w:w="1843" w:type="dxa"/>
            <w:tcBorders>
              <w:top w:val="nil"/>
              <w:bottom w:val="nil"/>
            </w:tcBorders>
            <w:vAlign w:val="center"/>
          </w:tcPr>
          <w:p w14:paraId="2143B9A8"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47.1</w:t>
            </w:r>
          </w:p>
        </w:tc>
        <w:tc>
          <w:tcPr>
            <w:tcW w:w="2126" w:type="dxa"/>
            <w:tcBorders>
              <w:top w:val="nil"/>
              <w:bottom w:val="nil"/>
            </w:tcBorders>
            <w:vAlign w:val="center"/>
          </w:tcPr>
          <w:p w14:paraId="3E36374D"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-5.1</w:t>
            </w:r>
          </w:p>
        </w:tc>
      </w:tr>
      <w:tr w:rsidR="00940174" w:rsidRPr="0011747A" w14:paraId="66364D5A" w14:textId="77777777" w:rsidTr="00282936">
        <w:trPr>
          <w:trHeight w:hRule="exact" w:val="340"/>
        </w:trPr>
        <w:tc>
          <w:tcPr>
            <w:tcW w:w="1384" w:type="dxa"/>
            <w:tcBorders>
              <w:top w:val="nil"/>
              <w:bottom w:val="nil"/>
            </w:tcBorders>
            <w:shd w:val="clear" w:color="auto" w:fill="E5E5E5" w:themeFill="background1" w:themeFillTint="33"/>
            <w:vAlign w:val="center"/>
          </w:tcPr>
          <w:p w14:paraId="7836F6A1" w14:textId="77777777" w:rsidR="00940174" w:rsidRPr="0011747A" w:rsidRDefault="00940174" w:rsidP="00940174">
            <w:pPr>
              <w:keepNext/>
              <w:keepLines/>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2</w:t>
            </w:r>
          </w:p>
        </w:tc>
        <w:tc>
          <w:tcPr>
            <w:tcW w:w="1701" w:type="dxa"/>
            <w:tcBorders>
              <w:top w:val="nil"/>
              <w:bottom w:val="nil"/>
            </w:tcBorders>
            <w:shd w:val="clear" w:color="auto" w:fill="E5E5E5" w:themeFill="background1" w:themeFillTint="33"/>
            <w:vAlign w:val="center"/>
          </w:tcPr>
          <w:p w14:paraId="6FA08296"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37.3</w:t>
            </w:r>
          </w:p>
        </w:tc>
        <w:tc>
          <w:tcPr>
            <w:tcW w:w="1559" w:type="dxa"/>
            <w:tcBorders>
              <w:top w:val="nil"/>
              <w:bottom w:val="nil"/>
            </w:tcBorders>
            <w:shd w:val="clear" w:color="auto" w:fill="E5E5E5" w:themeFill="background1" w:themeFillTint="33"/>
            <w:vAlign w:val="center"/>
          </w:tcPr>
          <w:p w14:paraId="7BBE9752"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45.9</w:t>
            </w:r>
          </w:p>
        </w:tc>
        <w:tc>
          <w:tcPr>
            <w:tcW w:w="1843" w:type="dxa"/>
            <w:tcBorders>
              <w:top w:val="nil"/>
              <w:bottom w:val="nil"/>
            </w:tcBorders>
            <w:shd w:val="clear" w:color="auto" w:fill="E5E5E5" w:themeFill="background1" w:themeFillTint="33"/>
            <w:vAlign w:val="center"/>
          </w:tcPr>
          <w:p w14:paraId="59C0151B"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42.8</w:t>
            </w:r>
          </w:p>
        </w:tc>
        <w:tc>
          <w:tcPr>
            <w:tcW w:w="2126" w:type="dxa"/>
            <w:tcBorders>
              <w:top w:val="nil"/>
              <w:bottom w:val="nil"/>
            </w:tcBorders>
            <w:shd w:val="clear" w:color="auto" w:fill="E5E5E5" w:themeFill="background1" w:themeFillTint="33"/>
            <w:vAlign w:val="center"/>
          </w:tcPr>
          <w:p w14:paraId="38F69170"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-3.1</w:t>
            </w:r>
          </w:p>
        </w:tc>
      </w:tr>
      <w:tr w:rsidR="00940174" w:rsidRPr="0011747A" w14:paraId="3B87B7F3" w14:textId="77777777" w:rsidTr="00282936">
        <w:trPr>
          <w:trHeight w:hRule="exact" w:val="340"/>
        </w:trPr>
        <w:tc>
          <w:tcPr>
            <w:tcW w:w="1384" w:type="dxa"/>
            <w:tcBorders>
              <w:top w:val="nil"/>
              <w:bottom w:val="nil"/>
            </w:tcBorders>
            <w:vAlign w:val="center"/>
          </w:tcPr>
          <w:p w14:paraId="4C426377" w14:textId="77777777" w:rsidR="00940174" w:rsidRPr="0011747A" w:rsidRDefault="00940174" w:rsidP="00940174">
            <w:pPr>
              <w:keepNext/>
              <w:keepLines/>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3</w:t>
            </w:r>
          </w:p>
        </w:tc>
        <w:tc>
          <w:tcPr>
            <w:tcW w:w="1701" w:type="dxa"/>
            <w:tcBorders>
              <w:top w:val="nil"/>
              <w:bottom w:val="nil"/>
            </w:tcBorders>
            <w:vAlign w:val="center"/>
          </w:tcPr>
          <w:p w14:paraId="29EEAA0B"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32.4</w:t>
            </w:r>
          </w:p>
        </w:tc>
        <w:tc>
          <w:tcPr>
            <w:tcW w:w="1559" w:type="dxa"/>
            <w:tcBorders>
              <w:top w:val="nil"/>
              <w:bottom w:val="nil"/>
            </w:tcBorders>
            <w:vAlign w:val="center"/>
          </w:tcPr>
          <w:p w14:paraId="43FE2B5B"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38.8</w:t>
            </w:r>
          </w:p>
        </w:tc>
        <w:tc>
          <w:tcPr>
            <w:tcW w:w="1843" w:type="dxa"/>
            <w:tcBorders>
              <w:top w:val="nil"/>
              <w:bottom w:val="nil"/>
            </w:tcBorders>
            <w:vAlign w:val="center"/>
          </w:tcPr>
          <w:p w14:paraId="08D22737"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37.9</w:t>
            </w:r>
          </w:p>
        </w:tc>
        <w:tc>
          <w:tcPr>
            <w:tcW w:w="2126" w:type="dxa"/>
            <w:tcBorders>
              <w:top w:val="nil"/>
              <w:bottom w:val="nil"/>
            </w:tcBorders>
            <w:vAlign w:val="center"/>
          </w:tcPr>
          <w:p w14:paraId="013724B4"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-0.9</w:t>
            </w:r>
          </w:p>
        </w:tc>
      </w:tr>
      <w:tr w:rsidR="00940174" w:rsidRPr="0011747A" w14:paraId="239AA301" w14:textId="77777777" w:rsidTr="00282936">
        <w:trPr>
          <w:trHeight w:hRule="exact" w:val="340"/>
        </w:trPr>
        <w:tc>
          <w:tcPr>
            <w:tcW w:w="1384" w:type="dxa"/>
            <w:tcBorders>
              <w:top w:val="nil"/>
              <w:bottom w:val="single" w:sz="4" w:space="0" w:color="auto"/>
            </w:tcBorders>
            <w:shd w:val="clear" w:color="auto" w:fill="E5E5E5" w:themeFill="background1" w:themeFillTint="33"/>
            <w:vAlign w:val="center"/>
          </w:tcPr>
          <w:p w14:paraId="60A8C5B6" w14:textId="77777777" w:rsidR="00940174" w:rsidRPr="0011747A" w:rsidRDefault="00940174" w:rsidP="00940174">
            <w:pPr>
              <w:keepNext/>
              <w:keepLines/>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4</w:t>
            </w:r>
          </w:p>
        </w:tc>
        <w:tc>
          <w:tcPr>
            <w:tcW w:w="1701" w:type="dxa"/>
            <w:tcBorders>
              <w:top w:val="nil"/>
              <w:bottom w:val="single" w:sz="4" w:space="0" w:color="auto"/>
            </w:tcBorders>
            <w:shd w:val="clear" w:color="auto" w:fill="E5E5E5" w:themeFill="background1" w:themeFillTint="33"/>
            <w:vAlign w:val="center"/>
          </w:tcPr>
          <w:p w14:paraId="45B5B3A7"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28.6</w:t>
            </w:r>
          </w:p>
        </w:tc>
        <w:tc>
          <w:tcPr>
            <w:tcW w:w="1559" w:type="dxa"/>
            <w:tcBorders>
              <w:top w:val="nil"/>
              <w:bottom w:val="single" w:sz="4" w:space="0" w:color="auto"/>
            </w:tcBorders>
            <w:shd w:val="clear" w:color="auto" w:fill="E5E5E5" w:themeFill="background1" w:themeFillTint="33"/>
            <w:vAlign w:val="center"/>
          </w:tcPr>
          <w:p w14:paraId="66B9F405"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34.3</w:t>
            </w:r>
          </w:p>
        </w:tc>
        <w:tc>
          <w:tcPr>
            <w:tcW w:w="1843" w:type="dxa"/>
            <w:tcBorders>
              <w:top w:val="nil"/>
              <w:bottom w:val="single" w:sz="4" w:space="0" w:color="auto"/>
            </w:tcBorders>
            <w:shd w:val="clear" w:color="auto" w:fill="E5E5E5" w:themeFill="background1" w:themeFillTint="33"/>
            <w:vAlign w:val="center"/>
          </w:tcPr>
          <w:p w14:paraId="06D3424E"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33.7</w:t>
            </w:r>
          </w:p>
        </w:tc>
        <w:tc>
          <w:tcPr>
            <w:tcW w:w="2126" w:type="dxa"/>
            <w:tcBorders>
              <w:top w:val="nil"/>
              <w:bottom w:val="single" w:sz="4" w:space="0" w:color="auto"/>
            </w:tcBorders>
            <w:shd w:val="clear" w:color="auto" w:fill="E5E5E5" w:themeFill="background1" w:themeFillTint="33"/>
            <w:vAlign w:val="center"/>
          </w:tcPr>
          <w:p w14:paraId="71A35FAF" w14:textId="77777777" w:rsidR="00940174" w:rsidRPr="0011747A" w:rsidRDefault="00940174" w:rsidP="00282936">
            <w:pPr>
              <w:keepNext/>
              <w:keepLines/>
              <w:suppressAutoHyphens/>
              <w:autoSpaceDE w:val="0"/>
              <w:autoSpaceDN w:val="0"/>
              <w:adjustRightInd w:val="0"/>
              <w:spacing w:line="300" w:lineRule="atLeast"/>
              <w:ind w:right="498"/>
              <w:jc w:val="right"/>
              <w:textAlignment w:val="center"/>
              <w:rPr>
                <w:rFonts w:cs="Garamond"/>
                <w:sz w:val="20"/>
                <w:szCs w:val="20"/>
                <w:lang w:val="en-GB"/>
              </w:rPr>
            </w:pPr>
            <w:r w:rsidRPr="0011747A">
              <w:rPr>
                <w:rFonts w:cs="Garamond"/>
                <w:sz w:val="20"/>
                <w:szCs w:val="20"/>
                <w:lang w:val="en-GB"/>
              </w:rPr>
              <w:t>-0.6</w:t>
            </w:r>
          </w:p>
        </w:tc>
      </w:tr>
    </w:tbl>
    <w:p w14:paraId="7E6C1C86" w14:textId="77777777" w:rsidR="004E6541" w:rsidRPr="004D4671" w:rsidRDefault="004E6541" w:rsidP="004E6541">
      <w:pPr>
        <w:pStyle w:val="Source"/>
        <w:rPr>
          <w:rFonts w:eastAsia="Times New Roman"/>
          <w:lang w:eastAsia="en-AU"/>
        </w:rPr>
      </w:pPr>
      <w:r w:rsidRPr="00940174">
        <w:rPr>
          <w:b/>
        </w:rPr>
        <w:t>Source:</w:t>
      </w:r>
      <w:r w:rsidRPr="00940174">
        <w:rPr>
          <w:rFonts w:eastAsia="Times New Roman"/>
          <w:lang w:eastAsia="en-AU"/>
        </w:rPr>
        <w:t xml:space="preserve"> </w:t>
      </w:r>
      <w:r w:rsidRPr="00940174">
        <w:rPr>
          <w:rFonts w:eastAsia="Times New Roman"/>
          <w:lang w:eastAsia="en-AU"/>
        </w:rPr>
        <w:tab/>
      </w:r>
      <w:r w:rsidRPr="004D4671">
        <w:rPr>
          <w:rFonts w:eastAsia="Times New Roman"/>
          <w:lang w:eastAsia="en-AU"/>
        </w:rPr>
        <w:t>Department of Employment administrative data.</w:t>
      </w:r>
    </w:p>
    <w:p w14:paraId="148F459B" w14:textId="06E66B2B" w:rsidR="00940174" w:rsidRPr="00940174" w:rsidRDefault="00A6571E" w:rsidP="00670EF3">
      <w:pPr>
        <w:tabs>
          <w:tab w:val="left" w:pos="0"/>
        </w:tabs>
        <w:suppressAutoHyphens/>
        <w:autoSpaceDE w:val="0"/>
        <w:autoSpaceDN w:val="0"/>
        <w:adjustRightInd w:val="0"/>
        <w:spacing w:before="20" w:after="120" w:line="300" w:lineRule="atLeast"/>
        <w:textAlignment w:val="center"/>
      </w:pPr>
      <w:r>
        <w:t>F</w:t>
      </w:r>
      <w:r w:rsidR="00940174" w:rsidRPr="00940174">
        <w:t xml:space="preserve">actors </w:t>
      </w:r>
      <w:r>
        <w:t xml:space="preserve">which </w:t>
      </w:r>
      <w:r w:rsidR="00940174" w:rsidRPr="00940174">
        <w:t>significantly affect</w:t>
      </w:r>
      <w:r w:rsidR="00C84926">
        <w:t>ed</w:t>
      </w:r>
      <w:r w:rsidR="00940174" w:rsidRPr="00940174">
        <w:t xml:space="preserve"> exits from employment services for the JSA 2012 LTU population</w:t>
      </w:r>
      <w:r w:rsidR="002B7D83">
        <w:t xml:space="preserve"> </w:t>
      </w:r>
      <w:r>
        <w:t>include</w:t>
      </w:r>
      <w:r w:rsidR="00B31EED">
        <w:t xml:space="preserve"> groups with</w:t>
      </w:r>
      <w:r w:rsidR="00940174" w:rsidRPr="00940174">
        <w:t>:</w:t>
      </w:r>
    </w:p>
    <w:p w14:paraId="576E07C6" w14:textId="77777777" w:rsidR="00940174" w:rsidRPr="001141E4" w:rsidRDefault="00940174" w:rsidP="00DB48FA">
      <w:pPr>
        <w:pStyle w:val="ListParagraph"/>
        <w:rPr>
          <w:rFonts w:eastAsia="Univers"/>
        </w:rPr>
      </w:pPr>
      <w:r w:rsidRPr="001141E4">
        <w:rPr>
          <w:rFonts w:eastAsia="Univers"/>
        </w:rPr>
        <w:t xml:space="preserve">long-term reduced capacity to participate in the labour force, in all </w:t>
      </w:r>
      <w:r w:rsidR="00FE4270" w:rsidRPr="001141E4">
        <w:rPr>
          <w:rFonts w:eastAsia="Univers"/>
        </w:rPr>
        <w:t>s</w:t>
      </w:r>
      <w:r w:rsidRPr="001141E4">
        <w:rPr>
          <w:rFonts w:eastAsia="Univers"/>
        </w:rPr>
        <w:t>treams</w:t>
      </w:r>
    </w:p>
    <w:p w14:paraId="332D272C" w14:textId="77777777" w:rsidR="00940174" w:rsidRPr="001141E4" w:rsidRDefault="00940174" w:rsidP="00DB48FA">
      <w:pPr>
        <w:pStyle w:val="ListParagraph"/>
        <w:rPr>
          <w:rFonts w:eastAsia="Univers"/>
        </w:rPr>
      </w:pPr>
      <w:r w:rsidRPr="001141E4">
        <w:rPr>
          <w:rFonts w:eastAsia="Univers"/>
        </w:rPr>
        <w:t>disability with employment restrictions, in Stream</w:t>
      </w:r>
      <w:r w:rsidR="00FE4270" w:rsidRPr="001141E4">
        <w:rPr>
          <w:rFonts w:eastAsia="Univers"/>
        </w:rPr>
        <w:t xml:space="preserve"> 2, 3 and </w:t>
      </w:r>
      <w:r w:rsidRPr="001141E4">
        <w:rPr>
          <w:rFonts w:eastAsia="Univers"/>
        </w:rPr>
        <w:t>4.</w:t>
      </w:r>
    </w:p>
    <w:p w14:paraId="6644A091" w14:textId="77777777" w:rsidR="00940174" w:rsidRPr="00940174" w:rsidRDefault="00B31EED" w:rsidP="00940174">
      <w:r>
        <w:t>These g</w:t>
      </w:r>
      <w:r w:rsidRPr="00940174">
        <w:t xml:space="preserve">roups show a </w:t>
      </w:r>
      <w:r w:rsidRPr="00355B5B">
        <w:rPr>
          <w:u w:val="single"/>
        </w:rPr>
        <w:t>higher</w:t>
      </w:r>
      <w:r w:rsidRPr="00940174">
        <w:t xml:space="preserve"> chance of exiting once other characteristics have been taken into account</w:t>
      </w:r>
      <w:r>
        <w:t xml:space="preserve">. </w:t>
      </w:r>
      <w:r w:rsidR="00940174" w:rsidRPr="00940174">
        <w:t>Many of these job seekers also have high rates of exits due to disability, as described above.</w:t>
      </w:r>
    </w:p>
    <w:p w14:paraId="71D0D5DB" w14:textId="2BD408A5" w:rsidR="00940174" w:rsidRPr="00940174" w:rsidRDefault="00940174" w:rsidP="0062471D">
      <w:pPr>
        <w:spacing w:after="0"/>
      </w:pPr>
      <w:r w:rsidRPr="00940174">
        <w:t xml:space="preserve">Groups who </w:t>
      </w:r>
      <w:r w:rsidR="00C84926">
        <w:t xml:space="preserve">had </w:t>
      </w:r>
      <w:r w:rsidR="00B31EED">
        <w:t>a</w:t>
      </w:r>
      <w:r w:rsidR="00B31EED" w:rsidRPr="00940174">
        <w:t xml:space="preserve"> </w:t>
      </w:r>
      <w:r w:rsidRPr="00355B5B">
        <w:rPr>
          <w:u w:val="single"/>
        </w:rPr>
        <w:t>lower</w:t>
      </w:r>
      <w:r w:rsidRPr="00940174">
        <w:rPr>
          <w:b/>
        </w:rPr>
        <w:t xml:space="preserve"> </w:t>
      </w:r>
      <w:r w:rsidR="00B31EED" w:rsidRPr="00B42E47">
        <w:t>chance</w:t>
      </w:r>
      <w:r w:rsidRPr="00940174">
        <w:t xml:space="preserve"> of exiting after other characteristics have been taken into account include job seekers who:</w:t>
      </w:r>
    </w:p>
    <w:p w14:paraId="73A92412" w14:textId="77777777" w:rsidR="00940174" w:rsidRPr="001141E4" w:rsidRDefault="00940174" w:rsidP="00DB48FA">
      <w:pPr>
        <w:pStyle w:val="ListParagraph"/>
        <w:rPr>
          <w:rFonts w:eastAsia="Univers"/>
        </w:rPr>
      </w:pPr>
      <w:r w:rsidRPr="001141E4">
        <w:rPr>
          <w:rFonts w:eastAsia="Univers"/>
        </w:rPr>
        <w:t>were single parents in Streams 2</w:t>
      </w:r>
      <w:r w:rsidR="00FE4270" w:rsidRPr="001141E4">
        <w:rPr>
          <w:rFonts w:eastAsia="Univers"/>
        </w:rPr>
        <w:t xml:space="preserve">, 3 or </w:t>
      </w:r>
      <w:r w:rsidRPr="001141E4">
        <w:rPr>
          <w:rFonts w:eastAsia="Univers"/>
        </w:rPr>
        <w:t>4</w:t>
      </w:r>
    </w:p>
    <w:p w14:paraId="3AD9CDEF" w14:textId="77777777" w:rsidR="00940174" w:rsidRPr="001141E4" w:rsidRDefault="00940174" w:rsidP="00DB48FA">
      <w:pPr>
        <w:pStyle w:val="ListParagraph"/>
        <w:rPr>
          <w:rFonts w:eastAsia="Univers"/>
        </w:rPr>
      </w:pPr>
      <w:r w:rsidRPr="001141E4">
        <w:rPr>
          <w:rFonts w:eastAsia="Univers"/>
        </w:rPr>
        <w:t>were not contactable by phone in Streams 1</w:t>
      </w:r>
      <w:r w:rsidR="00FE4270" w:rsidRPr="001141E4">
        <w:rPr>
          <w:rFonts w:eastAsia="Univers"/>
        </w:rPr>
        <w:t xml:space="preserve">, 2 or </w:t>
      </w:r>
      <w:r w:rsidRPr="001141E4">
        <w:rPr>
          <w:rFonts w:eastAsia="Univers"/>
        </w:rPr>
        <w:t>3</w:t>
      </w:r>
    </w:p>
    <w:p w14:paraId="50BE2C5B" w14:textId="77777777" w:rsidR="00940174" w:rsidRPr="00940174" w:rsidRDefault="00940174" w:rsidP="00DB48FA">
      <w:pPr>
        <w:pStyle w:val="ListParagraph"/>
      </w:pPr>
      <w:r w:rsidRPr="001141E4">
        <w:rPr>
          <w:rFonts w:eastAsia="Times New Roman"/>
        </w:rPr>
        <w:t>lived outside of major cities</w:t>
      </w:r>
    </w:p>
    <w:p w14:paraId="2AB8736E" w14:textId="77777777" w:rsidR="00737DF7" w:rsidRPr="001141E4" w:rsidRDefault="00940174" w:rsidP="00DB48FA">
      <w:pPr>
        <w:pStyle w:val="ListParagraph"/>
        <w:rPr>
          <w:rFonts w:eastAsia="Univers"/>
        </w:rPr>
      </w:pPr>
      <w:r w:rsidRPr="001141E4">
        <w:rPr>
          <w:rFonts w:eastAsia="Times New Roman"/>
        </w:rPr>
        <w:t>were without their own transport</w:t>
      </w:r>
    </w:p>
    <w:p w14:paraId="01310AAC" w14:textId="77777777" w:rsidR="00737DF7" w:rsidRPr="00940174" w:rsidRDefault="00737DF7" w:rsidP="00DB48FA">
      <w:pPr>
        <w:pStyle w:val="ListParagraph"/>
      </w:pPr>
      <w:r w:rsidRPr="001141E4">
        <w:rPr>
          <w:rFonts w:eastAsia="Times New Roman"/>
        </w:rPr>
        <w:t xml:space="preserve">were </w:t>
      </w:r>
      <w:r w:rsidR="009B706E">
        <w:rPr>
          <w:rFonts w:eastAsia="Times New Roman"/>
        </w:rPr>
        <w:t>not in</w:t>
      </w:r>
      <w:r w:rsidRPr="001141E4">
        <w:rPr>
          <w:rFonts w:eastAsia="Times New Roman"/>
        </w:rPr>
        <w:t xml:space="preserve"> the labour force or unemployed, compared with those in employment</w:t>
      </w:r>
    </w:p>
    <w:p w14:paraId="51731571" w14:textId="77777777" w:rsidR="00737DF7" w:rsidRPr="00940174" w:rsidRDefault="00737DF7" w:rsidP="00DB48FA">
      <w:pPr>
        <w:pStyle w:val="ListParagraph"/>
      </w:pPr>
      <w:r w:rsidRPr="001141E4">
        <w:rPr>
          <w:rFonts w:eastAsia="Univers"/>
        </w:rPr>
        <w:t>recently</w:t>
      </w:r>
      <w:r w:rsidRPr="001141E4">
        <w:rPr>
          <w:rFonts w:eastAsia="Times New Roman"/>
        </w:rPr>
        <w:t xml:space="preserve"> reported work experience at the snapshot date</w:t>
      </w:r>
      <w:r w:rsidR="00B07CB9">
        <w:rPr>
          <w:rStyle w:val="FootnoteReference"/>
          <w:rFonts w:eastAsia="Times New Roman"/>
        </w:rPr>
        <w:footnoteReference w:id="22"/>
      </w:r>
      <w:r w:rsidRPr="001141E4">
        <w:rPr>
          <w:rFonts w:eastAsia="Times New Roman"/>
        </w:rPr>
        <w:t xml:space="preserve"> </w:t>
      </w:r>
      <w:r w:rsidR="00A6571E">
        <w:t>(</w:t>
      </w:r>
      <w:hyperlink w:anchor="Title_A210" w:history="1">
        <w:r w:rsidR="00A6571E" w:rsidRPr="0089699C">
          <w:rPr>
            <w:rStyle w:val="Hyperlink"/>
          </w:rPr>
          <w:t>Tabl</w:t>
        </w:r>
        <w:r w:rsidR="00FE4270" w:rsidRPr="0089699C">
          <w:rPr>
            <w:rStyle w:val="Hyperlink"/>
          </w:rPr>
          <w:t>e</w:t>
        </w:r>
        <w:r w:rsidR="00A6571E" w:rsidRPr="0089699C">
          <w:rPr>
            <w:rStyle w:val="Hyperlink"/>
          </w:rPr>
          <w:t xml:space="preserve"> A2.</w:t>
        </w:r>
        <w:r w:rsidR="00B97A51" w:rsidRPr="0089699C">
          <w:rPr>
            <w:rStyle w:val="Hyperlink"/>
          </w:rPr>
          <w:t>10</w:t>
        </w:r>
      </w:hyperlink>
      <w:r w:rsidR="00A6571E">
        <w:t>)</w:t>
      </w:r>
      <w:r w:rsidR="00B53009">
        <w:t>.</w:t>
      </w:r>
      <w:bookmarkStart w:id="202" w:name="Place_A210"/>
      <w:bookmarkEnd w:id="202"/>
    </w:p>
    <w:p w14:paraId="470A694B" w14:textId="77777777" w:rsidR="00940174" w:rsidRPr="00940174" w:rsidRDefault="00737DF7" w:rsidP="00670EF3">
      <w:p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Pr>
          <w:rFonts w:ascii="Calibri" w:eastAsia="Times New Roman" w:hAnsi="Calibri" w:cs="Garamond"/>
          <w:color w:val="000000"/>
          <w:lang w:val="en-GB" w:eastAsia="en-AU"/>
        </w:rPr>
        <w:t xml:space="preserve">While the last two factors may seem counterintuitive, people undertaking </w:t>
      </w:r>
      <w:r w:rsidR="00B31EED">
        <w:rPr>
          <w:rFonts w:ascii="Calibri" w:eastAsia="Times New Roman" w:hAnsi="Calibri" w:cs="Garamond"/>
          <w:color w:val="000000"/>
          <w:lang w:val="en-GB" w:eastAsia="en-AU"/>
        </w:rPr>
        <w:t xml:space="preserve">regular </w:t>
      </w:r>
      <w:r>
        <w:rPr>
          <w:rFonts w:ascii="Calibri" w:eastAsia="Times New Roman" w:hAnsi="Calibri" w:cs="Garamond"/>
          <w:color w:val="000000"/>
          <w:lang w:val="en-GB" w:eastAsia="en-AU"/>
        </w:rPr>
        <w:t xml:space="preserve">part-time work are </w:t>
      </w:r>
      <w:r w:rsidR="00B31EED">
        <w:rPr>
          <w:rFonts w:ascii="Calibri" w:eastAsia="Times New Roman" w:hAnsi="Calibri" w:cs="Garamond"/>
          <w:color w:val="000000"/>
          <w:lang w:val="en-GB" w:eastAsia="en-AU"/>
        </w:rPr>
        <w:t>often also in</w:t>
      </w:r>
      <w:r>
        <w:rPr>
          <w:rFonts w:ascii="Calibri" w:eastAsia="Times New Roman" w:hAnsi="Calibri" w:cs="Garamond"/>
          <w:color w:val="000000"/>
          <w:lang w:val="en-GB" w:eastAsia="en-AU"/>
        </w:rPr>
        <w:t xml:space="preserve"> stable situation</w:t>
      </w:r>
      <w:r w:rsidR="00B31EED">
        <w:rPr>
          <w:rFonts w:ascii="Calibri" w:eastAsia="Times New Roman" w:hAnsi="Calibri" w:cs="Garamond"/>
          <w:color w:val="000000"/>
          <w:lang w:val="en-GB" w:eastAsia="en-AU"/>
        </w:rPr>
        <w:t>s</w:t>
      </w:r>
      <w:r>
        <w:rPr>
          <w:rFonts w:ascii="Calibri" w:eastAsia="Times New Roman" w:hAnsi="Calibri" w:cs="Garamond"/>
          <w:color w:val="000000"/>
          <w:lang w:val="en-GB" w:eastAsia="en-AU"/>
        </w:rPr>
        <w:t xml:space="preserve"> and meet their activity requirements </w:t>
      </w:r>
      <w:r w:rsidR="00B31EED">
        <w:rPr>
          <w:rFonts w:ascii="Calibri" w:eastAsia="Times New Roman" w:hAnsi="Calibri" w:cs="Garamond"/>
          <w:color w:val="000000"/>
          <w:lang w:val="en-GB" w:eastAsia="en-AU"/>
        </w:rPr>
        <w:t xml:space="preserve">through </w:t>
      </w:r>
      <w:r w:rsidR="0041014B">
        <w:rPr>
          <w:rFonts w:ascii="Calibri" w:eastAsia="Times New Roman" w:hAnsi="Calibri" w:cs="Garamond"/>
          <w:color w:val="000000"/>
          <w:lang w:val="en-GB" w:eastAsia="en-AU"/>
        </w:rPr>
        <w:t xml:space="preserve">part-time </w:t>
      </w:r>
      <w:r w:rsidR="00B31EED">
        <w:rPr>
          <w:rFonts w:ascii="Calibri" w:eastAsia="Times New Roman" w:hAnsi="Calibri" w:cs="Garamond"/>
          <w:color w:val="000000"/>
          <w:lang w:val="en-GB" w:eastAsia="en-AU"/>
        </w:rPr>
        <w:t>employment.</w:t>
      </w:r>
      <w:r>
        <w:rPr>
          <w:rFonts w:ascii="Calibri" w:eastAsia="Times New Roman" w:hAnsi="Calibri" w:cs="Garamond"/>
          <w:color w:val="000000"/>
          <w:lang w:val="en-GB" w:eastAsia="en-AU"/>
        </w:rPr>
        <w:t xml:space="preserve"> This </w:t>
      </w:r>
      <w:r w:rsidR="00B31EED">
        <w:rPr>
          <w:rFonts w:ascii="Calibri" w:eastAsia="Times New Roman" w:hAnsi="Calibri" w:cs="Garamond"/>
          <w:color w:val="000000"/>
          <w:lang w:val="en-GB" w:eastAsia="en-AU"/>
        </w:rPr>
        <w:t xml:space="preserve">indicates a degree of </w:t>
      </w:r>
      <w:r>
        <w:rPr>
          <w:rFonts w:ascii="Calibri" w:eastAsia="Times New Roman" w:hAnsi="Calibri" w:cs="Garamond"/>
          <w:color w:val="000000"/>
          <w:lang w:val="en-GB" w:eastAsia="en-AU"/>
        </w:rPr>
        <w:t xml:space="preserve">balance which </w:t>
      </w:r>
      <w:r w:rsidR="00B31EED">
        <w:rPr>
          <w:rFonts w:ascii="Calibri" w:eastAsia="Times New Roman" w:hAnsi="Calibri" w:cs="Garamond"/>
          <w:color w:val="000000"/>
          <w:lang w:val="en-GB" w:eastAsia="en-AU"/>
        </w:rPr>
        <w:t xml:space="preserve">is </w:t>
      </w:r>
      <w:r>
        <w:rPr>
          <w:rFonts w:ascii="Calibri" w:eastAsia="Times New Roman" w:hAnsi="Calibri" w:cs="Garamond"/>
          <w:color w:val="000000"/>
          <w:lang w:val="en-GB" w:eastAsia="en-AU"/>
        </w:rPr>
        <w:t>manage</w:t>
      </w:r>
      <w:r w:rsidR="00B31EED">
        <w:rPr>
          <w:rFonts w:ascii="Calibri" w:eastAsia="Times New Roman" w:hAnsi="Calibri" w:cs="Garamond"/>
          <w:color w:val="000000"/>
          <w:lang w:val="en-GB" w:eastAsia="en-AU"/>
        </w:rPr>
        <w:t>able, making them</w:t>
      </w:r>
      <w:r>
        <w:rPr>
          <w:rFonts w:ascii="Calibri" w:eastAsia="Times New Roman" w:hAnsi="Calibri" w:cs="Garamond"/>
          <w:color w:val="000000"/>
          <w:lang w:val="en-GB" w:eastAsia="en-AU"/>
        </w:rPr>
        <w:t xml:space="preserve"> less likely to want to </w:t>
      </w:r>
      <w:r w:rsidR="00B31EED">
        <w:rPr>
          <w:rFonts w:ascii="Calibri" w:eastAsia="Times New Roman" w:hAnsi="Calibri" w:cs="Garamond"/>
          <w:color w:val="000000"/>
          <w:lang w:val="en-GB" w:eastAsia="en-AU"/>
        </w:rPr>
        <w:t>progress to</w:t>
      </w:r>
      <w:r>
        <w:rPr>
          <w:rFonts w:ascii="Calibri" w:eastAsia="Times New Roman" w:hAnsi="Calibri" w:cs="Garamond"/>
          <w:color w:val="000000"/>
          <w:lang w:val="en-GB" w:eastAsia="en-AU"/>
        </w:rPr>
        <w:t xml:space="preserve"> full-time work and exit services. Th</w:t>
      </w:r>
      <w:r w:rsidR="00B31EED">
        <w:rPr>
          <w:rFonts w:ascii="Calibri" w:eastAsia="Times New Roman" w:hAnsi="Calibri" w:cs="Garamond"/>
          <w:color w:val="000000"/>
          <w:lang w:val="en-GB" w:eastAsia="en-AU"/>
        </w:rPr>
        <w:t xml:space="preserve">is group </w:t>
      </w:r>
      <w:r>
        <w:rPr>
          <w:rFonts w:ascii="Calibri" w:eastAsia="Times New Roman" w:hAnsi="Calibri" w:cs="Garamond"/>
          <w:color w:val="000000"/>
          <w:lang w:val="en-GB" w:eastAsia="en-AU"/>
        </w:rPr>
        <w:t>often</w:t>
      </w:r>
      <w:r w:rsidR="00B31EED">
        <w:rPr>
          <w:rFonts w:ascii="Calibri" w:eastAsia="Times New Roman" w:hAnsi="Calibri" w:cs="Garamond"/>
          <w:color w:val="000000"/>
          <w:lang w:val="en-GB" w:eastAsia="en-AU"/>
        </w:rPr>
        <w:t xml:space="preserve"> includes </w:t>
      </w:r>
      <w:r>
        <w:rPr>
          <w:rFonts w:ascii="Calibri" w:eastAsia="Times New Roman" w:hAnsi="Calibri" w:cs="Garamond"/>
          <w:color w:val="000000"/>
          <w:lang w:val="en-GB" w:eastAsia="en-AU"/>
        </w:rPr>
        <w:t>single parents or job seekers with disability.</w:t>
      </w:r>
    </w:p>
    <w:p w14:paraId="75762DFF" w14:textId="77777777" w:rsidR="008841C1" w:rsidRPr="00940174" w:rsidRDefault="008841C1" w:rsidP="008841C1">
      <w:pPr>
        <w:pStyle w:val="Heading4"/>
      </w:pPr>
      <w:r w:rsidRPr="00940174">
        <w:t>Sustainability of exit – income support status 12 months after exit from services</w:t>
      </w:r>
      <w:r>
        <w:t xml:space="preserve"> (regressed)</w:t>
      </w:r>
    </w:p>
    <w:p w14:paraId="51CF81FA" w14:textId="05E2A474" w:rsidR="008841C1" w:rsidRPr="00940174" w:rsidRDefault="008841C1" w:rsidP="008841C1">
      <w:r w:rsidRPr="00940174">
        <w:t xml:space="preserve">This measure provides some assessment of the sustainability of exits (and hence some idea of levels of </w:t>
      </w:r>
      <w:r w:rsidR="00A504DB">
        <w:t>returns to income support</w:t>
      </w:r>
      <w:r w:rsidRPr="00940174">
        <w:t>)</w:t>
      </w:r>
      <w:r w:rsidR="00670EF3">
        <w:t xml:space="preserve"> for the JSA 2012 LTU study population and measures it against the corresponding 2009 population</w:t>
      </w:r>
      <w:r w:rsidRPr="00940174">
        <w:t xml:space="preserve">. It assumes that job seekers who exit services to employment, and remain in employment after exit, will be either off, or on partial income support 12 months after exit. However when interpreting these results it should be noted that, for instance, one in five </w:t>
      </w:r>
      <w:r w:rsidR="00815EA5">
        <w:t>LTU</w:t>
      </w:r>
      <w:r w:rsidRPr="00940174">
        <w:t xml:space="preserve"> job seekers in JSA 2012 exited due to disability and are therefore likely to remain on full income support.</w:t>
      </w:r>
    </w:p>
    <w:p w14:paraId="20BA34DB" w14:textId="77777777" w:rsidR="008841C1" w:rsidRPr="00940174" w:rsidRDefault="008841C1" w:rsidP="008841C1">
      <w:r w:rsidRPr="00940174">
        <w:t xml:space="preserve">After controlling for changes in job seeker characteristics and macroeconomic conditions, job seekers in Streams 1, 2 and 3 in JSA 2012 were </w:t>
      </w:r>
      <w:r w:rsidRPr="0099598E">
        <w:t>less</w:t>
      </w:r>
      <w:r w:rsidRPr="00940174">
        <w:t xml:space="preserve"> likely to be off income support 12 months after exit compared to those in JSA 2009. The predicted probability of Stream 3 job seekers being on full income support was 4.6 percentage points higher for JSA 2012 compared with JSA 2009, with lower predicted probabilities of either being on partial or off income support. There was very little change in the probabilities of being on partial income support for</w:t>
      </w:r>
      <w:r w:rsidRPr="00940174" w:rsidDel="002C1A58">
        <w:t xml:space="preserve"> </w:t>
      </w:r>
      <w:r w:rsidRPr="00940174">
        <w:t xml:space="preserve">Stream 1 and 2 job seekers; resulting in predicted probabilities of being on full income support being more than </w:t>
      </w:r>
      <w:r w:rsidR="008E13E5">
        <w:t>3</w:t>
      </w:r>
      <w:r w:rsidRPr="00940174">
        <w:t xml:space="preserve"> percentage points higher (Table </w:t>
      </w:r>
      <w:r>
        <w:t>3.</w:t>
      </w:r>
      <w:r w:rsidR="00331592">
        <w:t>5</w:t>
      </w:r>
      <w:r w:rsidR="00153F4C">
        <w:t xml:space="preserve"> </w:t>
      </w:r>
      <w:r>
        <w:t>and Table A2.1</w:t>
      </w:r>
      <w:r w:rsidR="00FB7DA2">
        <w:t>1</w:t>
      </w:r>
      <w:r w:rsidRPr="00940174">
        <w:t>).</w:t>
      </w:r>
      <w:r w:rsidR="00170537">
        <w:t xml:space="preserve"> Differences in outcomes between the employment services models are expressed as </w:t>
      </w:r>
      <w:r w:rsidR="006A12D5" w:rsidRPr="00A504DB">
        <w:t xml:space="preserve">average </w:t>
      </w:r>
      <w:r w:rsidR="00170537" w:rsidRPr="00A504DB">
        <w:t>marginal effects</w:t>
      </w:r>
      <w:r w:rsidR="00170537" w:rsidRPr="0099598E">
        <w:t xml:space="preserve"> </w:t>
      </w:r>
      <w:r w:rsidR="00170537" w:rsidRPr="000D6D0C">
        <w:t>(</w:t>
      </w:r>
      <w:r w:rsidR="006A12D5">
        <w:t>A</w:t>
      </w:r>
      <w:r w:rsidR="00170537" w:rsidRPr="000D6D0C">
        <w:t>MEs)</w:t>
      </w:r>
      <w:r w:rsidR="00170537">
        <w:t>.</w:t>
      </w:r>
      <w:r w:rsidR="00170537">
        <w:rPr>
          <w:rStyle w:val="FootnoteReference"/>
        </w:rPr>
        <w:footnoteReference w:id="23"/>
      </w:r>
    </w:p>
    <w:p w14:paraId="228A71A7" w14:textId="77777777" w:rsidR="008841C1" w:rsidRPr="00940174" w:rsidRDefault="008841C1" w:rsidP="008841C1">
      <w:pPr>
        <w:pStyle w:val="Tableforcontents"/>
      </w:pPr>
      <w:bookmarkStart w:id="203" w:name="_Toc22543977"/>
      <w:r w:rsidRPr="00940174">
        <w:t xml:space="preserve">Table </w:t>
      </w:r>
      <w:r w:rsidRPr="00CA6EAB">
        <w:t>3.</w:t>
      </w:r>
      <w:r w:rsidR="00331592">
        <w:t>5</w:t>
      </w:r>
      <w:r w:rsidRPr="00CA6EAB">
        <w:t>:</w:t>
      </w:r>
      <w:r w:rsidR="003C29A5">
        <w:t xml:space="preserve"> </w:t>
      </w:r>
      <w:r w:rsidR="006A12D5">
        <w:t>Average</w:t>
      </w:r>
      <w:r w:rsidR="006A12D5" w:rsidRPr="00940174">
        <w:t xml:space="preserve"> </w:t>
      </w:r>
      <w:r w:rsidR="00BB3FAD">
        <w:t>m</w:t>
      </w:r>
      <w:r w:rsidRPr="00940174">
        <w:t xml:space="preserve">arginal </w:t>
      </w:r>
      <w:r w:rsidR="00BB3FAD">
        <w:t>e</w:t>
      </w:r>
      <w:r w:rsidRPr="00940174">
        <w:t>ffect (</w:t>
      </w:r>
      <w:r w:rsidR="006A12D5">
        <w:t>A</w:t>
      </w:r>
      <w:r w:rsidRPr="00940174">
        <w:t>ME) estimates for the predicted probability of income support status 12 months after exit from services</w:t>
      </w:r>
      <w:r>
        <w:t xml:space="preserve"> for </w:t>
      </w:r>
      <w:r w:rsidR="006D5A09">
        <w:t>l</w:t>
      </w:r>
      <w:r w:rsidR="00640731">
        <w:t>ong-term unemployed job seekers</w:t>
      </w:r>
      <w:r w:rsidRPr="00940174">
        <w:t>, JSA 2012 compared with JSA 2009</w:t>
      </w:r>
      <w:r>
        <w:t xml:space="preserve"> (p</w:t>
      </w:r>
      <w:r w:rsidR="00670EF3">
        <w:t xml:space="preserve">ercentage </w:t>
      </w:r>
      <w:r>
        <w:t>p</w:t>
      </w:r>
      <w:r w:rsidR="00670EF3">
        <w:t>oin</w:t>
      </w:r>
      <w:r>
        <w:t>t)</w:t>
      </w:r>
      <w:bookmarkEnd w:id="203"/>
    </w:p>
    <w:tbl>
      <w:tblPr>
        <w:tblStyle w:val="TableGrid22"/>
        <w:tblW w:w="0" w:type="auto"/>
        <w:tblLook w:val="04A0" w:firstRow="1" w:lastRow="0" w:firstColumn="1" w:lastColumn="0" w:noHBand="0" w:noVBand="1"/>
      </w:tblPr>
      <w:tblGrid>
        <w:gridCol w:w="1384"/>
        <w:gridCol w:w="1983"/>
        <w:gridCol w:w="2829"/>
        <w:gridCol w:w="2831"/>
      </w:tblGrid>
      <w:tr w:rsidR="008841C1" w:rsidRPr="0011747A" w14:paraId="2FAFDC94" w14:textId="77777777" w:rsidTr="0069539A">
        <w:trPr>
          <w:trHeight w:val="291"/>
          <w:tblHeader/>
        </w:trPr>
        <w:tc>
          <w:tcPr>
            <w:tcW w:w="1384" w:type="dxa"/>
            <w:tcBorders>
              <w:top w:val="nil"/>
              <w:bottom w:val="nil"/>
            </w:tcBorders>
            <w:shd w:val="clear" w:color="auto" w:fill="1E3D6B"/>
            <w:vAlign w:val="center"/>
          </w:tcPr>
          <w:p w14:paraId="3436E112" w14:textId="77777777" w:rsidR="008841C1" w:rsidRPr="0011747A" w:rsidRDefault="008841C1" w:rsidP="0069539A">
            <w:pPr>
              <w:rPr>
                <w:rFonts w:ascii="Calibri" w:hAnsi="Calibri" w:cs="Times New Roman"/>
                <w:b/>
                <w:sz w:val="20"/>
                <w:szCs w:val="20"/>
              </w:rPr>
            </w:pPr>
            <w:bookmarkStart w:id="204" w:name="Title_35"/>
            <w:bookmarkEnd w:id="204"/>
            <w:r w:rsidRPr="0011747A">
              <w:rPr>
                <w:rFonts w:ascii="Calibri" w:hAnsi="Calibri" w:cs="Times New Roman"/>
                <w:b/>
                <w:sz w:val="20"/>
                <w:szCs w:val="20"/>
              </w:rPr>
              <w:t>Stream</w:t>
            </w:r>
          </w:p>
        </w:tc>
        <w:tc>
          <w:tcPr>
            <w:tcW w:w="1985" w:type="dxa"/>
            <w:tcBorders>
              <w:top w:val="nil"/>
              <w:bottom w:val="nil"/>
            </w:tcBorders>
            <w:shd w:val="clear" w:color="auto" w:fill="1E3D6B"/>
            <w:vAlign w:val="center"/>
          </w:tcPr>
          <w:p w14:paraId="38653B5E" w14:textId="77777777" w:rsidR="008841C1" w:rsidRPr="0011747A" w:rsidRDefault="008841C1" w:rsidP="0069539A">
            <w:pPr>
              <w:keepNext/>
              <w:jc w:val="center"/>
              <w:rPr>
                <w:b/>
                <w:sz w:val="20"/>
                <w:szCs w:val="20"/>
              </w:rPr>
            </w:pPr>
            <w:r w:rsidRPr="0011747A">
              <w:rPr>
                <w:b/>
                <w:sz w:val="20"/>
                <w:szCs w:val="20"/>
              </w:rPr>
              <w:t>Off income support</w:t>
            </w:r>
          </w:p>
        </w:tc>
        <w:tc>
          <w:tcPr>
            <w:tcW w:w="2834" w:type="dxa"/>
            <w:tcBorders>
              <w:top w:val="nil"/>
              <w:bottom w:val="nil"/>
            </w:tcBorders>
            <w:shd w:val="clear" w:color="auto" w:fill="1E3D6B"/>
            <w:vAlign w:val="center"/>
          </w:tcPr>
          <w:p w14:paraId="1EA35819" w14:textId="77777777" w:rsidR="008841C1" w:rsidRPr="0011747A" w:rsidRDefault="008841C1" w:rsidP="0069539A">
            <w:pPr>
              <w:keepNext/>
              <w:jc w:val="center"/>
              <w:rPr>
                <w:b/>
                <w:sz w:val="20"/>
                <w:szCs w:val="20"/>
              </w:rPr>
            </w:pPr>
            <w:r w:rsidRPr="0011747A">
              <w:rPr>
                <w:b/>
                <w:sz w:val="20"/>
                <w:szCs w:val="20"/>
              </w:rPr>
              <w:t>On partial income support</w:t>
            </w:r>
          </w:p>
        </w:tc>
        <w:tc>
          <w:tcPr>
            <w:tcW w:w="2836" w:type="dxa"/>
            <w:tcBorders>
              <w:top w:val="nil"/>
              <w:bottom w:val="nil"/>
            </w:tcBorders>
            <w:shd w:val="clear" w:color="auto" w:fill="1E3D6B"/>
            <w:vAlign w:val="center"/>
          </w:tcPr>
          <w:p w14:paraId="7B776D7A" w14:textId="77777777" w:rsidR="008841C1" w:rsidRPr="0011747A" w:rsidRDefault="008841C1" w:rsidP="0069539A">
            <w:pPr>
              <w:keepNext/>
              <w:jc w:val="center"/>
              <w:rPr>
                <w:b/>
                <w:sz w:val="20"/>
                <w:szCs w:val="20"/>
              </w:rPr>
            </w:pPr>
            <w:r w:rsidRPr="0011747A">
              <w:rPr>
                <w:b/>
                <w:sz w:val="20"/>
                <w:szCs w:val="20"/>
              </w:rPr>
              <w:t>On full income support</w:t>
            </w:r>
          </w:p>
        </w:tc>
      </w:tr>
      <w:tr w:rsidR="008841C1" w:rsidRPr="0011747A" w14:paraId="5825BDC0" w14:textId="77777777" w:rsidTr="0069539A">
        <w:trPr>
          <w:trHeight w:hRule="exact" w:val="340"/>
        </w:trPr>
        <w:tc>
          <w:tcPr>
            <w:tcW w:w="1384" w:type="dxa"/>
            <w:tcBorders>
              <w:top w:val="nil"/>
              <w:bottom w:val="nil"/>
            </w:tcBorders>
            <w:vAlign w:val="center"/>
          </w:tcPr>
          <w:p w14:paraId="08ADEBF7" w14:textId="77777777" w:rsidR="008841C1" w:rsidRPr="0011747A" w:rsidRDefault="008841C1" w:rsidP="0069539A">
            <w:pPr>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 xml:space="preserve">Stream 1 </w:t>
            </w:r>
          </w:p>
        </w:tc>
        <w:tc>
          <w:tcPr>
            <w:tcW w:w="1985" w:type="dxa"/>
            <w:tcBorders>
              <w:top w:val="nil"/>
              <w:bottom w:val="nil"/>
            </w:tcBorders>
            <w:vAlign w:val="center"/>
          </w:tcPr>
          <w:p w14:paraId="1342202D" w14:textId="77777777" w:rsidR="008841C1" w:rsidRPr="0011747A" w:rsidRDefault="008841C1" w:rsidP="0069539A">
            <w:pPr>
              <w:suppressAutoHyphens/>
              <w:autoSpaceDE w:val="0"/>
              <w:autoSpaceDN w:val="0"/>
              <w:adjustRightInd w:val="0"/>
              <w:spacing w:line="300" w:lineRule="atLeast"/>
              <w:ind w:left="263" w:right="498"/>
              <w:jc w:val="right"/>
              <w:textAlignment w:val="center"/>
              <w:rPr>
                <w:rFonts w:cs="Garamond"/>
                <w:sz w:val="20"/>
                <w:szCs w:val="20"/>
                <w:lang w:val="en-GB"/>
              </w:rPr>
            </w:pPr>
            <w:r>
              <w:rPr>
                <w:rFonts w:cs="Garamond"/>
                <w:sz w:val="20"/>
                <w:szCs w:val="20"/>
                <w:lang w:val="en-GB"/>
              </w:rPr>
              <w:t>-3.9</w:t>
            </w:r>
          </w:p>
        </w:tc>
        <w:tc>
          <w:tcPr>
            <w:tcW w:w="2834" w:type="dxa"/>
            <w:tcBorders>
              <w:top w:val="nil"/>
              <w:bottom w:val="nil"/>
            </w:tcBorders>
            <w:vAlign w:val="center"/>
          </w:tcPr>
          <w:p w14:paraId="6AD90FB9" w14:textId="77777777" w:rsidR="008841C1" w:rsidRPr="0011747A" w:rsidRDefault="008841C1" w:rsidP="0069539A">
            <w:pPr>
              <w:suppressAutoHyphens/>
              <w:autoSpaceDE w:val="0"/>
              <w:autoSpaceDN w:val="0"/>
              <w:adjustRightInd w:val="0"/>
              <w:spacing w:line="300" w:lineRule="atLeast"/>
              <w:ind w:right="733"/>
              <w:jc w:val="right"/>
              <w:textAlignment w:val="center"/>
              <w:rPr>
                <w:rFonts w:cs="Garamond"/>
                <w:sz w:val="20"/>
                <w:szCs w:val="20"/>
                <w:lang w:val="en-GB"/>
              </w:rPr>
            </w:pPr>
            <w:r>
              <w:rPr>
                <w:rFonts w:cs="Garamond"/>
                <w:sz w:val="20"/>
                <w:szCs w:val="20"/>
                <w:lang w:val="en-GB"/>
              </w:rPr>
              <w:t>0.1</w:t>
            </w:r>
          </w:p>
        </w:tc>
        <w:tc>
          <w:tcPr>
            <w:tcW w:w="2836" w:type="dxa"/>
            <w:tcBorders>
              <w:top w:val="nil"/>
              <w:bottom w:val="nil"/>
            </w:tcBorders>
            <w:vAlign w:val="center"/>
          </w:tcPr>
          <w:p w14:paraId="243D20F3" w14:textId="77777777" w:rsidR="008841C1" w:rsidRPr="0011747A" w:rsidRDefault="008841C1" w:rsidP="0069539A">
            <w:pPr>
              <w:suppressAutoHyphens/>
              <w:autoSpaceDE w:val="0"/>
              <w:autoSpaceDN w:val="0"/>
              <w:adjustRightInd w:val="0"/>
              <w:spacing w:line="300" w:lineRule="atLeast"/>
              <w:ind w:right="734"/>
              <w:jc w:val="right"/>
              <w:textAlignment w:val="center"/>
              <w:rPr>
                <w:rFonts w:cs="Garamond"/>
                <w:sz w:val="20"/>
                <w:szCs w:val="20"/>
                <w:lang w:val="en-GB"/>
              </w:rPr>
            </w:pPr>
            <w:r>
              <w:rPr>
                <w:rFonts w:cs="Garamond"/>
                <w:sz w:val="20"/>
                <w:szCs w:val="20"/>
                <w:lang w:val="en-GB"/>
              </w:rPr>
              <w:t>3.7</w:t>
            </w:r>
          </w:p>
        </w:tc>
      </w:tr>
      <w:tr w:rsidR="008841C1" w:rsidRPr="0011747A" w14:paraId="29D45CC2" w14:textId="77777777" w:rsidTr="0069539A">
        <w:trPr>
          <w:trHeight w:hRule="exact" w:val="340"/>
        </w:trPr>
        <w:tc>
          <w:tcPr>
            <w:tcW w:w="1384" w:type="dxa"/>
            <w:tcBorders>
              <w:top w:val="nil"/>
              <w:bottom w:val="nil"/>
            </w:tcBorders>
            <w:shd w:val="clear" w:color="auto" w:fill="E5E5E5" w:themeFill="background1" w:themeFillTint="33"/>
            <w:vAlign w:val="center"/>
          </w:tcPr>
          <w:p w14:paraId="3AED66C9" w14:textId="77777777" w:rsidR="008841C1" w:rsidRPr="0011747A" w:rsidRDefault="008841C1" w:rsidP="0069539A">
            <w:pPr>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2</w:t>
            </w:r>
          </w:p>
        </w:tc>
        <w:tc>
          <w:tcPr>
            <w:tcW w:w="1985" w:type="dxa"/>
            <w:tcBorders>
              <w:top w:val="nil"/>
              <w:bottom w:val="nil"/>
            </w:tcBorders>
            <w:shd w:val="clear" w:color="auto" w:fill="E5E5E5" w:themeFill="background1" w:themeFillTint="33"/>
            <w:vAlign w:val="center"/>
          </w:tcPr>
          <w:p w14:paraId="408D0669" w14:textId="77777777" w:rsidR="008841C1" w:rsidRPr="0011747A" w:rsidRDefault="008841C1" w:rsidP="0069539A">
            <w:pPr>
              <w:suppressAutoHyphens/>
              <w:autoSpaceDE w:val="0"/>
              <w:autoSpaceDN w:val="0"/>
              <w:adjustRightInd w:val="0"/>
              <w:spacing w:line="300" w:lineRule="atLeast"/>
              <w:ind w:left="263" w:right="498"/>
              <w:jc w:val="right"/>
              <w:textAlignment w:val="center"/>
              <w:rPr>
                <w:rFonts w:cs="Garamond"/>
                <w:sz w:val="20"/>
                <w:szCs w:val="20"/>
                <w:lang w:val="en-GB"/>
              </w:rPr>
            </w:pPr>
            <w:r w:rsidRPr="0011747A">
              <w:rPr>
                <w:rFonts w:cs="Garamond"/>
                <w:sz w:val="20"/>
                <w:szCs w:val="20"/>
                <w:lang w:val="en-GB"/>
              </w:rPr>
              <w:t>-3</w:t>
            </w:r>
            <w:r>
              <w:rPr>
                <w:rFonts w:cs="Garamond"/>
                <w:sz w:val="20"/>
                <w:szCs w:val="20"/>
                <w:lang w:val="en-GB"/>
              </w:rPr>
              <w:t>.1</w:t>
            </w:r>
          </w:p>
        </w:tc>
        <w:tc>
          <w:tcPr>
            <w:tcW w:w="2834" w:type="dxa"/>
            <w:tcBorders>
              <w:top w:val="nil"/>
              <w:bottom w:val="nil"/>
            </w:tcBorders>
            <w:shd w:val="clear" w:color="auto" w:fill="E5E5E5" w:themeFill="background1" w:themeFillTint="33"/>
            <w:vAlign w:val="center"/>
          </w:tcPr>
          <w:p w14:paraId="7D3BB85E" w14:textId="77777777" w:rsidR="008841C1" w:rsidRPr="0011747A" w:rsidRDefault="008841C1" w:rsidP="0069539A">
            <w:pPr>
              <w:suppressAutoHyphens/>
              <w:autoSpaceDE w:val="0"/>
              <w:autoSpaceDN w:val="0"/>
              <w:adjustRightInd w:val="0"/>
              <w:spacing w:line="300" w:lineRule="atLeast"/>
              <w:ind w:right="733"/>
              <w:jc w:val="right"/>
              <w:textAlignment w:val="center"/>
              <w:rPr>
                <w:rFonts w:cs="Garamond"/>
                <w:sz w:val="20"/>
                <w:szCs w:val="20"/>
                <w:lang w:val="en-GB"/>
              </w:rPr>
            </w:pPr>
            <w:r>
              <w:rPr>
                <w:rFonts w:cs="Garamond"/>
                <w:sz w:val="20"/>
                <w:szCs w:val="20"/>
                <w:lang w:val="en-GB"/>
              </w:rPr>
              <w:t>-0.8</w:t>
            </w:r>
          </w:p>
        </w:tc>
        <w:tc>
          <w:tcPr>
            <w:tcW w:w="2836" w:type="dxa"/>
            <w:tcBorders>
              <w:top w:val="nil"/>
              <w:bottom w:val="nil"/>
            </w:tcBorders>
            <w:shd w:val="clear" w:color="auto" w:fill="E5E5E5" w:themeFill="background1" w:themeFillTint="33"/>
            <w:vAlign w:val="center"/>
          </w:tcPr>
          <w:p w14:paraId="771CE043" w14:textId="77777777" w:rsidR="008841C1" w:rsidRPr="0011747A" w:rsidRDefault="008841C1" w:rsidP="0069539A">
            <w:pPr>
              <w:suppressAutoHyphens/>
              <w:autoSpaceDE w:val="0"/>
              <w:autoSpaceDN w:val="0"/>
              <w:adjustRightInd w:val="0"/>
              <w:spacing w:line="300" w:lineRule="atLeast"/>
              <w:ind w:right="734"/>
              <w:jc w:val="right"/>
              <w:textAlignment w:val="center"/>
              <w:rPr>
                <w:rFonts w:cs="Garamond"/>
                <w:sz w:val="20"/>
                <w:szCs w:val="20"/>
                <w:lang w:val="en-GB"/>
              </w:rPr>
            </w:pPr>
            <w:r>
              <w:rPr>
                <w:rFonts w:cs="Garamond"/>
                <w:sz w:val="20"/>
                <w:szCs w:val="20"/>
                <w:lang w:val="en-GB"/>
              </w:rPr>
              <w:t>3.9</w:t>
            </w:r>
          </w:p>
        </w:tc>
      </w:tr>
      <w:tr w:rsidR="008841C1" w:rsidRPr="0011747A" w14:paraId="47DE4C38" w14:textId="77777777" w:rsidTr="0069539A">
        <w:trPr>
          <w:trHeight w:hRule="exact" w:val="340"/>
        </w:trPr>
        <w:tc>
          <w:tcPr>
            <w:tcW w:w="1384" w:type="dxa"/>
            <w:tcBorders>
              <w:top w:val="nil"/>
              <w:bottom w:val="nil"/>
            </w:tcBorders>
            <w:vAlign w:val="center"/>
          </w:tcPr>
          <w:p w14:paraId="52F7400A" w14:textId="77777777" w:rsidR="008841C1" w:rsidRPr="0011747A" w:rsidRDefault="008841C1" w:rsidP="0069539A">
            <w:pPr>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3</w:t>
            </w:r>
          </w:p>
        </w:tc>
        <w:tc>
          <w:tcPr>
            <w:tcW w:w="1985" w:type="dxa"/>
            <w:tcBorders>
              <w:top w:val="nil"/>
              <w:bottom w:val="nil"/>
            </w:tcBorders>
            <w:vAlign w:val="center"/>
          </w:tcPr>
          <w:p w14:paraId="726096FF" w14:textId="77777777" w:rsidR="008841C1" w:rsidRPr="0011747A" w:rsidRDefault="008841C1" w:rsidP="0069539A">
            <w:pPr>
              <w:suppressAutoHyphens/>
              <w:autoSpaceDE w:val="0"/>
              <w:autoSpaceDN w:val="0"/>
              <w:adjustRightInd w:val="0"/>
              <w:spacing w:line="300" w:lineRule="atLeast"/>
              <w:ind w:left="263" w:right="498"/>
              <w:jc w:val="right"/>
              <w:textAlignment w:val="center"/>
              <w:rPr>
                <w:rFonts w:cs="Garamond"/>
                <w:sz w:val="20"/>
                <w:szCs w:val="20"/>
                <w:lang w:val="en-GB"/>
              </w:rPr>
            </w:pPr>
            <w:r>
              <w:rPr>
                <w:rFonts w:cs="Garamond"/>
                <w:sz w:val="20"/>
                <w:szCs w:val="20"/>
                <w:lang w:val="en-GB"/>
              </w:rPr>
              <w:t>-2.4</w:t>
            </w:r>
          </w:p>
        </w:tc>
        <w:tc>
          <w:tcPr>
            <w:tcW w:w="2834" w:type="dxa"/>
            <w:tcBorders>
              <w:top w:val="nil"/>
              <w:bottom w:val="nil"/>
            </w:tcBorders>
            <w:vAlign w:val="center"/>
          </w:tcPr>
          <w:p w14:paraId="7E8DACE5" w14:textId="77777777" w:rsidR="008841C1" w:rsidRPr="0011747A" w:rsidRDefault="008841C1" w:rsidP="0069539A">
            <w:pPr>
              <w:suppressAutoHyphens/>
              <w:autoSpaceDE w:val="0"/>
              <w:autoSpaceDN w:val="0"/>
              <w:adjustRightInd w:val="0"/>
              <w:spacing w:line="300" w:lineRule="atLeast"/>
              <w:ind w:right="733"/>
              <w:jc w:val="right"/>
              <w:textAlignment w:val="center"/>
              <w:rPr>
                <w:rFonts w:cs="Garamond"/>
                <w:sz w:val="20"/>
                <w:szCs w:val="20"/>
                <w:lang w:val="en-GB"/>
              </w:rPr>
            </w:pPr>
            <w:r>
              <w:rPr>
                <w:rFonts w:cs="Garamond"/>
                <w:sz w:val="20"/>
                <w:szCs w:val="20"/>
                <w:lang w:val="en-GB"/>
              </w:rPr>
              <w:t>-2.2</w:t>
            </w:r>
          </w:p>
        </w:tc>
        <w:tc>
          <w:tcPr>
            <w:tcW w:w="2836" w:type="dxa"/>
            <w:tcBorders>
              <w:top w:val="nil"/>
              <w:bottom w:val="nil"/>
            </w:tcBorders>
            <w:vAlign w:val="center"/>
          </w:tcPr>
          <w:p w14:paraId="1C2EBB90" w14:textId="77777777" w:rsidR="008841C1" w:rsidRPr="0011747A" w:rsidRDefault="008841C1" w:rsidP="0069539A">
            <w:pPr>
              <w:suppressAutoHyphens/>
              <w:autoSpaceDE w:val="0"/>
              <w:autoSpaceDN w:val="0"/>
              <w:adjustRightInd w:val="0"/>
              <w:spacing w:line="300" w:lineRule="atLeast"/>
              <w:ind w:right="734"/>
              <w:jc w:val="right"/>
              <w:textAlignment w:val="center"/>
              <w:rPr>
                <w:rFonts w:cs="Garamond"/>
                <w:sz w:val="20"/>
                <w:szCs w:val="20"/>
                <w:lang w:val="en-GB"/>
              </w:rPr>
            </w:pPr>
            <w:r>
              <w:rPr>
                <w:rFonts w:cs="Garamond"/>
                <w:sz w:val="20"/>
                <w:szCs w:val="20"/>
                <w:lang w:val="en-GB"/>
              </w:rPr>
              <w:t>4.6</w:t>
            </w:r>
          </w:p>
        </w:tc>
      </w:tr>
      <w:tr w:rsidR="008841C1" w:rsidRPr="0011747A" w14:paraId="7FDBC540" w14:textId="77777777" w:rsidTr="0069539A">
        <w:trPr>
          <w:trHeight w:hRule="exact" w:val="340"/>
        </w:trPr>
        <w:tc>
          <w:tcPr>
            <w:tcW w:w="1384" w:type="dxa"/>
            <w:tcBorders>
              <w:top w:val="nil"/>
              <w:bottom w:val="single" w:sz="4" w:space="0" w:color="auto"/>
            </w:tcBorders>
            <w:shd w:val="clear" w:color="auto" w:fill="E5E5E5" w:themeFill="background1" w:themeFillTint="33"/>
            <w:vAlign w:val="center"/>
          </w:tcPr>
          <w:p w14:paraId="361ED012" w14:textId="77777777" w:rsidR="008841C1" w:rsidRPr="0011747A" w:rsidRDefault="008841C1" w:rsidP="0069539A">
            <w:pPr>
              <w:suppressAutoHyphens/>
              <w:autoSpaceDE w:val="0"/>
              <w:autoSpaceDN w:val="0"/>
              <w:adjustRightInd w:val="0"/>
              <w:spacing w:line="300" w:lineRule="atLeast"/>
              <w:ind w:right="258"/>
              <w:textAlignment w:val="center"/>
              <w:rPr>
                <w:rFonts w:cs="Garamond"/>
                <w:sz w:val="20"/>
                <w:szCs w:val="20"/>
                <w:lang w:val="en-GB"/>
              </w:rPr>
            </w:pPr>
            <w:r w:rsidRPr="0011747A">
              <w:rPr>
                <w:rFonts w:cs="Garamond"/>
                <w:sz w:val="20"/>
                <w:szCs w:val="20"/>
                <w:lang w:val="en-GB"/>
              </w:rPr>
              <w:t>Stream 4</w:t>
            </w:r>
          </w:p>
        </w:tc>
        <w:tc>
          <w:tcPr>
            <w:tcW w:w="1985" w:type="dxa"/>
            <w:tcBorders>
              <w:top w:val="nil"/>
              <w:bottom w:val="single" w:sz="4" w:space="0" w:color="auto"/>
            </w:tcBorders>
            <w:shd w:val="clear" w:color="auto" w:fill="E5E5E5" w:themeFill="background1" w:themeFillTint="33"/>
            <w:vAlign w:val="center"/>
          </w:tcPr>
          <w:p w14:paraId="57210034" w14:textId="77777777" w:rsidR="008841C1" w:rsidRPr="0011747A" w:rsidRDefault="008841C1" w:rsidP="0069539A">
            <w:pPr>
              <w:suppressAutoHyphens/>
              <w:autoSpaceDE w:val="0"/>
              <w:autoSpaceDN w:val="0"/>
              <w:adjustRightInd w:val="0"/>
              <w:spacing w:line="300" w:lineRule="atLeast"/>
              <w:ind w:left="263" w:right="498"/>
              <w:jc w:val="right"/>
              <w:textAlignment w:val="center"/>
              <w:rPr>
                <w:rFonts w:cs="Garamond"/>
                <w:sz w:val="20"/>
                <w:szCs w:val="20"/>
                <w:lang w:val="en-GB"/>
              </w:rPr>
            </w:pPr>
            <w:r>
              <w:rPr>
                <w:rFonts w:cs="Garamond"/>
                <w:sz w:val="20"/>
                <w:szCs w:val="20"/>
                <w:lang w:val="en-GB"/>
              </w:rPr>
              <w:t>0.5</w:t>
            </w:r>
          </w:p>
        </w:tc>
        <w:tc>
          <w:tcPr>
            <w:tcW w:w="2834" w:type="dxa"/>
            <w:tcBorders>
              <w:top w:val="nil"/>
              <w:bottom w:val="single" w:sz="4" w:space="0" w:color="auto"/>
            </w:tcBorders>
            <w:shd w:val="clear" w:color="auto" w:fill="E5E5E5" w:themeFill="background1" w:themeFillTint="33"/>
            <w:vAlign w:val="center"/>
          </w:tcPr>
          <w:p w14:paraId="2811B78A" w14:textId="77777777" w:rsidR="008841C1" w:rsidRPr="0011747A" w:rsidRDefault="008841C1" w:rsidP="0069539A">
            <w:pPr>
              <w:suppressAutoHyphens/>
              <w:autoSpaceDE w:val="0"/>
              <w:autoSpaceDN w:val="0"/>
              <w:adjustRightInd w:val="0"/>
              <w:spacing w:line="300" w:lineRule="atLeast"/>
              <w:ind w:right="733"/>
              <w:jc w:val="right"/>
              <w:textAlignment w:val="center"/>
              <w:rPr>
                <w:rFonts w:cs="Garamond"/>
                <w:sz w:val="20"/>
                <w:szCs w:val="20"/>
                <w:lang w:val="en-GB"/>
              </w:rPr>
            </w:pPr>
            <w:r>
              <w:rPr>
                <w:rFonts w:cs="Garamond"/>
                <w:sz w:val="20"/>
                <w:szCs w:val="20"/>
                <w:lang w:val="en-GB"/>
              </w:rPr>
              <w:t>-1.0</w:t>
            </w:r>
          </w:p>
        </w:tc>
        <w:tc>
          <w:tcPr>
            <w:tcW w:w="2836" w:type="dxa"/>
            <w:tcBorders>
              <w:top w:val="nil"/>
              <w:bottom w:val="single" w:sz="4" w:space="0" w:color="auto"/>
            </w:tcBorders>
            <w:shd w:val="clear" w:color="auto" w:fill="E5E5E5" w:themeFill="background1" w:themeFillTint="33"/>
            <w:vAlign w:val="center"/>
          </w:tcPr>
          <w:p w14:paraId="4ABAEB25" w14:textId="77777777" w:rsidR="008841C1" w:rsidRPr="0011747A" w:rsidRDefault="008841C1" w:rsidP="0069539A">
            <w:pPr>
              <w:suppressAutoHyphens/>
              <w:autoSpaceDE w:val="0"/>
              <w:autoSpaceDN w:val="0"/>
              <w:adjustRightInd w:val="0"/>
              <w:spacing w:line="300" w:lineRule="atLeast"/>
              <w:ind w:right="734"/>
              <w:jc w:val="right"/>
              <w:textAlignment w:val="center"/>
              <w:rPr>
                <w:rFonts w:cs="Garamond"/>
                <w:sz w:val="20"/>
                <w:szCs w:val="20"/>
                <w:lang w:val="en-GB"/>
              </w:rPr>
            </w:pPr>
            <w:r>
              <w:rPr>
                <w:rFonts w:cs="Garamond"/>
                <w:sz w:val="20"/>
                <w:szCs w:val="20"/>
                <w:lang w:val="en-GB"/>
              </w:rPr>
              <w:t>0.5</w:t>
            </w:r>
          </w:p>
        </w:tc>
      </w:tr>
    </w:tbl>
    <w:p w14:paraId="2D2B2E26" w14:textId="77777777" w:rsidR="00E80C53" w:rsidRDefault="008841C1" w:rsidP="001A4FCE">
      <w:pPr>
        <w:pStyle w:val="Notes"/>
        <w:rPr>
          <w:b/>
        </w:rPr>
      </w:pPr>
      <w:r w:rsidRPr="008D7387">
        <w:rPr>
          <w:b/>
        </w:rPr>
        <w:t>Note:</w:t>
      </w:r>
      <w:r w:rsidR="008D7387">
        <w:tab/>
      </w:r>
      <w:r w:rsidR="00E80C53" w:rsidRPr="00BC2802">
        <w:t xml:space="preserve">Refer </w:t>
      </w:r>
      <w:hyperlink w:anchor="Title_A211" w:history="1">
        <w:r w:rsidR="00E80C53" w:rsidRPr="00DA0CBF">
          <w:rPr>
            <w:rStyle w:val="Hyperlink"/>
          </w:rPr>
          <w:t>App</w:t>
        </w:r>
        <w:r w:rsidR="00E80C53" w:rsidRPr="00DA0CBF">
          <w:rPr>
            <w:rStyle w:val="Hyperlink"/>
            <w:rFonts w:eastAsiaTheme="minorEastAsia"/>
          </w:rPr>
          <w:t>endix A</w:t>
        </w:r>
        <w:r w:rsidR="000748CA" w:rsidRPr="00DA0CBF">
          <w:rPr>
            <w:rStyle w:val="Hyperlink"/>
            <w:rFonts w:eastAsiaTheme="minorEastAsia"/>
          </w:rPr>
          <w:t>2</w:t>
        </w:r>
        <w:r w:rsidR="00E80C53" w:rsidRPr="00DA0CBF">
          <w:rPr>
            <w:rStyle w:val="Hyperlink"/>
            <w:rFonts w:eastAsiaTheme="minorEastAsia"/>
          </w:rPr>
          <w:t>, Table A2.11</w:t>
        </w:r>
      </w:hyperlink>
      <w:r w:rsidR="00E80C53" w:rsidRPr="00E80C53">
        <w:rPr>
          <w:rStyle w:val="NotesChar"/>
          <w:rFonts w:eastAsiaTheme="minorEastAsia"/>
        </w:rPr>
        <w:t>.</w:t>
      </w:r>
      <w:bookmarkStart w:id="205" w:name="Place_A211"/>
      <w:bookmarkEnd w:id="205"/>
    </w:p>
    <w:p w14:paraId="6C96320E" w14:textId="77777777" w:rsidR="008D7387" w:rsidRPr="004D4671" w:rsidRDefault="008D7387" w:rsidP="008D7387">
      <w:pPr>
        <w:pStyle w:val="Source"/>
        <w:rPr>
          <w:rFonts w:eastAsia="Times New Roman"/>
          <w:lang w:eastAsia="en-AU"/>
        </w:rPr>
      </w:pPr>
      <w:r w:rsidRPr="00940174">
        <w:rPr>
          <w:b/>
        </w:rPr>
        <w:t>Source:</w:t>
      </w:r>
      <w:r w:rsidRPr="00940174">
        <w:rPr>
          <w:rFonts w:eastAsia="Times New Roman"/>
          <w:lang w:eastAsia="en-AU"/>
        </w:rPr>
        <w:t xml:space="preserve"> </w:t>
      </w:r>
      <w:r w:rsidRPr="00940174">
        <w:rPr>
          <w:rFonts w:eastAsia="Times New Roman"/>
          <w:lang w:eastAsia="en-AU"/>
        </w:rPr>
        <w:tab/>
      </w:r>
      <w:r w:rsidRPr="004D4671">
        <w:rPr>
          <w:rFonts w:eastAsia="Times New Roman"/>
          <w:lang w:eastAsia="en-AU"/>
        </w:rPr>
        <w:t>Department of Employment administrative data</w:t>
      </w:r>
      <w:r w:rsidR="00F774E4">
        <w:rPr>
          <w:rFonts w:eastAsia="Times New Roman"/>
          <w:lang w:eastAsia="en-AU"/>
        </w:rPr>
        <w:t xml:space="preserve"> and Research and Evaluation dataset (RED)</w:t>
      </w:r>
      <w:r w:rsidRPr="004D4671">
        <w:rPr>
          <w:rFonts w:eastAsia="Times New Roman"/>
          <w:lang w:eastAsia="en-AU"/>
        </w:rPr>
        <w:t>.</w:t>
      </w:r>
    </w:p>
    <w:p w14:paraId="590B4383" w14:textId="77777777" w:rsidR="008841C1" w:rsidRPr="00940174" w:rsidRDefault="008841C1" w:rsidP="008841C1">
      <w:r w:rsidRPr="00940174">
        <w:t>Single parents showed the largest increase in predicted probability of b</w:t>
      </w:r>
      <w:r>
        <w:t>eing on full income support (6.0</w:t>
      </w:r>
      <w:r w:rsidRPr="00940174">
        <w:t xml:space="preserve"> percentage points), with drops in probabilities of being both off income support and on partial income support. For most other groups of interest, the differences in predicted probabilities between JSA 2009 and JSA 2012 were statistically significant, but relatively small.</w:t>
      </w:r>
    </w:p>
    <w:p w14:paraId="2029DF52" w14:textId="77777777" w:rsidR="00940174" w:rsidRPr="00670EF3" w:rsidRDefault="00940174" w:rsidP="00940174">
      <w:pPr>
        <w:pStyle w:val="Heading4"/>
        <w:rPr>
          <w:highlight w:val="yellow"/>
        </w:rPr>
      </w:pPr>
      <w:r w:rsidRPr="00F9208E">
        <w:t>Income support status 12 months after the snapshot date</w:t>
      </w:r>
      <w:r w:rsidR="008841C1" w:rsidRPr="00F9208E">
        <w:t xml:space="preserve"> (regressed)</w:t>
      </w:r>
    </w:p>
    <w:p w14:paraId="01690165" w14:textId="77777777" w:rsidR="00940174" w:rsidRPr="00940174" w:rsidRDefault="006A12D5" w:rsidP="00940174">
      <w:r>
        <w:t>A</w:t>
      </w:r>
      <w:r w:rsidR="00170537">
        <w:t xml:space="preserve">ME estimates for job seekers 12 months after the snapshot date </w:t>
      </w:r>
      <w:r w:rsidR="008841C1">
        <w:t xml:space="preserve">show that </w:t>
      </w:r>
      <w:r w:rsidR="00815EA5">
        <w:t>LTU</w:t>
      </w:r>
      <w:r w:rsidR="00940174" w:rsidRPr="00940174">
        <w:t xml:space="preserve"> job seekers in JSA 2012 generally had less favourable income support status results 12 months after the snapshot date than those in JSA 2009. </w:t>
      </w:r>
      <w:r w:rsidR="008841C1">
        <w:t>T</w:t>
      </w:r>
      <w:r w:rsidR="00940174" w:rsidRPr="00940174">
        <w:t xml:space="preserve">he differences are most marked for job seekers in Streams 1 and 2, and smallest for those in Stream 4. Similarly, </w:t>
      </w:r>
      <w:r>
        <w:t>A</w:t>
      </w:r>
      <w:r w:rsidR="00C55C40">
        <w:t>ME</w:t>
      </w:r>
      <w:r w:rsidR="00940174" w:rsidRPr="00940174">
        <w:t>s are highest for job seekers unemployed for one to two years at the snapshot date and lowest for those unemployed for five y</w:t>
      </w:r>
      <w:r w:rsidR="002B7D83">
        <w:t>ears or more (Table</w:t>
      </w:r>
      <w:r w:rsidR="00153F4C">
        <w:t xml:space="preserve"> 3.</w:t>
      </w:r>
      <w:r w:rsidR="00331592">
        <w:t>6</w:t>
      </w:r>
      <w:r w:rsidR="00153F4C">
        <w:t xml:space="preserve"> and</w:t>
      </w:r>
      <w:r w:rsidR="002B7D83">
        <w:t xml:space="preserve"> </w:t>
      </w:r>
      <w:r w:rsidR="000748CA">
        <w:t xml:space="preserve">Table </w:t>
      </w:r>
      <w:r w:rsidR="002B7D83">
        <w:t>A2.</w:t>
      </w:r>
      <w:r w:rsidR="000748CA">
        <w:t>12</w:t>
      </w:r>
      <w:r w:rsidR="002B7D83">
        <w:t>).</w:t>
      </w:r>
    </w:p>
    <w:p w14:paraId="34672070" w14:textId="77777777" w:rsidR="00940174" w:rsidRPr="00940174" w:rsidRDefault="00940174" w:rsidP="00170537">
      <w:pPr>
        <w:pStyle w:val="Tableforcontents"/>
        <w:keepLines/>
      </w:pPr>
      <w:bookmarkStart w:id="206" w:name="_Toc436142559"/>
      <w:bookmarkStart w:id="207" w:name="_Toc22543978"/>
      <w:r w:rsidRPr="00940174">
        <w:t xml:space="preserve">Table </w:t>
      </w:r>
      <w:r w:rsidR="00CA6EAB">
        <w:t>3.</w:t>
      </w:r>
      <w:r w:rsidR="00331592">
        <w:t>6</w:t>
      </w:r>
      <w:r w:rsidR="00CA6EAB">
        <w:t>:</w:t>
      </w:r>
      <w:r w:rsidR="003C29A5">
        <w:t xml:space="preserve"> </w:t>
      </w:r>
      <w:r w:rsidR="006A12D5">
        <w:t>Average</w:t>
      </w:r>
      <w:r w:rsidR="006A12D5" w:rsidRPr="00940174">
        <w:t xml:space="preserve"> </w:t>
      </w:r>
      <w:r w:rsidR="00BB3FAD">
        <w:t>m</w:t>
      </w:r>
      <w:r w:rsidRPr="00940174">
        <w:t xml:space="preserve">arginal </w:t>
      </w:r>
      <w:r w:rsidR="00BB3FAD">
        <w:t>e</w:t>
      </w:r>
      <w:r w:rsidRPr="00940174">
        <w:t>ffect (</w:t>
      </w:r>
      <w:r w:rsidR="006A12D5">
        <w:t>A</w:t>
      </w:r>
      <w:r w:rsidRPr="00940174">
        <w:t>ME) estimates for the predicted probability of income support status 12 month</w:t>
      </w:r>
      <w:r w:rsidR="006D5A09">
        <w:t>s after snapshot date by s</w:t>
      </w:r>
      <w:r w:rsidR="00B10CFF">
        <w:t>tream for</w:t>
      </w:r>
      <w:r w:rsidRPr="00940174">
        <w:t xml:space="preserve"> </w:t>
      </w:r>
      <w:r w:rsidR="006D5A09">
        <w:t>long-term unemployed (LTU) job seekers</w:t>
      </w:r>
      <w:r w:rsidR="00B10CFF">
        <w:t xml:space="preserve">, </w:t>
      </w:r>
      <w:r w:rsidRPr="00940174">
        <w:t>JSA 2012 compared with JSA 2009</w:t>
      </w:r>
      <w:bookmarkEnd w:id="206"/>
      <w:r w:rsidR="00916231">
        <w:t xml:space="preserve"> (</w:t>
      </w:r>
      <w:r w:rsidR="006D5A09">
        <w:t xml:space="preserve">percentage </w:t>
      </w:r>
      <w:r w:rsidR="00916231">
        <w:t>p</w:t>
      </w:r>
      <w:r w:rsidR="006D5A09">
        <w:t>oin</w:t>
      </w:r>
      <w:r w:rsidR="00916231">
        <w:t>t)</w:t>
      </w:r>
      <w:bookmarkEnd w:id="207"/>
    </w:p>
    <w:tbl>
      <w:tblPr>
        <w:tblStyle w:val="TableGrid22"/>
        <w:tblW w:w="8473" w:type="dxa"/>
        <w:tblBorders>
          <w:top w:val="none" w:sz="0" w:space="0" w:color="auto"/>
        </w:tblBorders>
        <w:tblLook w:val="04A0" w:firstRow="1" w:lastRow="0" w:firstColumn="1" w:lastColumn="0" w:noHBand="0" w:noVBand="1"/>
      </w:tblPr>
      <w:tblGrid>
        <w:gridCol w:w="1809"/>
        <w:gridCol w:w="1985"/>
        <w:gridCol w:w="2552"/>
        <w:gridCol w:w="2127"/>
      </w:tblGrid>
      <w:tr w:rsidR="00940174" w:rsidRPr="0011747A" w14:paraId="0885271D" w14:textId="77777777" w:rsidTr="00494AF7">
        <w:trPr>
          <w:trHeight w:val="408"/>
          <w:tblHeader/>
        </w:trPr>
        <w:tc>
          <w:tcPr>
            <w:tcW w:w="1809" w:type="dxa"/>
            <w:shd w:val="clear" w:color="auto" w:fill="1E3D6B"/>
            <w:vAlign w:val="center"/>
          </w:tcPr>
          <w:p w14:paraId="73542A9F" w14:textId="77777777" w:rsidR="00940174" w:rsidRPr="0011747A" w:rsidRDefault="00940174" w:rsidP="00170537">
            <w:pPr>
              <w:keepNext/>
              <w:keepLines/>
              <w:rPr>
                <w:rFonts w:ascii="Calibri" w:hAnsi="Calibri" w:cs="Times New Roman"/>
                <w:b/>
                <w:sz w:val="20"/>
                <w:szCs w:val="20"/>
              </w:rPr>
            </w:pPr>
            <w:bookmarkStart w:id="208" w:name="Title_36"/>
            <w:bookmarkEnd w:id="208"/>
            <w:r w:rsidRPr="0011747A">
              <w:rPr>
                <w:rFonts w:ascii="Calibri" w:hAnsi="Calibri" w:cs="Times New Roman"/>
                <w:b/>
                <w:sz w:val="20"/>
                <w:szCs w:val="20"/>
              </w:rPr>
              <w:t>Stream</w:t>
            </w:r>
          </w:p>
        </w:tc>
        <w:tc>
          <w:tcPr>
            <w:tcW w:w="1985" w:type="dxa"/>
            <w:shd w:val="clear" w:color="auto" w:fill="1E3D6B"/>
            <w:vAlign w:val="center"/>
          </w:tcPr>
          <w:p w14:paraId="7EF41B78" w14:textId="77777777" w:rsidR="00940174" w:rsidRPr="0011747A" w:rsidRDefault="00940174" w:rsidP="00170537">
            <w:pPr>
              <w:keepNext/>
              <w:keepLines/>
              <w:jc w:val="center"/>
              <w:rPr>
                <w:b/>
                <w:sz w:val="20"/>
                <w:szCs w:val="20"/>
              </w:rPr>
            </w:pPr>
            <w:r w:rsidRPr="0011747A">
              <w:rPr>
                <w:b/>
                <w:sz w:val="20"/>
                <w:szCs w:val="20"/>
              </w:rPr>
              <w:t>Off income support</w:t>
            </w:r>
          </w:p>
        </w:tc>
        <w:tc>
          <w:tcPr>
            <w:tcW w:w="2552" w:type="dxa"/>
            <w:shd w:val="clear" w:color="auto" w:fill="1E3D6B"/>
            <w:vAlign w:val="center"/>
          </w:tcPr>
          <w:p w14:paraId="75CEBD02" w14:textId="77777777" w:rsidR="00940174" w:rsidRPr="0011747A" w:rsidRDefault="00940174" w:rsidP="00170537">
            <w:pPr>
              <w:keepNext/>
              <w:keepLines/>
              <w:jc w:val="center"/>
              <w:rPr>
                <w:b/>
                <w:sz w:val="20"/>
                <w:szCs w:val="20"/>
              </w:rPr>
            </w:pPr>
            <w:r w:rsidRPr="0011747A">
              <w:rPr>
                <w:b/>
                <w:sz w:val="20"/>
                <w:szCs w:val="20"/>
              </w:rPr>
              <w:t>On partial income support</w:t>
            </w:r>
          </w:p>
        </w:tc>
        <w:tc>
          <w:tcPr>
            <w:tcW w:w="2127" w:type="dxa"/>
            <w:shd w:val="clear" w:color="auto" w:fill="1E3D6B"/>
            <w:vAlign w:val="center"/>
          </w:tcPr>
          <w:p w14:paraId="1735DDA8" w14:textId="77777777" w:rsidR="00940174" w:rsidRPr="0011747A" w:rsidRDefault="00940174" w:rsidP="00170537">
            <w:pPr>
              <w:keepNext/>
              <w:keepLines/>
              <w:jc w:val="center"/>
              <w:rPr>
                <w:b/>
                <w:sz w:val="20"/>
                <w:szCs w:val="20"/>
              </w:rPr>
            </w:pPr>
            <w:r w:rsidRPr="0011747A">
              <w:rPr>
                <w:b/>
                <w:sz w:val="20"/>
                <w:szCs w:val="20"/>
              </w:rPr>
              <w:t>On full income support</w:t>
            </w:r>
          </w:p>
        </w:tc>
      </w:tr>
      <w:tr w:rsidR="00940174" w:rsidRPr="0011747A" w14:paraId="24F8E73E" w14:textId="77777777" w:rsidTr="00494AF7">
        <w:trPr>
          <w:trHeight w:hRule="exact" w:val="340"/>
        </w:trPr>
        <w:tc>
          <w:tcPr>
            <w:tcW w:w="1809" w:type="dxa"/>
            <w:vAlign w:val="center"/>
          </w:tcPr>
          <w:p w14:paraId="773A3609"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 xml:space="preserve">Stream 1 </w:t>
            </w:r>
          </w:p>
        </w:tc>
        <w:tc>
          <w:tcPr>
            <w:tcW w:w="1985" w:type="dxa"/>
            <w:vAlign w:val="center"/>
          </w:tcPr>
          <w:p w14:paraId="0F37E172"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-6.9</w:t>
            </w:r>
          </w:p>
        </w:tc>
        <w:tc>
          <w:tcPr>
            <w:tcW w:w="2552" w:type="dxa"/>
            <w:vAlign w:val="center"/>
          </w:tcPr>
          <w:p w14:paraId="6DD094B9"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0.2</w:t>
            </w:r>
          </w:p>
        </w:tc>
        <w:tc>
          <w:tcPr>
            <w:tcW w:w="2127" w:type="dxa"/>
            <w:vAlign w:val="center"/>
          </w:tcPr>
          <w:p w14:paraId="75E673E4"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6.8</w:t>
            </w:r>
          </w:p>
        </w:tc>
      </w:tr>
      <w:tr w:rsidR="00940174" w:rsidRPr="0011747A" w14:paraId="1CA9EF30" w14:textId="77777777" w:rsidTr="00494AF7">
        <w:trPr>
          <w:trHeight w:hRule="exact" w:val="340"/>
        </w:trPr>
        <w:tc>
          <w:tcPr>
            <w:tcW w:w="1809" w:type="dxa"/>
            <w:shd w:val="clear" w:color="auto" w:fill="E5E5E5" w:themeFill="background1" w:themeFillTint="33"/>
            <w:vAlign w:val="center"/>
          </w:tcPr>
          <w:p w14:paraId="7BCC0146"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2</w:t>
            </w:r>
          </w:p>
        </w:tc>
        <w:tc>
          <w:tcPr>
            <w:tcW w:w="1985" w:type="dxa"/>
            <w:shd w:val="clear" w:color="auto" w:fill="E5E5E5" w:themeFill="background1" w:themeFillTint="33"/>
            <w:vAlign w:val="center"/>
          </w:tcPr>
          <w:p w14:paraId="5C59CCC5"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-4.9</w:t>
            </w:r>
          </w:p>
        </w:tc>
        <w:tc>
          <w:tcPr>
            <w:tcW w:w="2552" w:type="dxa"/>
            <w:shd w:val="clear" w:color="auto" w:fill="E5E5E5" w:themeFill="background1" w:themeFillTint="33"/>
            <w:vAlign w:val="center"/>
          </w:tcPr>
          <w:p w14:paraId="7C118298"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-0.6</w:t>
            </w:r>
          </w:p>
        </w:tc>
        <w:tc>
          <w:tcPr>
            <w:tcW w:w="2127" w:type="dxa"/>
            <w:shd w:val="clear" w:color="auto" w:fill="E5E5E5" w:themeFill="background1" w:themeFillTint="33"/>
            <w:vAlign w:val="center"/>
          </w:tcPr>
          <w:p w14:paraId="46CC0A0A"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5.5</w:t>
            </w:r>
          </w:p>
        </w:tc>
      </w:tr>
      <w:tr w:rsidR="00940174" w:rsidRPr="0011747A" w14:paraId="7F21C35D" w14:textId="77777777" w:rsidTr="00494AF7">
        <w:trPr>
          <w:trHeight w:hRule="exact" w:val="340"/>
        </w:trPr>
        <w:tc>
          <w:tcPr>
            <w:tcW w:w="1809" w:type="dxa"/>
            <w:vAlign w:val="center"/>
          </w:tcPr>
          <w:p w14:paraId="3E49B7D7"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3</w:t>
            </w:r>
          </w:p>
        </w:tc>
        <w:tc>
          <w:tcPr>
            <w:tcW w:w="1985" w:type="dxa"/>
            <w:vAlign w:val="center"/>
          </w:tcPr>
          <w:p w14:paraId="2D1E7DCF"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-2.4</w:t>
            </w:r>
          </w:p>
        </w:tc>
        <w:tc>
          <w:tcPr>
            <w:tcW w:w="2552" w:type="dxa"/>
            <w:vAlign w:val="center"/>
          </w:tcPr>
          <w:p w14:paraId="05CD4BB7"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-2.7</w:t>
            </w:r>
          </w:p>
        </w:tc>
        <w:tc>
          <w:tcPr>
            <w:tcW w:w="2127" w:type="dxa"/>
            <w:vAlign w:val="center"/>
          </w:tcPr>
          <w:p w14:paraId="2FDE52F8"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5.1</w:t>
            </w:r>
          </w:p>
        </w:tc>
      </w:tr>
      <w:tr w:rsidR="00940174" w:rsidRPr="0011747A" w14:paraId="2D4E95AA" w14:textId="77777777" w:rsidTr="00494AF7">
        <w:trPr>
          <w:trHeight w:hRule="exact" w:val="340"/>
        </w:trPr>
        <w:tc>
          <w:tcPr>
            <w:tcW w:w="1809" w:type="dxa"/>
            <w:tcBorders>
              <w:bottom w:val="single" w:sz="4" w:space="0" w:color="auto"/>
            </w:tcBorders>
            <w:shd w:val="clear" w:color="auto" w:fill="E5E5E5" w:themeFill="background1" w:themeFillTint="33"/>
            <w:vAlign w:val="center"/>
          </w:tcPr>
          <w:p w14:paraId="4D50CDBB"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Stream 4</w:t>
            </w:r>
          </w:p>
        </w:tc>
        <w:tc>
          <w:tcPr>
            <w:tcW w:w="1985" w:type="dxa"/>
            <w:tcBorders>
              <w:bottom w:val="single" w:sz="4" w:space="0" w:color="auto"/>
            </w:tcBorders>
            <w:shd w:val="clear" w:color="auto" w:fill="E5E5E5" w:themeFill="background1" w:themeFillTint="33"/>
            <w:vAlign w:val="center"/>
          </w:tcPr>
          <w:p w14:paraId="2FF15E05"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-0.8</w:t>
            </w:r>
          </w:p>
        </w:tc>
        <w:tc>
          <w:tcPr>
            <w:tcW w:w="2552" w:type="dxa"/>
            <w:tcBorders>
              <w:bottom w:val="single" w:sz="4" w:space="0" w:color="auto"/>
            </w:tcBorders>
            <w:shd w:val="clear" w:color="auto" w:fill="E5E5E5" w:themeFill="background1" w:themeFillTint="33"/>
            <w:vAlign w:val="center"/>
          </w:tcPr>
          <w:p w14:paraId="59B0AC8C"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-1.2</w:t>
            </w:r>
          </w:p>
        </w:tc>
        <w:tc>
          <w:tcPr>
            <w:tcW w:w="2127" w:type="dxa"/>
            <w:tcBorders>
              <w:bottom w:val="single" w:sz="4" w:space="0" w:color="auto"/>
            </w:tcBorders>
            <w:shd w:val="clear" w:color="auto" w:fill="E5E5E5" w:themeFill="background1" w:themeFillTint="33"/>
            <w:vAlign w:val="center"/>
          </w:tcPr>
          <w:p w14:paraId="69D862AE" w14:textId="77777777" w:rsidR="00940174" w:rsidRPr="0011747A" w:rsidRDefault="00940174" w:rsidP="00170537">
            <w:pPr>
              <w:keepNext/>
              <w:keepLines/>
              <w:suppressAutoHyphens/>
              <w:autoSpaceDE w:val="0"/>
              <w:autoSpaceDN w:val="0"/>
              <w:adjustRightInd w:val="0"/>
              <w:spacing w:line="300" w:lineRule="atLeast"/>
              <w:ind w:right="258"/>
              <w:jc w:val="center"/>
              <w:textAlignment w:val="center"/>
              <w:rPr>
                <w:rFonts w:cs="Garamond"/>
                <w:sz w:val="20"/>
                <w:szCs w:val="20"/>
                <w:lang w:val="en-GB"/>
              </w:rPr>
            </w:pPr>
            <w:r w:rsidRPr="0011747A">
              <w:rPr>
                <w:rFonts w:cs="Garamond"/>
                <w:sz w:val="20"/>
                <w:szCs w:val="20"/>
                <w:lang w:val="en-GB"/>
              </w:rPr>
              <w:t>2.0</w:t>
            </w:r>
          </w:p>
        </w:tc>
      </w:tr>
    </w:tbl>
    <w:p w14:paraId="3AD0562D" w14:textId="77777777" w:rsidR="00B97A51" w:rsidRDefault="00940174" w:rsidP="000709A5">
      <w:pPr>
        <w:pStyle w:val="Notes"/>
        <w:rPr>
          <w:b/>
        </w:rPr>
      </w:pPr>
      <w:r w:rsidRPr="00B97A51">
        <w:rPr>
          <w:b/>
        </w:rPr>
        <w:t>Note</w:t>
      </w:r>
      <w:r w:rsidRPr="00956148">
        <w:t>:</w:t>
      </w:r>
      <w:r w:rsidRPr="00956148">
        <w:tab/>
      </w:r>
      <w:r w:rsidR="00B97A51" w:rsidRPr="00BC2802">
        <w:t xml:space="preserve">Refer </w:t>
      </w:r>
      <w:hyperlink w:anchor="Title_A212" w:history="1">
        <w:r w:rsidR="00B97A51" w:rsidRPr="00DA0CBF">
          <w:rPr>
            <w:rStyle w:val="Hyperlink"/>
          </w:rPr>
          <w:t xml:space="preserve">Appendix </w:t>
        </w:r>
        <w:r w:rsidR="00B97A51" w:rsidRPr="00DA0CBF">
          <w:rPr>
            <w:rStyle w:val="Hyperlink"/>
            <w:rFonts w:eastAsiaTheme="minorEastAsia"/>
          </w:rPr>
          <w:t>A</w:t>
        </w:r>
        <w:r w:rsidR="000748CA" w:rsidRPr="00DA0CBF">
          <w:rPr>
            <w:rStyle w:val="Hyperlink"/>
            <w:rFonts w:eastAsiaTheme="minorEastAsia"/>
          </w:rPr>
          <w:t>2</w:t>
        </w:r>
        <w:r w:rsidR="00B97A51" w:rsidRPr="00DA0CBF">
          <w:rPr>
            <w:rStyle w:val="Hyperlink"/>
            <w:rFonts w:eastAsiaTheme="minorEastAsia"/>
          </w:rPr>
          <w:t>, Table A2.12</w:t>
        </w:r>
      </w:hyperlink>
      <w:r w:rsidR="00B97A51" w:rsidRPr="00E80C53">
        <w:rPr>
          <w:rStyle w:val="NotesChar"/>
          <w:rFonts w:eastAsiaTheme="minorEastAsia"/>
        </w:rPr>
        <w:t>.</w:t>
      </w:r>
      <w:bookmarkStart w:id="209" w:name="Place_A212"/>
      <w:bookmarkEnd w:id="209"/>
    </w:p>
    <w:p w14:paraId="6586D7C2" w14:textId="77777777" w:rsidR="008D7387" w:rsidRPr="004D4671" w:rsidRDefault="008D7387" w:rsidP="008D7387">
      <w:pPr>
        <w:pStyle w:val="Source"/>
        <w:rPr>
          <w:rFonts w:eastAsia="Times New Roman"/>
          <w:lang w:eastAsia="en-AU"/>
        </w:rPr>
      </w:pPr>
      <w:r w:rsidRPr="00940174">
        <w:rPr>
          <w:b/>
        </w:rPr>
        <w:t>Source:</w:t>
      </w:r>
      <w:r w:rsidRPr="00940174">
        <w:rPr>
          <w:rFonts w:eastAsia="Times New Roman"/>
          <w:lang w:eastAsia="en-AU"/>
        </w:rPr>
        <w:t xml:space="preserve"> </w:t>
      </w:r>
      <w:r w:rsidRPr="00940174">
        <w:rPr>
          <w:rFonts w:eastAsia="Times New Roman"/>
          <w:lang w:eastAsia="en-AU"/>
        </w:rPr>
        <w:tab/>
      </w:r>
      <w:r w:rsidRPr="004D4671">
        <w:rPr>
          <w:rFonts w:eastAsia="Times New Roman"/>
          <w:lang w:eastAsia="en-AU"/>
        </w:rPr>
        <w:t>Department of Employment administrative data</w:t>
      </w:r>
      <w:r w:rsidR="00F774E4">
        <w:rPr>
          <w:rFonts w:eastAsia="Times New Roman"/>
          <w:lang w:eastAsia="en-AU"/>
        </w:rPr>
        <w:t xml:space="preserve"> and Research and Evaluation dataset (RED)</w:t>
      </w:r>
      <w:r w:rsidRPr="004D4671">
        <w:rPr>
          <w:rFonts w:eastAsia="Times New Roman"/>
          <w:lang w:eastAsia="en-AU"/>
        </w:rPr>
        <w:t>.</w:t>
      </w:r>
    </w:p>
    <w:p w14:paraId="01101E66" w14:textId="77777777" w:rsidR="00940174" w:rsidRPr="00940174" w:rsidRDefault="00940174" w:rsidP="00940174">
      <w:r w:rsidRPr="00940174">
        <w:t>For some job seeker groups, including those in Streams 3 and 4, the largest difference</w:t>
      </w:r>
      <w:r w:rsidR="00B97A51">
        <w:t>s</w:t>
      </w:r>
      <w:r w:rsidRPr="00940174">
        <w:t xml:space="preserve"> in outcomes </w:t>
      </w:r>
      <w:r w:rsidR="00B97A51">
        <w:t>are</w:t>
      </w:r>
      <w:r w:rsidRPr="00940174">
        <w:t xml:space="preserve"> in lower predicted probabilities of being on partial income support. These are generally job seekers with higher barriers to entry into the labour force (Table </w:t>
      </w:r>
      <w:r w:rsidR="00CA6EAB">
        <w:t>3.</w:t>
      </w:r>
      <w:r w:rsidR="00331592">
        <w:t>7</w:t>
      </w:r>
      <w:r w:rsidRPr="00940174">
        <w:t>).</w:t>
      </w:r>
    </w:p>
    <w:p w14:paraId="626AD843" w14:textId="77777777" w:rsidR="00940174" w:rsidRPr="00940174" w:rsidRDefault="00940174" w:rsidP="00170537">
      <w:pPr>
        <w:pStyle w:val="Tableforcontents"/>
        <w:keepLines/>
      </w:pPr>
      <w:bookmarkStart w:id="210" w:name="_Toc436142560"/>
      <w:bookmarkStart w:id="211" w:name="_Toc22543979"/>
      <w:r w:rsidRPr="00940174">
        <w:t xml:space="preserve">Table </w:t>
      </w:r>
      <w:r w:rsidR="00CA6EAB">
        <w:t>3.</w:t>
      </w:r>
      <w:r w:rsidR="00331592">
        <w:t>7</w:t>
      </w:r>
      <w:r w:rsidR="00CF00FC">
        <w:t>:</w:t>
      </w:r>
      <w:r w:rsidR="003C29A5">
        <w:t xml:space="preserve"> </w:t>
      </w:r>
      <w:r w:rsidR="006A12D5">
        <w:t>Average</w:t>
      </w:r>
      <w:r w:rsidR="006A12D5" w:rsidRPr="00940174">
        <w:t xml:space="preserve"> </w:t>
      </w:r>
      <w:r w:rsidR="006A12D5">
        <w:t>m</w:t>
      </w:r>
      <w:r w:rsidRPr="00940174">
        <w:t xml:space="preserve">arginal </w:t>
      </w:r>
      <w:r w:rsidR="006A12D5">
        <w:t>e</w:t>
      </w:r>
      <w:r w:rsidRPr="00940174">
        <w:t>ffect (</w:t>
      </w:r>
      <w:r w:rsidR="006A12D5">
        <w:t>A</w:t>
      </w:r>
      <w:r w:rsidRPr="00940174">
        <w:t>ME) estimates for the predicted probability of income support status 12 month</w:t>
      </w:r>
      <w:r w:rsidR="00B10CFF">
        <w:t xml:space="preserve">s after snapshot date for </w:t>
      </w:r>
      <w:r w:rsidR="006D5A09">
        <w:t>long-term unemployed (</w:t>
      </w:r>
      <w:r w:rsidR="00B10CFF">
        <w:t>LTU</w:t>
      </w:r>
      <w:r w:rsidR="006D5A09">
        <w:t>) job seekers</w:t>
      </w:r>
      <w:r w:rsidR="00B10CFF">
        <w:t xml:space="preserve">, selected </w:t>
      </w:r>
      <w:r w:rsidRPr="00940174">
        <w:t>groups, JSA 2012 compared with JSA 2009</w:t>
      </w:r>
      <w:bookmarkEnd w:id="210"/>
      <w:r w:rsidR="00C531EF">
        <w:t xml:space="preserve"> </w:t>
      </w:r>
      <w:r w:rsidR="00916231">
        <w:t>(</w:t>
      </w:r>
      <w:r w:rsidR="00FE4270">
        <w:t xml:space="preserve">percentage </w:t>
      </w:r>
      <w:r w:rsidR="00916231">
        <w:t>p</w:t>
      </w:r>
      <w:r w:rsidR="00FE4270">
        <w:t>oin</w:t>
      </w:r>
      <w:r w:rsidR="00916231">
        <w:t>t)</w:t>
      </w:r>
      <w:bookmarkEnd w:id="211"/>
    </w:p>
    <w:tbl>
      <w:tblPr>
        <w:tblStyle w:val="TableGrid22"/>
        <w:tblW w:w="0" w:type="auto"/>
        <w:tblLook w:val="04A0" w:firstRow="1" w:lastRow="0" w:firstColumn="1" w:lastColumn="0" w:noHBand="0" w:noVBand="1"/>
      </w:tblPr>
      <w:tblGrid>
        <w:gridCol w:w="3787"/>
        <w:gridCol w:w="1275"/>
        <w:gridCol w:w="1982"/>
        <w:gridCol w:w="1983"/>
      </w:tblGrid>
      <w:tr w:rsidR="00940174" w:rsidRPr="0011747A" w14:paraId="32FDADC1" w14:textId="77777777" w:rsidTr="009C45FD">
        <w:trPr>
          <w:tblHeader/>
        </w:trPr>
        <w:tc>
          <w:tcPr>
            <w:tcW w:w="3794" w:type="dxa"/>
            <w:tcBorders>
              <w:top w:val="nil"/>
              <w:bottom w:val="nil"/>
            </w:tcBorders>
            <w:shd w:val="clear" w:color="auto" w:fill="1E3D6B"/>
            <w:vAlign w:val="center"/>
          </w:tcPr>
          <w:p w14:paraId="37F77ECC" w14:textId="77777777" w:rsidR="00940174" w:rsidRPr="0011747A" w:rsidRDefault="00940174" w:rsidP="00170537">
            <w:pPr>
              <w:keepNext/>
              <w:keepLines/>
              <w:rPr>
                <w:rFonts w:ascii="Calibri" w:hAnsi="Calibri" w:cs="Times New Roman"/>
                <w:b/>
                <w:sz w:val="20"/>
                <w:szCs w:val="20"/>
              </w:rPr>
            </w:pPr>
            <w:bookmarkStart w:id="212" w:name="Title_37"/>
            <w:bookmarkEnd w:id="212"/>
            <w:r w:rsidRPr="0011747A">
              <w:rPr>
                <w:rFonts w:ascii="Calibri" w:hAnsi="Calibri" w:cs="Times New Roman"/>
                <w:b/>
                <w:sz w:val="20"/>
                <w:szCs w:val="20"/>
              </w:rPr>
              <w:t>Stream</w:t>
            </w:r>
          </w:p>
        </w:tc>
        <w:tc>
          <w:tcPr>
            <w:tcW w:w="1276" w:type="dxa"/>
            <w:tcBorders>
              <w:top w:val="nil"/>
              <w:bottom w:val="nil"/>
            </w:tcBorders>
            <w:shd w:val="clear" w:color="auto" w:fill="1E3D6B"/>
            <w:vAlign w:val="center"/>
          </w:tcPr>
          <w:p w14:paraId="2CC8321A" w14:textId="77777777" w:rsidR="00940174" w:rsidRPr="0011747A" w:rsidRDefault="00940174" w:rsidP="00170537">
            <w:pPr>
              <w:keepNext/>
              <w:keepLines/>
              <w:jc w:val="center"/>
              <w:rPr>
                <w:b/>
                <w:sz w:val="20"/>
                <w:szCs w:val="20"/>
              </w:rPr>
            </w:pPr>
            <w:r w:rsidRPr="0011747A">
              <w:rPr>
                <w:b/>
                <w:sz w:val="20"/>
                <w:szCs w:val="20"/>
              </w:rPr>
              <w:t>Off income support</w:t>
            </w:r>
          </w:p>
        </w:tc>
        <w:tc>
          <w:tcPr>
            <w:tcW w:w="1984" w:type="dxa"/>
            <w:tcBorders>
              <w:top w:val="nil"/>
              <w:bottom w:val="nil"/>
            </w:tcBorders>
            <w:shd w:val="clear" w:color="auto" w:fill="1E3D6B"/>
            <w:vAlign w:val="center"/>
          </w:tcPr>
          <w:p w14:paraId="1736C8B1" w14:textId="77777777" w:rsidR="00940174" w:rsidRPr="0011747A" w:rsidRDefault="00940174" w:rsidP="00170537">
            <w:pPr>
              <w:keepNext/>
              <w:keepLines/>
              <w:jc w:val="center"/>
              <w:rPr>
                <w:b/>
                <w:sz w:val="20"/>
                <w:szCs w:val="20"/>
              </w:rPr>
            </w:pPr>
            <w:r w:rsidRPr="0011747A">
              <w:rPr>
                <w:b/>
                <w:sz w:val="20"/>
                <w:szCs w:val="20"/>
              </w:rPr>
              <w:t>On partial income support</w:t>
            </w:r>
          </w:p>
        </w:tc>
        <w:tc>
          <w:tcPr>
            <w:tcW w:w="1985" w:type="dxa"/>
            <w:tcBorders>
              <w:top w:val="nil"/>
              <w:bottom w:val="nil"/>
            </w:tcBorders>
            <w:shd w:val="clear" w:color="auto" w:fill="1E3D6B"/>
            <w:vAlign w:val="center"/>
          </w:tcPr>
          <w:p w14:paraId="2BBDFF73" w14:textId="77777777" w:rsidR="00940174" w:rsidRPr="0011747A" w:rsidRDefault="00940174" w:rsidP="00170537">
            <w:pPr>
              <w:keepNext/>
              <w:keepLines/>
              <w:jc w:val="center"/>
              <w:rPr>
                <w:b/>
                <w:sz w:val="20"/>
                <w:szCs w:val="20"/>
              </w:rPr>
            </w:pPr>
            <w:r w:rsidRPr="0011747A">
              <w:rPr>
                <w:b/>
                <w:sz w:val="20"/>
                <w:szCs w:val="20"/>
              </w:rPr>
              <w:t>On full income support</w:t>
            </w:r>
          </w:p>
        </w:tc>
      </w:tr>
      <w:tr w:rsidR="00940174" w:rsidRPr="0011747A" w14:paraId="7D4C01D7" w14:textId="77777777" w:rsidTr="00494AF7">
        <w:trPr>
          <w:trHeight w:hRule="exact" w:val="340"/>
        </w:trPr>
        <w:tc>
          <w:tcPr>
            <w:tcW w:w="3794" w:type="dxa"/>
            <w:tcBorders>
              <w:top w:val="nil"/>
              <w:bottom w:val="nil"/>
            </w:tcBorders>
            <w:vAlign w:val="center"/>
          </w:tcPr>
          <w:p w14:paraId="48FF89D3"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 xml:space="preserve">Disability with employment restrictions </w:t>
            </w:r>
          </w:p>
        </w:tc>
        <w:tc>
          <w:tcPr>
            <w:tcW w:w="1276" w:type="dxa"/>
            <w:tcBorders>
              <w:top w:val="nil"/>
              <w:bottom w:val="nil"/>
            </w:tcBorders>
            <w:vAlign w:val="center"/>
          </w:tcPr>
          <w:p w14:paraId="0E572CC9" w14:textId="77777777" w:rsidR="00940174" w:rsidRPr="0011747A" w:rsidRDefault="00940174" w:rsidP="00170537">
            <w:pPr>
              <w:keepNext/>
              <w:keepLines/>
              <w:tabs>
                <w:tab w:val="left" w:pos="969"/>
                <w:tab w:val="left" w:pos="1086"/>
              </w:tabs>
              <w:suppressAutoHyphens/>
              <w:autoSpaceDE w:val="0"/>
              <w:autoSpaceDN w:val="0"/>
              <w:adjustRightInd w:val="0"/>
              <w:spacing w:line="300" w:lineRule="atLeast"/>
              <w:ind w:left="263" w:right="-89"/>
              <w:textAlignment w:val="center"/>
              <w:rPr>
                <w:rFonts w:cs="Garamond"/>
                <w:sz w:val="20"/>
                <w:szCs w:val="20"/>
                <w:lang w:val="en-GB"/>
              </w:rPr>
            </w:pPr>
            <w:r w:rsidRPr="0011747A">
              <w:rPr>
                <w:rFonts w:cs="Garamond"/>
                <w:sz w:val="20"/>
                <w:szCs w:val="20"/>
                <w:lang w:val="en-GB"/>
              </w:rPr>
              <w:t>-1.1</w:t>
            </w:r>
          </w:p>
        </w:tc>
        <w:tc>
          <w:tcPr>
            <w:tcW w:w="1984" w:type="dxa"/>
            <w:tcBorders>
              <w:top w:val="nil"/>
              <w:bottom w:val="nil"/>
            </w:tcBorders>
            <w:vAlign w:val="center"/>
          </w:tcPr>
          <w:p w14:paraId="415DD949" w14:textId="77777777" w:rsidR="00940174" w:rsidRPr="0011747A" w:rsidRDefault="00940174" w:rsidP="00170537">
            <w:pPr>
              <w:keepNext/>
              <w:keepLines/>
              <w:suppressAutoHyphens/>
              <w:autoSpaceDE w:val="0"/>
              <w:autoSpaceDN w:val="0"/>
              <w:adjustRightInd w:val="0"/>
              <w:spacing w:line="300" w:lineRule="atLeast"/>
              <w:ind w:left="615"/>
              <w:textAlignment w:val="center"/>
              <w:rPr>
                <w:rFonts w:cs="Garamond"/>
                <w:sz w:val="20"/>
                <w:szCs w:val="20"/>
                <w:lang w:val="en-GB"/>
              </w:rPr>
            </w:pPr>
            <w:r w:rsidRPr="0011747A">
              <w:rPr>
                <w:rFonts w:cs="Garamond"/>
                <w:sz w:val="20"/>
                <w:szCs w:val="20"/>
                <w:lang w:val="en-GB"/>
              </w:rPr>
              <w:t>-3.2</w:t>
            </w:r>
          </w:p>
        </w:tc>
        <w:tc>
          <w:tcPr>
            <w:tcW w:w="1985" w:type="dxa"/>
            <w:tcBorders>
              <w:top w:val="nil"/>
              <w:bottom w:val="nil"/>
            </w:tcBorders>
            <w:vAlign w:val="center"/>
          </w:tcPr>
          <w:p w14:paraId="48659D2F" w14:textId="77777777" w:rsidR="00940174" w:rsidRPr="0011747A" w:rsidRDefault="00940174" w:rsidP="00170537">
            <w:pPr>
              <w:keepNext/>
              <w:keepLines/>
              <w:suppressAutoHyphens/>
              <w:autoSpaceDE w:val="0"/>
              <w:autoSpaceDN w:val="0"/>
              <w:adjustRightInd w:val="0"/>
              <w:spacing w:line="300" w:lineRule="atLeast"/>
              <w:ind w:left="616" w:right="146"/>
              <w:textAlignment w:val="center"/>
              <w:rPr>
                <w:rFonts w:cs="Garamond"/>
                <w:sz w:val="20"/>
                <w:szCs w:val="20"/>
                <w:lang w:val="en-GB"/>
              </w:rPr>
            </w:pPr>
            <w:r w:rsidRPr="0011747A">
              <w:rPr>
                <w:rFonts w:cs="Garamond"/>
                <w:sz w:val="20"/>
                <w:szCs w:val="20"/>
                <w:lang w:val="en-GB"/>
              </w:rPr>
              <w:t>4.4</w:t>
            </w:r>
          </w:p>
        </w:tc>
      </w:tr>
      <w:tr w:rsidR="00940174" w:rsidRPr="0011747A" w14:paraId="78B2537D" w14:textId="77777777" w:rsidTr="00494AF7">
        <w:trPr>
          <w:trHeight w:hRule="exact" w:val="340"/>
        </w:trPr>
        <w:tc>
          <w:tcPr>
            <w:tcW w:w="3794" w:type="dxa"/>
            <w:tcBorders>
              <w:top w:val="nil"/>
              <w:bottom w:val="nil"/>
            </w:tcBorders>
            <w:shd w:val="clear" w:color="auto" w:fill="E5E5E5" w:themeFill="background1" w:themeFillTint="33"/>
            <w:vAlign w:val="center"/>
          </w:tcPr>
          <w:p w14:paraId="67EF9947"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Mature age</w:t>
            </w:r>
          </w:p>
        </w:tc>
        <w:tc>
          <w:tcPr>
            <w:tcW w:w="1276" w:type="dxa"/>
            <w:tcBorders>
              <w:top w:val="nil"/>
              <w:bottom w:val="nil"/>
            </w:tcBorders>
            <w:shd w:val="clear" w:color="auto" w:fill="E5E5E5" w:themeFill="background1" w:themeFillTint="33"/>
            <w:vAlign w:val="center"/>
          </w:tcPr>
          <w:p w14:paraId="6DD82284" w14:textId="77777777" w:rsidR="00940174" w:rsidRPr="0011747A" w:rsidRDefault="00940174" w:rsidP="00170537">
            <w:pPr>
              <w:keepNext/>
              <w:keepLines/>
              <w:tabs>
                <w:tab w:val="left" w:pos="969"/>
                <w:tab w:val="left" w:pos="1086"/>
              </w:tabs>
              <w:suppressAutoHyphens/>
              <w:autoSpaceDE w:val="0"/>
              <w:autoSpaceDN w:val="0"/>
              <w:adjustRightInd w:val="0"/>
              <w:spacing w:line="300" w:lineRule="atLeast"/>
              <w:ind w:left="263" w:right="-89"/>
              <w:textAlignment w:val="center"/>
              <w:rPr>
                <w:rFonts w:cs="Garamond"/>
                <w:sz w:val="20"/>
                <w:szCs w:val="20"/>
                <w:lang w:val="en-GB"/>
              </w:rPr>
            </w:pPr>
            <w:r w:rsidRPr="0011747A">
              <w:rPr>
                <w:rFonts w:cs="Garamond"/>
                <w:sz w:val="20"/>
                <w:szCs w:val="20"/>
                <w:lang w:val="en-GB"/>
              </w:rPr>
              <w:t>-2.7</w:t>
            </w:r>
          </w:p>
        </w:tc>
        <w:tc>
          <w:tcPr>
            <w:tcW w:w="1984" w:type="dxa"/>
            <w:tcBorders>
              <w:top w:val="nil"/>
              <w:bottom w:val="nil"/>
            </w:tcBorders>
            <w:shd w:val="clear" w:color="auto" w:fill="E5E5E5" w:themeFill="background1" w:themeFillTint="33"/>
            <w:vAlign w:val="center"/>
          </w:tcPr>
          <w:p w14:paraId="17B1071C" w14:textId="77777777" w:rsidR="00940174" w:rsidRPr="0011747A" w:rsidRDefault="00940174" w:rsidP="00170537">
            <w:pPr>
              <w:keepNext/>
              <w:keepLines/>
              <w:suppressAutoHyphens/>
              <w:autoSpaceDE w:val="0"/>
              <w:autoSpaceDN w:val="0"/>
              <w:adjustRightInd w:val="0"/>
              <w:spacing w:line="300" w:lineRule="atLeast"/>
              <w:ind w:left="615"/>
              <w:textAlignment w:val="center"/>
              <w:rPr>
                <w:rFonts w:cs="Garamond"/>
                <w:sz w:val="20"/>
                <w:szCs w:val="20"/>
                <w:lang w:val="en-GB"/>
              </w:rPr>
            </w:pPr>
            <w:r w:rsidRPr="0011747A">
              <w:rPr>
                <w:rFonts w:cs="Garamond"/>
                <w:sz w:val="20"/>
                <w:szCs w:val="20"/>
                <w:lang w:val="en-GB"/>
              </w:rPr>
              <w:t>-3.8</w:t>
            </w:r>
          </w:p>
        </w:tc>
        <w:tc>
          <w:tcPr>
            <w:tcW w:w="1985" w:type="dxa"/>
            <w:tcBorders>
              <w:top w:val="nil"/>
              <w:bottom w:val="nil"/>
            </w:tcBorders>
            <w:shd w:val="clear" w:color="auto" w:fill="E5E5E5" w:themeFill="background1" w:themeFillTint="33"/>
            <w:vAlign w:val="center"/>
          </w:tcPr>
          <w:p w14:paraId="7D6A7909" w14:textId="77777777" w:rsidR="00940174" w:rsidRPr="0011747A" w:rsidRDefault="00940174" w:rsidP="00170537">
            <w:pPr>
              <w:keepNext/>
              <w:keepLines/>
              <w:suppressAutoHyphens/>
              <w:autoSpaceDE w:val="0"/>
              <w:autoSpaceDN w:val="0"/>
              <w:adjustRightInd w:val="0"/>
              <w:spacing w:line="300" w:lineRule="atLeast"/>
              <w:ind w:left="616" w:right="146"/>
              <w:textAlignment w:val="center"/>
              <w:rPr>
                <w:rFonts w:cs="Garamond"/>
                <w:sz w:val="20"/>
                <w:szCs w:val="20"/>
                <w:lang w:val="en-GB"/>
              </w:rPr>
            </w:pPr>
            <w:r w:rsidRPr="0011747A">
              <w:rPr>
                <w:rFonts w:cs="Garamond"/>
                <w:sz w:val="20"/>
                <w:szCs w:val="20"/>
                <w:lang w:val="en-GB"/>
              </w:rPr>
              <w:t>6.5</w:t>
            </w:r>
          </w:p>
        </w:tc>
      </w:tr>
      <w:tr w:rsidR="00940174" w:rsidRPr="0011747A" w14:paraId="0CE56297" w14:textId="77777777" w:rsidTr="00494AF7">
        <w:trPr>
          <w:trHeight w:hRule="exact" w:val="340"/>
        </w:trPr>
        <w:tc>
          <w:tcPr>
            <w:tcW w:w="3794" w:type="dxa"/>
            <w:tcBorders>
              <w:top w:val="nil"/>
              <w:bottom w:val="nil"/>
            </w:tcBorders>
            <w:vAlign w:val="center"/>
          </w:tcPr>
          <w:p w14:paraId="6C39E11D"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Unemployed five years or more</w:t>
            </w:r>
          </w:p>
        </w:tc>
        <w:tc>
          <w:tcPr>
            <w:tcW w:w="1276" w:type="dxa"/>
            <w:tcBorders>
              <w:top w:val="nil"/>
              <w:bottom w:val="nil"/>
            </w:tcBorders>
            <w:vAlign w:val="center"/>
          </w:tcPr>
          <w:p w14:paraId="037DF55F" w14:textId="77777777" w:rsidR="00940174" w:rsidRPr="0011747A" w:rsidRDefault="00940174" w:rsidP="00170537">
            <w:pPr>
              <w:keepNext/>
              <w:keepLines/>
              <w:tabs>
                <w:tab w:val="left" w:pos="969"/>
                <w:tab w:val="left" w:pos="1086"/>
              </w:tabs>
              <w:suppressAutoHyphens/>
              <w:autoSpaceDE w:val="0"/>
              <w:autoSpaceDN w:val="0"/>
              <w:adjustRightInd w:val="0"/>
              <w:spacing w:line="300" w:lineRule="atLeast"/>
              <w:ind w:left="263" w:right="-89"/>
              <w:textAlignment w:val="center"/>
              <w:rPr>
                <w:rFonts w:cs="Garamond"/>
                <w:sz w:val="20"/>
                <w:szCs w:val="20"/>
                <w:lang w:val="en-GB"/>
              </w:rPr>
            </w:pPr>
            <w:r w:rsidRPr="0011747A">
              <w:rPr>
                <w:rFonts w:cs="Garamond"/>
                <w:sz w:val="20"/>
                <w:szCs w:val="20"/>
                <w:lang w:val="en-GB"/>
              </w:rPr>
              <w:t>-1.2</w:t>
            </w:r>
          </w:p>
        </w:tc>
        <w:tc>
          <w:tcPr>
            <w:tcW w:w="1984" w:type="dxa"/>
            <w:tcBorders>
              <w:top w:val="nil"/>
              <w:bottom w:val="nil"/>
            </w:tcBorders>
            <w:vAlign w:val="center"/>
          </w:tcPr>
          <w:p w14:paraId="123AFD47" w14:textId="77777777" w:rsidR="00940174" w:rsidRPr="0011747A" w:rsidRDefault="00940174" w:rsidP="00170537">
            <w:pPr>
              <w:keepNext/>
              <w:keepLines/>
              <w:suppressAutoHyphens/>
              <w:autoSpaceDE w:val="0"/>
              <w:autoSpaceDN w:val="0"/>
              <w:adjustRightInd w:val="0"/>
              <w:spacing w:line="300" w:lineRule="atLeast"/>
              <w:ind w:left="615"/>
              <w:textAlignment w:val="center"/>
              <w:rPr>
                <w:rFonts w:cs="Garamond"/>
                <w:sz w:val="20"/>
                <w:szCs w:val="20"/>
                <w:lang w:val="en-GB"/>
              </w:rPr>
            </w:pPr>
            <w:r w:rsidRPr="0011747A">
              <w:rPr>
                <w:rFonts w:cs="Garamond"/>
                <w:sz w:val="20"/>
                <w:szCs w:val="20"/>
                <w:lang w:val="en-GB"/>
              </w:rPr>
              <w:t>-2.4</w:t>
            </w:r>
          </w:p>
        </w:tc>
        <w:tc>
          <w:tcPr>
            <w:tcW w:w="1985" w:type="dxa"/>
            <w:tcBorders>
              <w:top w:val="nil"/>
              <w:bottom w:val="nil"/>
            </w:tcBorders>
            <w:vAlign w:val="center"/>
          </w:tcPr>
          <w:p w14:paraId="7C13565F" w14:textId="77777777" w:rsidR="00940174" w:rsidRPr="0011747A" w:rsidRDefault="00940174" w:rsidP="00170537">
            <w:pPr>
              <w:keepNext/>
              <w:keepLines/>
              <w:suppressAutoHyphens/>
              <w:autoSpaceDE w:val="0"/>
              <w:autoSpaceDN w:val="0"/>
              <w:adjustRightInd w:val="0"/>
              <w:spacing w:line="300" w:lineRule="atLeast"/>
              <w:ind w:left="616" w:right="146"/>
              <w:textAlignment w:val="center"/>
              <w:rPr>
                <w:rFonts w:cs="Garamond"/>
                <w:sz w:val="20"/>
                <w:szCs w:val="20"/>
                <w:lang w:val="en-GB"/>
              </w:rPr>
            </w:pPr>
            <w:r w:rsidRPr="0011747A">
              <w:rPr>
                <w:rFonts w:cs="Garamond"/>
                <w:sz w:val="20"/>
                <w:szCs w:val="20"/>
                <w:lang w:val="en-GB"/>
              </w:rPr>
              <w:t>3.</w:t>
            </w:r>
            <w:r w:rsidR="002D6B2C">
              <w:rPr>
                <w:rFonts w:cs="Garamond"/>
                <w:sz w:val="20"/>
                <w:szCs w:val="20"/>
                <w:lang w:val="en-GB"/>
              </w:rPr>
              <w:t>6</w:t>
            </w:r>
          </w:p>
        </w:tc>
      </w:tr>
      <w:tr w:rsidR="00940174" w:rsidRPr="0011747A" w14:paraId="294FA3EB" w14:textId="77777777" w:rsidTr="00494AF7">
        <w:trPr>
          <w:trHeight w:hRule="exact" w:val="340"/>
        </w:trPr>
        <w:tc>
          <w:tcPr>
            <w:tcW w:w="3794" w:type="dxa"/>
            <w:tcBorders>
              <w:top w:val="nil"/>
              <w:bottom w:val="single" w:sz="4" w:space="0" w:color="auto"/>
            </w:tcBorders>
            <w:shd w:val="clear" w:color="auto" w:fill="E5E5E5" w:themeFill="background1" w:themeFillTint="33"/>
            <w:vAlign w:val="center"/>
          </w:tcPr>
          <w:p w14:paraId="5703F9DE" w14:textId="77777777" w:rsidR="00940174" w:rsidRPr="0011747A" w:rsidRDefault="00940174" w:rsidP="00170537">
            <w:pPr>
              <w:keepNext/>
              <w:keepLines/>
              <w:suppressAutoHyphens/>
              <w:autoSpaceDE w:val="0"/>
              <w:autoSpaceDN w:val="0"/>
              <w:adjustRightInd w:val="0"/>
              <w:spacing w:line="300" w:lineRule="atLeast"/>
              <w:ind w:right="257"/>
              <w:textAlignment w:val="center"/>
              <w:rPr>
                <w:rFonts w:cs="Garamond"/>
                <w:sz w:val="20"/>
                <w:szCs w:val="20"/>
                <w:lang w:val="en-GB"/>
              </w:rPr>
            </w:pPr>
            <w:r w:rsidRPr="0011747A">
              <w:rPr>
                <w:rFonts w:cs="Garamond"/>
                <w:sz w:val="20"/>
                <w:szCs w:val="20"/>
                <w:lang w:val="en-GB"/>
              </w:rPr>
              <w:t>Long-term reduced capacity</w:t>
            </w:r>
          </w:p>
        </w:tc>
        <w:tc>
          <w:tcPr>
            <w:tcW w:w="1276" w:type="dxa"/>
            <w:tcBorders>
              <w:top w:val="nil"/>
              <w:bottom w:val="single" w:sz="4" w:space="0" w:color="auto"/>
            </w:tcBorders>
            <w:shd w:val="clear" w:color="auto" w:fill="E5E5E5" w:themeFill="background1" w:themeFillTint="33"/>
            <w:vAlign w:val="center"/>
          </w:tcPr>
          <w:p w14:paraId="4E95B0A2" w14:textId="77777777" w:rsidR="00940174" w:rsidRPr="0011747A" w:rsidRDefault="00940174" w:rsidP="00170537">
            <w:pPr>
              <w:keepNext/>
              <w:keepLines/>
              <w:tabs>
                <w:tab w:val="left" w:pos="969"/>
                <w:tab w:val="left" w:pos="1086"/>
              </w:tabs>
              <w:suppressAutoHyphens/>
              <w:autoSpaceDE w:val="0"/>
              <w:autoSpaceDN w:val="0"/>
              <w:adjustRightInd w:val="0"/>
              <w:spacing w:line="300" w:lineRule="atLeast"/>
              <w:ind w:left="263" w:right="-89"/>
              <w:textAlignment w:val="center"/>
              <w:rPr>
                <w:rFonts w:cs="Garamond"/>
                <w:sz w:val="20"/>
                <w:szCs w:val="20"/>
                <w:lang w:val="en-GB"/>
              </w:rPr>
            </w:pPr>
            <w:r w:rsidRPr="0011747A">
              <w:rPr>
                <w:rFonts w:cs="Garamond"/>
                <w:sz w:val="20"/>
                <w:szCs w:val="20"/>
                <w:lang w:val="en-GB"/>
              </w:rPr>
              <w:t>-1.7</w:t>
            </w:r>
          </w:p>
        </w:tc>
        <w:tc>
          <w:tcPr>
            <w:tcW w:w="1984" w:type="dxa"/>
            <w:tcBorders>
              <w:top w:val="nil"/>
              <w:bottom w:val="single" w:sz="4" w:space="0" w:color="auto"/>
            </w:tcBorders>
            <w:shd w:val="clear" w:color="auto" w:fill="E5E5E5" w:themeFill="background1" w:themeFillTint="33"/>
            <w:vAlign w:val="center"/>
          </w:tcPr>
          <w:p w14:paraId="5FA621C6" w14:textId="77777777" w:rsidR="00940174" w:rsidRPr="0011747A" w:rsidRDefault="00940174" w:rsidP="00170537">
            <w:pPr>
              <w:keepNext/>
              <w:keepLines/>
              <w:suppressAutoHyphens/>
              <w:autoSpaceDE w:val="0"/>
              <w:autoSpaceDN w:val="0"/>
              <w:adjustRightInd w:val="0"/>
              <w:spacing w:line="300" w:lineRule="atLeast"/>
              <w:ind w:left="615"/>
              <w:textAlignment w:val="center"/>
              <w:rPr>
                <w:rFonts w:cs="Garamond"/>
                <w:sz w:val="20"/>
                <w:szCs w:val="20"/>
                <w:lang w:val="en-GB"/>
              </w:rPr>
            </w:pPr>
            <w:r w:rsidRPr="0011747A">
              <w:rPr>
                <w:rFonts w:cs="Garamond"/>
                <w:sz w:val="20"/>
                <w:szCs w:val="20"/>
                <w:lang w:val="en-GB"/>
              </w:rPr>
              <w:t>-1.8</w:t>
            </w:r>
          </w:p>
        </w:tc>
        <w:tc>
          <w:tcPr>
            <w:tcW w:w="1985" w:type="dxa"/>
            <w:tcBorders>
              <w:top w:val="nil"/>
              <w:bottom w:val="single" w:sz="4" w:space="0" w:color="auto"/>
            </w:tcBorders>
            <w:shd w:val="clear" w:color="auto" w:fill="E5E5E5" w:themeFill="background1" w:themeFillTint="33"/>
            <w:vAlign w:val="center"/>
          </w:tcPr>
          <w:p w14:paraId="036A8A7E" w14:textId="77777777" w:rsidR="00940174" w:rsidRPr="0011747A" w:rsidRDefault="00940174" w:rsidP="00170537">
            <w:pPr>
              <w:keepNext/>
              <w:keepLines/>
              <w:suppressAutoHyphens/>
              <w:autoSpaceDE w:val="0"/>
              <w:autoSpaceDN w:val="0"/>
              <w:adjustRightInd w:val="0"/>
              <w:spacing w:line="300" w:lineRule="atLeast"/>
              <w:ind w:left="616" w:right="146"/>
              <w:textAlignment w:val="center"/>
              <w:rPr>
                <w:rFonts w:cs="Garamond"/>
                <w:sz w:val="20"/>
                <w:szCs w:val="20"/>
                <w:lang w:val="en-GB"/>
              </w:rPr>
            </w:pPr>
            <w:r w:rsidRPr="0011747A">
              <w:rPr>
                <w:rFonts w:cs="Garamond"/>
                <w:sz w:val="20"/>
                <w:szCs w:val="20"/>
                <w:lang w:val="en-GB"/>
              </w:rPr>
              <w:t>3.5</w:t>
            </w:r>
          </w:p>
        </w:tc>
      </w:tr>
    </w:tbl>
    <w:p w14:paraId="6F504549" w14:textId="77777777" w:rsidR="00B97A51" w:rsidRDefault="00940174" w:rsidP="008D7387">
      <w:pPr>
        <w:pStyle w:val="Notes"/>
        <w:rPr>
          <w:rStyle w:val="NotesChar"/>
          <w:rFonts w:eastAsiaTheme="minorEastAsia"/>
        </w:rPr>
      </w:pPr>
      <w:r w:rsidRPr="00956148">
        <w:rPr>
          <w:rStyle w:val="NotesChar"/>
          <w:rFonts w:eastAsiaTheme="minorEastAsia"/>
          <w:b/>
        </w:rPr>
        <w:t>Note</w:t>
      </w:r>
      <w:r w:rsidR="00B97A51">
        <w:rPr>
          <w:rStyle w:val="NotesChar"/>
          <w:rFonts w:eastAsiaTheme="minorEastAsia"/>
          <w:b/>
        </w:rPr>
        <w:t>s</w:t>
      </w:r>
      <w:r w:rsidRPr="007E57CD">
        <w:rPr>
          <w:rStyle w:val="NotesChar"/>
          <w:rFonts w:eastAsiaTheme="minorEastAsia"/>
        </w:rPr>
        <w:t>:</w:t>
      </w:r>
      <w:r w:rsidRPr="007E57CD">
        <w:rPr>
          <w:rStyle w:val="NotesChar"/>
          <w:rFonts w:eastAsiaTheme="minorEastAsia"/>
        </w:rPr>
        <w:tab/>
      </w:r>
    </w:p>
    <w:p w14:paraId="757EF654" w14:textId="77777777" w:rsidR="00940174" w:rsidRPr="00BB7BEA" w:rsidRDefault="00940174" w:rsidP="00BB7BEA">
      <w:pPr>
        <w:pStyle w:val="Notesnumbered"/>
        <w:numPr>
          <w:ilvl w:val="0"/>
          <w:numId w:val="280"/>
        </w:numPr>
      </w:pPr>
      <w:r w:rsidRPr="00BB7BEA">
        <w:t>Actual exit rates for 2009 differ from those previously reported in the Long-term unemployed job seekers: JSA Effectiveness report due to differences in the study populations and methodology, including: a shorter study period; and the exclusion from both populations of job seekers in communities that subsequently transferred to the Remote Jobs and Communities Programme.</w:t>
      </w:r>
    </w:p>
    <w:p w14:paraId="22BCFB9D" w14:textId="77777777" w:rsidR="00B97A51" w:rsidRDefault="00B97A51" w:rsidP="00BB7BEA">
      <w:pPr>
        <w:pStyle w:val="Notesnumbered"/>
        <w:numPr>
          <w:ilvl w:val="0"/>
          <w:numId w:val="280"/>
        </w:numPr>
        <w:rPr>
          <w:b/>
        </w:rPr>
      </w:pPr>
      <w:r w:rsidRPr="00BB7BEA">
        <w:t xml:space="preserve">Refer </w:t>
      </w:r>
      <w:hyperlink w:anchor="Title_A212" w:history="1">
        <w:r w:rsidRPr="00DA0CBF">
          <w:rPr>
            <w:rStyle w:val="Hyperlink"/>
          </w:rPr>
          <w:t>Appendix</w:t>
        </w:r>
        <w:r w:rsidRPr="00DA0CBF">
          <w:rPr>
            <w:rStyle w:val="Hyperlink"/>
            <w:rFonts w:cs="Times New Roman"/>
            <w:szCs w:val="20"/>
            <w:lang w:val="en-US"/>
          </w:rPr>
          <w:t xml:space="preserve"> A</w:t>
        </w:r>
        <w:r w:rsidR="000748CA" w:rsidRPr="00DA0CBF">
          <w:rPr>
            <w:rStyle w:val="Hyperlink"/>
            <w:rFonts w:cs="Times New Roman"/>
            <w:szCs w:val="20"/>
            <w:lang w:val="en-US"/>
          </w:rPr>
          <w:t>2</w:t>
        </w:r>
        <w:r w:rsidRPr="00DA0CBF">
          <w:rPr>
            <w:rStyle w:val="Hyperlink"/>
            <w:rFonts w:cs="Times New Roman"/>
            <w:szCs w:val="20"/>
            <w:lang w:val="en-US"/>
          </w:rPr>
          <w:t>, Table A2.12</w:t>
        </w:r>
      </w:hyperlink>
      <w:r w:rsidRPr="00E80C53">
        <w:rPr>
          <w:rStyle w:val="NotesChar"/>
          <w:rFonts w:eastAsiaTheme="minorEastAsia"/>
        </w:rPr>
        <w:t>.</w:t>
      </w:r>
      <w:bookmarkStart w:id="213" w:name="Place_A212b"/>
      <w:bookmarkEnd w:id="213"/>
    </w:p>
    <w:p w14:paraId="470D7CB1" w14:textId="77777777" w:rsidR="00F774E4" w:rsidRPr="004D4671" w:rsidRDefault="00F774E4" w:rsidP="00F774E4">
      <w:pPr>
        <w:pStyle w:val="Source"/>
        <w:rPr>
          <w:rFonts w:eastAsia="Times New Roman"/>
          <w:lang w:eastAsia="en-AU"/>
        </w:rPr>
      </w:pPr>
      <w:r w:rsidRPr="00940174">
        <w:rPr>
          <w:b/>
        </w:rPr>
        <w:t>Source:</w:t>
      </w:r>
      <w:r w:rsidRPr="00940174">
        <w:rPr>
          <w:rFonts w:eastAsia="Times New Roman"/>
          <w:lang w:eastAsia="en-AU"/>
        </w:rPr>
        <w:t xml:space="preserve"> </w:t>
      </w:r>
      <w:r w:rsidRPr="00940174">
        <w:rPr>
          <w:rFonts w:eastAsia="Times New Roman"/>
          <w:lang w:eastAsia="en-AU"/>
        </w:rPr>
        <w:tab/>
      </w:r>
      <w:r w:rsidRPr="004D4671">
        <w:rPr>
          <w:rFonts w:eastAsia="Times New Roman"/>
          <w:lang w:eastAsia="en-AU"/>
        </w:rPr>
        <w:t>Department of Employment administrative data</w:t>
      </w:r>
      <w:r>
        <w:rPr>
          <w:rFonts w:eastAsia="Times New Roman"/>
          <w:lang w:eastAsia="en-AU"/>
        </w:rPr>
        <w:t xml:space="preserve"> and Research and Evaluation dataset (RED)</w:t>
      </w:r>
      <w:r w:rsidRPr="004D4671">
        <w:rPr>
          <w:rFonts w:eastAsia="Times New Roman"/>
          <w:lang w:eastAsia="en-AU"/>
        </w:rPr>
        <w:t>.</w:t>
      </w:r>
    </w:p>
    <w:p w14:paraId="6B757727" w14:textId="77777777" w:rsidR="00940174" w:rsidRPr="00940174" w:rsidRDefault="00940174" w:rsidP="00940174">
      <w:pPr>
        <w:pStyle w:val="Heading4"/>
      </w:pPr>
      <w:r w:rsidRPr="00940174">
        <w:t>Employment and education outcome rates</w:t>
      </w:r>
      <w:r w:rsidR="002A028E">
        <w:t xml:space="preserve"> (unregressed)</w:t>
      </w:r>
    </w:p>
    <w:p w14:paraId="1468FFBE" w14:textId="639966B3" w:rsidR="00940174" w:rsidRPr="00940174" w:rsidRDefault="00940174" w:rsidP="00940174">
      <w:r w:rsidRPr="00940174">
        <w:t xml:space="preserve">PPM survey results </w:t>
      </w:r>
      <w:r w:rsidR="002A028E">
        <w:t>show that the 2012 LTU study population</w:t>
      </w:r>
      <w:r w:rsidRPr="00940174">
        <w:t xml:space="preserve"> </w:t>
      </w:r>
      <w:r w:rsidR="00C84926">
        <w:t>was</w:t>
      </w:r>
      <w:r w:rsidR="00C84926" w:rsidRPr="00940174">
        <w:t xml:space="preserve"> </w:t>
      </w:r>
      <w:r w:rsidRPr="00940174">
        <w:t xml:space="preserve">less likely to be in full-time employment three months after receiving services than </w:t>
      </w:r>
      <w:r w:rsidR="00A6571E">
        <w:t xml:space="preserve">equivalent </w:t>
      </w:r>
      <w:r w:rsidRPr="00940174">
        <w:t>JSA 2009</w:t>
      </w:r>
      <w:r w:rsidR="002A028E">
        <w:t xml:space="preserve"> population</w:t>
      </w:r>
      <w:r w:rsidRPr="00940174">
        <w:t xml:space="preserve">. This result holds for all four </w:t>
      </w:r>
      <w:r w:rsidR="00FE4270">
        <w:t>s</w:t>
      </w:r>
      <w:r w:rsidR="00FE4270" w:rsidRPr="00940174">
        <w:t xml:space="preserve">treams </w:t>
      </w:r>
      <w:r w:rsidRPr="00940174">
        <w:t xml:space="preserve">of service </w:t>
      </w:r>
      <w:r w:rsidRPr="00CA6EAB">
        <w:t xml:space="preserve">(Figure </w:t>
      </w:r>
      <w:r w:rsidR="00CA6EAB" w:rsidRPr="00CA6EAB">
        <w:t>3.</w:t>
      </w:r>
      <w:r w:rsidR="00EF7CFF">
        <w:t>7</w:t>
      </w:r>
      <w:r w:rsidRPr="00940174">
        <w:t xml:space="preserve">). By contrast, higher proportions of </w:t>
      </w:r>
      <w:r w:rsidR="008841C1">
        <w:t xml:space="preserve">LTU </w:t>
      </w:r>
      <w:r w:rsidRPr="00940174">
        <w:t xml:space="preserve">job seekers in JSA 2012 reported being in part-time employment and in education in all </w:t>
      </w:r>
      <w:r w:rsidR="00FE4270">
        <w:t>s</w:t>
      </w:r>
      <w:r w:rsidRPr="00940174">
        <w:t>treams except Stream 1</w:t>
      </w:r>
      <w:r w:rsidR="002B7D83">
        <w:t xml:space="preserve"> (Tables A2.1</w:t>
      </w:r>
      <w:r w:rsidR="001F28F1">
        <w:t>3</w:t>
      </w:r>
      <w:r w:rsidR="002B7D83">
        <w:t>, A2.1</w:t>
      </w:r>
      <w:r w:rsidR="001F28F1">
        <w:t>4</w:t>
      </w:r>
      <w:r w:rsidR="002B7D83">
        <w:t xml:space="preserve"> and A2.1</w:t>
      </w:r>
      <w:r w:rsidR="001F28F1">
        <w:t>5</w:t>
      </w:r>
      <w:r w:rsidR="002B7D83">
        <w:t>)</w:t>
      </w:r>
      <w:r w:rsidRPr="00940174">
        <w:t>.</w:t>
      </w:r>
    </w:p>
    <w:p w14:paraId="1B27D725" w14:textId="77777777" w:rsidR="00E35A13" w:rsidRPr="00940174" w:rsidRDefault="00E35A13" w:rsidP="00E35A13">
      <w:pPr>
        <w:pStyle w:val="Figureheadingforcontents"/>
      </w:pPr>
      <w:bookmarkStart w:id="214" w:name="_Toc22544031"/>
      <w:r w:rsidRPr="00940174">
        <w:t xml:space="preserve">Figure </w:t>
      </w:r>
      <w:r>
        <w:t>3.</w:t>
      </w:r>
      <w:r w:rsidR="00EF7CFF">
        <w:t>7</w:t>
      </w:r>
      <w:r>
        <w:t xml:space="preserve">: </w:t>
      </w:r>
      <w:r w:rsidRPr="00940174">
        <w:t xml:space="preserve">Employment outcomes </w:t>
      </w:r>
      <w:r>
        <w:t>for long-term unemployed (LTU) job seekers (per cent)</w:t>
      </w:r>
      <w:bookmarkEnd w:id="214"/>
    </w:p>
    <w:p w14:paraId="627565FB" w14:textId="77777777" w:rsidR="00B97A51" w:rsidRPr="006E42D7" w:rsidRDefault="00B412F4" w:rsidP="00A61631">
      <w:pPr>
        <w:pStyle w:val="Notesnumbered"/>
        <w:rPr>
          <w:color w:val="FFFFFF" w:themeColor="background2"/>
        </w:rPr>
      </w:pPr>
      <w:r w:rsidRPr="00B412F4">
        <w:rPr>
          <w:noProof/>
          <w:color w:val="FFFFFF" w:themeColor="background2"/>
          <w:lang w:eastAsia="en-AU"/>
        </w:rPr>
        <w:drawing>
          <wp:anchor distT="0" distB="0" distL="114300" distR="114300" simplePos="0" relativeHeight="251658245" behindDoc="0" locked="0" layoutInCell="1" allowOverlap="1" wp14:anchorId="20A88F52" wp14:editId="3D62F052">
            <wp:simplePos x="0" y="0"/>
            <wp:positionH relativeFrom="column">
              <wp:posOffset>-5715</wp:posOffset>
            </wp:positionH>
            <wp:positionV relativeFrom="paragraph">
              <wp:posOffset>31750</wp:posOffset>
            </wp:positionV>
            <wp:extent cx="5508625" cy="3338830"/>
            <wp:effectExtent l="0" t="0" r="0" b="0"/>
            <wp:wrapNone/>
            <wp:docPr id="250" name="Picture 250" descr="A chart showing the employment outcome rates for LTU job seekers in JSA 2009 and JSA 2012 by stream. Compared with JSA 2009, employment outcome rates JSA 2012 job seekers were lower across all streams, by between around 5 and 10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08625" cy="333883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4693" w:type="dxa"/>
        <w:jc w:val="center"/>
        <w:tblLook w:val="04A0" w:firstRow="1" w:lastRow="0" w:firstColumn="1" w:lastColumn="0" w:noHBand="0" w:noVBand="1"/>
      </w:tblPr>
      <w:tblGrid>
        <w:gridCol w:w="1858"/>
        <w:gridCol w:w="1559"/>
        <w:gridCol w:w="1276"/>
      </w:tblGrid>
      <w:tr w:rsidR="00B412F4" w:rsidRPr="00B412F4" w14:paraId="1F57B6F7" w14:textId="77777777" w:rsidTr="00B412F4">
        <w:trPr>
          <w:trHeight w:val="288"/>
          <w:tblHeader/>
          <w:jc w:val="center"/>
        </w:trPr>
        <w:tc>
          <w:tcPr>
            <w:tcW w:w="1858" w:type="dxa"/>
            <w:shd w:val="clear" w:color="auto" w:fill="auto"/>
            <w:vAlign w:val="center"/>
            <w:hideMark/>
          </w:tcPr>
          <w:p w14:paraId="4CD62939" w14:textId="77777777" w:rsidR="006E42D7" w:rsidRPr="00B412F4" w:rsidRDefault="006E42D7" w:rsidP="004F3B01">
            <w:pPr>
              <w:spacing w:after="166"/>
              <w:rPr>
                <w:rFonts w:cstheme="minorHAnsi"/>
                <w:b/>
                <w:bCs/>
                <w:color w:val="FFFFFF" w:themeColor="background2"/>
                <w:sz w:val="20"/>
                <w:szCs w:val="20"/>
              </w:rPr>
            </w:pPr>
            <w:r w:rsidRPr="00B412F4">
              <w:rPr>
                <w:rFonts w:cstheme="minorHAnsi"/>
                <w:b/>
                <w:bCs/>
                <w:color w:val="FFFFFF" w:themeColor="background2"/>
                <w:sz w:val="20"/>
                <w:szCs w:val="20"/>
              </w:rPr>
              <w:t> </w:t>
            </w:r>
            <w:bookmarkStart w:id="215" w:name="Title_fig37"/>
            <w:bookmarkEnd w:id="215"/>
          </w:p>
        </w:tc>
        <w:tc>
          <w:tcPr>
            <w:tcW w:w="1559" w:type="dxa"/>
            <w:shd w:val="clear" w:color="auto" w:fill="auto"/>
            <w:noWrap/>
            <w:vAlign w:val="bottom"/>
            <w:hideMark/>
          </w:tcPr>
          <w:p w14:paraId="4EF83DC8" w14:textId="77777777" w:rsidR="006E42D7" w:rsidRPr="00B412F4" w:rsidRDefault="006E42D7" w:rsidP="004F3B01">
            <w:pPr>
              <w:spacing w:after="166"/>
              <w:rPr>
                <w:rFonts w:cstheme="minorHAnsi"/>
                <w:color w:val="FFFFFF" w:themeColor="background2"/>
              </w:rPr>
            </w:pPr>
            <w:r w:rsidRPr="00B412F4">
              <w:rPr>
                <w:rFonts w:cstheme="minorHAnsi"/>
                <w:color w:val="FFFFFF" w:themeColor="background2"/>
              </w:rPr>
              <w:t>JSA 2009</w:t>
            </w:r>
          </w:p>
        </w:tc>
        <w:tc>
          <w:tcPr>
            <w:tcW w:w="1276" w:type="dxa"/>
            <w:shd w:val="clear" w:color="auto" w:fill="auto"/>
            <w:noWrap/>
            <w:vAlign w:val="bottom"/>
            <w:hideMark/>
          </w:tcPr>
          <w:p w14:paraId="246705D6" w14:textId="77777777" w:rsidR="006E42D7" w:rsidRPr="00B412F4" w:rsidRDefault="006E42D7" w:rsidP="004F3B01">
            <w:pPr>
              <w:spacing w:after="166"/>
              <w:rPr>
                <w:rFonts w:cstheme="minorHAnsi"/>
                <w:color w:val="FFFFFF" w:themeColor="background2"/>
              </w:rPr>
            </w:pPr>
            <w:r w:rsidRPr="00B412F4">
              <w:rPr>
                <w:rFonts w:cstheme="minorHAnsi"/>
                <w:color w:val="FFFFFF" w:themeColor="background2"/>
              </w:rPr>
              <w:t>JSA 2012</w:t>
            </w:r>
          </w:p>
        </w:tc>
      </w:tr>
      <w:tr w:rsidR="00B412F4" w:rsidRPr="00B412F4" w14:paraId="67D635A9" w14:textId="77777777" w:rsidTr="00B412F4">
        <w:trPr>
          <w:trHeight w:val="288"/>
          <w:jc w:val="center"/>
        </w:trPr>
        <w:tc>
          <w:tcPr>
            <w:tcW w:w="1858" w:type="dxa"/>
            <w:shd w:val="clear" w:color="auto" w:fill="auto"/>
            <w:vAlign w:val="center"/>
            <w:hideMark/>
          </w:tcPr>
          <w:p w14:paraId="0312DB81" w14:textId="77777777" w:rsidR="006E42D7" w:rsidRPr="00B412F4" w:rsidRDefault="006E42D7" w:rsidP="004F3B01">
            <w:pPr>
              <w:spacing w:after="166"/>
              <w:rPr>
                <w:rFonts w:cstheme="minorHAnsi"/>
                <w:color w:val="FFFFFF" w:themeColor="background2"/>
                <w:sz w:val="20"/>
                <w:szCs w:val="20"/>
              </w:rPr>
            </w:pPr>
            <w:r w:rsidRPr="00B412F4">
              <w:rPr>
                <w:rFonts w:cstheme="minorHAnsi"/>
                <w:color w:val="FFFFFF" w:themeColor="background2"/>
                <w:sz w:val="20"/>
                <w:szCs w:val="20"/>
              </w:rPr>
              <w:t>Stream 1</w:t>
            </w:r>
          </w:p>
        </w:tc>
        <w:tc>
          <w:tcPr>
            <w:tcW w:w="1559" w:type="dxa"/>
            <w:shd w:val="clear" w:color="auto" w:fill="auto"/>
            <w:noWrap/>
            <w:vAlign w:val="bottom"/>
            <w:hideMark/>
          </w:tcPr>
          <w:p w14:paraId="057B9911"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62.0</w:t>
            </w:r>
          </w:p>
        </w:tc>
        <w:tc>
          <w:tcPr>
            <w:tcW w:w="1276" w:type="dxa"/>
            <w:shd w:val="clear" w:color="auto" w:fill="auto"/>
            <w:noWrap/>
            <w:vAlign w:val="bottom"/>
            <w:hideMark/>
          </w:tcPr>
          <w:p w14:paraId="71ABD34D"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52.2</w:t>
            </w:r>
          </w:p>
        </w:tc>
      </w:tr>
      <w:tr w:rsidR="00B412F4" w:rsidRPr="00B412F4" w14:paraId="4709A0C8" w14:textId="77777777" w:rsidTr="00B412F4">
        <w:trPr>
          <w:trHeight w:val="288"/>
          <w:jc w:val="center"/>
        </w:trPr>
        <w:tc>
          <w:tcPr>
            <w:tcW w:w="1858" w:type="dxa"/>
            <w:shd w:val="clear" w:color="auto" w:fill="auto"/>
            <w:vAlign w:val="center"/>
            <w:hideMark/>
          </w:tcPr>
          <w:p w14:paraId="1FD57953" w14:textId="77777777" w:rsidR="006E42D7" w:rsidRPr="00B412F4" w:rsidRDefault="006E42D7" w:rsidP="004F3B01">
            <w:pPr>
              <w:spacing w:after="166"/>
              <w:rPr>
                <w:rFonts w:cstheme="minorHAnsi"/>
                <w:color w:val="FFFFFF" w:themeColor="background2"/>
                <w:sz w:val="20"/>
                <w:szCs w:val="20"/>
              </w:rPr>
            </w:pPr>
            <w:r w:rsidRPr="00B412F4">
              <w:rPr>
                <w:rFonts w:cstheme="minorHAnsi"/>
                <w:color w:val="FFFFFF" w:themeColor="background2"/>
                <w:sz w:val="20"/>
                <w:szCs w:val="20"/>
              </w:rPr>
              <w:t>Stream 2</w:t>
            </w:r>
          </w:p>
        </w:tc>
        <w:tc>
          <w:tcPr>
            <w:tcW w:w="1559" w:type="dxa"/>
            <w:shd w:val="clear" w:color="auto" w:fill="auto"/>
            <w:noWrap/>
            <w:vAlign w:val="bottom"/>
            <w:hideMark/>
          </w:tcPr>
          <w:p w14:paraId="5B9C3254"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54.7</w:t>
            </w:r>
          </w:p>
        </w:tc>
        <w:tc>
          <w:tcPr>
            <w:tcW w:w="1276" w:type="dxa"/>
            <w:shd w:val="clear" w:color="auto" w:fill="auto"/>
            <w:noWrap/>
            <w:vAlign w:val="bottom"/>
            <w:hideMark/>
          </w:tcPr>
          <w:p w14:paraId="12439DCE"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47.7</w:t>
            </w:r>
          </w:p>
        </w:tc>
      </w:tr>
      <w:tr w:rsidR="00B412F4" w:rsidRPr="00B412F4" w14:paraId="7286B4F2" w14:textId="77777777" w:rsidTr="00B412F4">
        <w:trPr>
          <w:trHeight w:val="288"/>
          <w:jc w:val="center"/>
        </w:trPr>
        <w:tc>
          <w:tcPr>
            <w:tcW w:w="1858" w:type="dxa"/>
            <w:shd w:val="clear" w:color="auto" w:fill="auto"/>
            <w:vAlign w:val="center"/>
            <w:hideMark/>
          </w:tcPr>
          <w:p w14:paraId="5769F44B" w14:textId="77777777" w:rsidR="006E42D7" w:rsidRPr="00B412F4" w:rsidRDefault="006E42D7" w:rsidP="004F3B01">
            <w:pPr>
              <w:spacing w:after="166"/>
              <w:rPr>
                <w:rFonts w:cstheme="minorHAnsi"/>
                <w:color w:val="FFFFFF" w:themeColor="background2"/>
                <w:sz w:val="20"/>
                <w:szCs w:val="20"/>
              </w:rPr>
            </w:pPr>
            <w:r w:rsidRPr="00B412F4">
              <w:rPr>
                <w:rFonts w:cstheme="minorHAnsi"/>
                <w:color w:val="FFFFFF" w:themeColor="background2"/>
                <w:sz w:val="20"/>
                <w:szCs w:val="20"/>
              </w:rPr>
              <w:t>Stream 3</w:t>
            </w:r>
          </w:p>
        </w:tc>
        <w:tc>
          <w:tcPr>
            <w:tcW w:w="1559" w:type="dxa"/>
            <w:shd w:val="clear" w:color="auto" w:fill="auto"/>
            <w:noWrap/>
            <w:vAlign w:val="bottom"/>
            <w:hideMark/>
          </w:tcPr>
          <w:p w14:paraId="16CDC0B5"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39.2</w:t>
            </w:r>
          </w:p>
        </w:tc>
        <w:tc>
          <w:tcPr>
            <w:tcW w:w="1276" w:type="dxa"/>
            <w:shd w:val="clear" w:color="auto" w:fill="auto"/>
            <w:noWrap/>
            <w:vAlign w:val="bottom"/>
            <w:hideMark/>
          </w:tcPr>
          <w:p w14:paraId="6E66A2F6"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34.5</w:t>
            </w:r>
          </w:p>
        </w:tc>
      </w:tr>
      <w:tr w:rsidR="00B412F4" w:rsidRPr="00B412F4" w14:paraId="45B4E305" w14:textId="77777777" w:rsidTr="00B412F4">
        <w:trPr>
          <w:trHeight w:val="288"/>
          <w:jc w:val="center"/>
        </w:trPr>
        <w:tc>
          <w:tcPr>
            <w:tcW w:w="1858" w:type="dxa"/>
            <w:shd w:val="clear" w:color="auto" w:fill="auto"/>
            <w:vAlign w:val="center"/>
            <w:hideMark/>
          </w:tcPr>
          <w:p w14:paraId="34D8923D" w14:textId="77777777" w:rsidR="006E42D7" w:rsidRPr="00B412F4" w:rsidRDefault="006E42D7" w:rsidP="004F3B01">
            <w:pPr>
              <w:spacing w:after="166"/>
              <w:rPr>
                <w:rFonts w:cstheme="minorHAnsi"/>
                <w:color w:val="FFFFFF" w:themeColor="background2"/>
                <w:sz w:val="20"/>
                <w:szCs w:val="20"/>
              </w:rPr>
            </w:pPr>
            <w:r w:rsidRPr="00B412F4">
              <w:rPr>
                <w:rFonts w:cstheme="minorHAnsi"/>
                <w:color w:val="FFFFFF" w:themeColor="background2"/>
                <w:sz w:val="20"/>
                <w:szCs w:val="20"/>
              </w:rPr>
              <w:t>Stream 4</w:t>
            </w:r>
          </w:p>
        </w:tc>
        <w:tc>
          <w:tcPr>
            <w:tcW w:w="1559" w:type="dxa"/>
            <w:shd w:val="clear" w:color="auto" w:fill="auto"/>
            <w:noWrap/>
            <w:vAlign w:val="bottom"/>
            <w:hideMark/>
          </w:tcPr>
          <w:p w14:paraId="736EFE68"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26.5</w:t>
            </w:r>
          </w:p>
        </w:tc>
        <w:tc>
          <w:tcPr>
            <w:tcW w:w="1276" w:type="dxa"/>
            <w:shd w:val="clear" w:color="auto" w:fill="auto"/>
            <w:noWrap/>
            <w:vAlign w:val="bottom"/>
            <w:hideMark/>
          </w:tcPr>
          <w:p w14:paraId="0422CA3B" w14:textId="77777777" w:rsidR="006E42D7" w:rsidRPr="00B412F4" w:rsidRDefault="006E42D7" w:rsidP="004F3B01">
            <w:pPr>
              <w:spacing w:after="166"/>
              <w:jc w:val="right"/>
              <w:rPr>
                <w:rFonts w:cstheme="minorHAnsi"/>
                <w:color w:val="FFFFFF" w:themeColor="background2"/>
              </w:rPr>
            </w:pPr>
            <w:r w:rsidRPr="00B412F4">
              <w:rPr>
                <w:rFonts w:cstheme="minorHAnsi"/>
                <w:color w:val="FFFFFF" w:themeColor="background2"/>
              </w:rPr>
              <w:t>20.6</w:t>
            </w:r>
          </w:p>
        </w:tc>
      </w:tr>
    </w:tbl>
    <w:p w14:paraId="47760963" w14:textId="77777777" w:rsidR="00B97A51" w:rsidRDefault="00B97A51" w:rsidP="000E2C43">
      <w:pPr>
        <w:pStyle w:val="Notes"/>
        <w:spacing w:before="2500"/>
        <w:rPr>
          <w:b/>
        </w:rPr>
      </w:pPr>
      <w:r>
        <w:rPr>
          <w:b/>
        </w:rPr>
        <w:t xml:space="preserve">Note: </w:t>
      </w:r>
      <w:r w:rsidRPr="00E80C53">
        <w:rPr>
          <w:rStyle w:val="NotesChar"/>
        </w:rPr>
        <w:t xml:space="preserve">Refer </w:t>
      </w:r>
      <w:hyperlink w:anchor="Title_A213" w:history="1">
        <w:r w:rsidRPr="00026A22">
          <w:rPr>
            <w:rStyle w:val="Hyperlink"/>
          </w:rPr>
          <w:t>Appendix A</w:t>
        </w:r>
        <w:r w:rsidR="000748CA" w:rsidRPr="00026A22">
          <w:rPr>
            <w:rStyle w:val="Hyperlink"/>
          </w:rPr>
          <w:t>2</w:t>
        </w:r>
        <w:r w:rsidRPr="00026A22">
          <w:rPr>
            <w:rStyle w:val="Hyperlink"/>
          </w:rPr>
          <w:t>, Table A2.1</w:t>
        </w:r>
        <w:r w:rsidRPr="00026A22">
          <w:rPr>
            <w:rStyle w:val="Hyperlink"/>
            <w:rFonts w:eastAsiaTheme="minorEastAsia"/>
          </w:rPr>
          <w:t>3</w:t>
        </w:r>
        <w:r w:rsidR="001F28F1" w:rsidRPr="00026A22">
          <w:rPr>
            <w:rStyle w:val="Hyperlink"/>
            <w:rFonts w:eastAsiaTheme="minorEastAsia"/>
          </w:rPr>
          <w:t xml:space="preserve"> to Table A2.15</w:t>
        </w:r>
      </w:hyperlink>
      <w:r w:rsidRPr="00E80C53">
        <w:rPr>
          <w:rStyle w:val="NotesChar"/>
        </w:rPr>
        <w:t>.</w:t>
      </w:r>
      <w:bookmarkStart w:id="216" w:name="Place_A213a"/>
      <w:bookmarkEnd w:id="216"/>
    </w:p>
    <w:p w14:paraId="1652FB40" w14:textId="77777777" w:rsidR="00F774E4" w:rsidRPr="001B7264" w:rsidRDefault="00F774E4" w:rsidP="00F774E4">
      <w:pPr>
        <w:pStyle w:val="Source"/>
      </w:pPr>
      <w:r w:rsidRPr="001B7264">
        <w:rPr>
          <w:b/>
        </w:rPr>
        <w:t>Source:</w:t>
      </w:r>
      <w:r w:rsidRPr="001B7264">
        <w:t xml:space="preserve"> </w:t>
      </w:r>
      <w:r>
        <w:t xml:space="preserve">Department of Employment </w:t>
      </w:r>
      <w:r w:rsidRPr="004D4671">
        <w:t>Post Programme Monitoring survey</w:t>
      </w:r>
      <w:r w:rsidRPr="001B7264">
        <w:t>.</w:t>
      </w:r>
    </w:p>
    <w:p w14:paraId="087D8964" w14:textId="77777777" w:rsidR="00940174" w:rsidRPr="00940174" w:rsidRDefault="00940174" w:rsidP="002A028E">
      <w:r w:rsidRPr="00940174">
        <w:t>The same general pattern of reductions in full-time employment outcomes and increases in part-time employment outcomes is evident across most job seeker groups. The exceptions</w:t>
      </w:r>
      <w:r w:rsidR="002A028E">
        <w:t xml:space="preserve"> </w:t>
      </w:r>
      <w:r w:rsidR="00A57E9F">
        <w:t>we</w:t>
      </w:r>
      <w:r w:rsidR="002A028E">
        <w:t>re</w:t>
      </w:r>
      <w:r w:rsidR="00A57E9F">
        <w:t xml:space="preserve"> </w:t>
      </w:r>
      <w:r w:rsidRPr="00940174">
        <w:t>mature age job seekers</w:t>
      </w:r>
      <w:r w:rsidR="00A57E9F">
        <w:t xml:space="preserve"> and </w:t>
      </w:r>
      <w:r w:rsidR="002A028E">
        <w:t>job seekers</w:t>
      </w:r>
      <w:r w:rsidRPr="00940174">
        <w:t xml:space="preserve"> with disability with employment restrictions. These job seekers also had reduced part-time outcomes (Figure </w:t>
      </w:r>
      <w:r w:rsidR="00CA6EAB">
        <w:t>3.</w:t>
      </w:r>
      <w:r w:rsidR="00EF7CFF">
        <w:t>8</w:t>
      </w:r>
      <w:r w:rsidRPr="00940174">
        <w:t>).</w:t>
      </w:r>
    </w:p>
    <w:p w14:paraId="530C6B36" w14:textId="77777777" w:rsidR="00940174" w:rsidRPr="00940174" w:rsidRDefault="00B412F4" w:rsidP="005172B5">
      <w:pPr>
        <w:pStyle w:val="Figureheadingforcontents"/>
      </w:pPr>
      <w:bookmarkStart w:id="217" w:name="_Toc436400144"/>
      <w:bookmarkStart w:id="218" w:name="_Toc436400274"/>
      <w:bookmarkStart w:id="219" w:name="_Toc443152022"/>
      <w:bookmarkStart w:id="220" w:name="_Toc22544032"/>
      <w:r w:rsidRPr="00B412F4">
        <w:rPr>
          <w:noProof/>
          <w:color w:val="FFFFFF" w:themeColor="background2"/>
          <w:lang w:eastAsia="en-AU"/>
        </w:rPr>
        <w:drawing>
          <wp:anchor distT="0" distB="0" distL="114300" distR="114300" simplePos="0" relativeHeight="251658246" behindDoc="0" locked="0" layoutInCell="1" allowOverlap="1" wp14:anchorId="70A9C69B" wp14:editId="043ADD28">
            <wp:simplePos x="0" y="0"/>
            <wp:positionH relativeFrom="column">
              <wp:posOffset>8626</wp:posOffset>
            </wp:positionH>
            <wp:positionV relativeFrom="paragraph">
              <wp:posOffset>147320</wp:posOffset>
            </wp:positionV>
            <wp:extent cx="5605200" cy="3196800"/>
            <wp:effectExtent l="0" t="0" r="0" b="3810"/>
            <wp:wrapNone/>
            <wp:docPr id="251" name="Picture 251" descr="A chart showing the employment outcome rates for LTU job seekers in JSA 2009 and JSA 2012 by cohort demographics and employment type. Compared with JSA 2009, JSA 2012 has slightly lower employment outcome rates for full time employed job seekers for all cohorts. Employment outcome rates were similar for both programs for part-time employed job seekers, with JSA 2012 having slightly higher rates for indigenous job seekers employed part-time and slightly lower outcome rates for job seekers with disability employed part-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05200" cy="319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0174" w:rsidRPr="00940174">
        <w:t xml:space="preserve">Figure </w:t>
      </w:r>
      <w:r w:rsidR="00CA6EAB">
        <w:t>3.</w:t>
      </w:r>
      <w:r w:rsidR="00EF7CFF">
        <w:t>8</w:t>
      </w:r>
      <w:r w:rsidR="00CA6EAB">
        <w:t>:</w:t>
      </w:r>
      <w:r w:rsidR="003C29A5">
        <w:t xml:space="preserve"> </w:t>
      </w:r>
      <w:r w:rsidR="00940174" w:rsidRPr="00940174">
        <w:t>Employment outcomes by client group</w:t>
      </w:r>
      <w:r w:rsidR="00B10CFF">
        <w:t xml:space="preserve"> for </w:t>
      </w:r>
      <w:r w:rsidR="006D5A09">
        <w:t>long-term unemployed (</w:t>
      </w:r>
      <w:r w:rsidR="00B10CFF">
        <w:t>LTU</w:t>
      </w:r>
      <w:r w:rsidR="006D5A09">
        <w:t>) job seekers</w:t>
      </w:r>
      <w:r w:rsidR="00C531EF">
        <w:t xml:space="preserve"> (per cent)</w:t>
      </w:r>
      <w:bookmarkEnd w:id="217"/>
      <w:bookmarkEnd w:id="218"/>
      <w:bookmarkEnd w:id="219"/>
      <w:bookmarkEnd w:id="220"/>
    </w:p>
    <w:tbl>
      <w:tblPr>
        <w:tblW w:w="7586" w:type="dxa"/>
        <w:jc w:val="center"/>
        <w:tblLook w:val="04A0" w:firstRow="1" w:lastRow="0" w:firstColumn="1" w:lastColumn="0" w:noHBand="0" w:noVBand="1"/>
      </w:tblPr>
      <w:tblGrid>
        <w:gridCol w:w="2570"/>
        <w:gridCol w:w="1254"/>
        <w:gridCol w:w="1254"/>
        <w:gridCol w:w="1254"/>
        <w:gridCol w:w="1254"/>
      </w:tblGrid>
      <w:tr w:rsidR="00B412F4" w:rsidRPr="00B412F4" w14:paraId="339A9C8A" w14:textId="77777777" w:rsidTr="00B412F4">
        <w:trPr>
          <w:trHeight w:val="288"/>
          <w:tblHeader/>
          <w:jc w:val="center"/>
        </w:trPr>
        <w:tc>
          <w:tcPr>
            <w:tcW w:w="2570" w:type="dxa"/>
            <w:shd w:val="clear" w:color="auto" w:fill="auto"/>
            <w:noWrap/>
            <w:vAlign w:val="bottom"/>
            <w:hideMark/>
          </w:tcPr>
          <w:p w14:paraId="1E79E510" w14:textId="77777777" w:rsidR="00585ECF" w:rsidRPr="00B412F4" w:rsidRDefault="00585ECF" w:rsidP="004F3B01">
            <w:pPr>
              <w:spacing w:after="166"/>
              <w:rPr>
                <w:rFonts w:cstheme="minorHAnsi"/>
                <w:color w:val="FFFFFF" w:themeColor="background2"/>
                <w:sz w:val="20"/>
                <w:szCs w:val="20"/>
              </w:rPr>
            </w:pPr>
            <w:bookmarkStart w:id="221" w:name="Title_fig38"/>
            <w:bookmarkEnd w:id="221"/>
          </w:p>
        </w:tc>
        <w:tc>
          <w:tcPr>
            <w:tcW w:w="1254" w:type="dxa"/>
            <w:shd w:val="clear" w:color="auto" w:fill="auto"/>
            <w:noWrap/>
            <w:vAlign w:val="bottom"/>
            <w:hideMark/>
          </w:tcPr>
          <w:p w14:paraId="4555669C"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JSA 2009 Full-time employment</w:t>
            </w:r>
          </w:p>
        </w:tc>
        <w:tc>
          <w:tcPr>
            <w:tcW w:w="1254" w:type="dxa"/>
            <w:shd w:val="clear" w:color="auto" w:fill="auto"/>
            <w:noWrap/>
            <w:vAlign w:val="bottom"/>
            <w:hideMark/>
          </w:tcPr>
          <w:p w14:paraId="784E59AB"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JSA 2012 Full-time employment</w:t>
            </w:r>
          </w:p>
        </w:tc>
        <w:tc>
          <w:tcPr>
            <w:tcW w:w="1254" w:type="dxa"/>
            <w:shd w:val="clear" w:color="auto" w:fill="auto"/>
            <w:noWrap/>
            <w:vAlign w:val="bottom"/>
            <w:hideMark/>
          </w:tcPr>
          <w:p w14:paraId="70D2DDA5"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JSA 2009 Part-time employment</w:t>
            </w:r>
          </w:p>
        </w:tc>
        <w:tc>
          <w:tcPr>
            <w:tcW w:w="1254" w:type="dxa"/>
            <w:shd w:val="clear" w:color="auto" w:fill="auto"/>
            <w:noWrap/>
            <w:vAlign w:val="bottom"/>
            <w:hideMark/>
          </w:tcPr>
          <w:p w14:paraId="648DEBC4"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JSA 2012 Part-time employment</w:t>
            </w:r>
          </w:p>
        </w:tc>
      </w:tr>
      <w:tr w:rsidR="00B412F4" w:rsidRPr="00B412F4" w14:paraId="6C08DA96" w14:textId="77777777" w:rsidTr="00B412F4">
        <w:trPr>
          <w:trHeight w:val="288"/>
          <w:jc w:val="center"/>
        </w:trPr>
        <w:tc>
          <w:tcPr>
            <w:tcW w:w="2570" w:type="dxa"/>
            <w:shd w:val="clear" w:color="auto" w:fill="auto"/>
            <w:noWrap/>
            <w:vAlign w:val="bottom"/>
            <w:hideMark/>
          </w:tcPr>
          <w:p w14:paraId="4D7427E8"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Youth</w:t>
            </w:r>
          </w:p>
        </w:tc>
        <w:tc>
          <w:tcPr>
            <w:tcW w:w="1254" w:type="dxa"/>
            <w:shd w:val="clear" w:color="auto" w:fill="auto"/>
            <w:noWrap/>
            <w:vAlign w:val="bottom"/>
            <w:hideMark/>
          </w:tcPr>
          <w:p w14:paraId="7C2BDDF2"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25.6</w:t>
            </w:r>
          </w:p>
        </w:tc>
        <w:tc>
          <w:tcPr>
            <w:tcW w:w="1254" w:type="dxa"/>
            <w:shd w:val="clear" w:color="auto" w:fill="auto"/>
            <w:noWrap/>
            <w:vAlign w:val="bottom"/>
            <w:hideMark/>
          </w:tcPr>
          <w:p w14:paraId="39EE97FB"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16.5</w:t>
            </w:r>
          </w:p>
        </w:tc>
        <w:tc>
          <w:tcPr>
            <w:tcW w:w="1254" w:type="dxa"/>
            <w:shd w:val="clear" w:color="auto" w:fill="auto"/>
            <w:noWrap/>
            <w:vAlign w:val="bottom"/>
            <w:hideMark/>
          </w:tcPr>
          <w:p w14:paraId="114956D2"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18.4</w:t>
            </w:r>
          </w:p>
        </w:tc>
        <w:tc>
          <w:tcPr>
            <w:tcW w:w="1254" w:type="dxa"/>
            <w:shd w:val="clear" w:color="auto" w:fill="auto"/>
            <w:noWrap/>
            <w:vAlign w:val="bottom"/>
            <w:hideMark/>
          </w:tcPr>
          <w:p w14:paraId="45947993"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19.5</w:t>
            </w:r>
          </w:p>
        </w:tc>
      </w:tr>
      <w:tr w:rsidR="00B412F4" w:rsidRPr="00B412F4" w14:paraId="7FABDD41" w14:textId="77777777" w:rsidTr="00B412F4">
        <w:trPr>
          <w:trHeight w:val="288"/>
          <w:jc w:val="center"/>
        </w:trPr>
        <w:tc>
          <w:tcPr>
            <w:tcW w:w="2570" w:type="dxa"/>
            <w:shd w:val="clear" w:color="auto" w:fill="auto"/>
            <w:noWrap/>
            <w:vAlign w:val="bottom"/>
            <w:hideMark/>
          </w:tcPr>
          <w:p w14:paraId="2AB692B2"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Mature age</w:t>
            </w:r>
          </w:p>
        </w:tc>
        <w:tc>
          <w:tcPr>
            <w:tcW w:w="1254" w:type="dxa"/>
            <w:shd w:val="clear" w:color="auto" w:fill="auto"/>
            <w:noWrap/>
            <w:vAlign w:val="bottom"/>
            <w:hideMark/>
          </w:tcPr>
          <w:p w14:paraId="39268736"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13.6</w:t>
            </w:r>
          </w:p>
        </w:tc>
        <w:tc>
          <w:tcPr>
            <w:tcW w:w="1254" w:type="dxa"/>
            <w:shd w:val="clear" w:color="auto" w:fill="auto"/>
            <w:noWrap/>
            <w:vAlign w:val="bottom"/>
            <w:hideMark/>
          </w:tcPr>
          <w:p w14:paraId="161E0693"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5.2</w:t>
            </w:r>
          </w:p>
        </w:tc>
        <w:tc>
          <w:tcPr>
            <w:tcW w:w="1254" w:type="dxa"/>
            <w:shd w:val="clear" w:color="auto" w:fill="auto"/>
            <w:noWrap/>
            <w:vAlign w:val="bottom"/>
            <w:hideMark/>
          </w:tcPr>
          <w:p w14:paraId="18EEF4B8"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24.1</w:t>
            </w:r>
          </w:p>
        </w:tc>
        <w:tc>
          <w:tcPr>
            <w:tcW w:w="1254" w:type="dxa"/>
            <w:shd w:val="clear" w:color="auto" w:fill="auto"/>
            <w:noWrap/>
            <w:vAlign w:val="bottom"/>
            <w:hideMark/>
          </w:tcPr>
          <w:p w14:paraId="222EFCFB"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23.3</w:t>
            </w:r>
          </w:p>
        </w:tc>
      </w:tr>
      <w:tr w:rsidR="00B412F4" w:rsidRPr="00B412F4" w14:paraId="7FEBA4AA" w14:textId="77777777" w:rsidTr="00B412F4">
        <w:trPr>
          <w:trHeight w:val="288"/>
          <w:jc w:val="center"/>
        </w:trPr>
        <w:tc>
          <w:tcPr>
            <w:tcW w:w="2570" w:type="dxa"/>
            <w:shd w:val="clear" w:color="auto" w:fill="auto"/>
            <w:noWrap/>
            <w:vAlign w:val="bottom"/>
            <w:hideMark/>
          </w:tcPr>
          <w:p w14:paraId="7F541007"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Single parents</w:t>
            </w:r>
          </w:p>
        </w:tc>
        <w:tc>
          <w:tcPr>
            <w:tcW w:w="1254" w:type="dxa"/>
            <w:shd w:val="clear" w:color="auto" w:fill="auto"/>
            <w:noWrap/>
            <w:vAlign w:val="bottom"/>
            <w:hideMark/>
          </w:tcPr>
          <w:p w14:paraId="56F7E1D7"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17.7</w:t>
            </w:r>
          </w:p>
        </w:tc>
        <w:tc>
          <w:tcPr>
            <w:tcW w:w="1254" w:type="dxa"/>
            <w:shd w:val="clear" w:color="auto" w:fill="auto"/>
            <w:noWrap/>
            <w:vAlign w:val="bottom"/>
            <w:hideMark/>
          </w:tcPr>
          <w:p w14:paraId="7E9FD456"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9.5</w:t>
            </w:r>
          </w:p>
        </w:tc>
        <w:tc>
          <w:tcPr>
            <w:tcW w:w="1254" w:type="dxa"/>
            <w:shd w:val="clear" w:color="auto" w:fill="auto"/>
            <w:noWrap/>
            <w:vAlign w:val="bottom"/>
            <w:hideMark/>
          </w:tcPr>
          <w:p w14:paraId="54A1E246"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38.2</w:t>
            </w:r>
          </w:p>
        </w:tc>
        <w:tc>
          <w:tcPr>
            <w:tcW w:w="1254" w:type="dxa"/>
            <w:shd w:val="clear" w:color="auto" w:fill="auto"/>
            <w:noWrap/>
            <w:vAlign w:val="bottom"/>
            <w:hideMark/>
          </w:tcPr>
          <w:p w14:paraId="61727B28"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39.2</w:t>
            </w:r>
          </w:p>
        </w:tc>
      </w:tr>
      <w:tr w:rsidR="00B412F4" w:rsidRPr="00B412F4" w14:paraId="137DC44A" w14:textId="77777777" w:rsidTr="00B412F4">
        <w:trPr>
          <w:trHeight w:val="288"/>
          <w:jc w:val="center"/>
        </w:trPr>
        <w:tc>
          <w:tcPr>
            <w:tcW w:w="2570" w:type="dxa"/>
            <w:shd w:val="clear" w:color="auto" w:fill="auto"/>
            <w:noWrap/>
            <w:vAlign w:val="bottom"/>
            <w:hideMark/>
          </w:tcPr>
          <w:p w14:paraId="0E19069F"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Indigenous</w:t>
            </w:r>
          </w:p>
        </w:tc>
        <w:tc>
          <w:tcPr>
            <w:tcW w:w="1254" w:type="dxa"/>
            <w:shd w:val="clear" w:color="auto" w:fill="auto"/>
            <w:noWrap/>
            <w:vAlign w:val="bottom"/>
            <w:hideMark/>
          </w:tcPr>
          <w:p w14:paraId="711FB4C9"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16.7</w:t>
            </w:r>
          </w:p>
        </w:tc>
        <w:tc>
          <w:tcPr>
            <w:tcW w:w="1254" w:type="dxa"/>
            <w:shd w:val="clear" w:color="auto" w:fill="auto"/>
            <w:noWrap/>
            <w:vAlign w:val="bottom"/>
            <w:hideMark/>
          </w:tcPr>
          <w:p w14:paraId="6867779B"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9.0</w:t>
            </w:r>
          </w:p>
        </w:tc>
        <w:tc>
          <w:tcPr>
            <w:tcW w:w="1254" w:type="dxa"/>
            <w:shd w:val="clear" w:color="auto" w:fill="auto"/>
            <w:noWrap/>
            <w:vAlign w:val="bottom"/>
            <w:hideMark/>
          </w:tcPr>
          <w:p w14:paraId="6464676C"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14.7</w:t>
            </w:r>
          </w:p>
        </w:tc>
        <w:tc>
          <w:tcPr>
            <w:tcW w:w="1254" w:type="dxa"/>
            <w:shd w:val="clear" w:color="auto" w:fill="auto"/>
            <w:noWrap/>
            <w:vAlign w:val="bottom"/>
            <w:hideMark/>
          </w:tcPr>
          <w:p w14:paraId="7AE08C92"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21.9</w:t>
            </w:r>
          </w:p>
        </w:tc>
      </w:tr>
      <w:tr w:rsidR="00B412F4" w:rsidRPr="00B412F4" w14:paraId="701D7477" w14:textId="77777777" w:rsidTr="00B412F4">
        <w:trPr>
          <w:trHeight w:val="288"/>
          <w:jc w:val="center"/>
        </w:trPr>
        <w:tc>
          <w:tcPr>
            <w:tcW w:w="2570" w:type="dxa"/>
            <w:shd w:val="clear" w:color="auto" w:fill="auto"/>
            <w:noWrap/>
            <w:vAlign w:val="bottom"/>
            <w:hideMark/>
          </w:tcPr>
          <w:p w14:paraId="5ADFF91D" w14:textId="77777777" w:rsidR="00585ECF" w:rsidRPr="00B412F4" w:rsidRDefault="00585ECF" w:rsidP="004F3B01">
            <w:pPr>
              <w:spacing w:after="166"/>
              <w:rPr>
                <w:rFonts w:cstheme="minorHAnsi"/>
                <w:color w:val="FFFFFF" w:themeColor="background2"/>
                <w:sz w:val="20"/>
                <w:szCs w:val="20"/>
              </w:rPr>
            </w:pPr>
            <w:r w:rsidRPr="00B412F4">
              <w:rPr>
                <w:rFonts w:cstheme="minorHAnsi"/>
                <w:color w:val="FFFFFF" w:themeColor="background2"/>
                <w:sz w:val="20"/>
                <w:szCs w:val="20"/>
              </w:rPr>
              <w:t>Disability based on ESAt/JCA</w:t>
            </w:r>
          </w:p>
        </w:tc>
        <w:tc>
          <w:tcPr>
            <w:tcW w:w="1254" w:type="dxa"/>
            <w:shd w:val="clear" w:color="auto" w:fill="auto"/>
            <w:noWrap/>
            <w:vAlign w:val="bottom"/>
            <w:hideMark/>
          </w:tcPr>
          <w:p w14:paraId="5D64AA25"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9.5</w:t>
            </w:r>
          </w:p>
        </w:tc>
        <w:tc>
          <w:tcPr>
            <w:tcW w:w="1254" w:type="dxa"/>
            <w:shd w:val="clear" w:color="auto" w:fill="auto"/>
            <w:noWrap/>
            <w:vAlign w:val="bottom"/>
            <w:hideMark/>
          </w:tcPr>
          <w:p w14:paraId="79E03AC2"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3.5</w:t>
            </w:r>
          </w:p>
        </w:tc>
        <w:tc>
          <w:tcPr>
            <w:tcW w:w="1254" w:type="dxa"/>
            <w:shd w:val="clear" w:color="auto" w:fill="auto"/>
            <w:noWrap/>
            <w:vAlign w:val="bottom"/>
            <w:hideMark/>
          </w:tcPr>
          <w:p w14:paraId="2A3B2534"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18.2</w:t>
            </w:r>
          </w:p>
        </w:tc>
        <w:tc>
          <w:tcPr>
            <w:tcW w:w="1254" w:type="dxa"/>
            <w:shd w:val="clear" w:color="auto" w:fill="auto"/>
            <w:noWrap/>
            <w:vAlign w:val="bottom"/>
            <w:hideMark/>
          </w:tcPr>
          <w:p w14:paraId="3A0F1821" w14:textId="77777777" w:rsidR="00585ECF" w:rsidRPr="00B412F4" w:rsidRDefault="00585ECF" w:rsidP="004F3B01">
            <w:pPr>
              <w:spacing w:after="166"/>
              <w:jc w:val="right"/>
              <w:rPr>
                <w:rFonts w:cstheme="minorHAnsi"/>
                <w:color w:val="FFFFFF" w:themeColor="background2"/>
                <w:sz w:val="20"/>
                <w:szCs w:val="20"/>
              </w:rPr>
            </w:pPr>
            <w:r w:rsidRPr="00B412F4">
              <w:rPr>
                <w:rFonts w:cstheme="minorHAnsi"/>
                <w:color w:val="FFFFFF" w:themeColor="background2"/>
                <w:sz w:val="20"/>
                <w:szCs w:val="20"/>
              </w:rPr>
              <w:t>11.8</w:t>
            </w:r>
          </w:p>
        </w:tc>
      </w:tr>
    </w:tbl>
    <w:p w14:paraId="3509E833" w14:textId="77777777" w:rsidR="001F28F1" w:rsidRDefault="001F28F1" w:rsidP="000E2C43">
      <w:pPr>
        <w:pStyle w:val="Notes"/>
        <w:spacing w:before="1800"/>
        <w:rPr>
          <w:b/>
        </w:rPr>
      </w:pPr>
      <w:r>
        <w:rPr>
          <w:b/>
        </w:rPr>
        <w:t xml:space="preserve">Note: </w:t>
      </w:r>
      <w:r w:rsidRPr="00E80C53">
        <w:rPr>
          <w:rStyle w:val="NotesChar"/>
        </w:rPr>
        <w:t xml:space="preserve">Refer </w:t>
      </w:r>
      <w:hyperlink w:anchor="Title_A213" w:history="1">
        <w:r w:rsidRPr="00026A22">
          <w:rPr>
            <w:rStyle w:val="Hyperlink"/>
          </w:rPr>
          <w:t>Appendix A</w:t>
        </w:r>
        <w:r w:rsidR="000748CA" w:rsidRPr="00026A22">
          <w:rPr>
            <w:rStyle w:val="Hyperlink"/>
          </w:rPr>
          <w:t>2</w:t>
        </w:r>
        <w:r w:rsidRPr="00026A22">
          <w:rPr>
            <w:rStyle w:val="Hyperlink"/>
          </w:rPr>
          <w:t>, Table A2.1</w:t>
        </w:r>
        <w:r w:rsidRPr="00026A22">
          <w:rPr>
            <w:rStyle w:val="Hyperlink"/>
            <w:rFonts w:eastAsiaTheme="minorEastAsia"/>
          </w:rPr>
          <w:t>3 to Table A2.15</w:t>
        </w:r>
      </w:hyperlink>
      <w:r w:rsidRPr="00E80C53">
        <w:rPr>
          <w:rStyle w:val="NotesChar"/>
        </w:rPr>
        <w:t>.</w:t>
      </w:r>
      <w:bookmarkStart w:id="222" w:name="Place_A213b"/>
      <w:bookmarkEnd w:id="222"/>
    </w:p>
    <w:p w14:paraId="581DC6D1" w14:textId="77777777" w:rsidR="00F774E4" w:rsidRPr="001B7264" w:rsidRDefault="00F774E4" w:rsidP="00F774E4">
      <w:pPr>
        <w:pStyle w:val="Source"/>
      </w:pPr>
      <w:r w:rsidRPr="001B7264">
        <w:rPr>
          <w:b/>
        </w:rPr>
        <w:t>Source:</w:t>
      </w:r>
      <w:r w:rsidRPr="001B7264">
        <w:t xml:space="preserve"> </w:t>
      </w:r>
      <w:r>
        <w:t xml:space="preserve">Department of Employment </w:t>
      </w:r>
      <w:r w:rsidRPr="004D4671">
        <w:t>Post Programme Monitoring survey</w:t>
      </w:r>
      <w:r w:rsidRPr="001B7264">
        <w:t>.</w:t>
      </w:r>
    </w:p>
    <w:p w14:paraId="0961150C" w14:textId="77777777" w:rsidR="00EF7CFF" w:rsidRDefault="00E35A13" w:rsidP="006C1C05">
      <w:r>
        <w:t xml:space="preserve">Education </w:t>
      </w:r>
      <w:r w:rsidR="006C1C05">
        <w:t>Outcomes for long-term unemployed (LTU) job seekers in all streams (except Stream 1) were also improved under JSA (Figure 3.</w:t>
      </w:r>
      <w:r w:rsidR="00EF7CFF">
        <w:t>9</w:t>
      </w:r>
      <w:r w:rsidR="006C1C05">
        <w:t>)</w:t>
      </w:r>
      <w:r>
        <w:t>.</w:t>
      </w:r>
    </w:p>
    <w:p w14:paraId="6C712E05" w14:textId="77777777" w:rsidR="00D01788" w:rsidRDefault="006C1C05" w:rsidP="007D1AA8">
      <w:pPr>
        <w:pStyle w:val="Figureheadingforcontents"/>
      </w:pPr>
      <w:bookmarkStart w:id="223" w:name="_Toc22544033"/>
      <w:r w:rsidRPr="007D1AA8">
        <w:t>Figure 3.</w:t>
      </w:r>
      <w:r w:rsidR="00EF7CFF" w:rsidRPr="007D1AA8">
        <w:t>9</w:t>
      </w:r>
      <w:r w:rsidRPr="007D1AA8">
        <w:t>: Education outcomes</w:t>
      </w:r>
      <w:r w:rsidR="00EC5DCC" w:rsidRPr="007D1AA8">
        <w:t>,</w:t>
      </w:r>
      <w:r w:rsidRPr="007D1AA8">
        <w:t xml:space="preserve"> Streams 1 to 4, long-term unemployed (LTU) (per cent)</w:t>
      </w:r>
      <w:bookmarkEnd w:id="223"/>
    </w:p>
    <w:tbl>
      <w:tblPr>
        <w:tblW w:w="6252" w:type="dxa"/>
        <w:jc w:val="center"/>
        <w:tblLook w:val="04A0" w:firstRow="1" w:lastRow="0" w:firstColumn="1" w:lastColumn="0" w:noHBand="0" w:noVBand="1"/>
      </w:tblPr>
      <w:tblGrid>
        <w:gridCol w:w="3160"/>
        <w:gridCol w:w="1675"/>
        <w:gridCol w:w="1417"/>
      </w:tblGrid>
      <w:tr w:rsidR="000E2C43" w:rsidRPr="000E2C43" w14:paraId="2DC71C49" w14:textId="77777777" w:rsidTr="00B412F4">
        <w:trPr>
          <w:trHeight w:val="288"/>
          <w:tblHeader/>
          <w:jc w:val="center"/>
        </w:trPr>
        <w:tc>
          <w:tcPr>
            <w:tcW w:w="3160" w:type="dxa"/>
            <w:shd w:val="clear" w:color="auto" w:fill="auto"/>
            <w:noWrap/>
            <w:vAlign w:val="bottom"/>
            <w:hideMark/>
          </w:tcPr>
          <w:p w14:paraId="4CFF6CA7" w14:textId="77777777" w:rsidR="00863C31" w:rsidRPr="000E2C43" w:rsidRDefault="00B412F4" w:rsidP="004F3B01">
            <w:pPr>
              <w:spacing w:after="166"/>
              <w:rPr>
                <w:rFonts w:cstheme="minorHAnsi"/>
                <w:color w:val="FFFFFF" w:themeColor="background2"/>
              </w:rPr>
            </w:pPr>
            <w:bookmarkStart w:id="224" w:name="Title_fig39"/>
            <w:bookmarkEnd w:id="224"/>
            <w:r w:rsidRPr="000E2C43">
              <w:rPr>
                <w:noProof/>
                <w:color w:val="FFFFFF" w:themeColor="background2"/>
                <w:lang w:eastAsia="en-AU"/>
              </w:rPr>
              <w:drawing>
                <wp:anchor distT="0" distB="0" distL="114300" distR="114300" simplePos="0" relativeHeight="251658247" behindDoc="0" locked="0" layoutInCell="1" allowOverlap="1" wp14:anchorId="59DC6F53" wp14:editId="6106A21C">
                  <wp:simplePos x="0" y="0"/>
                  <wp:positionH relativeFrom="column">
                    <wp:posOffset>-945515</wp:posOffset>
                  </wp:positionH>
                  <wp:positionV relativeFrom="paragraph">
                    <wp:posOffset>14605</wp:posOffset>
                  </wp:positionV>
                  <wp:extent cx="5507990" cy="3567430"/>
                  <wp:effectExtent l="0" t="0" r="0" b="0"/>
                  <wp:wrapNone/>
                  <wp:docPr id="252" name="Picture 252" descr="A chart showing the education outcome rates for LTU job seekers in JSA 2009 and JSA 2012 by stream. Compared with JSA 2009, education outcome rates were slightly lower for JSA 2012 streams 1 and significantly higher for JSA 2012 streams 2 throug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07990" cy="35674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75" w:type="dxa"/>
            <w:shd w:val="clear" w:color="auto" w:fill="auto"/>
            <w:noWrap/>
            <w:vAlign w:val="bottom"/>
            <w:hideMark/>
          </w:tcPr>
          <w:p w14:paraId="7DF81FCD"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JSA 2009</w:t>
            </w:r>
          </w:p>
        </w:tc>
        <w:tc>
          <w:tcPr>
            <w:tcW w:w="1417" w:type="dxa"/>
            <w:shd w:val="clear" w:color="auto" w:fill="auto"/>
            <w:noWrap/>
            <w:vAlign w:val="bottom"/>
            <w:hideMark/>
          </w:tcPr>
          <w:p w14:paraId="32E8F336"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JSA 2012</w:t>
            </w:r>
          </w:p>
        </w:tc>
      </w:tr>
      <w:tr w:rsidR="000E2C43" w:rsidRPr="000E2C43" w14:paraId="2C94267A" w14:textId="77777777" w:rsidTr="00B412F4">
        <w:trPr>
          <w:trHeight w:val="288"/>
          <w:tblHeader/>
          <w:jc w:val="center"/>
        </w:trPr>
        <w:tc>
          <w:tcPr>
            <w:tcW w:w="3160" w:type="dxa"/>
            <w:shd w:val="clear" w:color="auto" w:fill="auto"/>
            <w:noWrap/>
            <w:vAlign w:val="bottom"/>
            <w:hideMark/>
          </w:tcPr>
          <w:p w14:paraId="4A94E2CD"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Stream 1</w:t>
            </w:r>
          </w:p>
        </w:tc>
        <w:tc>
          <w:tcPr>
            <w:tcW w:w="1675" w:type="dxa"/>
            <w:shd w:val="clear" w:color="auto" w:fill="auto"/>
            <w:noWrap/>
            <w:vAlign w:val="bottom"/>
            <w:hideMark/>
          </w:tcPr>
          <w:p w14:paraId="4CCDBAD9"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19.2</w:t>
            </w:r>
          </w:p>
        </w:tc>
        <w:tc>
          <w:tcPr>
            <w:tcW w:w="1417" w:type="dxa"/>
            <w:shd w:val="clear" w:color="auto" w:fill="auto"/>
            <w:noWrap/>
            <w:vAlign w:val="bottom"/>
            <w:hideMark/>
          </w:tcPr>
          <w:p w14:paraId="0B85F1A6"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17.2</w:t>
            </w:r>
          </w:p>
        </w:tc>
      </w:tr>
      <w:tr w:rsidR="000E2C43" w:rsidRPr="000E2C43" w14:paraId="53337A06" w14:textId="77777777" w:rsidTr="00B412F4">
        <w:trPr>
          <w:trHeight w:val="288"/>
          <w:tblHeader/>
          <w:jc w:val="center"/>
        </w:trPr>
        <w:tc>
          <w:tcPr>
            <w:tcW w:w="3160" w:type="dxa"/>
            <w:shd w:val="clear" w:color="auto" w:fill="auto"/>
            <w:noWrap/>
            <w:vAlign w:val="bottom"/>
            <w:hideMark/>
          </w:tcPr>
          <w:p w14:paraId="4A94E080"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Stream 2</w:t>
            </w:r>
          </w:p>
        </w:tc>
        <w:tc>
          <w:tcPr>
            <w:tcW w:w="1675" w:type="dxa"/>
            <w:shd w:val="clear" w:color="auto" w:fill="auto"/>
            <w:noWrap/>
            <w:vAlign w:val="bottom"/>
            <w:hideMark/>
          </w:tcPr>
          <w:p w14:paraId="4C756198"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17.7</w:t>
            </w:r>
          </w:p>
        </w:tc>
        <w:tc>
          <w:tcPr>
            <w:tcW w:w="1417" w:type="dxa"/>
            <w:shd w:val="clear" w:color="auto" w:fill="auto"/>
            <w:noWrap/>
            <w:vAlign w:val="bottom"/>
            <w:hideMark/>
          </w:tcPr>
          <w:p w14:paraId="4E2DEEEB"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22.6</w:t>
            </w:r>
          </w:p>
        </w:tc>
      </w:tr>
      <w:tr w:rsidR="000E2C43" w:rsidRPr="000E2C43" w14:paraId="4BFB3AB6" w14:textId="77777777" w:rsidTr="00B412F4">
        <w:trPr>
          <w:trHeight w:val="288"/>
          <w:tblHeader/>
          <w:jc w:val="center"/>
        </w:trPr>
        <w:tc>
          <w:tcPr>
            <w:tcW w:w="3160" w:type="dxa"/>
            <w:shd w:val="clear" w:color="auto" w:fill="auto"/>
            <w:noWrap/>
            <w:vAlign w:val="bottom"/>
            <w:hideMark/>
          </w:tcPr>
          <w:p w14:paraId="78DD0B0C"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Stream 3</w:t>
            </w:r>
          </w:p>
        </w:tc>
        <w:tc>
          <w:tcPr>
            <w:tcW w:w="1675" w:type="dxa"/>
            <w:shd w:val="clear" w:color="auto" w:fill="auto"/>
            <w:noWrap/>
            <w:vAlign w:val="bottom"/>
            <w:hideMark/>
          </w:tcPr>
          <w:p w14:paraId="52FDC784"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18.8</w:t>
            </w:r>
          </w:p>
        </w:tc>
        <w:tc>
          <w:tcPr>
            <w:tcW w:w="1417" w:type="dxa"/>
            <w:shd w:val="clear" w:color="auto" w:fill="auto"/>
            <w:noWrap/>
            <w:vAlign w:val="bottom"/>
            <w:hideMark/>
          </w:tcPr>
          <w:p w14:paraId="6CDBEC0A"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24.8</w:t>
            </w:r>
          </w:p>
        </w:tc>
      </w:tr>
      <w:tr w:rsidR="000E2C43" w:rsidRPr="000E2C43" w14:paraId="4FD6B183" w14:textId="77777777" w:rsidTr="00B412F4">
        <w:trPr>
          <w:trHeight w:val="288"/>
          <w:tblHeader/>
          <w:jc w:val="center"/>
        </w:trPr>
        <w:tc>
          <w:tcPr>
            <w:tcW w:w="3160" w:type="dxa"/>
            <w:shd w:val="clear" w:color="auto" w:fill="auto"/>
            <w:noWrap/>
            <w:vAlign w:val="bottom"/>
            <w:hideMark/>
          </w:tcPr>
          <w:p w14:paraId="0008345C" w14:textId="77777777" w:rsidR="00863C31" w:rsidRPr="000E2C43" w:rsidRDefault="00863C31" w:rsidP="004F3B01">
            <w:pPr>
              <w:spacing w:after="166"/>
              <w:rPr>
                <w:rFonts w:cstheme="minorHAnsi"/>
                <w:color w:val="FFFFFF" w:themeColor="background2"/>
              </w:rPr>
            </w:pPr>
            <w:r w:rsidRPr="000E2C43">
              <w:rPr>
                <w:rFonts w:cstheme="minorHAnsi"/>
                <w:color w:val="FFFFFF" w:themeColor="background2"/>
              </w:rPr>
              <w:t>Stream 4</w:t>
            </w:r>
          </w:p>
        </w:tc>
        <w:tc>
          <w:tcPr>
            <w:tcW w:w="1675" w:type="dxa"/>
            <w:shd w:val="clear" w:color="auto" w:fill="auto"/>
            <w:noWrap/>
            <w:vAlign w:val="bottom"/>
            <w:hideMark/>
          </w:tcPr>
          <w:p w14:paraId="55CD5189"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16.1</w:t>
            </w:r>
          </w:p>
        </w:tc>
        <w:tc>
          <w:tcPr>
            <w:tcW w:w="1417" w:type="dxa"/>
            <w:shd w:val="clear" w:color="auto" w:fill="auto"/>
            <w:noWrap/>
            <w:vAlign w:val="bottom"/>
            <w:hideMark/>
          </w:tcPr>
          <w:p w14:paraId="40BDE3BD" w14:textId="77777777" w:rsidR="00863C31" w:rsidRPr="000E2C43" w:rsidRDefault="00863C31" w:rsidP="004F3B01">
            <w:pPr>
              <w:spacing w:after="166"/>
              <w:jc w:val="right"/>
              <w:rPr>
                <w:rFonts w:cstheme="minorHAnsi"/>
                <w:color w:val="FFFFFF" w:themeColor="background2"/>
              </w:rPr>
            </w:pPr>
            <w:r w:rsidRPr="000E2C43">
              <w:rPr>
                <w:rFonts w:cstheme="minorHAnsi"/>
                <w:color w:val="FFFFFF" w:themeColor="background2"/>
              </w:rPr>
              <w:t>23.4</w:t>
            </w:r>
          </w:p>
        </w:tc>
      </w:tr>
    </w:tbl>
    <w:p w14:paraId="7A64BEFC" w14:textId="77777777" w:rsidR="001F28F1" w:rsidRDefault="001F28F1" w:rsidP="000E2C43">
      <w:pPr>
        <w:pStyle w:val="Notes"/>
        <w:spacing w:before="2700"/>
        <w:rPr>
          <w:b/>
        </w:rPr>
      </w:pPr>
      <w:r>
        <w:rPr>
          <w:b/>
        </w:rPr>
        <w:t xml:space="preserve">Note: </w:t>
      </w:r>
      <w:r w:rsidRPr="00E80C53">
        <w:rPr>
          <w:rStyle w:val="NotesChar"/>
        </w:rPr>
        <w:t xml:space="preserve">Refer </w:t>
      </w:r>
      <w:hyperlink w:anchor="Title_A213" w:history="1">
        <w:r w:rsidRPr="00026A22">
          <w:rPr>
            <w:rStyle w:val="Hyperlink"/>
          </w:rPr>
          <w:t>Appendix A</w:t>
        </w:r>
        <w:r w:rsidR="000748CA" w:rsidRPr="00026A22">
          <w:rPr>
            <w:rStyle w:val="Hyperlink"/>
          </w:rPr>
          <w:t>2</w:t>
        </w:r>
        <w:r w:rsidRPr="00026A22">
          <w:rPr>
            <w:rStyle w:val="Hyperlink"/>
          </w:rPr>
          <w:t>, Table A2.1</w:t>
        </w:r>
        <w:r w:rsidRPr="00026A22">
          <w:rPr>
            <w:rStyle w:val="Hyperlink"/>
            <w:rFonts w:eastAsiaTheme="minorEastAsia"/>
          </w:rPr>
          <w:t>3 to Table A2.15</w:t>
        </w:r>
      </w:hyperlink>
      <w:r w:rsidRPr="00E80C53">
        <w:rPr>
          <w:rStyle w:val="NotesChar"/>
        </w:rPr>
        <w:t>.</w:t>
      </w:r>
      <w:bookmarkStart w:id="225" w:name="Place_A213c"/>
      <w:bookmarkEnd w:id="225"/>
    </w:p>
    <w:p w14:paraId="05FFC5EF" w14:textId="77777777" w:rsidR="00F774E4" w:rsidRPr="001B7264" w:rsidRDefault="00F774E4" w:rsidP="00F774E4">
      <w:pPr>
        <w:pStyle w:val="Source"/>
      </w:pPr>
      <w:r w:rsidRPr="001B7264">
        <w:rPr>
          <w:b/>
        </w:rPr>
        <w:t>Source:</w:t>
      </w:r>
      <w:r w:rsidRPr="001B7264">
        <w:t xml:space="preserve"> </w:t>
      </w:r>
      <w:r>
        <w:t xml:space="preserve">Department of Employment </w:t>
      </w:r>
      <w:r w:rsidRPr="004D4671">
        <w:t>Post Programme Monitoring survey</w:t>
      </w:r>
      <w:r w:rsidRPr="001B7264">
        <w:t>.</w:t>
      </w:r>
    </w:p>
    <w:p w14:paraId="40590305" w14:textId="77777777" w:rsidR="00940174" w:rsidRPr="00940174" w:rsidRDefault="00940174" w:rsidP="00940174">
      <w:pPr>
        <w:pStyle w:val="Heading3"/>
      </w:pPr>
      <w:bookmarkStart w:id="226" w:name="_Toc22543079"/>
      <w:r>
        <w:t>3.2.</w:t>
      </w:r>
      <w:r w:rsidR="006C0340">
        <w:t>3</w:t>
      </w:r>
      <w:r>
        <w:tab/>
      </w:r>
      <w:r w:rsidRPr="00940174">
        <w:t>Conclusion</w:t>
      </w:r>
      <w:bookmarkEnd w:id="226"/>
    </w:p>
    <w:p w14:paraId="31D59C34" w14:textId="77777777" w:rsidR="00940174" w:rsidRPr="00940174" w:rsidRDefault="00940174" w:rsidP="00940174">
      <w:r w:rsidRPr="00940174">
        <w:t xml:space="preserve">When compared with JSA 2009, JSA 2012 delivered lower </w:t>
      </w:r>
      <w:r w:rsidR="009B706E">
        <w:t>employment</w:t>
      </w:r>
      <w:r w:rsidR="009B706E" w:rsidRPr="00940174">
        <w:t xml:space="preserve"> </w:t>
      </w:r>
      <w:r w:rsidRPr="00940174">
        <w:t xml:space="preserve">outcomes for job seekers in all </w:t>
      </w:r>
      <w:r w:rsidR="006107F3">
        <w:t>s</w:t>
      </w:r>
      <w:r w:rsidRPr="00940174">
        <w:t xml:space="preserve">treams of service. This result holds true across most measures used, particularly when caseload composition differences and the macroeconomic circumstances in which they operated are factored in. Differences in </w:t>
      </w:r>
      <w:r w:rsidR="009B706E">
        <w:t>employment</w:t>
      </w:r>
      <w:r w:rsidR="009B706E" w:rsidRPr="00940174">
        <w:t xml:space="preserve"> </w:t>
      </w:r>
      <w:r w:rsidRPr="00940174">
        <w:t xml:space="preserve">outcomes were most pronounced for job seekers with the fewest barriers to employment; that is, Stream 1 </w:t>
      </w:r>
      <w:r w:rsidR="00A57E9F">
        <w:t xml:space="preserve">(which represents 16.8 per cent of the JSA 2012 LTU study population) </w:t>
      </w:r>
      <w:r w:rsidRPr="00940174">
        <w:t xml:space="preserve">and </w:t>
      </w:r>
      <w:r w:rsidR="00A57E9F">
        <w:t xml:space="preserve">Stream </w:t>
      </w:r>
      <w:r w:rsidRPr="00940174">
        <w:t>2</w:t>
      </w:r>
      <w:r w:rsidR="00A57E9F">
        <w:t xml:space="preserve"> (which represents </w:t>
      </w:r>
      <w:r w:rsidRPr="00940174">
        <w:t>25.5 per cent of the JSA 2012 LTU study population</w:t>
      </w:r>
      <w:r w:rsidR="00A57E9F">
        <w:t>)</w:t>
      </w:r>
      <w:r w:rsidRPr="00940174">
        <w:t>.</w:t>
      </w:r>
    </w:p>
    <w:p w14:paraId="6AD63202" w14:textId="76102B8C" w:rsidR="00940174" w:rsidRPr="00940174" w:rsidRDefault="00940174" w:rsidP="00940174">
      <w:r w:rsidRPr="00940174">
        <w:t xml:space="preserve">Results for those with higher barriers (including Streams 3 and 4 job seekers), which comprise over half of the LTU study populations, show relatively small differences between the employment services models. For instance, job seekers with long-term reduced capacity to participate in the labour force had only slightly </w:t>
      </w:r>
      <w:r w:rsidR="0062471D">
        <w:t>lower</w:t>
      </w:r>
      <w:r w:rsidRPr="00940174">
        <w:t xml:space="preserve"> probabilities of being either off or on partial income support 12 months after the caseload date </w:t>
      </w:r>
      <w:r w:rsidR="00A57E9F">
        <w:t xml:space="preserve">at </w:t>
      </w:r>
      <w:r w:rsidRPr="00940174">
        <w:t>1.7 and 1.8 percentage points respectively</w:t>
      </w:r>
      <w:r w:rsidR="00A57E9F">
        <w:t xml:space="preserve"> (Table 3.</w:t>
      </w:r>
      <w:r w:rsidR="00331592">
        <w:t>7</w:t>
      </w:r>
      <w:r w:rsidRPr="00940174">
        <w:t xml:space="preserve">). This compares with decreases of 3.7 and 1.1 percentage points respectively for job seekers </w:t>
      </w:r>
      <w:r w:rsidRPr="0099598E">
        <w:t>without</w:t>
      </w:r>
      <w:r w:rsidRPr="00940174">
        <w:t xml:space="preserve"> long-term reduced capacity. </w:t>
      </w:r>
      <w:r w:rsidR="00C553B1">
        <w:t>In part</w:t>
      </w:r>
      <w:r w:rsidR="00805328">
        <w:t>,</w:t>
      </w:r>
      <w:r w:rsidR="00C553B1">
        <w:t xml:space="preserve"> t</w:t>
      </w:r>
      <w:r w:rsidR="00C553B1" w:rsidRPr="00940174">
        <w:t>his</w:t>
      </w:r>
      <w:r w:rsidRPr="00940174">
        <w:t xml:space="preserve"> reflects the lower baseline measures for these job seekers.</w:t>
      </w:r>
      <w:r w:rsidR="001A4FCE">
        <w:t xml:space="preserve"> F</w:t>
      </w:r>
      <w:r w:rsidR="00E35A13">
        <w:t>or Stream 4 and long</w:t>
      </w:r>
      <w:r w:rsidR="0071480B">
        <w:t>-</w:t>
      </w:r>
      <w:r w:rsidR="00E35A13">
        <w:t>term unemployed job seekers (Exc</w:t>
      </w:r>
      <w:r w:rsidR="007F22E4">
        <w:t>ep</w:t>
      </w:r>
      <w:r w:rsidR="00E35A13">
        <w:t xml:space="preserve">t </w:t>
      </w:r>
      <w:r w:rsidR="001A4FCE">
        <w:t>S</w:t>
      </w:r>
      <w:r w:rsidR="00E35A13">
        <w:t xml:space="preserve">tream 1) </w:t>
      </w:r>
      <w:r w:rsidR="001A4FCE">
        <w:t>e</w:t>
      </w:r>
      <w:r w:rsidR="00E35A13">
        <w:t xml:space="preserve">ducation outcomes were higher under JSA </w:t>
      </w:r>
      <w:r w:rsidR="001A4FCE">
        <w:t>20</w:t>
      </w:r>
      <w:r w:rsidR="00E35A13">
        <w:t xml:space="preserve">12. </w:t>
      </w:r>
    </w:p>
    <w:p w14:paraId="36495CA1" w14:textId="77777777" w:rsidR="008357B8" w:rsidRPr="0054577F" w:rsidRDefault="008357B8" w:rsidP="0019417F">
      <w:pPr>
        <w:pStyle w:val="Heading2"/>
        <w:keepNext/>
      </w:pPr>
      <w:bookmarkStart w:id="227" w:name="_Toc450919333"/>
      <w:bookmarkStart w:id="228" w:name="_Toc22543080"/>
      <w:r>
        <w:rPr>
          <w:rStyle w:val="Heading3Char"/>
          <w:b/>
          <w:bCs/>
        </w:rPr>
        <w:t>3.3</w:t>
      </w:r>
      <w:r w:rsidRPr="00C07153">
        <w:rPr>
          <w:rStyle w:val="Heading3Char"/>
          <w:b/>
          <w:bCs/>
        </w:rPr>
        <w:tab/>
      </w:r>
      <w:r>
        <w:rPr>
          <w:rStyle w:val="Heading3Char"/>
          <w:b/>
          <w:bCs/>
        </w:rPr>
        <w:t>Cost effectiveness</w:t>
      </w:r>
      <w:bookmarkEnd w:id="227"/>
      <w:bookmarkEnd w:id="228"/>
    </w:p>
    <w:p w14:paraId="37736787" w14:textId="77777777" w:rsidR="008357B8" w:rsidRDefault="008357B8" w:rsidP="00882BE1">
      <w:pPr>
        <w:pStyle w:val="Heading3"/>
      </w:pPr>
      <w:bookmarkStart w:id="229" w:name="_Toc22543081"/>
      <w:r>
        <w:t>3.3.1</w:t>
      </w:r>
      <w:r>
        <w:tab/>
        <w:t>Introduction</w:t>
      </w:r>
      <w:bookmarkEnd w:id="229"/>
    </w:p>
    <w:p w14:paraId="6157741E" w14:textId="77777777" w:rsidR="008357B8" w:rsidRDefault="008357B8" w:rsidP="008357B8">
      <w:r>
        <w:t xml:space="preserve">In previous sections the effectiveness of JSA 2012 has been assessed in comparison with JSA 2009. </w:t>
      </w:r>
      <w:r w:rsidR="00882BE1">
        <w:t>This section assesses the relative</w:t>
      </w:r>
      <w:r>
        <w:t xml:space="preserve"> cost effectiveness of these </w:t>
      </w:r>
      <w:r w:rsidR="00882BE1">
        <w:t>service delivery models. Methodology on the calculations presented here are in Appendix B1.3</w:t>
      </w:r>
      <w:r>
        <w:t>.</w:t>
      </w:r>
    </w:p>
    <w:p w14:paraId="730E8713" w14:textId="77777777" w:rsidR="008357B8" w:rsidRDefault="008357B8" w:rsidP="008357B8">
      <w:pPr>
        <w:pStyle w:val="Heading3"/>
      </w:pPr>
      <w:bookmarkStart w:id="230" w:name="_Toc22543082"/>
      <w:r>
        <w:t>3.3.2</w:t>
      </w:r>
      <w:r>
        <w:tab/>
        <w:t>Key findings</w:t>
      </w:r>
      <w:bookmarkEnd w:id="230"/>
    </w:p>
    <w:p w14:paraId="0F60DE7D" w14:textId="77777777" w:rsidR="008357B8" w:rsidRDefault="008357B8" w:rsidP="00805328">
      <w:pPr>
        <w:pStyle w:val="Heading4"/>
      </w:pPr>
      <w:r>
        <w:t>Cost per employment outcome</w:t>
      </w:r>
    </w:p>
    <w:p w14:paraId="12441B2F" w14:textId="77777777" w:rsidR="008357B8" w:rsidRPr="007C5FD3" w:rsidRDefault="008357B8" w:rsidP="008357B8">
      <w:r>
        <w:t>Costs per employment outcome were generally lower under JSA 2012. For those in Stream 4 the year 1 rates were more divergent possibly in part because of transition between the two models</w:t>
      </w:r>
      <w:r w:rsidR="00962A13">
        <w:t xml:space="preserve"> (Table 3.</w:t>
      </w:r>
      <w:r w:rsidR="00331592">
        <w:t>8</w:t>
      </w:r>
      <w:r w:rsidR="00962A13">
        <w:t>)</w:t>
      </w:r>
      <w:r>
        <w:t>.</w:t>
      </w:r>
    </w:p>
    <w:p w14:paraId="59D38F46" w14:textId="77777777" w:rsidR="008357B8" w:rsidRPr="008D1D34" w:rsidRDefault="008357B8" w:rsidP="008357B8">
      <w:pPr>
        <w:pStyle w:val="Tableforcontents"/>
        <w:rPr>
          <w:rFonts w:eastAsiaTheme="majorEastAsia"/>
        </w:rPr>
      </w:pPr>
      <w:bookmarkStart w:id="231" w:name="_Toc22543980"/>
      <w:r w:rsidRPr="008D1D34">
        <w:rPr>
          <w:rFonts w:eastAsiaTheme="majorEastAsia"/>
        </w:rPr>
        <w:t xml:space="preserve">Table </w:t>
      </w:r>
      <w:r>
        <w:rPr>
          <w:rFonts w:eastAsiaTheme="majorEastAsia"/>
        </w:rPr>
        <w:t>3.</w:t>
      </w:r>
      <w:r w:rsidR="00331592">
        <w:rPr>
          <w:rFonts w:eastAsiaTheme="majorEastAsia"/>
        </w:rPr>
        <w:t>8</w:t>
      </w:r>
      <w:r w:rsidRPr="008D1D34">
        <w:rPr>
          <w:rFonts w:eastAsiaTheme="majorEastAsia"/>
        </w:rPr>
        <w:t>:</w:t>
      </w:r>
      <w:r w:rsidR="003C29A5">
        <w:rPr>
          <w:rFonts w:eastAsiaTheme="majorEastAsia"/>
        </w:rPr>
        <w:t xml:space="preserve"> </w:t>
      </w:r>
      <w:r>
        <w:rPr>
          <w:rFonts w:eastAsiaTheme="majorEastAsia"/>
        </w:rPr>
        <w:t>Cost per employment outcome</w:t>
      </w:r>
      <w:r w:rsidR="005C0FEC">
        <w:rPr>
          <w:rFonts w:eastAsiaTheme="majorEastAsia"/>
        </w:rPr>
        <w:t>,</w:t>
      </w:r>
      <w:r w:rsidR="001F3009">
        <w:rPr>
          <w:rFonts w:eastAsiaTheme="majorEastAsia"/>
        </w:rPr>
        <w:t xml:space="preserve"> JSA 2009 and JSA 2012</w:t>
      </w:r>
      <w:r w:rsidR="006D5A09">
        <w:rPr>
          <w:rFonts w:eastAsiaTheme="majorEastAsia"/>
        </w:rPr>
        <w:t xml:space="preserve"> ($)</w:t>
      </w:r>
      <w:bookmarkEnd w:id="231"/>
    </w:p>
    <w:tbl>
      <w:tblPr>
        <w:tblStyle w:val="TableGrid"/>
        <w:tblW w:w="0" w:type="auto"/>
        <w:shd w:val="clear" w:color="auto" w:fill="1E3D6B"/>
        <w:tblLayout w:type="fixed"/>
        <w:tblLook w:val="04A0" w:firstRow="1" w:lastRow="0" w:firstColumn="1" w:lastColumn="0" w:noHBand="0" w:noVBand="1"/>
      </w:tblPr>
      <w:tblGrid>
        <w:gridCol w:w="1242"/>
        <w:gridCol w:w="1279"/>
        <w:gridCol w:w="1275"/>
        <w:gridCol w:w="1276"/>
        <w:gridCol w:w="1415"/>
        <w:gridCol w:w="1276"/>
        <w:gridCol w:w="1276"/>
      </w:tblGrid>
      <w:tr w:rsidR="008357B8" w:rsidRPr="007626A6" w14:paraId="6B7C07DA" w14:textId="77777777" w:rsidTr="00040B63">
        <w:trPr>
          <w:tblHeader/>
        </w:trPr>
        <w:tc>
          <w:tcPr>
            <w:tcW w:w="1242" w:type="dxa"/>
            <w:tcBorders>
              <w:top w:val="nil"/>
              <w:left w:val="nil"/>
              <w:bottom w:val="nil"/>
              <w:right w:val="nil"/>
            </w:tcBorders>
            <w:shd w:val="clear" w:color="auto" w:fill="1E3D6B"/>
          </w:tcPr>
          <w:p w14:paraId="242C48EC" w14:textId="77777777" w:rsidR="008357B8" w:rsidRPr="007626A6" w:rsidRDefault="008357B8" w:rsidP="008357B8">
            <w:pPr>
              <w:rPr>
                <w:rFonts w:cstheme="minorHAnsi"/>
                <w:b/>
                <w:color w:val="FFFFFF" w:themeColor="background2"/>
                <w:sz w:val="20"/>
                <w:szCs w:val="20"/>
              </w:rPr>
            </w:pPr>
            <w:bookmarkStart w:id="232" w:name="Title_38"/>
            <w:bookmarkEnd w:id="232"/>
            <w:r w:rsidRPr="007626A6">
              <w:rPr>
                <w:rFonts w:cstheme="minorHAnsi"/>
                <w:b/>
                <w:color w:val="FFFFFF" w:themeColor="background2"/>
                <w:sz w:val="20"/>
                <w:szCs w:val="20"/>
              </w:rPr>
              <w:t>Year of JSA contract</w:t>
            </w:r>
          </w:p>
        </w:tc>
        <w:tc>
          <w:tcPr>
            <w:tcW w:w="1279" w:type="dxa"/>
            <w:tcBorders>
              <w:top w:val="nil"/>
              <w:left w:val="nil"/>
              <w:bottom w:val="nil"/>
              <w:right w:val="nil"/>
            </w:tcBorders>
            <w:shd w:val="clear" w:color="auto" w:fill="1E3D6B"/>
          </w:tcPr>
          <w:p w14:paraId="51F64D11" w14:textId="77777777" w:rsidR="008357B8" w:rsidRPr="007626A6" w:rsidRDefault="008357B8" w:rsidP="00D20CB6">
            <w:pPr>
              <w:jc w:val="center"/>
              <w:rPr>
                <w:rFonts w:cstheme="minorHAnsi"/>
                <w:b/>
                <w:color w:val="FFFFFF" w:themeColor="background2"/>
                <w:sz w:val="20"/>
                <w:szCs w:val="20"/>
              </w:rPr>
            </w:pPr>
            <w:r w:rsidRPr="007626A6">
              <w:rPr>
                <w:rFonts w:cstheme="minorHAnsi"/>
                <w:b/>
                <w:color w:val="FFFFFF" w:themeColor="background2"/>
                <w:sz w:val="20"/>
                <w:szCs w:val="20"/>
              </w:rPr>
              <w:t>JSA 2009</w:t>
            </w:r>
            <w:r w:rsidR="00D20CB6">
              <w:rPr>
                <w:rFonts w:cstheme="minorHAnsi"/>
                <w:b/>
                <w:color w:val="FFFFFF" w:themeColor="background2"/>
                <w:sz w:val="20"/>
                <w:szCs w:val="20"/>
              </w:rPr>
              <w:br/>
            </w:r>
            <w:r w:rsidRPr="007626A6">
              <w:rPr>
                <w:rFonts w:cstheme="minorHAnsi"/>
                <w:b/>
                <w:color w:val="FFFFFF" w:themeColor="background2"/>
                <w:sz w:val="20"/>
                <w:szCs w:val="20"/>
              </w:rPr>
              <w:t>Stream 1-3</w:t>
            </w:r>
            <w:r w:rsidR="00D20CB6">
              <w:rPr>
                <w:rFonts w:cstheme="minorHAnsi"/>
                <w:b/>
                <w:color w:val="FFFFFF" w:themeColor="background2"/>
                <w:sz w:val="20"/>
                <w:szCs w:val="20"/>
              </w:rPr>
              <w:br/>
            </w:r>
            <w:r>
              <w:rPr>
                <w:rFonts w:cstheme="minorHAnsi"/>
                <w:b/>
                <w:color w:val="FFFFFF" w:themeColor="background2"/>
                <w:sz w:val="20"/>
                <w:szCs w:val="20"/>
              </w:rPr>
              <w:t>($)</w:t>
            </w:r>
          </w:p>
        </w:tc>
        <w:tc>
          <w:tcPr>
            <w:tcW w:w="1275" w:type="dxa"/>
            <w:tcBorders>
              <w:top w:val="nil"/>
              <w:left w:val="nil"/>
              <w:bottom w:val="nil"/>
              <w:right w:val="nil"/>
            </w:tcBorders>
            <w:shd w:val="clear" w:color="auto" w:fill="1E3D6B"/>
          </w:tcPr>
          <w:p w14:paraId="70F75C04" w14:textId="77777777" w:rsidR="008357B8" w:rsidRPr="007626A6" w:rsidRDefault="008357B8" w:rsidP="00D20CB6">
            <w:pPr>
              <w:jc w:val="center"/>
              <w:rPr>
                <w:rFonts w:cstheme="minorHAnsi"/>
                <w:b/>
                <w:color w:val="FFFFFF" w:themeColor="background2"/>
                <w:sz w:val="20"/>
                <w:szCs w:val="20"/>
              </w:rPr>
            </w:pPr>
            <w:r w:rsidRPr="007626A6">
              <w:rPr>
                <w:rFonts w:cstheme="minorHAnsi"/>
                <w:b/>
                <w:color w:val="FFFFFF" w:themeColor="background2"/>
                <w:sz w:val="20"/>
                <w:szCs w:val="20"/>
              </w:rPr>
              <w:t>JSA 2012</w:t>
            </w:r>
            <w:r w:rsidR="00D20CB6">
              <w:rPr>
                <w:rFonts w:cstheme="minorHAnsi"/>
                <w:b/>
                <w:color w:val="FFFFFF" w:themeColor="background2"/>
                <w:sz w:val="20"/>
                <w:szCs w:val="20"/>
              </w:rPr>
              <w:br/>
            </w:r>
            <w:r w:rsidRPr="007626A6">
              <w:rPr>
                <w:rFonts w:cstheme="minorHAnsi"/>
                <w:b/>
                <w:color w:val="FFFFFF" w:themeColor="background2"/>
                <w:sz w:val="20"/>
                <w:szCs w:val="20"/>
              </w:rPr>
              <w:t>Stream 1-3</w:t>
            </w:r>
            <w:r>
              <w:rPr>
                <w:rFonts w:cstheme="minorHAnsi"/>
                <w:b/>
                <w:color w:val="FFFFFF" w:themeColor="background2"/>
                <w:sz w:val="20"/>
                <w:szCs w:val="20"/>
              </w:rPr>
              <w:t xml:space="preserve"> </w:t>
            </w:r>
            <w:r w:rsidR="00D20CB6">
              <w:rPr>
                <w:rFonts w:cstheme="minorHAnsi"/>
                <w:b/>
                <w:color w:val="FFFFFF" w:themeColor="background2"/>
                <w:sz w:val="20"/>
                <w:szCs w:val="20"/>
              </w:rPr>
              <w:br/>
            </w:r>
            <w:r>
              <w:rPr>
                <w:rFonts w:cstheme="minorHAnsi"/>
                <w:b/>
                <w:color w:val="FFFFFF" w:themeColor="background2"/>
                <w:sz w:val="20"/>
                <w:szCs w:val="20"/>
              </w:rPr>
              <w:t>($)</w:t>
            </w:r>
          </w:p>
        </w:tc>
        <w:tc>
          <w:tcPr>
            <w:tcW w:w="1276" w:type="dxa"/>
            <w:tcBorders>
              <w:top w:val="nil"/>
              <w:left w:val="nil"/>
              <w:bottom w:val="nil"/>
              <w:right w:val="nil"/>
            </w:tcBorders>
            <w:shd w:val="clear" w:color="auto" w:fill="1E3D6B"/>
          </w:tcPr>
          <w:p w14:paraId="5C91F34C" w14:textId="77777777" w:rsidR="008357B8" w:rsidRDefault="00D20CB6" w:rsidP="00D20CB6">
            <w:pPr>
              <w:jc w:val="center"/>
              <w:rPr>
                <w:rFonts w:cstheme="minorHAnsi"/>
                <w:b/>
                <w:color w:val="FFFFFF" w:themeColor="background2"/>
                <w:sz w:val="20"/>
                <w:szCs w:val="20"/>
              </w:rPr>
            </w:pPr>
            <w:r>
              <w:rPr>
                <w:rFonts w:cstheme="minorHAnsi"/>
                <w:b/>
                <w:color w:val="FFFFFF" w:themeColor="background2"/>
                <w:sz w:val="20"/>
                <w:szCs w:val="20"/>
              </w:rPr>
              <w:t>Difference</w:t>
            </w:r>
            <w:r>
              <w:rPr>
                <w:rFonts w:cstheme="minorHAnsi"/>
                <w:b/>
                <w:color w:val="FFFFFF" w:themeColor="background2"/>
                <w:sz w:val="20"/>
                <w:szCs w:val="20"/>
              </w:rPr>
              <w:br/>
            </w:r>
            <w:r w:rsidR="008357B8">
              <w:rPr>
                <w:rFonts w:cstheme="minorHAnsi"/>
                <w:b/>
                <w:color w:val="FFFFFF" w:themeColor="background2"/>
                <w:sz w:val="20"/>
                <w:szCs w:val="20"/>
              </w:rPr>
              <w:t>Stream 1-3</w:t>
            </w:r>
            <w:r>
              <w:rPr>
                <w:rFonts w:cstheme="minorHAnsi"/>
                <w:b/>
                <w:color w:val="FFFFFF" w:themeColor="background2"/>
                <w:sz w:val="20"/>
                <w:szCs w:val="20"/>
              </w:rPr>
              <w:br/>
            </w:r>
            <w:r w:rsidR="008357B8">
              <w:rPr>
                <w:rFonts w:cstheme="minorHAnsi"/>
                <w:b/>
                <w:color w:val="FFFFFF" w:themeColor="background2"/>
                <w:sz w:val="20"/>
                <w:szCs w:val="20"/>
              </w:rPr>
              <w:t>(%)</w:t>
            </w:r>
          </w:p>
        </w:tc>
        <w:tc>
          <w:tcPr>
            <w:tcW w:w="1415" w:type="dxa"/>
            <w:tcBorders>
              <w:top w:val="nil"/>
              <w:left w:val="nil"/>
              <w:bottom w:val="nil"/>
              <w:right w:val="nil"/>
            </w:tcBorders>
            <w:shd w:val="clear" w:color="auto" w:fill="1E3D6B"/>
          </w:tcPr>
          <w:p w14:paraId="662F8F89" w14:textId="77777777" w:rsidR="008357B8" w:rsidRPr="007626A6" w:rsidRDefault="008357B8" w:rsidP="00D20CB6">
            <w:pPr>
              <w:jc w:val="center"/>
              <w:rPr>
                <w:rFonts w:cstheme="minorHAnsi"/>
                <w:b/>
                <w:color w:val="FFFFFF" w:themeColor="background2"/>
                <w:sz w:val="20"/>
                <w:szCs w:val="20"/>
              </w:rPr>
            </w:pPr>
            <w:r>
              <w:rPr>
                <w:rFonts w:cstheme="minorHAnsi"/>
                <w:b/>
                <w:color w:val="FFFFFF" w:themeColor="background2"/>
                <w:sz w:val="20"/>
                <w:szCs w:val="20"/>
              </w:rPr>
              <w:t>JSA 2009</w:t>
            </w:r>
            <w:r w:rsidR="00D20CB6">
              <w:rPr>
                <w:rFonts w:cstheme="minorHAnsi"/>
                <w:b/>
                <w:color w:val="FFFFFF" w:themeColor="background2"/>
                <w:sz w:val="20"/>
                <w:szCs w:val="20"/>
              </w:rPr>
              <w:br/>
            </w:r>
            <w:r>
              <w:rPr>
                <w:rFonts w:cstheme="minorHAnsi"/>
                <w:b/>
                <w:color w:val="FFFFFF" w:themeColor="background2"/>
                <w:sz w:val="20"/>
                <w:szCs w:val="20"/>
              </w:rPr>
              <w:t>Stream 4</w:t>
            </w:r>
            <w:r w:rsidR="00D20CB6">
              <w:rPr>
                <w:rFonts w:cstheme="minorHAnsi"/>
                <w:b/>
                <w:color w:val="FFFFFF" w:themeColor="background2"/>
                <w:sz w:val="20"/>
                <w:szCs w:val="20"/>
              </w:rPr>
              <w:br/>
            </w:r>
            <w:r>
              <w:rPr>
                <w:rFonts w:cstheme="minorHAnsi"/>
                <w:b/>
                <w:color w:val="FFFFFF" w:themeColor="background2"/>
                <w:sz w:val="20"/>
                <w:szCs w:val="20"/>
              </w:rPr>
              <w:t>($)</w:t>
            </w:r>
          </w:p>
        </w:tc>
        <w:tc>
          <w:tcPr>
            <w:tcW w:w="1276" w:type="dxa"/>
            <w:tcBorders>
              <w:top w:val="nil"/>
              <w:left w:val="nil"/>
              <w:bottom w:val="nil"/>
              <w:right w:val="nil"/>
            </w:tcBorders>
            <w:shd w:val="clear" w:color="auto" w:fill="1E3D6B"/>
          </w:tcPr>
          <w:p w14:paraId="49A26E4F" w14:textId="77777777" w:rsidR="008357B8" w:rsidRPr="007626A6" w:rsidRDefault="008357B8" w:rsidP="00D20CB6">
            <w:pPr>
              <w:jc w:val="center"/>
              <w:rPr>
                <w:rFonts w:cstheme="minorHAnsi"/>
                <w:b/>
                <w:color w:val="FFFFFF" w:themeColor="background2"/>
                <w:sz w:val="20"/>
                <w:szCs w:val="20"/>
              </w:rPr>
            </w:pPr>
            <w:r w:rsidRPr="007626A6">
              <w:rPr>
                <w:rFonts w:cstheme="minorHAnsi"/>
                <w:b/>
                <w:color w:val="FFFFFF" w:themeColor="background2"/>
                <w:sz w:val="20"/>
                <w:szCs w:val="20"/>
              </w:rPr>
              <w:t>JSA 2012</w:t>
            </w:r>
            <w:r w:rsidR="00D20CB6">
              <w:rPr>
                <w:rFonts w:cstheme="minorHAnsi"/>
                <w:b/>
                <w:color w:val="FFFFFF" w:themeColor="background2"/>
                <w:sz w:val="20"/>
                <w:szCs w:val="20"/>
              </w:rPr>
              <w:br/>
            </w:r>
            <w:r w:rsidRPr="007626A6">
              <w:rPr>
                <w:rFonts w:cstheme="minorHAnsi"/>
                <w:b/>
                <w:color w:val="FFFFFF" w:themeColor="background2"/>
                <w:sz w:val="20"/>
                <w:szCs w:val="20"/>
              </w:rPr>
              <w:t>Stream 4</w:t>
            </w:r>
            <w:r w:rsidR="00D20CB6">
              <w:rPr>
                <w:rFonts w:cstheme="minorHAnsi"/>
                <w:b/>
                <w:color w:val="FFFFFF" w:themeColor="background2"/>
                <w:sz w:val="20"/>
                <w:szCs w:val="20"/>
              </w:rPr>
              <w:br/>
            </w:r>
            <w:r>
              <w:rPr>
                <w:rFonts w:cstheme="minorHAnsi"/>
                <w:b/>
                <w:color w:val="FFFFFF" w:themeColor="background2"/>
                <w:sz w:val="20"/>
                <w:szCs w:val="20"/>
              </w:rPr>
              <w:t>($)</w:t>
            </w:r>
          </w:p>
        </w:tc>
        <w:tc>
          <w:tcPr>
            <w:tcW w:w="1276" w:type="dxa"/>
            <w:tcBorders>
              <w:top w:val="nil"/>
              <w:left w:val="nil"/>
              <w:bottom w:val="nil"/>
              <w:right w:val="nil"/>
            </w:tcBorders>
            <w:shd w:val="clear" w:color="auto" w:fill="1E3D6B"/>
          </w:tcPr>
          <w:p w14:paraId="776EA9FB" w14:textId="77777777" w:rsidR="008357B8" w:rsidRPr="007626A6" w:rsidRDefault="008357B8" w:rsidP="00D20CB6">
            <w:pPr>
              <w:jc w:val="center"/>
              <w:rPr>
                <w:rFonts w:cstheme="minorHAnsi"/>
                <w:b/>
                <w:color w:val="FFFFFF" w:themeColor="background2"/>
                <w:sz w:val="20"/>
                <w:szCs w:val="20"/>
              </w:rPr>
            </w:pPr>
            <w:r>
              <w:rPr>
                <w:rFonts w:cstheme="minorHAnsi"/>
                <w:b/>
                <w:color w:val="FFFFFF" w:themeColor="background2"/>
                <w:sz w:val="20"/>
                <w:szCs w:val="20"/>
              </w:rPr>
              <w:t>Difference</w:t>
            </w:r>
            <w:r w:rsidR="00D20CB6">
              <w:rPr>
                <w:rFonts w:cstheme="minorHAnsi"/>
                <w:b/>
                <w:color w:val="FFFFFF" w:themeColor="background2"/>
                <w:sz w:val="20"/>
                <w:szCs w:val="20"/>
              </w:rPr>
              <w:br/>
            </w:r>
            <w:r>
              <w:rPr>
                <w:rFonts w:cstheme="minorHAnsi"/>
                <w:b/>
                <w:color w:val="FFFFFF" w:themeColor="background2"/>
                <w:sz w:val="20"/>
                <w:szCs w:val="20"/>
              </w:rPr>
              <w:t>Streams 4</w:t>
            </w:r>
            <w:r w:rsidR="00D20CB6">
              <w:rPr>
                <w:rFonts w:cstheme="minorHAnsi"/>
                <w:b/>
                <w:color w:val="FFFFFF" w:themeColor="background2"/>
                <w:sz w:val="20"/>
                <w:szCs w:val="20"/>
              </w:rPr>
              <w:br/>
            </w:r>
            <w:r>
              <w:rPr>
                <w:rFonts w:cstheme="minorHAnsi"/>
                <w:b/>
                <w:color w:val="FFFFFF" w:themeColor="background2"/>
                <w:sz w:val="20"/>
                <w:szCs w:val="20"/>
              </w:rPr>
              <w:t>(%)</w:t>
            </w:r>
          </w:p>
        </w:tc>
      </w:tr>
      <w:tr w:rsidR="008357B8" w:rsidRPr="0055537D" w14:paraId="754AC2D1" w14:textId="77777777" w:rsidTr="009C45FD">
        <w:tc>
          <w:tcPr>
            <w:tcW w:w="1242" w:type="dxa"/>
            <w:tcBorders>
              <w:top w:val="nil"/>
              <w:left w:val="nil"/>
              <w:bottom w:val="nil"/>
              <w:right w:val="nil"/>
            </w:tcBorders>
            <w:shd w:val="clear" w:color="auto" w:fill="FFFFFF" w:themeFill="background2"/>
          </w:tcPr>
          <w:p w14:paraId="10463833" w14:textId="77777777" w:rsidR="008357B8" w:rsidRPr="0055537D" w:rsidRDefault="008357B8" w:rsidP="008357B8">
            <w:pPr>
              <w:pStyle w:val="tabletextslim"/>
              <w:spacing w:before="33"/>
              <w:ind w:right="93"/>
              <w:jc w:val="left"/>
              <w:rPr>
                <w:sz w:val="20"/>
                <w:szCs w:val="20"/>
              </w:rPr>
            </w:pPr>
            <w:r w:rsidRPr="0055537D">
              <w:rPr>
                <w:sz w:val="20"/>
                <w:szCs w:val="20"/>
              </w:rPr>
              <w:t>Year 1</w:t>
            </w:r>
          </w:p>
        </w:tc>
        <w:tc>
          <w:tcPr>
            <w:tcW w:w="1279" w:type="dxa"/>
            <w:tcBorders>
              <w:top w:val="nil"/>
              <w:left w:val="nil"/>
              <w:bottom w:val="nil"/>
              <w:right w:val="nil"/>
            </w:tcBorders>
            <w:shd w:val="clear" w:color="auto" w:fill="FFFFFF" w:themeFill="background2"/>
          </w:tcPr>
          <w:p w14:paraId="70E6B5B2" w14:textId="77777777" w:rsidR="008357B8" w:rsidRPr="0055537D" w:rsidRDefault="008357B8" w:rsidP="008357B8">
            <w:pPr>
              <w:pStyle w:val="tabletextslim"/>
              <w:spacing w:before="33"/>
              <w:ind w:right="457"/>
              <w:rPr>
                <w:sz w:val="20"/>
                <w:szCs w:val="20"/>
              </w:rPr>
            </w:pPr>
            <w:r w:rsidRPr="0055537D">
              <w:rPr>
                <w:sz w:val="20"/>
                <w:szCs w:val="20"/>
              </w:rPr>
              <w:t>2,079</w:t>
            </w:r>
          </w:p>
        </w:tc>
        <w:tc>
          <w:tcPr>
            <w:tcW w:w="1275" w:type="dxa"/>
            <w:tcBorders>
              <w:top w:val="nil"/>
              <w:left w:val="nil"/>
              <w:bottom w:val="nil"/>
              <w:right w:val="nil"/>
            </w:tcBorders>
            <w:shd w:val="clear" w:color="auto" w:fill="FFFFFF" w:themeFill="background2"/>
          </w:tcPr>
          <w:p w14:paraId="5DD55E34" w14:textId="77777777" w:rsidR="008357B8" w:rsidRPr="0055537D" w:rsidRDefault="008357B8" w:rsidP="008357B8">
            <w:pPr>
              <w:pStyle w:val="tabletextslim"/>
              <w:spacing w:before="33"/>
              <w:ind w:right="380"/>
              <w:rPr>
                <w:sz w:val="20"/>
                <w:szCs w:val="20"/>
              </w:rPr>
            </w:pPr>
            <w:r w:rsidRPr="0055537D">
              <w:rPr>
                <w:sz w:val="20"/>
                <w:szCs w:val="20"/>
              </w:rPr>
              <w:t>1,989</w:t>
            </w:r>
          </w:p>
        </w:tc>
        <w:tc>
          <w:tcPr>
            <w:tcW w:w="1276" w:type="dxa"/>
            <w:tcBorders>
              <w:top w:val="nil"/>
              <w:left w:val="nil"/>
              <w:bottom w:val="nil"/>
              <w:right w:val="nil"/>
            </w:tcBorders>
            <w:shd w:val="clear" w:color="auto" w:fill="FFFFFF" w:themeFill="background2"/>
          </w:tcPr>
          <w:p w14:paraId="5D8BEA7F" w14:textId="77777777" w:rsidR="008357B8" w:rsidRPr="0055537D" w:rsidRDefault="008357B8" w:rsidP="008357B8">
            <w:pPr>
              <w:pStyle w:val="tabletextslim"/>
              <w:spacing w:before="33"/>
              <w:ind w:right="380"/>
              <w:rPr>
                <w:sz w:val="20"/>
                <w:szCs w:val="20"/>
              </w:rPr>
            </w:pPr>
            <w:r w:rsidRPr="0055537D">
              <w:rPr>
                <w:sz w:val="20"/>
                <w:szCs w:val="20"/>
              </w:rPr>
              <w:t>-4.3</w:t>
            </w:r>
          </w:p>
        </w:tc>
        <w:tc>
          <w:tcPr>
            <w:tcW w:w="1415" w:type="dxa"/>
            <w:tcBorders>
              <w:top w:val="nil"/>
              <w:left w:val="nil"/>
              <w:bottom w:val="nil"/>
              <w:right w:val="nil"/>
            </w:tcBorders>
            <w:shd w:val="clear" w:color="auto" w:fill="FFFFFF" w:themeFill="background2"/>
          </w:tcPr>
          <w:p w14:paraId="5BB002C5" w14:textId="77777777" w:rsidR="008357B8" w:rsidRPr="0055537D" w:rsidRDefault="008357B8" w:rsidP="008357B8">
            <w:pPr>
              <w:pStyle w:val="tabletextslim"/>
              <w:spacing w:before="33"/>
              <w:ind w:right="380"/>
              <w:rPr>
                <w:sz w:val="20"/>
                <w:szCs w:val="20"/>
              </w:rPr>
            </w:pPr>
            <w:r w:rsidRPr="0055537D">
              <w:rPr>
                <w:sz w:val="20"/>
                <w:szCs w:val="20"/>
              </w:rPr>
              <w:t>11,442</w:t>
            </w:r>
          </w:p>
        </w:tc>
        <w:tc>
          <w:tcPr>
            <w:tcW w:w="1276" w:type="dxa"/>
            <w:tcBorders>
              <w:top w:val="nil"/>
              <w:left w:val="nil"/>
              <w:bottom w:val="nil"/>
              <w:right w:val="nil"/>
            </w:tcBorders>
            <w:shd w:val="clear" w:color="auto" w:fill="FFFFFF" w:themeFill="background2"/>
          </w:tcPr>
          <w:p w14:paraId="0A672A58" w14:textId="77777777" w:rsidR="008357B8" w:rsidRPr="0055537D" w:rsidRDefault="008357B8" w:rsidP="008357B8">
            <w:pPr>
              <w:pStyle w:val="tabletextslim"/>
              <w:spacing w:before="33"/>
              <w:ind w:right="380"/>
              <w:rPr>
                <w:sz w:val="20"/>
                <w:szCs w:val="20"/>
              </w:rPr>
            </w:pPr>
            <w:r w:rsidRPr="0055537D">
              <w:rPr>
                <w:sz w:val="20"/>
                <w:szCs w:val="20"/>
              </w:rPr>
              <w:t>7,539</w:t>
            </w:r>
          </w:p>
        </w:tc>
        <w:tc>
          <w:tcPr>
            <w:tcW w:w="1276" w:type="dxa"/>
            <w:tcBorders>
              <w:top w:val="nil"/>
              <w:left w:val="nil"/>
              <w:bottom w:val="nil"/>
              <w:right w:val="nil"/>
            </w:tcBorders>
            <w:shd w:val="clear" w:color="auto" w:fill="FFFFFF" w:themeFill="background2"/>
          </w:tcPr>
          <w:p w14:paraId="32D01F3A" w14:textId="77777777" w:rsidR="008357B8" w:rsidRPr="0055537D" w:rsidRDefault="008357B8" w:rsidP="008357B8">
            <w:pPr>
              <w:pStyle w:val="tabletextslim"/>
              <w:spacing w:before="33"/>
              <w:ind w:right="380"/>
              <w:rPr>
                <w:sz w:val="20"/>
                <w:szCs w:val="20"/>
              </w:rPr>
            </w:pPr>
            <w:r w:rsidRPr="0055537D">
              <w:rPr>
                <w:sz w:val="20"/>
                <w:szCs w:val="20"/>
              </w:rPr>
              <w:t>-34.1</w:t>
            </w:r>
          </w:p>
        </w:tc>
      </w:tr>
      <w:tr w:rsidR="008357B8" w:rsidRPr="0055537D" w14:paraId="7D488256" w14:textId="77777777" w:rsidTr="009C45FD">
        <w:tc>
          <w:tcPr>
            <w:tcW w:w="1242" w:type="dxa"/>
            <w:tcBorders>
              <w:top w:val="nil"/>
              <w:left w:val="nil"/>
              <w:bottom w:val="nil"/>
              <w:right w:val="nil"/>
            </w:tcBorders>
            <w:shd w:val="clear" w:color="auto" w:fill="E5E5E5" w:themeFill="background1" w:themeFillTint="33"/>
          </w:tcPr>
          <w:p w14:paraId="5020C875" w14:textId="77777777" w:rsidR="008357B8" w:rsidRPr="0055537D" w:rsidRDefault="008357B8" w:rsidP="008357B8">
            <w:pPr>
              <w:pStyle w:val="tabletextslim"/>
              <w:spacing w:before="33"/>
              <w:ind w:right="93"/>
              <w:jc w:val="left"/>
              <w:rPr>
                <w:sz w:val="20"/>
                <w:szCs w:val="20"/>
              </w:rPr>
            </w:pPr>
            <w:r w:rsidRPr="0055537D">
              <w:rPr>
                <w:sz w:val="20"/>
                <w:szCs w:val="20"/>
              </w:rPr>
              <w:t>Year 2</w:t>
            </w:r>
          </w:p>
        </w:tc>
        <w:tc>
          <w:tcPr>
            <w:tcW w:w="1279" w:type="dxa"/>
            <w:tcBorders>
              <w:top w:val="nil"/>
              <w:left w:val="nil"/>
              <w:bottom w:val="nil"/>
              <w:right w:val="nil"/>
            </w:tcBorders>
            <w:shd w:val="clear" w:color="auto" w:fill="E5E5E5" w:themeFill="background1" w:themeFillTint="33"/>
          </w:tcPr>
          <w:p w14:paraId="14B70626" w14:textId="77777777" w:rsidR="008357B8" w:rsidRPr="0055537D" w:rsidRDefault="008357B8" w:rsidP="008357B8">
            <w:pPr>
              <w:pStyle w:val="tabletextslim"/>
              <w:spacing w:before="33"/>
              <w:ind w:right="457"/>
              <w:rPr>
                <w:sz w:val="20"/>
                <w:szCs w:val="20"/>
              </w:rPr>
            </w:pPr>
            <w:r w:rsidRPr="0055537D">
              <w:rPr>
                <w:sz w:val="20"/>
                <w:szCs w:val="20"/>
              </w:rPr>
              <w:t>2,332</w:t>
            </w:r>
          </w:p>
        </w:tc>
        <w:tc>
          <w:tcPr>
            <w:tcW w:w="1275" w:type="dxa"/>
            <w:tcBorders>
              <w:top w:val="nil"/>
              <w:left w:val="nil"/>
              <w:bottom w:val="nil"/>
              <w:right w:val="nil"/>
            </w:tcBorders>
            <w:shd w:val="clear" w:color="auto" w:fill="E5E5E5" w:themeFill="background1" w:themeFillTint="33"/>
          </w:tcPr>
          <w:p w14:paraId="4C73AAE2" w14:textId="77777777" w:rsidR="008357B8" w:rsidRPr="0055537D" w:rsidRDefault="008357B8" w:rsidP="008357B8">
            <w:pPr>
              <w:pStyle w:val="tabletextslim"/>
              <w:spacing w:before="33"/>
              <w:ind w:right="380"/>
              <w:rPr>
                <w:sz w:val="20"/>
                <w:szCs w:val="20"/>
              </w:rPr>
            </w:pPr>
            <w:r w:rsidRPr="0055537D">
              <w:rPr>
                <w:sz w:val="20"/>
                <w:szCs w:val="20"/>
              </w:rPr>
              <w:t>1,890</w:t>
            </w:r>
          </w:p>
        </w:tc>
        <w:tc>
          <w:tcPr>
            <w:tcW w:w="1276" w:type="dxa"/>
            <w:tcBorders>
              <w:top w:val="nil"/>
              <w:left w:val="nil"/>
              <w:bottom w:val="nil"/>
              <w:right w:val="nil"/>
            </w:tcBorders>
            <w:shd w:val="clear" w:color="auto" w:fill="E5E5E5" w:themeFill="background1" w:themeFillTint="33"/>
          </w:tcPr>
          <w:p w14:paraId="0C6F7A18" w14:textId="77777777" w:rsidR="008357B8" w:rsidRPr="0055537D" w:rsidRDefault="008357B8" w:rsidP="008357B8">
            <w:pPr>
              <w:pStyle w:val="tabletextslim"/>
              <w:spacing w:before="33"/>
              <w:ind w:right="380"/>
              <w:rPr>
                <w:sz w:val="20"/>
                <w:szCs w:val="20"/>
              </w:rPr>
            </w:pPr>
            <w:r w:rsidRPr="0055537D">
              <w:rPr>
                <w:sz w:val="20"/>
                <w:szCs w:val="20"/>
              </w:rPr>
              <w:t>-19.0</w:t>
            </w:r>
          </w:p>
        </w:tc>
        <w:tc>
          <w:tcPr>
            <w:tcW w:w="1415" w:type="dxa"/>
            <w:tcBorders>
              <w:top w:val="nil"/>
              <w:left w:val="nil"/>
              <w:bottom w:val="nil"/>
              <w:right w:val="nil"/>
            </w:tcBorders>
            <w:shd w:val="clear" w:color="auto" w:fill="E5E5E5" w:themeFill="background1" w:themeFillTint="33"/>
          </w:tcPr>
          <w:p w14:paraId="2BABA3F7" w14:textId="77777777" w:rsidR="008357B8" w:rsidRPr="0055537D" w:rsidRDefault="008357B8" w:rsidP="008357B8">
            <w:pPr>
              <w:pStyle w:val="tabletextslim"/>
              <w:spacing w:before="33"/>
              <w:ind w:right="380"/>
              <w:rPr>
                <w:sz w:val="20"/>
                <w:szCs w:val="20"/>
              </w:rPr>
            </w:pPr>
            <w:r w:rsidRPr="0055537D">
              <w:rPr>
                <w:sz w:val="20"/>
                <w:szCs w:val="20"/>
              </w:rPr>
              <w:t>8,524</w:t>
            </w:r>
          </w:p>
        </w:tc>
        <w:tc>
          <w:tcPr>
            <w:tcW w:w="1276" w:type="dxa"/>
            <w:tcBorders>
              <w:top w:val="nil"/>
              <w:left w:val="nil"/>
              <w:bottom w:val="nil"/>
              <w:right w:val="nil"/>
            </w:tcBorders>
            <w:shd w:val="clear" w:color="auto" w:fill="E5E5E5" w:themeFill="background1" w:themeFillTint="33"/>
          </w:tcPr>
          <w:p w14:paraId="72BE0BE0" w14:textId="77777777" w:rsidR="008357B8" w:rsidRPr="0055537D" w:rsidRDefault="008357B8" w:rsidP="008357B8">
            <w:pPr>
              <w:pStyle w:val="tabletextslim"/>
              <w:spacing w:before="33"/>
              <w:ind w:right="380"/>
              <w:rPr>
                <w:sz w:val="20"/>
                <w:szCs w:val="20"/>
              </w:rPr>
            </w:pPr>
            <w:r w:rsidRPr="0055537D">
              <w:rPr>
                <w:sz w:val="20"/>
                <w:szCs w:val="20"/>
              </w:rPr>
              <w:t>6,971</w:t>
            </w:r>
          </w:p>
        </w:tc>
        <w:tc>
          <w:tcPr>
            <w:tcW w:w="1276" w:type="dxa"/>
            <w:tcBorders>
              <w:top w:val="nil"/>
              <w:left w:val="nil"/>
              <w:bottom w:val="nil"/>
              <w:right w:val="nil"/>
            </w:tcBorders>
            <w:shd w:val="clear" w:color="auto" w:fill="E5E5E5" w:themeFill="background1" w:themeFillTint="33"/>
          </w:tcPr>
          <w:p w14:paraId="7FDA85B6" w14:textId="77777777" w:rsidR="008357B8" w:rsidRPr="0055537D" w:rsidRDefault="008357B8" w:rsidP="008357B8">
            <w:pPr>
              <w:pStyle w:val="tabletextslim"/>
              <w:spacing w:before="33"/>
              <w:ind w:right="380"/>
              <w:rPr>
                <w:sz w:val="20"/>
                <w:szCs w:val="20"/>
              </w:rPr>
            </w:pPr>
            <w:r w:rsidRPr="0055537D">
              <w:rPr>
                <w:sz w:val="20"/>
                <w:szCs w:val="20"/>
              </w:rPr>
              <w:t>-18.2</w:t>
            </w:r>
          </w:p>
        </w:tc>
      </w:tr>
      <w:tr w:rsidR="008357B8" w:rsidRPr="0055537D" w14:paraId="226A34AF" w14:textId="77777777" w:rsidTr="009C45FD">
        <w:tc>
          <w:tcPr>
            <w:tcW w:w="1242" w:type="dxa"/>
            <w:tcBorders>
              <w:top w:val="nil"/>
              <w:left w:val="nil"/>
              <w:bottom w:val="single" w:sz="4" w:space="0" w:color="auto"/>
              <w:right w:val="nil"/>
            </w:tcBorders>
            <w:shd w:val="clear" w:color="auto" w:fill="FFFFFF" w:themeFill="background2"/>
          </w:tcPr>
          <w:p w14:paraId="61BD1ABF" w14:textId="77777777" w:rsidR="008357B8" w:rsidRPr="0055537D" w:rsidRDefault="008357B8" w:rsidP="008357B8">
            <w:pPr>
              <w:pStyle w:val="tabletextslim"/>
              <w:spacing w:before="33"/>
              <w:ind w:right="93"/>
              <w:jc w:val="left"/>
              <w:rPr>
                <w:sz w:val="20"/>
                <w:szCs w:val="20"/>
              </w:rPr>
            </w:pPr>
            <w:r w:rsidRPr="0055537D">
              <w:rPr>
                <w:sz w:val="20"/>
                <w:szCs w:val="20"/>
              </w:rPr>
              <w:t>Year 3</w:t>
            </w:r>
          </w:p>
        </w:tc>
        <w:tc>
          <w:tcPr>
            <w:tcW w:w="1279" w:type="dxa"/>
            <w:tcBorders>
              <w:top w:val="nil"/>
              <w:left w:val="nil"/>
              <w:bottom w:val="single" w:sz="4" w:space="0" w:color="auto"/>
              <w:right w:val="nil"/>
            </w:tcBorders>
            <w:shd w:val="clear" w:color="auto" w:fill="FFFFFF" w:themeFill="background2"/>
          </w:tcPr>
          <w:p w14:paraId="2EB7F4D1" w14:textId="77777777" w:rsidR="008357B8" w:rsidRPr="0055537D" w:rsidRDefault="008357B8" w:rsidP="008357B8">
            <w:pPr>
              <w:pStyle w:val="tabletextslim"/>
              <w:spacing w:before="33"/>
              <w:ind w:right="457"/>
              <w:rPr>
                <w:sz w:val="20"/>
                <w:szCs w:val="20"/>
              </w:rPr>
            </w:pPr>
            <w:r w:rsidRPr="0055537D">
              <w:rPr>
                <w:sz w:val="20"/>
                <w:szCs w:val="20"/>
              </w:rPr>
              <w:t>2,136</w:t>
            </w:r>
          </w:p>
        </w:tc>
        <w:tc>
          <w:tcPr>
            <w:tcW w:w="1275" w:type="dxa"/>
            <w:tcBorders>
              <w:top w:val="nil"/>
              <w:left w:val="nil"/>
              <w:bottom w:val="single" w:sz="4" w:space="0" w:color="auto"/>
              <w:right w:val="nil"/>
            </w:tcBorders>
            <w:shd w:val="clear" w:color="auto" w:fill="FFFFFF" w:themeFill="background2"/>
          </w:tcPr>
          <w:p w14:paraId="6237D130" w14:textId="77777777" w:rsidR="008357B8" w:rsidRPr="0055537D" w:rsidRDefault="008357B8" w:rsidP="008357B8">
            <w:pPr>
              <w:pStyle w:val="tabletextslim"/>
              <w:spacing w:before="33"/>
              <w:ind w:right="380"/>
              <w:rPr>
                <w:sz w:val="20"/>
                <w:szCs w:val="20"/>
              </w:rPr>
            </w:pPr>
            <w:r w:rsidRPr="0055537D">
              <w:rPr>
                <w:sz w:val="20"/>
                <w:szCs w:val="20"/>
              </w:rPr>
              <w:t>1,794</w:t>
            </w:r>
          </w:p>
        </w:tc>
        <w:tc>
          <w:tcPr>
            <w:tcW w:w="1276" w:type="dxa"/>
            <w:tcBorders>
              <w:top w:val="nil"/>
              <w:left w:val="nil"/>
              <w:bottom w:val="single" w:sz="4" w:space="0" w:color="auto"/>
              <w:right w:val="nil"/>
            </w:tcBorders>
            <w:shd w:val="clear" w:color="auto" w:fill="FFFFFF" w:themeFill="background2"/>
          </w:tcPr>
          <w:p w14:paraId="1261016C" w14:textId="77777777" w:rsidR="008357B8" w:rsidRPr="0055537D" w:rsidRDefault="008357B8" w:rsidP="008357B8">
            <w:pPr>
              <w:pStyle w:val="tabletextslim"/>
              <w:spacing w:before="33"/>
              <w:ind w:right="380"/>
              <w:rPr>
                <w:sz w:val="20"/>
                <w:szCs w:val="20"/>
              </w:rPr>
            </w:pPr>
            <w:r w:rsidRPr="0055537D">
              <w:rPr>
                <w:sz w:val="20"/>
                <w:szCs w:val="20"/>
              </w:rPr>
              <w:t>-16.0</w:t>
            </w:r>
          </w:p>
        </w:tc>
        <w:tc>
          <w:tcPr>
            <w:tcW w:w="1415" w:type="dxa"/>
            <w:tcBorders>
              <w:top w:val="nil"/>
              <w:left w:val="nil"/>
              <w:bottom w:val="single" w:sz="4" w:space="0" w:color="auto"/>
              <w:right w:val="nil"/>
            </w:tcBorders>
            <w:shd w:val="clear" w:color="auto" w:fill="FFFFFF" w:themeFill="background2"/>
          </w:tcPr>
          <w:p w14:paraId="2E803DB0" w14:textId="77777777" w:rsidR="008357B8" w:rsidRPr="0055537D" w:rsidRDefault="008357B8" w:rsidP="008357B8">
            <w:pPr>
              <w:pStyle w:val="tabletextslim"/>
              <w:spacing w:before="33"/>
              <w:ind w:right="380"/>
              <w:rPr>
                <w:sz w:val="20"/>
                <w:szCs w:val="20"/>
              </w:rPr>
            </w:pPr>
            <w:r w:rsidRPr="0055537D">
              <w:rPr>
                <w:sz w:val="20"/>
                <w:szCs w:val="20"/>
              </w:rPr>
              <w:t>7,029</w:t>
            </w:r>
          </w:p>
        </w:tc>
        <w:tc>
          <w:tcPr>
            <w:tcW w:w="1276" w:type="dxa"/>
            <w:tcBorders>
              <w:top w:val="nil"/>
              <w:left w:val="nil"/>
              <w:bottom w:val="single" w:sz="4" w:space="0" w:color="auto"/>
              <w:right w:val="nil"/>
            </w:tcBorders>
            <w:shd w:val="clear" w:color="auto" w:fill="FFFFFF" w:themeFill="background2"/>
          </w:tcPr>
          <w:p w14:paraId="08CB5E49" w14:textId="77777777" w:rsidR="008357B8" w:rsidRPr="0055537D" w:rsidRDefault="008357B8" w:rsidP="008357B8">
            <w:pPr>
              <w:pStyle w:val="tabletextslim"/>
              <w:spacing w:before="33"/>
              <w:ind w:right="380"/>
              <w:rPr>
                <w:sz w:val="20"/>
                <w:szCs w:val="20"/>
              </w:rPr>
            </w:pPr>
            <w:r w:rsidRPr="0055537D">
              <w:rPr>
                <w:sz w:val="20"/>
                <w:szCs w:val="20"/>
              </w:rPr>
              <w:t>7,177</w:t>
            </w:r>
          </w:p>
        </w:tc>
        <w:tc>
          <w:tcPr>
            <w:tcW w:w="1276" w:type="dxa"/>
            <w:tcBorders>
              <w:top w:val="nil"/>
              <w:left w:val="nil"/>
              <w:bottom w:val="single" w:sz="4" w:space="0" w:color="auto"/>
              <w:right w:val="nil"/>
            </w:tcBorders>
            <w:shd w:val="clear" w:color="auto" w:fill="FFFFFF" w:themeFill="background2"/>
          </w:tcPr>
          <w:p w14:paraId="7CECC5B9" w14:textId="77777777" w:rsidR="008357B8" w:rsidRPr="0055537D" w:rsidRDefault="008357B8" w:rsidP="008357B8">
            <w:pPr>
              <w:pStyle w:val="tabletextslim"/>
              <w:spacing w:before="33"/>
              <w:ind w:right="380"/>
              <w:rPr>
                <w:sz w:val="20"/>
                <w:szCs w:val="20"/>
              </w:rPr>
            </w:pPr>
            <w:r w:rsidRPr="0055537D">
              <w:rPr>
                <w:sz w:val="20"/>
                <w:szCs w:val="20"/>
              </w:rPr>
              <w:t>2.1</w:t>
            </w:r>
          </w:p>
        </w:tc>
      </w:tr>
    </w:tbl>
    <w:p w14:paraId="5F73D565" w14:textId="77777777" w:rsidR="008357B8" w:rsidRDefault="008357B8" w:rsidP="0033478B">
      <w:pPr>
        <w:pStyle w:val="Source"/>
      </w:pPr>
      <w:r w:rsidRPr="002047A2">
        <w:rPr>
          <w:b/>
        </w:rPr>
        <w:t>Source:</w:t>
      </w:r>
      <w:r>
        <w:t xml:space="preserve"> </w:t>
      </w:r>
      <w:r w:rsidRPr="004D4671">
        <w:t>Departmental annual reports, 2009-10 to 2014-15.</w:t>
      </w:r>
      <w:r>
        <w:t xml:space="preserve"> </w:t>
      </w:r>
    </w:p>
    <w:p w14:paraId="79CE69E4" w14:textId="77777777" w:rsidR="008357B8" w:rsidRPr="0099598E" w:rsidRDefault="008357B8" w:rsidP="0099598E">
      <w:pPr>
        <w:pStyle w:val="Heading4"/>
        <w:rPr>
          <w:rStyle w:val="Heading4Char"/>
          <w:b/>
        </w:rPr>
      </w:pPr>
      <w:r w:rsidRPr="0099598E">
        <w:rPr>
          <w:rStyle w:val="Heading4Char"/>
          <w:b/>
          <w:bCs/>
          <w:iCs/>
        </w:rPr>
        <w:t>Expenditure</w:t>
      </w:r>
      <w:r w:rsidRPr="0099598E">
        <w:rPr>
          <w:rStyle w:val="Heading4Char"/>
          <w:b/>
        </w:rPr>
        <w:t xml:space="preserve"> on JSA</w:t>
      </w:r>
    </w:p>
    <w:p w14:paraId="7EC146BC" w14:textId="77777777" w:rsidR="008357B8" w:rsidRDefault="008357B8" w:rsidP="008357B8">
      <w:r>
        <w:t xml:space="preserve">Less funds were spent overall </w:t>
      </w:r>
      <w:r w:rsidR="00962A13">
        <w:t xml:space="preserve">in </w:t>
      </w:r>
      <w:r>
        <w:t>JSA 2012 than JSA 2009, with expenditure for JSA 2012 approximately 11 per cent l</w:t>
      </w:r>
      <w:r w:rsidR="00331592">
        <w:t>ess than for JSA 2009 (Table 3.9</w:t>
      </w:r>
      <w:r>
        <w:t>).</w:t>
      </w:r>
    </w:p>
    <w:p w14:paraId="57C3A4B0" w14:textId="77777777" w:rsidR="008357B8" w:rsidRPr="008D1D34" w:rsidRDefault="008357B8" w:rsidP="008357B8">
      <w:pPr>
        <w:pStyle w:val="Tableforcontents"/>
        <w:rPr>
          <w:rFonts w:eastAsiaTheme="majorEastAsia"/>
        </w:rPr>
      </w:pPr>
      <w:bookmarkStart w:id="233" w:name="_Toc22543981"/>
      <w:r w:rsidRPr="008D1D34">
        <w:rPr>
          <w:rFonts w:eastAsiaTheme="majorEastAsia"/>
        </w:rPr>
        <w:t xml:space="preserve">Table </w:t>
      </w:r>
      <w:r w:rsidR="00331592">
        <w:rPr>
          <w:rFonts w:eastAsiaTheme="majorEastAsia"/>
        </w:rPr>
        <w:t>3.9</w:t>
      </w:r>
      <w:r w:rsidRPr="008D1D34">
        <w:rPr>
          <w:rFonts w:eastAsiaTheme="majorEastAsia"/>
        </w:rPr>
        <w:t>:</w:t>
      </w:r>
      <w:r w:rsidR="003C29A5">
        <w:rPr>
          <w:rFonts w:eastAsiaTheme="majorEastAsia"/>
        </w:rPr>
        <w:t xml:space="preserve"> </w:t>
      </w:r>
      <w:r>
        <w:rPr>
          <w:rFonts w:eastAsiaTheme="majorEastAsia"/>
        </w:rPr>
        <w:t>Expenditure on JSA by year of contract ($ million)</w:t>
      </w:r>
      <w:bookmarkEnd w:id="2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3027"/>
        <w:gridCol w:w="3025"/>
      </w:tblGrid>
      <w:tr w:rsidR="008357B8" w:rsidRPr="00833E4E" w14:paraId="12EDAB97" w14:textId="77777777" w:rsidTr="009C45FD">
        <w:trPr>
          <w:trHeight w:hRule="exact" w:val="340"/>
          <w:tblHeader/>
        </w:trPr>
        <w:tc>
          <w:tcPr>
            <w:tcW w:w="3081" w:type="dxa"/>
            <w:shd w:val="clear" w:color="auto" w:fill="1E3D6B"/>
            <w:vAlign w:val="center"/>
          </w:tcPr>
          <w:p w14:paraId="0791E0AA" w14:textId="77777777" w:rsidR="008357B8" w:rsidRPr="00833E4E" w:rsidRDefault="008357B8" w:rsidP="008357B8">
            <w:pPr>
              <w:rPr>
                <w:rFonts w:cstheme="minorHAnsi"/>
                <w:b/>
                <w:color w:val="FFFFFF" w:themeColor="background2"/>
                <w:sz w:val="20"/>
                <w:szCs w:val="20"/>
              </w:rPr>
            </w:pPr>
            <w:bookmarkStart w:id="234" w:name="Title_39"/>
            <w:bookmarkEnd w:id="234"/>
            <w:r w:rsidRPr="00833E4E">
              <w:rPr>
                <w:rFonts w:cstheme="minorHAnsi"/>
                <w:b/>
                <w:color w:val="FFFFFF" w:themeColor="background2"/>
                <w:sz w:val="20"/>
                <w:szCs w:val="20"/>
              </w:rPr>
              <w:t>Year of contract</w:t>
            </w:r>
          </w:p>
        </w:tc>
        <w:tc>
          <w:tcPr>
            <w:tcW w:w="3081" w:type="dxa"/>
            <w:shd w:val="clear" w:color="auto" w:fill="1E3D6B"/>
            <w:vAlign w:val="center"/>
          </w:tcPr>
          <w:p w14:paraId="02647C61" w14:textId="77777777" w:rsidR="008357B8" w:rsidRPr="00833E4E" w:rsidRDefault="008357B8" w:rsidP="008357B8">
            <w:pPr>
              <w:jc w:val="center"/>
              <w:rPr>
                <w:rFonts w:cstheme="minorHAnsi"/>
                <w:b/>
                <w:color w:val="FFFFFF" w:themeColor="background2"/>
                <w:sz w:val="20"/>
                <w:szCs w:val="20"/>
              </w:rPr>
            </w:pPr>
            <w:r w:rsidRPr="00833E4E">
              <w:rPr>
                <w:rFonts w:cstheme="minorHAnsi"/>
                <w:b/>
                <w:color w:val="FFFFFF" w:themeColor="background2"/>
                <w:sz w:val="20"/>
                <w:szCs w:val="20"/>
              </w:rPr>
              <w:t>JSA 2009</w:t>
            </w:r>
          </w:p>
        </w:tc>
        <w:tc>
          <w:tcPr>
            <w:tcW w:w="3081" w:type="dxa"/>
            <w:shd w:val="clear" w:color="auto" w:fill="1E3D6B"/>
            <w:vAlign w:val="center"/>
          </w:tcPr>
          <w:p w14:paraId="64044591" w14:textId="77777777" w:rsidR="008357B8" w:rsidRPr="00833E4E" w:rsidRDefault="008357B8" w:rsidP="008357B8">
            <w:pPr>
              <w:jc w:val="center"/>
              <w:rPr>
                <w:rFonts w:cstheme="minorHAnsi"/>
                <w:b/>
                <w:color w:val="FFFFFF" w:themeColor="background2"/>
                <w:sz w:val="20"/>
                <w:szCs w:val="20"/>
              </w:rPr>
            </w:pPr>
            <w:r w:rsidRPr="00833E4E">
              <w:rPr>
                <w:rFonts w:cstheme="minorHAnsi"/>
                <w:b/>
                <w:color w:val="FFFFFF" w:themeColor="background2"/>
                <w:sz w:val="20"/>
                <w:szCs w:val="20"/>
              </w:rPr>
              <w:t>JSA 2012</w:t>
            </w:r>
          </w:p>
        </w:tc>
      </w:tr>
      <w:tr w:rsidR="008357B8" w14:paraId="11D8DE9B" w14:textId="77777777" w:rsidTr="009C45FD">
        <w:trPr>
          <w:trHeight w:hRule="exact" w:val="340"/>
        </w:trPr>
        <w:tc>
          <w:tcPr>
            <w:tcW w:w="3081" w:type="dxa"/>
            <w:vAlign w:val="center"/>
          </w:tcPr>
          <w:p w14:paraId="42DC7727" w14:textId="77777777" w:rsidR="008357B8" w:rsidRPr="00384298" w:rsidRDefault="008357B8" w:rsidP="008357B8">
            <w:pPr>
              <w:rPr>
                <w:sz w:val="20"/>
                <w:szCs w:val="20"/>
              </w:rPr>
            </w:pPr>
            <w:r w:rsidRPr="00384298">
              <w:rPr>
                <w:sz w:val="20"/>
                <w:szCs w:val="20"/>
              </w:rPr>
              <w:t>Year 1</w:t>
            </w:r>
          </w:p>
        </w:tc>
        <w:tc>
          <w:tcPr>
            <w:tcW w:w="3081" w:type="dxa"/>
            <w:vAlign w:val="center"/>
          </w:tcPr>
          <w:p w14:paraId="1ED3EEF5" w14:textId="77777777" w:rsidR="008357B8" w:rsidRPr="00384298" w:rsidRDefault="008357B8" w:rsidP="008357B8">
            <w:pPr>
              <w:ind w:right="934"/>
              <w:jc w:val="right"/>
              <w:rPr>
                <w:sz w:val="20"/>
                <w:szCs w:val="20"/>
              </w:rPr>
            </w:pPr>
            <w:r w:rsidRPr="00384298">
              <w:rPr>
                <w:sz w:val="20"/>
                <w:szCs w:val="20"/>
              </w:rPr>
              <w:t>1,353.746</w:t>
            </w:r>
          </w:p>
        </w:tc>
        <w:tc>
          <w:tcPr>
            <w:tcW w:w="3081" w:type="dxa"/>
            <w:vAlign w:val="center"/>
          </w:tcPr>
          <w:p w14:paraId="4382F409" w14:textId="77777777" w:rsidR="008357B8" w:rsidRPr="00384298" w:rsidRDefault="008357B8" w:rsidP="008357B8">
            <w:pPr>
              <w:tabs>
                <w:tab w:val="left" w:pos="1474"/>
              </w:tabs>
              <w:ind w:right="903"/>
              <w:jc w:val="right"/>
              <w:rPr>
                <w:sz w:val="20"/>
                <w:szCs w:val="20"/>
              </w:rPr>
            </w:pPr>
            <w:r w:rsidRPr="00384298">
              <w:rPr>
                <w:sz w:val="20"/>
                <w:szCs w:val="20"/>
              </w:rPr>
              <w:t>1,258.137</w:t>
            </w:r>
          </w:p>
        </w:tc>
      </w:tr>
      <w:tr w:rsidR="008357B8" w14:paraId="193C5176" w14:textId="77777777" w:rsidTr="009C45FD">
        <w:trPr>
          <w:trHeight w:hRule="exact" w:val="340"/>
        </w:trPr>
        <w:tc>
          <w:tcPr>
            <w:tcW w:w="3081" w:type="dxa"/>
            <w:shd w:val="clear" w:color="auto" w:fill="E5E5E5" w:themeFill="background1" w:themeFillTint="33"/>
            <w:vAlign w:val="center"/>
          </w:tcPr>
          <w:p w14:paraId="47E091E9" w14:textId="77777777" w:rsidR="008357B8" w:rsidRPr="00384298" w:rsidRDefault="008357B8" w:rsidP="008357B8">
            <w:pPr>
              <w:rPr>
                <w:sz w:val="20"/>
                <w:szCs w:val="20"/>
              </w:rPr>
            </w:pPr>
            <w:r w:rsidRPr="00384298">
              <w:rPr>
                <w:sz w:val="20"/>
                <w:szCs w:val="20"/>
              </w:rPr>
              <w:t>Year 2</w:t>
            </w:r>
          </w:p>
        </w:tc>
        <w:tc>
          <w:tcPr>
            <w:tcW w:w="3081" w:type="dxa"/>
            <w:shd w:val="clear" w:color="auto" w:fill="E5E5E5" w:themeFill="background1" w:themeFillTint="33"/>
            <w:vAlign w:val="center"/>
          </w:tcPr>
          <w:p w14:paraId="0D4A7AEE" w14:textId="77777777" w:rsidR="008357B8" w:rsidRPr="00384298" w:rsidRDefault="008357B8" w:rsidP="008357B8">
            <w:pPr>
              <w:ind w:right="934"/>
              <w:jc w:val="right"/>
              <w:rPr>
                <w:sz w:val="20"/>
                <w:szCs w:val="20"/>
              </w:rPr>
            </w:pPr>
            <w:r w:rsidRPr="00384298">
              <w:rPr>
                <w:sz w:val="20"/>
                <w:szCs w:val="20"/>
              </w:rPr>
              <w:t>1,540.453</w:t>
            </w:r>
          </w:p>
        </w:tc>
        <w:tc>
          <w:tcPr>
            <w:tcW w:w="3081" w:type="dxa"/>
            <w:shd w:val="clear" w:color="auto" w:fill="E5E5E5" w:themeFill="background1" w:themeFillTint="33"/>
            <w:vAlign w:val="center"/>
          </w:tcPr>
          <w:p w14:paraId="7D5AA36C" w14:textId="77777777" w:rsidR="008357B8" w:rsidRPr="00384298" w:rsidRDefault="008357B8" w:rsidP="008357B8">
            <w:pPr>
              <w:tabs>
                <w:tab w:val="left" w:pos="1474"/>
              </w:tabs>
              <w:ind w:right="903"/>
              <w:jc w:val="right"/>
              <w:rPr>
                <w:sz w:val="20"/>
                <w:szCs w:val="20"/>
              </w:rPr>
            </w:pPr>
            <w:r w:rsidRPr="00384298">
              <w:rPr>
                <w:sz w:val="20"/>
                <w:szCs w:val="20"/>
              </w:rPr>
              <w:t>1,241.173</w:t>
            </w:r>
          </w:p>
        </w:tc>
      </w:tr>
      <w:tr w:rsidR="008357B8" w14:paraId="513BC105" w14:textId="77777777" w:rsidTr="009C45FD">
        <w:trPr>
          <w:trHeight w:hRule="exact" w:val="340"/>
        </w:trPr>
        <w:tc>
          <w:tcPr>
            <w:tcW w:w="3081" w:type="dxa"/>
            <w:vAlign w:val="center"/>
          </w:tcPr>
          <w:p w14:paraId="3A0DCCA5" w14:textId="77777777" w:rsidR="008357B8" w:rsidRPr="00384298" w:rsidRDefault="008357B8" w:rsidP="008357B8">
            <w:pPr>
              <w:rPr>
                <w:sz w:val="20"/>
                <w:szCs w:val="20"/>
              </w:rPr>
            </w:pPr>
            <w:r w:rsidRPr="00384298">
              <w:rPr>
                <w:sz w:val="20"/>
                <w:szCs w:val="20"/>
              </w:rPr>
              <w:t>Year 3</w:t>
            </w:r>
          </w:p>
        </w:tc>
        <w:tc>
          <w:tcPr>
            <w:tcW w:w="3081" w:type="dxa"/>
            <w:vAlign w:val="center"/>
          </w:tcPr>
          <w:p w14:paraId="3E70B94C" w14:textId="77777777" w:rsidR="008357B8" w:rsidRPr="00384298" w:rsidRDefault="008357B8" w:rsidP="008357B8">
            <w:pPr>
              <w:ind w:right="934"/>
              <w:jc w:val="right"/>
              <w:rPr>
                <w:sz w:val="20"/>
                <w:szCs w:val="20"/>
              </w:rPr>
            </w:pPr>
            <w:r w:rsidRPr="00384298">
              <w:rPr>
                <w:sz w:val="20"/>
                <w:szCs w:val="20"/>
              </w:rPr>
              <w:t>1,467.680</w:t>
            </w:r>
          </w:p>
        </w:tc>
        <w:tc>
          <w:tcPr>
            <w:tcW w:w="3081" w:type="dxa"/>
            <w:vAlign w:val="center"/>
          </w:tcPr>
          <w:p w14:paraId="05816CE8" w14:textId="77777777" w:rsidR="008357B8" w:rsidRPr="00384298" w:rsidRDefault="008357B8" w:rsidP="008357B8">
            <w:pPr>
              <w:tabs>
                <w:tab w:val="left" w:pos="1474"/>
              </w:tabs>
              <w:ind w:right="903"/>
              <w:jc w:val="right"/>
              <w:rPr>
                <w:sz w:val="20"/>
                <w:szCs w:val="20"/>
              </w:rPr>
            </w:pPr>
            <w:r w:rsidRPr="00384298">
              <w:rPr>
                <w:sz w:val="20"/>
                <w:szCs w:val="20"/>
              </w:rPr>
              <w:t>1,362.855</w:t>
            </w:r>
          </w:p>
        </w:tc>
      </w:tr>
      <w:tr w:rsidR="008357B8" w:rsidRPr="009C45FD" w14:paraId="15DFC623" w14:textId="77777777" w:rsidTr="009C45FD">
        <w:trPr>
          <w:trHeight w:hRule="exact" w:val="340"/>
        </w:trPr>
        <w:tc>
          <w:tcPr>
            <w:tcW w:w="3081" w:type="dxa"/>
            <w:shd w:val="clear" w:color="auto" w:fill="8EAEDE"/>
            <w:vAlign w:val="center"/>
          </w:tcPr>
          <w:p w14:paraId="7C68B441" w14:textId="77777777" w:rsidR="008357B8" w:rsidRPr="009C45FD" w:rsidRDefault="008357B8" w:rsidP="008357B8">
            <w:pPr>
              <w:rPr>
                <w:sz w:val="20"/>
                <w:szCs w:val="20"/>
              </w:rPr>
            </w:pPr>
            <w:r w:rsidRPr="009C45FD">
              <w:rPr>
                <w:sz w:val="20"/>
                <w:szCs w:val="20"/>
              </w:rPr>
              <w:t>Total</w:t>
            </w:r>
          </w:p>
        </w:tc>
        <w:tc>
          <w:tcPr>
            <w:tcW w:w="3081" w:type="dxa"/>
            <w:shd w:val="clear" w:color="auto" w:fill="8EAEDE"/>
            <w:vAlign w:val="center"/>
          </w:tcPr>
          <w:p w14:paraId="57D820D7" w14:textId="77777777" w:rsidR="008357B8" w:rsidRPr="009C45FD" w:rsidRDefault="008357B8" w:rsidP="008357B8">
            <w:pPr>
              <w:ind w:right="934"/>
              <w:jc w:val="right"/>
              <w:rPr>
                <w:sz w:val="20"/>
                <w:szCs w:val="20"/>
              </w:rPr>
            </w:pPr>
            <w:r w:rsidRPr="009C45FD">
              <w:rPr>
                <w:sz w:val="20"/>
                <w:szCs w:val="20"/>
              </w:rPr>
              <w:t>4,361.879</w:t>
            </w:r>
          </w:p>
        </w:tc>
        <w:tc>
          <w:tcPr>
            <w:tcW w:w="3081" w:type="dxa"/>
            <w:shd w:val="clear" w:color="auto" w:fill="8EAEDE"/>
            <w:vAlign w:val="center"/>
          </w:tcPr>
          <w:p w14:paraId="1970C26E" w14:textId="77777777" w:rsidR="008357B8" w:rsidRPr="009C45FD" w:rsidRDefault="008357B8" w:rsidP="008357B8">
            <w:pPr>
              <w:tabs>
                <w:tab w:val="left" w:pos="1474"/>
              </w:tabs>
              <w:ind w:right="903"/>
              <w:jc w:val="right"/>
              <w:rPr>
                <w:sz w:val="20"/>
                <w:szCs w:val="20"/>
              </w:rPr>
            </w:pPr>
            <w:r w:rsidRPr="009C45FD">
              <w:rPr>
                <w:sz w:val="20"/>
                <w:szCs w:val="20"/>
              </w:rPr>
              <w:t>3,862.165</w:t>
            </w:r>
          </w:p>
        </w:tc>
      </w:tr>
    </w:tbl>
    <w:p w14:paraId="44C0EDD4" w14:textId="77777777" w:rsidR="008357B8" w:rsidRPr="008D7387" w:rsidRDefault="008357B8" w:rsidP="008D7387">
      <w:pPr>
        <w:pStyle w:val="Notes"/>
        <w:rPr>
          <w:b/>
        </w:rPr>
      </w:pPr>
      <w:r w:rsidRPr="008D7387">
        <w:rPr>
          <w:b/>
        </w:rPr>
        <w:t>Note</w:t>
      </w:r>
      <w:r w:rsidR="001F1B4B" w:rsidRPr="008D7387">
        <w:rPr>
          <w:b/>
        </w:rPr>
        <w:t>s</w:t>
      </w:r>
      <w:r w:rsidR="007E57CD" w:rsidRPr="008D7387">
        <w:rPr>
          <w:b/>
        </w:rPr>
        <w:t>:</w:t>
      </w:r>
    </w:p>
    <w:p w14:paraId="3870B1F0" w14:textId="77777777" w:rsidR="001F1B4B" w:rsidRPr="00E5413A" w:rsidRDefault="008357B8" w:rsidP="00294CB5">
      <w:pPr>
        <w:pStyle w:val="Notesnumbered"/>
        <w:numPr>
          <w:ilvl w:val="0"/>
          <w:numId w:val="230"/>
        </w:numPr>
        <w:ind w:left="709" w:hanging="567"/>
      </w:pPr>
      <w:r w:rsidRPr="00E5413A">
        <w:t>Discrepancies may occur between sums of the component items and totals due to rounding.</w:t>
      </w:r>
    </w:p>
    <w:p w14:paraId="56670872" w14:textId="77777777" w:rsidR="001F1B4B" w:rsidRPr="00E5413A" w:rsidRDefault="008357B8" w:rsidP="00294CB5">
      <w:pPr>
        <w:pStyle w:val="Notesnumbered"/>
        <w:numPr>
          <w:ilvl w:val="0"/>
          <w:numId w:val="230"/>
        </w:numPr>
        <w:ind w:left="709" w:hanging="567"/>
      </w:pPr>
      <w:r w:rsidRPr="00E5413A">
        <w:t xml:space="preserve">The above expenditure includes costs of JSA operation (such as provider service fees, </w:t>
      </w:r>
      <w:r w:rsidR="0093497A" w:rsidRPr="00E5413A">
        <w:t>Employment Pathway Fund (</w:t>
      </w:r>
      <w:r w:rsidRPr="00E5413A">
        <w:t>EPF</w:t>
      </w:r>
      <w:r w:rsidR="0093497A" w:rsidRPr="00E5413A">
        <w:t>)</w:t>
      </w:r>
      <w:r w:rsidRPr="00E5413A">
        <w:t>, job placement and outcome fees) and wage subsidies.</w:t>
      </w:r>
    </w:p>
    <w:p w14:paraId="49BBE976" w14:textId="5113FC9B" w:rsidR="001F1B4B" w:rsidRPr="00E5413A" w:rsidRDefault="008357B8" w:rsidP="00294CB5">
      <w:pPr>
        <w:pStyle w:val="Notesnumbered"/>
        <w:numPr>
          <w:ilvl w:val="0"/>
          <w:numId w:val="230"/>
        </w:numPr>
        <w:ind w:left="709" w:hanging="567"/>
      </w:pPr>
      <w:r w:rsidRPr="00E5413A">
        <w:t>Legacy expenditure occurs between contract periods. That is some expenditure for Job Network</w:t>
      </w:r>
      <w:r w:rsidR="003E2CAD" w:rsidRPr="00E5413A">
        <w:t xml:space="preserve"> (JN)</w:t>
      </w:r>
      <w:r w:rsidRPr="00E5413A">
        <w:t xml:space="preserve"> is included in the JSA 2009 expenditure above, mostly in the first year of the contract period. Similarly</w:t>
      </w:r>
      <w:r w:rsidR="006149DB">
        <w:t>,</w:t>
      </w:r>
      <w:r w:rsidRPr="00E5413A">
        <w:t xml:space="preserve"> some JSA 2009 related expenditure was made in the early years of the JSA 2012 contract and JSA 2012 legacy costs will </w:t>
      </w:r>
      <w:r w:rsidR="001F1B4B" w:rsidRPr="00E5413A">
        <w:t>be covered in jobactive period.</w:t>
      </w:r>
    </w:p>
    <w:p w14:paraId="48F82ADC" w14:textId="77777777" w:rsidR="008357B8" w:rsidRDefault="008357B8" w:rsidP="00294CB5">
      <w:pPr>
        <w:pStyle w:val="Notesnumbered"/>
        <w:numPr>
          <w:ilvl w:val="0"/>
          <w:numId w:val="230"/>
        </w:numPr>
        <w:ind w:left="709" w:hanging="567"/>
      </w:pPr>
      <w:r w:rsidRPr="00E5413A">
        <w:t xml:space="preserve">These figures differ to those published in the financial statements of the </w:t>
      </w:r>
      <w:r w:rsidR="003C7EBE" w:rsidRPr="00E5413A">
        <w:t>D</w:t>
      </w:r>
      <w:r w:rsidRPr="00E5413A">
        <w:t>epartment’s annual reports. The annual report figures include other programme expenditure in addition to JSA, for example National Green Jobs Corps, Jobs Fund and Job Capacity Assessments</w:t>
      </w:r>
      <w:r>
        <w:t>.</w:t>
      </w:r>
    </w:p>
    <w:p w14:paraId="73910F56" w14:textId="77777777" w:rsidR="009245F1" w:rsidRDefault="009245F1" w:rsidP="00294CB5">
      <w:pPr>
        <w:pStyle w:val="Notesnumbered"/>
        <w:numPr>
          <w:ilvl w:val="0"/>
          <w:numId w:val="230"/>
        </w:numPr>
        <w:ind w:left="709" w:hanging="567"/>
      </w:pPr>
      <w:r>
        <w:t>Figures rounded to three decimal places.</w:t>
      </w:r>
    </w:p>
    <w:p w14:paraId="1F065925" w14:textId="55B694A5" w:rsidR="008D7387" w:rsidRPr="004D4671" w:rsidRDefault="008D7387" w:rsidP="008D7387">
      <w:pPr>
        <w:pStyle w:val="Source"/>
      </w:pPr>
      <w:r w:rsidRPr="00B77284">
        <w:rPr>
          <w:b/>
        </w:rPr>
        <w:t>Source</w:t>
      </w:r>
      <w:r w:rsidRPr="004D4671">
        <w:t xml:space="preserve">: </w:t>
      </w:r>
      <w:r w:rsidR="00294CB5">
        <w:tab/>
      </w:r>
      <w:r w:rsidRPr="004D4671">
        <w:t>Department o</w:t>
      </w:r>
      <w:r>
        <w:t>f</w:t>
      </w:r>
      <w:r w:rsidRPr="004D4671">
        <w:t xml:space="preserve"> Employment financial data.</w:t>
      </w:r>
    </w:p>
    <w:p w14:paraId="5196A081" w14:textId="77777777" w:rsidR="008357B8" w:rsidRDefault="008357B8" w:rsidP="008357B8">
      <w:pPr>
        <w:spacing w:before="120"/>
      </w:pPr>
      <w:r>
        <w:t xml:space="preserve">This reduction in costs </w:t>
      </w:r>
      <w:r w:rsidR="00962A13">
        <w:t>can largely be attributed to the</w:t>
      </w:r>
      <w:r>
        <w:t xml:space="preserve"> change in fee structure between the two models, including:</w:t>
      </w:r>
    </w:p>
    <w:p w14:paraId="1A985A52" w14:textId="77777777" w:rsidR="008357B8" w:rsidRPr="001141E4" w:rsidRDefault="008357B8" w:rsidP="00DB48FA">
      <w:pPr>
        <w:pStyle w:val="ListParagraph"/>
        <w:rPr>
          <w:rFonts w:eastAsia="Univers"/>
        </w:rPr>
      </w:pPr>
      <w:r w:rsidRPr="001141E4">
        <w:rPr>
          <w:rFonts w:eastAsia="Univers"/>
        </w:rPr>
        <w:t xml:space="preserve">reduced Service Fees for Stream 1 </w:t>
      </w:r>
      <w:r>
        <w:t>in the first twelve months of service</w:t>
      </w:r>
    </w:p>
    <w:p w14:paraId="61CDAD04" w14:textId="39D0D50D" w:rsidR="008357B8" w:rsidRDefault="00962A13" w:rsidP="00DB48FA">
      <w:pPr>
        <w:pStyle w:val="ListParagraph"/>
      </w:pPr>
      <w:r w:rsidRPr="001141E4">
        <w:rPr>
          <w:rFonts w:eastAsia="Univers"/>
        </w:rPr>
        <w:t xml:space="preserve">the replacement of </w:t>
      </w:r>
      <w:r w:rsidR="008357B8">
        <w:t>the two tiered outcome payment structure for 13</w:t>
      </w:r>
      <w:r w:rsidR="005B7636">
        <w:t>-</w:t>
      </w:r>
      <w:r w:rsidR="008357B8">
        <w:t xml:space="preserve"> and 26</w:t>
      </w:r>
      <w:r w:rsidR="005B7636">
        <w:t>-</w:t>
      </w:r>
      <w:r w:rsidR="008357B8">
        <w:t>week employment outcome</w:t>
      </w:r>
      <w:r>
        <w:t>s</w:t>
      </w:r>
      <w:r w:rsidR="008357B8">
        <w:t xml:space="preserve"> with a single level fee structure from 1 July 2012, following the Butterworth Audit</w:t>
      </w:r>
      <w:r w:rsidR="00B27013">
        <w:rPr>
          <w:rStyle w:val="FootnoteReference"/>
        </w:rPr>
        <w:footnoteReference w:id="24"/>
      </w:r>
      <w:r w:rsidR="008357B8">
        <w:t xml:space="preserve"> of provider brokered outcomes conducted in 2012.</w:t>
      </w:r>
    </w:p>
    <w:p w14:paraId="2A735942" w14:textId="77777777" w:rsidR="008357B8" w:rsidRDefault="008357B8" w:rsidP="00F56761">
      <w:r>
        <w:t>Table 3.1</w:t>
      </w:r>
      <w:r w:rsidR="00331592">
        <w:t>0</w:t>
      </w:r>
      <w:r>
        <w:t xml:space="preserve"> provides a summary of the fees and reimbursements for the two models.</w:t>
      </w:r>
    </w:p>
    <w:p w14:paraId="2633F48C" w14:textId="77777777" w:rsidR="008357B8" w:rsidRPr="008D1D34" w:rsidRDefault="008357B8" w:rsidP="008357B8">
      <w:pPr>
        <w:pStyle w:val="Tableforcontents"/>
        <w:rPr>
          <w:rFonts w:eastAsiaTheme="majorEastAsia"/>
        </w:rPr>
      </w:pPr>
      <w:bookmarkStart w:id="235" w:name="_Toc22543982"/>
      <w:r w:rsidRPr="008D1D34">
        <w:rPr>
          <w:rFonts w:eastAsiaTheme="majorEastAsia"/>
        </w:rPr>
        <w:t xml:space="preserve">Table </w:t>
      </w:r>
      <w:r>
        <w:rPr>
          <w:rFonts w:eastAsiaTheme="majorEastAsia"/>
        </w:rPr>
        <w:t>3.1</w:t>
      </w:r>
      <w:r w:rsidR="00331592">
        <w:rPr>
          <w:rFonts w:eastAsiaTheme="majorEastAsia"/>
        </w:rPr>
        <w:t>0</w:t>
      </w:r>
      <w:r w:rsidRPr="008D1D34">
        <w:rPr>
          <w:rFonts w:eastAsiaTheme="majorEastAsia"/>
        </w:rPr>
        <w:t>:</w:t>
      </w:r>
      <w:r w:rsidR="003C29A5">
        <w:rPr>
          <w:rFonts w:eastAsiaTheme="majorEastAsia"/>
        </w:rPr>
        <w:t xml:space="preserve"> </w:t>
      </w:r>
      <w:r>
        <w:rPr>
          <w:rFonts w:eastAsiaTheme="majorEastAsia"/>
        </w:rPr>
        <w:t>Fees and reimbursements, JSA 2009 and JSA 2012, selected items only ($)</w:t>
      </w:r>
      <w:bookmarkEnd w:id="235"/>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268"/>
        <w:gridCol w:w="2268"/>
      </w:tblGrid>
      <w:tr w:rsidR="008357B8" w:rsidRPr="004B04BD" w14:paraId="2935E141" w14:textId="77777777" w:rsidTr="003944D9">
        <w:trPr>
          <w:trHeight w:val="471"/>
          <w:tblHeader/>
        </w:trPr>
        <w:tc>
          <w:tcPr>
            <w:tcW w:w="4503" w:type="dxa"/>
            <w:shd w:val="clear" w:color="auto" w:fill="1E3D6B"/>
            <w:vAlign w:val="center"/>
          </w:tcPr>
          <w:p w14:paraId="323961D9" w14:textId="77777777" w:rsidR="008357B8" w:rsidRPr="004B04BD" w:rsidRDefault="008357B8" w:rsidP="008357B8">
            <w:pPr>
              <w:keepNext/>
              <w:rPr>
                <w:rFonts w:cstheme="minorHAnsi"/>
                <w:b/>
                <w:color w:val="FFFFFF" w:themeColor="background2"/>
                <w:sz w:val="20"/>
                <w:szCs w:val="20"/>
              </w:rPr>
            </w:pPr>
            <w:bookmarkStart w:id="236" w:name="Title_310"/>
            <w:bookmarkEnd w:id="236"/>
            <w:r w:rsidRPr="004B04BD">
              <w:rPr>
                <w:rFonts w:cstheme="minorHAnsi"/>
                <w:b/>
                <w:color w:val="FFFFFF" w:themeColor="background2"/>
                <w:sz w:val="20"/>
                <w:szCs w:val="20"/>
              </w:rPr>
              <w:t>Payment type</w:t>
            </w:r>
          </w:p>
        </w:tc>
        <w:tc>
          <w:tcPr>
            <w:tcW w:w="2268" w:type="dxa"/>
            <w:shd w:val="clear" w:color="auto" w:fill="1E3D6B"/>
            <w:vAlign w:val="center"/>
          </w:tcPr>
          <w:p w14:paraId="5E6B8424" w14:textId="77777777" w:rsidR="008357B8" w:rsidRPr="004B04BD" w:rsidRDefault="008357B8" w:rsidP="008357B8">
            <w:pPr>
              <w:keepNext/>
              <w:jc w:val="center"/>
              <w:rPr>
                <w:rFonts w:cstheme="minorHAnsi"/>
                <w:b/>
                <w:color w:val="FFFFFF" w:themeColor="background2"/>
                <w:sz w:val="20"/>
                <w:szCs w:val="20"/>
              </w:rPr>
            </w:pPr>
            <w:r w:rsidRPr="004B04BD">
              <w:rPr>
                <w:rFonts w:cstheme="minorHAnsi"/>
                <w:b/>
                <w:color w:val="FFFFFF" w:themeColor="background2"/>
                <w:sz w:val="20"/>
                <w:szCs w:val="20"/>
              </w:rPr>
              <w:t>JSA 2009</w:t>
            </w:r>
          </w:p>
        </w:tc>
        <w:tc>
          <w:tcPr>
            <w:tcW w:w="2268" w:type="dxa"/>
            <w:shd w:val="clear" w:color="auto" w:fill="1E3D6B"/>
            <w:vAlign w:val="center"/>
          </w:tcPr>
          <w:p w14:paraId="5DB94FC3" w14:textId="77777777" w:rsidR="008357B8" w:rsidRPr="004B04BD" w:rsidRDefault="008357B8" w:rsidP="008357B8">
            <w:pPr>
              <w:keepNext/>
              <w:jc w:val="center"/>
              <w:rPr>
                <w:rFonts w:cstheme="minorHAnsi"/>
                <w:b/>
                <w:color w:val="FFFFFF" w:themeColor="background2"/>
                <w:sz w:val="20"/>
                <w:szCs w:val="20"/>
              </w:rPr>
            </w:pPr>
            <w:r w:rsidRPr="004B04BD">
              <w:rPr>
                <w:rFonts w:cstheme="minorHAnsi"/>
                <w:b/>
                <w:color w:val="FFFFFF" w:themeColor="background2"/>
                <w:sz w:val="20"/>
                <w:szCs w:val="20"/>
              </w:rPr>
              <w:t>JSA 2012</w:t>
            </w:r>
          </w:p>
        </w:tc>
      </w:tr>
      <w:tr w:rsidR="008357B8" w:rsidRPr="00352449" w14:paraId="4BB94B8B" w14:textId="77777777" w:rsidTr="00581F05">
        <w:trPr>
          <w:trHeight w:val="340"/>
        </w:trPr>
        <w:tc>
          <w:tcPr>
            <w:tcW w:w="4503" w:type="dxa"/>
          </w:tcPr>
          <w:p w14:paraId="130F464B"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Stream 1</w:t>
            </w:r>
          </w:p>
        </w:tc>
        <w:tc>
          <w:tcPr>
            <w:tcW w:w="2268" w:type="dxa"/>
          </w:tcPr>
          <w:p w14:paraId="4C087041" w14:textId="77777777" w:rsidR="008357B8" w:rsidRPr="00352449" w:rsidRDefault="008357B8" w:rsidP="008357B8">
            <w:pPr>
              <w:keepNext/>
              <w:ind w:right="616"/>
              <w:jc w:val="right"/>
              <w:rPr>
                <w:rFonts w:cstheme="minorHAnsi"/>
                <w:sz w:val="20"/>
                <w:szCs w:val="20"/>
              </w:rPr>
            </w:pPr>
            <w:r w:rsidRPr="00352449">
              <w:rPr>
                <w:rFonts w:cstheme="minorHAnsi"/>
                <w:sz w:val="20"/>
                <w:szCs w:val="20"/>
              </w:rPr>
              <w:t>11</w:t>
            </w:r>
          </w:p>
        </w:tc>
        <w:tc>
          <w:tcPr>
            <w:tcW w:w="2268" w:type="dxa"/>
          </w:tcPr>
          <w:p w14:paraId="7AC7529D" w14:textId="77777777" w:rsidR="008357B8" w:rsidRPr="00352449" w:rsidRDefault="008357B8" w:rsidP="008357B8">
            <w:pPr>
              <w:keepNext/>
              <w:ind w:right="616"/>
              <w:jc w:val="right"/>
              <w:rPr>
                <w:rFonts w:cstheme="minorHAnsi"/>
                <w:sz w:val="20"/>
                <w:szCs w:val="20"/>
              </w:rPr>
            </w:pPr>
            <w:r w:rsidRPr="00352449">
              <w:rPr>
                <w:rFonts w:cstheme="minorHAnsi"/>
                <w:sz w:val="20"/>
                <w:szCs w:val="20"/>
              </w:rPr>
              <w:t>11</w:t>
            </w:r>
          </w:p>
        </w:tc>
      </w:tr>
      <w:tr w:rsidR="008357B8" w:rsidRPr="00352449" w14:paraId="0BFB8CA9" w14:textId="77777777" w:rsidTr="00581F05">
        <w:trPr>
          <w:trHeight w:val="340"/>
        </w:trPr>
        <w:tc>
          <w:tcPr>
            <w:tcW w:w="4503" w:type="dxa"/>
            <w:shd w:val="clear" w:color="auto" w:fill="E5E5E5" w:themeFill="background1" w:themeFillTint="33"/>
          </w:tcPr>
          <w:p w14:paraId="1E93ECBD"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Stream 2</w:t>
            </w:r>
          </w:p>
        </w:tc>
        <w:tc>
          <w:tcPr>
            <w:tcW w:w="2268" w:type="dxa"/>
            <w:shd w:val="clear" w:color="auto" w:fill="E5E5E5" w:themeFill="background1" w:themeFillTint="33"/>
          </w:tcPr>
          <w:p w14:paraId="2BEDCEF3" w14:textId="77777777" w:rsidR="008357B8" w:rsidRPr="00352449" w:rsidRDefault="008357B8" w:rsidP="008357B8">
            <w:pPr>
              <w:keepNext/>
              <w:ind w:right="616"/>
              <w:jc w:val="right"/>
              <w:rPr>
                <w:rFonts w:cstheme="minorHAnsi"/>
                <w:sz w:val="20"/>
                <w:szCs w:val="20"/>
              </w:rPr>
            </w:pPr>
            <w:r>
              <w:rPr>
                <w:rFonts w:cstheme="minorHAnsi"/>
                <w:sz w:val="20"/>
                <w:szCs w:val="20"/>
              </w:rPr>
              <w:t>550</w:t>
            </w:r>
          </w:p>
        </w:tc>
        <w:tc>
          <w:tcPr>
            <w:tcW w:w="2268" w:type="dxa"/>
            <w:shd w:val="clear" w:color="auto" w:fill="E5E5E5" w:themeFill="background1" w:themeFillTint="33"/>
          </w:tcPr>
          <w:p w14:paraId="5D291445" w14:textId="77777777" w:rsidR="008357B8" w:rsidRPr="00352449" w:rsidRDefault="008357B8" w:rsidP="008357B8">
            <w:pPr>
              <w:keepNext/>
              <w:ind w:right="616"/>
              <w:jc w:val="right"/>
              <w:rPr>
                <w:rFonts w:cstheme="minorHAnsi"/>
                <w:sz w:val="20"/>
                <w:szCs w:val="20"/>
              </w:rPr>
            </w:pPr>
            <w:r>
              <w:rPr>
                <w:rFonts w:cstheme="minorHAnsi"/>
                <w:sz w:val="20"/>
                <w:szCs w:val="20"/>
              </w:rPr>
              <w:t>550</w:t>
            </w:r>
          </w:p>
        </w:tc>
      </w:tr>
      <w:tr w:rsidR="008357B8" w:rsidRPr="00352449" w14:paraId="1AD2C814" w14:textId="77777777" w:rsidTr="00581F05">
        <w:trPr>
          <w:trHeight w:val="340"/>
        </w:trPr>
        <w:tc>
          <w:tcPr>
            <w:tcW w:w="4503" w:type="dxa"/>
          </w:tcPr>
          <w:p w14:paraId="4C4FF0F5"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Stream 3</w:t>
            </w:r>
          </w:p>
        </w:tc>
        <w:tc>
          <w:tcPr>
            <w:tcW w:w="2268" w:type="dxa"/>
          </w:tcPr>
          <w:p w14:paraId="31DBBE5F" w14:textId="77777777" w:rsidR="008357B8" w:rsidRPr="00352449" w:rsidRDefault="008357B8" w:rsidP="008357B8">
            <w:pPr>
              <w:keepNext/>
              <w:ind w:right="616"/>
              <w:jc w:val="right"/>
              <w:rPr>
                <w:rFonts w:cstheme="minorHAnsi"/>
                <w:sz w:val="20"/>
                <w:szCs w:val="20"/>
              </w:rPr>
            </w:pPr>
            <w:r>
              <w:rPr>
                <w:rFonts w:cstheme="minorHAnsi"/>
                <w:sz w:val="20"/>
                <w:szCs w:val="20"/>
              </w:rPr>
              <w:t>1,100</w:t>
            </w:r>
          </w:p>
        </w:tc>
        <w:tc>
          <w:tcPr>
            <w:tcW w:w="2268" w:type="dxa"/>
          </w:tcPr>
          <w:p w14:paraId="56231468" w14:textId="77777777" w:rsidR="008357B8" w:rsidRPr="00352449" w:rsidRDefault="008357B8" w:rsidP="008357B8">
            <w:pPr>
              <w:keepNext/>
              <w:ind w:right="616"/>
              <w:jc w:val="right"/>
              <w:rPr>
                <w:rFonts w:cstheme="minorHAnsi"/>
                <w:sz w:val="20"/>
                <w:szCs w:val="20"/>
              </w:rPr>
            </w:pPr>
            <w:r>
              <w:rPr>
                <w:rFonts w:cstheme="minorHAnsi"/>
                <w:sz w:val="20"/>
                <w:szCs w:val="20"/>
              </w:rPr>
              <w:t>1,100</w:t>
            </w:r>
          </w:p>
        </w:tc>
      </w:tr>
      <w:tr w:rsidR="008357B8" w:rsidRPr="00352449" w14:paraId="0983983F" w14:textId="77777777" w:rsidTr="00581F05">
        <w:trPr>
          <w:trHeight w:val="340"/>
        </w:trPr>
        <w:tc>
          <w:tcPr>
            <w:tcW w:w="4503" w:type="dxa"/>
            <w:shd w:val="clear" w:color="auto" w:fill="E5E5E5" w:themeFill="background1" w:themeFillTint="33"/>
          </w:tcPr>
          <w:p w14:paraId="23526921"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Stream 4</w:t>
            </w:r>
          </w:p>
        </w:tc>
        <w:tc>
          <w:tcPr>
            <w:tcW w:w="2268" w:type="dxa"/>
            <w:shd w:val="clear" w:color="auto" w:fill="E5E5E5" w:themeFill="background1" w:themeFillTint="33"/>
          </w:tcPr>
          <w:p w14:paraId="2B97E3DE" w14:textId="77777777" w:rsidR="008357B8" w:rsidRPr="00352449" w:rsidRDefault="008357B8" w:rsidP="008357B8">
            <w:pPr>
              <w:keepNext/>
              <w:ind w:right="616"/>
              <w:jc w:val="right"/>
              <w:rPr>
                <w:rFonts w:cstheme="minorHAnsi"/>
                <w:sz w:val="20"/>
                <w:szCs w:val="20"/>
              </w:rPr>
            </w:pPr>
            <w:r>
              <w:rPr>
                <w:rFonts w:cstheme="minorHAnsi"/>
                <w:sz w:val="20"/>
                <w:szCs w:val="20"/>
              </w:rPr>
              <w:t>1,100</w:t>
            </w:r>
          </w:p>
        </w:tc>
        <w:tc>
          <w:tcPr>
            <w:tcW w:w="2268" w:type="dxa"/>
            <w:shd w:val="clear" w:color="auto" w:fill="E5E5E5" w:themeFill="background1" w:themeFillTint="33"/>
          </w:tcPr>
          <w:p w14:paraId="7D0D7D0F" w14:textId="77777777" w:rsidR="008357B8" w:rsidRPr="00352449" w:rsidRDefault="008357B8" w:rsidP="008357B8">
            <w:pPr>
              <w:keepNext/>
              <w:ind w:right="616"/>
              <w:jc w:val="right"/>
              <w:rPr>
                <w:rFonts w:cstheme="minorHAnsi"/>
                <w:sz w:val="20"/>
                <w:szCs w:val="20"/>
              </w:rPr>
            </w:pPr>
            <w:r>
              <w:rPr>
                <w:rFonts w:cstheme="minorHAnsi"/>
                <w:sz w:val="20"/>
                <w:szCs w:val="20"/>
              </w:rPr>
              <w:t>1,100</w:t>
            </w:r>
          </w:p>
        </w:tc>
      </w:tr>
      <w:tr w:rsidR="008357B8" w:rsidRPr="00352449" w14:paraId="4273F23A" w14:textId="77777777" w:rsidTr="00581F05">
        <w:trPr>
          <w:trHeight w:val="340"/>
        </w:trPr>
        <w:tc>
          <w:tcPr>
            <w:tcW w:w="4503" w:type="dxa"/>
          </w:tcPr>
          <w:p w14:paraId="18745CAA"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Early School Leavers</w:t>
            </w:r>
          </w:p>
        </w:tc>
        <w:tc>
          <w:tcPr>
            <w:tcW w:w="2268" w:type="dxa"/>
          </w:tcPr>
          <w:p w14:paraId="4313ACF1" w14:textId="77777777" w:rsidR="008357B8" w:rsidRPr="00352449" w:rsidRDefault="008357B8" w:rsidP="008357B8">
            <w:pPr>
              <w:keepNext/>
              <w:ind w:right="616"/>
              <w:jc w:val="right"/>
              <w:rPr>
                <w:rFonts w:cstheme="minorHAnsi"/>
                <w:sz w:val="20"/>
                <w:szCs w:val="20"/>
              </w:rPr>
            </w:pPr>
            <w:r>
              <w:rPr>
                <w:rFonts w:cstheme="minorHAnsi"/>
                <w:sz w:val="20"/>
                <w:szCs w:val="20"/>
              </w:rPr>
              <w:t>na</w:t>
            </w:r>
          </w:p>
        </w:tc>
        <w:tc>
          <w:tcPr>
            <w:tcW w:w="2268" w:type="dxa"/>
          </w:tcPr>
          <w:p w14:paraId="64DE6274" w14:textId="77777777" w:rsidR="008357B8" w:rsidRPr="00352449" w:rsidRDefault="008357B8" w:rsidP="008357B8">
            <w:pPr>
              <w:keepNext/>
              <w:ind w:right="616"/>
              <w:jc w:val="right"/>
              <w:rPr>
                <w:rFonts w:cstheme="minorHAnsi"/>
                <w:sz w:val="20"/>
                <w:szCs w:val="20"/>
              </w:rPr>
            </w:pPr>
            <w:r>
              <w:rPr>
                <w:rFonts w:cstheme="minorHAnsi"/>
                <w:sz w:val="20"/>
                <w:szCs w:val="20"/>
              </w:rPr>
              <w:t>500</w:t>
            </w:r>
          </w:p>
        </w:tc>
      </w:tr>
      <w:tr w:rsidR="008357B8" w:rsidRPr="00352449" w14:paraId="03C0E78C" w14:textId="77777777" w:rsidTr="00581F05">
        <w:trPr>
          <w:trHeight w:val="340"/>
        </w:trPr>
        <w:tc>
          <w:tcPr>
            <w:tcW w:w="4503" w:type="dxa"/>
            <w:shd w:val="clear" w:color="auto" w:fill="E5E5E5" w:themeFill="background1" w:themeFillTint="33"/>
          </w:tcPr>
          <w:p w14:paraId="75207F19" w14:textId="77777777" w:rsidR="008357B8" w:rsidRPr="00352449" w:rsidRDefault="008357B8" w:rsidP="00CC1D3C">
            <w:pPr>
              <w:keepNext/>
              <w:rPr>
                <w:rFonts w:cstheme="minorHAnsi"/>
                <w:sz w:val="20"/>
                <w:szCs w:val="20"/>
              </w:rPr>
            </w:pPr>
            <w:r w:rsidRPr="00352449">
              <w:rPr>
                <w:rFonts w:cstheme="minorHAnsi"/>
                <w:sz w:val="20"/>
                <w:szCs w:val="20"/>
              </w:rPr>
              <w:t>EPF credits in first 12 months – WEP</w:t>
            </w:r>
            <w:r w:rsidR="0054199A">
              <w:rPr>
                <w:rFonts w:cstheme="minorHAnsi"/>
                <w:sz w:val="20"/>
                <w:szCs w:val="20"/>
              </w:rPr>
              <w:t>h</w:t>
            </w:r>
          </w:p>
        </w:tc>
        <w:tc>
          <w:tcPr>
            <w:tcW w:w="2268" w:type="dxa"/>
            <w:shd w:val="clear" w:color="auto" w:fill="E5E5E5" w:themeFill="background1" w:themeFillTint="33"/>
          </w:tcPr>
          <w:p w14:paraId="7AB8CEBA" w14:textId="77777777" w:rsidR="008357B8" w:rsidRPr="00352449" w:rsidRDefault="008357B8" w:rsidP="008357B8">
            <w:pPr>
              <w:keepNext/>
              <w:ind w:right="616"/>
              <w:jc w:val="right"/>
              <w:rPr>
                <w:rFonts w:cstheme="minorHAnsi"/>
                <w:sz w:val="20"/>
                <w:szCs w:val="20"/>
              </w:rPr>
            </w:pPr>
            <w:r>
              <w:rPr>
                <w:rFonts w:cstheme="minorHAnsi"/>
                <w:sz w:val="20"/>
                <w:szCs w:val="20"/>
              </w:rPr>
              <w:t>500</w:t>
            </w:r>
          </w:p>
        </w:tc>
        <w:tc>
          <w:tcPr>
            <w:tcW w:w="2268" w:type="dxa"/>
            <w:shd w:val="clear" w:color="auto" w:fill="E5E5E5" w:themeFill="background1" w:themeFillTint="33"/>
          </w:tcPr>
          <w:p w14:paraId="1EDF9E19" w14:textId="77777777" w:rsidR="008357B8" w:rsidRPr="00352449" w:rsidRDefault="008357B8" w:rsidP="008357B8">
            <w:pPr>
              <w:keepNext/>
              <w:ind w:right="616"/>
              <w:jc w:val="right"/>
              <w:rPr>
                <w:rFonts w:cstheme="minorHAnsi"/>
                <w:sz w:val="20"/>
                <w:szCs w:val="20"/>
              </w:rPr>
            </w:pPr>
            <w:r>
              <w:rPr>
                <w:rFonts w:cstheme="minorHAnsi"/>
                <w:sz w:val="20"/>
                <w:szCs w:val="20"/>
              </w:rPr>
              <w:t>500</w:t>
            </w:r>
          </w:p>
        </w:tc>
      </w:tr>
      <w:tr w:rsidR="008357B8" w:rsidRPr="00352449" w14:paraId="36EEE63E" w14:textId="77777777" w:rsidTr="00581F05">
        <w:trPr>
          <w:trHeight w:val="340"/>
        </w:trPr>
        <w:tc>
          <w:tcPr>
            <w:tcW w:w="4503" w:type="dxa"/>
          </w:tcPr>
          <w:p w14:paraId="1A7F9DC2" w14:textId="77777777" w:rsidR="008357B8" w:rsidRPr="00352449" w:rsidRDefault="008357B8" w:rsidP="008357B8">
            <w:pPr>
              <w:keepNext/>
              <w:rPr>
                <w:rFonts w:cstheme="minorHAnsi"/>
                <w:sz w:val="20"/>
                <w:szCs w:val="20"/>
              </w:rPr>
            </w:pPr>
            <w:r w:rsidRPr="00352449">
              <w:rPr>
                <w:rFonts w:cstheme="minorHAnsi"/>
                <w:sz w:val="20"/>
                <w:szCs w:val="20"/>
              </w:rPr>
              <w:t>EPF credits in first 12 months – CAP</w:t>
            </w:r>
          </w:p>
        </w:tc>
        <w:tc>
          <w:tcPr>
            <w:tcW w:w="2268" w:type="dxa"/>
          </w:tcPr>
          <w:p w14:paraId="2CD3E249" w14:textId="77777777" w:rsidR="008357B8" w:rsidRPr="00352449" w:rsidRDefault="008357B8" w:rsidP="008357B8">
            <w:pPr>
              <w:keepNext/>
              <w:ind w:right="616"/>
              <w:jc w:val="right"/>
              <w:rPr>
                <w:rFonts w:cstheme="minorHAnsi"/>
                <w:sz w:val="20"/>
                <w:szCs w:val="20"/>
              </w:rPr>
            </w:pPr>
            <w:r w:rsidRPr="00352449">
              <w:rPr>
                <w:rFonts w:cstheme="minorHAnsi"/>
                <w:sz w:val="20"/>
                <w:szCs w:val="20"/>
              </w:rPr>
              <w:t>na</w:t>
            </w:r>
          </w:p>
        </w:tc>
        <w:tc>
          <w:tcPr>
            <w:tcW w:w="2268" w:type="dxa"/>
          </w:tcPr>
          <w:p w14:paraId="579CD6F2" w14:textId="77777777" w:rsidR="008357B8" w:rsidRPr="00352449" w:rsidRDefault="008357B8" w:rsidP="008357B8">
            <w:pPr>
              <w:keepNext/>
              <w:ind w:right="616"/>
              <w:jc w:val="right"/>
              <w:rPr>
                <w:rFonts w:cstheme="minorHAnsi"/>
                <w:sz w:val="20"/>
                <w:szCs w:val="20"/>
              </w:rPr>
            </w:pPr>
            <w:r>
              <w:rPr>
                <w:rFonts w:cstheme="minorHAnsi"/>
                <w:sz w:val="20"/>
                <w:szCs w:val="20"/>
              </w:rPr>
              <w:t>1,000</w:t>
            </w:r>
          </w:p>
        </w:tc>
      </w:tr>
      <w:tr w:rsidR="008357B8" w:rsidRPr="00352449" w14:paraId="245625ED" w14:textId="77777777" w:rsidTr="00581F05">
        <w:trPr>
          <w:trHeight w:val="340"/>
        </w:trPr>
        <w:tc>
          <w:tcPr>
            <w:tcW w:w="4503" w:type="dxa"/>
            <w:shd w:val="clear" w:color="auto" w:fill="E5E5E5" w:themeFill="background1" w:themeFillTint="33"/>
          </w:tcPr>
          <w:p w14:paraId="0603BAAF" w14:textId="77777777" w:rsidR="008357B8" w:rsidRPr="00352449" w:rsidRDefault="008357B8" w:rsidP="008357B8">
            <w:pPr>
              <w:keepNext/>
              <w:rPr>
                <w:rFonts w:cstheme="minorHAnsi"/>
                <w:sz w:val="20"/>
                <w:szCs w:val="20"/>
              </w:rPr>
            </w:pPr>
            <w:r w:rsidRPr="00352449">
              <w:rPr>
                <w:rFonts w:cstheme="minorHAnsi"/>
                <w:sz w:val="20"/>
                <w:szCs w:val="20"/>
              </w:rPr>
              <w:t>Maximum service fees in first 12 months – Stream 1</w:t>
            </w:r>
          </w:p>
        </w:tc>
        <w:tc>
          <w:tcPr>
            <w:tcW w:w="2268" w:type="dxa"/>
            <w:shd w:val="clear" w:color="auto" w:fill="E5E5E5" w:themeFill="background1" w:themeFillTint="33"/>
          </w:tcPr>
          <w:p w14:paraId="581D7D1A" w14:textId="77777777" w:rsidR="008357B8" w:rsidRPr="00352449" w:rsidRDefault="008357B8" w:rsidP="008357B8">
            <w:pPr>
              <w:keepNext/>
              <w:ind w:right="616"/>
              <w:jc w:val="right"/>
              <w:rPr>
                <w:rFonts w:cstheme="minorHAnsi"/>
                <w:sz w:val="20"/>
                <w:szCs w:val="20"/>
              </w:rPr>
            </w:pPr>
            <w:r>
              <w:rPr>
                <w:rFonts w:cstheme="minorHAnsi"/>
                <w:sz w:val="20"/>
                <w:szCs w:val="20"/>
              </w:rPr>
              <w:t>781</w:t>
            </w:r>
          </w:p>
        </w:tc>
        <w:tc>
          <w:tcPr>
            <w:tcW w:w="2268" w:type="dxa"/>
            <w:shd w:val="clear" w:color="auto" w:fill="E5E5E5" w:themeFill="background1" w:themeFillTint="33"/>
          </w:tcPr>
          <w:p w14:paraId="7E552AC1" w14:textId="77777777" w:rsidR="008357B8" w:rsidRPr="00352449" w:rsidRDefault="008357B8" w:rsidP="008357B8">
            <w:pPr>
              <w:keepNext/>
              <w:ind w:right="616"/>
              <w:jc w:val="right"/>
              <w:rPr>
                <w:rFonts w:cstheme="minorHAnsi"/>
                <w:sz w:val="20"/>
                <w:szCs w:val="20"/>
              </w:rPr>
            </w:pPr>
            <w:r>
              <w:rPr>
                <w:rFonts w:cstheme="minorHAnsi"/>
                <w:sz w:val="20"/>
                <w:szCs w:val="20"/>
              </w:rPr>
              <w:t>581</w:t>
            </w:r>
          </w:p>
        </w:tc>
      </w:tr>
      <w:tr w:rsidR="008357B8" w:rsidRPr="00352449" w14:paraId="1EE0CCB4" w14:textId="77777777" w:rsidTr="00581F05">
        <w:trPr>
          <w:trHeight w:val="340"/>
        </w:trPr>
        <w:tc>
          <w:tcPr>
            <w:tcW w:w="4503" w:type="dxa"/>
          </w:tcPr>
          <w:p w14:paraId="17F9B9A9" w14:textId="77777777" w:rsidR="008357B8" w:rsidRPr="00352449" w:rsidRDefault="008357B8" w:rsidP="008357B8">
            <w:pPr>
              <w:keepNext/>
              <w:rPr>
                <w:rFonts w:cstheme="minorHAnsi"/>
                <w:sz w:val="20"/>
                <w:szCs w:val="20"/>
              </w:rPr>
            </w:pPr>
            <w:r w:rsidRPr="00352449">
              <w:rPr>
                <w:rFonts w:cstheme="minorHAnsi"/>
                <w:sz w:val="20"/>
                <w:szCs w:val="20"/>
              </w:rPr>
              <w:t xml:space="preserve">Maximum service fees in first 12 months – Stream </w:t>
            </w:r>
            <w:r w:rsidR="002303D5">
              <w:rPr>
                <w:rFonts w:cstheme="minorHAnsi"/>
                <w:sz w:val="20"/>
                <w:szCs w:val="20"/>
              </w:rPr>
              <w:t>2</w:t>
            </w:r>
          </w:p>
        </w:tc>
        <w:tc>
          <w:tcPr>
            <w:tcW w:w="2268" w:type="dxa"/>
          </w:tcPr>
          <w:p w14:paraId="62544396" w14:textId="77777777" w:rsidR="008357B8" w:rsidRPr="00352449" w:rsidRDefault="008357B8" w:rsidP="008357B8">
            <w:pPr>
              <w:keepNext/>
              <w:ind w:right="616"/>
              <w:jc w:val="right"/>
              <w:rPr>
                <w:rFonts w:cstheme="minorHAnsi"/>
                <w:sz w:val="20"/>
                <w:szCs w:val="20"/>
              </w:rPr>
            </w:pPr>
            <w:r>
              <w:rPr>
                <w:rFonts w:cstheme="minorHAnsi"/>
                <w:sz w:val="20"/>
                <w:szCs w:val="20"/>
              </w:rPr>
              <w:t>885</w:t>
            </w:r>
          </w:p>
        </w:tc>
        <w:tc>
          <w:tcPr>
            <w:tcW w:w="2268" w:type="dxa"/>
          </w:tcPr>
          <w:p w14:paraId="55B1BE5D" w14:textId="77777777" w:rsidR="008357B8" w:rsidRPr="00352449" w:rsidRDefault="008357B8" w:rsidP="008357B8">
            <w:pPr>
              <w:keepNext/>
              <w:ind w:right="616"/>
              <w:jc w:val="right"/>
              <w:rPr>
                <w:rFonts w:cstheme="minorHAnsi"/>
                <w:sz w:val="20"/>
                <w:szCs w:val="20"/>
              </w:rPr>
            </w:pPr>
            <w:r>
              <w:rPr>
                <w:rFonts w:cstheme="minorHAnsi"/>
                <w:sz w:val="20"/>
                <w:szCs w:val="20"/>
              </w:rPr>
              <w:t>885</w:t>
            </w:r>
          </w:p>
        </w:tc>
      </w:tr>
      <w:tr w:rsidR="008357B8" w:rsidRPr="00352449" w14:paraId="0AE660F0" w14:textId="77777777" w:rsidTr="00581F05">
        <w:trPr>
          <w:trHeight w:val="340"/>
        </w:trPr>
        <w:tc>
          <w:tcPr>
            <w:tcW w:w="4503" w:type="dxa"/>
            <w:shd w:val="clear" w:color="auto" w:fill="E5E5E5" w:themeFill="background1" w:themeFillTint="33"/>
          </w:tcPr>
          <w:p w14:paraId="3119E3D7" w14:textId="77777777" w:rsidR="008357B8" w:rsidRPr="00352449" w:rsidRDefault="008357B8" w:rsidP="008357B8">
            <w:pPr>
              <w:keepNext/>
              <w:rPr>
                <w:rFonts w:cstheme="minorHAnsi"/>
                <w:sz w:val="20"/>
                <w:szCs w:val="20"/>
              </w:rPr>
            </w:pPr>
            <w:r w:rsidRPr="00352449">
              <w:rPr>
                <w:rFonts w:cstheme="minorHAnsi"/>
                <w:sz w:val="20"/>
                <w:szCs w:val="20"/>
              </w:rPr>
              <w:t xml:space="preserve">Maximum service fees in first 12 months – Stream </w:t>
            </w:r>
            <w:r w:rsidR="002303D5">
              <w:rPr>
                <w:rFonts w:cstheme="minorHAnsi"/>
                <w:sz w:val="20"/>
                <w:szCs w:val="20"/>
              </w:rPr>
              <w:t>3</w:t>
            </w:r>
          </w:p>
        </w:tc>
        <w:tc>
          <w:tcPr>
            <w:tcW w:w="2268" w:type="dxa"/>
            <w:shd w:val="clear" w:color="auto" w:fill="E5E5E5" w:themeFill="background1" w:themeFillTint="33"/>
          </w:tcPr>
          <w:p w14:paraId="49468FC3" w14:textId="77777777" w:rsidR="008357B8" w:rsidRPr="00352449" w:rsidRDefault="008357B8" w:rsidP="008357B8">
            <w:pPr>
              <w:keepNext/>
              <w:ind w:right="616"/>
              <w:jc w:val="right"/>
              <w:rPr>
                <w:rFonts w:cstheme="minorHAnsi"/>
                <w:sz w:val="20"/>
                <w:szCs w:val="20"/>
              </w:rPr>
            </w:pPr>
            <w:r>
              <w:rPr>
                <w:rFonts w:cstheme="minorHAnsi"/>
                <w:sz w:val="20"/>
                <w:szCs w:val="20"/>
              </w:rPr>
              <w:t>1,120</w:t>
            </w:r>
          </w:p>
        </w:tc>
        <w:tc>
          <w:tcPr>
            <w:tcW w:w="2268" w:type="dxa"/>
            <w:shd w:val="clear" w:color="auto" w:fill="E5E5E5" w:themeFill="background1" w:themeFillTint="33"/>
          </w:tcPr>
          <w:p w14:paraId="330611D2" w14:textId="77777777" w:rsidR="008357B8" w:rsidRPr="00352449" w:rsidRDefault="008357B8" w:rsidP="008357B8">
            <w:pPr>
              <w:keepNext/>
              <w:ind w:right="616"/>
              <w:jc w:val="right"/>
              <w:rPr>
                <w:rFonts w:cstheme="minorHAnsi"/>
                <w:sz w:val="20"/>
                <w:szCs w:val="20"/>
              </w:rPr>
            </w:pPr>
            <w:r>
              <w:rPr>
                <w:rFonts w:cstheme="minorHAnsi"/>
                <w:sz w:val="20"/>
                <w:szCs w:val="20"/>
              </w:rPr>
              <w:t>1,120</w:t>
            </w:r>
          </w:p>
        </w:tc>
      </w:tr>
      <w:tr w:rsidR="008357B8" w:rsidRPr="00352449" w14:paraId="61155602" w14:textId="77777777" w:rsidTr="00581F05">
        <w:trPr>
          <w:trHeight w:val="340"/>
        </w:trPr>
        <w:tc>
          <w:tcPr>
            <w:tcW w:w="4503" w:type="dxa"/>
          </w:tcPr>
          <w:p w14:paraId="43217AC7" w14:textId="77777777" w:rsidR="008357B8" w:rsidRPr="00352449" w:rsidRDefault="008357B8" w:rsidP="008357B8">
            <w:pPr>
              <w:keepNext/>
              <w:rPr>
                <w:rFonts w:cstheme="minorHAnsi"/>
                <w:sz w:val="20"/>
                <w:szCs w:val="20"/>
              </w:rPr>
            </w:pPr>
            <w:r w:rsidRPr="00352449">
              <w:rPr>
                <w:rFonts w:cstheme="minorHAnsi"/>
                <w:sz w:val="20"/>
                <w:szCs w:val="20"/>
              </w:rPr>
              <w:t xml:space="preserve">Maximum service fees in first 12 months – Stream </w:t>
            </w:r>
            <w:r w:rsidR="002303D5">
              <w:rPr>
                <w:rFonts w:cstheme="minorHAnsi"/>
                <w:sz w:val="20"/>
                <w:szCs w:val="20"/>
              </w:rPr>
              <w:t>4</w:t>
            </w:r>
          </w:p>
        </w:tc>
        <w:tc>
          <w:tcPr>
            <w:tcW w:w="2268" w:type="dxa"/>
          </w:tcPr>
          <w:p w14:paraId="767008D8" w14:textId="77777777" w:rsidR="008357B8" w:rsidRPr="00352449" w:rsidRDefault="008357B8" w:rsidP="008357B8">
            <w:pPr>
              <w:keepNext/>
              <w:ind w:right="616"/>
              <w:jc w:val="right"/>
              <w:rPr>
                <w:rFonts w:cstheme="minorHAnsi"/>
                <w:sz w:val="20"/>
                <w:szCs w:val="20"/>
              </w:rPr>
            </w:pPr>
            <w:r>
              <w:rPr>
                <w:rFonts w:cstheme="minorHAnsi"/>
                <w:sz w:val="20"/>
                <w:szCs w:val="20"/>
              </w:rPr>
              <w:t>2,736</w:t>
            </w:r>
          </w:p>
        </w:tc>
        <w:tc>
          <w:tcPr>
            <w:tcW w:w="2268" w:type="dxa"/>
          </w:tcPr>
          <w:p w14:paraId="43103D88" w14:textId="77777777" w:rsidR="008357B8" w:rsidRPr="00352449" w:rsidRDefault="008357B8" w:rsidP="008357B8">
            <w:pPr>
              <w:keepNext/>
              <w:ind w:right="616"/>
              <w:jc w:val="right"/>
              <w:rPr>
                <w:rFonts w:cstheme="minorHAnsi"/>
                <w:sz w:val="20"/>
                <w:szCs w:val="20"/>
              </w:rPr>
            </w:pPr>
            <w:r>
              <w:rPr>
                <w:rFonts w:cstheme="minorHAnsi"/>
                <w:sz w:val="20"/>
                <w:szCs w:val="20"/>
              </w:rPr>
              <w:t>2,736</w:t>
            </w:r>
          </w:p>
        </w:tc>
      </w:tr>
      <w:tr w:rsidR="008357B8" w:rsidRPr="00352449" w14:paraId="2220A706" w14:textId="77777777" w:rsidTr="00581F05">
        <w:trPr>
          <w:trHeight w:val="340"/>
        </w:trPr>
        <w:tc>
          <w:tcPr>
            <w:tcW w:w="4503" w:type="dxa"/>
            <w:shd w:val="clear" w:color="auto" w:fill="E5E5E5" w:themeFill="background1" w:themeFillTint="33"/>
          </w:tcPr>
          <w:p w14:paraId="0A916F22" w14:textId="77777777" w:rsidR="008357B8" w:rsidRPr="00352449" w:rsidRDefault="008357B8" w:rsidP="008357B8">
            <w:pPr>
              <w:keepNext/>
              <w:rPr>
                <w:rFonts w:cstheme="minorHAnsi"/>
                <w:sz w:val="20"/>
                <w:szCs w:val="20"/>
              </w:rPr>
            </w:pPr>
            <w:r w:rsidRPr="00352449">
              <w:rPr>
                <w:rFonts w:cstheme="minorHAnsi"/>
                <w:sz w:val="20"/>
                <w:szCs w:val="20"/>
              </w:rPr>
              <w:t>Job placement fees – Stream 1</w:t>
            </w:r>
          </w:p>
        </w:tc>
        <w:tc>
          <w:tcPr>
            <w:tcW w:w="2268" w:type="dxa"/>
            <w:shd w:val="clear" w:color="auto" w:fill="E5E5E5" w:themeFill="background1" w:themeFillTint="33"/>
          </w:tcPr>
          <w:p w14:paraId="08612E1E" w14:textId="77777777" w:rsidR="008357B8" w:rsidRPr="00352449" w:rsidRDefault="008357B8" w:rsidP="008357B8">
            <w:pPr>
              <w:keepNext/>
              <w:ind w:right="616"/>
              <w:jc w:val="right"/>
              <w:rPr>
                <w:rFonts w:cstheme="minorHAnsi"/>
                <w:sz w:val="20"/>
                <w:szCs w:val="20"/>
              </w:rPr>
            </w:pPr>
            <w:r>
              <w:rPr>
                <w:rFonts w:cstheme="minorHAnsi"/>
                <w:sz w:val="20"/>
                <w:szCs w:val="20"/>
              </w:rPr>
              <w:t>385-440</w:t>
            </w:r>
          </w:p>
        </w:tc>
        <w:tc>
          <w:tcPr>
            <w:tcW w:w="2268" w:type="dxa"/>
            <w:shd w:val="clear" w:color="auto" w:fill="E5E5E5" w:themeFill="background1" w:themeFillTint="33"/>
          </w:tcPr>
          <w:p w14:paraId="1332E24F" w14:textId="77777777" w:rsidR="008357B8" w:rsidRPr="00352449" w:rsidRDefault="008357B8" w:rsidP="008357B8">
            <w:pPr>
              <w:keepNext/>
              <w:ind w:right="616"/>
              <w:jc w:val="right"/>
              <w:rPr>
                <w:rFonts w:cstheme="minorHAnsi"/>
                <w:sz w:val="20"/>
                <w:szCs w:val="20"/>
              </w:rPr>
            </w:pPr>
            <w:r>
              <w:rPr>
                <w:rFonts w:cstheme="minorHAnsi"/>
                <w:sz w:val="20"/>
                <w:szCs w:val="20"/>
              </w:rPr>
              <w:t>385-440</w:t>
            </w:r>
          </w:p>
        </w:tc>
      </w:tr>
      <w:tr w:rsidR="008357B8" w:rsidRPr="00352449" w14:paraId="6F086A9B" w14:textId="77777777" w:rsidTr="00581F05">
        <w:trPr>
          <w:trHeight w:val="340"/>
        </w:trPr>
        <w:tc>
          <w:tcPr>
            <w:tcW w:w="4503" w:type="dxa"/>
          </w:tcPr>
          <w:p w14:paraId="59B45F1B" w14:textId="77777777" w:rsidR="008357B8" w:rsidRPr="00352449" w:rsidRDefault="008357B8" w:rsidP="008357B8">
            <w:pPr>
              <w:keepNext/>
              <w:rPr>
                <w:rFonts w:cstheme="minorHAnsi"/>
                <w:sz w:val="20"/>
                <w:szCs w:val="20"/>
              </w:rPr>
            </w:pPr>
            <w:r w:rsidRPr="00352449">
              <w:rPr>
                <w:rFonts w:cstheme="minorHAnsi"/>
                <w:sz w:val="20"/>
                <w:szCs w:val="20"/>
              </w:rPr>
              <w:t>Job placement fees – Stream 2</w:t>
            </w:r>
          </w:p>
        </w:tc>
        <w:tc>
          <w:tcPr>
            <w:tcW w:w="2268" w:type="dxa"/>
          </w:tcPr>
          <w:p w14:paraId="77B1650C"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c>
          <w:tcPr>
            <w:tcW w:w="2268" w:type="dxa"/>
          </w:tcPr>
          <w:p w14:paraId="6B7E802F"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r>
      <w:tr w:rsidR="008357B8" w:rsidRPr="00352449" w14:paraId="125B81E1" w14:textId="77777777" w:rsidTr="00581F05">
        <w:trPr>
          <w:trHeight w:val="340"/>
        </w:trPr>
        <w:tc>
          <w:tcPr>
            <w:tcW w:w="4503" w:type="dxa"/>
            <w:shd w:val="clear" w:color="auto" w:fill="E5E5E5" w:themeFill="background1" w:themeFillTint="33"/>
          </w:tcPr>
          <w:p w14:paraId="30EEACED" w14:textId="77777777" w:rsidR="008357B8" w:rsidRPr="00352449" w:rsidRDefault="008357B8" w:rsidP="008357B8">
            <w:pPr>
              <w:keepNext/>
              <w:rPr>
                <w:rFonts w:cstheme="minorHAnsi"/>
                <w:sz w:val="20"/>
                <w:szCs w:val="20"/>
              </w:rPr>
            </w:pPr>
            <w:r w:rsidRPr="00352449">
              <w:rPr>
                <w:rFonts w:cstheme="minorHAnsi"/>
                <w:sz w:val="20"/>
                <w:szCs w:val="20"/>
              </w:rPr>
              <w:t>Job placement fees – Stream 3</w:t>
            </w:r>
          </w:p>
        </w:tc>
        <w:tc>
          <w:tcPr>
            <w:tcW w:w="2268" w:type="dxa"/>
            <w:shd w:val="clear" w:color="auto" w:fill="E5E5E5" w:themeFill="background1" w:themeFillTint="33"/>
          </w:tcPr>
          <w:p w14:paraId="4F6CDA3C"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c>
          <w:tcPr>
            <w:tcW w:w="2268" w:type="dxa"/>
            <w:shd w:val="clear" w:color="auto" w:fill="E5E5E5" w:themeFill="background1" w:themeFillTint="33"/>
          </w:tcPr>
          <w:p w14:paraId="1DFD1D58"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r>
      <w:tr w:rsidR="008357B8" w:rsidRPr="00352449" w14:paraId="448A514D" w14:textId="77777777" w:rsidTr="00581F05">
        <w:trPr>
          <w:trHeight w:val="340"/>
        </w:trPr>
        <w:tc>
          <w:tcPr>
            <w:tcW w:w="4503" w:type="dxa"/>
          </w:tcPr>
          <w:p w14:paraId="5B923E19" w14:textId="77777777" w:rsidR="008357B8" w:rsidRPr="00352449" w:rsidRDefault="008357B8" w:rsidP="008357B8">
            <w:pPr>
              <w:keepNext/>
              <w:rPr>
                <w:rFonts w:cstheme="minorHAnsi"/>
                <w:sz w:val="20"/>
                <w:szCs w:val="20"/>
              </w:rPr>
            </w:pPr>
            <w:r w:rsidRPr="00352449">
              <w:rPr>
                <w:rFonts w:cstheme="minorHAnsi"/>
                <w:sz w:val="20"/>
                <w:szCs w:val="20"/>
              </w:rPr>
              <w:t>Job placement fees – Stream 4</w:t>
            </w:r>
          </w:p>
        </w:tc>
        <w:tc>
          <w:tcPr>
            <w:tcW w:w="2268" w:type="dxa"/>
          </w:tcPr>
          <w:p w14:paraId="1465291D"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c>
          <w:tcPr>
            <w:tcW w:w="2268" w:type="dxa"/>
          </w:tcPr>
          <w:p w14:paraId="07E703D2" w14:textId="77777777" w:rsidR="008357B8" w:rsidRPr="00352449" w:rsidRDefault="008357B8" w:rsidP="008357B8">
            <w:pPr>
              <w:keepNext/>
              <w:ind w:right="616"/>
              <w:jc w:val="right"/>
              <w:rPr>
                <w:rFonts w:cstheme="minorHAnsi"/>
                <w:sz w:val="20"/>
                <w:szCs w:val="20"/>
              </w:rPr>
            </w:pPr>
            <w:r>
              <w:rPr>
                <w:rFonts w:cstheme="minorHAnsi"/>
                <w:sz w:val="20"/>
                <w:szCs w:val="20"/>
              </w:rPr>
              <w:t>385-550</w:t>
            </w:r>
          </w:p>
        </w:tc>
      </w:tr>
      <w:tr w:rsidR="008357B8" w:rsidRPr="00352449" w14:paraId="5674E273" w14:textId="77777777" w:rsidTr="00581F05">
        <w:trPr>
          <w:trHeight w:val="340"/>
        </w:trPr>
        <w:tc>
          <w:tcPr>
            <w:tcW w:w="4503" w:type="dxa"/>
            <w:shd w:val="clear" w:color="auto" w:fill="E5E5E5" w:themeFill="background1" w:themeFillTint="33"/>
          </w:tcPr>
          <w:p w14:paraId="095DD1CA" w14:textId="77777777" w:rsidR="008357B8" w:rsidRPr="00352449" w:rsidRDefault="008357B8" w:rsidP="008357B8">
            <w:pPr>
              <w:keepNext/>
              <w:rPr>
                <w:rFonts w:cstheme="minorHAnsi"/>
                <w:sz w:val="20"/>
                <w:szCs w:val="20"/>
              </w:rPr>
            </w:pPr>
            <w:r w:rsidRPr="00352449">
              <w:rPr>
                <w:rFonts w:cstheme="minorHAnsi"/>
                <w:sz w:val="20"/>
                <w:szCs w:val="20"/>
              </w:rPr>
              <w:t>Outcome fees in first 12 months – Stream 1</w:t>
            </w:r>
          </w:p>
        </w:tc>
        <w:tc>
          <w:tcPr>
            <w:tcW w:w="2268" w:type="dxa"/>
            <w:shd w:val="clear" w:color="auto" w:fill="E5E5E5" w:themeFill="background1" w:themeFillTint="33"/>
          </w:tcPr>
          <w:p w14:paraId="6F45EB8D" w14:textId="77777777" w:rsidR="008357B8" w:rsidRPr="00352449" w:rsidRDefault="008357B8" w:rsidP="008357B8">
            <w:pPr>
              <w:keepNext/>
              <w:ind w:right="616"/>
              <w:jc w:val="right"/>
              <w:rPr>
                <w:rFonts w:cstheme="minorHAnsi"/>
                <w:sz w:val="20"/>
                <w:szCs w:val="20"/>
              </w:rPr>
            </w:pPr>
            <w:r>
              <w:rPr>
                <w:rFonts w:cstheme="minorHAnsi"/>
                <w:sz w:val="20"/>
                <w:szCs w:val="20"/>
              </w:rPr>
              <w:t>0</w:t>
            </w:r>
          </w:p>
        </w:tc>
        <w:tc>
          <w:tcPr>
            <w:tcW w:w="2268" w:type="dxa"/>
            <w:shd w:val="clear" w:color="auto" w:fill="E5E5E5" w:themeFill="background1" w:themeFillTint="33"/>
          </w:tcPr>
          <w:p w14:paraId="686A70C3" w14:textId="77777777" w:rsidR="008357B8" w:rsidRPr="00352449" w:rsidRDefault="008357B8" w:rsidP="008357B8">
            <w:pPr>
              <w:keepNext/>
              <w:ind w:right="616"/>
              <w:jc w:val="right"/>
              <w:rPr>
                <w:rFonts w:cstheme="minorHAnsi"/>
                <w:sz w:val="20"/>
                <w:szCs w:val="20"/>
              </w:rPr>
            </w:pPr>
            <w:r>
              <w:rPr>
                <w:rFonts w:cstheme="minorHAnsi"/>
                <w:sz w:val="20"/>
                <w:szCs w:val="20"/>
              </w:rPr>
              <w:t>0</w:t>
            </w:r>
          </w:p>
        </w:tc>
      </w:tr>
      <w:tr w:rsidR="008357B8" w:rsidRPr="00352449" w14:paraId="271FF535" w14:textId="77777777" w:rsidTr="00581F05">
        <w:trPr>
          <w:trHeight w:val="340"/>
        </w:trPr>
        <w:tc>
          <w:tcPr>
            <w:tcW w:w="4503" w:type="dxa"/>
          </w:tcPr>
          <w:p w14:paraId="5D20280C" w14:textId="77777777" w:rsidR="008357B8" w:rsidRPr="00352449" w:rsidRDefault="008357B8" w:rsidP="008357B8">
            <w:pPr>
              <w:keepNext/>
              <w:rPr>
                <w:rFonts w:cstheme="minorHAnsi"/>
                <w:sz w:val="20"/>
                <w:szCs w:val="20"/>
              </w:rPr>
            </w:pPr>
            <w:r w:rsidRPr="00352449">
              <w:rPr>
                <w:rFonts w:cstheme="minorHAnsi"/>
                <w:sz w:val="20"/>
                <w:szCs w:val="20"/>
              </w:rPr>
              <w:t>Outcome fees in first 12 months – Stream 2</w:t>
            </w:r>
          </w:p>
        </w:tc>
        <w:tc>
          <w:tcPr>
            <w:tcW w:w="2268" w:type="dxa"/>
          </w:tcPr>
          <w:p w14:paraId="35AD3F22" w14:textId="77777777" w:rsidR="008357B8" w:rsidRPr="00352449" w:rsidRDefault="008357B8" w:rsidP="008357B8">
            <w:pPr>
              <w:keepNext/>
              <w:ind w:right="616"/>
              <w:jc w:val="right"/>
              <w:rPr>
                <w:rFonts w:cstheme="minorHAnsi"/>
                <w:sz w:val="20"/>
                <w:szCs w:val="20"/>
              </w:rPr>
            </w:pPr>
            <w:r>
              <w:rPr>
                <w:rFonts w:cstheme="minorHAnsi"/>
                <w:sz w:val="20"/>
                <w:szCs w:val="20"/>
              </w:rPr>
              <w:t>Up to 2,218</w:t>
            </w:r>
          </w:p>
        </w:tc>
        <w:tc>
          <w:tcPr>
            <w:tcW w:w="2268" w:type="dxa"/>
          </w:tcPr>
          <w:p w14:paraId="525BCEF9" w14:textId="77777777" w:rsidR="008357B8" w:rsidRPr="00352449" w:rsidRDefault="008357B8" w:rsidP="008357B8">
            <w:pPr>
              <w:keepNext/>
              <w:ind w:right="616"/>
              <w:jc w:val="right"/>
              <w:rPr>
                <w:rFonts w:cstheme="minorHAnsi"/>
                <w:sz w:val="20"/>
                <w:szCs w:val="20"/>
              </w:rPr>
            </w:pPr>
            <w:r>
              <w:rPr>
                <w:rFonts w:cstheme="minorHAnsi"/>
                <w:sz w:val="20"/>
                <w:szCs w:val="20"/>
              </w:rPr>
              <w:t>Up to 1,486</w:t>
            </w:r>
          </w:p>
        </w:tc>
      </w:tr>
      <w:tr w:rsidR="008357B8" w:rsidRPr="00352449" w14:paraId="6C169E22" w14:textId="77777777" w:rsidTr="00581F05">
        <w:trPr>
          <w:trHeight w:val="340"/>
        </w:trPr>
        <w:tc>
          <w:tcPr>
            <w:tcW w:w="4503" w:type="dxa"/>
            <w:shd w:val="clear" w:color="auto" w:fill="E5E5E5" w:themeFill="background1" w:themeFillTint="33"/>
          </w:tcPr>
          <w:p w14:paraId="100EC86D" w14:textId="77777777" w:rsidR="008357B8" w:rsidRPr="00352449" w:rsidRDefault="008357B8" w:rsidP="008357B8">
            <w:pPr>
              <w:keepNext/>
              <w:rPr>
                <w:rFonts w:cstheme="minorHAnsi"/>
                <w:sz w:val="20"/>
                <w:szCs w:val="20"/>
              </w:rPr>
            </w:pPr>
            <w:r w:rsidRPr="00352449">
              <w:rPr>
                <w:rFonts w:cstheme="minorHAnsi"/>
                <w:sz w:val="20"/>
                <w:szCs w:val="20"/>
              </w:rPr>
              <w:t>Outcome fees in first 12 months – Stream 3</w:t>
            </w:r>
          </w:p>
        </w:tc>
        <w:tc>
          <w:tcPr>
            <w:tcW w:w="2268" w:type="dxa"/>
            <w:shd w:val="clear" w:color="auto" w:fill="E5E5E5" w:themeFill="background1" w:themeFillTint="33"/>
          </w:tcPr>
          <w:p w14:paraId="222BACBB" w14:textId="77777777" w:rsidR="008357B8" w:rsidRPr="00352449" w:rsidRDefault="008357B8" w:rsidP="008357B8">
            <w:pPr>
              <w:keepNext/>
              <w:ind w:right="616"/>
              <w:jc w:val="right"/>
              <w:rPr>
                <w:rFonts w:cstheme="minorHAnsi"/>
                <w:sz w:val="20"/>
                <w:szCs w:val="20"/>
              </w:rPr>
            </w:pPr>
            <w:r>
              <w:rPr>
                <w:rFonts w:cstheme="minorHAnsi"/>
                <w:sz w:val="20"/>
                <w:szCs w:val="20"/>
              </w:rPr>
              <w:t>Up to 3,850</w:t>
            </w:r>
          </w:p>
        </w:tc>
        <w:tc>
          <w:tcPr>
            <w:tcW w:w="2268" w:type="dxa"/>
            <w:shd w:val="clear" w:color="auto" w:fill="E5E5E5" w:themeFill="background1" w:themeFillTint="33"/>
          </w:tcPr>
          <w:p w14:paraId="008E3F14" w14:textId="77777777" w:rsidR="008357B8" w:rsidRPr="00352449" w:rsidRDefault="008357B8" w:rsidP="008357B8">
            <w:pPr>
              <w:keepNext/>
              <w:ind w:right="616"/>
              <w:jc w:val="right"/>
              <w:rPr>
                <w:rFonts w:cstheme="minorHAnsi"/>
                <w:sz w:val="20"/>
                <w:szCs w:val="20"/>
              </w:rPr>
            </w:pPr>
            <w:r>
              <w:rPr>
                <w:rFonts w:cstheme="minorHAnsi"/>
                <w:sz w:val="20"/>
                <w:szCs w:val="20"/>
              </w:rPr>
              <w:t>Up to 3,120</w:t>
            </w:r>
          </w:p>
        </w:tc>
      </w:tr>
      <w:tr w:rsidR="008357B8" w:rsidRPr="00352449" w14:paraId="187DED4F" w14:textId="77777777" w:rsidTr="00581F05">
        <w:trPr>
          <w:trHeight w:val="340"/>
        </w:trPr>
        <w:tc>
          <w:tcPr>
            <w:tcW w:w="4503" w:type="dxa"/>
          </w:tcPr>
          <w:p w14:paraId="3ABD5D36" w14:textId="77777777" w:rsidR="008357B8" w:rsidRPr="00352449" w:rsidRDefault="008357B8" w:rsidP="008357B8">
            <w:pPr>
              <w:keepNext/>
              <w:rPr>
                <w:rFonts w:cstheme="minorHAnsi"/>
                <w:sz w:val="20"/>
                <w:szCs w:val="20"/>
              </w:rPr>
            </w:pPr>
            <w:r w:rsidRPr="00352449">
              <w:rPr>
                <w:rFonts w:cstheme="minorHAnsi"/>
                <w:sz w:val="20"/>
                <w:szCs w:val="20"/>
              </w:rPr>
              <w:t>Outcome fees in first 12 months – Stream 4</w:t>
            </w:r>
          </w:p>
        </w:tc>
        <w:tc>
          <w:tcPr>
            <w:tcW w:w="2268" w:type="dxa"/>
          </w:tcPr>
          <w:p w14:paraId="0DADC45A" w14:textId="77777777" w:rsidR="008357B8" w:rsidRPr="00352449" w:rsidRDefault="008357B8" w:rsidP="008357B8">
            <w:pPr>
              <w:keepNext/>
              <w:ind w:right="616"/>
              <w:jc w:val="right"/>
              <w:rPr>
                <w:rFonts w:cstheme="minorHAnsi"/>
                <w:sz w:val="20"/>
                <w:szCs w:val="20"/>
              </w:rPr>
            </w:pPr>
            <w:r>
              <w:rPr>
                <w:rFonts w:cstheme="minorHAnsi"/>
                <w:sz w:val="20"/>
                <w:szCs w:val="20"/>
              </w:rPr>
              <w:t>Up to 3,850</w:t>
            </w:r>
          </w:p>
        </w:tc>
        <w:tc>
          <w:tcPr>
            <w:tcW w:w="2268" w:type="dxa"/>
          </w:tcPr>
          <w:p w14:paraId="5E525B1A" w14:textId="77777777" w:rsidR="008357B8" w:rsidRPr="00352449" w:rsidRDefault="008357B8" w:rsidP="008357B8">
            <w:pPr>
              <w:keepNext/>
              <w:ind w:right="616"/>
              <w:jc w:val="right"/>
              <w:rPr>
                <w:rFonts w:cstheme="minorHAnsi"/>
                <w:sz w:val="20"/>
                <w:szCs w:val="20"/>
              </w:rPr>
            </w:pPr>
            <w:r>
              <w:rPr>
                <w:rFonts w:cstheme="minorHAnsi"/>
                <w:sz w:val="20"/>
                <w:szCs w:val="20"/>
              </w:rPr>
              <w:t>Up to 3,120</w:t>
            </w:r>
          </w:p>
        </w:tc>
      </w:tr>
      <w:tr w:rsidR="008357B8" w:rsidRPr="00352449" w14:paraId="3AC5620F" w14:textId="77777777" w:rsidTr="00581F05">
        <w:trPr>
          <w:trHeight w:val="340"/>
        </w:trPr>
        <w:tc>
          <w:tcPr>
            <w:tcW w:w="4503" w:type="dxa"/>
            <w:shd w:val="clear" w:color="auto" w:fill="E5E5E5" w:themeFill="background1" w:themeFillTint="33"/>
          </w:tcPr>
          <w:p w14:paraId="3205A2A7" w14:textId="77777777" w:rsidR="008357B8" w:rsidRPr="00352449" w:rsidRDefault="008357B8" w:rsidP="008357B8">
            <w:pPr>
              <w:keepNext/>
              <w:rPr>
                <w:rFonts w:cstheme="minorHAnsi"/>
                <w:sz w:val="20"/>
                <w:szCs w:val="20"/>
              </w:rPr>
            </w:pPr>
            <w:r w:rsidRPr="00352449">
              <w:rPr>
                <w:rFonts w:cstheme="minorHAnsi"/>
                <w:sz w:val="20"/>
                <w:szCs w:val="20"/>
              </w:rPr>
              <w:t>Outcome fees after first 12 months – Stream 1</w:t>
            </w:r>
          </w:p>
        </w:tc>
        <w:tc>
          <w:tcPr>
            <w:tcW w:w="2268" w:type="dxa"/>
            <w:shd w:val="clear" w:color="auto" w:fill="E5E5E5" w:themeFill="background1" w:themeFillTint="33"/>
          </w:tcPr>
          <w:p w14:paraId="1D3DA7ED" w14:textId="77777777" w:rsidR="008357B8" w:rsidRPr="00352449" w:rsidRDefault="008357B8" w:rsidP="008357B8">
            <w:pPr>
              <w:keepNext/>
              <w:ind w:right="616"/>
              <w:jc w:val="right"/>
              <w:rPr>
                <w:rFonts w:cstheme="minorHAnsi"/>
                <w:sz w:val="20"/>
                <w:szCs w:val="20"/>
              </w:rPr>
            </w:pPr>
            <w:r>
              <w:rPr>
                <w:rFonts w:cstheme="minorHAnsi"/>
                <w:sz w:val="20"/>
                <w:szCs w:val="20"/>
              </w:rPr>
              <w:t>Up to 1,879</w:t>
            </w:r>
          </w:p>
        </w:tc>
        <w:tc>
          <w:tcPr>
            <w:tcW w:w="2268" w:type="dxa"/>
            <w:shd w:val="clear" w:color="auto" w:fill="E5E5E5" w:themeFill="background1" w:themeFillTint="33"/>
          </w:tcPr>
          <w:p w14:paraId="615FFEF8" w14:textId="77777777" w:rsidR="008357B8" w:rsidRPr="00352449" w:rsidRDefault="008357B8" w:rsidP="008357B8">
            <w:pPr>
              <w:keepNext/>
              <w:ind w:right="616"/>
              <w:jc w:val="right"/>
              <w:rPr>
                <w:rFonts w:cstheme="minorHAnsi"/>
                <w:sz w:val="20"/>
                <w:szCs w:val="20"/>
              </w:rPr>
            </w:pPr>
            <w:r>
              <w:rPr>
                <w:rFonts w:cstheme="minorHAnsi"/>
                <w:sz w:val="20"/>
                <w:szCs w:val="20"/>
              </w:rPr>
              <w:t>Up to 1,258</w:t>
            </w:r>
          </w:p>
        </w:tc>
      </w:tr>
      <w:tr w:rsidR="008357B8" w:rsidRPr="00352449" w14:paraId="6FD3B8A2" w14:textId="77777777" w:rsidTr="00581F05">
        <w:trPr>
          <w:trHeight w:val="340"/>
        </w:trPr>
        <w:tc>
          <w:tcPr>
            <w:tcW w:w="4503" w:type="dxa"/>
          </w:tcPr>
          <w:p w14:paraId="414FBDDA" w14:textId="77777777" w:rsidR="008357B8" w:rsidRPr="00352449" w:rsidRDefault="008357B8" w:rsidP="008357B8">
            <w:pPr>
              <w:keepNext/>
              <w:rPr>
                <w:rFonts w:cstheme="minorHAnsi"/>
                <w:sz w:val="20"/>
                <w:szCs w:val="20"/>
              </w:rPr>
            </w:pPr>
            <w:r w:rsidRPr="00352449">
              <w:rPr>
                <w:rFonts w:cstheme="minorHAnsi"/>
                <w:sz w:val="20"/>
                <w:szCs w:val="20"/>
              </w:rPr>
              <w:t>Outcome fees after first 12 months – Stream 2</w:t>
            </w:r>
          </w:p>
        </w:tc>
        <w:tc>
          <w:tcPr>
            <w:tcW w:w="2268" w:type="dxa"/>
          </w:tcPr>
          <w:p w14:paraId="2B333D52" w14:textId="77777777" w:rsidR="008357B8" w:rsidRPr="00352449" w:rsidRDefault="008357B8" w:rsidP="008357B8">
            <w:pPr>
              <w:keepNext/>
              <w:ind w:right="616"/>
              <w:jc w:val="right"/>
              <w:rPr>
                <w:rFonts w:cstheme="minorHAnsi"/>
                <w:sz w:val="20"/>
                <w:szCs w:val="20"/>
              </w:rPr>
            </w:pPr>
            <w:r>
              <w:rPr>
                <w:rFonts w:cstheme="minorHAnsi"/>
                <w:sz w:val="20"/>
                <w:szCs w:val="20"/>
              </w:rPr>
              <w:t>Up to 3,080</w:t>
            </w:r>
          </w:p>
        </w:tc>
        <w:tc>
          <w:tcPr>
            <w:tcW w:w="2268" w:type="dxa"/>
          </w:tcPr>
          <w:p w14:paraId="67C4468F" w14:textId="77777777" w:rsidR="008357B8" w:rsidRPr="00352449" w:rsidRDefault="008357B8" w:rsidP="008357B8">
            <w:pPr>
              <w:keepNext/>
              <w:ind w:right="616"/>
              <w:jc w:val="right"/>
              <w:rPr>
                <w:rFonts w:cstheme="minorHAnsi"/>
                <w:sz w:val="20"/>
                <w:szCs w:val="20"/>
              </w:rPr>
            </w:pPr>
            <w:r>
              <w:rPr>
                <w:rFonts w:cstheme="minorHAnsi"/>
                <w:sz w:val="20"/>
                <w:szCs w:val="20"/>
              </w:rPr>
              <w:t>Up to 2,064</w:t>
            </w:r>
          </w:p>
        </w:tc>
      </w:tr>
      <w:tr w:rsidR="008357B8" w:rsidRPr="00352449" w14:paraId="246FF6A3" w14:textId="77777777" w:rsidTr="00581F05">
        <w:trPr>
          <w:trHeight w:val="340"/>
        </w:trPr>
        <w:tc>
          <w:tcPr>
            <w:tcW w:w="4503" w:type="dxa"/>
            <w:shd w:val="clear" w:color="auto" w:fill="E5E5E5" w:themeFill="background1" w:themeFillTint="33"/>
          </w:tcPr>
          <w:p w14:paraId="285F1324" w14:textId="77777777" w:rsidR="008357B8" w:rsidRPr="00352449" w:rsidRDefault="008357B8" w:rsidP="008357B8">
            <w:pPr>
              <w:keepNext/>
              <w:rPr>
                <w:rFonts w:cstheme="minorHAnsi"/>
                <w:sz w:val="20"/>
                <w:szCs w:val="20"/>
              </w:rPr>
            </w:pPr>
            <w:r w:rsidRPr="00352449">
              <w:rPr>
                <w:rFonts w:cstheme="minorHAnsi"/>
                <w:sz w:val="20"/>
                <w:szCs w:val="20"/>
              </w:rPr>
              <w:t>Outcome fees after first 12 months – Stream 3</w:t>
            </w:r>
          </w:p>
        </w:tc>
        <w:tc>
          <w:tcPr>
            <w:tcW w:w="2268" w:type="dxa"/>
            <w:shd w:val="clear" w:color="auto" w:fill="E5E5E5" w:themeFill="background1" w:themeFillTint="33"/>
          </w:tcPr>
          <w:p w14:paraId="626E2252" w14:textId="77777777" w:rsidR="008357B8" w:rsidRPr="00352449" w:rsidRDefault="008357B8" w:rsidP="008357B8">
            <w:pPr>
              <w:keepNext/>
              <w:ind w:right="616"/>
              <w:jc w:val="right"/>
              <w:rPr>
                <w:rFonts w:cstheme="minorHAnsi"/>
                <w:sz w:val="20"/>
                <w:szCs w:val="20"/>
              </w:rPr>
            </w:pPr>
            <w:r>
              <w:rPr>
                <w:rFonts w:cstheme="minorHAnsi"/>
                <w:sz w:val="20"/>
                <w:szCs w:val="20"/>
              </w:rPr>
              <w:t>Up to 7,260</w:t>
            </w:r>
          </w:p>
        </w:tc>
        <w:tc>
          <w:tcPr>
            <w:tcW w:w="2268" w:type="dxa"/>
            <w:shd w:val="clear" w:color="auto" w:fill="E5E5E5" w:themeFill="background1" w:themeFillTint="33"/>
          </w:tcPr>
          <w:p w14:paraId="36278040" w14:textId="77777777" w:rsidR="008357B8" w:rsidRPr="00352449" w:rsidRDefault="008357B8" w:rsidP="008357B8">
            <w:pPr>
              <w:keepNext/>
              <w:ind w:right="616"/>
              <w:jc w:val="right"/>
              <w:rPr>
                <w:rFonts w:cstheme="minorHAnsi"/>
                <w:sz w:val="20"/>
                <w:szCs w:val="20"/>
              </w:rPr>
            </w:pPr>
            <w:r>
              <w:rPr>
                <w:rFonts w:cstheme="minorHAnsi"/>
                <w:sz w:val="20"/>
                <w:szCs w:val="20"/>
              </w:rPr>
              <w:t>Up to 5,880</w:t>
            </w:r>
          </w:p>
        </w:tc>
      </w:tr>
      <w:tr w:rsidR="008357B8" w:rsidRPr="00352449" w14:paraId="2A9984A7" w14:textId="77777777" w:rsidTr="00581F05">
        <w:trPr>
          <w:trHeight w:val="340"/>
        </w:trPr>
        <w:tc>
          <w:tcPr>
            <w:tcW w:w="4503" w:type="dxa"/>
            <w:tcBorders>
              <w:bottom w:val="single" w:sz="4" w:space="0" w:color="auto"/>
            </w:tcBorders>
          </w:tcPr>
          <w:p w14:paraId="76558774" w14:textId="77777777" w:rsidR="008357B8" w:rsidRPr="00352449" w:rsidRDefault="008357B8" w:rsidP="008357B8">
            <w:pPr>
              <w:keepNext/>
              <w:rPr>
                <w:rFonts w:cstheme="minorHAnsi"/>
                <w:sz w:val="20"/>
                <w:szCs w:val="20"/>
              </w:rPr>
            </w:pPr>
            <w:r w:rsidRPr="00352449">
              <w:rPr>
                <w:rFonts w:cstheme="minorHAnsi"/>
                <w:sz w:val="20"/>
                <w:szCs w:val="20"/>
              </w:rPr>
              <w:t>Outcome fees after first 12 months – Stream 4</w:t>
            </w:r>
          </w:p>
        </w:tc>
        <w:tc>
          <w:tcPr>
            <w:tcW w:w="2268" w:type="dxa"/>
            <w:tcBorders>
              <w:bottom w:val="single" w:sz="4" w:space="0" w:color="auto"/>
            </w:tcBorders>
          </w:tcPr>
          <w:p w14:paraId="4A3A6ED7" w14:textId="77777777" w:rsidR="008357B8" w:rsidRPr="00352449" w:rsidRDefault="008357B8" w:rsidP="008357B8">
            <w:pPr>
              <w:keepNext/>
              <w:ind w:right="616"/>
              <w:jc w:val="right"/>
              <w:rPr>
                <w:rFonts w:cstheme="minorHAnsi"/>
                <w:sz w:val="20"/>
                <w:szCs w:val="20"/>
              </w:rPr>
            </w:pPr>
            <w:r>
              <w:rPr>
                <w:rFonts w:cstheme="minorHAnsi"/>
                <w:sz w:val="20"/>
                <w:szCs w:val="20"/>
              </w:rPr>
              <w:t>Up to 7,260</w:t>
            </w:r>
          </w:p>
        </w:tc>
        <w:tc>
          <w:tcPr>
            <w:tcW w:w="2268" w:type="dxa"/>
            <w:tcBorders>
              <w:bottom w:val="single" w:sz="4" w:space="0" w:color="auto"/>
            </w:tcBorders>
          </w:tcPr>
          <w:p w14:paraId="3EBB1821" w14:textId="77777777" w:rsidR="008357B8" w:rsidRPr="00352449" w:rsidRDefault="008357B8" w:rsidP="008357B8">
            <w:pPr>
              <w:keepNext/>
              <w:ind w:right="616"/>
              <w:jc w:val="right"/>
              <w:rPr>
                <w:rFonts w:cstheme="minorHAnsi"/>
                <w:sz w:val="20"/>
                <w:szCs w:val="20"/>
              </w:rPr>
            </w:pPr>
            <w:r>
              <w:rPr>
                <w:rFonts w:cstheme="minorHAnsi"/>
                <w:sz w:val="20"/>
                <w:szCs w:val="20"/>
              </w:rPr>
              <w:t>Up to 5,880</w:t>
            </w:r>
          </w:p>
        </w:tc>
      </w:tr>
    </w:tbl>
    <w:p w14:paraId="5E82CC43" w14:textId="77777777" w:rsidR="008357B8" w:rsidRPr="004D4671" w:rsidRDefault="008357B8" w:rsidP="004D4671">
      <w:pPr>
        <w:pStyle w:val="Sourceandnotetextmultiplenotes"/>
        <w:numPr>
          <w:ilvl w:val="0"/>
          <w:numId w:val="0"/>
        </w:numPr>
        <w:ind w:left="357" w:hanging="357"/>
        <w:rPr>
          <w:b/>
        </w:rPr>
      </w:pPr>
      <w:r w:rsidRPr="004D4671">
        <w:rPr>
          <w:b/>
        </w:rPr>
        <w:t>Notes:</w:t>
      </w:r>
    </w:p>
    <w:p w14:paraId="5AE31F1F" w14:textId="77777777" w:rsidR="004D4671" w:rsidRPr="00E5413A" w:rsidRDefault="008357B8" w:rsidP="00E5413A">
      <w:pPr>
        <w:pStyle w:val="Notesnumbered"/>
        <w:numPr>
          <w:ilvl w:val="0"/>
          <w:numId w:val="231"/>
        </w:numPr>
      </w:pPr>
      <w:r w:rsidRPr="00E5413A">
        <w:t>Simplified list of fees above.</w:t>
      </w:r>
    </w:p>
    <w:p w14:paraId="562DE0F8" w14:textId="77777777" w:rsidR="0093497A" w:rsidRPr="001F1B4B" w:rsidRDefault="0093497A" w:rsidP="00E5413A">
      <w:pPr>
        <w:pStyle w:val="Notesnumbered"/>
        <w:numPr>
          <w:ilvl w:val="0"/>
          <w:numId w:val="231"/>
        </w:numPr>
      </w:pPr>
      <w:r w:rsidRPr="00E5413A">
        <w:t>EPF – Employment</w:t>
      </w:r>
      <w:r w:rsidRPr="001F1B4B">
        <w:t xml:space="preserve"> </w:t>
      </w:r>
      <w:r w:rsidRPr="001F28F1">
        <w:t>Pathway</w:t>
      </w:r>
      <w:r w:rsidRPr="001F1B4B">
        <w:t xml:space="preserve"> Fund</w:t>
      </w:r>
      <w:r w:rsidR="001243C8">
        <w:t>.</w:t>
      </w:r>
    </w:p>
    <w:p w14:paraId="391C7BD6" w14:textId="77777777" w:rsidR="008357B8" w:rsidRDefault="008357B8" w:rsidP="008357B8">
      <w:pPr>
        <w:spacing w:before="120"/>
      </w:pPr>
      <w:r>
        <w:t>Other factors which would have affected expenditure on JSA include:</w:t>
      </w:r>
    </w:p>
    <w:p w14:paraId="14C7903E" w14:textId="77777777" w:rsidR="008357B8" w:rsidRPr="0071480B" w:rsidRDefault="008357B8" w:rsidP="00B27013">
      <w:pPr>
        <w:pStyle w:val="ListParagraph"/>
      </w:pPr>
      <w:r w:rsidRPr="001F5AEC">
        <w:t>the differing macroeconomic climates between the two periods (</w:t>
      </w:r>
      <w:r w:rsidR="009245F1" w:rsidRPr="001F5AEC">
        <w:t xml:space="preserve">section </w:t>
      </w:r>
      <w:r w:rsidRPr="001F5AEC">
        <w:t>1.2)</w:t>
      </w:r>
    </w:p>
    <w:p w14:paraId="46F569A6" w14:textId="77777777" w:rsidR="008357B8" w:rsidRPr="006C1CF0" w:rsidRDefault="008357B8" w:rsidP="00B27013">
      <w:pPr>
        <w:pStyle w:val="ListParagraph"/>
      </w:pPr>
      <w:r w:rsidRPr="00E34095">
        <w:t>differing numbers and types of job seekers serviced (</w:t>
      </w:r>
      <w:r w:rsidR="009245F1" w:rsidRPr="003F5085">
        <w:t xml:space="preserve">section </w:t>
      </w:r>
      <w:r w:rsidRPr="006C1CF0">
        <w:t>2.1)</w:t>
      </w:r>
    </w:p>
    <w:p w14:paraId="4FE2D7F3" w14:textId="77777777" w:rsidR="008357B8" w:rsidRPr="006C1CF0" w:rsidRDefault="00962A13" w:rsidP="00B27013">
      <w:pPr>
        <w:pStyle w:val="ListParagraph"/>
      </w:pPr>
      <w:r w:rsidRPr="006C1CF0">
        <w:t>length of time</w:t>
      </w:r>
      <w:r w:rsidR="008357B8" w:rsidRPr="006C1CF0">
        <w:t xml:space="preserve"> job seekers were in JSA service</w:t>
      </w:r>
    </w:p>
    <w:p w14:paraId="4C836C87" w14:textId="77777777" w:rsidR="008357B8" w:rsidRPr="001F5AEC" w:rsidRDefault="008357B8" w:rsidP="00B27013">
      <w:pPr>
        <w:pStyle w:val="ListParagraph"/>
      </w:pPr>
      <w:r w:rsidRPr="001F5AEC">
        <w:t>outcomes achieved</w:t>
      </w:r>
    </w:p>
    <w:p w14:paraId="68E75C6B" w14:textId="77777777" w:rsidR="008357B8" w:rsidRDefault="008357B8" w:rsidP="00B27013">
      <w:pPr>
        <w:pStyle w:val="ListParagraph"/>
      </w:pPr>
      <w:r w:rsidRPr="001F5AEC">
        <w:t>differences in</w:t>
      </w:r>
      <w:r>
        <w:t xml:space="preserve"> the sustainability of outcomes.</w:t>
      </w:r>
    </w:p>
    <w:p w14:paraId="0ED16BDC" w14:textId="77777777" w:rsidR="00613C53" w:rsidRDefault="008357B8" w:rsidP="008357B8">
      <w:pPr>
        <w:suppressAutoHyphens/>
        <w:autoSpaceDE w:val="0"/>
        <w:autoSpaceDN w:val="0"/>
        <w:adjustRightInd w:val="0"/>
        <w:spacing w:after="120"/>
        <w:textAlignment w:val="center"/>
      </w:pPr>
      <w:r>
        <w:t xml:space="preserve">Changes </w:t>
      </w:r>
      <w:r w:rsidR="00962A13">
        <w:t>in</w:t>
      </w:r>
      <w:r>
        <w:t xml:space="preserve"> the JSA 2012 model </w:t>
      </w:r>
      <w:r w:rsidR="00613C53">
        <w:t xml:space="preserve">which </w:t>
      </w:r>
      <w:r>
        <w:t xml:space="preserve">also had the potential to affect outcome rates </w:t>
      </w:r>
      <w:r w:rsidR="00613C53">
        <w:t>(</w:t>
      </w:r>
      <w:r>
        <w:t>and therefore cost per outcome results</w:t>
      </w:r>
      <w:r w:rsidR="00613C53">
        <w:t>) include:</w:t>
      </w:r>
    </w:p>
    <w:p w14:paraId="13239B7C" w14:textId="77777777" w:rsidR="00613C53" w:rsidRPr="001141E4" w:rsidRDefault="008357B8" w:rsidP="00B27013">
      <w:pPr>
        <w:pStyle w:val="ListParagraph"/>
        <w:rPr>
          <w:rFonts w:eastAsia="Univers"/>
        </w:rPr>
      </w:pPr>
      <w:r w:rsidRPr="001141E4">
        <w:rPr>
          <w:rFonts w:eastAsia="Univers"/>
        </w:rPr>
        <w:t>reduced intensity and delayed timing of Intensive Activities for Stream 1 job seekers</w:t>
      </w:r>
      <w:r w:rsidR="00166EEE" w:rsidRPr="001141E4">
        <w:rPr>
          <w:rFonts w:eastAsia="Univers"/>
        </w:rPr>
        <w:t xml:space="preserve"> </w:t>
      </w:r>
      <w:r w:rsidR="00EC160C" w:rsidRPr="001141E4">
        <w:rPr>
          <w:rFonts w:eastAsia="Univers"/>
        </w:rPr>
        <w:t>(section 4.1)</w:t>
      </w:r>
    </w:p>
    <w:p w14:paraId="58109F3D" w14:textId="77777777" w:rsidR="00613C53" w:rsidRPr="001141E4" w:rsidRDefault="008357B8" w:rsidP="00B27013">
      <w:pPr>
        <w:pStyle w:val="ListParagraph"/>
        <w:rPr>
          <w:rFonts w:eastAsia="Univers"/>
        </w:rPr>
      </w:pPr>
      <w:r w:rsidRPr="001141E4">
        <w:rPr>
          <w:rFonts w:eastAsia="Univers"/>
        </w:rPr>
        <w:t>introduction of a Compulsory Activity Phase (CAP) for job seekers</w:t>
      </w:r>
      <w:r w:rsidR="00EC160C" w:rsidRPr="001141E4">
        <w:rPr>
          <w:rFonts w:eastAsia="Univers"/>
        </w:rPr>
        <w:t xml:space="preserve"> (section 6.1)</w:t>
      </w:r>
    </w:p>
    <w:p w14:paraId="10B9D409" w14:textId="77777777" w:rsidR="00613C53" w:rsidRPr="001141E4" w:rsidRDefault="008357B8" w:rsidP="00B27013">
      <w:pPr>
        <w:pStyle w:val="ListParagraph"/>
        <w:rPr>
          <w:rFonts w:eastAsia="Univers"/>
        </w:rPr>
      </w:pPr>
      <w:r w:rsidRPr="001141E4">
        <w:rPr>
          <w:rFonts w:eastAsia="Univers"/>
        </w:rPr>
        <w:t xml:space="preserve">initiatives designed to increase employment outcomes for </w:t>
      </w:r>
      <w:r w:rsidR="00C70E25">
        <w:t>Indigenous</w:t>
      </w:r>
      <w:r w:rsidRPr="001141E4">
        <w:rPr>
          <w:rFonts w:eastAsia="Univers"/>
        </w:rPr>
        <w:t xml:space="preserve"> job seekers</w:t>
      </w:r>
      <w:r w:rsidR="001F28F1">
        <w:rPr>
          <w:rFonts w:eastAsia="Univers"/>
        </w:rPr>
        <w:t xml:space="preserve"> (section </w:t>
      </w:r>
      <w:r w:rsidR="0087741A" w:rsidRPr="001141E4">
        <w:rPr>
          <w:rFonts w:eastAsia="Univers"/>
        </w:rPr>
        <w:t>7.1)</w:t>
      </w:r>
      <w:r w:rsidRPr="001141E4">
        <w:rPr>
          <w:rFonts w:eastAsia="Univers"/>
        </w:rPr>
        <w:t>.</w:t>
      </w:r>
    </w:p>
    <w:p w14:paraId="44080DD3" w14:textId="77777777" w:rsidR="008357B8" w:rsidRPr="00613C53" w:rsidRDefault="008357B8" w:rsidP="00882BE1">
      <w:pPr>
        <w:rPr>
          <w:rFonts w:eastAsia="Univers"/>
          <w:lang w:val="en-GB" w:eastAsia="en-AU"/>
        </w:rPr>
      </w:pPr>
      <w:r w:rsidRPr="00613C53">
        <w:rPr>
          <w:rFonts w:eastAsia="Univers"/>
          <w:lang w:val="en-GB" w:eastAsia="en-AU"/>
        </w:rPr>
        <w:t>The effects of these changes are explored separately later in this report.</w:t>
      </w:r>
    </w:p>
    <w:p w14:paraId="0407261B" w14:textId="77777777" w:rsidR="008357B8" w:rsidRPr="007E2D6A" w:rsidRDefault="008357B8" w:rsidP="008357B8">
      <w:r>
        <w:t>Stream 1 job seekers represented over 70 per cent of new entrants to employment services</w:t>
      </w:r>
      <w:r w:rsidR="005D03B0">
        <w:t xml:space="preserve"> (74.3 per</w:t>
      </w:r>
      <w:r w:rsidR="002303D5">
        <w:t xml:space="preserve"> </w:t>
      </w:r>
      <w:r w:rsidR="005D03B0">
        <w:t>cent in JSA</w:t>
      </w:r>
      <w:r w:rsidR="005966D6">
        <w:t xml:space="preserve"> </w:t>
      </w:r>
      <w:r w:rsidR="005D03B0">
        <w:t xml:space="preserve">2009 and 71.6 per cent in JSA 2012) </w:t>
      </w:r>
      <w:r>
        <w:t>(Table A1.1) and between 28 and 36 per cent of the caseload for the six years of JSA operation (</w:t>
      </w:r>
      <w:r w:rsidR="009245F1">
        <w:t xml:space="preserve">section </w:t>
      </w:r>
      <w:r>
        <w:t>2.1). Therefore changes made</w:t>
      </w:r>
      <w:r w:rsidR="005966D6">
        <w:t xml:space="preserve"> </w:t>
      </w:r>
      <w:r w:rsidR="005D03B0">
        <w:t>in the 2012 contract</w:t>
      </w:r>
      <w:r>
        <w:t xml:space="preserve"> to</w:t>
      </w:r>
      <w:r w:rsidR="005D03B0">
        <w:t xml:space="preserve"> the</w:t>
      </w:r>
      <w:r>
        <w:t xml:space="preserve"> fee</w:t>
      </w:r>
      <w:r w:rsidR="005D03B0">
        <w:t xml:space="preserve"> </w:t>
      </w:r>
      <w:r>
        <w:t>s</w:t>
      </w:r>
      <w:r w:rsidR="005D03B0">
        <w:t>tructure</w:t>
      </w:r>
      <w:r>
        <w:t xml:space="preserve"> for Stream 1 job seekers would have </w:t>
      </w:r>
      <w:r w:rsidR="005D03B0">
        <w:t>greatly</w:t>
      </w:r>
      <w:r>
        <w:t xml:space="preserve"> impact</w:t>
      </w:r>
      <w:r w:rsidR="005D03B0">
        <w:t>ed</w:t>
      </w:r>
      <w:r>
        <w:t xml:space="preserve"> the overall </w:t>
      </w:r>
      <w:r w:rsidR="007E2D6A">
        <w:t>‘</w:t>
      </w:r>
      <w:r w:rsidRPr="007E2D6A">
        <w:t>cost of employment outcomes</w:t>
      </w:r>
      <w:r w:rsidR="007E2D6A">
        <w:t>’</w:t>
      </w:r>
      <w:r w:rsidRPr="007E2D6A">
        <w:t xml:space="preserve"> measure.</w:t>
      </w:r>
    </w:p>
    <w:p w14:paraId="214D941B" w14:textId="77777777" w:rsidR="008357B8" w:rsidRPr="0099598E" w:rsidRDefault="008357B8" w:rsidP="0099598E">
      <w:pPr>
        <w:pStyle w:val="Heading4"/>
        <w:rPr>
          <w:rStyle w:val="Heading4Char"/>
          <w:b/>
          <w:bCs/>
          <w:iCs/>
        </w:rPr>
      </w:pPr>
      <w:r w:rsidRPr="0099598E">
        <w:rPr>
          <w:rStyle w:val="Heading4Char"/>
          <w:b/>
          <w:bCs/>
          <w:iCs/>
        </w:rPr>
        <w:t>Total cost to government</w:t>
      </w:r>
    </w:p>
    <w:p w14:paraId="38378F6C" w14:textId="77777777" w:rsidR="008357B8" w:rsidRDefault="00514BB0" w:rsidP="008357B8">
      <w:r>
        <w:t xml:space="preserve">The </w:t>
      </w:r>
      <w:r w:rsidR="008357B8">
        <w:t>effectiveness of the two JSA models for new entrant and LTU job seekers</w:t>
      </w:r>
      <w:r>
        <w:t xml:space="preserve"> (section</w:t>
      </w:r>
      <w:r w:rsidR="009245F1">
        <w:t>s</w:t>
      </w:r>
      <w:r>
        <w:t xml:space="preserve"> 3.1 and 3.2)</w:t>
      </w:r>
      <w:r w:rsidR="008357B8">
        <w:t xml:space="preserve"> </w:t>
      </w:r>
      <w:r w:rsidR="005D03B0">
        <w:t>include</w:t>
      </w:r>
      <w:r>
        <w:t xml:space="preserve"> that JSA 2012 was</w:t>
      </w:r>
      <w:r w:rsidR="005D03B0">
        <w:t>:</w:t>
      </w:r>
    </w:p>
    <w:p w14:paraId="4686043E" w14:textId="77777777" w:rsidR="008357B8" w:rsidRPr="006C1CF0" w:rsidRDefault="008357B8" w:rsidP="00B27013">
      <w:pPr>
        <w:pStyle w:val="ListParagraph"/>
      </w:pPr>
      <w:r w:rsidRPr="00E34095">
        <w:t>less effective in assisting new entrant job seekers to move off income support within 12 months of entering service (</w:t>
      </w:r>
      <w:r w:rsidR="006A12D5" w:rsidRPr="003F5085">
        <w:t>A</w:t>
      </w:r>
      <w:r w:rsidRPr="006C1CF0">
        <w:t>ME -6.5)</w:t>
      </w:r>
    </w:p>
    <w:p w14:paraId="1E5D887B" w14:textId="77777777" w:rsidR="00514BB0" w:rsidRPr="00EA214E" w:rsidRDefault="00514BB0" w:rsidP="00B27013">
      <w:pPr>
        <w:pStyle w:val="ListParagraph"/>
      </w:pPr>
      <w:r w:rsidRPr="006C1CF0">
        <w:t>less effective in assisting LTU job seekers to move off income support within 12 months of the snapshot date (</w:t>
      </w:r>
      <w:r w:rsidR="006A12D5" w:rsidRPr="00553086">
        <w:t>A</w:t>
      </w:r>
      <w:r w:rsidRPr="00EA214E">
        <w:t>ME -3.2)</w:t>
      </w:r>
    </w:p>
    <w:p w14:paraId="054994E1" w14:textId="77777777" w:rsidR="008357B8" w:rsidRPr="00735186" w:rsidRDefault="008357B8" w:rsidP="00B27013">
      <w:pPr>
        <w:pStyle w:val="ListParagraph"/>
      </w:pPr>
      <w:r w:rsidRPr="005C5E60">
        <w:t>less effective in achieving sustained exits from income support (</w:t>
      </w:r>
      <w:r w:rsidR="006A12D5" w:rsidRPr="005C5E60">
        <w:t>A</w:t>
      </w:r>
      <w:r w:rsidRPr="00735186">
        <w:t>ME -1.8) for new entrant job seekers</w:t>
      </w:r>
    </w:p>
    <w:p w14:paraId="72E12612" w14:textId="77777777" w:rsidR="008357B8" w:rsidRDefault="008357B8" w:rsidP="00B27013">
      <w:pPr>
        <w:pStyle w:val="ListParagraph"/>
      </w:pPr>
      <w:r w:rsidRPr="00024C64">
        <w:t>less effective in achieving</w:t>
      </w:r>
      <w:r w:rsidRPr="00E6421D">
        <w:t xml:space="preserve"> sustained exits from income support (</w:t>
      </w:r>
      <w:r w:rsidR="006A12D5">
        <w:t>A</w:t>
      </w:r>
      <w:r w:rsidRPr="00E6421D">
        <w:t>ME -2.1), for LTU job seekers.</w:t>
      </w:r>
    </w:p>
    <w:p w14:paraId="427E726E" w14:textId="77777777" w:rsidR="00514BB0" w:rsidRPr="00E6421D" w:rsidRDefault="00514BB0" w:rsidP="00A57E9F">
      <w:r>
        <w:t xml:space="preserve">The last two dot points indicate the </w:t>
      </w:r>
      <w:r w:rsidRPr="00E6421D">
        <w:t>possib</w:t>
      </w:r>
      <w:r>
        <w:t>i</w:t>
      </w:r>
      <w:r w:rsidRPr="00E6421D">
        <w:t>l</w:t>
      </w:r>
      <w:r>
        <w:t>it</w:t>
      </w:r>
      <w:r w:rsidRPr="00E6421D">
        <w:t>y</w:t>
      </w:r>
      <w:r>
        <w:t xml:space="preserve"> of</w:t>
      </w:r>
      <w:r w:rsidRPr="00E6421D">
        <w:t xml:space="preserve"> higher </w:t>
      </w:r>
      <w:r w:rsidR="00A504DB">
        <w:t xml:space="preserve">rates of return </w:t>
      </w:r>
      <w:r w:rsidRPr="00E6421D">
        <w:t xml:space="preserve">into employment services or movement to other non-activity </w:t>
      </w:r>
      <w:r w:rsidR="008D178A">
        <w:t xml:space="preserve">tested types of </w:t>
      </w:r>
      <w:r w:rsidRPr="00E6421D">
        <w:t>income support</w:t>
      </w:r>
      <w:r w:rsidR="008D178A">
        <w:t xml:space="preserve">, </w:t>
      </w:r>
      <w:r w:rsidRPr="00E6421D">
        <w:t>such as DSP</w:t>
      </w:r>
      <w:r w:rsidR="00166EEE">
        <w:t>.</w:t>
      </w:r>
    </w:p>
    <w:p w14:paraId="07F8C366" w14:textId="4F4FFE34" w:rsidR="00493002" w:rsidRDefault="00493002" w:rsidP="008357B8">
      <w:r>
        <w:t>While income support costs do not assist job seekers into employment in the same way that JSA fees do, they are still a part of the overall cost to the government. At any point in time, t</w:t>
      </w:r>
      <w:r w:rsidRPr="00C21E8E">
        <w:t xml:space="preserve">he vast majority of the JSA caseload </w:t>
      </w:r>
      <w:r w:rsidR="00C84926">
        <w:t>were</w:t>
      </w:r>
      <w:r w:rsidR="00C84926" w:rsidRPr="00C21E8E">
        <w:t xml:space="preserve"> </w:t>
      </w:r>
      <w:r w:rsidRPr="00C21E8E">
        <w:t xml:space="preserve">on income support. </w:t>
      </w:r>
      <w:r>
        <w:t>For example, a</w:t>
      </w:r>
      <w:r w:rsidRPr="00C21E8E">
        <w:t xml:space="preserve">t 30 June 2012 68.9 per cent of the active caseload was on NSA, 11.1 per cent </w:t>
      </w:r>
      <w:r w:rsidR="00166EEE">
        <w:t>YA</w:t>
      </w:r>
      <w:r w:rsidR="002303D5">
        <w:t>(O)</w:t>
      </w:r>
      <w:r w:rsidRPr="00C21E8E">
        <w:t>, 0.6 per cent on DS</w:t>
      </w:r>
      <w:r>
        <w:t>P</w:t>
      </w:r>
      <w:r w:rsidRPr="00C21E8E">
        <w:t xml:space="preserve"> and 10.7 per cent on </w:t>
      </w:r>
      <w:r w:rsidR="00166EEE">
        <w:t>PP.</w:t>
      </w:r>
      <w:r>
        <w:rPr>
          <w:rStyle w:val="FootnoteReference"/>
        </w:rPr>
        <w:footnoteReference w:id="25"/>
      </w:r>
    </w:p>
    <w:p w14:paraId="6D6CE6EF" w14:textId="071F155F" w:rsidR="008357B8" w:rsidRDefault="00493002" w:rsidP="008357B8">
      <w:r>
        <w:t>A consequence of these</w:t>
      </w:r>
      <w:r w:rsidR="0041014B">
        <w:t xml:space="preserve"> </w:t>
      </w:r>
      <w:r w:rsidR="00361E7D">
        <w:t>effectiveness</w:t>
      </w:r>
      <w:r>
        <w:t xml:space="preserve"> findings is additional cost to government in income support payments. </w:t>
      </w:r>
      <w:r w:rsidR="008357B8">
        <w:t>Therefore</w:t>
      </w:r>
      <w:r w:rsidR="00294CB5">
        <w:t>,</w:t>
      </w:r>
      <w:r w:rsidR="008357B8">
        <w:t xml:space="preserve"> while the cost per employment outcome for JSA 2012 (Table</w:t>
      </w:r>
      <w:r w:rsidR="002303D5">
        <w:t xml:space="preserve"> </w:t>
      </w:r>
      <w:r w:rsidR="008357B8">
        <w:t>3.</w:t>
      </w:r>
      <w:r w:rsidR="00331592">
        <w:t>8</w:t>
      </w:r>
      <w:r w:rsidR="008357B8">
        <w:t>) implies a more cost effective employment service</w:t>
      </w:r>
      <w:r w:rsidR="00E7638D">
        <w:t>s</w:t>
      </w:r>
      <w:r w:rsidR="008357B8">
        <w:t xml:space="preserve"> delivery model</w:t>
      </w:r>
      <w:r w:rsidR="008D178A">
        <w:t>,</w:t>
      </w:r>
      <w:r w:rsidR="008357B8">
        <w:t xml:space="preserve"> this saving </w:t>
      </w:r>
      <w:r w:rsidR="00361E7D">
        <w:t>was</w:t>
      </w:r>
      <w:r w:rsidR="008357B8">
        <w:t xml:space="preserve"> at the expense of job seeker outcomes (and any secondary costs arising as a consequence of longer periods of unemployment) and has resulted in increased costs to the income support system</w:t>
      </w:r>
      <w:r w:rsidR="008D178A">
        <w:t>.</w:t>
      </w:r>
      <w:r w:rsidR="008357B8">
        <w:rPr>
          <w:rStyle w:val="FootnoteReference"/>
        </w:rPr>
        <w:footnoteReference w:id="26"/>
      </w:r>
    </w:p>
    <w:p w14:paraId="05E45896" w14:textId="77777777" w:rsidR="008357B8" w:rsidRDefault="00493002" w:rsidP="008357B8">
      <w:r>
        <w:t>T</w:t>
      </w:r>
      <w:r w:rsidR="008357B8">
        <w:t>he</w:t>
      </w:r>
      <w:r w:rsidRPr="00493002">
        <w:t xml:space="preserve"> </w:t>
      </w:r>
      <w:r>
        <w:t>conservative estimates of the increased income support costs</w:t>
      </w:r>
      <w:r w:rsidR="008357B8">
        <w:t xml:space="preserve"> </w:t>
      </w:r>
      <w:r>
        <w:t xml:space="preserve">on the </w:t>
      </w:r>
      <w:r w:rsidR="008357B8">
        <w:t xml:space="preserve">new entrant and LTU study populations are </w:t>
      </w:r>
      <w:r w:rsidR="00B9563B">
        <w:t xml:space="preserve">used here to illustrate </w:t>
      </w:r>
      <w:r w:rsidR="008357B8">
        <w:t>the magnitude of additional costs to government.</w:t>
      </w:r>
      <w:r w:rsidR="000D4797">
        <w:rPr>
          <w:rStyle w:val="FootnoteReference"/>
        </w:rPr>
        <w:footnoteReference w:id="27"/>
      </w:r>
      <w:r w:rsidR="008357B8">
        <w:t xml:space="preserve"> </w:t>
      </w:r>
      <w:r w:rsidR="000D4797">
        <w:t xml:space="preserve">As a consequence of the lower JSA 2012 exit rates from income support at 12 months </w:t>
      </w:r>
      <w:r w:rsidR="00815EA5">
        <w:t>post</w:t>
      </w:r>
      <w:r w:rsidR="000D4797">
        <w:t xml:space="preserve"> commencement for new entrant job seekers, t</w:t>
      </w:r>
      <w:r w:rsidR="008357B8">
        <w:t xml:space="preserve">he additional costs to the income support system </w:t>
      </w:r>
      <w:r w:rsidR="00B9563B">
        <w:t>was</w:t>
      </w:r>
      <w:r w:rsidR="008357B8">
        <w:t xml:space="preserve"> at least $1,900 more </w:t>
      </w:r>
      <w:r w:rsidR="00B9563B">
        <w:t xml:space="preserve">in </w:t>
      </w:r>
      <w:r w:rsidR="008357B8">
        <w:t>income support payments in the first 12 months of service</w:t>
      </w:r>
      <w:r w:rsidR="00361E7D">
        <w:t>,</w:t>
      </w:r>
      <w:r w:rsidR="008357B8">
        <w:t xml:space="preserve"> for each employment outcome. Additionally, </w:t>
      </w:r>
      <w:r w:rsidR="00361E7D">
        <w:t xml:space="preserve">income support costs would have further increased because of the likelihood of increased </w:t>
      </w:r>
      <w:r w:rsidR="00A504DB">
        <w:t xml:space="preserve">rates of return </w:t>
      </w:r>
      <w:r w:rsidR="008357B8">
        <w:t>to income support within 12 months of exiting income support</w:t>
      </w:r>
      <w:r w:rsidR="00361E7D">
        <w:t>. This is because JSA 2012 new entrant income support exits were less sustainable than those under JSA 2009</w:t>
      </w:r>
      <w:r w:rsidR="008357B8">
        <w:t>.</w:t>
      </w:r>
    </w:p>
    <w:p w14:paraId="24272C6A" w14:textId="77777777" w:rsidR="00B9563B" w:rsidRDefault="00B9563B" w:rsidP="00882BE1">
      <w:r>
        <w:t xml:space="preserve">Conservative </w:t>
      </w:r>
      <w:r w:rsidR="00815EA5">
        <w:t xml:space="preserve">estimates </w:t>
      </w:r>
      <w:r>
        <w:t>f</w:t>
      </w:r>
      <w:r w:rsidR="008357B8">
        <w:t xml:space="preserve">or </w:t>
      </w:r>
      <w:r w:rsidR="00315448">
        <w:t>LTU</w:t>
      </w:r>
      <w:r w:rsidR="008357B8">
        <w:t xml:space="preserve"> job seekers</w:t>
      </w:r>
      <w:r w:rsidR="00815EA5">
        <w:t xml:space="preserve"> were</w:t>
      </w:r>
      <w:r w:rsidR="008357B8">
        <w:t xml:space="preserve"> at least $2,900 higher income support costs for each employment outcome achieved by this cohort in the twelve months from the snapshot date. Again</w:t>
      </w:r>
      <w:r w:rsidR="00815EA5">
        <w:t>,</w:t>
      </w:r>
      <w:r w:rsidR="008357B8">
        <w:t xml:space="preserve"> as </w:t>
      </w:r>
      <w:r w:rsidR="00315448">
        <w:t>LTU</w:t>
      </w:r>
      <w:r w:rsidR="008357B8">
        <w:t xml:space="preserve"> JSA 2012 job seekers were found to be more likely to </w:t>
      </w:r>
      <w:r w:rsidR="00A504DB">
        <w:t xml:space="preserve">return </w:t>
      </w:r>
      <w:r w:rsidR="008357B8">
        <w:t>to income support within 12 months of exiting income support than those in JSA 2009, income support costs would have been further increased as a consequence.</w:t>
      </w:r>
      <w:r w:rsidR="008357B8">
        <w:rPr>
          <w:rStyle w:val="FootnoteReference"/>
        </w:rPr>
        <w:footnoteReference w:id="28"/>
      </w:r>
    </w:p>
    <w:p w14:paraId="0DDFA1A6" w14:textId="77777777" w:rsidR="00B9563B" w:rsidRDefault="006C0340" w:rsidP="00B9563B">
      <w:pPr>
        <w:pStyle w:val="Heading3"/>
      </w:pPr>
      <w:bookmarkStart w:id="237" w:name="_Toc22543083"/>
      <w:r>
        <w:t>3.3.3</w:t>
      </w:r>
      <w:r w:rsidR="00B9563B">
        <w:tab/>
        <w:t>Conclusion</w:t>
      </w:r>
      <w:bookmarkEnd w:id="237"/>
    </w:p>
    <w:p w14:paraId="57490730" w14:textId="09E765F3" w:rsidR="00712A8A" w:rsidRDefault="00B9563B" w:rsidP="00712A8A">
      <w:r>
        <w:t xml:space="preserve">The </w:t>
      </w:r>
      <w:r w:rsidR="00712A8A">
        <w:t xml:space="preserve">overall </w:t>
      </w:r>
      <w:r>
        <w:t xml:space="preserve">cost for </w:t>
      </w:r>
      <w:r w:rsidR="00712A8A">
        <w:t>JSA 2009 was higher than for JSA 2012 by around $500 million.</w:t>
      </w:r>
      <w:r w:rsidR="00D52B1F">
        <w:t xml:space="preserve"> </w:t>
      </w:r>
      <w:r w:rsidR="00D52B1F" w:rsidRPr="003367BF">
        <w:t xml:space="preserve">Increased duration of job seekers in employment services </w:t>
      </w:r>
      <w:r w:rsidR="00DA5871" w:rsidRPr="003367BF">
        <w:t xml:space="preserve">led to </w:t>
      </w:r>
      <w:r w:rsidR="00325BBF" w:rsidRPr="003367BF">
        <w:t>a greater proportion of them being in service for more than 12 months.</w:t>
      </w:r>
      <w:r w:rsidR="00325BBF">
        <w:t xml:space="preserve"> This in turn reduced the average service fee per job seeker being paid to providers.</w:t>
      </w:r>
      <w:r w:rsidR="00D52B1F">
        <w:t xml:space="preserve"> </w:t>
      </w:r>
      <w:r w:rsidR="00325BBF">
        <w:t>Other factors contributing to this included</w:t>
      </w:r>
      <w:r w:rsidR="00D52B1F">
        <w:t xml:space="preserve"> programme </w:t>
      </w:r>
      <w:r w:rsidR="00712A8A">
        <w:t xml:space="preserve">changes </w:t>
      </w:r>
      <w:r w:rsidR="00325BBF">
        <w:t xml:space="preserve">such as </w:t>
      </w:r>
      <w:r w:rsidR="00712A8A" w:rsidRPr="00712A8A">
        <w:rPr>
          <w:rFonts w:eastAsia="Univers" w:cs="Garamond"/>
          <w:color w:val="000000"/>
          <w:lang w:val="en-GB" w:eastAsia="en-AU"/>
        </w:rPr>
        <w:t xml:space="preserve">reduced Service Fees for Stream 1 </w:t>
      </w:r>
      <w:r w:rsidR="00712A8A">
        <w:t xml:space="preserve">in the first twelve months of service and a single tier fee structure which ultimately resulted </w:t>
      </w:r>
      <w:r w:rsidR="00750FA4">
        <w:t xml:space="preserve">in </w:t>
      </w:r>
      <w:r w:rsidR="00712A8A">
        <w:t>lower maximum outcome payments in JSA 2012.</w:t>
      </w:r>
      <w:r w:rsidR="00D52B1F">
        <w:t xml:space="preserve"> This is discussed further in Chapter 10.</w:t>
      </w:r>
    </w:p>
    <w:p w14:paraId="27A5AAE2" w14:textId="77777777" w:rsidR="00712A8A" w:rsidRDefault="00572FB8" w:rsidP="00712A8A">
      <w:r>
        <w:t>The</w:t>
      </w:r>
      <w:r w:rsidR="00315448">
        <w:t xml:space="preserve"> overall</w:t>
      </w:r>
      <w:r>
        <w:t xml:space="preserve"> cost reductions are reflected in the </w:t>
      </w:r>
      <w:r w:rsidR="007E2D6A">
        <w:t>‘</w:t>
      </w:r>
      <w:r w:rsidRPr="007E2D6A">
        <w:t>cost per employment outcome</w:t>
      </w:r>
      <w:r w:rsidR="007E2D6A">
        <w:t>’</w:t>
      </w:r>
      <w:r w:rsidRPr="007E2D6A">
        <w:t xml:space="preserve"> measure</w:t>
      </w:r>
      <w:r>
        <w:t xml:space="preserve">, </w:t>
      </w:r>
      <w:r w:rsidR="00315448">
        <w:t xml:space="preserve">which is </w:t>
      </w:r>
      <w:r>
        <w:t xml:space="preserve">lower for </w:t>
      </w:r>
      <w:r w:rsidR="00315448">
        <w:t>JSA 2012</w:t>
      </w:r>
      <w:r>
        <w:t xml:space="preserve"> for most </w:t>
      </w:r>
      <w:r w:rsidR="00EC160C">
        <w:t>s</w:t>
      </w:r>
      <w:r>
        <w:t xml:space="preserve">treams of service over </w:t>
      </w:r>
      <w:r w:rsidR="00315448">
        <w:t xml:space="preserve">the contract period </w:t>
      </w:r>
      <w:r>
        <w:t>(Table 3.</w:t>
      </w:r>
      <w:r w:rsidR="00331592">
        <w:t>8</w:t>
      </w:r>
      <w:r>
        <w:t>)</w:t>
      </w:r>
      <w:r w:rsidR="00315448">
        <w:t>.</w:t>
      </w:r>
    </w:p>
    <w:p w14:paraId="19996FE7" w14:textId="77777777" w:rsidR="003C29A5" w:rsidRDefault="00572FB8" w:rsidP="00B9563B">
      <w:r>
        <w:t xml:space="preserve">Conservative estimates of the </w:t>
      </w:r>
      <w:r w:rsidR="00315448">
        <w:t>increased</w:t>
      </w:r>
      <w:r>
        <w:t xml:space="preserve"> cost of income support</w:t>
      </w:r>
      <w:r w:rsidR="009420D1">
        <w:t xml:space="preserve"> (</w:t>
      </w:r>
      <w:r>
        <w:t>resulting from lower outcome rates in JSA 2012</w:t>
      </w:r>
      <w:r w:rsidR="009420D1">
        <w:t>)</w:t>
      </w:r>
      <w:r>
        <w:t xml:space="preserve"> indicate that the </w:t>
      </w:r>
      <w:r w:rsidR="009420D1">
        <w:t xml:space="preserve">actual </w:t>
      </w:r>
      <w:r>
        <w:t>cost to government was probably higher for JSA 2012 than JSA 2009</w:t>
      </w:r>
      <w:r w:rsidR="00B9563B">
        <w:t>.</w:t>
      </w:r>
    </w:p>
    <w:p w14:paraId="2E66B58E" w14:textId="77777777" w:rsidR="003C29A5" w:rsidRDefault="003C29A5">
      <w:r>
        <w:br w:type="page"/>
      </w:r>
    </w:p>
    <w:p w14:paraId="354FCAC0" w14:textId="77777777" w:rsidR="004541A6" w:rsidRDefault="004541A6" w:rsidP="00F56761">
      <w:pPr>
        <w:pStyle w:val="Heading1"/>
      </w:pPr>
      <w:bookmarkStart w:id="238" w:name="_Toc22543084"/>
      <w:r>
        <w:t>4</w:t>
      </w:r>
      <w:r>
        <w:tab/>
      </w:r>
      <w:r w:rsidR="003F752C">
        <w:t xml:space="preserve">Changes to Stream </w:t>
      </w:r>
      <w:r w:rsidR="006F2A3F">
        <w:t xml:space="preserve">1 </w:t>
      </w:r>
      <w:r w:rsidR="003F752C">
        <w:t>servicing</w:t>
      </w:r>
      <w:bookmarkEnd w:id="140"/>
      <w:bookmarkEnd w:id="238"/>
    </w:p>
    <w:p w14:paraId="5121EA23" w14:textId="77777777" w:rsidR="00AF410D" w:rsidRPr="009C3C01" w:rsidRDefault="00AF410D" w:rsidP="00AF410D">
      <w:pPr>
        <w:pStyle w:val="Heading2"/>
      </w:pPr>
      <w:bookmarkStart w:id="239" w:name="_Toc450919334"/>
      <w:bookmarkStart w:id="240" w:name="_Toc22543085"/>
      <w:bookmarkStart w:id="241" w:name="_Toc402170618"/>
      <w:r>
        <w:t>4.1</w:t>
      </w:r>
      <w:r>
        <w:tab/>
        <w:t>Introduction</w:t>
      </w:r>
      <w:bookmarkEnd w:id="239"/>
      <w:bookmarkEnd w:id="240"/>
    </w:p>
    <w:p w14:paraId="1D201802" w14:textId="77777777" w:rsidR="009C3C01" w:rsidRPr="009C3C01" w:rsidRDefault="00A76FB2" w:rsidP="009C3C01">
      <w:r>
        <w:t>With the introduction of JSA 2012, changes to the support of Stream 1 job seekers</w:t>
      </w:r>
      <w:r w:rsidR="00315448" w:rsidRPr="00315448">
        <w:t xml:space="preserve"> </w:t>
      </w:r>
      <w:r w:rsidR="00315448">
        <w:t>were implemented</w:t>
      </w:r>
      <w:r>
        <w:t>.</w:t>
      </w:r>
      <w:r w:rsidR="009C3C01" w:rsidRPr="009C3C01">
        <w:t xml:space="preserve"> The main changes </w:t>
      </w:r>
      <w:r w:rsidR="00A6571E">
        <w:t>were</w:t>
      </w:r>
      <w:r w:rsidR="009C3C01" w:rsidRPr="009C3C01">
        <w:t>:</w:t>
      </w:r>
    </w:p>
    <w:p w14:paraId="7345CFA7" w14:textId="77777777" w:rsidR="009C3C01" w:rsidRPr="0099598E" w:rsidRDefault="009C3C01" w:rsidP="00B27013">
      <w:pPr>
        <w:pStyle w:val="ListParagraph"/>
      </w:pPr>
      <w:r w:rsidRPr="0099598E">
        <w:rPr>
          <w:b/>
        </w:rPr>
        <w:t>Intensive activity</w:t>
      </w:r>
      <w:r w:rsidRPr="0099598E">
        <w:t xml:space="preserve"> - The timing and intensity of these activities changed. The number of hours of activities was reduced </w:t>
      </w:r>
      <w:r w:rsidR="008A1C4E" w:rsidRPr="0099598E">
        <w:t xml:space="preserve">to </w:t>
      </w:r>
      <w:r w:rsidRPr="0099598E">
        <w:t xml:space="preserve">25 hours </w:t>
      </w:r>
      <w:r w:rsidR="008A1C4E" w:rsidRPr="0099598E">
        <w:t>(</w:t>
      </w:r>
      <w:r w:rsidRPr="0099598E">
        <w:t>compared with 60 hours under JSA 2009) and the timing of activities moved from the end of the fourth month of service to between the 26</w:t>
      </w:r>
      <w:r w:rsidRPr="0099598E">
        <w:rPr>
          <w:vertAlign w:val="superscript"/>
        </w:rPr>
        <w:t>th</w:t>
      </w:r>
      <w:r w:rsidRPr="0099598E">
        <w:t xml:space="preserve"> and 30</w:t>
      </w:r>
      <w:r w:rsidRPr="0099598E">
        <w:rPr>
          <w:vertAlign w:val="superscript"/>
        </w:rPr>
        <w:t>th</w:t>
      </w:r>
      <w:r w:rsidRPr="0099598E">
        <w:t xml:space="preserve"> week of service.</w:t>
      </w:r>
    </w:p>
    <w:p w14:paraId="583C2C15" w14:textId="77777777" w:rsidR="009C3C01" w:rsidRPr="0099598E" w:rsidRDefault="009C3C01" w:rsidP="00B27013">
      <w:pPr>
        <w:pStyle w:val="ListParagraph"/>
      </w:pPr>
      <w:r w:rsidRPr="0099598E">
        <w:rPr>
          <w:b/>
        </w:rPr>
        <w:t>Skills Assessment</w:t>
      </w:r>
      <w:r w:rsidRPr="0099598E">
        <w:t xml:space="preserve"> - Skills Assessments </w:t>
      </w:r>
      <w:r w:rsidR="00AB1A07" w:rsidRPr="0099598E">
        <w:t xml:space="preserve">which had been </w:t>
      </w:r>
      <w:r w:rsidRPr="0099598E">
        <w:t>conducted before the job seeker completed their fourth month in service</w:t>
      </w:r>
      <w:r w:rsidR="00AB1A07" w:rsidRPr="0099598E">
        <w:t xml:space="preserve"> under JSA 2009, </w:t>
      </w:r>
      <w:r w:rsidRPr="0099598E">
        <w:t>were only required before the end of 30 weeks in service. This change aligns with the change in timing for Intensive Activities.</w:t>
      </w:r>
    </w:p>
    <w:p w14:paraId="1774098F" w14:textId="77777777" w:rsidR="009C3C01" w:rsidRPr="0099598E" w:rsidRDefault="009C3C01" w:rsidP="00B27013">
      <w:pPr>
        <w:pStyle w:val="ListParagraph"/>
      </w:pPr>
      <w:r w:rsidRPr="0099598E">
        <w:rPr>
          <w:b/>
        </w:rPr>
        <w:t>Job placement fees</w:t>
      </w:r>
      <w:r w:rsidRPr="0099598E">
        <w:t xml:space="preserve"> – For JSA 2012 job placement fees were available from the time a job seeker registered for service. Under JSA 2009 these fees were not paid for job placements in the first 13 weeks of service. The amount of remuneration for job placement fees remained the same.</w:t>
      </w:r>
    </w:p>
    <w:p w14:paraId="599F63F3" w14:textId="73C6B557" w:rsidR="009C3C01" w:rsidRPr="009C3C01" w:rsidRDefault="009C3C01" w:rsidP="00B27013">
      <w:pPr>
        <w:pStyle w:val="ListParagraph"/>
      </w:pPr>
      <w:r w:rsidRPr="0099598E">
        <w:rPr>
          <w:b/>
        </w:rPr>
        <w:t>Service fees to providers</w:t>
      </w:r>
      <w:r w:rsidRPr="0099598E">
        <w:t xml:space="preserve"> – </w:t>
      </w:r>
      <w:r w:rsidR="009245F1" w:rsidRPr="0099598E">
        <w:t>S</w:t>
      </w:r>
      <w:r w:rsidRPr="0099598E">
        <w:t xml:space="preserve">ervice fees were lower </w:t>
      </w:r>
      <w:r w:rsidR="00270CB8" w:rsidRPr="0099598E">
        <w:t>in JSA 2012</w:t>
      </w:r>
      <w:r w:rsidR="002303D5" w:rsidRPr="0099598E">
        <w:t xml:space="preserve"> </w:t>
      </w:r>
      <w:r w:rsidRPr="0099598E">
        <w:t>than JSA 2009. This was designed to reflect the</w:t>
      </w:r>
      <w:r w:rsidRPr="009C3C01">
        <w:t xml:space="preserve"> reduced (and therefore less costly) Intensive Activity requirements. Under JSA 2012 the bulk of the first </w:t>
      </w:r>
      <w:r w:rsidR="0008723A" w:rsidRPr="009C3C01">
        <w:t>12-month</w:t>
      </w:r>
      <w:r w:rsidRPr="009C3C01">
        <w:t xml:space="preserve"> service fee was paid in the third quarter rather than the second, as was the case for JSA 2009, reflecting changes in the timing of the Intensive Activity requirement.</w:t>
      </w:r>
    </w:p>
    <w:p w14:paraId="52CA5989" w14:textId="77777777" w:rsidR="00A6571E" w:rsidRDefault="00A76FB2" w:rsidP="00904C78">
      <w:pPr>
        <w:spacing w:before="240"/>
      </w:pPr>
      <w:r>
        <w:t>This Chapter investigates the effect these changes had on outcomes for Stream 1 job seekers, especially on new entrants</w:t>
      </w:r>
      <w:r w:rsidR="007000B5">
        <w:t xml:space="preserve"> in JSA 2012 and compares these with the servicing for the equivalent population in JSA 2009</w:t>
      </w:r>
      <w:r>
        <w:t>.</w:t>
      </w:r>
    </w:p>
    <w:p w14:paraId="37D9CB11" w14:textId="77777777" w:rsidR="009C3C01" w:rsidRPr="009C3C01" w:rsidRDefault="009C3C01" w:rsidP="00904C78">
      <w:pPr>
        <w:spacing w:before="240"/>
      </w:pPr>
      <w:r w:rsidRPr="009C3C01">
        <w:t xml:space="preserve">See Appendix </w:t>
      </w:r>
      <w:r w:rsidR="00904C78">
        <w:t>B2</w:t>
      </w:r>
      <w:r w:rsidRPr="009C3C01">
        <w:t xml:space="preserve"> for details of the methodology used for this analysis.</w:t>
      </w:r>
    </w:p>
    <w:p w14:paraId="39500D0A" w14:textId="77777777" w:rsidR="009C3C01" w:rsidRPr="009C3C01" w:rsidRDefault="00D319E7" w:rsidP="00D319E7">
      <w:pPr>
        <w:pStyle w:val="Heading2"/>
      </w:pPr>
      <w:bookmarkStart w:id="242" w:name="_Toc450919335"/>
      <w:bookmarkStart w:id="243" w:name="_Toc22543086"/>
      <w:r>
        <w:t>4.</w:t>
      </w:r>
      <w:r w:rsidR="00AF410D">
        <w:t>2</w:t>
      </w:r>
      <w:r>
        <w:tab/>
      </w:r>
      <w:r w:rsidR="009C3C01" w:rsidRPr="009C3C01">
        <w:t>Key findings</w:t>
      </w:r>
      <w:bookmarkEnd w:id="242"/>
      <w:bookmarkEnd w:id="243"/>
    </w:p>
    <w:p w14:paraId="4F110582" w14:textId="77777777" w:rsidR="009C3C01" w:rsidRPr="009C3C01" w:rsidRDefault="00D319E7" w:rsidP="00D319E7">
      <w:pPr>
        <w:pStyle w:val="Heading3"/>
      </w:pPr>
      <w:bookmarkStart w:id="244" w:name="_Toc22543087"/>
      <w:r>
        <w:t>4.</w:t>
      </w:r>
      <w:r w:rsidR="00AF410D">
        <w:t>2</w:t>
      </w:r>
      <w:r>
        <w:t>.1</w:t>
      </w:r>
      <w:r>
        <w:tab/>
      </w:r>
      <w:r w:rsidR="009C3C01" w:rsidRPr="009C3C01">
        <w:t>Changes in provider practices</w:t>
      </w:r>
      <w:bookmarkEnd w:id="244"/>
    </w:p>
    <w:p w14:paraId="5B0D3400" w14:textId="77777777" w:rsidR="009C3C01" w:rsidRPr="009C3C01" w:rsidRDefault="00882931" w:rsidP="009C3C01">
      <w:pPr>
        <w:rPr>
          <w:rFonts w:eastAsiaTheme="majorEastAsia"/>
        </w:rPr>
      </w:pPr>
      <w:r>
        <w:rPr>
          <w:rFonts w:eastAsiaTheme="majorEastAsia"/>
        </w:rPr>
        <w:t>Changes to p</w:t>
      </w:r>
      <w:r w:rsidR="00270CB8">
        <w:rPr>
          <w:rFonts w:eastAsiaTheme="majorEastAsia"/>
        </w:rPr>
        <w:t xml:space="preserve">olicy </w:t>
      </w:r>
      <w:r w:rsidR="00270CB8" w:rsidRPr="009C3C01">
        <w:rPr>
          <w:rFonts w:eastAsiaTheme="majorEastAsia"/>
        </w:rPr>
        <w:t xml:space="preserve">and service fee schedules </w:t>
      </w:r>
      <w:r w:rsidR="00270CB8">
        <w:rPr>
          <w:rFonts w:eastAsiaTheme="majorEastAsia"/>
        </w:rPr>
        <w:t xml:space="preserve">typically provoke changes </w:t>
      </w:r>
      <w:r w:rsidR="007000B5">
        <w:rPr>
          <w:rFonts w:eastAsiaTheme="majorEastAsia"/>
        </w:rPr>
        <w:t>in</w:t>
      </w:r>
      <w:r w:rsidR="00270CB8">
        <w:rPr>
          <w:rFonts w:eastAsiaTheme="majorEastAsia"/>
        </w:rPr>
        <w:t xml:space="preserve"> p</w:t>
      </w:r>
      <w:r w:rsidR="00270CB8" w:rsidRPr="009C3C01">
        <w:rPr>
          <w:rFonts w:eastAsiaTheme="majorEastAsia"/>
        </w:rPr>
        <w:t>rovider practices</w:t>
      </w:r>
      <w:r w:rsidR="00270CB8">
        <w:rPr>
          <w:rFonts w:eastAsiaTheme="majorEastAsia"/>
        </w:rPr>
        <w:t xml:space="preserve"> to reflect new environments. In </w:t>
      </w:r>
      <w:r>
        <w:rPr>
          <w:rFonts w:eastAsiaTheme="majorEastAsia"/>
        </w:rPr>
        <w:t>this case</w:t>
      </w:r>
      <w:r w:rsidR="00270CB8">
        <w:rPr>
          <w:rFonts w:eastAsiaTheme="majorEastAsia"/>
        </w:rPr>
        <w:t>,</w:t>
      </w:r>
      <w:r>
        <w:rPr>
          <w:rFonts w:eastAsiaTheme="majorEastAsia"/>
        </w:rPr>
        <w:t xml:space="preserve"> the consequence was that</w:t>
      </w:r>
      <w:r w:rsidR="00270CB8">
        <w:rPr>
          <w:rFonts w:eastAsiaTheme="majorEastAsia"/>
        </w:rPr>
        <w:t xml:space="preserve"> </w:t>
      </w:r>
      <w:r w:rsidR="009C3C01" w:rsidRPr="009C3C01">
        <w:rPr>
          <w:rFonts w:eastAsiaTheme="majorEastAsia"/>
        </w:rPr>
        <w:t xml:space="preserve">Intensive Activities and Skills Assessments </w:t>
      </w:r>
      <w:r w:rsidR="00270CB8">
        <w:rPr>
          <w:rFonts w:eastAsiaTheme="majorEastAsia"/>
        </w:rPr>
        <w:t xml:space="preserve">for Stream 1 job seekers </w:t>
      </w:r>
      <w:r w:rsidR="00750FA4" w:rsidRPr="009C3C01">
        <w:rPr>
          <w:rFonts w:eastAsiaTheme="majorEastAsia"/>
        </w:rPr>
        <w:t>occur</w:t>
      </w:r>
      <w:r w:rsidR="00750FA4">
        <w:rPr>
          <w:rFonts w:eastAsiaTheme="majorEastAsia"/>
        </w:rPr>
        <w:t>red</w:t>
      </w:r>
      <w:r w:rsidR="009C3C01" w:rsidRPr="009C3C01">
        <w:rPr>
          <w:rFonts w:eastAsiaTheme="majorEastAsia"/>
        </w:rPr>
        <w:t xml:space="preserve"> later in the service delivery period</w:t>
      </w:r>
      <w:r w:rsidR="00270CB8">
        <w:rPr>
          <w:rFonts w:eastAsiaTheme="majorEastAsia"/>
        </w:rPr>
        <w:t xml:space="preserve"> than they had under 2009</w:t>
      </w:r>
      <w:r w:rsidR="009C3C01" w:rsidRPr="009C3C01">
        <w:rPr>
          <w:rFonts w:eastAsiaTheme="majorEastAsia"/>
        </w:rPr>
        <w:t>.</w:t>
      </w:r>
    </w:p>
    <w:p w14:paraId="2490D3CC" w14:textId="77777777" w:rsidR="009C3C01" w:rsidRPr="009C3C01" w:rsidRDefault="009C3C01" w:rsidP="00D319E7">
      <w:pPr>
        <w:pStyle w:val="Heading4"/>
        <w:rPr>
          <w:color w:val="000000" w:themeColor="text1"/>
        </w:rPr>
      </w:pPr>
      <w:r w:rsidRPr="009C3C01">
        <w:t>Intensive Activities</w:t>
      </w:r>
    </w:p>
    <w:p w14:paraId="6319ECE2" w14:textId="77777777" w:rsidR="009C3C01" w:rsidRPr="009C3C01" w:rsidRDefault="009C3C01" w:rsidP="00F9208E">
      <w:pPr>
        <w:spacing w:before="120"/>
        <w:rPr>
          <w:color w:val="000000" w:themeColor="text1"/>
        </w:rPr>
      </w:pPr>
      <w:bookmarkStart w:id="245" w:name="_Toc410313448"/>
      <w:r w:rsidRPr="009C3C01">
        <w:t xml:space="preserve">Both the timing and duration of Intensive Activities were </w:t>
      </w:r>
      <w:r w:rsidR="007000B5">
        <w:t>designed</w:t>
      </w:r>
      <w:r w:rsidR="007000B5" w:rsidRPr="009C3C01">
        <w:t xml:space="preserve"> </w:t>
      </w:r>
      <w:r w:rsidRPr="009C3C01">
        <w:t>as cost saving measures for the JSA 2012 model. Under both models around two-thirds of the first Intensive Activities undertaken were commenced by the applicable deadlines (66 per cent for JSA 2009 and 67 per cent for JSA 2012).</w:t>
      </w:r>
      <w:r w:rsidR="00A76FB2">
        <w:t xml:space="preserve"> </w:t>
      </w:r>
      <w:r w:rsidRPr="009C3C01">
        <w:rPr>
          <w:color w:val="000000" w:themeColor="text1"/>
        </w:rPr>
        <w:t>Changes to timing and duration requirements for Stream 1 Intensive Activities</w:t>
      </w:r>
      <w:r w:rsidR="00A76FB2">
        <w:rPr>
          <w:color w:val="000000" w:themeColor="text1"/>
        </w:rPr>
        <w:t>, therefore,</w:t>
      </w:r>
      <w:r w:rsidRPr="009C3C01">
        <w:rPr>
          <w:color w:val="000000" w:themeColor="text1"/>
        </w:rPr>
        <w:t xml:space="preserve"> do not appear to have significantly affected the type of activities undertaken. Little difference was found in the mix of Intensive Activity types between the Stream 1 study population</w:t>
      </w:r>
      <w:r w:rsidR="00455698">
        <w:rPr>
          <w:color w:val="000000" w:themeColor="text1"/>
        </w:rPr>
        <w:t>s.</w:t>
      </w:r>
      <w:r w:rsidR="00455698">
        <w:rPr>
          <w:rStyle w:val="FootnoteReference"/>
          <w:color w:val="000000" w:themeColor="text1"/>
        </w:rPr>
        <w:footnoteReference w:id="29"/>
      </w:r>
      <w:r w:rsidRPr="009C3C01">
        <w:rPr>
          <w:color w:val="000000" w:themeColor="text1"/>
        </w:rPr>
        <w:t xml:space="preserve"> ‘Training in Job Search Techniques’ was the main Intensive Activity type for both groups, representing around half of all activities. ‘Part-time/Casual Employment’ accounted for around a quarter of activities and vocational training a further eighth of activities</w:t>
      </w:r>
      <w:r w:rsidR="001F28F1">
        <w:rPr>
          <w:color w:val="000000" w:themeColor="text1"/>
        </w:rPr>
        <w:t xml:space="preserve"> (</w:t>
      </w:r>
      <w:hyperlink w:anchor="Title_A216" w:history="1">
        <w:r w:rsidR="001F28F1" w:rsidRPr="005F1335">
          <w:rPr>
            <w:rStyle w:val="Hyperlink"/>
          </w:rPr>
          <w:t>Table A2.16</w:t>
        </w:r>
      </w:hyperlink>
      <w:r w:rsidR="001F28F1">
        <w:rPr>
          <w:color w:val="000000" w:themeColor="text1"/>
        </w:rPr>
        <w:t>)</w:t>
      </w:r>
      <w:r w:rsidRPr="009C3C01">
        <w:rPr>
          <w:color w:val="000000" w:themeColor="text1"/>
        </w:rPr>
        <w:t>.</w:t>
      </w:r>
      <w:bookmarkStart w:id="246" w:name="Place_A216"/>
      <w:bookmarkEnd w:id="246"/>
    </w:p>
    <w:p w14:paraId="74A187A5" w14:textId="77777777" w:rsidR="009C3C01" w:rsidRPr="009C3C01" w:rsidRDefault="009C3C01" w:rsidP="009C3C01">
      <w:r w:rsidRPr="009C3C01">
        <w:t>Where job seekers undertook an Intensive Activity in the first 12 months of service, the timing was focused around the relevant dates under both models, with very similar distributions over time in service</w:t>
      </w:r>
      <w:r w:rsidR="00404111">
        <w:t xml:space="preserve"> (Figure 4.1)</w:t>
      </w:r>
      <w:r w:rsidRPr="009C3C01">
        <w:t>.</w:t>
      </w:r>
    </w:p>
    <w:p w14:paraId="73DDB435" w14:textId="77777777" w:rsidR="009C3C01" w:rsidRPr="009C3C01" w:rsidRDefault="009C3C01" w:rsidP="005172B5">
      <w:pPr>
        <w:pStyle w:val="Figureheadingforcontents"/>
      </w:pPr>
      <w:bookmarkStart w:id="247" w:name="_Toc436400150"/>
      <w:bookmarkStart w:id="248" w:name="_Toc436400280"/>
      <w:bookmarkStart w:id="249" w:name="_Toc443152023"/>
      <w:bookmarkStart w:id="250" w:name="_Toc22544034"/>
      <w:r w:rsidRPr="009C3C01">
        <w:t xml:space="preserve">Figure </w:t>
      </w:r>
      <w:r w:rsidR="00904C78">
        <w:t>4.1</w:t>
      </w:r>
      <w:r w:rsidR="00CF00FC">
        <w:t>:</w:t>
      </w:r>
      <w:r w:rsidR="003C29A5">
        <w:t xml:space="preserve"> </w:t>
      </w:r>
      <w:r w:rsidRPr="009C3C01">
        <w:t>Number of weeks in service to start of Intensive Activity, 2009 and 2012 Stream 1 servicing study populations</w:t>
      </w:r>
      <w:bookmarkEnd w:id="245"/>
      <w:r w:rsidRPr="009C3C01">
        <w:t xml:space="preserve"> </w:t>
      </w:r>
      <w:r w:rsidR="009F7F48">
        <w:t>(per cent)</w:t>
      </w:r>
      <w:bookmarkEnd w:id="247"/>
      <w:bookmarkEnd w:id="248"/>
      <w:bookmarkEnd w:id="249"/>
      <w:bookmarkEnd w:id="250"/>
    </w:p>
    <w:p w14:paraId="1B574B6B" w14:textId="77777777" w:rsidR="00EF7CFF" w:rsidRDefault="00EF7CFF" w:rsidP="002231A4">
      <w:pPr>
        <w:spacing w:after="0"/>
        <w:rPr>
          <w:b/>
        </w:rPr>
      </w:pPr>
      <w:r w:rsidRPr="002231A4">
        <w:rPr>
          <w:noProof/>
          <w:lang w:eastAsia="en-AU"/>
        </w:rPr>
        <w:drawing>
          <wp:inline distT="0" distB="0" distL="0" distR="0" wp14:anchorId="04D6A6CA" wp14:editId="39C94596">
            <wp:extent cx="5732145" cy="3785649"/>
            <wp:effectExtent l="0" t="0" r="1905" b="5715"/>
            <wp:docPr id="253" name="Picture 253" descr="Line chart showing a marked peak for JSA 2009 at weeks 14 to 16, and for JSA 2012 at weeks 27 to 29.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2145" cy="3785649"/>
                    </a:xfrm>
                    <a:prstGeom prst="rect">
                      <a:avLst/>
                    </a:prstGeom>
                    <a:noFill/>
                    <a:ln>
                      <a:noFill/>
                    </a:ln>
                  </pic:spPr>
                </pic:pic>
              </a:graphicData>
            </a:graphic>
          </wp:inline>
        </w:drawing>
      </w:r>
    </w:p>
    <w:p w14:paraId="7EF50C94" w14:textId="77777777" w:rsidR="007E57CD" w:rsidRDefault="009C3C01" w:rsidP="007E57CD">
      <w:pPr>
        <w:pStyle w:val="Sourceandnotetextmultiplenotes"/>
        <w:numPr>
          <w:ilvl w:val="0"/>
          <w:numId w:val="0"/>
        </w:numPr>
        <w:ind w:left="360" w:hanging="360"/>
      </w:pPr>
      <w:r w:rsidRPr="007E57CD">
        <w:rPr>
          <w:b/>
        </w:rPr>
        <w:t>Notes</w:t>
      </w:r>
      <w:r w:rsidRPr="009C3C01">
        <w:t>:</w:t>
      </w:r>
      <w:r w:rsidRPr="009C3C01">
        <w:tab/>
      </w:r>
    </w:p>
    <w:p w14:paraId="19F07943" w14:textId="77777777" w:rsidR="007E57CD" w:rsidRPr="00E5413A" w:rsidRDefault="009C3C01" w:rsidP="00294CB5">
      <w:pPr>
        <w:pStyle w:val="Notesnumbered"/>
        <w:numPr>
          <w:ilvl w:val="0"/>
          <w:numId w:val="233"/>
        </w:numPr>
        <w:ind w:left="709" w:hanging="567"/>
      </w:pPr>
      <w:r w:rsidRPr="009C3C01">
        <w:t xml:space="preserve">Periods of </w:t>
      </w:r>
      <w:r w:rsidRPr="00E5413A">
        <w:t>Interest where job seekers did not undertake an Intensive Activity are excluded.</w:t>
      </w:r>
    </w:p>
    <w:p w14:paraId="3968BD9B" w14:textId="77777777" w:rsidR="009C3C01" w:rsidRPr="00E5413A" w:rsidRDefault="009C3C01" w:rsidP="00294CB5">
      <w:pPr>
        <w:pStyle w:val="Notesnumbered"/>
        <w:numPr>
          <w:ilvl w:val="0"/>
          <w:numId w:val="233"/>
        </w:numPr>
        <w:ind w:left="709" w:hanging="567"/>
      </w:pPr>
      <w:r w:rsidRPr="00E5413A">
        <w:t>Weeks in service excludes periods during which the job seeker was suspended from service or took allowable breaks.</w:t>
      </w:r>
    </w:p>
    <w:p w14:paraId="023EBAFB" w14:textId="77777777" w:rsidR="001F28F1" w:rsidRPr="009C3C01" w:rsidRDefault="001F28F1" w:rsidP="00294CB5">
      <w:pPr>
        <w:pStyle w:val="Notesnumbered"/>
        <w:numPr>
          <w:ilvl w:val="0"/>
          <w:numId w:val="233"/>
        </w:numPr>
        <w:ind w:left="709" w:hanging="567"/>
      </w:pPr>
      <w:r w:rsidRPr="00E5413A">
        <w:t xml:space="preserve">Refer </w:t>
      </w:r>
      <w:hyperlink w:anchor="Title_A217" w:history="1">
        <w:r w:rsidRPr="005F1335">
          <w:rPr>
            <w:rStyle w:val="Hyperlink"/>
          </w:rPr>
          <w:t>Appendix A</w:t>
        </w:r>
        <w:r w:rsidR="000748CA" w:rsidRPr="005F1335">
          <w:rPr>
            <w:rStyle w:val="Hyperlink"/>
          </w:rPr>
          <w:t>2</w:t>
        </w:r>
        <w:r w:rsidRPr="005F1335">
          <w:rPr>
            <w:rStyle w:val="Hyperlink"/>
            <w:rFonts w:cs="Times New Roman"/>
            <w:szCs w:val="20"/>
            <w:lang w:val="en-US"/>
          </w:rPr>
          <w:t>, Table A2.17</w:t>
        </w:r>
      </w:hyperlink>
      <w:r>
        <w:rPr>
          <w:rStyle w:val="NotesChar"/>
          <w:rFonts w:eastAsiaTheme="minorEastAsia"/>
        </w:rPr>
        <w:t>.</w:t>
      </w:r>
      <w:bookmarkStart w:id="251" w:name="Place_A217"/>
      <w:bookmarkEnd w:id="251"/>
    </w:p>
    <w:p w14:paraId="3B97D03A" w14:textId="77777777" w:rsidR="008D7387" w:rsidRPr="008D7387" w:rsidRDefault="008D7387" w:rsidP="001A4FCE">
      <w:pPr>
        <w:pStyle w:val="Source"/>
        <w:rPr>
          <w:rFonts w:eastAsia="Times New Roman"/>
          <w:lang w:eastAsia="en-AU"/>
        </w:rPr>
      </w:pPr>
      <w:r w:rsidRPr="008D7387">
        <w:rPr>
          <w:b/>
        </w:rPr>
        <w:t>Source:</w:t>
      </w:r>
      <w:r w:rsidRPr="008D7387">
        <w:rPr>
          <w:rFonts w:eastAsia="Times New Roman"/>
          <w:lang w:eastAsia="en-AU"/>
        </w:rPr>
        <w:t xml:space="preserve"> </w:t>
      </w:r>
      <w:r w:rsidRPr="008D7387">
        <w:rPr>
          <w:rFonts w:eastAsia="Times New Roman"/>
          <w:lang w:eastAsia="en-AU"/>
        </w:rPr>
        <w:tab/>
        <w:t>Department of Employment administrative data.</w:t>
      </w:r>
    </w:p>
    <w:p w14:paraId="4A1C1EE2" w14:textId="3096A4DC" w:rsidR="009C3C01" w:rsidRPr="009C3C01" w:rsidRDefault="009C3C01" w:rsidP="009C3C01">
      <w:pPr>
        <w:rPr>
          <w:color w:val="000000" w:themeColor="text1"/>
        </w:rPr>
      </w:pPr>
      <w:r w:rsidRPr="009C3C01">
        <w:rPr>
          <w:color w:val="000000" w:themeColor="text1"/>
        </w:rPr>
        <w:t xml:space="preserve">While the deadline for undertaking Intensive Activities was extended in an attempt to reduce their associated costs, it appears that this objective was </w:t>
      </w:r>
      <w:r w:rsidR="00151FC4">
        <w:rPr>
          <w:color w:val="000000" w:themeColor="text1"/>
        </w:rPr>
        <w:t>unlikely</w:t>
      </w:r>
      <w:r w:rsidR="00151FC4" w:rsidRPr="009C3C01">
        <w:rPr>
          <w:color w:val="000000" w:themeColor="text1"/>
        </w:rPr>
        <w:t xml:space="preserve"> </w:t>
      </w:r>
      <w:r w:rsidR="00151FC4">
        <w:rPr>
          <w:color w:val="000000" w:themeColor="text1"/>
        </w:rPr>
        <w:t xml:space="preserve">to have been </w:t>
      </w:r>
      <w:r w:rsidRPr="009C3C01">
        <w:rPr>
          <w:color w:val="000000" w:themeColor="text1"/>
        </w:rPr>
        <w:t xml:space="preserve">achieved, with the proportions of the Stream 1 study populations </w:t>
      </w:r>
      <w:r w:rsidR="00A76FB2">
        <w:rPr>
          <w:color w:val="000000" w:themeColor="text1"/>
        </w:rPr>
        <w:t>who</w:t>
      </w:r>
      <w:r w:rsidRPr="009C3C01">
        <w:rPr>
          <w:color w:val="000000" w:themeColor="text1"/>
        </w:rPr>
        <w:t xml:space="preserve"> undertook Intensive Activities in their first 12 months in service quite similar under both models (2</w:t>
      </w:r>
      <w:r w:rsidR="008C285E">
        <w:rPr>
          <w:color w:val="000000" w:themeColor="text1"/>
        </w:rPr>
        <w:t>3.5</w:t>
      </w:r>
      <w:r w:rsidRPr="009C3C01">
        <w:rPr>
          <w:color w:val="000000" w:themeColor="text1"/>
        </w:rPr>
        <w:t xml:space="preserve"> per cent</w:t>
      </w:r>
      <w:r w:rsidR="00636D4C">
        <w:rPr>
          <w:color w:val="000000" w:themeColor="text1"/>
        </w:rPr>
        <w:t xml:space="preserve"> </w:t>
      </w:r>
      <w:r w:rsidR="00636D4C" w:rsidRPr="009C3C01">
        <w:rPr>
          <w:color w:val="000000" w:themeColor="text1"/>
        </w:rPr>
        <w:t>compared to 2</w:t>
      </w:r>
      <w:r w:rsidR="008C285E">
        <w:rPr>
          <w:color w:val="000000" w:themeColor="text1"/>
        </w:rPr>
        <w:t>5.5</w:t>
      </w:r>
      <w:r w:rsidR="00636D4C" w:rsidRPr="009C3C01">
        <w:rPr>
          <w:color w:val="000000" w:themeColor="text1"/>
        </w:rPr>
        <w:t xml:space="preserve"> per cent </w:t>
      </w:r>
      <w:r w:rsidR="00636D4C">
        <w:rPr>
          <w:color w:val="000000" w:themeColor="text1"/>
        </w:rPr>
        <w:t>in JSA 2009</w:t>
      </w:r>
      <w:r w:rsidRPr="009C3C01">
        <w:rPr>
          <w:color w:val="000000" w:themeColor="text1"/>
        </w:rPr>
        <w:t>).</w:t>
      </w:r>
    </w:p>
    <w:p w14:paraId="33D99E77" w14:textId="77777777" w:rsidR="009C3C01" w:rsidRPr="009C3C01" w:rsidRDefault="009C3C01" w:rsidP="00C2452E">
      <w:pPr>
        <w:pStyle w:val="Tableforcontents"/>
      </w:pPr>
      <w:bookmarkStart w:id="252" w:name="_Toc410313431"/>
      <w:bookmarkStart w:id="253" w:name="_Toc436142562"/>
      <w:bookmarkStart w:id="254" w:name="_Toc22543983"/>
      <w:r w:rsidRPr="00904C78">
        <w:t xml:space="preserve">Table </w:t>
      </w:r>
      <w:r w:rsidR="00904C78" w:rsidRPr="00904C78">
        <w:t>4</w:t>
      </w:r>
      <w:r w:rsidR="00CF00FC">
        <w:t>.1:</w:t>
      </w:r>
      <w:r w:rsidR="003C29A5">
        <w:t xml:space="preserve"> </w:t>
      </w:r>
      <w:r w:rsidRPr="009C3C01">
        <w:t>Intensive Activities undertaken within 12 calendar months of commencing in service, 2009 and 2012 Stream 1 study populations (per cent)</w:t>
      </w:r>
      <w:bookmarkEnd w:id="252"/>
      <w:bookmarkEnd w:id="253"/>
      <w:bookmarkEnd w:id="254"/>
    </w:p>
    <w:tbl>
      <w:tblPr>
        <w:tblStyle w:val="TableGrid11"/>
        <w:tblW w:w="0" w:type="auto"/>
        <w:tblLook w:val="04A0" w:firstRow="1" w:lastRow="0" w:firstColumn="1" w:lastColumn="0" w:noHBand="0" w:noVBand="1"/>
      </w:tblPr>
      <w:tblGrid>
        <w:gridCol w:w="5346"/>
        <w:gridCol w:w="1811"/>
        <w:gridCol w:w="1870"/>
      </w:tblGrid>
      <w:tr w:rsidR="009C3C01" w:rsidRPr="0011747A" w14:paraId="00901B0A" w14:textId="77777777" w:rsidTr="003944D9">
        <w:trPr>
          <w:trHeight w:val="362"/>
          <w:tblHeader/>
        </w:trPr>
        <w:tc>
          <w:tcPr>
            <w:tcW w:w="5495" w:type="dxa"/>
            <w:tcBorders>
              <w:top w:val="nil"/>
              <w:left w:val="nil"/>
              <w:bottom w:val="nil"/>
              <w:right w:val="nil"/>
            </w:tcBorders>
            <w:shd w:val="clear" w:color="auto" w:fill="1E3D6B"/>
            <w:vAlign w:val="center"/>
          </w:tcPr>
          <w:p w14:paraId="3EA11751" w14:textId="77777777" w:rsidR="009C3C01" w:rsidRPr="0011747A" w:rsidRDefault="009C3C01" w:rsidP="00904C78">
            <w:pPr>
              <w:keepNext/>
              <w:rPr>
                <w:b/>
                <w:sz w:val="20"/>
                <w:szCs w:val="20"/>
              </w:rPr>
            </w:pPr>
            <w:bookmarkStart w:id="255" w:name="Title_41"/>
            <w:bookmarkEnd w:id="255"/>
            <w:r w:rsidRPr="0011747A">
              <w:rPr>
                <w:b/>
                <w:sz w:val="20"/>
                <w:szCs w:val="20"/>
              </w:rPr>
              <w:t>Measure</w:t>
            </w:r>
          </w:p>
        </w:tc>
        <w:tc>
          <w:tcPr>
            <w:tcW w:w="1843" w:type="dxa"/>
            <w:tcBorders>
              <w:top w:val="nil"/>
              <w:left w:val="nil"/>
              <w:bottom w:val="nil"/>
              <w:right w:val="nil"/>
            </w:tcBorders>
            <w:shd w:val="clear" w:color="auto" w:fill="1E3D6B"/>
            <w:vAlign w:val="center"/>
          </w:tcPr>
          <w:p w14:paraId="45086155" w14:textId="77777777" w:rsidR="009C3C01" w:rsidRPr="0011747A" w:rsidRDefault="009C3C01" w:rsidP="00904C78">
            <w:pPr>
              <w:keepNext/>
              <w:rPr>
                <w:b/>
                <w:sz w:val="20"/>
                <w:szCs w:val="20"/>
              </w:rPr>
            </w:pPr>
            <w:r w:rsidRPr="0011747A">
              <w:rPr>
                <w:b/>
                <w:sz w:val="20"/>
                <w:szCs w:val="20"/>
              </w:rPr>
              <w:t>JSA 2009</w:t>
            </w:r>
          </w:p>
        </w:tc>
        <w:tc>
          <w:tcPr>
            <w:tcW w:w="1904" w:type="dxa"/>
            <w:tcBorders>
              <w:top w:val="nil"/>
              <w:left w:val="nil"/>
              <w:bottom w:val="nil"/>
              <w:right w:val="nil"/>
            </w:tcBorders>
            <w:shd w:val="clear" w:color="auto" w:fill="1E3D6B"/>
            <w:vAlign w:val="center"/>
          </w:tcPr>
          <w:p w14:paraId="6D8ACAB9" w14:textId="77777777" w:rsidR="009C3C01" w:rsidRPr="0011747A" w:rsidRDefault="009C3C01" w:rsidP="00904C78">
            <w:pPr>
              <w:keepNext/>
              <w:rPr>
                <w:b/>
                <w:sz w:val="20"/>
                <w:szCs w:val="20"/>
              </w:rPr>
            </w:pPr>
            <w:r w:rsidRPr="0011747A">
              <w:rPr>
                <w:b/>
                <w:sz w:val="20"/>
                <w:szCs w:val="20"/>
              </w:rPr>
              <w:t>JSA 2012</w:t>
            </w:r>
          </w:p>
        </w:tc>
      </w:tr>
      <w:tr w:rsidR="009C3C01" w:rsidRPr="0011747A" w14:paraId="71CF9620" w14:textId="77777777" w:rsidTr="003944D9">
        <w:tc>
          <w:tcPr>
            <w:tcW w:w="5495" w:type="dxa"/>
            <w:tcBorders>
              <w:top w:val="nil"/>
              <w:left w:val="nil"/>
              <w:bottom w:val="nil"/>
              <w:right w:val="nil"/>
            </w:tcBorders>
            <w:vAlign w:val="center"/>
          </w:tcPr>
          <w:p w14:paraId="3369FD9D" w14:textId="77777777" w:rsidR="009C3C01" w:rsidRPr="0011747A" w:rsidRDefault="009C3C01" w:rsidP="003944D9">
            <w:pPr>
              <w:keepNext/>
              <w:spacing w:before="99" w:after="99"/>
              <w:rPr>
                <w:sz w:val="20"/>
                <w:szCs w:val="20"/>
              </w:rPr>
            </w:pPr>
            <w:r w:rsidRPr="0011747A">
              <w:rPr>
                <w:sz w:val="20"/>
                <w:szCs w:val="20"/>
              </w:rPr>
              <w:t xml:space="preserve">Proportion of study population that remained in service </w:t>
            </w:r>
            <w:r w:rsidR="005966D6">
              <w:rPr>
                <w:sz w:val="20"/>
                <w:szCs w:val="20"/>
              </w:rPr>
              <w:t>un</w:t>
            </w:r>
            <w:r w:rsidRPr="0011747A">
              <w:rPr>
                <w:sz w:val="20"/>
                <w:szCs w:val="20"/>
              </w:rPr>
              <w:t xml:space="preserve">til the relevant deadline for an Intensive Activity was reached </w:t>
            </w:r>
            <w:r w:rsidRPr="0011747A">
              <w:rPr>
                <w:sz w:val="20"/>
                <w:szCs w:val="20"/>
                <w:vertAlign w:val="superscript"/>
              </w:rPr>
              <w:t>1 ,2</w:t>
            </w:r>
            <w:r w:rsidRPr="0011747A">
              <w:rPr>
                <w:sz w:val="20"/>
                <w:szCs w:val="20"/>
              </w:rPr>
              <w:t xml:space="preserve"> </w:t>
            </w:r>
          </w:p>
        </w:tc>
        <w:tc>
          <w:tcPr>
            <w:tcW w:w="1843" w:type="dxa"/>
            <w:tcBorders>
              <w:top w:val="nil"/>
              <w:left w:val="nil"/>
              <w:bottom w:val="nil"/>
              <w:right w:val="nil"/>
            </w:tcBorders>
            <w:vAlign w:val="center"/>
          </w:tcPr>
          <w:p w14:paraId="0433459C" w14:textId="77777777" w:rsidR="009C3C01" w:rsidRPr="0011747A" w:rsidRDefault="009C3C01" w:rsidP="003944D9">
            <w:pPr>
              <w:keepNext/>
              <w:spacing w:before="99" w:after="99"/>
              <w:ind w:left="263"/>
              <w:rPr>
                <w:sz w:val="20"/>
                <w:szCs w:val="20"/>
                <w:highlight w:val="yellow"/>
              </w:rPr>
            </w:pPr>
            <w:r w:rsidRPr="0011747A">
              <w:rPr>
                <w:sz w:val="20"/>
                <w:szCs w:val="20"/>
              </w:rPr>
              <w:t>49</w:t>
            </w:r>
            <w:r w:rsidR="00A12E8A">
              <w:rPr>
                <w:sz w:val="20"/>
                <w:szCs w:val="20"/>
              </w:rPr>
              <w:t>.5</w:t>
            </w:r>
            <w:r w:rsidRPr="0011747A">
              <w:rPr>
                <w:sz w:val="20"/>
                <w:szCs w:val="20"/>
              </w:rPr>
              <w:t xml:space="preserve"> </w:t>
            </w:r>
          </w:p>
        </w:tc>
        <w:tc>
          <w:tcPr>
            <w:tcW w:w="1904" w:type="dxa"/>
            <w:tcBorders>
              <w:top w:val="nil"/>
              <w:left w:val="nil"/>
              <w:bottom w:val="nil"/>
              <w:right w:val="nil"/>
            </w:tcBorders>
            <w:vAlign w:val="center"/>
          </w:tcPr>
          <w:p w14:paraId="3E021AEC" w14:textId="77777777" w:rsidR="009C3C01" w:rsidRPr="0011747A" w:rsidRDefault="009C3C01" w:rsidP="00A12E8A">
            <w:pPr>
              <w:keepNext/>
              <w:spacing w:before="99" w:after="99"/>
              <w:ind w:left="263"/>
              <w:rPr>
                <w:sz w:val="20"/>
                <w:szCs w:val="20"/>
                <w:highlight w:val="yellow"/>
              </w:rPr>
            </w:pPr>
            <w:r w:rsidRPr="0011747A">
              <w:rPr>
                <w:sz w:val="20"/>
                <w:szCs w:val="20"/>
              </w:rPr>
              <w:t>3</w:t>
            </w:r>
            <w:r w:rsidR="00A12E8A">
              <w:rPr>
                <w:sz w:val="20"/>
                <w:szCs w:val="20"/>
              </w:rPr>
              <w:t>5.3</w:t>
            </w:r>
          </w:p>
        </w:tc>
      </w:tr>
      <w:tr w:rsidR="009C3C01" w:rsidRPr="0011747A" w14:paraId="62476C5A" w14:textId="77777777" w:rsidTr="003944D9">
        <w:tc>
          <w:tcPr>
            <w:tcW w:w="5495" w:type="dxa"/>
            <w:tcBorders>
              <w:top w:val="nil"/>
              <w:left w:val="nil"/>
              <w:bottom w:val="nil"/>
              <w:right w:val="nil"/>
            </w:tcBorders>
            <w:shd w:val="clear" w:color="auto" w:fill="E5E5E5" w:themeFill="background1" w:themeFillTint="33"/>
            <w:vAlign w:val="center"/>
          </w:tcPr>
          <w:p w14:paraId="43BF4F99" w14:textId="77777777" w:rsidR="009C3C01" w:rsidRPr="0011747A" w:rsidRDefault="009C3C01" w:rsidP="003944D9">
            <w:pPr>
              <w:keepNext/>
              <w:spacing w:before="99" w:after="99"/>
              <w:rPr>
                <w:sz w:val="20"/>
                <w:szCs w:val="20"/>
              </w:rPr>
            </w:pPr>
            <w:r w:rsidRPr="0011747A">
              <w:rPr>
                <w:sz w:val="20"/>
                <w:szCs w:val="20"/>
              </w:rPr>
              <w:t xml:space="preserve">Proportion of those still in service at the deadline </w:t>
            </w:r>
            <w:r w:rsidRPr="0011747A">
              <w:rPr>
                <w:sz w:val="20"/>
                <w:szCs w:val="20"/>
                <w:vertAlign w:val="superscript"/>
              </w:rPr>
              <w:t>1</w:t>
            </w:r>
            <w:r w:rsidRPr="0011747A">
              <w:rPr>
                <w:sz w:val="20"/>
                <w:szCs w:val="20"/>
              </w:rPr>
              <w:t xml:space="preserve"> for Intensive Activity that undertook an Intensive Activity in the first 12 months after commencing service </w:t>
            </w:r>
            <w:r w:rsidRPr="0011747A">
              <w:rPr>
                <w:sz w:val="20"/>
                <w:szCs w:val="20"/>
                <w:vertAlign w:val="superscript"/>
              </w:rPr>
              <w:t>3</w:t>
            </w:r>
          </w:p>
        </w:tc>
        <w:tc>
          <w:tcPr>
            <w:tcW w:w="1843" w:type="dxa"/>
            <w:tcBorders>
              <w:top w:val="nil"/>
              <w:left w:val="nil"/>
              <w:bottom w:val="nil"/>
              <w:right w:val="nil"/>
            </w:tcBorders>
            <w:shd w:val="clear" w:color="auto" w:fill="E5E5E5" w:themeFill="background1" w:themeFillTint="33"/>
            <w:vAlign w:val="center"/>
          </w:tcPr>
          <w:p w14:paraId="1D5D71BB" w14:textId="77777777" w:rsidR="009C3C01" w:rsidRPr="0011747A" w:rsidRDefault="00A12E8A" w:rsidP="003944D9">
            <w:pPr>
              <w:keepNext/>
              <w:spacing w:before="99" w:after="99"/>
              <w:ind w:left="263"/>
              <w:rPr>
                <w:sz w:val="20"/>
                <w:szCs w:val="20"/>
                <w:highlight w:val="yellow"/>
              </w:rPr>
            </w:pPr>
            <w:r>
              <w:rPr>
                <w:sz w:val="20"/>
                <w:szCs w:val="20"/>
              </w:rPr>
              <w:t>50.6</w:t>
            </w:r>
            <w:r w:rsidR="009C3C01" w:rsidRPr="0011747A">
              <w:rPr>
                <w:sz w:val="20"/>
                <w:szCs w:val="20"/>
              </w:rPr>
              <w:t xml:space="preserve"> </w:t>
            </w:r>
          </w:p>
        </w:tc>
        <w:tc>
          <w:tcPr>
            <w:tcW w:w="1904" w:type="dxa"/>
            <w:tcBorders>
              <w:top w:val="nil"/>
              <w:left w:val="nil"/>
              <w:bottom w:val="nil"/>
              <w:right w:val="nil"/>
            </w:tcBorders>
            <w:shd w:val="clear" w:color="auto" w:fill="E5E5E5" w:themeFill="background1" w:themeFillTint="33"/>
            <w:vAlign w:val="center"/>
          </w:tcPr>
          <w:p w14:paraId="24E0E1E9" w14:textId="77777777" w:rsidR="009C3C01" w:rsidRPr="0011747A" w:rsidRDefault="003944D9" w:rsidP="00A12E8A">
            <w:pPr>
              <w:keepNext/>
              <w:spacing w:before="99" w:after="99"/>
              <w:ind w:left="263"/>
              <w:rPr>
                <w:sz w:val="20"/>
                <w:szCs w:val="20"/>
                <w:highlight w:val="yellow"/>
              </w:rPr>
            </w:pPr>
            <w:r>
              <w:rPr>
                <w:sz w:val="20"/>
                <w:szCs w:val="20"/>
              </w:rPr>
              <w:t>6</w:t>
            </w:r>
            <w:r w:rsidR="00A12E8A">
              <w:rPr>
                <w:sz w:val="20"/>
                <w:szCs w:val="20"/>
              </w:rPr>
              <w:t>7.2</w:t>
            </w:r>
          </w:p>
        </w:tc>
      </w:tr>
      <w:tr w:rsidR="009C3C01" w:rsidRPr="0011747A" w14:paraId="6220AAE0" w14:textId="77777777" w:rsidTr="003944D9">
        <w:tc>
          <w:tcPr>
            <w:tcW w:w="5495" w:type="dxa"/>
            <w:tcBorders>
              <w:top w:val="nil"/>
              <w:left w:val="nil"/>
              <w:bottom w:val="single" w:sz="4" w:space="0" w:color="auto"/>
              <w:right w:val="nil"/>
            </w:tcBorders>
            <w:vAlign w:val="center"/>
          </w:tcPr>
          <w:p w14:paraId="6914A830" w14:textId="77777777" w:rsidR="009C3C01" w:rsidRPr="0011747A" w:rsidRDefault="009C3C01" w:rsidP="003944D9">
            <w:pPr>
              <w:keepNext/>
              <w:spacing w:before="99" w:after="99"/>
              <w:rPr>
                <w:sz w:val="20"/>
                <w:szCs w:val="20"/>
              </w:rPr>
            </w:pPr>
            <w:r w:rsidRPr="0011747A">
              <w:rPr>
                <w:sz w:val="20"/>
                <w:szCs w:val="20"/>
              </w:rPr>
              <w:t>Proportion of the study population that undertook an Intensive Activity within 12 calendar months of commencing in service</w:t>
            </w:r>
          </w:p>
        </w:tc>
        <w:tc>
          <w:tcPr>
            <w:tcW w:w="1843" w:type="dxa"/>
            <w:tcBorders>
              <w:top w:val="nil"/>
              <w:left w:val="nil"/>
              <w:bottom w:val="single" w:sz="4" w:space="0" w:color="auto"/>
              <w:right w:val="nil"/>
            </w:tcBorders>
            <w:vAlign w:val="center"/>
          </w:tcPr>
          <w:p w14:paraId="58851E11" w14:textId="77777777" w:rsidR="009C3C01" w:rsidRPr="0011747A" w:rsidRDefault="009C3C01" w:rsidP="00A12E8A">
            <w:pPr>
              <w:keepNext/>
              <w:spacing w:before="99" w:after="99"/>
              <w:ind w:left="263"/>
              <w:rPr>
                <w:sz w:val="20"/>
                <w:szCs w:val="20"/>
              </w:rPr>
            </w:pPr>
            <w:r w:rsidRPr="0011747A">
              <w:rPr>
                <w:sz w:val="20"/>
                <w:szCs w:val="20"/>
              </w:rPr>
              <w:t>2</w:t>
            </w:r>
            <w:r w:rsidR="00A12E8A">
              <w:rPr>
                <w:sz w:val="20"/>
                <w:szCs w:val="20"/>
              </w:rPr>
              <w:t>5.5</w:t>
            </w:r>
            <w:r w:rsidRPr="0011747A">
              <w:rPr>
                <w:sz w:val="20"/>
                <w:szCs w:val="20"/>
              </w:rPr>
              <w:t xml:space="preserve"> </w:t>
            </w:r>
          </w:p>
        </w:tc>
        <w:tc>
          <w:tcPr>
            <w:tcW w:w="1904" w:type="dxa"/>
            <w:tcBorders>
              <w:top w:val="nil"/>
              <w:left w:val="nil"/>
              <w:bottom w:val="single" w:sz="4" w:space="0" w:color="auto"/>
              <w:right w:val="nil"/>
            </w:tcBorders>
            <w:vAlign w:val="center"/>
          </w:tcPr>
          <w:p w14:paraId="05DF49D9" w14:textId="77777777" w:rsidR="009C3C01" w:rsidRPr="0011747A" w:rsidRDefault="009C3C01" w:rsidP="00A12E8A">
            <w:pPr>
              <w:keepNext/>
              <w:spacing w:before="99" w:after="99"/>
              <w:ind w:left="263"/>
              <w:rPr>
                <w:sz w:val="20"/>
                <w:szCs w:val="20"/>
              </w:rPr>
            </w:pPr>
            <w:r w:rsidRPr="0011747A">
              <w:rPr>
                <w:sz w:val="20"/>
                <w:szCs w:val="20"/>
              </w:rPr>
              <w:t>2</w:t>
            </w:r>
            <w:r w:rsidR="00A12E8A">
              <w:rPr>
                <w:sz w:val="20"/>
                <w:szCs w:val="20"/>
              </w:rPr>
              <w:t>3.5</w:t>
            </w:r>
            <w:r w:rsidRPr="0011747A">
              <w:rPr>
                <w:sz w:val="20"/>
                <w:szCs w:val="20"/>
              </w:rPr>
              <w:t xml:space="preserve"> </w:t>
            </w:r>
          </w:p>
        </w:tc>
      </w:tr>
    </w:tbl>
    <w:p w14:paraId="1A483130" w14:textId="77777777" w:rsidR="00655E7B" w:rsidRDefault="009C3C01" w:rsidP="001243C8">
      <w:pPr>
        <w:pStyle w:val="Notes"/>
      </w:pPr>
      <w:r w:rsidRPr="001243C8">
        <w:rPr>
          <w:b/>
        </w:rPr>
        <w:t>Notes</w:t>
      </w:r>
      <w:r w:rsidRPr="009C3C01">
        <w:t>:</w:t>
      </w:r>
      <w:r w:rsidRPr="009C3C01">
        <w:tab/>
      </w:r>
    </w:p>
    <w:p w14:paraId="5E93C1CC" w14:textId="77777777" w:rsidR="00655E7B" w:rsidRPr="00E5413A" w:rsidRDefault="009C3C01" w:rsidP="00E5413A">
      <w:pPr>
        <w:pStyle w:val="Notesnumbered"/>
        <w:numPr>
          <w:ilvl w:val="0"/>
          <w:numId w:val="232"/>
        </w:numPr>
      </w:pPr>
      <w:r w:rsidRPr="00E5413A">
        <w:t>The deadline is calculated based on time in service (i.e. excludes suspensions whereas the 12 month period for analysis is measured in calendar (elapsed) time.</w:t>
      </w:r>
    </w:p>
    <w:p w14:paraId="657E9443" w14:textId="77777777" w:rsidR="00655E7B" w:rsidRPr="00E5413A" w:rsidRDefault="009C3C01" w:rsidP="00E5413A">
      <w:pPr>
        <w:pStyle w:val="Notesnumbered"/>
        <w:numPr>
          <w:ilvl w:val="0"/>
          <w:numId w:val="232"/>
        </w:numPr>
      </w:pPr>
      <w:r w:rsidRPr="00E5413A">
        <w:t xml:space="preserve">A small proportion </w:t>
      </w:r>
      <w:r w:rsidR="00537679" w:rsidRPr="00E5413A">
        <w:t>of job seekers who</w:t>
      </w:r>
      <w:r w:rsidRPr="00E5413A">
        <w:t xml:space="preserve"> exited service before the deadline had done an Intensive Activity.</w:t>
      </w:r>
    </w:p>
    <w:p w14:paraId="440AB06C" w14:textId="77777777" w:rsidR="009C3C01" w:rsidRPr="00655E7B" w:rsidRDefault="009C3C01" w:rsidP="00E5413A">
      <w:pPr>
        <w:pStyle w:val="Notesnumbered"/>
        <w:numPr>
          <w:ilvl w:val="0"/>
          <w:numId w:val="232"/>
        </w:numPr>
        <w:rPr>
          <w:rFonts w:eastAsia="Times New Roman"/>
          <w:lang w:eastAsia="en-AU"/>
        </w:rPr>
      </w:pPr>
      <w:r w:rsidRPr="00E5413A">
        <w:t>Excludes a small proportion of the Stream 1 study population who were still in service at 12 calendar months that had not yet reached</w:t>
      </w:r>
      <w:r w:rsidRPr="00655E7B">
        <w:rPr>
          <w:rFonts w:eastAsia="Times New Roman"/>
          <w:lang w:eastAsia="en-AU"/>
        </w:rPr>
        <w:t xml:space="preserve"> the deadline in terms of time in service (less than 1 per cent for JSA 2009 and 1.5 per cent for JSA 2012).</w:t>
      </w:r>
    </w:p>
    <w:p w14:paraId="691EF028" w14:textId="77777777" w:rsidR="008D7387" w:rsidRPr="009C3C01" w:rsidRDefault="008D7387" w:rsidP="008D7387">
      <w:pPr>
        <w:pStyle w:val="Source"/>
        <w:rPr>
          <w:rFonts w:eastAsia="Times New Roman"/>
          <w:lang w:eastAsia="en-AU"/>
        </w:rPr>
      </w:pPr>
      <w:r w:rsidRPr="009C3C01">
        <w:rPr>
          <w:b/>
        </w:rPr>
        <w:t>Source:</w:t>
      </w:r>
      <w:r w:rsidRPr="009C3C01">
        <w:rPr>
          <w:rFonts w:eastAsia="Times New Roman"/>
          <w:lang w:eastAsia="en-AU"/>
        </w:rPr>
        <w:t xml:space="preserve"> </w:t>
      </w:r>
      <w:r w:rsidRPr="009C3C01">
        <w:rPr>
          <w:rFonts w:eastAsia="Times New Roman"/>
          <w:lang w:eastAsia="en-AU"/>
        </w:rPr>
        <w:tab/>
        <w:t>Department of Employment administrative data.</w:t>
      </w:r>
    </w:p>
    <w:p w14:paraId="62F00EF6" w14:textId="60335D5C" w:rsidR="009C3C01" w:rsidRPr="009C3C01" w:rsidRDefault="00712E49" w:rsidP="009C3C01">
      <w:pPr>
        <w:spacing w:before="120"/>
        <w:rPr>
          <w:color w:val="000000" w:themeColor="text1"/>
        </w:rPr>
      </w:pPr>
      <w:r>
        <w:rPr>
          <w:color w:val="000000" w:themeColor="text1"/>
        </w:rPr>
        <w:t>Analysis of e</w:t>
      </w:r>
      <w:r w:rsidRPr="009C3C01">
        <w:rPr>
          <w:color w:val="000000" w:themeColor="text1"/>
        </w:rPr>
        <w:t xml:space="preserve">xpenditure </w:t>
      </w:r>
      <w:r w:rsidR="009C3C01" w:rsidRPr="009C3C01">
        <w:rPr>
          <w:color w:val="000000" w:themeColor="text1"/>
        </w:rPr>
        <w:t xml:space="preserve">on all Intensive Activities and individual associated servicing </w:t>
      </w:r>
      <w:r w:rsidR="00151FC4">
        <w:rPr>
          <w:color w:val="000000" w:themeColor="text1"/>
        </w:rPr>
        <w:t xml:space="preserve">would be </w:t>
      </w:r>
      <w:r w:rsidR="009C3C01" w:rsidRPr="009C3C01">
        <w:rPr>
          <w:color w:val="000000" w:themeColor="text1"/>
        </w:rPr>
        <w:t xml:space="preserve">required to establish whether the </w:t>
      </w:r>
      <w:r w:rsidR="00151FC4">
        <w:rPr>
          <w:color w:val="000000" w:themeColor="text1"/>
        </w:rPr>
        <w:t xml:space="preserve">actual </w:t>
      </w:r>
      <w:r w:rsidR="009C3C01" w:rsidRPr="009C3C01">
        <w:rPr>
          <w:color w:val="000000" w:themeColor="text1"/>
        </w:rPr>
        <w:t>cost saving objective of this change was achieved. The available data does not enable such analysis.</w:t>
      </w:r>
    </w:p>
    <w:p w14:paraId="2E7AEACE" w14:textId="77777777" w:rsidR="009C3C01" w:rsidRPr="009C3C01" w:rsidRDefault="009C3C01" w:rsidP="00D319E7">
      <w:pPr>
        <w:pStyle w:val="Heading4"/>
        <w:rPr>
          <w:color w:val="000000" w:themeColor="text1"/>
        </w:rPr>
      </w:pPr>
      <w:r w:rsidRPr="009C3C01">
        <w:t>Skills Assessments</w:t>
      </w:r>
    </w:p>
    <w:p w14:paraId="3C8EA8D8" w14:textId="77777777" w:rsidR="009C3C01" w:rsidRDefault="009C3C01" w:rsidP="009C3C01">
      <w:r w:rsidRPr="009C3C01">
        <w:t xml:space="preserve">Most Skills Assessments were conducted around the applicable deadline (a few happened early in service) in both models. For JSA 2012 there are three peaks: one early in service, one at </w:t>
      </w:r>
      <w:r w:rsidR="00B97AB7">
        <w:t>w</w:t>
      </w:r>
      <w:r w:rsidRPr="009C3C01">
        <w:t xml:space="preserve">eek 13 (the old deadline) and the largest peak around the new deadline at </w:t>
      </w:r>
      <w:r w:rsidR="00B97AB7">
        <w:t>w</w:t>
      </w:r>
      <w:r w:rsidRPr="009C3C01">
        <w:t>eek 30</w:t>
      </w:r>
      <w:r w:rsidR="00A76FB2">
        <w:t xml:space="preserve"> (Figure 4.2)</w:t>
      </w:r>
      <w:r w:rsidRPr="009C3C01">
        <w:t>.</w:t>
      </w:r>
    </w:p>
    <w:p w14:paraId="47F02F4D" w14:textId="77777777" w:rsidR="009C3C01" w:rsidRDefault="009C3C01" w:rsidP="00B2456E">
      <w:pPr>
        <w:pStyle w:val="Figureheadingforcontents"/>
      </w:pPr>
      <w:bookmarkStart w:id="256" w:name="_Toc410313450"/>
      <w:bookmarkStart w:id="257" w:name="_Toc436400151"/>
      <w:bookmarkStart w:id="258" w:name="_Toc436400281"/>
      <w:bookmarkStart w:id="259" w:name="_Toc443152024"/>
      <w:bookmarkStart w:id="260" w:name="_Toc22544035"/>
      <w:r w:rsidRPr="00904C78">
        <w:t xml:space="preserve">Figure </w:t>
      </w:r>
      <w:r w:rsidR="00904C78" w:rsidRPr="00904C78">
        <w:t>4.2</w:t>
      </w:r>
      <w:r w:rsidR="00CF00FC">
        <w:t>:</w:t>
      </w:r>
      <w:r w:rsidR="003C29A5">
        <w:t xml:space="preserve"> </w:t>
      </w:r>
      <w:r w:rsidRPr="00904C78">
        <w:t>Number</w:t>
      </w:r>
      <w:r w:rsidRPr="009C3C01">
        <w:t xml:space="preserve"> of weeks in service to conduct of Skills Assessment, 2009 and 2012 Stream 1 study populations</w:t>
      </w:r>
      <w:bookmarkEnd w:id="256"/>
      <w:r w:rsidR="009F7F48">
        <w:t xml:space="preserve"> (per cent)</w:t>
      </w:r>
      <w:bookmarkEnd w:id="257"/>
      <w:bookmarkEnd w:id="258"/>
      <w:bookmarkEnd w:id="259"/>
      <w:bookmarkEnd w:id="260"/>
    </w:p>
    <w:p w14:paraId="645365BA" w14:textId="77777777" w:rsidR="00EF7CFF" w:rsidRDefault="00EF7CFF" w:rsidP="002231A4">
      <w:pPr>
        <w:spacing w:after="0"/>
      </w:pPr>
      <w:r w:rsidRPr="004C0986">
        <w:rPr>
          <w:noProof/>
          <w:lang w:eastAsia="en-AU"/>
        </w:rPr>
        <w:drawing>
          <wp:inline distT="0" distB="0" distL="0" distR="0" wp14:anchorId="797F59CA" wp14:editId="25A49378">
            <wp:extent cx="5732145" cy="3874717"/>
            <wp:effectExtent l="0" t="0" r="1905" b="0"/>
            <wp:docPr id="254" name="Picture 254" descr="Line chart showing a marked peak for JSA 2009 at week 14, and three peaks for JSA 2012: one at commencement in service, a minor one around week 13 and a more noticeable peak at week 30.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2145" cy="3874717"/>
                    </a:xfrm>
                    <a:prstGeom prst="rect">
                      <a:avLst/>
                    </a:prstGeom>
                    <a:noFill/>
                    <a:ln>
                      <a:noFill/>
                    </a:ln>
                  </pic:spPr>
                </pic:pic>
              </a:graphicData>
            </a:graphic>
          </wp:inline>
        </w:drawing>
      </w:r>
    </w:p>
    <w:p w14:paraId="6E7278B8" w14:textId="77777777" w:rsidR="00655E7B" w:rsidRDefault="009C3C01" w:rsidP="001243C8">
      <w:pPr>
        <w:pStyle w:val="Notes"/>
      </w:pPr>
      <w:r w:rsidRPr="001243C8">
        <w:rPr>
          <w:b/>
        </w:rPr>
        <w:t>Notes</w:t>
      </w:r>
      <w:r w:rsidRPr="009C3C01">
        <w:t>:</w:t>
      </w:r>
      <w:r w:rsidRPr="009C3C01">
        <w:tab/>
      </w:r>
    </w:p>
    <w:p w14:paraId="388E171E" w14:textId="77777777" w:rsidR="00655E7B" w:rsidRPr="00E5413A" w:rsidRDefault="009C3C01" w:rsidP="00B039A8">
      <w:pPr>
        <w:pStyle w:val="Notesnumbered"/>
        <w:numPr>
          <w:ilvl w:val="0"/>
          <w:numId w:val="234"/>
        </w:numPr>
        <w:ind w:left="709" w:hanging="567"/>
      </w:pPr>
      <w:r w:rsidRPr="001243C8">
        <w:t xml:space="preserve">Excludes </w:t>
      </w:r>
      <w:r w:rsidRPr="00E5413A">
        <w:t>those job seekers that did not have a Skills Assessment.</w:t>
      </w:r>
    </w:p>
    <w:p w14:paraId="3E199F82" w14:textId="77777777" w:rsidR="009C3C01" w:rsidRPr="00E5413A" w:rsidRDefault="009C3C01" w:rsidP="00B039A8">
      <w:pPr>
        <w:pStyle w:val="Notesnumbered"/>
        <w:numPr>
          <w:ilvl w:val="0"/>
          <w:numId w:val="234"/>
        </w:numPr>
        <w:ind w:left="709" w:hanging="567"/>
      </w:pPr>
      <w:r w:rsidRPr="00E5413A">
        <w:t>Weeks in service excludes days where job seeker was suspended from service or took allowable breaks.</w:t>
      </w:r>
    </w:p>
    <w:p w14:paraId="78090E3F" w14:textId="77777777" w:rsidR="001F28F1" w:rsidRPr="009C3C01" w:rsidRDefault="001F28F1" w:rsidP="00B039A8">
      <w:pPr>
        <w:pStyle w:val="Notesnumbered"/>
        <w:numPr>
          <w:ilvl w:val="0"/>
          <w:numId w:val="234"/>
        </w:numPr>
        <w:ind w:left="709"/>
      </w:pPr>
      <w:r w:rsidRPr="00E5413A">
        <w:t xml:space="preserve">Refer </w:t>
      </w:r>
      <w:hyperlink w:anchor="Title_A218" w:history="1">
        <w:r w:rsidRPr="005F1335">
          <w:rPr>
            <w:rStyle w:val="Hyperlink"/>
          </w:rPr>
          <w:t>Appendix A</w:t>
        </w:r>
        <w:r w:rsidR="000748CA" w:rsidRPr="005F1335">
          <w:rPr>
            <w:rStyle w:val="Hyperlink"/>
          </w:rPr>
          <w:t>2</w:t>
        </w:r>
        <w:r w:rsidRPr="005F1335">
          <w:rPr>
            <w:rStyle w:val="Hyperlink"/>
          </w:rPr>
          <w:t>, Table</w:t>
        </w:r>
        <w:r w:rsidRPr="005F1335">
          <w:rPr>
            <w:rStyle w:val="Hyperlink"/>
            <w:rFonts w:cs="Times New Roman"/>
            <w:szCs w:val="20"/>
            <w:lang w:val="en-US"/>
          </w:rPr>
          <w:t xml:space="preserve"> A2.18</w:t>
        </w:r>
      </w:hyperlink>
      <w:r>
        <w:rPr>
          <w:rStyle w:val="NotesChar"/>
          <w:rFonts w:eastAsiaTheme="minorEastAsia"/>
        </w:rPr>
        <w:t>.</w:t>
      </w:r>
      <w:bookmarkStart w:id="261" w:name="Place_A218"/>
      <w:bookmarkEnd w:id="261"/>
    </w:p>
    <w:p w14:paraId="0E7486CB" w14:textId="77777777" w:rsidR="001243C8" w:rsidRPr="009C3C01" w:rsidRDefault="001243C8" w:rsidP="001A4FCE">
      <w:pPr>
        <w:pStyle w:val="Source"/>
      </w:pPr>
      <w:r w:rsidRPr="007D1AA8">
        <w:rPr>
          <w:b/>
        </w:rPr>
        <w:t>Source</w:t>
      </w:r>
      <w:r w:rsidRPr="00EF7CFF">
        <w:rPr>
          <w:i/>
        </w:rPr>
        <w:t>:</w:t>
      </w:r>
      <w:r w:rsidRPr="009C3C01">
        <w:rPr>
          <w:rFonts w:eastAsia="Times New Roman"/>
          <w:lang w:eastAsia="en-AU"/>
        </w:rPr>
        <w:t xml:space="preserve"> </w:t>
      </w:r>
      <w:r w:rsidRPr="009C3C01">
        <w:rPr>
          <w:rFonts w:eastAsia="Times New Roman"/>
          <w:lang w:eastAsia="en-AU"/>
        </w:rPr>
        <w:tab/>
      </w:r>
      <w:r w:rsidRPr="007D1AA8">
        <w:t>Department of Employment administrative data</w:t>
      </w:r>
      <w:r>
        <w:t>.</w:t>
      </w:r>
    </w:p>
    <w:p w14:paraId="2763CF9F" w14:textId="77777777" w:rsidR="00A76FB2" w:rsidRPr="009C3C01" w:rsidRDefault="00A76FB2" w:rsidP="00A76FB2">
      <w:r w:rsidRPr="009C3C01">
        <w:t>Around 10 per cent of Skills Assessments conducted for the 2012</w:t>
      </w:r>
      <w:r w:rsidR="00AE0718" w:rsidRPr="00AE0718">
        <w:t xml:space="preserve"> </w:t>
      </w:r>
      <w:r w:rsidRPr="009C3C01">
        <w:t>Stream 1</w:t>
      </w:r>
      <w:r w:rsidR="00AE0718">
        <w:t xml:space="preserve"> </w:t>
      </w:r>
      <w:r w:rsidR="00455698" w:rsidRPr="009C3C01">
        <w:t>study population</w:t>
      </w:r>
      <w:r w:rsidRPr="009C3C01">
        <w:t xml:space="preserve"> were completed by </w:t>
      </w:r>
      <w:r>
        <w:t xml:space="preserve">week </w:t>
      </w:r>
      <w:r w:rsidRPr="009C3C01">
        <w:t xml:space="preserve">17 (the deadline required under the JSA 2009 contract). This second peak, which occurs when providers resume job seeker servicing, indicates that providers may have conducted </w:t>
      </w:r>
      <w:r w:rsidR="0051078B" w:rsidRPr="009C3C01">
        <w:t xml:space="preserve">Skills Assessments </w:t>
      </w:r>
      <w:r w:rsidRPr="009C3C01">
        <w:t>on the basis that the information was beneficial in planning servicing</w:t>
      </w:r>
      <w:r w:rsidR="00636D4C">
        <w:t>,</w:t>
      </w:r>
      <w:r w:rsidRPr="009C3C01">
        <w:t xml:space="preserve"> such as reverse marketing or wage subsidies. It is also possible that some providers did not amend their practices to reflect current requirements because they were unaware of changes.</w:t>
      </w:r>
    </w:p>
    <w:p w14:paraId="3B20D13E" w14:textId="77777777" w:rsidR="009C3C01" w:rsidRPr="009C3C01" w:rsidRDefault="009C3C01" w:rsidP="009C3C01">
      <w:r w:rsidRPr="009C3C01">
        <w:t>At the point that Skills Assessments were required, 7</w:t>
      </w:r>
      <w:r w:rsidR="002E6AF1">
        <w:t>1.6</w:t>
      </w:r>
      <w:r w:rsidRPr="009C3C01">
        <w:t xml:space="preserve"> per cent of the 2012 Stream 1</w:t>
      </w:r>
      <w:r w:rsidR="00AE0718">
        <w:t xml:space="preserve"> </w:t>
      </w:r>
      <w:r w:rsidR="00455698" w:rsidRPr="009C3C01">
        <w:t>study population</w:t>
      </w:r>
      <w:r w:rsidR="00455698">
        <w:t xml:space="preserve"> </w:t>
      </w:r>
      <w:r w:rsidRPr="009C3C01">
        <w:t>that was in service had a Skills Assessment compared to 64</w:t>
      </w:r>
      <w:r w:rsidR="002E6AF1">
        <w:t>.1</w:t>
      </w:r>
      <w:r w:rsidRPr="009C3C01">
        <w:t xml:space="preserve"> per cent for the 2009 group (Table </w:t>
      </w:r>
      <w:r w:rsidR="00904C78" w:rsidRPr="00904C78">
        <w:t>4</w:t>
      </w:r>
      <w:r w:rsidRPr="00904C78">
        <w:t>.2).</w:t>
      </w:r>
      <w:r w:rsidR="00636D4C" w:rsidRPr="00B52FEF">
        <w:rPr>
          <w:rStyle w:val="FootnoteReference"/>
        </w:rPr>
        <w:footnoteReference w:id="30"/>
      </w:r>
    </w:p>
    <w:p w14:paraId="75080020" w14:textId="77777777" w:rsidR="009C3C01" w:rsidRPr="00916231" w:rsidRDefault="009C3C01" w:rsidP="00916231">
      <w:pPr>
        <w:pStyle w:val="Tableforcontents"/>
      </w:pPr>
      <w:bookmarkStart w:id="262" w:name="_Toc410313433"/>
      <w:bookmarkStart w:id="263" w:name="_Toc436142563"/>
      <w:bookmarkStart w:id="264" w:name="_Toc22543984"/>
      <w:r w:rsidRPr="00916231">
        <w:t xml:space="preserve">Table </w:t>
      </w:r>
      <w:r w:rsidR="00904C78" w:rsidRPr="00916231">
        <w:t>4</w:t>
      </w:r>
      <w:r w:rsidRPr="00916231">
        <w:t>.2:</w:t>
      </w:r>
      <w:r w:rsidR="003C29A5">
        <w:t xml:space="preserve"> </w:t>
      </w:r>
      <w:r w:rsidRPr="00916231">
        <w:t>Skills Assessments conducted within 12 calendar months of commencing in service, 2009 and 2012 Stream 1 servicing study populations (per cent)</w:t>
      </w:r>
      <w:bookmarkEnd w:id="262"/>
      <w:bookmarkEnd w:id="263"/>
      <w:bookmarkEnd w:id="264"/>
    </w:p>
    <w:tbl>
      <w:tblPr>
        <w:tblStyle w:val="TableGrid23"/>
        <w:tblW w:w="0" w:type="auto"/>
        <w:tblLook w:val="04A0" w:firstRow="1" w:lastRow="0" w:firstColumn="1" w:lastColumn="0" w:noHBand="0" w:noVBand="1"/>
      </w:tblPr>
      <w:tblGrid>
        <w:gridCol w:w="5483"/>
        <w:gridCol w:w="1674"/>
        <w:gridCol w:w="1870"/>
      </w:tblGrid>
      <w:tr w:rsidR="009C3C01" w:rsidRPr="0011747A" w14:paraId="088567C2" w14:textId="77777777" w:rsidTr="003944D9">
        <w:trPr>
          <w:trHeight w:val="362"/>
          <w:tblHeader/>
        </w:trPr>
        <w:tc>
          <w:tcPr>
            <w:tcW w:w="5637" w:type="dxa"/>
            <w:tcBorders>
              <w:top w:val="nil"/>
              <w:left w:val="nil"/>
              <w:bottom w:val="nil"/>
              <w:right w:val="nil"/>
            </w:tcBorders>
            <w:shd w:val="clear" w:color="auto" w:fill="1E3D6B"/>
            <w:vAlign w:val="center"/>
          </w:tcPr>
          <w:p w14:paraId="4EF9CC34" w14:textId="77777777" w:rsidR="009C3C01" w:rsidRPr="0011747A" w:rsidRDefault="009C3C01" w:rsidP="009C3C01">
            <w:pPr>
              <w:keepNext/>
              <w:rPr>
                <w:b/>
                <w:sz w:val="20"/>
                <w:szCs w:val="20"/>
              </w:rPr>
            </w:pPr>
            <w:bookmarkStart w:id="265" w:name="Title_42"/>
            <w:bookmarkEnd w:id="265"/>
            <w:r w:rsidRPr="0011747A">
              <w:rPr>
                <w:b/>
                <w:sz w:val="20"/>
                <w:szCs w:val="20"/>
              </w:rPr>
              <w:t>Measure</w:t>
            </w:r>
          </w:p>
        </w:tc>
        <w:tc>
          <w:tcPr>
            <w:tcW w:w="1701" w:type="dxa"/>
            <w:tcBorders>
              <w:top w:val="nil"/>
              <w:left w:val="nil"/>
              <w:bottom w:val="nil"/>
              <w:right w:val="nil"/>
            </w:tcBorders>
            <w:shd w:val="clear" w:color="auto" w:fill="1E3D6B"/>
            <w:vAlign w:val="center"/>
          </w:tcPr>
          <w:p w14:paraId="601BB50A" w14:textId="77777777" w:rsidR="009C3C01" w:rsidRPr="0011747A" w:rsidRDefault="009C3C01" w:rsidP="009C3C01">
            <w:pPr>
              <w:keepNext/>
              <w:rPr>
                <w:b/>
                <w:sz w:val="20"/>
                <w:szCs w:val="20"/>
              </w:rPr>
            </w:pPr>
            <w:r w:rsidRPr="0011747A">
              <w:rPr>
                <w:b/>
                <w:sz w:val="20"/>
                <w:szCs w:val="20"/>
              </w:rPr>
              <w:t>JSA 2009</w:t>
            </w:r>
          </w:p>
        </w:tc>
        <w:tc>
          <w:tcPr>
            <w:tcW w:w="1904" w:type="dxa"/>
            <w:tcBorders>
              <w:top w:val="nil"/>
              <w:left w:val="nil"/>
              <w:bottom w:val="nil"/>
              <w:right w:val="nil"/>
            </w:tcBorders>
            <w:shd w:val="clear" w:color="auto" w:fill="1E3D6B"/>
            <w:vAlign w:val="center"/>
          </w:tcPr>
          <w:p w14:paraId="21FD2BC8" w14:textId="77777777" w:rsidR="009C3C01" w:rsidRPr="0011747A" w:rsidRDefault="009C3C01" w:rsidP="009C3C01">
            <w:pPr>
              <w:keepNext/>
              <w:rPr>
                <w:b/>
                <w:sz w:val="20"/>
                <w:szCs w:val="20"/>
              </w:rPr>
            </w:pPr>
            <w:r w:rsidRPr="0011747A">
              <w:rPr>
                <w:b/>
                <w:sz w:val="20"/>
                <w:szCs w:val="20"/>
              </w:rPr>
              <w:t>JSA 2012</w:t>
            </w:r>
          </w:p>
        </w:tc>
      </w:tr>
      <w:tr w:rsidR="009C3C01" w:rsidRPr="0011747A" w14:paraId="3FA2BDEA" w14:textId="77777777" w:rsidTr="003944D9">
        <w:trPr>
          <w:trHeight w:val="340"/>
        </w:trPr>
        <w:tc>
          <w:tcPr>
            <w:tcW w:w="5637" w:type="dxa"/>
            <w:tcBorders>
              <w:top w:val="nil"/>
              <w:left w:val="nil"/>
              <w:bottom w:val="nil"/>
              <w:right w:val="nil"/>
            </w:tcBorders>
            <w:vAlign w:val="center"/>
          </w:tcPr>
          <w:p w14:paraId="00EA37A0" w14:textId="77777777" w:rsidR="009C3C01" w:rsidRPr="0011747A" w:rsidRDefault="009C3C01" w:rsidP="003944D9">
            <w:pPr>
              <w:keepNext/>
              <w:spacing w:before="99" w:after="99"/>
              <w:rPr>
                <w:sz w:val="20"/>
                <w:szCs w:val="20"/>
              </w:rPr>
            </w:pPr>
            <w:r w:rsidRPr="0011747A">
              <w:rPr>
                <w:sz w:val="20"/>
                <w:szCs w:val="20"/>
              </w:rPr>
              <w:t xml:space="preserve">Proportion of job seekers that remained in service when a Skills Assessment was due </w:t>
            </w:r>
            <w:r w:rsidRPr="0011747A">
              <w:rPr>
                <w:sz w:val="20"/>
                <w:szCs w:val="20"/>
                <w:vertAlign w:val="superscript"/>
              </w:rPr>
              <w:t>1,2</w:t>
            </w:r>
          </w:p>
        </w:tc>
        <w:tc>
          <w:tcPr>
            <w:tcW w:w="1701" w:type="dxa"/>
            <w:tcBorders>
              <w:top w:val="nil"/>
              <w:left w:val="nil"/>
              <w:bottom w:val="nil"/>
              <w:right w:val="nil"/>
            </w:tcBorders>
            <w:vAlign w:val="center"/>
          </w:tcPr>
          <w:p w14:paraId="3464A6CE" w14:textId="77777777" w:rsidR="009C3C01" w:rsidRPr="0011747A" w:rsidRDefault="009C3C01" w:rsidP="003944D9">
            <w:pPr>
              <w:keepNext/>
              <w:spacing w:before="99" w:after="99"/>
              <w:ind w:left="263"/>
              <w:rPr>
                <w:sz w:val="20"/>
                <w:szCs w:val="20"/>
              </w:rPr>
            </w:pPr>
            <w:r w:rsidRPr="0011747A">
              <w:rPr>
                <w:sz w:val="20"/>
                <w:szCs w:val="20"/>
              </w:rPr>
              <w:t>49</w:t>
            </w:r>
            <w:r w:rsidR="002E6AF1">
              <w:rPr>
                <w:sz w:val="20"/>
                <w:szCs w:val="20"/>
              </w:rPr>
              <w:t>.5</w:t>
            </w:r>
            <w:r w:rsidRPr="0011747A">
              <w:rPr>
                <w:sz w:val="20"/>
                <w:szCs w:val="20"/>
              </w:rPr>
              <w:t xml:space="preserve"> </w:t>
            </w:r>
          </w:p>
        </w:tc>
        <w:tc>
          <w:tcPr>
            <w:tcW w:w="1904" w:type="dxa"/>
            <w:tcBorders>
              <w:top w:val="nil"/>
              <w:left w:val="nil"/>
              <w:bottom w:val="nil"/>
              <w:right w:val="nil"/>
            </w:tcBorders>
            <w:vAlign w:val="center"/>
          </w:tcPr>
          <w:p w14:paraId="145FF0BA" w14:textId="77777777" w:rsidR="009C3C01" w:rsidRPr="0011747A" w:rsidRDefault="009C3C01" w:rsidP="003944D9">
            <w:pPr>
              <w:keepNext/>
              <w:spacing w:before="99" w:after="99"/>
              <w:ind w:left="263"/>
              <w:rPr>
                <w:sz w:val="20"/>
                <w:szCs w:val="20"/>
              </w:rPr>
            </w:pPr>
            <w:r w:rsidRPr="0011747A">
              <w:rPr>
                <w:sz w:val="20"/>
                <w:szCs w:val="20"/>
              </w:rPr>
              <w:t>35</w:t>
            </w:r>
            <w:r w:rsidR="002E6AF1">
              <w:rPr>
                <w:sz w:val="20"/>
                <w:szCs w:val="20"/>
              </w:rPr>
              <w:t>.3</w:t>
            </w:r>
          </w:p>
        </w:tc>
      </w:tr>
      <w:tr w:rsidR="009C3C01" w:rsidRPr="0011747A" w14:paraId="1B0289C7" w14:textId="77777777" w:rsidTr="003944D9">
        <w:trPr>
          <w:trHeight w:val="340"/>
        </w:trPr>
        <w:tc>
          <w:tcPr>
            <w:tcW w:w="5637" w:type="dxa"/>
            <w:tcBorders>
              <w:top w:val="nil"/>
              <w:left w:val="nil"/>
              <w:bottom w:val="nil"/>
              <w:right w:val="nil"/>
            </w:tcBorders>
            <w:shd w:val="clear" w:color="auto" w:fill="E5E5E5" w:themeFill="background1" w:themeFillTint="33"/>
            <w:vAlign w:val="center"/>
          </w:tcPr>
          <w:p w14:paraId="615C8DE3" w14:textId="77777777" w:rsidR="009C3C01" w:rsidRPr="00B53009" w:rsidRDefault="009C3C01" w:rsidP="003944D9">
            <w:pPr>
              <w:keepNext/>
              <w:spacing w:before="99" w:after="99"/>
              <w:rPr>
                <w:sz w:val="20"/>
                <w:szCs w:val="20"/>
                <w:vertAlign w:val="superscript"/>
              </w:rPr>
            </w:pPr>
            <w:r w:rsidRPr="0011747A">
              <w:rPr>
                <w:sz w:val="20"/>
                <w:szCs w:val="20"/>
              </w:rPr>
              <w:t xml:space="preserve">Proportion of job seekers who were still in service at the deadline for a Skills Assessment that actually had it conducted in the first 12 months after commencing service </w:t>
            </w:r>
            <w:r w:rsidR="00B53009">
              <w:rPr>
                <w:sz w:val="20"/>
                <w:szCs w:val="20"/>
                <w:vertAlign w:val="superscript"/>
              </w:rPr>
              <w:t>3</w:t>
            </w:r>
          </w:p>
        </w:tc>
        <w:tc>
          <w:tcPr>
            <w:tcW w:w="1701" w:type="dxa"/>
            <w:tcBorders>
              <w:top w:val="nil"/>
              <w:left w:val="nil"/>
              <w:bottom w:val="nil"/>
              <w:right w:val="nil"/>
            </w:tcBorders>
            <w:shd w:val="clear" w:color="auto" w:fill="E5E5E5" w:themeFill="background1" w:themeFillTint="33"/>
            <w:vAlign w:val="center"/>
          </w:tcPr>
          <w:p w14:paraId="36BC37C0" w14:textId="77777777" w:rsidR="009C3C01" w:rsidRPr="0011747A" w:rsidRDefault="009C3C01" w:rsidP="003944D9">
            <w:pPr>
              <w:keepNext/>
              <w:spacing w:before="99" w:after="99"/>
              <w:ind w:left="263"/>
              <w:rPr>
                <w:sz w:val="20"/>
                <w:szCs w:val="20"/>
              </w:rPr>
            </w:pPr>
            <w:r w:rsidRPr="0011747A">
              <w:rPr>
                <w:sz w:val="20"/>
                <w:szCs w:val="20"/>
              </w:rPr>
              <w:t>64</w:t>
            </w:r>
            <w:r w:rsidR="002E6AF1">
              <w:rPr>
                <w:sz w:val="20"/>
                <w:szCs w:val="20"/>
              </w:rPr>
              <w:t>.1</w:t>
            </w:r>
            <w:r w:rsidRPr="0011747A">
              <w:rPr>
                <w:sz w:val="20"/>
                <w:szCs w:val="20"/>
              </w:rPr>
              <w:t xml:space="preserve"> </w:t>
            </w:r>
          </w:p>
        </w:tc>
        <w:tc>
          <w:tcPr>
            <w:tcW w:w="1904" w:type="dxa"/>
            <w:tcBorders>
              <w:top w:val="nil"/>
              <w:left w:val="nil"/>
              <w:bottom w:val="nil"/>
              <w:right w:val="nil"/>
            </w:tcBorders>
            <w:shd w:val="clear" w:color="auto" w:fill="E5E5E5" w:themeFill="background1" w:themeFillTint="33"/>
            <w:vAlign w:val="center"/>
          </w:tcPr>
          <w:p w14:paraId="6DB38502" w14:textId="77777777" w:rsidR="009C3C01" w:rsidRPr="0011747A" w:rsidRDefault="009C3C01" w:rsidP="003944D9">
            <w:pPr>
              <w:keepNext/>
              <w:spacing w:before="99" w:after="99"/>
              <w:ind w:left="263"/>
              <w:rPr>
                <w:sz w:val="20"/>
                <w:szCs w:val="20"/>
              </w:rPr>
            </w:pPr>
            <w:r w:rsidRPr="0011747A">
              <w:rPr>
                <w:sz w:val="20"/>
                <w:szCs w:val="20"/>
              </w:rPr>
              <w:t>7</w:t>
            </w:r>
            <w:r w:rsidR="002E6AF1">
              <w:rPr>
                <w:sz w:val="20"/>
                <w:szCs w:val="20"/>
              </w:rPr>
              <w:t>1.6</w:t>
            </w:r>
            <w:r w:rsidRPr="0011747A">
              <w:rPr>
                <w:sz w:val="20"/>
                <w:szCs w:val="20"/>
              </w:rPr>
              <w:t xml:space="preserve"> </w:t>
            </w:r>
          </w:p>
        </w:tc>
      </w:tr>
      <w:tr w:rsidR="009C3C01" w:rsidRPr="0011747A" w14:paraId="4F585226" w14:textId="77777777" w:rsidTr="003944D9">
        <w:trPr>
          <w:trHeight w:val="340"/>
        </w:trPr>
        <w:tc>
          <w:tcPr>
            <w:tcW w:w="5637" w:type="dxa"/>
            <w:tcBorders>
              <w:top w:val="nil"/>
              <w:left w:val="nil"/>
              <w:bottom w:val="single" w:sz="4" w:space="0" w:color="auto"/>
              <w:right w:val="nil"/>
            </w:tcBorders>
            <w:vAlign w:val="center"/>
          </w:tcPr>
          <w:p w14:paraId="4B6C4812" w14:textId="5CEA02CF" w:rsidR="0013397B" w:rsidRPr="0011747A" w:rsidRDefault="009C3C01" w:rsidP="00C04D6F">
            <w:pPr>
              <w:keepNext/>
              <w:spacing w:before="99" w:after="99"/>
              <w:rPr>
                <w:sz w:val="20"/>
                <w:szCs w:val="20"/>
              </w:rPr>
            </w:pPr>
            <w:r w:rsidRPr="0011747A">
              <w:rPr>
                <w:sz w:val="20"/>
                <w:szCs w:val="20"/>
              </w:rPr>
              <w:t>Proportion of job seekers that had a Skills Assessment conducted within 12 months of commencing in service</w:t>
            </w:r>
          </w:p>
        </w:tc>
        <w:tc>
          <w:tcPr>
            <w:tcW w:w="1701" w:type="dxa"/>
            <w:tcBorders>
              <w:top w:val="nil"/>
              <w:left w:val="nil"/>
              <w:bottom w:val="single" w:sz="4" w:space="0" w:color="auto"/>
              <w:right w:val="nil"/>
            </w:tcBorders>
            <w:vAlign w:val="center"/>
          </w:tcPr>
          <w:p w14:paraId="1415BDE6" w14:textId="77777777" w:rsidR="009C3C01" w:rsidRPr="0011747A" w:rsidRDefault="009C3C01" w:rsidP="003944D9">
            <w:pPr>
              <w:keepNext/>
              <w:spacing w:before="99" w:after="99"/>
              <w:ind w:left="263"/>
              <w:rPr>
                <w:sz w:val="20"/>
                <w:szCs w:val="20"/>
              </w:rPr>
            </w:pPr>
            <w:r w:rsidRPr="0011747A">
              <w:rPr>
                <w:sz w:val="20"/>
                <w:szCs w:val="20"/>
              </w:rPr>
              <w:t>3</w:t>
            </w:r>
            <w:r w:rsidR="002E6AF1">
              <w:rPr>
                <w:sz w:val="20"/>
                <w:szCs w:val="20"/>
              </w:rPr>
              <w:t>3.6</w:t>
            </w:r>
            <w:r w:rsidRPr="0011747A">
              <w:rPr>
                <w:sz w:val="20"/>
                <w:szCs w:val="20"/>
              </w:rPr>
              <w:t xml:space="preserve"> </w:t>
            </w:r>
          </w:p>
        </w:tc>
        <w:tc>
          <w:tcPr>
            <w:tcW w:w="1904" w:type="dxa"/>
            <w:tcBorders>
              <w:top w:val="nil"/>
              <w:left w:val="nil"/>
              <w:bottom w:val="single" w:sz="4" w:space="0" w:color="auto"/>
              <w:right w:val="nil"/>
            </w:tcBorders>
            <w:vAlign w:val="center"/>
          </w:tcPr>
          <w:p w14:paraId="2122CE7D" w14:textId="77777777" w:rsidR="009C3C01" w:rsidRPr="0011747A" w:rsidRDefault="009C3C01" w:rsidP="003944D9">
            <w:pPr>
              <w:keepNext/>
              <w:spacing w:before="99" w:after="99"/>
              <w:ind w:left="263"/>
              <w:rPr>
                <w:sz w:val="20"/>
                <w:szCs w:val="20"/>
              </w:rPr>
            </w:pPr>
            <w:r w:rsidRPr="0011747A">
              <w:rPr>
                <w:sz w:val="20"/>
                <w:szCs w:val="20"/>
              </w:rPr>
              <w:t>26</w:t>
            </w:r>
            <w:r w:rsidR="002E6AF1">
              <w:rPr>
                <w:sz w:val="20"/>
                <w:szCs w:val="20"/>
              </w:rPr>
              <w:t>.5</w:t>
            </w:r>
            <w:r w:rsidRPr="0011747A">
              <w:rPr>
                <w:sz w:val="20"/>
                <w:szCs w:val="20"/>
              </w:rPr>
              <w:t xml:space="preserve"> </w:t>
            </w:r>
          </w:p>
        </w:tc>
      </w:tr>
    </w:tbl>
    <w:p w14:paraId="0A545340" w14:textId="77777777" w:rsidR="00655E7B" w:rsidRDefault="009C3C01" w:rsidP="001243C8">
      <w:pPr>
        <w:pStyle w:val="Notes"/>
      </w:pPr>
      <w:r w:rsidRPr="001243C8">
        <w:rPr>
          <w:b/>
        </w:rPr>
        <w:t>Notes</w:t>
      </w:r>
      <w:r w:rsidRPr="009C3C01">
        <w:t>:</w:t>
      </w:r>
      <w:r w:rsidRPr="009C3C01">
        <w:tab/>
      </w:r>
    </w:p>
    <w:p w14:paraId="600A70C0" w14:textId="5E99B7C7" w:rsidR="00655E7B" w:rsidRPr="00E5413A" w:rsidRDefault="009C3C01" w:rsidP="00B039A8">
      <w:pPr>
        <w:pStyle w:val="Notesnumbered"/>
        <w:numPr>
          <w:ilvl w:val="0"/>
          <w:numId w:val="235"/>
        </w:numPr>
        <w:ind w:left="709" w:hanging="567"/>
      </w:pPr>
      <w:r w:rsidRPr="001243C8">
        <w:t xml:space="preserve">The </w:t>
      </w:r>
      <w:r w:rsidRPr="00E5413A">
        <w:t xml:space="preserve">deadline is calculated based on time in service (it therefore excludes periods where job seekers were on suspensions). The </w:t>
      </w:r>
      <w:r w:rsidR="0008723A" w:rsidRPr="00E5413A">
        <w:t>12-month</w:t>
      </w:r>
      <w:r w:rsidRPr="00E5413A">
        <w:t xml:space="preserve"> period for analysis is measured in elapsed time.</w:t>
      </w:r>
    </w:p>
    <w:p w14:paraId="0B945FED" w14:textId="77777777" w:rsidR="00655E7B" w:rsidRPr="00E5413A" w:rsidRDefault="009C3C01" w:rsidP="00B039A8">
      <w:pPr>
        <w:pStyle w:val="Notesnumbered"/>
        <w:numPr>
          <w:ilvl w:val="0"/>
          <w:numId w:val="235"/>
        </w:numPr>
        <w:ind w:left="709" w:hanging="567"/>
      </w:pPr>
      <w:r w:rsidRPr="00E5413A">
        <w:t>A Skills Assessment had been conducted for a small proportion of those who exited before the deadline was reached.</w:t>
      </w:r>
    </w:p>
    <w:p w14:paraId="5630C955" w14:textId="77777777" w:rsidR="00655E7B" w:rsidRPr="001243C8" w:rsidRDefault="009C3C01" w:rsidP="00B039A8">
      <w:pPr>
        <w:pStyle w:val="Notesnumbered"/>
        <w:numPr>
          <w:ilvl w:val="0"/>
          <w:numId w:val="235"/>
        </w:numPr>
        <w:ind w:left="709" w:hanging="567"/>
      </w:pPr>
      <w:r w:rsidRPr="00E5413A">
        <w:t>Excludes a small proportion of job seekers who were still in service at 12 calendar months that had not yet reached the deadline in terms</w:t>
      </w:r>
      <w:r w:rsidRPr="001243C8">
        <w:t xml:space="preserve"> of time in service (less</w:t>
      </w:r>
      <w:r w:rsidR="004A70EE" w:rsidRPr="001243C8">
        <w:t xml:space="preserve"> than 1 per cent for JSA 2009</w:t>
      </w:r>
      <w:r w:rsidRPr="001243C8">
        <w:t xml:space="preserve"> and 1.5 per cent for JSA 2012).</w:t>
      </w:r>
    </w:p>
    <w:p w14:paraId="28A8B199" w14:textId="77777777" w:rsidR="001243C8" w:rsidRPr="00655E7B" w:rsidRDefault="001243C8" w:rsidP="001243C8">
      <w:pPr>
        <w:pStyle w:val="Source"/>
      </w:pPr>
      <w:r w:rsidRPr="00655E7B">
        <w:rPr>
          <w:b/>
        </w:rPr>
        <w:t>Source</w:t>
      </w:r>
      <w:r w:rsidRPr="00655E7B">
        <w:t xml:space="preserve">: </w:t>
      </w:r>
      <w:r w:rsidRPr="00655E7B">
        <w:tab/>
        <w:t>Department of Employment administrative data.</w:t>
      </w:r>
    </w:p>
    <w:p w14:paraId="6AB20DC0" w14:textId="77777777" w:rsidR="00FC6033" w:rsidRDefault="00FC6033" w:rsidP="0085430B">
      <w:r w:rsidRPr="009C3C01">
        <w:t xml:space="preserve">Skills Assessment </w:t>
      </w:r>
      <w:r>
        <w:t xml:space="preserve">were </w:t>
      </w:r>
      <w:r w:rsidRPr="009C3C01">
        <w:t xml:space="preserve">conducted </w:t>
      </w:r>
      <w:r>
        <w:t xml:space="preserve">on </w:t>
      </w:r>
      <w:r w:rsidR="009C3C01" w:rsidRPr="009C3C01">
        <w:t xml:space="preserve">fewer job seekers </w:t>
      </w:r>
      <w:r>
        <w:t>in</w:t>
      </w:r>
      <w:r w:rsidRPr="009C3C01">
        <w:t xml:space="preserve"> </w:t>
      </w:r>
      <w:r w:rsidR="009C3C01" w:rsidRPr="009C3C01">
        <w:t>the 2012</w:t>
      </w:r>
      <w:r w:rsidR="00AE0718" w:rsidRPr="00AE0718">
        <w:t xml:space="preserve"> </w:t>
      </w:r>
      <w:r w:rsidR="009C3C01" w:rsidRPr="009C3C01">
        <w:t xml:space="preserve">Stream 1 </w:t>
      </w:r>
      <w:r w:rsidR="00455698">
        <w:t>study population</w:t>
      </w:r>
      <w:r w:rsidR="00AE0718">
        <w:t xml:space="preserve"> </w:t>
      </w:r>
      <w:r w:rsidR="009C3C01" w:rsidRPr="009C3C01">
        <w:t xml:space="preserve">in the first 12 calendar months from commencement than the </w:t>
      </w:r>
      <w:r>
        <w:t xml:space="preserve">corresponding </w:t>
      </w:r>
      <w:r w:rsidR="009C3C01" w:rsidRPr="009C3C01">
        <w:t>2009 study population (26</w:t>
      </w:r>
      <w:r w:rsidR="002E6AF1">
        <w:t>.5</w:t>
      </w:r>
      <w:r w:rsidR="009C3C01" w:rsidRPr="009C3C01">
        <w:t xml:space="preserve"> per cent compared with 3</w:t>
      </w:r>
      <w:r w:rsidR="002E6AF1">
        <w:t>3.6</w:t>
      </w:r>
      <w:r w:rsidR="009C3C01" w:rsidRPr="009C3C01">
        <w:t xml:space="preserve"> per cent)</w:t>
      </w:r>
      <w:r>
        <w:t>,</w:t>
      </w:r>
      <w:r w:rsidR="00880DEF">
        <w:t xml:space="preserve"> </w:t>
      </w:r>
      <w:r>
        <w:t xml:space="preserve">representing a drop of </w:t>
      </w:r>
      <w:r w:rsidR="002E6AF1">
        <w:t xml:space="preserve">around </w:t>
      </w:r>
      <w:r w:rsidR="009245F1">
        <w:t>7</w:t>
      </w:r>
      <w:r w:rsidR="009245F1" w:rsidRPr="009C3C01">
        <w:t xml:space="preserve"> </w:t>
      </w:r>
      <w:r w:rsidRPr="009C3C01">
        <w:t>percentage points</w:t>
      </w:r>
      <w:r w:rsidR="009C3C01" w:rsidRPr="009C3C01">
        <w:t>.</w:t>
      </w:r>
    </w:p>
    <w:p w14:paraId="4BC6706A" w14:textId="77777777" w:rsidR="009C3C01" w:rsidRPr="009C3C01" w:rsidRDefault="00FC6033" w:rsidP="0085430B">
      <w:r>
        <w:t>When the following reasonable a</w:t>
      </w:r>
      <w:r w:rsidR="009C3C01" w:rsidRPr="009C3C01">
        <w:t>ssum</w:t>
      </w:r>
      <w:r>
        <w:t xml:space="preserve">ptions are </w:t>
      </w:r>
      <w:r w:rsidR="00F9208E">
        <w:t>made</w:t>
      </w:r>
      <w:r w:rsidR="005966D6">
        <w:t>,</w:t>
      </w:r>
      <w:r w:rsidR="005966D6" w:rsidRPr="005966D6">
        <w:t xml:space="preserve"> </w:t>
      </w:r>
      <w:r w:rsidR="005966D6" w:rsidRPr="009C3C01">
        <w:t>the cost</w:t>
      </w:r>
      <w:r w:rsidR="005966D6">
        <w:t>-</w:t>
      </w:r>
      <w:r w:rsidR="005966D6" w:rsidRPr="009C3C01">
        <w:t>to</w:t>
      </w:r>
      <w:r w:rsidR="005966D6">
        <w:t>-</w:t>
      </w:r>
      <w:r w:rsidR="005966D6" w:rsidRPr="009C3C01">
        <w:t>programme</w:t>
      </w:r>
      <w:r w:rsidR="005966D6" w:rsidRPr="00464D74">
        <w:t xml:space="preserve"> </w:t>
      </w:r>
      <w:r w:rsidR="005966D6" w:rsidRPr="009C3C01">
        <w:t xml:space="preserve">saving objective of this change </w:t>
      </w:r>
      <w:r w:rsidR="005966D6">
        <w:t>appears to have been</w:t>
      </w:r>
      <w:r w:rsidR="005966D6" w:rsidRPr="009C3C01">
        <w:t xml:space="preserve"> met</w:t>
      </w:r>
      <w:r>
        <w:t>:</w:t>
      </w:r>
    </w:p>
    <w:p w14:paraId="16D38168" w14:textId="77777777" w:rsidR="00FC6033" w:rsidRPr="00880DEF" w:rsidRDefault="009C3C01" w:rsidP="00B27013">
      <w:pPr>
        <w:pStyle w:val="ListParagraph"/>
      </w:pPr>
      <w:r w:rsidRPr="00FC6033">
        <w:t>similar costs for Skills Assessments over the period</w:t>
      </w:r>
    </w:p>
    <w:p w14:paraId="4B181FAA" w14:textId="77777777" w:rsidR="00FC6033" w:rsidRDefault="009C3C01" w:rsidP="00B27013">
      <w:pPr>
        <w:pStyle w:val="ListParagraph"/>
      </w:pPr>
      <w:r w:rsidRPr="00FC6033">
        <w:t>that provider compliance with Skills Assessment timing is similar under both models</w:t>
      </w:r>
    </w:p>
    <w:p w14:paraId="77838F07" w14:textId="77777777" w:rsidR="00FC6033" w:rsidRDefault="009C3C01" w:rsidP="00B27013">
      <w:pPr>
        <w:pStyle w:val="ListParagraph"/>
      </w:pPr>
      <w:r w:rsidRPr="00FC6033">
        <w:t xml:space="preserve">fewer </w:t>
      </w:r>
      <w:r w:rsidR="00464D74">
        <w:t>(</w:t>
      </w:r>
      <w:r w:rsidR="009245F1">
        <w:t xml:space="preserve">7 </w:t>
      </w:r>
      <w:r w:rsidR="00464D74">
        <w:t xml:space="preserve">percentage points) </w:t>
      </w:r>
      <w:r w:rsidRPr="00FC6033">
        <w:t>job seekers actually had Skills Assessments under JSA 2012</w:t>
      </w:r>
    </w:p>
    <w:p w14:paraId="0D12EA52" w14:textId="77777777" w:rsidR="00FC6033" w:rsidRPr="00FC6033" w:rsidRDefault="00FC6033" w:rsidP="00B27013">
      <w:pPr>
        <w:pStyle w:val="ListParagraph"/>
      </w:pPr>
      <w:r w:rsidRPr="00FC6033">
        <w:t xml:space="preserve">provider compliance with this deadline </w:t>
      </w:r>
      <w:r w:rsidR="00464D74">
        <w:t>is</w:t>
      </w:r>
      <w:r w:rsidRPr="00FC6033">
        <w:t xml:space="preserve"> similar under both models</w:t>
      </w:r>
      <w:r w:rsidR="00401218">
        <w:t>.</w:t>
      </w:r>
    </w:p>
    <w:p w14:paraId="29B3F91F" w14:textId="77777777" w:rsidR="009C3C01" w:rsidRPr="009C3C01" w:rsidRDefault="009C3C01" w:rsidP="00D319E7">
      <w:pPr>
        <w:pStyle w:val="Heading4"/>
        <w:rPr>
          <w:color w:val="000000" w:themeColor="text1"/>
        </w:rPr>
      </w:pPr>
      <w:r w:rsidRPr="009C3C01">
        <w:t xml:space="preserve">Job seeker satisfaction with </w:t>
      </w:r>
      <w:r w:rsidR="00682D84">
        <w:t xml:space="preserve">Stream 1 </w:t>
      </w:r>
      <w:r w:rsidRPr="009C3C01">
        <w:t>service delivery</w:t>
      </w:r>
    </w:p>
    <w:p w14:paraId="7868EFFA" w14:textId="77777777" w:rsidR="009C3C01" w:rsidRPr="009C3C01" w:rsidRDefault="00537679" w:rsidP="009C3C01">
      <w:pPr>
        <w:spacing w:before="120"/>
        <w:rPr>
          <w:color w:val="000000" w:themeColor="text1"/>
        </w:rPr>
      </w:pPr>
      <w:r>
        <w:rPr>
          <w:color w:val="000000" w:themeColor="text1"/>
        </w:rPr>
        <w:t>A</w:t>
      </w:r>
      <w:r w:rsidR="009C3C01" w:rsidRPr="009C3C01">
        <w:rPr>
          <w:color w:val="000000" w:themeColor="text1"/>
        </w:rPr>
        <w:t xml:space="preserve">round </w:t>
      </w:r>
      <w:r w:rsidR="00F9208E">
        <w:rPr>
          <w:color w:val="000000" w:themeColor="text1"/>
        </w:rPr>
        <w:t>8</w:t>
      </w:r>
      <w:r w:rsidR="00F9208E" w:rsidRPr="009C3C01">
        <w:rPr>
          <w:color w:val="000000" w:themeColor="text1"/>
        </w:rPr>
        <w:t xml:space="preserve">0 </w:t>
      </w:r>
      <w:r w:rsidR="009C3C01" w:rsidRPr="009C3C01">
        <w:rPr>
          <w:color w:val="000000" w:themeColor="text1"/>
        </w:rPr>
        <w:t xml:space="preserve">per cent of job seekers </w:t>
      </w:r>
      <w:r>
        <w:rPr>
          <w:color w:val="000000" w:themeColor="text1"/>
        </w:rPr>
        <w:t xml:space="preserve">were </w:t>
      </w:r>
      <w:r w:rsidR="009C3C01" w:rsidRPr="009C3C01">
        <w:rPr>
          <w:color w:val="000000" w:themeColor="text1"/>
        </w:rPr>
        <w:t xml:space="preserve">not dissatisfied with the </w:t>
      </w:r>
      <w:r w:rsidR="00F9208E">
        <w:rPr>
          <w:color w:val="000000" w:themeColor="text1"/>
        </w:rPr>
        <w:t>level of service</w:t>
      </w:r>
      <w:r w:rsidR="009C3C01" w:rsidRPr="009C3C01">
        <w:rPr>
          <w:color w:val="000000" w:themeColor="text1"/>
        </w:rPr>
        <w:t xml:space="preserve"> under both models</w:t>
      </w:r>
      <w:r w:rsidR="00710848">
        <w:rPr>
          <w:color w:val="000000" w:themeColor="text1"/>
        </w:rPr>
        <w:t xml:space="preserve"> (Table 4.3)</w:t>
      </w:r>
      <w:r w:rsidR="009C3C01" w:rsidRPr="009C3C01">
        <w:rPr>
          <w:color w:val="000000" w:themeColor="text1"/>
        </w:rPr>
        <w:t>.</w:t>
      </w:r>
      <w:r w:rsidR="00F9208E">
        <w:rPr>
          <w:color w:val="000000" w:themeColor="text1"/>
        </w:rPr>
        <w:t xml:space="preserve"> There were, however, small drops in satisfaction across most categories measured. </w:t>
      </w:r>
      <w:r w:rsidR="00F9208E" w:rsidRPr="009C3C01">
        <w:rPr>
          <w:rFonts w:eastAsiaTheme="majorEastAsia"/>
        </w:rPr>
        <w:t>This may in part reflect unrealistic job seeker expectations, not adequately dispelled by providers either at the initial face-to-face interviews or through the Employment Pathway Plan (EPP) process.</w:t>
      </w:r>
      <w:r w:rsidR="00F9208E">
        <w:rPr>
          <w:rFonts w:eastAsiaTheme="majorEastAsia"/>
        </w:rPr>
        <w:t xml:space="preserve"> It may also reflect a </w:t>
      </w:r>
      <w:r w:rsidR="00174A71">
        <w:rPr>
          <w:rFonts w:eastAsiaTheme="majorEastAsia"/>
        </w:rPr>
        <w:t xml:space="preserve">less concentrated </w:t>
      </w:r>
      <w:r w:rsidR="00F9208E">
        <w:rPr>
          <w:rFonts w:eastAsiaTheme="majorEastAsia"/>
        </w:rPr>
        <w:t>attitude to servicing by providers under the later model.</w:t>
      </w:r>
    </w:p>
    <w:p w14:paraId="6CCB423A" w14:textId="77777777" w:rsidR="009C3C01" w:rsidRPr="009C3C01" w:rsidRDefault="009C3C01" w:rsidP="00C2452E">
      <w:pPr>
        <w:pStyle w:val="Tableforcontents"/>
      </w:pPr>
      <w:bookmarkStart w:id="266" w:name="_Toc410313435"/>
      <w:bookmarkStart w:id="267" w:name="_Toc436142564"/>
      <w:bookmarkStart w:id="268" w:name="_Toc22543985"/>
      <w:r w:rsidRPr="00904C78">
        <w:t xml:space="preserve">Table </w:t>
      </w:r>
      <w:r w:rsidR="00904C78" w:rsidRPr="00904C78">
        <w:t>4.</w:t>
      </w:r>
      <w:r w:rsidRPr="00904C78">
        <w:t>3:</w:t>
      </w:r>
      <w:r w:rsidR="003C29A5">
        <w:t xml:space="preserve"> </w:t>
      </w:r>
      <w:r w:rsidRPr="009C3C01">
        <w:t>Proportion of 2009 and 2012 Stream 1 study populations not dissatisfied with provider assistance (per cent)</w:t>
      </w:r>
      <w:bookmarkEnd w:id="266"/>
      <w:bookmarkEnd w:id="267"/>
      <w:bookmarkEnd w:id="268"/>
    </w:p>
    <w:tbl>
      <w:tblPr>
        <w:tblStyle w:val="TableGrid4"/>
        <w:tblW w:w="8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1417"/>
        <w:gridCol w:w="1417"/>
      </w:tblGrid>
      <w:tr w:rsidR="009C3C01" w:rsidRPr="0011747A" w14:paraId="510F6350" w14:textId="77777777" w:rsidTr="00D03335">
        <w:trPr>
          <w:trHeight w:val="362"/>
          <w:tblHeader/>
        </w:trPr>
        <w:tc>
          <w:tcPr>
            <w:tcW w:w="5920" w:type="dxa"/>
            <w:shd w:val="clear" w:color="auto" w:fill="1E3D6B"/>
            <w:vAlign w:val="center"/>
          </w:tcPr>
          <w:p w14:paraId="4CB8A760" w14:textId="77777777" w:rsidR="009C3C01" w:rsidRPr="0011747A" w:rsidRDefault="00A675B4" w:rsidP="00C2452E">
            <w:pPr>
              <w:keepNext/>
              <w:rPr>
                <w:b/>
                <w:sz w:val="20"/>
              </w:rPr>
            </w:pPr>
            <w:bookmarkStart w:id="269" w:name="Title_43"/>
            <w:bookmarkEnd w:id="269"/>
            <w:r>
              <w:rPr>
                <w:b/>
                <w:sz w:val="20"/>
              </w:rPr>
              <w:t>Types of assistance</w:t>
            </w:r>
          </w:p>
        </w:tc>
        <w:tc>
          <w:tcPr>
            <w:tcW w:w="1417" w:type="dxa"/>
            <w:shd w:val="clear" w:color="auto" w:fill="1E3D6B"/>
            <w:vAlign w:val="center"/>
          </w:tcPr>
          <w:p w14:paraId="62F9F4E6" w14:textId="77777777" w:rsidR="009C3C01" w:rsidRPr="0011747A" w:rsidRDefault="009C3C01" w:rsidP="00C2452E">
            <w:pPr>
              <w:keepNext/>
              <w:rPr>
                <w:b/>
                <w:sz w:val="20"/>
              </w:rPr>
            </w:pPr>
            <w:r w:rsidRPr="0011747A">
              <w:rPr>
                <w:b/>
                <w:sz w:val="20"/>
              </w:rPr>
              <w:t>JSA 2009</w:t>
            </w:r>
          </w:p>
        </w:tc>
        <w:tc>
          <w:tcPr>
            <w:tcW w:w="1417" w:type="dxa"/>
            <w:shd w:val="clear" w:color="auto" w:fill="1E3D6B"/>
            <w:vAlign w:val="center"/>
          </w:tcPr>
          <w:p w14:paraId="2A351265" w14:textId="77777777" w:rsidR="009C3C01" w:rsidRPr="0011747A" w:rsidRDefault="009C3C01" w:rsidP="00C2452E">
            <w:pPr>
              <w:keepNext/>
              <w:rPr>
                <w:b/>
                <w:sz w:val="20"/>
              </w:rPr>
            </w:pPr>
            <w:r w:rsidRPr="0011747A">
              <w:rPr>
                <w:b/>
                <w:sz w:val="20"/>
              </w:rPr>
              <w:t>JSA 2012</w:t>
            </w:r>
          </w:p>
        </w:tc>
      </w:tr>
      <w:tr w:rsidR="009C3C01" w:rsidRPr="009C3C01" w14:paraId="36D6744D" w14:textId="77777777" w:rsidTr="00D03335">
        <w:trPr>
          <w:trHeight w:hRule="exact" w:val="340"/>
        </w:trPr>
        <w:tc>
          <w:tcPr>
            <w:tcW w:w="5920" w:type="dxa"/>
            <w:vAlign w:val="center"/>
          </w:tcPr>
          <w:p w14:paraId="5661DDDC" w14:textId="77777777" w:rsidR="009C3C01" w:rsidRPr="009C3C01" w:rsidRDefault="009C3C01" w:rsidP="00C2452E">
            <w:pPr>
              <w:keepNext/>
              <w:rPr>
                <w:sz w:val="20"/>
                <w:szCs w:val="20"/>
              </w:rPr>
            </w:pPr>
            <w:r w:rsidRPr="009C3C01">
              <w:rPr>
                <w:sz w:val="20"/>
                <w:szCs w:val="20"/>
              </w:rPr>
              <w:t>Providing information about training and education options</w:t>
            </w:r>
          </w:p>
        </w:tc>
        <w:tc>
          <w:tcPr>
            <w:tcW w:w="1417" w:type="dxa"/>
            <w:vAlign w:val="center"/>
          </w:tcPr>
          <w:p w14:paraId="03892D0C" w14:textId="77777777" w:rsidR="009C3C01" w:rsidRPr="009C3C01" w:rsidRDefault="009C3C01" w:rsidP="00C2452E">
            <w:pPr>
              <w:keepNext/>
              <w:ind w:left="146"/>
              <w:rPr>
                <w:sz w:val="20"/>
                <w:szCs w:val="20"/>
              </w:rPr>
            </w:pPr>
            <w:r w:rsidRPr="009C3C01">
              <w:rPr>
                <w:sz w:val="20"/>
                <w:szCs w:val="20"/>
              </w:rPr>
              <w:t>80.3</w:t>
            </w:r>
          </w:p>
        </w:tc>
        <w:tc>
          <w:tcPr>
            <w:tcW w:w="1417" w:type="dxa"/>
            <w:vAlign w:val="center"/>
          </w:tcPr>
          <w:p w14:paraId="4091DCF5" w14:textId="77777777" w:rsidR="009C3C01" w:rsidRPr="009C3C01" w:rsidRDefault="009C3C01" w:rsidP="00C2452E">
            <w:pPr>
              <w:keepNext/>
              <w:ind w:left="146"/>
              <w:rPr>
                <w:sz w:val="20"/>
                <w:szCs w:val="20"/>
              </w:rPr>
            </w:pPr>
            <w:r w:rsidRPr="009C3C01">
              <w:rPr>
                <w:sz w:val="20"/>
                <w:szCs w:val="20"/>
              </w:rPr>
              <w:t>77.0</w:t>
            </w:r>
          </w:p>
        </w:tc>
      </w:tr>
      <w:tr w:rsidR="009C3C01" w:rsidRPr="009C3C01" w14:paraId="050B3AFB" w14:textId="77777777" w:rsidTr="00D03335">
        <w:trPr>
          <w:trHeight w:hRule="exact" w:val="340"/>
        </w:trPr>
        <w:tc>
          <w:tcPr>
            <w:tcW w:w="5920" w:type="dxa"/>
            <w:shd w:val="clear" w:color="auto" w:fill="E5E5E5" w:themeFill="background1" w:themeFillTint="33"/>
            <w:vAlign w:val="center"/>
          </w:tcPr>
          <w:p w14:paraId="5C388AE2" w14:textId="77777777" w:rsidR="009C3C01" w:rsidRPr="009C3C01" w:rsidRDefault="009C3C01" w:rsidP="00C2452E">
            <w:pPr>
              <w:keepNext/>
              <w:rPr>
                <w:sz w:val="20"/>
                <w:szCs w:val="20"/>
              </w:rPr>
            </w:pPr>
            <w:r w:rsidRPr="009C3C01">
              <w:rPr>
                <w:sz w:val="20"/>
                <w:szCs w:val="20"/>
              </w:rPr>
              <w:t>Providing information about other support services</w:t>
            </w:r>
          </w:p>
        </w:tc>
        <w:tc>
          <w:tcPr>
            <w:tcW w:w="1417" w:type="dxa"/>
            <w:shd w:val="clear" w:color="auto" w:fill="E5E5E5" w:themeFill="background1" w:themeFillTint="33"/>
            <w:vAlign w:val="center"/>
          </w:tcPr>
          <w:p w14:paraId="0034E2F0" w14:textId="77777777" w:rsidR="009C3C01" w:rsidRPr="009C3C01" w:rsidRDefault="009C3C01" w:rsidP="00C2452E">
            <w:pPr>
              <w:keepNext/>
              <w:ind w:left="146"/>
              <w:rPr>
                <w:sz w:val="20"/>
                <w:szCs w:val="20"/>
              </w:rPr>
            </w:pPr>
            <w:r w:rsidRPr="009C3C01">
              <w:rPr>
                <w:sz w:val="20"/>
                <w:szCs w:val="20"/>
              </w:rPr>
              <w:t>79.0</w:t>
            </w:r>
          </w:p>
        </w:tc>
        <w:tc>
          <w:tcPr>
            <w:tcW w:w="1417" w:type="dxa"/>
            <w:shd w:val="clear" w:color="auto" w:fill="E5E5E5" w:themeFill="background1" w:themeFillTint="33"/>
            <w:vAlign w:val="center"/>
          </w:tcPr>
          <w:p w14:paraId="07F2B4B5" w14:textId="77777777" w:rsidR="009C3C01" w:rsidRPr="009C3C01" w:rsidRDefault="009C3C01" w:rsidP="00C2452E">
            <w:pPr>
              <w:keepNext/>
              <w:ind w:left="146"/>
              <w:rPr>
                <w:sz w:val="20"/>
                <w:szCs w:val="20"/>
              </w:rPr>
            </w:pPr>
            <w:r w:rsidRPr="009C3C01">
              <w:rPr>
                <w:sz w:val="20"/>
                <w:szCs w:val="20"/>
              </w:rPr>
              <w:t>75.6</w:t>
            </w:r>
          </w:p>
        </w:tc>
      </w:tr>
      <w:tr w:rsidR="009C3C01" w:rsidRPr="009C3C01" w14:paraId="42D22C48" w14:textId="77777777" w:rsidTr="00D03335">
        <w:trPr>
          <w:trHeight w:hRule="exact" w:val="340"/>
        </w:trPr>
        <w:tc>
          <w:tcPr>
            <w:tcW w:w="5920" w:type="dxa"/>
            <w:vAlign w:val="center"/>
          </w:tcPr>
          <w:p w14:paraId="1AE26C05" w14:textId="77777777" w:rsidR="009C3C01" w:rsidRPr="009C3C01" w:rsidRDefault="009C3C01" w:rsidP="00C2452E">
            <w:pPr>
              <w:keepNext/>
              <w:rPr>
                <w:sz w:val="20"/>
                <w:szCs w:val="20"/>
              </w:rPr>
            </w:pPr>
            <w:r w:rsidRPr="009C3C01">
              <w:rPr>
                <w:sz w:val="20"/>
                <w:szCs w:val="20"/>
              </w:rPr>
              <w:t>Providing help suited to their circumstances</w:t>
            </w:r>
          </w:p>
        </w:tc>
        <w:tc>
          <w:tcPr>
            <w:tcW w:w="1417" w:type="dxa"/>
            <w:vAlign w:val="center"/>
          </w:tcPr>
          <w:p w14:paraId="7B56B2EA" w14:textId="77777777" w:rsidR="009C3C01" w:rsidRPr="009C3C01" w:rsidRDefault="009C3C01" w:rsidP="00C2452E">
            <w:pPr>
              <w:keepNext/>
              <w:ind w:left="146"/>
              <w:rPr>
                <w:sz w:val="20"/>
                <w:szCs w:val="20"/>
              </w:rPr>
            </w:pPr>
            <w:r w:rsidRPr="009C3C01">
              <w:rPr>
                <w:sz w:val="20"/>
                <w:szCs w:val="20"/>
              </w:rPr>
              <w:t>77.1</w:t>
            </w:r>
          </w:p>
        </w:tc>
        <w:tc>
          <w:tcPr>
            <w:tcW w:w="1417" w:type="dxa"/>
            <w:vAlign w:val="center"/>
          </w:tcPr>
          <w:p w14:paraId="481AAFAC" w14:textId="77777777" w:rsidR="009C3C01" w:rsidRPr="009C3C01" w:rsidRDefault="009C3C01" w:rsidP="00C2452E">
            <w:pPr>
              <w:keepNext/>
              <w:ind w:left="146"/>
              <w:rPr>
                <w:sz w:val="20"/>
                <w:szCs w:val="20"/>
              </w:rPr>
            </w:pPr>
            <w:r w:rsidRPr="009C3C01">
              <w:rPr>
                <w:sz w:val="20"/>
                <w:szCs w:val="20"/>
              </w:rPr>
              <w:t>73.9</w:t>
            </w:r>
          </w:p>
        </w:tc>
      </w:tr>
      <w:tr w:rsidR="009C3C01" w:rsidRPr="009C3C01" w14:paraId="2D6785C7" w14:textId="77777777" w:rsidTr="00D03335">
        <w:trPr>
          <w:trHeight w:hRule="exact" w:val="340"/>
        </w:trPr>
        <w:tc>
          <w:tcPr>
            <w:tcW w:w="5920" w:type="dxa"/>
            <w:shd w:val="clear" w:color="auto" w:fill="E5E5E5" w:themeFill="background1" w:themeFillTint="33"/>
            <w:vAlign w:val="center"/>
          </w:tcPr>
          <w:p w14:paraId="13F994FC" w14:textId="77777777" w:rsidR="009C3C01" w:rsidRPr="009C3C01" w:rsidRDefault="009C3C01" w:rsidP="00C2452E">
            <w:pPr>
              <w:keepNext/>
              <w:rPr>
                <w:sz w:val="20"/>
                <w:szCs w:val="20"/>
              </w:rPr>
            </w:pPr>
            <w:r w:rsidRPr="009C3C01">
              <w:rPr>
                <w:sz w:val="20"/>
                <w:szCs w:val="20"/>
              </w:rPr>
              <w:t>Staff treating them as an individual</w:t>
            </w:r>
          </w:p>
        </w:tc>
        <w:tc>
          <w:tcPr>
            <w:tcW w:w="1417" w:type="dxa"/>
            <w:shd w:val="clear" w:color="auto" w:fill="E5E5E5" w:themeFill="background1" w:themeFillTint="33"/>
            <w:vAlign w:val="center"/>
          </w:tcPr>
          <w:p w14:paraId="68D53E51" w14:textId="77777777" w:rsidR="009C3C01" w:rsidRPr="009C3C01" w:rsidRDefault="009C3C01" w:rsidP="00C2452E">
            <w:pPr>
              <w:keepNext/>
              <w:ind w:left="146"/>
              <w:rPr>
                <w:sz w:val="20"/>
                <w:szCs w:val="20"/>
              </w:rPr>
            </w:pPr>
            <w:r w:rsidRPr="009C3C01">
              <w:rPr>
                <w:sz w:val="20"/>
                <w:szCs w:val="20"/>
              </w:rPr>
              <w:t>90.0</w:t>
            </w:r>
          </w:p>
        </w:tc>
        <w:tc>
          <w:tcPr>
            <w:tcW w:w="1417" w:type="dxa"/>
            <w:shd w:val="clear" w:color="auto" w:fill="E5E5E5" w:themeFill="background1" w:themeFillTint="33"/>
            <w:vAlign w:val="center"/>
          </w:tcPr>
          <w:p w14:paraId="57C4A129" w14:textId="77777777" w:rsidR="009C3C01" w:rsidRPr="009C3C01" w:rsidRDefault="009C3C01" w:rsidP="00C2452E">
            <w:pPr>
              <w:keepNext/>
              <w:ind w:left="146"/>
              <w:rPr>
                <w:sz w:val="20"/>
                <w:szCs w:val="20"/>
              </w:rPr>
            </w:pPr>
            <w:r w:rsidRPr="009C3C01">
              <w:rPr>
                <w:sz w:val="20"/>
                <w:szCs w:val="20"/>
              </w:rPr>
              <w:t>89.8</w:t>
            </w:r>
          </w:p>
        </w:tc>
      </w:tr>
      <w:tr w:rsidR="009C3C01" w:rsidRPr="009C3C01" w14:paraId="424C9280" w14:textId="77777777" w:rsidTr="00D03335">
        <w:trPr>
          <w:trHeight w:hRule="exact" w:val="340"/>
        </w:trPr>
        <w:tc>
          <w:tcPr>
            <w:tcW w:w="5920" w:type="dxa"/>
            <w:vAlign w:val="center"/>
          </w:tcPr>
          <w:p w14:paraId="7783DBA3" w14:textId="77777777" w:rsidR="009C3C01" w:rsidRPr="009C3C01" w:rsidRDefault="009C3C01" w:rsidP="00C2452E">
            <w:pPr>
              <w:keepNext/>
              <w:rPr>
                <w:sz w:val="20"/>
                <w:szCs w:val="20"/>
              </w:rPr>
            </w:pPr>
            <w:r w:rsidRPr="009C3C01">
              <w:rPr>
                <w:sz w:val="20"/>
                <w:szCs w:val="20"/>
              </w:rPr>
              <w:t>Staff treating them with respect</w:t>
            </w:r>
          </w:p>
        </w:tc>
        <w:tc>
          <w:tcPr>
            <w:tcW w:w="1417" w:type="dxa"/>
            <w:vAlign w:val="center"/>
          </w:tcPr>
          <w:p w14:paraId="188DECD6" w14:textId="77777777" w:rsidR="009C3C01" w:rsidRPr="009C3C01" w:rsidRDefault="009C3C01" w:rsidP="00C2452E">
            <w:pPr>
              <w:keepNext/>
              <w:ind w:left="146"/>
              <w:rPr>
                <w:sz w:val="20"/>
                <w:szCs w:val="20"/>
              </w:rPr>
            </w:pPr>
            <w:r w:rsidRPr="009C3C01">
              <w:rPr>
                <w:sz w:val="20"/>
                <w:szCs w:val="20"/>
              </w:rPr>
              <w:t>93.1</w:t>
            </w:r>
          </w:p>
        </w:tc>
        <w:tc>
          <w:tcPr>
            <w:tcW w:w="1417" w:type="dxa"/>
            <w:vAlign w:val="center"/>
          </w:tcPr>
          <w:p w14:paraId="17C38185" w14:textId="77777777" w:rsidR="009C3C01" w:rsidRPr="009C3C01" w:rsidRDefault="009C3C01" w:rsidP="00C2452E">
            <w:pPr>
              <w:keepNext/>
              <w:ind w:left="146"/>
              <w:rPr>
                <w:sz w:val="20"/>
                <w:szCs w:val="20"/>
              </w:rPr>
            </w:pPr>
            <w:r w:rsidRPr="009C3C01">
              <w:rPr>
                <w:sz w:val="20"/>
                <w:szCs w:val="20"/>
              </w:rPr>
              <w:t>93.3</w:t>
            </w:r>
          </w:p>
        </w:tc>
      </w:tr>
      <w:tr w:rsidR="009C3C01" w:rsidRPr="009C3C01" w14:paraId="1DE8C17A" w14:textId="77777777" w:rsidTr="00D03335">
        <w:trPr>
          <w:trHeight w:hRule="exact" w:val="340"/>
        </w:trPr>
        <w:tc>
          <w:tcPr>
            <w:tcW w:w="5920" w:type="dxa"/>
            <w:shd w:val="clear" w:color="auto" w:fill="8EAEDE"/>
            <w:vAlign w:val="center"/>
          </w:tcPr>
          <w:p w14:paraId="0E9D0169" w14:textId="77777777" w:rsidR="009C3C01" w:rsidRPr="009C3C01" w:rsidRDefault="009C3C01" w:rsidP="00C2452E">
            <w:pPr>
              <w:keepNext/>
              <w:rPr>
                <w:sz w:val="20"/>
                <w:szCs w:val="20"/>
              </w:rPr>
            </w:pPr>
            <w:r w:rsidRPr="009C3C01">
              <w:rPr>
                <w:sz w:val="20"/>
                <w:szCs w:val="20"/>
              </w:rPr>
              <w:t>Overall quality of service</w:t>
            </w:r>
          </w:p>
        </w:tc>
        <w:tc>
          <w:tcPr>
            <w:tcW w:w="1417" w:type="dxa"/>
            <w:shd w:val="clear" w:color="auto" w:fill="8EAEDE"/>
            <w:vAlign w:val="center"/>
          </w:tcPr>
          <w:p w14:paraId="384BC281" w14:textId="77777777" w:rsidR="009C3C01" w:rsidRPr="009C3C01" w:rsidRDefault="009C3C01" w:rsidP="00C2452E">
            <w:pPr>
              <w:keepNext/>
              <w:ind w:left="146"/>
              <w:rPr>
                <w:sz w:val="20"/>
                <w:szCs w:val="20"/>
              </w:rPr>
            </w:pPr>
            <w:r w:rsidRPr="009C3C01">
              <w:rPr>
                <w:sz w:val="20"/>
                <w:szCs w:val="20"/>
              </w:rPr>
              <w:t>83.3</w:t>
            </w:r>
          </w:p>
        </w:tc>
        <w:tc>
          <w:tcPr>
            <w:tcW w:w="1417" w:type="dxa"/>
            <w:shd w:val="clear" w:color="auto" w:fill="8EAEDE"/>
            <w:vAlign w:val="center"/>
          </w:tcPr>
          <w:p w14:paraId="4D71B2E4" w14:textId="77777777" w:rsidR="009C3C01" w:rsidRPr="009C3C01" w:rsidRDefault="009C3C01" w:rsidP="00C2452E">
            <w:pPr>
              <w:keepNext/>
              <w:ind w:left="146"/>
              <w:rPr>
                <w:sz w:val="20"/>
                <w:szCs w:val="20"/>
              </w:rPr>
            </w:pPr>
            <w:r w:rsidRPr="009C3C01">
              <w:rPr>
                <w:sz w:val="20"/>
                <w:szCs w:val="20"/>
              </w:rPr>
              <w:t>82.3</w:t>
            </w:r>
          </w:p>
        </w:tc>
      </w:tr>
    </w:tbl>
    <w:p w14:paraId="05532756" w14:textId="77777777" w:rsidR="009C3C01" w:rsidRPr="000E647A" w:rsidRDefault="009C3C01" w:rsidP="001243C8">
      <w:pPr>
        <w:pStyle w:val="Notes"/>
      </w:pPr>
      <w:r w:rsidRPr="00655E7B">
        <w:rPr>
          <w:b/>
        </w:rPr>
        <w:t>Note</w:t>
      </w:r>
      <w:r w:rsidRPr="009C3C01">
        <w:t xml:space="preserve">: </w:t>
      </w:r>
      <w:r w:rsidRPr="009C3C01">
        <w:tab/>
      </w:r>
      <w:r w:rsidRPr="00655E7B">
        <w:rPr>
          <w:lang w:eastAsia="en-AU"/>
        </w:rPr>
        <w:t>Not dissatisfied includes those who reported they were ‘very satisfied’, ‘satisfied’ or ‘neither satisfied nor dissatisfied’.</w:t>
      </w:r>
    </w:p>
    <w:p w14:paraId="6218C2B1" w14:textId="77777777" w:rsidR="001243C8" w:rsidRPr="009C3C01" w:rsidRDefault="001243C8" w:rsidP="001243C8">
      <w:pPr>
        <w:pStyle w:val="Source"/>
        <w:rPr>
          <w:rFonts w:eastAsia="Times New Roman"/>
          <w:lang w:eastAsia="en-AU"/>
        </w:rPr>
      </w:pPr>
      <w:r w:rsidRPr="009C3C01">
        <w:rPr>
          <w:b/>
        </w:rPr>
        <w:t>Source:</w:t>
      </w:r>
      <w:r w:rsidRPr="009C3C01">
        <w:rPr>
          <w:rFonts w:eastAsia="Times New Roman"/>
          <w:lang w:eastAsia="en-AU"/>
        </w:rPr>
        <w:t xml:space="preserve"> </w:t>
      </w:r>
      <w:r w:rsidRPr="009C3C01">
        <w:rPr>
          <w:rFonts w:eastAsia="Times New Roman"/>
          <w:lang w:eastAsia="en-AU"/>
        </w:rPr>
        <w:tab/>
      </w:r>
      <w:r w:rsidR="00F774E4">
        <w:rPr>
          <w:rFonts w:eastAsia="Times New Roman"/>
          <w:lang w:eastAsia="en-AU"/>
        </w:rPr>
        <w:t>Department of Employment Post Programme Monitoring survey</w:t>
      </w:r>
      <w:r w:rsidRPr="009C3C01">
        <w:rPr>
          <w:rFonts w:eastAsia="Times New Roman"/>
          <w:lang w:eastAsia="en-AU"/>
        </w:rPr>
        <w:t xml:space="preserve">, </w:t>
      </w:r>
      <w:r w:rsidR="00F774E4">
        <w:rPr>
          <w:rFonts w:eastAsia="Times New Roman"/>
          <w:lang w:eastAsia="en-AU"/>
        </w:rPr>
        <w:t>December 2010 and December 2013</w:t>
      </w:r>
      <w:r w:rsidRPr="009C3C01">
        <w:rPr>
          <w:rFonts w:eastAsia="Times New Roman"/>
          <w:lang w:eastAsia="en-AU"/>
        </w:rPr>
        <w:t>.</w:t>
      </w:r>
    </w:p>
    <w:p w14:paraId="6AF1DFD5" w14:textId="77777777" w:rsidR="009C3C01" w:rsidRPr="009C3C01" w:rsidRDefault="00D319E7" w:rsidP="00D319E7">
      <w:pPr>
        <w:pStyle w:val="Heading3"/>
      </w:pPr>
      <w:bookmarkStart w:id="270" w:name="_Toc22543088"/>
      <w:r>
        <w:t>4.</w:t>
      </w:r>
      <w:r w:rsidR="00AF410D">
        <w:t>2</w:t>
      </w:r>
      <w:r>
        <w:t>.2</w:t>
      </w:r>
      <w:r>
        <w:tab/>
      </w:r>
      <w:r w:rsidR="009C3C01" w:rsidRPr="009C3C01">
        <w:t>Outcomes achieved</w:t>
      </w:r>
      <w:bookmarkEnd w:id="270"/>
    </w:p>
    <w:p w14:paraId="5C24DEEB" w14:textId="0BD6351D" w:rsidR="009C3C01" w:rsidRPr="009C3C01" w:rsidRDefault="009C3C01" w:rsidP="009C3C01">
      <w:pPr>
        <w:rPr>
          <w:rFonts w:eastAsiaTheme="majorEastAsia"/>
        </w:rPr>
      </w:pPr>
      <w:r w:rsidRPr="009C3C01">
        <w:rPr>
          <w:rFonts w:eastAsiaTheme="majorEastAsia"/>
        </w:rPr>
        <w:t xml:space="preserve">It is not possible to attribute measured changes in outcomes to any particular aspect of the Stream 1 changes. </w:t>
      </w:r>
      <w:r w:rsidR="00537679">
        <w:rPr>
          <w:rFonts w:eastAsiaTheme="majorEastAsia"/>
        </w:rPr>
        <w:t xml:space="preserve">The </w:t>
      </w:r>
      <w:r w:rsidRPr="009C3C01">
        <w:rPr>
          <w:rFonts w:eastAsiaTheme="majorEastAsia"/>
        </w:rPr>
        <w:t>effect</w:t>
      </w:r>
      <w:r w:rsidR="00537679">
        <w:rPr>
          <w:rFonts w:eastAsiaTheme="majorEastAsia"/>
        </w:rPr>
        <w:t>s</w:t>
      </w:r>
      <w:r w:rsidRPr="009C3C01">
        <w:rPr>
          <w:rFonts w:eastAsiaTheme="majorEastAsia"/>
        </w:rPr>
        <w:t xml:space="preserve"> of Stream 1 changes </w:t>
      </w:r>
      <w:r w:rsidR="00537679">
        <w:rPr>
          <w:rFonts w:eastAsiaTheme="majorEastAsia"/>
        </w:rPr>
        <w:t xml:space="preserve">also </w:t>
      </w:r>
      <w:r w:rsidRPr="009C3C01">
        <w:rPr>
          <w:rFonts w:eastAsiaTheme="majorEastAsia"/>
        </w:rPr>
        <w:t xml:space="preserve">cannot be isolated from </w:t>
      </w:r>
      <w:r w:rsidR="00537679">
        <w:rPr>
          <w:rFonts w:eastAsiaTheme="majorEastAsia"/>
        </w:rPr>
        <w:t xml:space="preserve">those of </w:t>
      </w:r>
      <w:r w:rsidRPr="009C3C01">
        <w:rPr>
          <w:rFonts w:eastAsiaTheme="majorEastAsia"/>
        </w:rPr>
        <w:t xml:space="preserve">other JSA model changes that affected service delivery to all </w:t>
      </w:r>
      <w:r w:rsidR="000A170D">
        <w:rPr>
          <w:rFonts w:eastAsiaTheme="majorEastAsia"/>
        </w:rPr>
        <w:t>s</w:t>
      </w:r>
      <w:r w:rsidRPr="009C3C01">
        <w:rPr>
          <w:rFonts w:eastAsiaTheme="majorEastAsia"/>
        </w:rPr>
        <w:t>treams</w:t>
      </w:r>
      <w:r w:rsidR="00D568C4">
        <w:rPr>
          <w:rFonts w:eastAsiaTheme="majorEastAsia"/>
        </w:rPr>
        <w:t>.</w:t>
      </w:r>
      <w:r w:rsidR="00D568C4">
        <w:rPr>
          <w:rStyle w:val="FootnoteReference"/>
          <w:rFonts w:eastAsiaTheme="majorEastAsia"/>
        </w:rPr>
        <w:footnoteReference w:id="31"/>
      </w:r>
      <w:r w:rsidRPr="009C3C01">
        <w:rPr>
          <w:rFonts w:eastAsiaTheme="majorEastAsia"/>
        </w:rPr>
        <w:t xml:space="preserve"> It should also be recognised that other stakeholders, such as </w:t>
      </w:r>
      <w:r w:rsidR="000A170D">
        <w:rPr>
          <w:rFonts w:eastAsiaTheme="majorEastAsia"/>
        </w:rPr>
        <w:t>s</w:t>
      </w:r>
      <w:r w:rsidRPr="009C3C01">
        <w:rPr>
          <w:rFonts w:eastAsiaTheme="majorEastAsia"/>
        </w:rPr>
        <w:t xml:space="preserve">tate </w:t>
      </w:r>
      <w:r w:rsidR="000A170D">
        <w:rPr>
          <w:rFonts w:eastAsiaTheme="majorEastAsia"/>
        </w:rPr>
        <w:t>g</w:t>
      </w:r>
      <w:r w:rsidRPr="009C3C01">
        <w:rPr>
          <w:rFonts w:eastAsiaTheme="majorEastAsia"/>
        </w:rPr>
        <w:t>overnments, education providers and employment service</w:t>
      </w:r>
      <w:r w:rsidR="00E7638D">
        <w:rPr>
          <w:rFonts w:eastAsiaTheme="majorEastAsia"/>
        </w:rPr>
        <w:t>s</w:t>
      </w:r>
      <w:r w:rsidRPr="009C3C01">
        <w:rPr>
          <w:rFonts w:eastAsiaTheme="majorEastAsia"/>
        </w:rPr>
        <w:t xml:space="preserve"> providers, may have made changes </w:t>
      </w:r>
      <w:r w:rsidR="0085430B">
        <w:rPr>
          <w:rFonts w:eastAsiaTheme="majorEastAsia"/>
        </w:rPr>
        <w:t>which may</w:t>
      </w:r>
      <w:r w:rsidRPr="009C3C01">
        <w:rPr>
          <w:rFonts w:eastAsiaTheme="majorEastAsia"/>
        </w:rPr>
        <w:t xml:space="preserve"> </w:t>
      </w:r>
      <w:r w:rsidR="0085430B">
        <w:rPr>
          <w:rFonts w:eastAsiaTheme="majorEastAsia"/>
        </w:rPr>
        <w:t>affect</w:t>
      </w:r>
      <w:r w:rsidRPr="009C3C01">
        <w:rPr>
          <w:rFonts w:eastAsiaTheme="majorEastAsia"/>
        </w:rPr>
        <w:t xml:space="preserve"> observed outcome rates.</w:t>
      </w:r>
    </w:p>
    <w:p w14:paraId="0D88D6FC" w14:textId="77777777" w:rsidR="009C3C01" w:rsidRPr="009C3C01" w:rsidRDefault="009C3C01" w:rsidP="00D319E7">
      <w:pPr>
        <w:pStyle w:val="Heading4"/>
      </w:pPr>
      <w:r w:rsidRPr="009C3C01">
        <w:t>Employment outcomes</w:t>
      </w:r>
      <w:r w:rsidR="009B7A7D">
        <w:t xml:space="preserve"> (unregressed)</w:t>
      </w:r>
    </w:p>
    <w:p w14:paraId="55AC2D74" w14:textId="77777777" w:rsidR="009C3C01" w:rsidRPr="009C3C01" w:rsidRDefault="009C3C01" w:rsidP="003A21A0">
      <w:pPr>
        <w:spacing w:before="120"/>
        <w:rPr>
          <w:rFonts w:eastAsia="Times New Roman"/>
          <w:lang w:eastAsia="en-AU"/>
        </w:rPr>
      </w:pPr>
      <w:r w:rsidRPr="009C3C01">
        <w:rPr>
          <w:rFonts w:eastAsiaTheme="majorEastAsia"/>
        </w:rPr>
        <w:t xml:space="preserve">Overall, employment outcomes for the Stream 1 study </w:t>
      </w:r>
      <w:r w:rsidR="0085430B" w:rsidRPr="009C3C01">
        <w:rPr>
          <w:rFonts w:eastAsiaTheme="majorEastAsia"/>
        </w:rPr>
        <w:t>populations</w:t>
      </w:r>
      <w:r w:rsidR="0085430B">
        <w:rPr>
          <w:rFonts w:eastAsiaTheme="majorEastAsia"/>
        </w:rPr>
        <w:t xml:space="preserve"> (as measured by </w:t>
      </w:r>
      <w:r w:rsidR="000A170D">
        <w:rPr>
          <w:rFonts w:eastAsiaTheme="majorEastAsia"/>
        </w:rPr>
        <w:t xml:space="preserve">Post Programme </w:t>
      </w:r>
      <w:r w:rsidR="00750FA4">
        <w:rPr>
          <w:rFonts w:eastAsiaTheme="majorEastAsia"/>
        </w:rPr>
        <w:t>Monitoring</w:t>
      </w:r>
      <w:r w:rsidR="000A170D">
        <w:rPr>
          <w:rFonts w:eastAsiaTheme="majorEastAsia"/>
        </w:rPr>
        <w:t xml:space="preserve"> (</w:t>
      </w:r>
      <w:r w:rsidR="0085430B">
        <w:rPr>
          <w:rFonts w:eastAsiaTheme="majorEastAsia"/>
        </w:rPr>
        <w:t>PPM</w:t>
      </w:r>
      <w:r w:rsidR="000A170D">
        <w:rPr>
          <w:rFonts w:eastAsiaTheme="majorEastAsia"/>
        </w:rPr>
        <w:t>) survey</w:t>
      </w:r>
      <w:r w:rsidR="0085430B">
        <w:rPr>
          <w:rFonts w:eastAsiaTheme="majorEastAsia"/>
        </w:rPr>
        <w:t xml:space="preserve"> results) </w:t>
      </w:r>
      <w:r w:rsidRPr="009C3C01">
        <w:rPr>
          <w:rFonts w:eastAsiaTheme="majorEastAsia"/>
        </w:rPr>
        <w:t>were 75.5 per cent under JSA 2009 compared with 68.7 per cent under JSA 2012</w:t>
      </w:r>
      <w:r w:rsidR="00E62F74">
        <w:rPr>
          <w:rFonts w:eastAsiaTheme="majorEastAsia"/>
        </w:rPr>
        <w:t xml:space="preserve"> (Table A2.</w:t>
      </w:r>
      <w:r w:rsidR="00FB7DA2">
        <w:rPr>
          <w:rFonts w:eastAsiaTheme="majorEastAsia"/>
        </w:rPr>
        <w:t>19</w:t>
      </w:r>
      <w:r w:rsidR="00E62F74">
        <w:rPr>
          <w:rFonts w:eastAsiaTheme="majorEastAsia"/>
        </w:rPr>
        <w:t>)</w:t>
      </w:r>
      <w:r w:rsidRPr="009C3C01">
        <w:rPr>
          <w:rFonts w:eastAsiaTheme="majorEastAsia"/>
        </w:rPr>
        <w:t xml:space="preserve">. </w:t>
      </w:r>
      <w:r w:rsidRPr="009C3C01">
        <w:t xml:space="preserve">Table </w:t>
      </w:r>
      <w:r w:rsidR="00904C78" w:rsidRPr="00904C78">
        <w:t>4</w:t>
      </w:r>
      <w:r w:rsidRPr="00904C78">
        <w:t>.4</w:t>
      </w:r>
      <w:r w:rsidRPr="009C3C01">
        <w:t xml:space="preserve"> </w:t>
      </w:r>
      <w:r w:rsidR="006A75E5">
        <w:t>provides</w:t>
      </w:r>
      <w:r w:rsidRPr="009C3C01">
        <w:t xml:space="preserve"> employment outcome rates for </w:t>
      </w:r>
      <w:r w:rsidR="006A75E5">
        <w:t xml:space="preserve">the </w:t>
      </w:r>
      <w:r w:rsidRPr="009C3C01">
        <w:t xml:space="preserve">job seeker groups </w:t>
      </w:r>
      <w:r w:rsidR="006A75E5">
        <w:t xml:space="preserve">with </w:t>
      </w:r>
      <w:r w:rsidRPr="009C3C01">
        <w:t>the largest difference between the two contract periods.</w:t>
      </w:r>
    </w:p>
    <w:p w14:paraId="4958A5EA" w14:textId="77777777" w:rsidR="009C3C01" w:rsidRPr="009C3C01" w:rsidRDefault="009C3C01" w:rsidP="00C2452E">
      <w:pPr>
        <w:pStyle w:val="Tableforcontents"/>
      </w:pPr>
      <w:bookmarkStart w:id="271" w:name="_Toc410313438"/>
      <w:bookmarkStart w:id="272" w:name="_Toc436142565"/>
      <w:bookmarkStart w:id="273" w:name="_Toc22543986"/>
      <w:r w:rsidRPr="00904C78">
        <w:t xml:space="preserve">Table </w:t>
      </w:r>
      <w:r w:rsidR="00904C78" w:rsidRPr="00904C78">
        <w:t>4</w:t>
      </w:r>
      <w:r w:rsidRPr="00904C78">
        <w:t>.4:</w:t>
      </w:r>
      <w:r w:rsidR="003C29A5">
        <w:t xml:space="preserve"> </w:t>
      </w:r>
      <w:r w:rsidRPr="009C3C01">
        <w:t>Differences in employment outcomes for various cohorts, 2009 and 2012 Stream 1 servicing study populations (per cent)</w:t>
      </w:r>
      <w:bookmarkEnd w:id="271"/>
      <w:bookmarkEnd w:id="272"/>
      <w:bookmarkEnd w:id="273"/>
    </w:p>
    <w:tbl>
      <w:tblPr>
        <w:tblStyle w:val="TableGrid31"/>
        <w:tblW w:w="0" w:type="auto"/>
        <w:tblLook w:val="04A0" w:firstRow="1" w:lastRow="0" w:firstColumn="1" w:lastColumn="0" w:noHBand="0" w:noVBand="1"/>
      </w:tblPr>
      <w:tblGrid>
        <w:gridCol w:w="3962"/>
        <w:gridCol w:w="1251"/>
        <w:gridCol w:w="1551"/>
        <w:gridCol w:w="2263"/>
      </w:tblGrid>
      <w:tr w:rsidR="009C3C01" w:rsidRPr="0098738D" w14:paraId="39A7464F" w14:textId="77777777" w:rsidTr="00D20CB6">
        <w:trPr>
          <w:trHeight w:val="417"/>
          <w:tblHeader/>
        </w:trPr>
        <w:tc>
          <w:tcPr>
            <w:tcW w:w="4077" w:type="dxa"/>
            <w:tcBorders>
              <w:top w:val="nil"/>
              <w:left w:val="nil"/>
              <w:bottom w:val="nil"/>
              <w:right w:val="nil"/>
            </w:tcBorders>
            <w:shd w:val="clear" w:color="auto" w:fill="1E3D6B"/>
            <w:vAlign w:val="center"/>
          </w:tcPr>
          <w:p w14:paraId="68E1D5A0" w14:textId="77777777" w:rsidR="009C3C01" w:rsidRPr="0098738D" w:rsidRDefault="0098738D" w:rsidP="009C3C01">
            <w:pPr>
              <w:keepNext/>
              <w:keepLines/>
              <w:rPr>
                <w:b/>
                <w:sz w:val="20"/>
                <w:szCs w:val="20"/>
              </w:rPr>
            </w:pPr>
            <w:bookmarkStart w:id="274" w:name="Title_44"/>
            <w:bookmarkEnd w:id="274"/>
            <w:r>
              <w:rPr>
                <w:b/>
                <w:sz w:val="20"/>
                <w:szCs w:val="20"/>
              </w:rPr>
              <w:t>Job seeker cohort</w:t>
            </w:r>
          </w:p>
        </w:tc>
        <w:tc>
          <w:tcPr>
            <w:tcW w:w="1276" w:type="dxa"/>
            <w:tcBorders>
              <w:top w:val="nil"/>
              <w:left w:val="nil"/>
              <w:bottom w:val="nil"/>
              <w:right w:val="nil"/>
            </w:tcBorders>
            <w:shd w:val="clear" w:color="auto" w:fill="1E3D6B"/>
            <w:vAlign w:val="center"/>
          </w:tcPr>
          <w:p w14:paraId="3ACD503D" w14:textId="77777777" w:rsidR="009C3C01" w:rsidRPr="0098738D" w:rsidRDefault="009C3C01" w:rsidP="009C3C01">
            <w:pPr>
              <w:keepNext/>
              <w:keepLines/>
              <w:rPr>
                <w:b/>
                <w:sz w:val="20"/>
                <w:szCs w:val="20"/>
              </w:rPr>
            </w:pPr>
            <w:r w:rsidRPr="0098738D">
              <w:rPr>
                <w:b/>
                <w:sz w:val="20"/>
                <w:szCs w:val="20"/>
              </w:rPr>
              <w:t>2009</w:t>
            </w:r>
          </w:p>
        </w:tc>
        <w:tc>
          <w:tcPr>
            <w:tcW w:w="1578" w:type="dxa"/>
            <w:tcBorders>
              <w:top w:val="nil"/>
              <w:left w:val="nil"/>
              <w:bottom w:val="nil"/>
              <w:right w:val="nil"/>
            </w:tcBorders>
            <w:shd w:val="clear" w:color="auto" w:fill="1E3D6B"/>
            <w:vAlign w:val="center"/>
          </w:tcPr>
          <w:p w14:paraId="718C0A53" w14:textId="77777777" w:rsidR="009C3C01" w:rsidRPr="0098738D" w:rsidRDefault="009C3C01" w:rsidP="0011747A">
            <w:pPr>
              <w:keepNext/>
              <w:keepLines/>
              <w:ind w:left="263"/>
              <w:rPr>
                <w:b/>
                <w:sz w:val="20"/>
                <w:szCs w:val="20"/>
              </w:rPr>
            </w:pPr>
            <w:r w:rsidRPr="0098738D">
              <w:rPr>
                <w:b/>
                <w:sz w:val="20"/>
                <w:szCs w:val="20"/>
              </w:rPr>
              <w:t>2012</w:t>
            </w:r>
          </w:p>
        </w:tc>
        <w:tc>
          <w:tcPr>
            <w:tcW w:w="2311" w:type="dxa"/>
            <w:tcBorders>
              <w:top w:val="nil"/>
              <w:left w:val="nil"/>
              <w:bottom w:val="nil"/>
              <w:right w:val="nil"/>
            </w:tcBorders>
            <w:shd w:val="clear" w:color="auto" w:fill="1E3D6B"/>
            <w:vAlign w:val="center"/>
          </w:tcPr>
          <w:p w14:paraId="24750E03" w14:textId="77777777" w:rsidR="009C3C01" w:rsidRPr="0098738D" w:rsidRDefault="009C3C01" w:rsidP="009C3C01">
            <w:pPr>
              <w:keepNext/>
              <w:keepLines/>
              <w:rPr>
                <w:b/>
                <w:sz w:val="20"/>
                <w:szCs w:val="20"/>
              </w:rPr>
            </w:pPr>
            <w:r w:rsidRPr="0098738D">
              <w:rPr>
                <w:b/>
                <w:sz w:val="20"/>
                <w:szCs w:val="20"/>
              </w:rPr>
              <w:t>Difference</w:t>
            </w:r>
          </w:p>
        </w:tc>
      </w:tr>
      <w:tr w:rsidR="009C3C01" w:rsidRPr="0011747A" w14:paraId="4D257D15" w14:textId="77777777" w:rsidTr="009B1CD0">
        <w:trPr>
          <w:trHeight w:hRule="exact" w:val="340"/>
        </w:trPr>
        <w:tc>
          <w:tcPr>
            <w:tcW w:w="4077" w:type="dxa"/>
            <w:tcBorders>
              <w:top w:val="nil"/>
              <w:left w:val="nil"/>
              <w:bottom w:val="nil"/>
              <w:right w:val="nil"/>
            </w:tcBorders>
            <w:vAlign w:val="center"/>
          </w:tcPr>
          <w:p w14:paraId="61410789" w14:textId="77777777" w:rsidR="009C3C01" w:rsidRPr="0011747A" w:rsidRDefault="009C3C01" w:rsidP="009C3C01">
            <w:pPr>
              <w:keepNext/>
              <w:keepLines/>
              <w:rPr>
                <w:sz w:val="20"/>
                <w:szCs w:val="20"/>
              </w:rPr>
            </w:pPr>
            <w:r w:rsidRPr="0011747A">
              <w:rPr>
                <w:sz w:val="20"/>
                <w:szCs w:val="20"/>
              </w:rPr>
              <w:t>Indigenous job seekers</w:t>
            </w:r>
          </w:p>
        </w:tc>
        <w:tc>
          <w:tcPr>
            <w:tcW w:w="1276" w:type="dxa"/>
            <w:tcBorders>
              <w:top w:val="nil"/>
              <w:left w:val="nil"/>
              <w:bottom w:val="nil"/>
              <w:right w:val="nil"/>
            </w:tcBorders>
            <w:vAlign w:val="center"/>
          </w:tcPr>
          <w:p w14:paraId="16CAED83" w14:textId="77777777" w:rsidR="009C3C01" w:rsidRPr="0011747A" w:rsidRDefault="009C3C01" w:rsidP="009C3C01">
            <w:pPr>
              <w:keepNext/>
              <w:keepLines/>
              <w:rPr>
                <w:sz w:val="20"/>
                <w:szCs w:val="20"/>
              </w:rPr>
            </w:pPr>
            <w:r w:rsidRPr="0011747A">
              <w:rPr>
                <w:sz w:val="20"/>
                <w:szCs w:val="20"/>
              </w:rPr>
              <w:t>79.4</w:t>
            </w:r>
          </w:p>
        </w:tc>
        <w:tc>
          <w:tcPr>
            <w:tcW w:w="1578" w:type="dxa"/>
            <w:tcBorders>
              <w:top w:val="nil"/>
              <w:left w:val="nil"/>
              <w:bottom w:val="nil"/>
              <w:right w:val="nil"/>
            </w:tcBorders>
            <w:vAlign w:val="center"/>
          </w:tcPr>
          <w:p w14:paraId="02066CCC" w14:textId="77777777" w:rsidR="009C3C01" w:rsidRPr="0011747A" w:rsidRDefault="009C3C01" w:rsidP="0011747A">
            <w:pPr>
              <w:keepNext/>
              <w:keepLines/>
              <w:ind w:left="263"/>
              <w:rPr>
                <w:sz w:val="20"/>
                <w:szCs w:val="20"/>
              </w:rPr>
            </w:pPr>
            <w:r w:rsidRPr="0011747A">
              <w:rPr>
                <w:sz w:val="20"/>
                <w:szCs w:val="20"/>
              </w:rPr>
              <w:t>59.6</w:t>
            </w:r>
          </w:p>
        </w:tc>
        <w:tc>
          <w:tcPr>
            <w:tcW w:w="2311" w:type="dxa"/>
            <w:tcBorders>
              <w:top w:val="nil"/>
              <w:left w:val="nil"/>
              <w:bottom w:val="nil"/>
              <w:right w:val="nil"/>
            </w:tcBorders>
            <w:vAlign w:val="center"/>
          </w:tcPr>
          <w:p w14:paraId="4B88760C" w14:textId="77777777" w:rsidR="009C3C01" w:rsidRPr="0011747A" w:rsidRDefault="009C3C01" w:rsidP="0011747A">
            <w:pPr>
              <w:keepNext/>
              <w:keepLines/>
              <w:ind w:left="130"/>
              <w:rPr>
                <w:sz w:val="20"/>
                <w:szCs w:val="20"/>
              </w:rPr>
            </w:pPr>
            <w:r w:rsidRPr="0011747A">
              <w:rPr>
                <w:sz w:val="20"/>
                <w:szCs w:val="20"/>
              </w:rPr>
              <w:t>-19.8 </w:t>
            </w:r>
          </w:p>
        </w:tc>
      </w:tr>
      <w:tr w:rsidR="009C3C01" w:rsidRPr="0011747A" w14:paraId="38C63E64" w14:textId="77777777" w:rsidTr="009B1CD0">
        <w:trPr>
          <w:trHeight w:hRule="exact" w:val="340"/>
        </w:trPr>
        <w:tc>
          <w:tcPr>
            <w:tcW w:w="4077" w:type="dxa"/>
            <w:tcBorders>
              <w:top w:val="nil"/>
              <w:left w:val="nil"/>
              <w:bottom w:val="nil"/>
              <w:right w:val="nil"/>
            </w:tcBorders>
            <w:shd w:val="clear" w:color="auto" w:fill="E5E5E5" w:themeFill="background1" w:themeFillTint="33"/>
            <w:vAlign w:val="center"/>
          </w:tcPr>
          <w:p w14:paraId="323C6D7D" w14:textId="77777777" w:rsidR="009C3C01" w:rsidRPr="0011747A" w:rsidRDefault="009C3C01" w:rsidP="009C3C01">
            <w:pPr>
              <w:keepNext/>
              <w:keepLines/>
              <w:rPr>
                <w:sz w:val="20"/>
                <w:szCs w:val="20"/>
              </w:rPr>
            </w:pPr>
            <w:r w:rsidRPr="0011747A">
              <w:rPr>
                <w:sz w:val="20"/>
                <w:szCs w:val="20"/>
              </w:rPr>
              <w:t>Single parents</w:t>
            </w:r>
          </w:p>
        </w:tc>
        <w:tc>
          <w:tcPr>
            <w:tcW w:w="1276" w:type="dxa"/>
            <w:tcBorders>
              <w:top w:val="nil"/>
              <w:left w:val="nil"/>
              <w:bottom w:val="nil"/>
              <w:right w:val="nil"/>
            </w:tcBorders>
            <w:shd w:val="clear" w:color="auto" w:fill="E5E5E5" w:themeFill="background1" w:themeFillTint="33"/>
            <w:vAlign w:val="center"/>
          </w:tcPr>
          <w:p w14:paraId="53412C9A" w14:textId="77777777" w:rsidR="009C3C01" w:rsidRPr="0011747A" w:rsidRDefault="009C3C01" w:rsidP="009C3C01">
            <w:pPr>
              <w:keepNext/>
              <w:keepLines/>
              <w:rPr>
                <w:sz w:val="20"/>
                <w:szCs w:val="20"/>
              </w:rPr>
            </w:pPr>
            <w:r w:rsidRPr="0011747A">
              <w:rPr>
                <w:sz w:val="20"/>
                <w:szCs w:val="20"/>
              </w:rPr>
              <w:t>83.1</w:t>
            </w:r>
          </w:p>
        </w:tc>
        <w:tc>
          <w:tcPr>
            <w:tcW w:w="1578" w:type="dxa"/>
            <w:tcBorders>
              <w:top w:val="nil"/>
              <w:left w:val="nil"/>
              <w:bottom w:val="nil"/>
              <w:right w:val="nil"/>
            </w:tcBorders>
            <w:shd w:val="clear" w:color="auto" w:fill="E5E5E5" w:themeFill="background1" w:themeFillTint="33"/>
            <w:vAlign w:val="center"/>
          </w:tcPr>
          <w:p w14:paraId="0658E1C5" w14:textId="77777777" w:rsidR="009C3C01" w:rsidRPr="0011747A" w:rsidRDefault="009C3C01" w:rsidP="0011747A">
            <w:pPr>
              <w:keepNext/>
              <w:keepLines/>
              <w:ind w:left="263"/>
              <w:rPr>
                <w:sz w:val="20"/>
                <w:szCs w:val="20"/>
              </w:rPr>
            </w:pPr>
            <w:r w:rsidRPr="0011747A">
              <w:rPr>
                <w:sz w:val="20"/>
                <w:szCs w:val="20"/>
              </w:rPr>
              <w:t>66.9</w:t>
            </w:r>
          </w:p>
        </w:tc>
        <w:tc>
          <w:tcPr>
            <w:tcW w:w="2311" w:type="dxa"/>
            <w:tcBorders>
              <w:top w:val="nil"/>
              <w:left w:val="nil"/>
              <w:bottom w:val="nil"/>
              <w:right w:val="nil"/>
            </w:tcBorders>
            <w:shd w:val="clear" w:color="auto" w:fill="E5E5E5" w:themeFill="background1" w:themeFillTint="33"/>
            <w:vAlign w:val="center"/>
          </w:tcPr>
          <w:p w14:paraId="1ADA0388" w14:textId="77777777" w:rsidR="009C3C01" w:rsidRPr="0011747A" w:rsidRDefault="009C3C01" w:rsidP="0011747A">
            <w:pPr>
              <w:keepNext/>
              <w:keepLines/>
              <w:ind w:left="130"/>
              <w:rPr>
                <w:sz w:val="20"/>
                <w:szCs w:val="20"/>
              </w:rPr>
            </w:pPr>
            <w:r w:rsidRPr="0011747A">
              <w:rPr>
                <w:sz w:val="20"/>
                <w:szCs w:val="20"/>
              </w:rPr>
              <w:t>-16.2</w:t>
            </w:r>
          </w:p>
        </w:tc>
      </w:tr>
      <w:tr w:rsidR="009C3C01" w:rsidRPr="0011747A" w14:paraId="05531B20" w14:textId="77777777" w:rsidTr="009B1CD0">
        <w:trPr>
          <w:trHeight w:hRule="exact" w:val="340"/>
        </w:trPr>
        <w:tc>
          <w:tcPr>
            <w:tcW w:w="4077" w:type="dxa"/>
            <w:tcBorders>
              <w:top w:val="nil"/>
              <w:left w:val="nil"/>
              <w:bottom w:val="nil"/>
              <w:right w:val="nil"/>
            </w:tcBorders>
            <w:vAlign w:val="center"/>
          </w:tcPr>
          <w:p w14:paraId="28544ED5" w14:textId="77777777" w:rsidR="009C3C01" w:rsidRPr="0011747A" w:rsidRDefault="009C3C01" w:rsidP="009C3C01">
            <w:pPr>
              <w:keepNext/>
              <w:keepLines/>
              <w:rPr>
                <w:sz w:val="20"/>
                <w:szCs w:val="20"/>
              </w:rPr>
            </w:pPr>
            <w:r w:rsidRPr="0011747A">
              <w:rPr>
                <w:sz w:val="20"/>
                <w:szCs w:val="20"/>
              </w:rPr>
              <w:t>Males aged 50 years or older</w:t>
            </w:r>
          </w:p>
        </w:tc>
        <w:tc>
          <w:tcPr>
            <w:tcW w:w="1276" w:type="dxa"/>
            <w:tcBorders>
              <w:top w:val="nil"/>
              <w:left w:val="nil"/>
              <w:bottom w:val="nil"/>
              <w:right w:val="nil"/>
            </w:tcBorders>
            <w:vAlign w:val="center"/>
          </w:tcPr>
          <w:p w14:paraId="45610650" w14:textId="77777777" w:rsidR="009C3C01" w:rsidRPr="0011747A" w:rsidRDefault="009C3C01" w:rsidP="009C3C01">
            <w:pPr>
              <w:keepNext/>
              <w:keepLines/>
              <w:rPr>
                <w:sz w:val="20"/>
                <w:szCs w:val="20"/>
              </w:rPr>
            </w:pPr>
            <w:r w:rsidRPr="0011747A">
              <w:rPr>
                <w:sz w:val="20"/>
                <w:szCs w:val="20"/>
              </w:rPr>
              <w:t>72.9</w:t>
            </w:r>
          </w:p>
        </w:tc>
        <w:tc>
          <w:tcPr>
            <w:tcW w:w="1578" w:type="dxa"/>
            <w:tcBorders>
              <w:top w:val="nil"/>
              <w:left w:val="nil"/>
              <w:bottom w:val="nil"/>
              <w:right w:val="nil"/>
            </w:tcBorders>
            <w:vAlign w:val="center"/>
          </w:tcPr>
          <w:p w14:paraId="363C0919" w14:textId="77777777" w:rsidR="009C3C01" w:rsidRPr="0011747A" w:rsidRDefault="009C3C01" w:rsidP="0011747A">
            <w:pPr>
              <w:keepNext/>
              <w:keepLines/>
              <w:ind w:left="263"/>
              <w:rPr>
                <w:sz w:val="20"/>
                <w:szCs w:val="20"/>
              </w:rPr>
            </w:pPr>
            <w:r w:rsidRPr="0011747A">
              <w:rPr>
                <w:sz w:val="20"/>
                <w:szCs w:val="20"/>
              </w:rPr>
              <w:t>58.8</w:t>
            </w:r>
          </w:p>
        </w:tc>
        <w:tc>
          <w:tcPr>
            <w:tcW w:w="2311" w:type="dxa"/>
            <w:tcBorders>
              <w:top w:val="nil"/>
              <w:left w:val="nil"/>
              <w:bottom w:val="nil"/>
              <w:right w:val="nil"/>
            </w:tcBorders>
            <w:vAlign w:val="center"/>
          </w:tcPr>
          <w:p w14:paraId="3835DC59" w14:textId="77777777" w:rsidR="009C3C01" w:rsidRPr="0011747A" w:rsidRDefault="009C3C01" w:rsidP="0011747A">
            <w:pPr>
              <w:keepNext/>
              <w:keepLines/>
              <w:ind w:left="130"/>
              <w:rPr>
                <w:sz w:val="20"/>
                <w:szCs w:val="20"/>
              </w:rPr>
            </w:pPr>
            <w:r w:rsidRPr="0011747A">
              <w:rPr>
                <w:sz w:val="20"/>
                <w:szCs w:val="20"/>
              </w:rPr>
              <w:t>-14.1</w:t>
            </w:r>
          </w:p>
        </w:tc>
      </w:tr>
      <w:tr w:rsidR="009C3C01" w:rsidRPr="0011747A" w14:paraId="304DB120" w14:textId="77777777" w:rsidTr="009B1CD0">
        <w:trPr>
          <w:trHeight w:hRule="exact" w:val="340"/>
        </w:trPr>
        <w:tc>
          <w:tcPr>
            <w:tcW w:w="4077" w:type="dxa"/>
            <w:tcBorders>
              <w:top w:val="nil"/>
              <w:left w:val="nil"/>
              <w:bottom w:val="nil"/>
              <w:right w:val="nil"/>
            </w:tcBorders>
            <w:shd w:val="clear" w:color="auto" w:fill="E5E5E5" w:themeFill="background1" w:themeFillTint="33"/>
            <w:vAlign w:val="center"/>
          </w:tcPr>
          <w:p w14:paraId="60445777" w14:textId="77777777" w:rsidR="009C3C01" w:rsidRPr="0011747A" w:rsidRDefault="009C3C01" w:rsidP="009C3C01">
            <w:pPr>
              <w:keepNext/>
              <w:keepLines/>
              <w:rPr>
                <w:sz w:val="20"/>
                <w:szCs w:val="20"/>
              </w:rPr>
            </w:pPr>
            <w:r w:rsidRPr="0011747A">
              <w:rPr>
                <w:sz w:val="20"/>
                <w:szCs w:val="20"/>
              </w:rPr>
              <w:t>Youth (aged under 21 years) - males</w:t>
            </w:r>
          </w:p>
        </w:tc>
        <w:tc>
          <w:tcPr>
            <w:tcW w:w="1276" w:type="dxa"/>
            <w:tcBorders>
              <w:top w:val="nil"/>
              <w:left w:val="nil"/>
              <w:bottom w:val="nil"/>
              <w:right w:val="nil"/>
            </w:tcBorders>
            <w:shd w:val="clear" w:color="auto" w:fill="E5E5E5" w:themeFill="background1" w:themeFillTint="33"/>
            <w:vAlign w:val="center"/>
          </w:tcPr>
          <w:p w14:paraId="38DC5CF4" w14:textId="77777777" w:rsidR="009C3C01" w:rsidRPr="0011747A" w:rsidRDefault="009C3C01" w:rsidP="009C3C01">
            <w:pPr>
              <w:keepNext/>
              <w:keepLines/>
              <w:rPr>
                <w:sz w:val="20"/>
                <w:szCs w:val="20"/>
              </w:rPr>
            </w:pPr>
            <w:r w:rsidRPr="0011747A">
              <w:rPr>
                <w:sz w:val="20"/>
                <w:szCs w:val="20"/>
              </w:rPr>
              <w:t>70.8</w:t>
            </w:r>
          </w:p>
        </w:tc>
        <w:tc>
          <w:tcPr>
            <w:tcW w:w="1578" w:type="dxa"/>
            <w:tcBorders>
              <w:top w:val="nil"/>
              <w:left w:val="nil"/>
              <w:bottom w:val="nil"/>
              <w:right w:val="nil"/>
            </w:tcBorders>
            <w:shd w:val="clear" w:color="auto" w:fill="E5E5E5" w:themeFill="background1" w:themeFillTint="33"/>
            <w:vAlign w:val="center"/>
          </w:tcPr>
          <w:p w14:paraId="78E6C59E" w14:textId="77777777" w:rsidR="009C3C01" w:rsidRPr="0011747A" w:rsidRDefault="009C3C01" w:rsidP="0011747A">
            <w:pPr>
              <w:keepNext/>
              <w:keepLines/>
              <w:ind w:left="263"/>
              <w:rPr>
                <w:sz w:val="20"/>
                <w:szCs w:val="20"/>
              </w:rPr>
            </w:pPr>
            <w:r w:rsidRPr="0011747A">
              <w:rPr>
                <w:sz w:val="20"/>
                <w:szCs w:val="20"/>
              </w:rPr>
              <w:t>57.5</w:t>
            </w:r>
          </w:p>
        </w:tc>
        <w:tc>
          <w:tcPr>
            <w:tcW w:w="2311" w:type="dxa"/>
            <w:tcBorders>
              <w:top w:val="nil"/>
              <w:left w:val="nil"/>
              <w:bottom w:val="nil"/>
              <w:right w:val="nil"/>
            </w:tcBorders>
            <w:shd w:val="clear" w:color="auto" w:fill="E5E5E5" w:themeFill="background1" w:themeFillTint="33"/>
            <w:vAlign w:val="center"/>
          </w:tcPr>
          <w:p w14:paraId="48383B74" w14:textId="77777777" w:rsidR="009C3C01" w:rsidRPr="0011747A" w:rsidRDefault="009C3C01" w:rsidP="0011747A">
            <w:pPr>
              <w:keepNext/>
              <w:keepLines/>
              <w:ind w:left="130"/>
              <w:rPr>
                <w:sz w:val="20"/>
                <w:szCs w:val="20"/>
              </w:rPr>
            </w:pPr>
            <w:r w:rsidRPr="0011747A">
              <w:rPr>
                <w:sz w:val="20"/>
                <w:szCs w:val="20"/>
              </w:rPr>
              <w:t>-13.3</w:t>
            </w:r>
          </w:p>
        </w:tc>
      </w:tr>
      <w:tr w:rsidR="009C3C01" w:rsidRPr="0011747A" w14:paraId="412F01B4" w14:textId="77777777" w:rsidTr="009B1CD0">
        <w:trPr>
          <w:trHeight w:hRule="exact" w:val="340"/>
        </w:trPr>
        <w:tc>
          <w:tcPr>
            <w:tcW w:w="4077" w:type="dxa"/>
            <w:tcBorders>
              <w:top w:val="nil"/>
              <w:left w:val="nil"/>
              <w:bottom w:val="single" w:sz="4" w:space="0" w:color="auto"/>
              <w:right w:val="nil"/>
            </w:tcBorders>
            <w:vAlign w:val="center"/>
          </w:tcPr>
          <w:p w14:paraId="2F90E641" w14:textId="77777777" w:rsidR="009C3C01" w:rsidRPr="0011747A" w:rsidRDefault="009C3C01" w:rsidP="009C3C01">
            <w:pPr>
              <w:keepNext/>
              <w:keepLines/>
              <w:rPr>
                <w:sz w:val="20"/>
                <w:szCs w:val="20"/>
              </w:rPr>
            </w:pPr>
            <w:r w:rsidRPr="0011747A">
              <w:rPr>
                <w:sz w:val="20"/>
                <w:szCs w:val="20"/>
              </w:rPr>
              <w:t>Youth (aged under 21 years) - females</w:t>
            </w:r>
          </w:p>
        </w:tc>
        <w:tc>
          <w:tcPr>
            <w:tcW w:w="1276" w:type="dxa"/>
            <w:tcBorders>
              <w:top w:val="nil"/>
              <w:left w:val="nil"/>
              <w:bottom w:val="single" w:sz="4" w:space="0" w:color="auto"/>
              <w:right w:val="nil"/>
            </w:tcBorders>
            <w:vAlign w:val="center"/>
          </w:tcPr>
          <w:p w14:paraId="64DE05FB" w14:textId="77777777" w:rsidR="009C3C01" w:rsidRPr="0011747A" w:rsidRDefault="009C3C01" w:rsidP="009C3C01">
            <w:pPr>
              <w:keepNext/>
              <w:keepLines/>
              <w:rPr>
                <w:sz w:val="20"/>
                <w:szCs w:val="20"/>
              </w:rPr>
            </w:pPr>
            <w:r w:rsidRPr="0011747A">
              <w:rPr>
                <w:sz w:val="20"/>
                <w:szCs w:val="20"/>
              </w:rPr>
              <w:t>71.5</w:t>
            </w:r>
          </w:p>
        </w:tc>
        <w:tc>
          <w:tcPr>
            <w:tcW w:w="1578" w:type="dxa"/>
            <w:tcBorders>
              <w:top w:val="nil"/>
              <w:left w:val="nil"/>
              <w:bottom w:val="single" w:sz="4" w:space="0" w:color="auto"/>
              <w:right w:val="nil"/>
            </w:tcBorders>
            <w:vAlign w:val="center"/>
          </w:tcPr>
          <w:p w14:paraId="34985B21" w14:textId="77777777" w:rsidR="009C3C01" w:rsidRPr="0011747A" w:rsidRDefault="009C3C01" w:rsidP="0011747A">
            <w:pPr>
              <w:keepNext/>
              <w:keepLines/>
              <w:ind w:left="263"/>
              <w:rPr>
                <w:sz w:val="20"/>
                <w:szCs w:val="20"/>
              </w:rPr>
            </w:pPr>
            <w:r w:rsidRPr="0011747A">
              <w:rPr>
                <w:sz w:val="20"/>
                <w:szCs w:val="20"/>
              </w:rPr>
              <w:t>58.9</w:t>
            </w:r>
          </w:p>
        </w:tc>
        <w:tc>
          <w:tcPr>
            <w:tcW w:w="2311" w:type="dxa"/>
            <w:tcBorders>
              <w:top w:val="nil"/>
              <w:left w:val="nil"/>
              <w:bottom w:val="single" w:sz="4" w:space="0" w:color="auto"/>
              <w:right w:val="nil"/>
            </w:tcBorders>
            <w:vAlign w:val="center"/>
          </w:tcPr>
          <w:p w14:paraId="53ECDEDF" w14:textId="77777777" w:rsidR="009C3C01" w:rsidRPr="0011747A" w:rsidRDefault="009C3C01" w:rsidP="0011747A">
            <w:pPr>
              <w:keepNext/>
              <w:keepLines/>
              <w:ind w:left="130"/>
              <w:rPr>
                <w:sz w:val="20"/>
                <w:szCs w:val="20"/>
              </w:rPr>
            </w:pPr>
            <w:r w:rsidRPr="0011747A">
              <w:rPr>
                <w:sz w:val="20"/>
                <w:szCs w:val="20"/>
              </w:rPr>
              <w:t>-12.6</w:t>
            </w:r>
          </w:p>
        </w:tc>
      </w:tr>
    </w:tbl>
    <w:p w14:paraId="4361376C" w14:textId="77777777" w:rsidR="001F28F1" w:rsidRDefault="009C3C01" w:rsidP="001243C8">
      <w:pPr>
        <w:pStyle w:val="Notes"/>
      </w:pPr>
      <w:r w:rsidRPr="00655E7B">
        <w:rPr>
          <w:b/>
        </w:rPr>
        <w:t>Note</w:t>
      </w:r>
      <w:r w:rsidR="001F28F1">
        <w:rPr>
          <w:b/>
        </w:rPr>
        <w:t>s</w:t>
      </w:r>
      <w:r w:rsidRPr="009C3C01">
        <w:t>:</w:t>
      </w:r>
      <w:r w:rsidR="001243C8">
        <w:tab/>
      </w:r>
    </w:p>
    <w:p w14:paraId="03980CB2" w14:textId="77777777" w:rsidR="009C3C01" w:rsidRPr="00BB7BEA" w:rsidRDefault="009C3C01" w:rsidP="00BB7BEA">
      <w:pPr>
        <w:pStyle w:val="Notesnumbered"/>
        <w:numPr>
          <w:ilvl w:val="0"/>
          <w:numId w:val="281"/>
        </w:numPr>
      </w:pPr>
      <w:r w:rsidRPr="009C3C01">
        <w:t xml:space="preserve">All </w:t>
      </w:r>
      <w:r w:rsidRPr="00BB7BEA">
        <w:t>differences in employment outcome rates shown in this table are statistically significant at the 95 per cent confidence level, except the 19.8 percentage point difference found for Indigenous job seekers.</w:t>
      </w:r>
    </w:p>
    <w:p w14:paraId="7B2BAFB3" w14:textId="77777777" w:rsidR="001F28F1" w:rsidRPr="009C3C01" w:rsidRDefault="001F28F1" w:rsidP="00BB7BEA">
      <w:pPr>
        <w:pStyle w:val="Notesnumbered"/>
        <w:numPr>
          <w:ilvl w:val="0"/>
          <w:numId w:val="281"/>
        </w:numPr>
      </w:pPr>
      <w:r w:rsidRPr="00BB7BEA">
        <w:t xml:space="preserve">Refer </w:t>
      </w:r>
      <w:hyperlink w:anchor="Title_A219" w:history="1">
        <w:r w:rsidRPr="005F1335">
          <w:rPr>
            <w:rStyle w:val="Hyperlink"/>
          </w:rPr>
          <w:t>Appendix A</w:t>
        </w:r>
        <w:r w:rsidR="000748CA" w:rsidRPr="005F1335">
          <w:rPr>
            <w:rStyle w:val="Hyperlink"/>
          </w:rPr>
          <w:t>2</w:t>
        </w:r>
        <w:r w:rsidRPr="005F1335">
          <w:rPr>
            <w:rStyle w:val="Hyperlink"/>
            <w:rFonts w:cs="Times New Roman"/>
            <w:szCs w:val="20"/>
            <w:lang w:val="en-US"/>
          </w:rPr>
          <w:t>, Table A2.19</w:t>
        </w:r>
      </w:hyperlink>
      <w:r>
        <w:rPr>
          <w:rStyle w:val="NotesChar"/>
          <w:rFonts w:eastAsiaTheme="minorEastAsia"/>
        </w:rPr>
        <w:t>.</w:t>
      </w:r>
      <w:bookmarkStart w:id="275" w:name="Place_A219"/>
      <w:bookmarkEnd w:id="275"/>
    </w:p>
    <w:p w14:paraId="56005838" w14:textId="77777777" w:rsidR="001243C8" w:rsidRPr="009C3C01" w:rsidRDefault="001243C8" w:rsidP="001243C8">
      <w:pPr>
        <w:pStyle w:val="Source"/>
        <w:rPr>
          <w:rFonts w:eastAsia="Times New Roman"/>
          <w:lang w:eastAsia="en-AU"/>
        </w:rPr>
      </w:pPr>
      <w:r w:rsidRPr="009C3C01">
        <w:rPr>
          <w:b/>
        </w:rPr>
        <w:t>Source:</w:t>
      </w:r>
      <w:r w:rsidRPr="009C3C01">
        <w:rPr>
          <w:rFonts w:eastAsia="Times New Roman"/>
          <w:lang w:eastAsia="en-AU"/>
        </w:rPr>
        <w:t xml:space="preserve"> </w:t>
      </w:r>
      <w:r w:rsidRPr="009C3C01">
        <w:rPr>
          <w:rFonts w:eastAsia="Times New Roman"/>
          <w:lang w:eastAsia="en-AU"/>
        </w:rPr>
        <w:tab/>
      </w:r>
      <w:r w:rsidR="009245F1">
        <w:rPr>
          <w:rFonts w:eastAsia="Times New Roman"/>
          <w:lang w:eastAsia="en-AU"/>
        </w:rPr>
        <w:t>Department of Employment Post Programme Monitoring survey</w:t>
      </w:r>
      <w:r w:rsidRPr="009C3C01">
        <w:rPr>
          <w:rFonts w:eastAsia="Times New Roman"/>
          <w:lang w:eastAsia="en-AU"/>
        </w:rPr>
        <w:t>.</w:t>
      </w:r>
    </w:p>
    <w:p w14:paraId="66452F4A" w14:textId="77777777" w:rsidR="009C3C01" w:rsidRPr="009C3C01" w:rsidRDefault="006A75E5" w:rsidP="009C3C01">
      <w:pPr>
        <w:suppressAutoHyphens/>
        <w:autoSpaceDE w:val="0"/>
        <w:autoSpaceDN w:val="0"/>
        <w:adjustRightInd w:val="0"/>
        <w:spacing w:before="120" w:after="120"/>
        <w:textAlignment w:val="center"/>
        <w:rPr>
          <w:rFonts w:eastAsiaTheme="majorEastAsia" w:cs="Garamond"/>
          <w:color w:val="000000"/>
          <w:lang w:val="en-GB"/>
        </w:rPr>
      </w:pPr>
      <w:r>
        <w:rPr>
          <w:rFonts w:eastAsiaTheme="majorEastAsia" w:cs="Garamond"/>
          <w:color w:val="000000"/>
          <w:lang w:val="en-GB"/>
        </w:rPr>
        <w:t>Within the Stream 1 study population</w:t>
      </w:r>
      <w:r w:rsidR="00C458DE">
        <w:rPr>
          <w:rFonts w:eastAsiaTheme="majorEastAsia" w:cs="Garamond"/>
          <w:color w:val="000000"/>
          <w:lang w:val="en-GB"/>
        </w:rPr>
        <w:t>s</w:t>
      </w:r>
      <w:r>
        <w:rPr>
          <w:rFonts w:eastAsiaTheme="majorEastAsia" w:cs="Garamond"/>
          <w:color w:val="000000"/>
          <w:lang w:val="en-GB"/>
        </w:rPr>
        <w:t>, w</w:t>
      </w:r>
      <w:r w:rsidR="009C3C01" w:rsidRPr="009C3C01">
        <w:rPr>
          <w:rFonts w:eastAsiaTheme="majorEastAsia" w:cs="Garamond"/>
          <w:color w:val="000000"/>
          <w:lang w:val="en-GB"/>
        </w:rPr>
        <w:t xml:space="preserve">omen aged 50 years or over showed </w:t>
      </w:r>
      <w:r w:rsidR="005966D6">
        <w:rPr>
          <w:rFonts w:eastAsiaTheme="majorEastAsia" w:cs="Garamond"/>
          <w:color w:val="000000"/>
          <w:lang w:val="en-GB"/>
        </w:rPr>
        <w:t>relatively higher</w:t>
      </w:r>
      <w:r w:rsidR="005966D6" w:rsidRPr="009C3C01">
        <w:rPr>
          <w:rFonts w:eastAsiaTheme="majorEastAsia" w:cs="Garamond"/>
          <w:color w:val="000000"/>
          <w:lang w:val="en-GB"/>
        </w:rPr>
        <w:t xml:space="preserve"> </w:t>
      </w:r>
      <w:r w:rsidR="009C3C01" w:rsidRPr="009C3C01">
        <w:rPr>
          <w:rFonts w:eastAsiaTheme="majorEastAsia" w:cs="Garamond"/>
          <w:color w:val="000000"/>
          <w:lang w:val="en-GB"/>
        </w:rPr>
        <w:t>employment outcome rates under JSA 2012 (72.5 per cent compared with 69.3 per cent under JSA 2009). The gender gap in outcome rates widened for most age groups. This was most noticeable in the mature (50 years and older) age bracket where, in JSA 2009 the employment outcome rate for females was 3.6 percentage points lower than for males. Conversely, in JSA 2012 the outcome rate for females was 13.7 percentage points higher than males</w:t>
      </w:r>
      <w:r w:rsidR="000A170D">
        <w:rPr>
          <w:rFonts w:eastAsiaTheme="majorEastAsia" w:cs="Garamond"/>
          <w:color w:val="000000"/>
          <w:lang w:val="en-GB"/>
        </w:rPr>
        <w:t xml:space="preserve"> (Figure 4.3)</w:t>
      </w:r>
      <w:r w:rsidR="009C3C01" w:rsidRPr="009C3C01">
        <w:rPr>
          <w:rFonts w:eastAsiaTheme="majorEastAsia" w:cs="Garamond"/>
          <w:color w:val="000000"/>
          <w:lang w:val="en-GB"/>
        </w:rPr>
        <w:t>.</w:t>
      </w:r>
    </w:p>
    <w:p w14:paraId="073406A6" w14:textId="77777777" w:rsidR="009C3C01" w:rsidRPr="009C3C01" w:rsidRDefault="00B412F4" w:rsidP="005172B5">
      <w:pPr>
        <w:pStyle w:val="Figureheadingforcontents"/>
      </w:pPr>
      <w:bookmarkStart w:id="276" w:name="_Toc410313453"/>
      <w:bookmarkStart w:id="277" w:name="_Toc436400152"/>
      <w:bookmarkStart w:id="278" w:name="_Toc436400282"/>
      <w:bookmarkStart w:id="279" w:name="_Toc443152025"/>
      <w:bookmarkStart w:id="280" w:name="_Toc22544036"/>
      <w:r w:rsidRPr="00B412F4">
        <w:rPr>
          <w:noProof/>
          <w:color w:val="FFFFFF" w:themeColor="background2"/>
          <w:lang w:eastAsia="en-AU"/>
        </w:rPr>
        <w:drawing>
          <wp:anchor distT="0" distB="0" distL="114300" distR="114300" simplePos="0" relativeHeight="251658248" behindDoc="0" locked="0" layoutInCell="1" allowOverlap="1" wp14:anchorId="35BA2A73" wp14:editId="600585B0">
            <wp:simplePos x="0" y="0"/>
            <wp:positionH relativeFrom="column">
              <wp:posOffset>24765</wp:posOffset>
            </wp:positionH>
            <wp:positionV relativeFrom="paragraph">
              <wp:posOffset>291465</wp:posOffset>
            </wp:positionV>
            <wp:extent cx="5730875" cy="3427095"/>
            <wp:effectExtent l="0" t="0" r="3175" b="1905"/>
            <wp:wrapNone/>
            <wp:docPr id="255" name="Picture 255" descr="A chart showing employment outcome rates for JSA 2009 and JSA 2012 by age and gender. Compared with JSA 2009, a lower proportion of male JSA 2012 job seekers achieved employment outcome rates for all age groups. Most female JSA 2012 job seekers also achieved employment outcomes at a lower rate than for JSA 2009, with the exception of mature age women (50+), which achieved employment outcomes at a slightly higher rate under JS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0875" cy="342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C01" w:rsidRPr="00904C78">
        <w:t xml:space="preserve">Figure </w:t>
      </w:r>
      <w:r w:rsidR="00904C78" w:rsidRPr="00904C78">
        <w:t>4</w:t>
      </w:r>
      <w:r w:rsidR="009C3C01" w:rsidRPr="00904C78">
        <w:t>.3:</w:t>
      </w:r>
      <w:r w:rsidR="003C29A5">
        <w:t xml:space="preserve"> </w:t>
      </w:r>
      <w:r w:rsidR="009C3C01" w:rsidRPr="00904C78">
        <w:t>Employment outcomes by age and gender, 2009 and 2012 Stream 1 servicing study populations</w:t>
      </w:r>
      <w:bookmarkEnd w:id="276"/>
      <w:r w:rsidR="009F7F48">
        <w:t xml:space="preserve"> (per cent)</w:t>
      </w:r>
      <w:bookmarkEnd w:id="277"/>
      <w:bookmarkEnd w:id="278"/>
      <w:bookmarkEnd w:id="279"/>
      <w:bookmarkEnd w:id="280"/>
    </w:p>
    <w:tbl>
      <w:tblPr>
        <w:tblW w:w="7245" w:type="dxa"/>
        <w:jc w:val="center"/>
        <w:tblLook w:val="04A0" w:firstRow="1" w:lastRow="0" w:firstColumn="1" w:lastColumn="0" w:noHBand="0" w:noVBand="1"/>
      </w:tblPr>
      <w:tblGrid>
        <w:gridCol w:w="1291"/>
        <w:gridCol w:w="1418"/>
        <w:gridCol w:w="1701"/>
        <w:gridCol w:w="1417"/>
        <w:gridCol w:w="1418"/>
      </w:tblGrid>
      <w:tr w:rsidR="000E2C43" w:rsidRPr="00B412F4" w14:paraId="3E33FB56" w14:textId="77777777" w:rsidTr="00946ACE">
        <w:trPr>
          <w:trHeight w:val="204"/>
          <w:tblHeader/>
          <w:jc w:val="center"/>
        </w:trPr>
        <w:tc>
          <w:tcPr>
            <w:tcW w:w="1291" w:type="dxa"/>
            <w:shd w:val="clear" w:color="auto" w:fill="auto"/>
            <w:noWrap/>
            <w:vAlign w:val="bottom"/>
            <w:hideMark/>
          </w:tcPr>
          <w:p w14:paraId="71EFBCD5" w14:textId="77777777" w:rsidR="00863C31" w:rsidRPr="00B412F4" w:rsidRDefault="00863C31" w:rsidP="004F3B01">
            <w:pPr>
              <w:spacing w:after="166"/>
              <w:rPr>
                <w:rFonts w:cstheme="minorHAnsi"/>
                <w:color w:val="FFFFFF" w:themeColor="background2"/>
                <w:sz w:val="16"/>
                <w:szCs w:val="16"/>
              </w:rPr>
            </w:pPr>
            <w:bookmarkStart w:id="281" w:name="Title_fig43"/>
            <w:bookmarkEnd w:id="281"/>
          </w:p>
        </w:tc>
        <w:tc>
          <w:tcPr>
            <w:tcW w:w="1418" w:type="dxa"/>
            <w:shd w:val="clear" w:color="auto" w:fill="auto"/>
            <w:noWrap/>
            <w:vAlign w:val="bottom"/>
            <w:hideMark/>
          </w:tcPr>
          <w:p w14:paraId="152C2FDE"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Males JSA 2009</w:t>
            </w:r>
          </w:p>
        </w:tc>
        <w:tc>
          <w:tcPr>
            <w:tcW w:w="1701" w:type="dxa"/>
            <w:shd w:val="clear" w:color="auto" w:fill="auto"/>
            <w:noWrap/>
            <w:vAlign w:val="bottom"/>
            <w:hideMark/>
          </w:tcPr>
          <w:p w14:paraId="5B350E1F"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Females JSA 2009</w:t>
            </w:r>
          </w:p>
        </w:tc>
        <w:tc>
          <w:tcPr>
            <w:tcW w:w="1417" w:type="dxa"/>
            <w:shd w:val="clear" w:color="auto" w:fill="auto"/>
            <w:noWrap/>
            <w:vAlign w:val="bottom"/>
            <w:hideMark/>
          </w:tcPr>
          <w:p w14:paraId="1D6B9720"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Males JSA 2012</w:t>
            </w:r>
          </w:p>
        </w:tc>
        <w:tc>
          <w:tcPr>
            <w:tcW w:w="1418" w:type="dxa"/>
            <w:shd w:val="clear" w:color="auto" w:fill="auto"/>
            <w:noWrap/>
            <w:vAlign w:val="bottom"/>
            <w:hideMark/>
          </w:tcPr>
          <w:p w14:paraId="439174A0"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Females JSA 2012</w:t>
            </w:r>
          </w:p>
        </w:tc>
      </w:tr>
      <w:tr w:rsidR="000E2C43" w:rsidRPr="00B412F4" w14:paraId="48F056B9" w14:textId="77777777" w:rsidTr="00946ACE">
        <w:trPr>
          <w:trHeight w:val="204"/>
          <w:jc w:val="center"/>
        </w:trPr>
        <w:tc>
          <w:tcPr>
            <w:tcW w:w="1291" w:type="dxa"/>
            <w:shd w:val="clear" w:color="auto" w:fill="auto"/>
            <w:noWrap/>
            <w:vAlign w:val="bottom"/>
            <w:hideMark/>
          </w:tcPr>
          <w:p w14:paraId="6B3DEA95"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Under 21 years</w:t>
            </w:r>
          </w:p>
        </w:tc>
        <w:tc>
          <w:tcPr>
            <w:tcW w:w="1418" w:type="dxa"/>
            <w:shd w:val="clear" w:color="auto" w:fill="auto"/>
            <w:noWrap/>
            <w:vAlign w:val="bottom"/>
            <w:hideMark/>
          </w:tcPr>
          <w:p w14:paraId="415D35E3"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70.8</w:t>
            </w:r>
          </w:p>
        </w:tc>
        <w:tc>
          <w:tcPr>
            <w:tcW w:w="1701" w:type="dxa"/>
            <w:shd w:val="clear" w:color="auto" w:fill="auto"/>
            <w:noWrap/>
            <w:vAlign w:val="bottom"/>
            <w:hideMark/>
          </w:tcPr>
          <w:p w14:paraId="2FE924B3"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71.5</w:t>
            </w:r>
          </w:p>
        </w:tc>
        <w:tc>
          <w:tcPr>
            <w:tcW w:w="1417" w:type="dxa"/>
            <w:shd w:val="clear" w:color="auto" w:fill="auto"/>
            <w:noWrap/>
            <w:vAlign w:val="bottom"/>
            <w:hideMark/>
          </w:tcPr>
          <w:p w14:paraId="1E31BBB3"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57.5</w:t>
            </w:r>
          </w:p>
        </w:tc>
        <w:tc>
          <w:tcPr>
            <w:tcW w:w="1418" w:type="dxa"/>
            <w:shd w:val="clear" w:color="auto" w:fill="auto"/>
            <w:noWrap/>
            <w:vAlign w:val="bottom"/>
            <w:hideMark/>
          </w:tcPr>
          <w:p w14:paraId="74FA7F3E"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58.9</w:t>
            </w:r>
          </w:p>
        </w:tc>
      </w:tr>
      <w:tr w:rsidR="000E2C43" w:rsidRPr="00B412F4" w14:paraId="44347011" w14:textId="77777777" w:rsidTr="00946ACE">
        <w:trPr>
          <w:trHeight w:val="204"/>
          <w:jc w:val="center"/>
        </w:trPr>
        <w:tc>
          <w:tcPr>
            <w:tcW w:w="1291" w:type="dxa"/>
            <w:shd w:val="clear" w:color="auto" w:fill="auto"/>
            <w:noWrap/>
            <w:vAlign w:val="bottom"/>
            <w:hideMark/>
          </w:tcPr>
          <w:p w14:paraId="473BD1F2"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21-24 years</w:t>
            </w:r>
          </w:p>
        </w:tc>
        <w:tc>
          <w:tcPr>
            <w:tcW w:w="1418" w:type="dxa"/>
            <w:shd w:val="clear" w:color="auto" w:fill="auto"/>
            <w:noWrap/>
            <w:vAlign w:val="bottom"/>
            <w:hideMark/>
          </w:tcPr>
          <w:p w14:paraId="5CF2097A"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80.1</w:t>
            </w:r>
          </w:p>
        </w:tc>
        <w:tc>
          <w:tcPr>
            <w:tcW w:w="1701" w:type="dxa"/>
            <w:shd w:val="clear" w:color="auto" w:fill="auto"/>
            <w:noWrap/>
            <w:vAlign w:val="bottom"/>
            <w:hideMark/>
          </w:tcPr>
          <w:p w14:paraId="4C6281FC"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80.6</w:t>
            </w:r>
          </w:p>
        </w:tc>
        <w:tc>
          <w:tcPr>
            <w:tcW w:w="1417" w:type="dxa"/>
            <w:shd w:val="clear" w:color="auto" w:fill="auto"/>
            <w:noWrap/>
            <w:vAlign w:val="bottom"/>
            <w:hideMark/>
          </w:tcPr>
          <w:p w14:paraId="7A217344"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70.2</w:t>
            </w:r>
          </w:p>
        </w:tc>
        <w:tc>
          <w:tcPr>
            <w:tcW w:w="1418" w:type="dxa"/>
            <w:shd w:val="clear" w:color="auto" w:fill="auto"/>
            <w:noWrap/>
            <w:vAlign w:val="bottom"/>
            <w:hideMark/>
          </w:tcPr>
          <w:p w14:paraId="704FE5EC"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76.8</w:t>
            </w:r>
          </w:p>
        </w:tc>
      </w:tr>
      <w:tr w:rsidR="000E2C43" w:rsidRPr="00B412F4" w14:paraId="3EC900F4" w14:textId="77777777" w:rsidTr="00946ACE">
        <w:trPr>
          <w:trHeight w:val="204"/>
          <w:jc w:val="center"/>
        </w:trPr>
        <w:tc>
          <w:tcPr>
            <w:tcW w:w="1291" w:type="dxa"/>
            <w:shd w:val="clear" w:color="auto" w:fill="auto"/>
            <w:noWrap/>
            <w:vAlign w:val="bottom"/>
            <w:hideMark/>
          </w:tcPr>
          <w:p w14:paraId="2ABC1438"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25-34 years</w:t>
            </w:r>
          </w:p>
        </w:tc>
        <w:tc>
          <w:tcPr>
            <w:tcW w:w="1418" w:type="dxa"/>
            <w:shd w:val="clear" w:color="auto" w:fill="auto"/>
            <w:noWrap/>
            <w:vAlign w:val="bottom"/>
            <w:hideMark/>
          </w:tcPr>
          <w:p w14:paraId="0C606C3B"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77.9</w:t>
            </w:r>
          </w:p>
        </w:tc>
        <w:tc>
          <w:tcPr>
            <w:tcW w:w="1701" w:type="dxa"/>
            <w:shd w:val="clear" w:color="auto" w:fill="auto"/>
            <w:noWrap/>
            <w:vAlign w:val="bottom"/>
            <w:hideMark/>
          </w:tcPr>
          <w:p w14:paraId="6A24DCA3"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79.8</w:t>
            </w:r>
          </w:p>
        </w:tc>
        <w:tc>
          <w:tcPr>
            <w:tcW w:w="1417" w:type="dxa"/>
            <w:shd w:val="clear" w:color="auto" w:fill="auto"/>
            <w:noWrap/>
            <w:vAlign w:val="bottom"/>
            <w:hideMark/>
          </w:tcPr>
          <w:p w14:paraId="233144D0"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70.0</w:t>
            </w:r>
          </w:p>
        </w:tc>
        <w:tc>
          <w:tcPr>
            <w:tcW w:w="1418" w:type="dxa"/>
            <w:shd w:val="clear" w:color="auto" w:fill="auto"/>
            <w:noWrap/>
            <w:vAlign w:val="bottom"/>
            <w:hideMark/>
          </w:tcPr>
          <w:p w14:paraId="3429B31C"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76.9</w:t>
            </w:r>
          </w:p>
        </w:tc>
      </w:tr>
      <w:tr w:rsidR="000E2C43" w:rsidRPr="00B412F4" w14:paraId="1660E69D" w14:textId="77777777" w:rsidTr="00946ACE">
        <w:trPr>
          <w:trHeight w:val="204"/>
          <w:jc w:val="center"/>
        </w:trPr>
        <w:tc>
          <w:tcPr>
            <w:tcW w:w="1291" w:type="dxa"/>
            <w:shd w:val="clear" w:color="auto" w:fill="auto"/>
            <w:noWrap/>
            <w:vAlign w:val="bottom"/>
            <w:hideMark/>
          </w:tcPr>
          <w:p w14:paraId="40366AEE"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35-49 years</w:t>
            </w:r>
          </w:p>
        </w:tc>
        <w:tc>
          <w:tcPr>
            <w:tcW w:w="1418" w:type="dxa"/>
            <w:shd w:val="clear" w:color="auto" w:fill="auto"/>
            <w:noWrap/>
            <w:vAlign w:val="bottom"/>
            <w:hideMark/>
          </w:tcPr>
          <w:p w14:paraId="02B10195"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77.4</w:t>
            </w:r>
          </w:p>
        </w:tc>
        <w:tc>
          <w:tcPr>
            <w:tcW w:w="1701" w:type="dxa"/>
            <w:shd w:val="clear" w:color="auto" w:fill="auto"/>
            <w:noWrap/>
            <w:vAlign w:val="bottom"/>
            <w:hideMark/>
          </w:tcPr>
          <w:p w14:paraId="5B9671CA"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72.9</w:t>
            </w:r>
          </w:p>
        </w:tc>
        <w:tc>
          <w:tcPr>
            <w:tcW w:w="1417" w:type="dxa"/>
            <w:shd w:val="clear" w:color="auto" w:fill="auto"/>
            <w:noWrap/>
            <w:vAlign w:val="bottom"/>
            <w:hideMark/>
          </w:tcPr>
          <w:p w14:paraId="35984939"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72.1</w:t>
            </w:r>
          </w:p>
        </w:tc>
        <w:tc>
          <w:tcPr>
            <w:tcW w:w="1418" w:type="dxa"/>
            <w:shd w:val="clear" w:color="auto" w:fill="auto"/>
            <w:noWrap/>
            <w:vAlign w:val="bottom"/>
            <w:hideMark/>
          </w:tcPr>
          <w:p w14:paraId="2E3DDD56"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67.7</w:t>
            </w:r>
          </w:p>
        </w:tc>
      </w:tr>
      <w:tr w:rsidR="000E2C43" w:rsidRPr="00B412F4" w14:paraId="271B6F6D" w14:textId="77777777" w:rsidTr="00946ACE">
        <w:trPr>
          <w:trHeight w:val="204"/>
          <w:jc w:val="center"/>
        </w:trPr>
        <w:tc>
          <w:tcPr>
            <w:tcW w:w="1291" w:type="dxa"/>
            <w:shd w:val="clear" w:color="auto" w:fill="auto"/>
            <w:noWrap/>
            <w:vAlign w:val="bottom"/>
            <w:hideMark/>
          </w:tcPr>
          <w:p w14:paraId="1E7BDB9F"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 xml:space="preserve">50+ years </w:t>
            </w:r>
          </w:p>
        </w:tc>
        <w:tc>
          <w:tcPr>
            <w:tcW w:w="1418" w:type="dxa"/>
            <w:shd w:val="clear" w:color="auto" w:fill="auto"/>
            <w:noWrap/>
            <w:vAlign w:val="bottom"/>
            <w:hideMark/>
          </w:tcPr>
          <w:p w14:paraId="10A51A49"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72.9</w:t>
            </w:r>
          </w:p>
        </w:tc>
        <w:tc>
          <w:tcPr>
            <w:tcW w:w="1701" w:type="dxa"/>
            <w:shd w:val="clear" w:color="auto" w:fill="auto"/>
            <w:noWrap/>
            <w:vAlign w:val="bottom"/>
            <w:hideMark/>
          </w:tcPr>
          <w:p w14:paraId="28EE2CDA"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69.3</w:t>
            </w:r>
          </w:p>
        </w:tc>
        <w:tc>
          <w:tcPr>
            <w:tcW w:w="1417" w:type="dxa"/>
            <w:shd w:val="clear" w:color="auto" w:fill="auto"/>
            <w:noWrap/>
            <w:vAlign w:val="bottom"/>
            <w:hideMark/>
          </w:tcPr>
          <w:p w14:paraId="543B61DD"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58.8</w:t>
            </w:r>
          </w:p>
        </w:tc>
        <w:tc>
          <w:tcPr>
            <w:tcW w:w="1418" w:type="dxa"/>
            <w:shd w:val="clear" w:color="auto" w:fill="auto"/>
            <w:noWrap/>
            <w:vAlign w:val="bottom"/>
            <w:hideMark/>
          </w:tcPr>
          <w:p w14:paraId="05263DBF"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72.5</w:t>
            </w:r>
          </w:p>
        </w:tc>
      </w:tr>
      <w:tr w:rsidR="000E2C43" w:rsidRPr="00B412F4" w14:paraId="7882172F" w14:textId="77777777" w:rsidTr="00946ACE">
        <w:trPr>
          <w:trHeight w:val="204"/>
          <w:jc w:val="center"/>
        </w:trPr>
        <w:tc>
          <w:tcPr>
            <w:tcW w:w="1291" w:type="dxa"/>
            <w:shd w:val="clear" w:color="auto" w:fill="auto"/>
            <w:noWrap/>
            <w:vAlign w:val="bottom"/>
            <w:hideMark/>
          </w:tcPr>
          <w:p w14:paraId="628E746C" w14:textId="77777777" w:rsidR="00863C31" w:rsidRPr="00B412F4" w:rsidRDefault="00863C31" w:rsidP="004F3B01">
            <w:pPr>
              <w:spacing w:after="166"/>
              <w:rPr>
                <w:rFonts w:cstheme="minorHAnsi"/>
                <w:color w:val="FFFFFF" w:themeColor="background2"/>
                <w:sz w:val="16"/>
                <w:szCs w:val="16"/>
              </w:rPr>
            </w:pPr>
            <w:r w:rsidRPr="00B412F4">
              <w:rPr>
                <w:rFonts w:cstheme="minorHAnsi"/>
                <w:color w:val="FFFFFF" w:themeColor="background2"/>
                <w:sz w:val="16"/>
                <w:szCs w:val="16"/>
              </w:rPr>
              <w:t>Total</w:t>
            </w:r>
          </w:p>
        </w:tc>
        <w:tc>
          <w:tcPr>
            <w:tcW w:w="1418" w:type="dxa"/>
            <w:shd w:val="clear" w:color="auto" w:fill="auto"/>
            <w:noWrap/>
            <w:vAlign w:val="bottom"/>
            <w:hideMark/>
          </w:tcPr>
          <w:p w14:paraId="0E154C8C"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75.7</w:t>
            </w:r>
          </w:p>
        </w:tc>
        <w:tc>
          <w:tcPr>
            <w:tcW w:w="1701" w:type="dxa"/>
            <w:shd w:val="clear" w:color="auto" w:fill="auto"/>
            <w:noWrap/>
            <w:vAlign w:val="bottom"/>
            <w:hideMark/>
          </w:tcPr>
          <w:p w14:paraId="62264D41"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75.2</w:t>
            </w:r>
          </w:p>
        </w:tc>
        <w:tc>
          <w:tcPr>
            <w:tcW w:w="1417" w:type="dxa"/>
            <w:shd w:val="clear" w:color="auto" w:fill="auto"/>
            <w:noWrap/>
            <w:vAlign w:val="bottom"/>
            <w:hideMark/>
          </w:tcPr>
          <w:p w14:paraId="726EB1DE"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66.4</w:t>
            </w:r>
          </w:p>
        </w:tc>
        <w:tc>
          <w:tcPr>
            <w:tcW w:w="1418" w:type="dxa"/>
            <w:shd w:val="clear" w:color="auto" w:fill="auto"/>
            <w:noWrap/>
            <w:vAlign w:val="bottom"/>
            <w:hideMark/>
          </w:tcPr>
          <w:p w14:paraId="1BAA8A23" w14:textId="77777777" w:rsidR="00863C31" w:rsidRPr="00B412F4" w:rsidRDefault="00863C31" w:rsidP="004F3B01">
            <w:pPr>
              <w:spacing w:after="166"/>
              <w:jc w:val="right"/>
              <w:rPr>
                <w:rFonts w:cstheme="minorHAnsi"/>
                <w:color w:val="FFFFFF" w:themeColor="background2"/>
                <w:sz w:val="16"/>
                <w:szCs w:val="16"/>
              </w:rPr>
            </w:pPr>
            <w:r w:rsidRPr="00B412F4">
              <w:rPr>
                <w:rFonts w:cstheme="minorHAnsi"/>
                <w:color w:val="FFFFFF" w:themeColor="background2"/>
                <w:sz w:val="16"/>
                <w:szCs w:val="16"/>
              </w:rPr>
              <w:t>71.3</w:t>
            </w:r>
          </w:p>
        </w:tc>
      </w:tr>
    </w:tbl>
    <w:p w14:paraId="31C0684D" w14:textId="77777777" w:rsidR="001F28F1" w:rsidRDefault="009C3C01" w:rsidP="000E2C43">
      <w:pPr>
        <w:pStyle w:val="Notes"/>
        <w:spacing w:before="2400"/>
        <w:rPr>
          <w:rStyle w:val="NotesChar"/>
          <w:b/>
        </w:rPr>
      </w:pPr>
      <w:r w:rsidRPr="0019430D">
        <w:rPr>
          <w:rStyle w:val="NotesChar"/>
          <w:b/>
        </w:rPr>
        <w:t>Note</w:t>
      </w:r>
      <w:r w:rsidR="001F28F1">
        <w:rPr>
          <w:rStyle w:val="NotesChar"/>
          <w:b/>
        </w:rPr>
        <w:t>s:</w:t>
      </w:r>
    </w:p>
    <w:p w14:paraId="3D6E2020" w14:textId="77777777" w:rsidR="009C3C01" w:rsidRPr="00E5413A" w:rsidRDefault="009C3C01" w:rsidP="006149DB">
      <w:pPr>
        <w:pStyle w:val="Notesnumbered"/>
        <w:numPr>
          <w:ilvl w:val="0"/>
          <w:numId w:val="236"/>
        </w:numPr>
        <w:ind w:left="709" w:hanging="567"/>
      </w:pPr>
      <w:r w:rsidRPr="00E5413A">
        <w:t>Differences in employment outcome rates that were statistically significant at the 95 per cent level are:</w:t>
      </w:r>
    </w:p>
    <w:p w14:paraId="44D33069" w14:textId="77777777" w:rsidR="009C3C01" w:rsidRPr="00E5413A" w:rsidRDefault="009C3C01" w:rsidP="00E5413A">
      <w:pPr>
        <w:pStyle w:val="Notesnumbered"/>
        <w:numPr>
          <w:ilvl w:val="1"/>
          <w:numId w:val="236"/>
        </w:numPr>
        <w:ind w:left="1276" w:hanging="142"/>
      </w:pPr>
      <w:r w:rsidRPr="00E5413A">
        <w:t xml:space="preserve">males compared to females: </w:t>
      </w:r>
    </w:p>
    <w:p w14:paraId="74F4FC3D" w14:textId="77777777" w:rsidR="009C3C01" w:rsidRPr="00E5413A" w:rsidRDefault="009C3C01" w:rsidP="00E5413A">
      <w:pPr>
        <w:pStyle w:val="Notesnumbered"/>
        <w:numPr>
          <w:ilvl w:val="2"/>
          <w:numId w:val="236"/>
        </w:numPr>
        <w:ind w:left="1701" w:hanging="141"/>
      </w:pPr>
      <w:r w:rsidRPr="00E5413A">
        <w:t>aged 35 to 49 years for JSA 2009</w:t>
      </w:r>
    </w:p>
    <w:p w14:paraId="757DB707" w14:textId="77777777" w:rsidR="009C3C01" w:rsidRPr="00E5413A" w:rsidRDefault="009C3C01" w:rsidP="00E5413A">
      <w:pPr>
        <w:pStyle w:val="Notesnumbered"/>
        <w:numPr>
          <w:ilvl w:val="2"/>
          <w:numId w:val="236"/>
        </w:numPr>
        <w:ind w:left="1701" w:hanging="141"/>
      </w:pPr>
      <w:r w:rsidRPr="00E5413A">
        <w:t>those aged 50 years and over under JSA 2012 and in total for JSA 2012.</w:t>
      </w:r>
    </w:p>
    <w:p w14:paraId="72E385F2" w14:textId="77777777" w:rsidR="009C3C01" w:rsidRPr="00E5413A" w:rsidRDefault="009C3C01" w:rsidP="00E5413A">
      <w:pPr>
        <w:pStyle w:val="Notesnumbered"/>
        <w:numPr>
          <w:ilvl w:val="1"/>
          <w:numId w:val="236"/>
        </w:numPr>
        <w:ind w:left="1276" w:hanging="142"/>
      </w:pPr>
      <w:r w:rsidRPr="00E5413A">
        <w:t xml:space="preserve">JSA 2009 compared to JSA 2012: </w:t>
      </w:r>
    </w:p>
    <w:p w14:paraId="1D967F3D" w14:textId="4D7D2B0C" w:rsidR="009C3C01" w:rsidRPr="00E5413A" w:rsidRDefault="009C3C01" w:rsidP="00E5413A">
      <w:pPr>
        <w:pStyle w:val="Notesnumbered"/>
        <w:numPr>
          <w:ilvl w:val="2"/>
          <w:numId w:val="236"/>
        </w:numPr>
        <w:ind w:left="1701" w:hanging="141"/>
      </w:pPr>
      <w:r w:rsidRPr="00E5413A">
        <w:t xml:space="preserve">all male age groups and </w:t>
      </w:r>
      <w:r w:rsidR="003F5085">
        <w:t>in t</w:t>
      </w:r>
      <w:r w:rsidRPr="00E5413A">
        <w:t>otal across all ages (except for males aged 35 to 49 years)</w:t>
      </w:r>
    </w:p>
    <w:p w14:paraId="319C1769" w14:textId="77777777" w:rsidR="009C3C01" w:rsidRPr="00E5413A" w:rsidRDefault="009C3C01" w:rsidP="00E5413A">
      <w:pPr>
        <w:pStyle w:val="Notesnumbered"/>
        <w:numPr>
          <w:ilvl w:val="2"/>
          <w:numId w:val="236"/>
        </w:numPr>
        <w:ind w:left="1701" w:hanging="141"/>
      </w:pPr>
      <w:r w:rsidRPr="00E5413A">
        <w:t>females aged under 21 years and in total across all ages, but not for other female age groups considered.</w:t>
      </w:r>
    </w:p>
    <w:p w14:paraId="4C3ADF3A" w14:textId="77777777" w:rsidR="001F28F1" w:rsidRPr="009C3C01" w:rsidRDefault="001F28F1" w:rsidP="006149DB">
      <w:pPr>
        <w:pStyle w:val="Notesnumbered"/>
        <w:numPr>
          <w:ilvl w:val="0"/>
          <w:numId w:val="236"/>
        </w:numPr>
        <w:ind w:left="709" w:hanging="567"/>
      </w:pPr>
      <w:r w:rsidRPr="00E5413A">
        <w:t xml:space="preserve">Refer </w:t>
      </w:r>
      <w:hyperlink w:anchor="Title_A219" w:history="1">
        <w:r w:rsidRPr="005F1335">
          <w:rPr>
            <w:rStyle w:val="Hyperlink"/>
          </w:rPr>
          <w:t>Appendix</w:t>
        </w:r>
        <w:r w:rsidRPr="005F1335">
          <w:rPr>
            <w:rStyle w:val="Hyperlink"/>
            <w:rFonts w:cs="Times New Roman"/>
            <w:szCs w:val="20"/>
            <w:lang w:val="en-US"/>
          </w:rPr>
          <w:t xml:space="preserve"> A</w:t>
        </w:r>
        <w:r w:rsidR="000748CA" w:rsidRPr="005F1335">
          <w:rPr>
            <w:rStyle w:val="Hyperlink"/>
            <w:rFonts w:cs="Times New Roman"/>
            <w:szCs w:val="20"/>
            <w:lang w:val="en-US"/>
          </w:rPr>
          <w:t>2</w:t>
        </w:r>
        <w:r w:rsidRPr="005F1335">
          <w:rPr>
            <w:rStyle w:val="Hyperlink"/>
            <w:rFonts w:cs="Times New Roman"/>
            <w:szCs w:val="20"/>
            <w:lang w:val="en-US"/>
          </w:rPr>
          <w:t>, Table A2.19</w:t>
        </w:r>
      </w:hyperlink>
      <w:r>
        <w:rPr>
          <w:rStyle w:val="NotesChar"/>
          <w:rFonts w:eastAsiaTheme="minorEastAsia"/>
        </w:rPr>
        <w:t>.</w:t>
      </w:r>
      <w:bookmarkStart w:id="282" w:name="Place_A219b"/>
      <w:bookmarkEnd w:id="282"/>
    </w:p>
    <w:p w14:paraId="099283DF" w14:textId="77777777" w:rsidR="009273D5" w:rsidRPr="001A4FCE" w:rsidRDefault="009273D5" w:rsidP="001A4FCE">
      <w:pPr>
        <w:pStyle w:val="Source"/>
      </w:pPr>
      <w:r w:rsidRPr="007C112F">
        <w:rPr>
          <w:b/>
        </w:rPr>
        <w:t>Source:</w:t>
      </w:r>
      <w:r w:rsidRPr="009273D5">
        <w:rPr>
          <w:rFonts w:eastAsia="Times New Roman"/>
          <w:lang w:eastAsia="en-AU"/>
        </w:rPr>
        <w:t xml:space="preserve"> </w:t>
      </w:r>
      <w:r w:rsidRPr="009273D5">
        <w:rPr>
          <w:rFonts w:eastAsia="Times New Roman"/>
          <w:lang w:eastAsia="en-AU"/>
        </w:rPr>
        <w:tab/>
      </w:r>
      <w:r w:rsidR="00F774E4">
        <w:rPr>
          <w:rFonts w:eastAsia="Times New Roman"/>
          <w:lang w:eastAsia="en-AU"/>
        </w:rPr>
        <w:t>Department of Employment Post Programme Monitoring survey</w:t>
      </w:r>
      <w:r w:rsidRPr="001A4FCE">
        <w:t>.</w:t>
      </w:r>
    </w:p>
    <w:p w14:paraId="54D9C6A5" w14:textId="77777777" w:rsidR="009C3C01" w:rsidRPr="009C3C01" w:rsidRDefault="009C3C01" w:rsidP="009C3C01">
      <w:pPr>
        <w:suppressAutoHyphens/>
        <w:autoSpaceDE w:val="0"/>
        <w:autoSpaceDN w:val="0"/>
        <w:adjustRightInd w:val="0"/>
        <w:spacing w:before="120" w:after="120"/>
        <w:textAlignment w:val="center"/>
        <w:rPr>
          <w:rFonts w:eastAsiaTheme="majorEastAsia" w:cs="Garamond"/>
          <w:color w:val="000000"/>
          <w:lang w:val="en-GB"/>
        </w:rPr>
      </w:pPr>
      <w:r w:rsidRPr="009C3C01">
        <w:rPr>
          <w:rFonts w:eastAsiaTheme="majorEastAsia" w:cs="Garamond"/>
          <w:color w:val="000000"/>
          <w:lang w:val="en-GB"/>
        </w:rPr>
        <w:t xml:space="preserve">These results largely reflect economic trends. Labour force participation rates for males declined and for females remained fairly stable over the analysis period, while there was a sustained increase in participation rates for those aged over 55. Sluggish economic conditions also often indicate increased availability </w:t>
      </w:r>
      <w:r w:rsidR="00C458DE">
        <w:rPr>
          <w:rFonts w:eastAsiaTheme="majorEastAsia" w:cs="Garamond"/>
          <w:color w:val="000000"/>
          <w:lang w:val="en-GB"/>
        </w:rPr>
        <w:t>of</w:t>
      </w:r>
      <w:r w:rsidR="00C458DE" w:rsidRPr="009C3C01">
        <w:rPr>
          <w:rFonts w:eastAsiaTheme="majorEastAsia" w:cs="Garamond"/>
          <w:color w:val="000000"/>
          <w:lang w:val="en-GB"/>
        </w:rPr>
        <w:t xml:space="preserve"> </w:t>
      </w:r>
      <w:r w:rsidRPr="009C3C01">
        <w:rPr>
          <w:rFonts w:eastAsiaTheme="majorEastAsia" w:cs="Garamond"/>
          <w:color w:val="000000"/>
          <w:lang w:val="en-GB"/>
        </w:rPr>
        <w:t>part-time and casual work which tends to be in female-dominated occupations. This</w:t>
      </w:r>
      <w:r w:rsidR="00C458DE">
        <w:rPr>
          <w:rFonts w:eastAsiaTheme="majorEastAsia" w:cs="Garamond"/>
          <w:color w:val="000000"/>
          <w:lang w:val="en-GB"/>
        </w:rPr>
        <w:t>, coupled with a higher proportion of female job seekers in the 2012 study population,</w:t>
      </w:r>
      <w:r w:rsidRPr="009C3C01">
        <w:rPr>
          <w:rFonts w:eastAsiaTheme="majorEastAsia" w:cs="Garamond"/>
          <w:color w:val="000000"/>
          <w:lang w:val="en-GB"/>
        </w:rPr>
        <w:t xml:space="preserve"> goes some way to explaining the improvement in outcome rates for females compared </w:t>
      </w:r>
      <w:r w:rsidR="000A170D">
        <w:rPr>
          <w:rFonts w:eastAsiaTheme="majorEastAsia" w:cs="Garamond"/>
          <w:color w:val="000000"/>
          <w:lang w:val="en-GB"/>
        </w:rPr>
        <w:t>with</w:t>
      </w:r>
      <w:r w:rsidR="000A170D" w:rsidRPr="009C3C01">
        <w:rPr>
          <w:rFonts w:eastAsiaTheme="majorEastAsia" w:cs="Garamond"/>
          <w:color w:val="000000"/>
          <w:lang w:val="en-GB"/>
        </w:rPr>
        <w:t xml:space="preserve"> </w:t>
      </w:r>
      <w:r w:rsidRPr="009C3C01">
        <w:rPr>
          <w:rFonts w:eastAsiaTheme="majorEastAsia" w:cs="Garamond"/>
          <w:color w:val="000000"/>
          <w:lang w:val="en-GB"/>
        </w:rPr>
        <w:t>males.</w:t>
      </w:r>
    </w:p>
    <w:p w14:paraId="41A69077" w14:textId="77777777" w:rsidR="009C3C01" w:rsidRPr="009C3C01" w:rsidRDefault="009C3C01" w:rsidP="00D319E7">
      <w:pPr>
        <w:pStyle w:val="Heading4"/>
      </w:pPr>
      <w:r w:rsidRPr="009C3C01">
        <w:t>Education outcomes</w:t>
      </w:r>
      <w:r w:rsidR="00EF1B2D">
        <w:t xml:space="preserve"> (unregressed)</w:t>
      </w:r>
    </w:p>
    <w:p w14:paraId="2E010DFB" w14:textId="77777777" w:rsidR="009C3C01" w:rsidRPr="009C3C01" w:rsidRDefault="009C3C01" w:rsidP="009C3C01">
      <w:pPr>
        <w:spacing w:before="120"/>
      </w:pPr>
      <w:r w:rsidRPr="009C3C01">
        <w:rPr>
          <w:rFonts w:eastAsiaTheme="majorEastAsia"/>
        </w:rPr>
        <w:t>Education outcomes were slightly higher under JSA 2012 (at 21.8 perce</w:t>
      </w:r>
      <w:r w:rsidR="00E62F74">
        <w:rPr>
          <w:rFonts w:eastAsiaTheme="majorEastAsia"/>
        </w:rPr>
        <w:t>nt compared with 21.1 per cent) (Table A2.</w:t>
      </w:r>
      <w:r w:rsidR="000748CA">
        <w:rPr>
          <w:rFonts w:eastAsiaTheme="majorEastAsia"/>
        </w:rPr>
        <w:t>19</w:t>
      </w:r>
      <w:r w:rsidR="00E62F74">
        <w:rPr>
          <w:rFonts w:eastAsiaTheme="majorEastAsia"/>
        </w:rPr>
        <w:t>).</w:t>
      </w:r>
      <w:r w:rsidRPr="009C3C01">
        <w:rPr>
          <w:rFonts w:eastAsiaTheme="majorEastAsia"/>
        </w:rPr>
        <w:t xml:space="preserve"> </w:t>
      </w:r>
      <w:r w:rsidRPr="009C3C01">
        <w:t>In times of weak labour markets job seekers will turn to education as a way to prepare for work or improve their competitiveness for when the economy labour market strengthens.</w:t>
      </w:r>
      <w:r w:rsidR="00C5154D">
        <w:rPr>
          <w:rStyle w:val="FootnoteReference"/>
        </w:rPr>
        <w:footnoteReference w:id="32"/>
      </w:r>
    </w:p>
    <w:p w14:paraId="79822D79" w14:textId="77777777" w:rsidR="0062144E" w:rsidRDefault="0010619B" w:rsidP="009B1CD0">
      <w:pPr>
        <w:pStyle w:val="Heading3"/>
        <w:numPr>
          <w:ilvl w:val="2"/>
          <w:numId w:val="40"/>
        </w:numPr>
        <w:ind w:left="709"/>
      </w:pPr>
      <w:bookmarkStart w:id="283" w:name="_Toc22543089"/>
      <w:r>
        <w:t xml:space="preserve">Leaving </w:t>
      </w:r>
      <w:r w:rsidR="009245F1">
        <w:t>s</w:t>
      </w:r>
      <w:r>
        <w:t>ervice</w:t>
      </w:r>
      <w:bookmarkEnd w:id="283"/>
    </w:p>
    <w:p w14:paraId="12176C40" w14:textId="77777777" w:rsidR="009C3C01" w:rsidRPr="009C3C01" w:rsidRDefault="0062144E" w:rsidP="00C458DE">
      <w:pPr>
        <w:pStyle w:val="Heading4"/>
      </w:pPr>
      <w:r>
        <w:t>Probability of exit (u</w:t>
      </w:r>
      <w:r w:rsidR="00EF1B2D">
        <w:t>nregressed)</w:t>
      </w:r>
    </w:p>
    <w:p w14:paraId="27A09F4E" w14:textId="77777777" w:rsidR="009C3C01" w:rsidRPr="009C3C01" w:rsidRDefault="009C3C01" w:rsidP="009C3C01">
      <w:r w:rsidRPr="009C3C01">
        <w:t xml:space="preserve">Service periods were shorter under JSA 2009 than under JSA 2012 for Stream 1 job seekers. The median time in service for JSA 2009 was 17 weeks compared to 20 weeks for JSA 2012 (Table </w:t>
      </w:r>
      <w:r w:rsidR="00904C78" w:rsidRPr="00904C78">
        <w:t>4</w:t>
      </w:r>
      <w:r w:rsidRPr="00904C78">
        <w:t>.5).</w:t>
      </w:r>
    </w:p>
    <w:p w14:paraId="580C34D2" w14:textId="77777777" w:rsidR="009C3C01" w:rsidRPr="009C3C01" w:rsidRDefault="009C3C01" w:rsidP="00C2452E">
      <w:pPr>
        <w:pStyle w:val="Tableforcontents"/>
        <w:rPr>
          <w:rFonts w:eastAsiaTheme="majorEastAsia"/>
        </w:rPr>
      </w:pPr>
      <w:bookmarkStart w:id="284" w:name="_Toc410313439"/>
      <w:bookmarkStart w:id="285" w:name="_Toc436142566"/>
      <w:bookmarkStart w:id="286" w:name="_Toc22543987"/>
      <w:r w:rsidRPr="009C3C01">
        <w:rPr>
          <w:rFonts w:eastAsiaTheme="majorEastAsia"/>
        </w:rPr>
        <w:t xml:space="preserve">Table </w:t>
      </w:r>
      <w:r w:rsidR="00904C78" w:rsidRPr="00904C78">
        <w:rPr>
          <w:rFonts w:eastAsiaTheme="majorEastAsia"/>
        </w:rPr>
        <w:t>4.</w:t>
      </w:r>
      <w:r w:rsidRPr="00904C78">
        <w:rPr>
          <w:rFonts w:eastAsiaTheme="majorEastAsia"/>
        </w:rPr>
        <w:t>5:</w:t>
      </w:r>
      <w:r w:rsidR="003C29A5">
        <w:rPr>
          <w:rFonts w:eastAsiaTheme="majorEastAsia"/>
        </w:rPr>
        <w:t xml:space="preserve"> </w:t>
      </w:r>
      <w:r w:rsidRPr="00904C78">
        <w:rPr>
          <w:rFonts w:eastAsiaTheme="majorEastAsia"/>
        </w:rPr>
        <w:t>Time</w:t>
      </w:r>
      <w:r w:rsidRPr="009C3C01">
        <w:rPr>
          <w:rFonts w:eastAsiaTheme="majorEastAsia"/>
        </w:rPr>
        <w:t xml:space="preserve"> by which selected proportions of job seekers had left service, 2009 and 2012 Stream 1 servicing study populations</w:t>
      </w:r>
      <w:bookmarkEnd w:id="284"/>
      <w:bookmarkEnd w:id="285"/>
      <w:r w:rsidR="009F7F48">
        <w:rPr>
          <w:rFonts w:eastAsiaTheme="majorEastAsia"/>
        </w:rPr>
        <w:t xml:space="preserve"> (weeks)</w:t>
      </w:r>
      <w:bookmarkEnd w:id="286"/>
    </w:p>
    <w:tbl>
      <w:tblPr>
        <w:tblW w:w="8662" w:type="dxa"/>
        <w:tblInd w:w="93" w:type="dxa"/>
        <w:tblLook w:val="04A0" w:firstRow="1" w:lastRow="0" w:firstColumn="1" w:lastColumn="0" w:noHBand="0" w:noVBand="1"/>
      </w:tblPr>
      <w:tblGrid>
        <w:gridCol w:w="3276"/>
        <w:gridCol w:w="2835"/>
        <w:gridCol w:w="2551"/>
      </w:tblGrid>
      <w:tr w:rsidR="009C3C01" w:rsidRPr="009C3C01" w14:paraId="7F5B0083" w14:textId="77777777" w:rsidTr="00284FE6">
        <w:trPr>
          <w:cantSplit/>
          <w:trHeight w:val="482"/>
          <w:tblHeader/>
        </w:trPr>
        <w:tc>
          <w:tcPr>
            <w:tcW w:w="3276" w:type="dxa"/>
            <w:tcBorders>
              <w:left w:val="nil"/>
              <w:right w:val="nil"/>
            </w:tcBorders>
            <w:shd w:val="clear" w:color="auto" w:fill="1E3D6B"/>
            <w:noWrap/>
            <w:vAlign w:val="center"/>
            <w:hideMark/>
          </w:tcPr>
          <w:p w14:paraId="6753530C" w14:textId="77777777" w:rsidR="009C3C01" w:rsidRPr="009C3C01" w:rsidRDefault="009C3C01" w:rsidP="00284FE6">
            <w:pPr>
              <w:keepNext/>
              <w:spacing w:after="0"/>
              <w:rPr>
                <w:rFonts w:eastAsia="Times New Roman"/>
                <w:b/>
                <w:sz w:val="20"/>
                <w:lang w:eastAsia="en-AU"/>
              </w:rPr>
            </w:pPr>
            <w:bookmarkStart w:id="287" w:name="Title_45"/>
            <w:bookmarkEnd w:id="287"/>
            <w:r w:rsidRPr="009C3C01">
              <w:rPr>
                <w:rFonts w:eastAsia="Times New Roman"/>
                <w:b/>
                <w:sz w:val="20"/>
                <w:lang w:eastAsia="en-AU"/>
              </w:rPr>
              <w:t>Proportion that had exited</w:t>
            </w:r>
          </w:p>
        </w:tc>
        <w:tc>
          <w:tcPr>
            <w:tcW w:w="2835" w:type="dxa"/>
            <w:tcBorders>
              <w:left w:val="nil"/>
              <w:right w:val="nil"/>
            </w:tcBorders>
            <w:shd w:val="clear" w:color="auto" w:fill="1E3D6B"/>
            <w:vAlign w:val="center"/>
            <w:hideMark/>
          </w:tcPr>
          <w:p w14:paraId="02A5EFBF" w14:textId="77777777" w:rsidR="009C3C01" w:rsidRPr="009C3C01" w:rsidRDefault="009F7F48" w:rsidP="00284FE6">
            <w:pPr>
              <w:keepNext/>
              <w:spacing w:after="0"/>
              <w:ind w:left="380"/>
              <w:rPr>
                <w:rFonts w:eastAsia="Times New Roman"/>
                <w:b/>
                <w:sz w:val="20"/>
                <w:lang w:eastAsia="en-AU"/>
              </w:rPr>
            </w:pPr>
            <w:r>
              <w:rPr>
                <w:rFonts w:eastAsia="Times New Roman"/>
                <w:b/>
                <w:sz w:val="20"/>
                <w:lang w:eastAsia="en-AU"/>
              </w:rPr>
              <w:t>JSA 2009</w:t>
            </w:r>
          </w:p>
        </w:tc>
        <w:tc>
          <w:tcPr>
            <w:tcW w:w="2551" w:type="dxa"/>
            <w:tcBorders>
              <w:left w:val="nil"/>
              <w:right w:val="nil"/>
            </w:tcBorders>
            <w:shd w:val="clear" w:color="auto" w:fill="1E3D6B"/>
            <w:vAlign w:val="center"/>
            <w:hideMark/>
          </w:tcPr>
          <w:p w14:paraId="32EB1395" w14:textId="77777777" w:rsidR="009C3C01" w:rsidRPr="009C3C01" w:rsidRDefault="009F7F48" w:rsidP="00284FE6">
            <w:pPr>
              <w:keepNext/>
              <w:spacing w:after="0"/>
              <w:ind w:left="145"/>
              <w:rPr>
                <w:rFonts w:eastAsia="Times New Roman"/>
                <w:b/>
                <w:sz w:val="20"/>
                <w:lang w:eastAsia="en-AU"/>
              </w:rPr>
            </w:pPr>
            <w:r>
              <w:rPr>
                <w:rFonts w:eastAsia="Times New Roman"/>
                <w:b/>
                <w:sz w:val="20"/>
                <w:lang w:eastAsia="en-AU"/>
              </w:rPr>
              <w:t>JSA 2012</w:t>
            </w:r>
          </w:p>
        </w:tc>
      </w:tr>
      <w:tr w:rsidR="009C3C01" w:rsidRPr="009C3C01" w14:paraId="7D1EB7D4" w14:textId="77777777" w:rsidTr="009B1CD0">
        <w:trPr>
          <w:cantSplit/>
          <w:trHeight w:hRule="exact" w:val="340"/>
        </w:trPr>
        <w:tc>
          <w:tcPr>
            <w:tcW w:w="3276" w:type="dxa"/>
            <w:tcBorders>
              <w:left w:val="nil"/>
              <w:right w:val="nil"/>
            </w:tcBorders>
            <w:shd w:val="clear" w:color="auto" w:fill="auto"/>
            <w:noWrap/>
            <w:vAlign w:val="center"/>
            <w:hideMark/>
          </w:tcPr>
          <w:p w14:paraId="612F9A13" w14:textId="77777777" w:rsidR="009C3C01" w:rsidRPr="009C3C01" w:rsidRDefault="009C3C01" w:rsidP="009C3C01">
            <w:pPr>
              <w:spacing w:after="0"/>
              <w:rPr>
                <w:rFonts w:eastAsia="Times New Roman"/>
                <w:sz w:val="20"/>
                <w:szCs w:val="20"/>
                <w:lang w:eastAsia="en-AU"/>
              </w:rPr>
            </w:pPr>
            <w:r w:rsidRPr="009C3C01">
              <w:rPr>
                <w:rFonts w:eastAsia="Times New Roman"/>
                <w:sz w:val="20"/>
                <w:szCs w:val="20"/>
                <w:lang w:eastAsia="en-AU"/>
              </w:rPr>
              <w:t>25</w:t>
            </w:r>
          </w:p>
        </w:tc>
        <w:tc>
          <w:tcPr>
            <w:tcW w:w="2835" w:type="dxa"/>
            <w:tcBorders>
              <w:left w:val="nil"/>
              <w:right w:val="nil"/>
            </w:tcBorders>
            <w:shd w:val="clear" w:color="auto" w:fill="auto"/>
            <w:noWrap/>
            <w:vAlign w:val="center"/>
            <w:hideMark/>
          </w:tcPr>
          <w:p w14:paraId="7A36A7BC" w14:textId="77777777" w:rsidR="009C3C01" w:rsidRPr="009C3C01" w:rsidRDefault="009C3C01" w:rsidP="0011747A">
            <w:pPr>
              <w:spacing w:after="0"/>
              <w:ind w:left="615"/>
              <w:rPr>
                <w:rFonts w:eastAsia="Times New Roman"/>
                <w:sz w:val="20"/>
                <w:szCs w:val="20"/>
                <w:lang w:eastAsia="en-AU"/>
              </w:rPr>
            </w:pPr>
            <w:r w:rsidRPr="009C3C01">
              <w:rPr>
                <w:rFonts w:eastAsia="Times New Roman"/>
                <w:sz w:val="20"/>
                <w:szCs w:val="20"/>
                <w:lang w:eastAsia="en-AU"/>
              </w:rPr>
              <w:t>11</w:t>
            </w:r>
          </w:p>
        </w:tc>
        <w:tc>
          <w:tcPr>
            <w:tcW w:w="2551" w:type="dxa"/>
            <w:tcBorders>
              <w:left w:val="nil"/>
              <w:right w:val="nil"/>
            </w:tcBorders>
            <w:shd w:val="clear" w:color="auto" w:fill="auto"/>
            <w:noWrap/>
            <w:vAlign w:val="center"/>
            <w:hideMark/>
          </w:tcPr>
          <w:p w14:paraId="1DCDD986" w14:textId="77777777" w:rsidR="009C3C01" w:rsidRPr="009C3C01" w:rsidRDefault="009C3C01" w:rsidP="0011747A">
            <w:pPr>
              <w:spacing w:after="0"/>
              <w:ind w:left="380"/>
              <w:rPr>
                <w:rFonts w:eastAsia="Times New Roman"/>
                <w:sz w:val="20"/>
                <w:szCs w:val="20"/>
                <w:lang w:eastAsia="en-AU"/>
              </w:rPr>
            </w:pPr>
            <w:r w:rsidRPr="009C3C01">
              <w:rPr>
                <w:rFonts w:eastAsia="Times New Roman"/>
                <w:sz w:val="20"/>
                <w:szCs w:val="20"/>
                <w:lang w:eastAsia="en-AU"/>
              </w:rPr>
              <w:t>12</w:t>
            </w:r>
          </w:p>
        </w:tc>
      </w:tr>
      <w:tr w:rsidR="009C3C01" w:rsidRPr="009C3C01" w14:paraId="24C60780" w14:textId="77777777" w:rsidTr="009B1CD0">
        <w:trPr>
          <w:cantSplit/>
          <w:trHeight w:hRule="exact" w:val="340"/>
        </w:trPr>
        <w:tc>
          <w:tcPr>
            <w:tcW w:w="3276" w:type="dxa"/>
            <w:tcBorders>
              <w:left w:val="nil"/>
              <w:right w:val="nil"/>
            </w:tcBorders>
            <w:shd w:val="clear" w:color="auto" w:fill="E5E5E5" w:themeFill="background1" w:themeFillTint="33"/>
            <w:noWrap/>
            <w:vAlign w:val="center"/>
            <w:hideMark/>
          </w:tcPr>
          <w:p w14:paraId="1E7F2B2A" w14:textId="77777777" w:rsidR="009C3C01" w:rsidRPr="009C3C01" w:rsidRDefault="009C3C01" w:rsidP="009C3C01">
            <w:pPr>
              <w:spacing w:after="0"/>
              <w:rPr>
                <w:rFonts w:eastAsia="Times New Roman"/>
                <w:sz w:val="20"/>
                <w:szCs w:val="20"/>
                <w:lang w:eastAsia="en-AU"/>
              </w:rPr>
            </w:pPr>
            <w:r w:rsidRPr="009C3C01">
              <w:rPr>
                <w:rFonts w:eastAsia="Times New Roman"/>
                <w:sz w:val="20"/>
                <w:szCs w:val="20"/>
                <w:lang w:eastAsia="en-AU"/>
              </w:rPr>
              <w:t>50 (median)</w:t>
            </w:r>
          </w:p>
        </w:tc>
        <w:tc>
          <w:tcPr>
            <w:tcW w:w="2835" w:type="dxa"/>
            <w:tcBorders>
              <w:left w:val="nil"/>
              <w:right w:val="nil"/>
            </w:tcBorders>
            <w:shd w:val="clear" w:color="auto" w:fill="E5E5E5" w:themeFill="background1" w:themeFillTint="33"/>
            <w:noWrap/>
            <w:vAlign w:val="center"/>
            <w:hideMark/>
          </w:tcPr>
          <w:p w14:paraId="0FA7BA82" w14:textId="77777777" w:rsidR="009C3C01" w:rsidRPr="009C3C01" w:rsidRDefault="009C3C01" w:rsidP="0011747A">
            <w:pPr>
              <w:spacing w:after="0"/>
              <w:ind w:left="615"/>
              <w:rPr>
                <w:rFonts w:eastAsia="Times New Roman"/>
                <w:sz w:val="20"/>
                <w:szCs w:val="20"/>
                <w:lang w:eastAsia="en-AU"/>
              </w:rPr>
            </w:pPr>
            <w:r w:rsidRPr="009C3C01">
              <w:rPr>
                <w:rFonts w:eastAsia="Times New Roman"/>
                <w:sz w:val="20"/>
                <w:szCs w:val="20"/>
                <w:lang w:eastAsia="en-AU"/>
              </w:rPr>
              <w:t>17</w:t>
            </w:r>
          </w:p>
        </w:tc>
        <w:tc>
          <w:tcPr>
            <w:tcW w:w="2551" w:type="dxa"/>
            <w:tcBorders>
              <w:left w:val="nil"/>
              <w:right w:val="nil"/>
            </w:tcBorders>
            <w:shd w:val="clear" w:color="auto" w:fill="E5E5E5" w:themeFill="background1" w:themeFillTint="33"/>
            <w:noWrap/>
            <w:vAlign w:val="center"/>
            <w:hideMark/>
          </w:tcPr>
          <w:p w14:paraId="30AAD54F" w14:textId="77777777" w:rsidR="009C3C01" w:rsidRPr="009C3C01" w:rsidRDefault="009C3C01" w:rsidP="0011747A">
            <w:pPr>
              <w:spacing w:after="0"/>
              <w:ind w:left="380"/>
              <w:rPr>
                <w:rFonts w:eastAsia="Times New Roman"/>
                <w:sz w:val="20"/>
                <w:szCs w:val="20"/>
                <w:lang w:eastAsia="en-AU"/>
              </w:rPr>
            </w:pPr>
            <w:r w:rsidRPr="009C3C01">
              <w:rPr>
                <w:rFonts w:eastAsia="Times New Roman"/>
                <w:sz w:val="20"/>
                <w:szCs w:val="20"/>
                <w:lang w:eastAsia="en-AU"/>
              </w:rPr>
              <w:t>20</w:t>
            </w:r>
          </w:p>
        </w:tc>
      </w:tr>
      <w:tr w:rsidR="009C3C01" w:rsidRPr="009C3C01" w14:paraId="45266B11" w14:textId="77777777" w:rsidTr="009B1CD0">
        <w:trPr>
          <w:cantSplit/>
          <w:trHeight w:hRule="exact" w:val="340"/>
        </w:trPr>
        <w:tc>
          <w:tcPr>
            <w:tcW w:w="3276" w:type="dxa"/>
            <w:tcBorders>
              <w:left w:val="nil"/>
              <w:bottom w:val="single" w:sz="4" w:space="0" w:color="auto"/>
              <w:right w:val="nil"/>
            </w:tcBorders>
            <w:shd w:val="clear" w:color="auto" w:fill="auto"/>
            <w:noWrap/>
            <w:vAlign w:val="center"/>
            <w:hideMark/>
          </w:tcPr>
          <w:p w14:paraId="5C1A7E22" w14:textId="77777777" w:rsidR="009C3C01" w:rsidRPr="009C3C01" w:rsidRDefault="009C3C01" w:rsidP="009C3C01">
            <w:pPr>
              <w:spacing w:after="0"/>
              <w:rPr>
                <w:rFonts w:eastAsia="Times New Roman"/>
                <w:sz w:val="20"/>
                <w:szCs w:val="20"/>
                <w:lang w:eastAsia="en-AU"/>
              </w:rPr>
            </w:pPr>
            <w:r w:rsidRPr="009C3C01">
              <w:rPr>
                <w:rFonts w:eastAsia="Times New Roman"/>
                <w:sz w:val="20"/>
                <w:szCs w:val="20"/>
                <w:lang w:eastAsia="en-AU"/>
              </w:rPr>
              <w:t>75</w:t>
            </w:r>
          </w:p>
        </w:tc>
        <w:tc>
          <w:tcPr>
            <w:tcW w:w="2835" w:type="dxa"/>
            <w:tcBorders>
              <w:left w:val="nil"/>
              <w:bottom w:val="single" w:sz="4" w:space="0" w:color="auto"/>
              <w:right w:val="nil"/>
            </w:tcBorders>
            <w:shd w:val="clear" w:color="auto" w:fill="auto"/>
            <w:noWrap/>
            <w:vAlign w:val="center"/>
            <w:hideMark/>
          </w:tcPr>
          <w:p w14:paraId="7F65C6DF" w14:textId="77777777" w:rsidR="009C3C01" w:rsidRPr="009C3C01" w:rsidRDefault="009C3C01" w:rsidP="0011747A">
            <w:pPr>
              <w:spacing w:after="0"/>
              <w:ind w:left="615"/>
              <w:rPr>
                <w:rFonts w:eastAsia="Times New Roman"/>
                <w:sz w:val="20"/>
                <w:szCs w:val="20"/>
                <w:lang w:eastAsia="en-AU"/>
              </w:rPr>
            </w:pPr>
            <w:r w:rsidRPr="009C3C01">
              <w:rPr>
                <w:rFonts w:eastAsia="Times New Roman"/>
                <w:sz w:val="20"/>
                <w:szCs w:val="20"/>
                <w:lang w:eastAsia="en-AU"/>
              </w:rPr>
              <w:t>29</w:t>
            </w:r>
          </w:p>
        </w:tc>
        <w:tc>
          <w:tcPr>
            <w:tcW w:w="2551" w:type="dxa"/>
            <w:tcBorders>
              <w:left w:val="nil"/>
              <w:bottom w:val="single" w:sz="4" w:space="0" w:color="auto"/>
              <w:right w:val="nil"/>
            </w:tcBorders>
            <w:shd w:val="clear" w:color="auto" w:fill="auto"/>
            <w:noWrap/>
            <w:vAlign w:val="center"/>
            <w:hideMark/>
          </w:tcPr>
          <w:p w14:paraId="7E8B681F" w14:textId="77777777" w:rsidR="009C3C01" w:rsidRPr="009C3C01" w:rsidRDefault="009C3C01" w:rsidP="0011747A">
            <w:pPr>
              <w:spacing w:after="0"/>
              <w:ind w:left="380"/>
              <w:rPr>
                <w:rFonts w:eastAsia="Times New Roman"/>
                <w:sz w:val="20"/>
                <w:szCs w:val="20"/>
                <w:lang w:eastAsia="en-AU"/>
              </w:rPr>
            </w:pPr>
            <w:r w:rsidRPr="009C3C01">
              <w:rPr>
                <w:rFonts w:eastAsia="Times New Roman"/>
                <w:sz w:val="20"/>
                <w:szCs w:val="20"/>
                <w:lang w:eastAsia="en-AU"/>
              </w:rPr>
              <w:t>42</w:t>
            </w:r>
          </w:p>
        </w:tc>
      </w:tr>
    </w:tbl>
    <w:p w14:paraId="6DE6441D" w14:textId="77777777" w:rsidR="00940332" w:rsidRPr="009C3C01" w:rsidRDefault="00940332" w:rsidP="00940332">
      <w:pPr>
        <w:pStyle w:val="Notes"/>
      </w:pPr>
      <w:r w:rsidRPr="00940332">
        <w:rPr>
          <w:b/>
        </w:rPr>
        <w:t>Note</w:t>
      </w:r>
      <w:r>
        <w:t>:</w:t>
      </w:r>
      <w:r>
        <w:tab/>
      </w:r>
      <w:r w:rsidRPr="001F28F1">
        <w:t>Refer</w:t>
      </w:r>
      <w:r w:rsidRPr="001F28F1">
        <w:rPr>
          <w:rStyle w:val="NotesChar"/>
        </w:rPr>
        <w:t xml:space="preserve"> </w:t>
      </w:r>
      <w:hyperlink w:anchor="Title_A220" w:history="1">
        <w:r w:rsidRPr="005F1335">
          <w:rPr>
            <w:rStyle w:val="Hyperlink"/>
          </w:rPr>
          <w:t>Appendix</w:t>
        </w:r>
        <w:r w:rsidRPr="005F1335">
          <w:rPr>
            <w:rStyle w:val="Hyperlink"/>
            <w:rFonts w:eastAsiaTheme="minorEastAsia"/>
          </w:rPr>
          <w:t xml:space="preserve"> A</w:t>
        </w:r>
        <w:r w:rsidR="000748CA" w:rsidRPr="005F1335">
          <w:rPr>
            <w:rStyle w:val="Hyperlink"/>
            <w:rFonts w:eastAsiaTheme="minorEastAsia"/>
          </w:rPr>
          <w:t>2</w:t>
        </w:r>
        <w:r w:rsidRPr="005F1335">
          <w:rPr>
            <w:rStyle w:val="Hyperlink"/>
            <w:rFonts w:eastAsiaTheme="minorEastAsia"/>
          </w:rPr>
          <w:t>, Table A2.20</w:t>
        </w:r>
      </w:hyperlink>
      <w:r>
        <w:rPr>
          <w:rStyle w:val="NotesChar"/>
          <w:rFonts w:eastAsiaTheme="minorEastAsia"/>
        </w:rPr>
        <w:t>.</w:t>
      </w:r>
      <w:bookmarkStart w:id="288" w:name="Place_A220"/>
      <w:bookmarkEnd w:id="288"/>
    </w:p>
    <w:p w14:paraId="35CFFDAE" w14:textId="77777777" w:rsidR="008338FF" w:rsidRPr="004D4671" w:rsidRDefault="008338FF" w:rsidP="0033478B">
      <w:pPr>
        <w:pStyle w:val="Source"/>
        <w:rPr>
          <w:rFonts w:eastAsia="Times New Roman"/>
          <w:lang w:eastAsia="en-AU"/>
        </w:rPr>
      </w:pPr>
      <w:r w:rsidRPr="009C3C01">
        <w:rPr>
          <w:b/>
        </w:rPr>
        <w:t>Source:</w:t>
      </w:r>
      <w:r w:rsidRPr="009C3C01">
        <w:rPr>
          <w:rFonts w:eastAsia="Times New Roman"/>
          <w:lang w:eastAsia="en-AU"/>
        </w:rPr>
        <w:t xml:space="preserve"> </w:t>
      </w:r>
      <w:r w:rsidRPr="009C3C01">
        <w:rPr>
          <w:rFonts w:eastAsia="Times New Roman"/>
          <w:lang w:eastAsia="en-AU"/>
        </w:rPr>
        <w:tab/>
      </w:r>
      <w:r w:rsidRPr="004D4671">
        <w:rPr>
          <w:rFonts w:eastAsia="Times New Roman"/>
          <w:lang w:eastAsia="en-AU"/>
        </w:rPr>
        <w:t>Department of Employment administrative data.</w:t>
      </w:r>
    </w:p>
    <w:p w14:paraId="0743BA7B" w14:textId="77777777" w:rsidR="009C3C01" w:rsidRPr="009C3C01" w:rsidRDefault="009C3C01" w:rsidP="009C3C01">
      <w:pPr>
        <w:rPr>
          <w:rFonts w:eastAsia="Times New Roman"/>
          <w:lang w:eastAsia="en-AU"/>
        </w:rPr>
      </w:pPr>
      <w:r w:rsidRPr="00904C78">
        <w:rPr>
          <w:rFonts w:eastAsia="Times New Roman"/>
          <w:lang w:eastAsia="en-AU"/>
        </w:rPr>
        <w:t xml:space="preserve">Figure </w:t>
      </w:r>
      <w:r w:rsidR="00904C78" w:rsidRPr="00904C78">
        <w:rPr>
          <w:rFonts w:eastAsia="Times New Roman"/>
          <w:lang w:eastAsia="en-AU"/>
        </w:rPr>
        <w:t>4.</w:t>
      </w:r>
      <w:r w:rsidR="00BF6DE1">
        <w:rPr>
          <w:rFonts w:eastAsia="Times New Roman"/>
          <w:lang w:eastAsia="en-AU"/>
        </w:rPr>
        <w:t>4</w:t>
      </w:r>
      <w:r w:rsidRPr="00904C78">
        <w:rPr>
          <w:rFonts w:eastAsia="Times New Roman"/>
          <w:lang w:eastAsia="en-AU"/>
        </w:rPr>
        <w:t xml:space="preserve"> shows</w:t>
      </w:r>
      <w:r w:rsidRPr="009C3C01">
        <w:rPr>
          <w:rFonts w:eastAsia="Times New Roman"/>
          <w:lang w:eastAsia="en-AU"/>
        </w:rPr>
        <w:t xml:space="preserve"> the probability that job seekers would exit in any given week</w:t>
      </w:r>
      <w:r w:rsidR="00A1052F">
        <w:rPr>
          <w:rFonts w:eastAsia="Times New Roman"/>
          <w:lang w:eastAsia="en-AU"/>
        </w:rPr>
        <w:t xml:space="preserve"> (assuming they were in service at the start of the week)</w:t>
      </w:r>
      <w:r w:rsidRPr="009C3C01">
        <w:rPr>
          <w:rFonts w:eastAsia="Times New Roman"/>
          <w:lang w:eastAsia="en-AU"/>
        </w:rPr>
        <w:t xml:space="preserve">. After </w:t>
      </w:r>
      <w:r w:rsidR="00BF6DE1">
        <w:rPr>
          <w:rFonts w:eastAsia="Times New Roman"/>
          <w:lang w:eastAsia="en-AU"/>
        </w:rPr>
        <w:t>w</w:t>
      </w:r>
      <w:r w:rsidRPr="009C3C01">
        <w:rPr>
          <w:rFonts w:eastAsia="Times New Roman"/>
          <w:lang w:eastAsia="en-AU"/>
        </w:rPr>
        <w:t>eek seven</w:t>
      </w:r>
      <w:r w:rsidR="00BF6DE1">
        <w:rPr>
          <w:rFonts w:eastAsia="Times New Roman"/>
          <w:lang w:eastAsia="en-AU"/>
        </w:rPr>
        <w:t>,</w:t>
      </w:r>
      <w:r w:rsidRPr="009C3C01">
        <w:rPr>
          <w:rFonts w:eastAsia="Times New Roman"/>
          <w:lang w:eastAsia="en-AU"/>
        </w:rPr>
        <w:t xml:space="preserve"> job seekers in JSA 2009 were more likely to exit in any given week than those under JSA 2012. Prior to </w:t>
      </w:r>
      <w:r w:rsidR="00BF6DE1">
        <w:rPr>
          <w:rFonts w:eastAsia="Times New Roman"/>
          <w:lang w:eastAsia="en-AU"/>
        </w:rPr>
        <w:t>w</w:t>
      </w:r>
      <w:r w:rsidRPr="009C3C01">
        <w:rPr>
          <w:rFonts w:eastAsia="Times New Roman"/>
          <w:lang w:eastAsia="en-AU"/>
        </w:rPr>
        <w:t>eek seven the results are mixed.</w:t>
      </w:r>
    </w:p>
    <w:p w14:paraId="4C55B1FC" w14:textId="7CE56386" w:rsidR="0062144E" w:rsidRDefault="009C3C01" w:rsidP="0062144E">
      <w:pPr>
        <w:suppressAutoHyphens/>
        <w:autoSpaceDE w:val="0"/>
        <w:autoSpaceDN w:val="0"/>
        <w:adjustRightInd w:val="0"/>
        <w:spacing w:after="120"/>
        <w:textAlignment w:val="center"/>
        <w:rPr>
          <w:rFonts w:eastAsia="Times New Roman" w:cs="Garamond"/>
          <w:color w:val="000000"/>
          <w:lang w:val="en-GB"/>
        </w:rPr>
      </w:pPr>
      <w:r w:rsidRPr="009C3C01">
        <w:rPr>
          <w:rFonts w:eastAsia="Times New Roman" w:cs="Garamond"/>
          <w:color w:val="000000"/>
          <w:lang w:val="en-GB"/>
        </w:rPr>
        <w:t>Previous studies have shown that referring job seekers to a programme or activity often results in a compliance</w:t>
      </w:r>
      <w:r w:rsidR="00645724">
        <w:rPr>
          <w:rFonts w:eastAsia="Times New Roman" w:cs="Garamond"/>
          <w:color w:val="000000"/>
          <w:lang w:val="en-GB"/>
        </w:rPr>
        <w:t xml:space="preserve"> or threat</w:t>
      </w:r>
      <w:r w:rsidRPr="009C3C01">
        <w:rPr>
          <w:rFonts w:eastAsia="Times New Roman" w:cs="Garamond"/>
          <w:color w:val="000000"/>
          <w:lang w:val="en-GB"/>
        </w:rPr>
        <w:t xml:space="preserve"> effect</w:t>
      </w:r>
      <w:r w:rsidR="0062144E">
        <w:rPr>
          <w:rFonts w:eastAsia="Times New Roman" w:cs="Garamond"/>
          <w:color w:val="000000"/>
          <w:lang w:val="en-GB"/>
        </w:rPr>
        <w:t xml:space="preserve"> whereby </w:t>
      </w:r>
      <w:r w:rsidRPr="009C3C01">
        <w:rPr>
          <w:rFonts w:eastAsia="Times New Roman" w:cs="Garamond"/>
          <w:color w:val="000000"/>
          <w:lang w:val="en-GB"/>
        </w:rPr>
        <w:t>job seekers either increase their job search efforts or report pre-existing employment in order to avoid the programme or activity.</w:t>
      </w:r>
      <w:r w:rsidR="00645724">
        <w:rPr>
          <w:rStyle w:val="FootnoteReference"/>
          <w:rFonts w:eastAsia="Times New Roman" w:cs="Garamond"/>
          <w:color w:val="000000"/>
          <w:lang w:val="en-GB"/>
        </w:rPr>
        <w:footnoteReference w:id="33"/>
      </w:r>
    </w:p>
    <w:p w14:paraId="0E99FE52" w14:textId="77777777" w:rsidR="0062144E" w:rsidRPr="009C3C01" w:rsidRDefault="0062144E" w:rsidP="0062144E">
      <w:pPr>
        <w:suppressAutoHyphens/>
        <w:autoSpaceDE w:val="0"/>
        <w:autoSpaceDN w:val="0"/>
        <w:adjustRightInd w:val="0"/>
        <w:spacing w:after="120"/>
        <w:textAlignment w:val="center"/>
        <w:rPr>
          <w:rFonts w:eastAsia="Times New Roman" w:cs="Garamond"/>
          <w:color w:val="000000"/>
          <w:lang w:val="en-GB"/>
        </w:rPr>
      </w:pPr>
      <w:r w:rsidRPr="009C3C01">
        <w:rPr>
          <w:rFonts w:eastAsia="Times New Roman" w:cs="Garamond"/>
          <w:color w:val="000000"/>
          <w:lang w:val="en-GB"/>
        </w:rPr>
        <w:t xml:space="preserve">By </w:t>
      </w:r>
      <w:r w:rsidR="007B1020">
        <w:rPr>
          <w:rFonts w:eastAsia="Times New Roman" w:cs="Garamond"/>
          <w:color w:val="000000"/>
          <w:lang w:val="en-GB"/>
        </w:rPr>
        <w:t>w</w:t>
      </w:r>
      <w:r w:rsidRPr="009C3C01">
        <w:rPr>
          <w:rFonts w:eastAsia="Times New Roman" w:cs="Garamond"/>
          <w:color w:val="000000"/>
          <w:lang w:val="en-GB"/>
        </w:rPr>
        <w:t xml:space="preserve">eek 13 similar proportions of the Stream 1 servicing study populations had left service for both models (33 per cent for JSA 2009 and 30 per cent for JSA 2012). By </w:t>
      </w:r>
      <w:r w:rsidR="00B97AB7">
        <w:rPr>
          <w:rFonts w:eastAsia="Times New Roman" w:cs="Garamond"/>
          <w:color w:val="000000"/>
          <w:lang w:val="en-GB"/>
        </w:rPr>
        <w:t>w</w:t>
      </w:r>
      <w:r w:rsidRPr="009C3C01">
        <w:rPr>
          <w:rFonts w:eastAsia="Times New Roman" w:cs="Garamond"/>
          <w:color w:val="000000"/>
          <w:lang w:val="en-GB"/>
        </w:rPr>
        <w:t>eek 17 (the JSA 2009 Intensive Activity deadline), a further 18 per cent had left JSA 2009 compared with 13 per cent who had left JSA 2012.</w:t>
      </w:r>
    </w:p>
    <w:p w14:paraId="44BE473C" w14:textId="77777777" w:rsidR="0062144E" w:rsidRPr="009C3C01" w:rsidRDefault="0062144E" w:rsidP="0062144E">
      <w:pPr>
        <w:suppressAutoHyphens/>
        <w:autoSpaceDE w:val="0"/>
        <w:autoSpaceDN w:val="0"/>
        <w:adjustRightInd w:val="0"/>
        <w:spacing w:after="120"/>
        <w:textAlignment w:val="center"/>
        <w:rPr>
          <w:rFonts w:eastAsia="Times New Roman" w:cs="Garamond"/>
          <w:color w:val="000000"/>
          <w:lang w:val="en-GB"/>
        </w:rPr>
      </w:pPr>
      <w:r w:rsidRPr="009C3C01">
        <w:rPr>
          <w:rFonts w:eastAsia="Times New Roman" w:cs="Garamond"/>
          <w:color w:val="000000"/>
          <w:lang w:val="en-GB"/>
        </w:rPr>
        <w:t xml:space="preserve">The sharp rise in the conditional probability of exit for JSA 2009 around </w:t>
      </w:r>
      <w:r w:rsidR="00B97AB7">
        <w:rPr>
          <w:rFonts w:eastAsia="Times New Roman" w:cs="Garamond"/>
          <w:color w:val="000000"/>
          <w:lang w:val="en-GB"/>
        </w:rPr>
        <w:t>w</w:t>
      </w:r>
      <w:r w:rsidRPr="009C3C01">
        <w:rPr>
          <w:rFonts w:eastAsia="Times New Roman" w:cs="Garamond"/>
          <w:color w:val="000000"/>
          <w:lang w:val="en-GB"/>
        </w:rPr>
        <w:t>eek 13 likely represent</w:t>
      </w:r>
      <w:r w:rsidR="00BF6DE1">
        <w:rPr>
          <w:rFonts w:eastAsia="Times New Roman" w:cs="Garamond"/>
          <w:color w:val="000000"/>
          <w:lang w:val="en-GB"/>
        </w:rPr>
        <w:t>s</w:t>
      </w:r>
      <w:r w:rsidRPr="009C3C01">
        <w:rPr>
          <w:rFonts w:eastAsia="Times New Roman" w:cs="Garamond"/>
          <w:color w:val="000000"/>
          <w:lang w:val="en-GB"/>
        </w:rPr>
        <w:t xml:space="preserve"> the programme effect as </w:t>
      </w:r>
      <w:r w:rsidR="0078146E">
        <w:rPr>
          <w:rFonts w:eastAsia="Times New Roman" w:cs="Garamond"/>
          <w:color w:val="000000"/>
          <w:lang w:val="en-GB"/>
        </w:rPr>
        <w:t xml:space="preserve">Stream 1 </w:t>
      </w:r>
      <w:r w:rsidRPr="009C3C01">
        <w:rPr>
          <w:rFonts w:eastAsia="Times New Roman" w:cs="Garamond"/>
          <w:color w:val="000000"/>
          <w:lang w:val="en-GB"/>
        </w:rPr>
        <w:t xml:space="preserve">job seekers move from DHS to JSA servicing. The fact that the increased level of conditional probability of exit remains through to </w:t>
      </w:r>
      <w:r w:rsidR="00B97AB7">
        <w:rPr>
          <w:rFonts w:eastAsia="Times New Roman" w:cs="Garamond"/>
          <w:color w:val="000000"/>
          <w:lang w:val="en-GB"/>
        </w:rPr>
        <w:t>w</w:t>
      </w:r>
      <w:r w:rsidRPr="009C3C01">
        <w:rPr>
          <w:rFonts w:eastAsia="Times New Roman" w:cs="Garamond"/>
          <w:color w:val="000000"/>
          <w:lang w:val="en-GB"/>
        </w:rPr>
        <w:t xml:space="preserve">eek 17 in JSA 2009 indicates a </w:t>
      </w:r>
      <w:r w:rsidR="008F7468">
        <w:rPr>
          <w:rFonts w:eastAsia="Times New Roman" w:cs="Garamond"/>
          <w:color w:val="000000"/>
          <w:lang w:val="en-GB"/>
        </w:rPr>
        <w:t>referral</w:t>
      </w:r>
      <w:r w:rsidRPr="009C3C01">
        <w:rPr>
          <w:rFonts w:eastAsia="Times New Roman" w:cs="Garamond"/>
          <w:color w:val="000000"/>
          <w:lang w:val="en-GB"/>
        </w:rPr>
        <w:t xml:space="preserve"> effect of the impending Intensive Activity.</w:t>
      </w:r>
    </w:p>
    <w:p w14:paraId="52BFB285" w14:textId="77777777" w:rsidR="0062144E" w:rsidRPr="009C3C01" w:rsidRDefault="0078146E" w:rsidP="0062144E">
      <w:pPr>
        <w:rPr>
          <w:rFonts w:eastAsia="Times New Roman"/>
        </w:rPr>
      </w:pPr>
      <w:r>
        <w:rPr>
          <w:rFonts w:eastAsia="Times New Roman"/>
        </w:rPr>
        <w:t>By</w:t>
      </w:r>
      <w:r w:rsidR="0062144E" w:rsidRPr="009C3C01">
        <w:rPr>
          <w:rFonts w:eastAsia="Times New Roman"/>
        </w:rPr>
        <w:t xml:space="preserve"> contrast the less dramatic rise at </w:t>
      </w:r>
      <w:r w:rsidR="00B97AB7">
        <w:rPr>
          <w:rFonts w:eastAsia="Times New Roman"/>
        </w:rPr>
        <w:t>w</w:t>
      </w:r>
      <w:r w:rsidR="0062144E" w:rsidRPr="009C3C01">
        <w:rPr>
          <w:rFonts w:eastAsia="Times New Roman"/>
        </w:rPr>
        <w:t>eek 13 for JSA 2012 is indicative of the JSA programme effect alone.</w:t>
      </w:r>
      <w:r w:rsidR="0062144E" w:rsidRPr="009C3C01" w:rsidDel="00917F00">
        <w:rPr>
          <w:rFonts w:eastAsia="Times New Roman"/>
        </w:rPr>
        <w:t xml:space="preserve"> </w:t>
      </w:r>
      <w:r w:rsidR="0062144E" w:rsidRPr="009C3C01">
        <w:rPr>
          <w:rFonts w:eastAsia="Times New Roman"/>
        </w:rPr>
        <w:t xml:space="preserve">Two possible explanations </w:t>
      </w:r>
      <w:r>
        <w:rPr>
          <w:rFonts w:eastAsia="Times New Roman"/>
        </w:rPr>
        <w:t>for</w:t>
      </w:r>
      <w:r w:rsidR="0062144E" w:rsidRPr="009C3C01">
        <w:rPr>
          <w:rFonts w:eastAsia="Times New Roman"/>
        </w:rPr>
        <w:t xml:space="preserve"> the lack of a </w:t>
      </w:r>
      <w:r w:rsidR="00750FA4" w:rsidRPr="009C3C01">
        <w:rPr>
          <w:rFonts w:eastAsia="Times New Roman"/>
        </w:rPr>
        <w:t>discernible</w:t>
      </w:r>
      <w:r w:rsidR="0062144E" w:rsidRPr="009C3C01">
        <w:rPr>
          <w:rFonts w:eastAsia="Times New Roman"/>
        </w:rPr>
        <w:t xml:space="preserve"> compliance effect for Intensive Activity requirements for JSA 2012 are:</w:t>
      </w:r>
    </w:p>
    <w:p w14:paraId="1F307D79" w14:textId="77777777" w:rsidR="0062144E" w:rsidRPr="001141E4" w:rsidRDefault="0062144E" w:rsidP="00B27013">
      <w:pPr>
        <w:pStyle w:val="ListParagraph"/>
        <w:rPr>
          <w:rFonts w:eastAsia="Times New Roman"/>
        </w:rPr>
      </w:pPr>
      <w:r w:rsidRPr="001141E4">
        <w:rPr>
          <w:rFonts w:eastAsia="Times New Roman"/>
        </w:rPr>
        <w:t xml:space="preserve">firstly, by </w:t>
      </w:r>
      <w:r w:rsidR="00B97AB7" w:rsidRPr="001141E4">
        <w:rPr>
          <w:rFonts w:eastAsia="Times New Roman"/>
        </w:rPr>
        <w:t>w</w:t>
      </w:r>
      <w:r w:rsidRPr="001141E4">
        <w:rPr>
          <w:rFonts w:eastAsia="Times New Roman"/>
        </w:rPr>
        <w:t>eek 30 (the timing of Intensive Activity for JSA 2012) those job seekers who have employment, or can easily gain it, have already left</w:t>
      </w:r>
    </w:p>
    <w:p w14:paraId="224A46AD" w14:textId="77777777" w:rsidR="0062144E" w:rsidRPr="001141E4" w:rsidRDefault="006828AA" w:rsidP="00B27013">
      <w:pPr>
        <w:pStyle w:val="ListParagraph"/>
        <w:rPr>
          <w:rFonts w:eastAsia="Times New Roman"/>
        </w:rPr>
      </w:pPr>
      <w:r>
        <w:rPr>
          <w:rFonts w:eastAsia="Times New Roman"/>
        </w:rPr>
        <w:t>secondly, the reduction in the I</w:t>
      </w:r>
      <w:r w:rsidR="0062144E" w:rsidRPr="001141E4">
        <w:rPr>
          <w:rFonts w:eastAsia="Times New Roman"/>
        </w:rPr>
        <w:t>ntensity of Activity requirements from 60 to 25 hours for job seekers in JSA 2012 would result in a greatly reduced compliance effect.</w:t>
      </w:r>
    </w:p>
    <w:p w14:paraId="16862BC6" w14:textId="77777777" w:rsidR="009C3C01" w:rsidRDefault="009C3C01" w:rsidP="005172B5">
      <w:pPr>
        <w:pStyle w:val="Figureheadingforcontents"/>
        <w:rPr>
          <w:rFonts w:eastAsiaTheme="majorEastAsia"/>
        </w:rPr>
      </w:pPr>
      <w:bookmarkStart w:id="289" w:name="_Toc410313456"/>
      <w:bookmarkStart w:id="290" w:name="_Toc22544037"/>
      <w:bookmarkStart w:id="291" w:name="_Toc436400154"/>
      <w:bookmarkStart w:id="292" w:name="_Toc436400284"/>
      <w:bookmarkStart w:id="293" w:name="_Toc443152026"/>
      <w:r w:rsidRPr="00904C78">
        <w:rPr>
          <w:rFonts w:eastAsiaTheme="majorEastAsia"/>
        </w:rPr>
        <w:t xml:space="preserve">Figure </w:t>
      </w:r>
      <w:r w:rsidR="00904C78" w:rsidRPr="00904C78">
        <w:rPr>
          <w:rFonts w:eastAsiaTheme="majorEastAsia"/>
        </w:rPr>
        <w:t>4</w:t>
      </w:r>
      <w:r w:rsidRPr="00904C78">
        <w:rPr>
          <w:rFonts w:eastAsiaTheme="majorEastAsia"/>
        </w:rPr>
        <w:t>.</w:t>
      </w:r>
      <w:r w:rsidR="00BF6DE1">
        <w:rPr>
          <w:rFonts w:eastAsiaTheme="majorEastAsia"/>
        </w:rPr>
        <w:t>4</w:t>
      </w:r>
      <w:r w:rsidRPr="00904C78">
        <w:rPr>
          <w:rFonts w:eastAsiaTheme="majorEastAsia"/>
        </w:rPr>
        <w:t>:</w:t>
      </w:r>
      <w:r w:rsidR="003C29A5">
        <w:rPr>
          <w:rFonts w:eastAsiaTheme="majorEastAsia"/>
        </w:rPr>
        <w:t xml:space="preserve"> </w:t>
      </w:r>
      <w:r w:rsidRPr="009C3C01">
        <w:rPr>
          <w:rFonts w:eastAsiaTheme="majorEastAsia"/>
        </w:rPr>
        <w:t>Conditional probability of leaving service in a given week, 2009 and 2012 Stream 1 servicing</w:t>
      </w:r>
      <w:r w:rsidRPr="009C3C01">
        <w:t xml:space="preserve"> </w:t>
      </w:r>
      <w:r w:rsidRPr="009C3C01">
        <w:rPr>
          <w:rFonts w:eastAsiaTheme="majorEastAsia"/>
        </w:rPr>
        <w:t>study populations</w:t>
      </w:r>
      <w:bookmarkEnd w:id="289"/>
      <w:bookmarkEnd w:id="290"/>
      <w:r w:rsidR="00D70D28">
        <w:rPr>
          <w:rFonts w:eastAsiaTheme="majorEastAsia"/>
        </w:rPr>
        <w:t xml:space="preserve"> </w:t>
      </w:r>
      <w:bookmarkEnd w:id="291"/>
      <w:bookmarkEnd w:id="292"/>
      <w:bookmarkEnd w:id="293"/>
    </w:p>
    <w:p w14:paraId="344A0500" w14:textId="77777777" w:rsidR="00940332" w:rsidRPr="009C3C01" w:rsidRDefault="008E0468" w:rsidP="00940332">
      <w:pPr>
        <w:pStyle w:val="Notes"/>
      </w:pPr>
      <w:r w:rsidRPr="008E0468">
        <w:rPr>
          <w:noProof/>
          <w:lang w:val="en-AU" w:eastAsia="en-AU"/>
        </w:rPr>
        <w:drawing>
          <wp:inline distT="0" distB="0" distL="0" distR="0" wp14:anchorId="6379AD44" wp14:editId="4DF8F11B">
            <wp:extent cx="5732145" cy="3804688"/>
            <wp:effectExtent l="0" t="0" r="1905" b="5715"/>
            <wp:docPr id="11" name="Picture 11" descr="Line chart showing that after week seven, job seekers in JSA 2009 were more likely to exit in any given week than those under JSA 2012. There is a sharp rise in the conditional probability of exit for JSA 2009 around week 13 and a far less dramatic rise at week 13 for JSA 2012.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2145" cy="3804688"/>
                    </a:xfrm>
                    <a:prstGeom prst="rect">
                      <a:avLst/>
                    </a:prstGeom>
                    <a:noFill/>
                    <a:ln>
                      <a:noFill/>
                    </a:ln>
                  </pic:spPr>
                </pic:pic>
              </a:graphicData>
            </a:graphic>
          </wp:inline>
        </w:drawing>
      </w:r>
      <w:r w:rsidR="00940332" w:rsidRPr="00940332">
        <w:rPr>
          <w:b/>
        </w:rPr>
        <w:t>Note</w:t>
      </w:r>
      <w:r w:rsidR="00940332">
        <w:t>:</w:t>
      </w:r>
      <w:r w:rsidR="00940332">
        <w:tab/>
      </w:r>
      <w:r w:rsidR="00940332" w:rsidRPr="001F28F1">
        <w:t>Refer</w:t>
      </w:r>
      <w:r w:rsidR="00940332" w:rsidRPr="001F28F1">
        <w:rPr>
          <w:rStyle w:val="NotesChar"/>
        </w:rPr>
        <w:t xml:space="preserve"> </w:t>
      </w:r>
      <w:hyperlink w:anchor="Title_A221" w:history="1">
        <w:r w:rsidR="00940332" w:rsidRPr="005F1335">
          <w:rPr>
            <w:rStyle w:val="Hyperlink"/>
          </w:rPr>
          <w:t>Appendix</w:t>
        </w:r>
        <w:r w:rsidR="00940332" w:rsidRPr="005F1335">
          <w:rPr>
            <w:rStyle w:val="Hyperlink"/>
            <w:rFonts w:eastAsiaTheme="minorEastAsia"/>
          </w:rPr>
          <w:t xml:space="preserve"> A</w:t>
        </w:r>
        <w:r w:rsidR="000748CA" w:rsidRPr="005F1335">
          <w:rPr>
            <w:rStyle w:val="Hyperlink"/>
            <w:rFonts w:eastAsiaTheme="minorEastAsia"/>
          </w:rPr>
          <w:t>2</w:t>
        </w:r>
        <w:r w:rsidR="00940332" w:rsidRPr="005F1335">
          <w:rPr>
            <w:rStyle w:val="Hyperlink"/>
            <w:rFonts w:eastAsiaTheme="minorEastAsia"/>
          </w:rPr>
          <w:t>, Table A2.21</w:t>
        </w:r>
      </w:hyperlink>
      <w:r w:rsidR="00940332">
        <w:rPr>
          <w:rStyle w:val="NotesChar"/>
          <w:rFonts w:eastAsiaTheme="minorEastAsia"/>
        </w:rPr>
        <w:t>.</w:t>
      </w:r>
      <w:bookmarkStart w:id="294" w:name="Place_A221"/>
      <w:bookmarkEnd w:id="294"/>
    </w:p>
    <w:p w14:paraId="16AEA213" w14:textId="77777777" w:rsidR="008338FF" w:rsidRPr="009C3C01" w:rsidRDefault="008338FF" w:rsidP="0019430D">
      <w:pPr>
        <w:pStyle w:val="Source"/>
        <w:rPr>
          <w:rFonts w:eastAsia="Times New Roman"/>
          <w:lang w:eastAsia="en-AU"/>
        </w:rPr>
      </w:pPr>
      <w:r w:rsidRPr="00EC5DCC">
        <w:rPr>
          <w:b/>
        </w:rPr>
        <w:t>Source:</w:t>
      </w:r>
      <w:r>
        <w:rPr>
          <w:b/>
        </w:rPr>
        <w:tab/>
      </w:r>
      <w:r w:rsidRPr="00EC5DCC">
        <w:rPr>
          <w:rFonts w:eastAsia="Times New Roman"/>
          <w:lang w:eastAsia="en-AU"/>
        </w:rPr>
        <w:t>Department of Employment administrative data.</w:t>
      </w:r>
    </w:p>
    <w:p w14:paraId="448C7AE9" w14:textId="77777777" w:rsidR="009C3C01" w:rsidRPr="009C3C01" w:rsidRDefault="009C3C01" w:rsidP="009C3C01">
      <w:pPr>
        <w:suppressAutoHyphens/>
        <w:autoSpaceDE w:val="0"/>
        <w:autoSpaceDN w:val="0"/>
        <w:adjustRightInd w:val="0"/>
        <w:spacing w:before="240" w:after="120"/>
        <w:textAlignment w:val="center"/>
        <w:rPr>
          <w:rFonts w:eastAsia="Times New Roman" w:cs="Garamond"/>
          <w:color w:val="000000"/>
          <w:lang w:val="en-GB"/>
        </w:rPr>
      </w:pPr>
      <w:r w:rsidRPr="009C3C01">
        <w:rPr>
          <w:rFonts w:eastAsia="Times New Roman" w:cs="Garamond"/>
          <w:color w:val="000000"/>
          <w:lang w:val="en-GB"/>
        </w:rPr>
        <w:t xml:space="preserve">In conclusion, a peak in exits occurs at the changeover point from DHS to JSA provider servicing in </w:t>
      </w:r>
      <w:r w:rsidR="00B97AB7">
        <w:rPr>
          <w:rFonts w:eastAsia="Times New Roman" w:cs="Garamond"/>
          <w:color w:val="000000"/>
          <w:lang w:val="en-GB"/>
        </w:rPr>
        <w:t>w</w:t>
      </w:r>
      <w:r w:rsidRPr="009C3C01">
        <w:rPr>
          <w:rFonts w:eastAsia="Times New Roman" w:cs="Garamond"/>
          <w:color w:val="000000"/>
          <w:lang w:val="en-GB"/>
        </w:rPr>
        <w:t>eek 13 for both models. Compliance effects are only evident for Intensive Activities in the JSA 2009 model.</w:t>
      </w:r>
    </w:p>
    <w:p w14:paraId="5C540579" w14:textId="77777777" w:rsidR="009C3C01" w:rsidRPr="009C3C01" w:rsidRDefault="009C3C01" w:rsidP="009C3C01">
      <w:pPr>
        <w:rPr>
          <w:rFonts w:eastAsiaTheme="majorEastAsia"/>
        </w:rPr>
      </w:pPr>
      <w:r w:rsidRPr="009C3C01">
        <w:rPr>
          <w:rFonts w:eastAsia="Times New Roman"/>
        </w:rPr>
        <w:t xml:space="preserve">The difference between the conditional probabilities of exit for the models after </w:t>
      </w:r>
      <w:r w:rsidR="00B97AB7">
        <w:rPr>
          <w:rFonts w:eastAsia="Times New Roman"/>
        </w:rPr>
        <w:t>w</w:t>
      </w:r>
      <w:r w:rsidRPr="009C3C01">
        <w:rPr>
          <w:rFonts w:eastAsia="Times New Roman"/>
        </w:rPr>
        <w:t>eek 17 (the area between the lines) shows a fairly consistent differential of programme effects.</w:t>
      </w:r>
    </w:p>
    <w:p w14:paraId="1E62E214" w14:textId="77777777" w:rsidR="0062144E" w:rsidRDefault="0062144E" w:rsidP="00645724">
      <w:pPr>
        <w:pStyle w:val="Heading4"/>
      </w:pPr>
      <w:r>
        <w:t>Time in service (regressed)</w:t>
      </w:r>
    </w:p>
    <w:p w14:paraId="5287DB0D" w14:textId="77777777" w:rsidR="009C3C01" w:rsidRPr="009C3C01" w:rsidRDefault="009C3C01" w:rsidP="009C3C01">
      <w:pPr>
        <w:rPr>
          <w:rFonts w:eastAsiaTheme="majorEastAsia"/>
        </w:rPr>
      </w:pPr>
      <w:r w:rsidRPr="009C3C01">
        <w:rPr>
          <w:rFonts w:eastAsiaTheme="majorEastAsia"/>
        </w:rPr>
        <w:t>The median time to exit for an average (reference type</w:t>
      </w:r>
      <w:r w:rsidRPr="00B52FEF">
        <w:rPr>
          <w:rStyle w:val="FootnoteReference"/>
        </w:rPr>
        <w:footnoteReference w:id="34"/>
      </w:r>
      <w:r w:rsidRPr="009C3C01">
        <w:rPr>
          <w:rFonts w:eastAsiaTheme="majorEastAsia"/>
        </w:rPr>
        <w:t xml:space="preserve">) </w:t>
      </w:r>
      <w:r w:rsidR="0078146E" w:rsidRPr="009C3C01">
        <w:rPr>
          <w:rFonts w:eastAsiaTheme="majorEastAsia"/>
        </w:rPr>
        <w:t xml:space="preserve">job seeker </w:t>
      </w:r>
      <w:r w:rsidRPr="009C3C01">
        <w:rPr>
          <w:rFonts w:eastAsiaTheme="majorEastAsia"/>
        </w:rPr>
        <w:t>in JSA 2009 was 109 days compared to 130 days in JSA 2012</w:t>
      </w:r>
      <w:r w:rsidR="00E62F74">
        <w:rPr>
          <w:rFonts w:eastAsiaTheme="majorEastAsia"/>
        </w:rPr>
        <w:t xml:space="preserve"> (</w:t>
      </w:r>
      <w:r w:rsidR="00BC7B26">
        <w:rPr>
          <w:rFonts w:eastAsiaTheme="majorEastAsia"/>
        </w:rPr>
        <w:t xml:space="preserve">Table 4.6 and </w:t>
      </w:r>
      <w:hyperlink w:anchor="Title_A222" w:history="1">
        <w:r w:rsidR="00E62F74" w:rsidRPr="005F1335">
          <w:rPr>
            <w:rStyle w:val="Hyperlink"/>
            <w:rFonts w:eastAsiaTheme="majorEastAsia"/>
          </w:rPr>
          <w:t>Table A2.</w:t>
        </w:r>
        <w:r w:rsidR="00940332" w:rsidRPr="005F1335">
          <w:rPr>
            <w:rStyle w:val="Hyperlink"/>
            <w:rFonts w:eastAsiaTheme="majorEastAsia"/>
          </w:rPr>
          <w:t>22</w:t>
        </w:r>
      </w:hyperlink>
      <w:r w:rsidR="00E62F74">
        <w:rPr>
          <w:rFonts w:eastAsiaTheme="majorEastAsia"/>
        </w:rPr>
        <w:t>)</w:t>
      </w:r>
      <w:r w:rsidRPr="009C3C01">
        <w:rPr>
          <w:rFonts w:eastAsiaTheme="majorEastAsia"/>
        </w:rPr>
        <w:t>.</w:t>
      </w:r>
      <w:bookmarkStart w:id="295" w:name="Place_A222"/>
      <w:bookmarkEnd w:id="295"/>
      <w:r w:rsidRPr="009C3C01">
        <w:rPr>
          <w:rFonts w:eastAsiaTheme="majorEastAsia"/>
        </w:rPr>
        <w:t xml:space="preserve"> The difference between these two median times is similar to that found using the unregressed time in service data.</w:t>
      </w:r>
    </w:p>
    <w:p w14:paraId="40EB6DFF" w14:textId="77777777" w:rsidR="009C3C01" w:rsidRPr="00C2452E" w:rsidRDefault="009C3C01" w:rsidP="00284FE6">
      <w:pPr>
        <w:pStyle w:val="Tableforcontents"/>
        <w:rPr>
          <w:rFonts w:eastAsiaTheme="majorEastAsia"/>
        </w:rPr>
      </w:pPr>
      <w:bookmarkStart w:id="296" w:name="_Toc410313440"/>
      <w:bookmarkStart w:id="297" w:name="_Toc436142567"/>
      <w:bookmarkStart w:id="298" w:name="_Toc22543988"/>
      <w:r w:rsidRPr="00C2452E">
        <w:rPr>
          <w:rFonts w:eastAsiaTheme="majorEastAsia"/>
        </w:rPr>
        <w:t xml:space="preserve">Table </w:t>
      </w:r>
      <w:r w:rsidR="00904C78" w:rsidRPr="00C2452E">
        <w:rPr>
          <w:rFonts w:eastAsiaTheme="majorEastAsia"/>
        </w:rPr>
        <w:t>4</w:t>
      </w:r>
      <w:r w:rsidR="00CF00FC">
        <w:rPr>
          <w:rFonts w:eastAsiaTheme="majorEastAsia"/>
        </w:rPr>
        <w:t>.6:</w:t>
      </w:r>
      <w:r w:rsidR="003C29A5">
        <w:rPr>
          <w:rFonts w:eastAsiaTheme="majorEastAsia"/>
        </w:rPr>
        <w:t xml:space="preserve"> </w:t>
      </w:r>
      <w:r w:rsidRPr="00C2452E">
        <w:rPr>
          <w:rFonts w:eastAsiaTheme="majorEastAsia"/>
        </w:rPr>
        <w:t xml:space="preserve">Time in service for the reference </w:t>
      </w:r>
      <w:r w:rsidR="009245F1">
        <w:rPr>
          <w:rFonts w:eastAsiaTheme="majorEastAsia"/>
        </w:rPr>
        <w:t>type</w:t>
      </w:r>
      <w:r w:rsidR="009245F1" w:rsidRPr="00C2452E">
        <w:rPr>
          <w:rFonts w:eastAsiaTheme="majorEastAsia"/>
        </w:rPr>
        <w:t xml:space="preserve"> </w:t>
      </w:r>
      <w:r w:rsidRPr="00C2452E">
        <w:rPr>
          <w:rFonts w:eastAsiaTheme="majorEastAsia"/>
        </w:rPr>
        <w:t>job seeker, 2009 and 2012 Stream 1 servicing study</w:t>
      </w:r>
      <w:r w:rsidRPr="009C3C01">
        <w:rPr>
          <w:rFonts w:eastAsiaTheme="majorEastAsia"/>
        </w:rPr>
        <w:t xml:space="preserve"> populations</w:t>
      </w:r>
      <w:bookmarkEnd w:id="296"/>
      <w:bookmarkEnd w:id="297"/>
      <w:bookmarkEnd w:id="298"/>
    </w:p>
    <w:tbl>
      <w:tblPr>
        <w:tblW w:w="8804" w:type="dxa"/>
        <w:tblInd w:w="93" w:type="dxa"/>
        <w:tblLook w:val="04A0" w:firstRow="1" w:lastRow="0" w:firstColumn="1" w:lastColumn="0" w:noHBand="0" w:noVBand="1"/>
      </w:tblPr>
      <w:tblGrid>
        <w:gridCol w:w="5402"/>
        <w:gridCol w:w="1625"/>
        <w:gridCol w:w="1777"/>
      </w:tblGrid>
      <w:tr w:rsidR="009C3C01" w:rsidRPr="009C3C01" w14:paraId="6ADFF408" w14:textId="77777777" w:rsidTr="00284FE6">
        <w:trPr>
          <w:trHeight w:val="362"/>
          <w:tblHeader/>
        </w:trPr>
        <w:tc>
          <w:tcPr>
            <w:tcW w:w="5402" w:type="dxa"/>
            <w:shd w:val="clear" w:color="auto" w:fill="1E3D6B"/>
            <w:noWrap/>
            <w:vAlign w:val="center"/>
            <w:hideMark/>
          </w:tcPr>
          <w:p w14:paraId="22E7952C" w14:textId="77777777" w:rsidR="009C3C01" w:rsidRPr="009C3C01" w:rsidRDefault="009C3C01" w:rsidP="00284FE6">
            <w:pPr>
              <w:keepNext/>
              <w:spacing w:after="0"/>
              <w:rPr>
                <w:rFonts w:eastAsia="Times New Roman"/>
                <w:b/>
                <w:sz w:val="20"/>
                <w:lang w:eastAsia="en-AU"/>
              </w:rPr>
            </w:pPr>
            <w:bookmarkStart w:id="299" w:name="Title_46"/>
            <w:bookmarkEnd w:id="299"/>
            <w:r w:rsidRPr="009C3C01">
              <w:rPr>
                <w:rFonts w:eastAsia="Times New Roman"/>
                <w:b/>
                <w:sz w:val="20"/>
                <w:lang w:eastAsia="en-AU"/>
              </w:rPr>
              <w:t>Key statistics</w:t>
            </w:r>
          </w:p>
        </w:tc>
        <w:tc>
          <w:tcPr>
            <w:tcW w:w="1625" w:type="dxa"/>
            <w:shd w:val="clear" w:color="auto" w:fill="1E3D6B"/>
            <w:noWrap/>
            <w:vAlign w:val="center"/>
            <w:hideMark/>
          </w:tcPr>
          <w:p w14:paraId="2952820B" w14:textId="77777777" w:rsidR="009C3C01" w:rsidRPr="009C3C01" w:rsidRDefault="009C3C01" w:rsidP="00284FE6">
            <w:pPr>
              <w:keepNext/>
              <w:spacing w:after="0"/>
              <w:rPr>
                <w:rFonts w:eastAsia="Times New Roman"/>
                <w:b/>
                <w:sz w:val="20"/>
                <w:lang w:eastAsia="en-AU"/>
              </w:rPr>
            </w:pPr>
            <w:r w:rsidRPr="009C3C01">
              <w:rPr>
                <w:rFonts w:eastAsia="Times New Roman"/>
                <w:b/>
                <w:sz w:val="20"/>
                <w:lang w:eastAsia="en-AU"/>
              </w:rPr>
              <w:t>JSA 2009</w:t>
            </w:r>
          </w:p>
        </w:tc>
        <w:tc>
          <w:tcPr>
            <w:tcW w:w="1777" w:type="dxa"/>
            <w:shd w:val="clear" w:color="auto" w:fill="1E3D6B"/>
            <w:noWrap/>
            <w:vAlign w:val="center"/>
            <w:hideMark/>
          </w:tcPr>
          <w:p w14:paraId="5D53974B" w14:textId="77777777" w:rsidR="009C3C01" w:rsidRPr="009C3C01" w:rsidRDefault="009C3C01" w:rsidP="00284FE6">
            <w:pPr>
              <w:keepNext/>
              <w:spacing w:after="0"/>
              <w:rPr>
                <w:rFonts w:eastAsia="Times New Roman"/>
                <w:b/>
                <w:sz w:val="20"/>
                <w:lang w:eastAsia="en-AU"/>
              </w:rPr>
            </w:pPr>
            <w:r w:rsidRPr="009C3C01">
              <w:rPr>
                <w:rFonts w:eastAsia="Times New Roman"/>
                <w:b/>
                <w:sz w:val="20"/>
                <w:lang w:eastAsia="en-AU"/>
              </w:rPr>
              <w:t>JSA 2012</w:t>
            </w:r>
          </w:p>
        </w:tc>
      </w:tr>
      <w:tr w:rsidR="009C3C01" w:rsidRPr="009C3C01" w14:paraId="05A5AC42" w14:textId="77777777" w:rsidTr="00284FE6">
        <w:trPr>
          <w:trHeight w:hRule="exact" w:val="340"/>
        </w:trPr>
        <w:tc>
          <w:tcPr>
            <w:tcW w:w="5402" w:type="dxa"/>
            <w:shd w:val="clear" w:color="auto" w:fill="auto"/>
            <w:noWrap/>
            <w:vAlign w:val="center"/>
            <w:hideMark/>
          </w:tcPr>
          <w:p w14:paraId="2CA1C44E" w14:textId="77777777" w:rsidR="009C3C01" w:rsidRPr="009C3C01" w:rsidRDefault="009C3C01" w:rsidP="00284FE6">
            <w:pPr>
              <w:keepNext/>
              <w:spacing w:after="0"/>
              <w:rPr>
                <w:rFonts w:eastAsia="Times New Roman"/>
                <w:sz w:val="20"/>
                <w:szCs w:val="20"/>
                <w:lang w:eastAsia="en-AU"/>
              </w:rPr>
            </w:pPr>
            <w:r w:rsidRPr="009C3C01">
              <w:rPr>
                <w:rFonts w:eastAsia="Times New Roman"/>
                <w:sz w:val="20"/>
                <w:szCs w:val="20"/>
                <w:lang w:eastAsia="en-AU"/>
              </w:rPr>
              <w:t>Median exit time (days)</w:t>
            </w:r>
          </w:p>
        </w:tc>
        <w:tc>
          <w:tcPr>
            <w:tcW w:w="1625" w:type="dxa"/>
            <w:shd w:val="clear" w:color="auto" w:fill="auto"/>
            <w:noWrap/>
            <w:vAlign w:val="center"/>
            <w:hideMark/>
          </w:tcPr>
          <w:p w14:paraId="54F49F4E" w14:textId="77777777" w:rsidR="009C3C01" w:rsidRPr="009C3C01" w:rsidRDefault="009C3C01" w:rsidP="00284FE6">
            <w:pPr>
              <w:keepNext/>
              <w:spacing w:after="0"/>
              <w:ind w:left="145"/>
              <w:rPr>
                <w:rFonts w:eastAsia="Times New Roman"/>
                <w:sz w:val="20"/>
                <w:szCs w:val="20"/>
                <w:lang w:eastAsia="en-AU"/>
              </w:rPr>
            </w:pPr>
            <w:r w:rsidRPr="009C3C01">
              <w:rPr>
                <w:rFonts w:eastAsia="Times New Roman"/>
                <w:sz w:val="20"/>
                <w:szCs w:val="20"/>
                <w:lang w:eastAsia="en-AU"/>
              </w:rPr>
              <w:t>109</w:t>
            </w:r>
          </w:p>
        </w:tc>
        <w:tc>
          <w:tcPr>
            <w:tcW w:w="1777" w:type="dxa"/>
            <w:shd w:val="clear" w:color="auto" w:fill="auto"/>
            <w:noWrap/>
            <w:vAlign w:val="center"/>
            <w:hideMark/>
          </w:tcPr>
          <w:p w14:paraId="47904B4D" w14:textId="77777777" w:rsidR="009C3C01" w:rsidRPr="009C3C01" w:rsidRDefault="009C3C01" w:rsidP="00284FE6">
            <w:pPr>
              <w:keepNext/>
              <w:spacing w:after="0"/>
              <w:ind w:left="208"/>
              <w:rPr>
                <w:rFonts w:eastAsia="Times New Roman"/>
                <w:sz w:val="20"/>
                <w:szCs w:val="20"/>
                <w:lang w:eastAsia="en-AU"/>
              </w:rPr>
            </w:pPr>
            <w:r w:rsidRPr="009C3C01">
              <w:rPr>
                <w:rFonts w:eastAsia="Times New Roman"/>
                <w:sz w:val="20"/>
                <w:szCs w:val="20"/>
                <w:lang w:eastAsia="en-AU"/>
              </w:rPr>
              <w:t>130</w:t>
            </w:r>
          </w:p>
        </w:tc>
      </w:tr>
      <w:tr w:rsidR="009C3C01" w:rsidRPr="009C3C01" w14:paraId="6639EB00" w14:textId="77777777" w:rsidTr="00284FE6">
        <w:trPr>
          <w:trHeight w:hRule="exact" w:val="340"/>
        </w:trPr>
        <w:tc>
          <w:tcPr>
            <w:tcW w:w="5402" w:type="dxa"/>
            <w:shd w:val="clear" w:color="auto" w:fill="E5E5E5" w:themeFill="background1" w:themeFillTint="33"/>
            <w:noWrap/>
            <w:vAlign w:val="center"/>
            <w:hideMark/>
          </w:tcPr>
          <w:p w14:paraId="3FCE06F1" w14:textId="77777777" w:rsidR="009C3C01" w:rsidRPr="009C3C01" w:rsidRDefault="009C3C01" w:rsidP="00284FE6">
            <w:pPr>
              <w:keepNext/>
              <w:spacing w:after="0"/>
              <w:rPr>
                <w:rFonts w:eastAsia="Times New Roman"/>
                <w:sz w:val="20"/>
                <w:szCs w:val="20"/>
                <w:lang w:eastAsia="en-AU"/>
              </w:rPr>
            </w:pPr>
            <w:r w:rsidRPr="009C3C01">
              <w:rPr>
                <w:rFonts w:eastAsia="Times New Roman"/>
                <w:sz w:val="20"/>
                <w:szCs w:val="20"/>
                <w:lang w:eastAsia="en-AU"/>
              </w:rPr>
              <w:t>Proportion of job seekers who had left by 180 days</w:t>
            </w:r>
          </w:p>
        </w:tc>
        <w:tc>
          <w:tcPr>
            <w:tcW w:w="1625" w:type="dxa"/>
            <w:shd w:val="clear" w:color="auto" w:fill="E5E5E5" w:themeFill="background1" w:themeFillTint="33"/>
            <w:noWrap/>
            <w:vAlign w:val="center"/>
            <w:hideMark/>
          </w:tcPr>
          <w:p w14:paraId="5DED1069" w14:textId="77777777" w:rsidR="009C3C01" w:rsidRPr="009C3C01" w:rsidRDefault="009C3C01" w:rsidP="00284FE6">
            <w:pPr>
              <w:keepNext/>
              <w:spacing w:after="0"/>
              <w:ind w:left="145"/>
              <w:rPr>
                <w:rFonts w:eastAsia="Times New Roman"/>
                <w:sz w:val="20"/>
                <w:szCs w:val="20"/>
                <w:lang w:eastAsia="en-AU"/>
              </w:rPr>
            </w:pPr>
            <w:r w:rsidRPr="009C3C01">
              <w:rPr>
                <w:rFonts w:eastAsia="Times New Roman"/>
                <w:sz w:val="20"/>
                <w:szCs w:val="20"/>
                <w:lang w:eastAsia="en-AU"/>
              </w:rPr>
              <w:t>0.74</w:t>
            </w:r>
          </w:p>
        </w:tc>
        <w:tc>
          <w:tcPr>
            <w:tcW w:w="1777" w:type="dxa"/>
            <w:shd w:val="clear" w:color="auto" w:fill="E5E5E5" w:themeFill="background1" w:themeFillTint="33"/>
            <w:noWrap/>
            <w:vAlign w:val="center"/>
            <w:hideMark/>
          </w:tcPr>
          <w:p w14:paraId="6A9B6335" w14:textId="77777777" w:rsidR="009C3C01" w:rsidRPr="009C3C01" w:rsidRDefault="009C3C01" w:rsidP="00284FE6">
            <w:pPr>
              <w:keepNext/>
              <w:spacing w:after="0"/>
              <w:ind w:left="208"/>
              <w:rPr>
                <w:rFonts w:eastAsia="Times New Roman"/>
                <w:sz w:val="20"/>
                <w:szCs w:val="20"/>
                <w:lang w:eastAsia="en-AU"/>
              </w:rPr>
            </w:pPr>
            <w:r w:rsidRPr="009C3C01">
              <w:rPr>
                <w:rFonts w:eastAsia="Times New Roman"/>
                <w:sz w:val="20"/>
                <w:szCs w:val="20"/>
                <w:lang w:eastAsia="en-AU"/>
              </w:rPr>
              <w:t>0.64</w:t>
            </w:r>
          </w:p>
        </w:tc>
      </w:tr>
      <w:tr w:rsidR="009C3C01" w:rsidRPr="009C3C01" w14:paraId="049EC3C4" w14:textId="77777777" w:rsidTr="00284FE6">
        <w:trPr>
          <w:trHeight w:hRule="exact" w:val="340"/>
        </w:trPr>
        <w:tc>
          <w:tcPr>
            <w:tcW w:w="5402" w:type="dxa"/>
            <w:tcBorders>
              <w:bottom w:val="single" w:sz="4" w:space="0" w:color="auto"/>
            </w:tcBorders>
            <w:shd w:val="clear" w:color="auto" w:fill="auto"/>
            <w:noWrap/>
            <w:vAlign w:val="center"/>
            <w:hideMark/>
          </w:tcPr>
          <w:p w14:paraId="56F95DC7" w14:textId="77777777" w:rsidR="009C3C01" w:rsidRPr="009C3C01" w:rsidRDefault="009C3C01" w:rsidP="009C3C01">
            <w:pPr>
              <w:spacing w:after="0"/>
              <w:rPr>
                <w:rFonts w:eastAsia="Times New Roman"/>
                <w:sz w:val="20"/>
                <w:szCs w:val="20"/>
                <w:lang w:eastAsia="en-AU"/>
              </w:rPr>
            </w:pPr>
            <w:r w:rsidRPr="009C3C01">
              <w:rPr>
                <w:rFonts w:eastAsia="Times New Roman"/>
                <w:sz w:val="20"/>
                <w:szCs w:val="20"/>
                <w:lang w:eastAsia="en-AU"/>
              </w:rPr>
              <w:t>Proportion of job seekers who had left by 365 days</w:t>
            </w:r>
          </w:p>
        </w:tc>
        <w:tc>
          <w:tcPr>
            <w:tcW w:w="1625" w:type="dxa"/>
            <w:tcBorders>
              <w:bottom w:val="single" w:sz="4" w:space="0" w:color="auto"/>
            </w:tcBorders>
            <w:shd w:val="clear" w:color="auto" w:fill="auto"/>
            <w:noWrap/>
            <w:vAlign w:val="center"/>
            <w:hideMark/>
          </w:tcPr>
          <w:p w14:paraId="378F8205" w14:textId="77777777" w:rsidR="009C3C01" w:rsidRPr="009C3C01" w:rsidRDefault="009C3C01" w:rsidP="0011747A">
            <w:pPr>
              <w:spacing w:after="0"/>
              <w:ind w:left="145"/>
              <w:rPr>
                <w:rFonts w:eastAsia="Times New Roman"/>
                <w:sz w:val="20"/>
                <w:szCs w:val="20"/>
                <w:lang w:eastAsia="en-AU"/>
              </w:rPr>
            </w:pPr>
            <w:r w:rsidRPr="009C3C01">
              <w:rPr>
                <w:rFonts w:eastAsia="Times New Roman"/>
                <w:sz w:val="20"/>
                <w:szCs w:val="20"/>
                <w:lang w:eastAsia="en-AU"/>
              </w:rPr>
              <w:t>0.92</w:t>
            </w:r>
          </w:p>
        </w:tc>
        <w:tc>
          <w:tcPr>
            <w:tcW w:w="1777" w:type="dxa"/>
            <w:tcBorders>
              <w:bottom w:val="single" w:sz="4" w:space="0" w:color="auto"/>
            </w:tcBorders>
            <w:shd w:val="clear" w:color="auto" w:fill="auto"/>
            <w:noWrap/>
            <w:vAlign w:val="center"/>
            <w:hideMark/>
          </w:tcPr>
          <w:p w14:paraId="177BD4C8" w14:textId="77777777" w:rsidR="009C3C01" w:rsidRPr="009C3C01" w:rsidRDefault="009C3C01" w:rsidP="0011747A">
            <w:pPr>
              <w:spacing w:after="0"/>
              <w:ind w:left="208"/>
              <w:rPr>
                <w:rFonts w:eastAsia="Times New Roman"/>
                <w:sz w:val="20"/>
                <w:szCs w:val="20"/>
                <w:lang w:eastAsia="en-AU"/>
              </w:rPr>
            </w:pPr>
            <w:r w:rsidRPr="009C3C01">
              <w:rPr>
                <w:rFonts w:eastAsia="Times New Roman"/>
                <w:sz w:val="20"/>
                <w:szCs w:val="20"/>
                <w:lang w:eastAsia="en-AU"/>
              </w:rPr>
              <w:t>0.84</w:t>
            </w:r>
          </w:p>
        </w:tc>
      </w:tr>
    </w:tbl>
    <w:p w14:paraId="59C8F824" w14:textId="77777777" w:rsidR="008338FF" w:rsidRPr="004D4671" w:rsidRDefault="008338FF" w:rsidP="0033478B">
      <w:pPr>
        <w:pStyle w:val="Source"/>
        <w:rPr>
          <w:rFonts w:eastAsia="Times New Roman"/>
          <w:lang w:eastAsia="en-AU"/>
        </w:rPr>
      </w:pPr>
      <w:r w:rsidRPr="009C3C01">
        <w:rPr>
          <w:b/>
        </w:rPr>
        <w:t>Source:</w:t>
      </w:r>
      <w:r w:rsidRPr="009C3C01">
        <w:rPr>
          <w:rFonts w:eastAsia="Times New Roman"/>
          <w:lang w:eastAsia="en-AU"/>
        </w:rPr>
        <w:t xml:space="preserve"> </w:t>
      </w:r>
      <w:r w:rsidRPr="009C3C01">
        <w:rPr>
          <w:rFonts w:eastAsia="Times New Roman"/>
          <w:lang w:eastAsia="en-AU"/>
        </w:rPr>
        <w:tab/>
      </w:r>
      <w:r w:rsidRPr="004D4671">
        <w:rPr>
          <w:rFonts w:eastAsia="Times New Roman"/>
          <w:lang w:eastAsia="en-AU"/>
        </w:rPr>
        <w:t>Department of Employment administrative data.</w:t>
      </w:r>
    </w:p>
    <w:p w14:paraId="0DE450ED" w14:textId="77777777" w:rsidR="009C3C01" w:rsidRPr="009C3C01" w:rsidRDefault="009C3C01" w:rsidP="009C3C01">
      <w:pPr>
        <w:spacing w:after="0"/>
      </w:pPr>
      <w:r w:rsidRPr="009C3C01">
        <w:t xml:space="preserve">Demographic groups that were in service </w:t>
      </w:r>
      <w:r w:rsidR="0078146E" w:rsidRPr="009C3C01">
        <w:t xml:space="preserve">longer </w:t>
      </w:r>
      <w:r w:rsidRPr="009C3C01">
        <w:t xml:space="preserve">overall than the reference </w:t>
      </w:r>
      <w:r w:rsidR="009245F1">
        <w:t xml:space="preserve">type </w:t>
      </w:r>
      <w:r w:rsidRPr="009C3C01">
        <w:t>job seeker and for which the gap in median service times widened further in JSA 2012 include:</w:t>
      </w:r>
    </w:p>
    <w:p w14:paraId="0B015164" w14:textId="77777777" w:rsidR="009C3C01" w:rsidRPr="009C3C01" w:rsidRDefault="009C3C01" w:rsidP="00B27013">
      <w:pPr>
        <w:pStyle w:val="ListParagraph"/>
      </w:pPr>
      <w:r w:rsidRPr="009C3C01">
        <w:t>single parents</w:t>
      </w:r>
    </w:p>
    <w:p w14:paraId="4C9C3322" w14:textId="77777777" w:rsidR="009C3C01" w:rsidRPr="009C3C01" w:rsidRDefault="009C3C01" w:rsidP="00B27013">
      <w:pPr>
        <w:pStyle w:val="ListParagraph"/>
      </w:pPr>
      <w:r w:rsidRPr="009C3C01">
        <w:t>job seekers with disability</w:t>
      </w:r>
    </w:p>
    <w:p w14:paraId="1F6275F9" w14:textId="77777777" w:rsidR="009C3C01" w:rsidRPr="009C3C01" w:rsidRDefault="009C3C01" w:rsidP="00B27013">
      <w:pPr>
        <w:pStyle w:val="ListParagraph"/>
      </w:pPr>
      <w:r w:rsidRPr="009C3C01">
        <w:t xml:space="preserve">job seekers born in a country </w:t>
      </w:r>
      <w:r w:rsidR="00645724">
        <w:t xml:space="preserve">with </w:t>
      </w:r>
      <w:r w:rsidRPr="009C3C01">
        <w:t xml:space="preserve">high </w:t>
      </w:r>
      <w:r w:rsidR="00645724">
        <w:t xml:space="preserve">levels of </w:t>
      </w:r>
      <w:r w:rsidRPr="009C3C01">
        <w:t>disadvantage.</w:t>
      </w:r>
    </w:p>
    <w:p w14:paraId="1F548409" w14:textId="77777777" w:rsidR="009C3C01" w:rsidRDefault="00904C78" w:rsidP="00904C78">
      <w:pPr>
        <w:pStyle w:val="Heading3"/>
      </w:pPr>
      <w:bookmarkStart w:id="300" w:name="_Toc22543090"/>
      <w:r>
        <w:t>4.</w:t>
      </w:r>
      <w:r w:rsidR="00A00C00">
        <w:t>2</w:t>
      </w:r>
      <w:r>
        <w:t>.4</w:t>
      </w:r>
      <w:r>
        <w:tab/>
      </w:r>
      <w:r w:rsidR="0010619B">
        <w:t xml:space="preserve">Leaving </w:t>
      </w:r>
      <w:r w:rsidR="009C3C01" w:rsidRPr="009C3C01">
        <w:t>income support</w:t>
      </w:r>
      <w:bookmarkEnd w:id="300"/>
    </w:p>
    <w:p w14:paraId="085A180D" w14:textId="77777777" w:rsidR="0010619B" w:rsidRPr="0010619B" w:rsidRDefault="0010619B" w:rsidP="00645724">
      <w:pPr>
        <w:pStyle w:val="Heading4"/>
      </w:pPr>
      <w:r>
        <w:t>Off income support (unregressed)</w:t>
      </w:r>
    </w:p>
    <w:p w14:paraId="035968D8" w14:textId="064144E6" w:rsidR="009C3C01" w:rsidRPr="009C3C01" w:rsidRDefault="009C3C01" w:rsidP="009C3C01">
      <w:r w:rsidRPr="009C3C01">
        <w:t>When the income support status of the two Stream 1 servicing study populations</w:t>
      </w:r>
      <w:r w:rsidR="00526520" w:rsidRPr="00526520">
        <w:t xml:space="preserve"> </w:t>
      </w:r>
      <w:r w:rsidR="00C84926">
        <w:t>is</w:t>
      </w:r>
      <w:r w:rsidR="00C84926" w:rsidRPr="009C3C01">
        <w:t xml:space="preserve"> </w:t>
      </w:r>
      <w:r w:rsidR="00526520" w:rsidRPr="009C3C01">
        <w:t>compared</w:t>
      </w:r>
      <w:r w:rsidR="009245F1">
        <w:t>,</w:t>
      </w:r>
      <w:r w:rsidRPr="009C3C01">
        <w:t xml:space="preserve"> at commencement in service and 12 calendar months after commencing in service:</w:t>
      </w:r>
    </w:p>
    <w:p w14:paraId="1817C9D6" w14:textId="77777777" w:rsidR="009C3C01" w:rsidRPr="009C3C01" w:rsidRDefault="00526520" w:rsidP="00B27013">
      <w:pPr>
        <w:pStyle w:val="ListParagraph"/>
        <w:rPr>
          <w:rFonts w:eastAsiaTheme="majorEastAsia"/>
        </w:rPr>
      </w:pPr>
      <w:r w:rsidRPr="009C3C01">
        <w:rPr>
          <w:rFonts w:eastAsiaTheme="majorEastAsia"/>
        </w:rPr>
        <w:t>at commencement</w:t>
      </w:r>
      <w:r>
        <w:rPr>
          <w:rFonts w:eastAsiaTheme="majorEastAsia"/>
        </w:rPr>
        <w:t xml:space="preserve">, </w:t>
      </w:r>
      <w:r w:rsidR="009C3C01" w:rsidRPr="009C3C01">
        <w:rPr>
          <w:rFonts w:eastAsiaTheme="majorEastAsia"/>
        </w:rPr>
        <w:t xml:space="preserve">a greater proportion of JSA 2012 </w:t>
      </w:r>
      <w:r w:rsidR="009C3C01" w:rsidRPr="009C3C01">
        <w:rPr>
          <w:rFonts w:eastAsia="Times New Roman"/>
        </w:rPr>
        <w:t xml:space="preserve">Stream 1 servicing </w:t>
      </w:r>
      <w:r w:rsidR="009C3C01" w:rsidRPr="009C3C01">
        <w:rPr>
          <w:rFonts w:eastAsiaTheme="majorEastAsia"/>
        </w:rPr>
        <w:t>study population was on income support</w:t>
      </w:r>
      <w:r>
        <w:rPr>
          <w:rFonts w:eastAsiaTheme="majorEastAsia"/>
        </w:rPr>
        <w:t>,</w:t>
      </w:r>
      <w:r w:rsidR="009C3C01" w:rsidRPr="009C3C01">
        <w:rPr>
          <w:rFonts w:eastAsiaTheme="majorEastAsia"/>
        </w:rPr>
        <w:t xml:space="preserve"> than in the </w:t>
      </w:r>
      <w:r w:rsidR="001E0803">
        <w:rPr>
          <w:rFonts w:eastAsiaTheme="majorEastAsia"/>
        </w:rPr>
        <w:t xml:space="preserve">equivalent </w:t>
      </w:r>
      <w:r w:rsidR="009C3C01" w:rsidRPr="009C3C01">
        <w:rPr>
          <w:rFonts w:eastAsiaTheme="majorEastAsia"/>
        </w:rPr>
        <w:t xml:space="preserve">JSA 2009 population (82 per cent compared with 73 per cent) </w:t>
      </w:r>
    </w:p>
    <w:p w14:paraId="63A6E664" w14:textId="77777777" w:rsidR="009C3C01" w:rsidRPr="009C3C01" w:rsidRDefault="009C3C01" w:rsidP="00B27013">
      <w:pPr>
        <w:pStyle w:val="ListParagraph"/>
        <w:rPr>
          <w:rFonts w:eastAsiaTheme="majorEastAsia"/>
        </w:rPr>
      </w:pPr>
      <w:r w:rsidRPr="009C3C01">
        <w:rPr>
          <w:rFonts w:eastAsiaTheme="majorEastAsia"/>
        </w:rPr>
        <w:t xml:space="preserve">for job seekers on income support at commencement: </w:t>
      </w:r>
    </w:p>
    <w:p w14:paraId="14E16764" w14:textId="77777777" w:rsidR="009C3C01" w:rsidRPr="009C3C01" w:rsidRDefault="009C3C01" w:rsidP="00961617">
      <w:pPr>
        <w:pStyle w:val="bullet"/>
        <w:numPr>
          <w:ilvl w:val="1"/>
          <w:numId w:val="88"/>
        </w:numPr>
        <w:rPr>
          <w:rFonts w:eastAsiaTheme="majorEastAsia"/>
        </w:rPr>
      </w:pPr>
      <w:r w:rsidRPr="009C3C01">
        <w:rPr>
          <w:rFonts w:eastAsiaTheme="majorEastAsia"/>
        </w:rPr>
        <w:t xml:space="preserve">JSA 2009 - 71 per cent were off income support after 12 months </w:t>
      </w:r>
      <w:r w:rsidRPr="009C3C01">
        <w:rPr>
          <w:rFonts w:eastAsiaTheme="majorEastAsia"/>
        </w:rPr>
        <w:br/>
        <w:t xml:space="preserve">(these comprised 51.7 per cent of the JSA 2009 </w:t>
      </w:r>
      <w:r w:rsidRPr="009C3C01">
        <w:rPr>
          <w:rFonts w:eastAsia="Times New Roman"/>
        </w:rPr>
        <w:t>Stream 1 servicing</w:t>
      </w:r>
      <w:r w:rsidRPr="009C3C01">
        <w:rPr>
          <w:rFonts w:eastAsiaTheme="majorEastAsia"/>
        </w:rPr>
        <w:t xml:space="preserve"> study population)</w:t>
      </w:r>
    </w:p>
    <w:p w14:paraId="264831BC" w14:textId="77777777" w:rsidR="009C3C01" w:rsidRPr="009C3C01" w:rsidRDefault="009C3C01" w:rsidP="00961617">
      <w:pPr>
        <w:pStyle w:val="bullet"/>
        <w:numPr>
          <w:ilvl w:val="1"/>
          <w:numId w:val="88"/>
        </w:numPr>
        <w:rPr>
          <w:rFonts w:eastAsiaTheme="majorEastAsia"/>
        </w:rPr>
      </w:pPr>
      <w:r w:rsidRPr="009C3C01">
        <w:rPr>
          <w:rFonts w:eastAsiaTheme="majorEastAsia"/>
        </w:rPr>
        <w:t>JSA 2012 - 61 per cent were off income support after 12 months</w:t>
      </w:r>
      <w:r w:rsidRPr="009C3C01">
        <w:rPr>
          <w:rFonts w:eastAsiaTheme="majorEastAsia"/>
        </w:rPr>
        <w:br/>
        <w:t xml:space="preserve">(these comprised 50.4 per cent of the JSA 2012 </w:t>
      </w:r>
      <w:r w:rsidRPr="009C3C01">
        <w:rPr>
          <w:rFonts w:eastAsia="Times New Roman"/>
        </w:rPr>
        <w:t xml:space="preserve">Stream 1 servicing </w:t>
      </w:r>
      <w:r w:rsidRPr="009C3C01">
        <w:rPr>
          <w:rFonts w:eastAsiaTheme="majorEastAsia"/>
        </w:rPr>
        <w:t>study population)</w:t>
      </w:r>
    </w:p>
    <w:p w14:paraId="3AA8BAEF" w14:textId="77777777" w:rsidR="009C3C01" w:rsidRPr="001141E4" w:rsidRDefault="009C3C01" w:rsidP="00B27013">
      <w:pPr>
        <w:pStyle w:val="ListParagraph"/>
        <w:rPr>
          <w:rFonts w:eastAsiaTheme="majorEastAsia"/>
        </w:rPr>
      </w:pPr>
      <w:r w:rsidRPr="00B27013">
        <w:t>for</w:t>
      </w:r>
      <w:r w:rsidRPr="001141E4">
        <w:rPr>
          <w:rFonts w:eastAsiaTheme="majorEastAsia"/>
        </w:rPr>
        <w:t xml:space="preserve"> job seekers not on income support at commencement </w:t>
      </w:r>
    </w:p>
    <w:p w14:paraId="76184128" w14:textId="17AB2379" w:rsidR="009C3C01" w:rsidRPr="009C3C01" w:rsidRDefault="009C3C01" w:rsidP="00961617">
      <w:pPr>
        <w:pStyle w:val="bullet"/>
        <w:numPr>
          <w:ilvl w:val="1"/>
          <w:numId w:val="89"/>
        </w:numPr>
        <w:rPr>
          <w:rFonts w:eastAsiaTheme="majorEastAsia"/>
        </w:rPr>
      </w:pPr>
      <w:r w:rsidRPr="009C3C01">
        <w:rPr>
          <w:rFonts w:eastAsiaTheme="majorEastAsia"/>
        </w:rPr>
        <w:t>JSA 2009 - 12 per cent were on income support after 12 months</w:t>
      </w:r>
      <w:r w:rsidRPr="009C3C01">
        <w:rPr>
          <w:rFonts w:eastAsiaTheme="majorEastAsia"/>
        </w:rPr>
        <w:br/>
        <w:t xml:space="preserve">(these comprised 3.4 per cent of the JSA 2009 </w:t>
      </w:r>
      <w:r w:rsidRPr="009C3C01">
        <w:rPr>
          <w:rFonts w:eastAsia="Times New Roman"/>
        </w:rPr>
        <w:t xml:space="preserve">Stream 1 servicing </w:t>
      </w:r>
      <w:r w:rsidRPr="009C3C01">
        <w:rPr>
          <w:rFonts w:eastAsiaTheme="majorEastAsia"/>
        </w:rPr>
        <w:t>study population)</w:t>
      </w:r>
    </w:p>
    <w:p w14:paraId="1B888FAC" w14:textId="77777777" w:rsidR="009C3C01" w:rsidRDefault="009C3C01" w:rsidP="00961617">
      <w:pPr>
        <w:pStyle w:val="bullet"/>
        <w:numPr>
          <w:ilvl w:val="1"/>
          <w:numId w:val="89"/>
        </w:numPr>
        <w:rPr>
          <w:rFonts w:eastAsiaTheme="majorEastAsia"/>
        </w:rPr>
      </w:pPr>
      <w:r w:rsidRPr="009C3C01">
        <w:rPr>
          <w:rFonts w:eastAsiaTheme="majorEastAsia"/>
        </w:rPr>
        <w:t>JSA 2012 - 20 per cent were on income support after 12 months</w:t>
      </w:r>
      <w:r w:rsidRPr="009C3C01">
        <w:rPr>
          <w:rFonts w:eastAsiaTheme="majorEastAsia"/>
        </w:rPr>
        <w:br/>
        <w:t xml:space="preserve">(these comprised 3.7 per cent of the JSA 2012 </w:t>
      </w:r>
      <w:r w:rsidRPr="009C3C01">
        <w:rPr>
          <w:rFonts w:eastAsia="Times New Roman"/>
        </w:rPr>
        <w:t xml:space="preserve">Stream 1 servicing </w:t>
      </w:r>
      <w:r w:rsidRPr="009C3C01">
        <w:rPr>
          <w:rFonts w:eastAsiaTheme="majorEastAsia"/>
        </w:rPr>
        <w:t>study population).</w:t>
      </w:r>
    </w:p>
    <w:p w14:paraId="60FC81F0" w14:textId="77777777" w:rsidR="0010619B" w:rsidRPr="009C3C01" w:rsidRDefault="0010619B" w:rsidP="001E0803">
      <w:pPr>
        <w:pStyle w:val="bullet"/>
        <w:numPr>
          <w:ilvl w:val="0"/>
          <w:numId w:val="0"/>
        </w:numPr>
        <w:rPr>
          <w:rFonts w:eastAsiaTheme="majorEastAsia"/>
        </w:rPr>
      </w:pPr>
      <w:r>
        <w:rPr>
          <w:rFonts w:eastAsiaTheme="majorEastAsia"/>
        </w:rPr>
        <w:t>S</w:t>
      </w:r>
      <w:r w:rsidRPr="009C3C01">
        <w:rPr>
          <w:rFonts w:eastAsiaTheme="majorEastAsia"/>
        </w:rPr>
        <w:t>urvival analysis o</w:t>
      </w:r>
      <w:r>
        <w:rPr>
          <w:rFonts w:eastAsiaTheme="majorEastAsia"/>
        </w:rPr>
        <w:t>f</w:t>
      </w:r>
      <w:r w:rsidRPr="009C3C01">
        <w:rPr>
          <w:rFonts w:eastAsiaTheme="majorEastAsia"/>
        </w:rPr>
        <w:t xml:space="preserve"> the length of time job seekers were on income support after commencing in JSA service shows that the median exit ti</w:t>
      </w:r>
      <w:r>
        <w:rPr>
          <w:rFonts w:eastAsiaTheme="majorEastAsia"/>
        </w:rPr>
        <w:t>me was shorter under JSA 2009</w:t>
      </w:r>
      <w:r w:rsidRPr="009C3C01">
        <w:rPr>
          <w:rFonts w:eastAsiaTheme="majorEastAsia"/>
        </w:rPr>
        <w:t xml:space="preserve"> (at 1</w:t>
      </w:r>
      <w:r>
        <w:rPr>
          <w:rFonts w:eastAsiaTheme="majorEastAsia"/>
        </w:rPr>
        <w:t>5 weeks) compared to JSA 2012</w:t>
      </w:r>
      <w:r w:rsidRPr="009C3C01">
        <w:rPr>
          <w:rFonts w:eastAsiaTheme="majorEastAsia"/>
        </w:rPr>
        <w:t xml:space="preserve"> (18 weeks).</w:t>
      </w:r>
      <w:r w:rsidR="007B1020">
        <w:rPr>
          <w:rStyle w:val="FootnoteReference"/>
          <w:rFonts w:eastAsiaTheme="majorEastAsia"/>
        </w:rPr>
        <w:footnoteReference w:id="35"/>
      </w:r>
      <w:r w:rsidRPr="009C3C01">
        <w:rPr>
          <w:rFonts w:eastAsiaTheme="majorEastAsia"/>
        </w:rPr>
        <w:t xml:space="preserve"> This supports findings from the time in service analysis.</w:t>
      </w:r>
    </w:p>
    <w:p w14:paraId="5211C6D4" w14:textId="77777777" w:rsidR="0010619B" w:rsidRDefault="0010619B" w:rsidP="001E0803">
      <w:pPr>
        <w:pStyle w:val="Heading4"/>
      </w:pPr>
      <w:r>
        <w:t>Probability of leaving income support (regressed)</w:t>
      </w:r>
    </w:p>
    <w:p w14:paraId="0F058969" w14:textId="7544A655" w:rsidR="009C3C01" w:rsidRPr="009C3C01" w:rsidRDefault="00FB21C5" w:rsidP="009C3C01">
      <w:pPr>
        <w:rPr>
          <w:rFonts w:eastAsiaTheme="majorEastAsia"/>
        </w:rPr>
      </w:pPr>
      <w:r>
        <w:rPr>
          <w:rFonts w:eastAsiaTheme="majorEastAsia"/>
        </w:rPr>
        <w:t>I</w:t>
      </w:r>
      <w:r w:rsidRPr="009C3C01">
        <w:rPr>
          <w:rFonts w:eastAsiaTheme="majorEastAsia"/>
        </w:rPr>
        <w:t>n JSA 2009</w:t>
      </w:r>
      <w:r>
        <w:rPr>
          <w:rFonts w:eastAsiaTheme="majorEastAsia"/>
        </w:rPr>
        <w:t>,</w:t>
      </w:r>
      <w:r w:rsidRPr="009C3C01">
        <w:rPr>
          <w:rFonts w:eastAsiaTheme="majorEastAsia"/>
        </w:rPr>
        <w:t xml:space="preserve"> </w:t>
      </w:r>
      <w:r>
        <w:rPr>
          <w:rFonts w:eastAsiaTheme="majorEastAsia"/>
        </w:rPr>
        <w:t>t</w:t>
      </w:r>
      <w:r w:rsidR="009C3C01" w:rsidRPr="009C3C01">
        <w:rPr>
          <w:rFonts w:eastAsiaTheme="majorEastAsia"/>
        </w:rPr>
        <w:t>he estimated probability of a reference type job seeker being off income support 12</w:t>
      </w:r>
      <w:r w:rsidR="00C84926">
        <w:rPr>
          <w:rFonts w:eastAsiaTheme="majorEastAsia"/>
        </w:rPr>
        <w:t> </w:t>
      </w:r>
      <w:r w:rsidR="009C3C01" w:rsidRPr="009C3C01">
        <w:rPr>
          <w:rFonts w:eastAsiaTheme="majorEastAsia"/>
        </w:rPr>
        <w:t>months after commencing is 0.79, while under JSA 2012 it is 0.71</w:t>
      </w:r>
      <w:r>
        <w:rPr>
          <w:rFonts w:eastAsiaTheme="majorEastAsia"/>
        </w:rPr>
        <w:t>. Put another way, the</w:t>
      </w:r>
      <w:r w:rsidRPr="009C3C01">
        <w:rPr>
          <w:rFonts w:eastAsiaTheme="majorEastAsia"/>
        </w:rPr>
        <w:t xml:space="preserve"> JSA 2012</w:t>
      </w:r>
      <w:r>
        <w:rPr>
          <w:rFonts w:eastAsiaTheme="majorEastAsia"/>
        </w:rPr>
        <w:t xml:space="preserve"> job seekers</w:t>
      </w:r>
      <w:r w:rsidRPr="009C3C01">
        <w:rPr>
          <w:rFonts w:eastAsiaTheme="majorEastAsia"/>
        </w:rPr>
        <w:t xml:space="preserve"> </w:t>
      </w:r>
      <w:r w:rsidR="009C3C01" w:rsidRPr="009C3C01">
        <w:rPr>
          <w:rFonts w:eastAsiaTheme="majorEastAsia"/>
        </w:rPr>
        <w:t xml:space="preserve">were 10.5 per cent less likely to be off income support 12 months after commencing than </w:t>
      </w:r>
      <w:r>
        <w:rPr>
          <w:rFonts w:eastAsiaTheme="majorEastAsia"/>
        </w:rPr>
        <w:t xml:space="preserve">the </w:t>
      </w:r>
      <w:r w:rsidR="009C3C01" w:rsidRPr="009C3C01">
        <w:rPr>
          <w:rFonts w:eastAsiaTheme="majorEastAsia"/>
        </w:rPr>
        <w:t>JSA 2009</w:t>
      </w:r>
      <w:r>
        <w:rPr>
          <w:rFonts w:eastAsiaTheme="majorEastAsia"/>
        </w:rPr>
        <w:t xml:space="preserve"> job seekers </w:t>
      </w:r>
      <w:r w:rsidR="00E62F74">
        <w:rPr>
          <w:rFonts w:eastAsiaTheme="majorEastAsia"/>
        </w:rPr>
        <w:t>(</w:t>
      </w:r>
      <w:r w:rsidR="00BC7B26">
        <w:rPr>
          <w:rFonts w:eastAsiaTheme="majorEastAsia"/>
        </w:rPr>
        <w:t xml:space="preserve">Figure 4.5 and </w:t>
      </w:r>
      <w:r w:rsidR="00E62F74">
        <w:rPr>
          <w:rFonts w:eastAsiaTheme="majorEastAsia"/>
        </w:rPr>
        <w:t>Table A2.</w:t>
      </w:r>
      <w:r w:rsidR="00FB7DA2">
        <w:rPr>
          <w:rFonts w:eastAsiaTheme="majorEastAsia"/>
        </w:rPr>
        <w:t>23</w:t>
      </w:r>
      <w:r w:rsidR="00E62F74">
        <w:rPr>
          <w:rFonts w:eastAsiaTheme="majorEastAsia"/>
        </w:rPr>
        <w:t>)</w:t>
      </w:r>
      <w:r w:rsidR="009C3C01" w:rsidRPr="009C3C01">
        <w:rPr>
          <w:rFonts w:eastAsiaTheme="majorEastAsia"/>
        </w:rPr>
        <w:t>.</w:t>
      </w:r>
    </w:p>
    <w:p w14:paraId="6275452D" w14:textId="77777777" w:rsidR="009C3C01" w:rsidRPr="009C3C01" w:rsidRDefault="009C3C01" w:rsidP="005172B5">
      <w:pPr>
        <w:pStyle w:val="Figureheadingforcontents"/>
        <w:rPr>
          <w:rFonts w:eastAsiaTheme="majorEastAsia"/>
        </w:rPr>
      </w:pPr>
      <w:bookmarkStart w:id="301" w:name="_Toc436400155"/>
      <w:bookmarkStart w:id="302" w:name="_Toc436400285"/>
      <w:bookmarkStart w:id="303" w:name="_Toc443152027"/>
      <w:bookmarkStart w:id="304" w:name="_Toc22544038"/>
      <w:r w:rsidRPr="009C3C01">
        <w:rPr>
          <w:rFonts w:eastAsiaTheme="majorEastAsia"/>
        </w:rPr>
        <w:t xml:space="preserve">Figure </w:t>
      </w:r>
      <w:r w:rsidR="00904C78" w:rsidRPr="00904C78">
        <w:rPr>
          <w:rFonts w:eastAsiaTheme="majorEastAsia"/>
        </w:rPr>
        <w:t>4</w:t>
      </w:r>
      <w:r w:rsidRPr="00904C78">
        <w:rPr>
          <w:rFonts w:eastAsiaTheme="majorEastAsia"/>
        </w:rPr>
        <w:t>.</w:t>
      </w:r>
      <w:r w:rsidR="003C29A5">
        <w:rPr>
          <w:rFonts w:eastAsiaTheme="majorEastAsia"/>
        </w:rPr>
        <w:t>5</w:t>
      </w:r>
      <w:r w:rsidR="00CF00FC">
        <w:rPr>
          <w:rFonts w:eastAsiaTheme="majorEastAsia"/>
        </w:rPr>
        <w:t>:</w:t>
      </w:r>
      <w:r w:rsidR="003C29A5">
        <w:rPr>
          <w:rFonts w:eastAsiaTheme="majorEastAsia"/>
        </w:rPr>
        <w:t xml:space="preserve"> </w:t>
      </w:r>
      <w:r w:rsidRPr="009C3C01">
        <w:rPr>
          <w:rFonts w:eastAsiaTheme="majorEastAsia"/>
        </w:rPr>
        <w:t xml:space="preserve">Probability that job seekers would be off income support 12 months after commencing in service, for selected demographic factors, 2009 and 2012 </w:t>
      </w:r>
      <w:r w:rsidRPr="009C3C01">
        <w:t xml:space="preserve">Stream 1 servicing </w:t>
      </w:r>
      <w:r w:rsidRPr="009C3C01">
        <w:rPr>
          <w:rFonts w:eastAsiaTheme="majorEastAsia"/>
        </w:rPr>
        <w:t>study populations</w:t>
      </w:r>
      <w:r w:rsidR="00D70D28">
        <w:rPr>
          <w:rFonts w:eastAsiaTheme="majorEastAsia"/>
        </w:rPr>
        <w:t xml:space="preserve"> (per cent)</w:t>
      </w:r>
      <w:bookmarkEnd w:id="301"/>
      <w:bookmarkEnd w:id="302"/>
      <w:bookmarkEnd w:id="303"/>
      <w:bookmarkEnd w:id="304"/>
    </w:p>
    <w:tbl>
      <w:tblPr>
        <w:tblW w:w="4900" w:type="dxa"/>
        <w:jc w:val="center"/>
        <w:tblCellMar>
          <w:left w:w="0" w:type="dxa"/>
          <w:right w:w="0" w:type="dxa"/>
        </w:tblCellMar>
        <w:tblLook w:val="04A0" w:firstRow="1" w:lastRow="0" w:firstColumn="1" w:lastColumn="0" w:noHBand="0" w:noVBand="1"/>
      </w:tblPr>
      <w:tblGrid>
        <w:gridCol w:w="2756"/>
        <w:gridCol w:w="1257"/>
        <w:gridCol w:w="887"/>
      </w:tblGrid>
      <w:tr w:rsidR="00103BC3" w:rsidRPr="00B412F4" w14:paraId="2E6A2A0E" w14:textId="77777777" w:rsidTr="000E2C43">
        <w:trPr>
          <w:trHeight w:hRule="exact" w:val="170"/>
          <w:tblHeader/>
          <w:jc w:val="center"/>
        </w:trPr>
        <w:tc>
          <w:tcPr>
            <w:tcW w:w="2756" w:type="dxa"/>
            <w:shd w:val="clear" w:color="auto" w:fill="auto"/>
            <w:noWrap/>
            <w:tcMar>
              <w:top w:w="15" w:type="dxa"/>
              <w:left w:w="15" w:type="dxa"/>
              <w:bottom w:w="0" w:type="dxa"/>
              <w:right w:w="15" w:type="dxa"/>
            </w:tcMar>
            <w:vAlign w:val="bottom"/>
            <w:hideMark/>
          </w:tcPr>
          <w:p w14:paraId="47EBCCDA" w14:textId="77777777" w:rsidR="00103BC3" w:rsidRPr="00B412F4" w:rsidRDefault="00B412F4" w:rsidP="004F3B01">
            <w:pPr>
              <w:spacing w:after="166"/>
              <w:rPr>
                <w:rFonts w:cstheme="minorHAnsi"/>
                <w:b/>
                <w:bCs/>
                <w:color w:val="FFFFFF" w:themeColor="background2"/>
                <w:sz w:val="16"/>
                <w:szCs w:val="16"/>
              </w:rPr>
            </w:pPr>
            <w:r w:rsidRPr="004B60E8">
              <w:rPr>
                <w:noProof/>
                <w:lang w:eastAsia="en-AU"/>
              </w:rPr>
              <w:drawing>
                <wp:anchor distT="0" distB="0" distL="114300" distR="114300" simplePos="0" relativeHeight="251658249" behindDoc="0" locked="0" layoutInCell="1" allowOverlap="1" wp14:anchorId="624665C2" wp14:editId="69F8E79E">
                  <wp:simplePos x="0" y="0"/>
                  <wp:positionH relativeFrom="column">
                    <wp:posOffset>-1301750</wp:posOffset>
                  </wp:positionH>
                  <wp:positionV relativeFrom="paragraph">
                    <wp:posOffset>635</wp:posOffset>
                  </wp:positionV>
                  <wp:extent cx="5730875" cy="3819525"/>
                  <wp:effectExtent l="0" t="0" r="3175" b="9525"/>
                  <wp:wrapNone/>
                  <wp:docPr id="257" name="Picture 257" descr="A chart showing the probability that job seekers would be off income support 12 months after commencing in service for the stream 1 study populations. The JSA 2009 study population had a higher probability of being off income support 12 months after commencing in services across all demographics presented, by a probability between 0.06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0875" cy="3819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BC3" w:rsidRPr="00B412F4">
              <w:rPr>
                <w:rFonts w:cstheme="minorHAnsi"/>
                <w:b/>
                <w:bCs/>
                <w:color w:val="FFFFFF" w:themeColor="background2"/>
                <w:sz w:val="16"/>
                <w:szCs w:val="16"/>
              </w:rPr>
              <w:t> </w:t>
            </w:r>
            <w:bookmarkStart w:id="305" w:name="Title_fig45"/>
            <w:bookmarkEnd w:id="305"/>
          </w:p>
        </w:tc>
        <w:tc>
          <w:tcPr>
            <w:tcW w:w="1257" w:type="dxa"/>
            <w:shd w:val="clear" w:color="auto" w:fill="auto"/>
            <w:tcMar>
              <w:top w:w="15" w:type="dxa"/>
              <w:left w:w="15" w:type="dxa"/>
              <w:bottom w:w="0" w:type="dxa"/>
              <w:right w:w="15" w:type="dxa"/>
            </w:tcMar>
            <w:vAlign w:val="bottom"/>
            <w:hideMark/>
          </w:tcPr>
          <w:p w14:paraId="3C1EAA8D" w14:textId="77777777" w:rsidR="00103BC3" w:rsidRPr="00B412F4" w:rsidRDefault="00103BC3" w:rsidP="004F3B01">
            <w:pPr>
              <w:spacing w:after="166"/>
              <w:rPr>
                <w:rFonts w:cstheme="minorHAnsi"/>
                <w:b/>
                <w:bCs/>
                <w:color w:val="FFFFFF" w:themeColor="background2"/>
                <w:sz w:val="16"/>
                <w:szCs w:val="16"/>
              </w:rPr>
            </w:pPr>
            <w:r w:rsidRPr="00B412F4">
              <w:rPr>
                <w:rFonts w:cstheme="minorHAnsi"/>
                <w:b/>
                <w:bCs/>
                <w:color w:val="FFFFFF" w:themeColor="background2"/>
                <w:sz w:val="16"/>
                <w:szCs w:val="16"/>
              </w:rPr>
              <w:t>JSA 2009</w:t>
            </w:r>
          </w:p>
        </w:tc>
        <w:tc>
          <w:tcPr>
            <w:tcW w:w="887" w:type="dxa"/>
            <w:shd w:val="clear" w:color="auto" w:fill="auto"/>
            <w:tcMar>
              <w:top w:w="15" w:type="dxa"/>
              <w:left w:w="15" w:type="dxa"/>
              <w:bottom w:w="0" w:type="dxa"/>
              <w:right w:w="15" w:type="dxa"/>
            </w:tcMar>
            <w:vAlign w:val="bottom"/>
            <w:hideMark/>
          </w:tcPr>
          <w:p w14:paraId="7F81B783" w14:textId="77777777" w:rsidR="00103BC3" w:rsidRPr="00B412F4" w:rsidRDefault="00103BC3" w:rsidP="004F3B01">
            <w:pPr>
              <w:spacing w:after="166"/>
              <w:rPr>
                <w:rFonts w:cstheme="minorHAnsi"/>
                <w:b/>
                <w:bCs/>
                <w:color w:val="FFFFFF" w:themeColor="background2"/>
                <w:sz w:val="16"/>
                <w:szCs w:val="16"/>
              </w:rPr>
            </w:pPr>
            <w:r w:rsidRPr="00B412F4">
              <w:rPr>
                <w:rFonts w:cstheme="minorHAnsi"/>
                <w:b/>
                <w:bCs/>
                <w:color w:val="FFFFFF" w:themeColor="background2"/>
                <w:sz w:val="16"/>
                <w:szCs w:val="16"/>
              </w:rPr>
              <w:t xml:space="preserve">JSA 2012 </w:t>
            </w:r>
          </w:p>
        </w:tc>
      </w:tr>
      <w:tr w:rsidR="000E2C43" w:rsidRPr="00EE47DD" w14:paraId="52A065BD"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39DC3287"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Reference job seeker</w:t>
            </w:r>
          </w:p>
        </w:tc>
        <w:tc>
          <w:tcPr>
            <w:tcW w:w="0" w:type="auto"/>
            <w:shd w:val="clear" w:color="auto" w:fill="auto"/>
            <w:noWrap/>
            <w:tcMar>
              <w:top w:w="15" w:type="dxa"/>
              <w:left w:w="15" w:type="dxa"/>
              <w:bottom w:w="0" w:type="dxa"/>
              <w:right w:w="15" w:type="dxa"/>
            </w:tcMar>
            <w:vAlign w:val="bottom"/>
            <w:hideMark/>
          </w:tcPr>
          <w:p w14:paraId="4F8B3DE8"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0.79</w:t>
            </w:r>
          </w:p>
        </w:tc>
        <w:tc>
          <w:tcPr>
            <w:tcW w:w="0" w:type="auto"/>
            <w:shd w:val="clear" w:color="auto" w:fill="auto"/>
            <w:noWrap/>
            <w:tcMar>
              <w:top w:w="15" w:type="dxa"/>
              <w:left w:w="15" w:type="dxa"/>
              <w:bottom w:w="0" w:type="dxa"/>
              <w:right w:w="15" w:type="dxa"/>
            </w:tcMar>
            <w:vAlign w:val="bottom"/>
            <w:hideMark/>
          </w:tcPr>
          <w:p w14:paraId="2BD2D775"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0.71</w:t>
            </w:r>
          </w:p>
        </w:tc>
      </w:tr>
      <w:tr w:rsidR="000E2C43" w:rsidRPr="00EE47DD" w14:paraId="16E5CA0D"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6E6BF360"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Female</w:t>
            </w:r>
          </w:p>
        </w:tc>
        <w:tc>
          <w:tcPr>
            <w:tcW w:w="0" w:type="auto"/>
            <w:shd w:val="clear" w:color="auto" w:fill="auto"/>
            <w:noWrap/>
            <w:tcMar>
              <w:top w:w="15" w:type="dxa"/>
              <w:left w:w="15" w:type="dxa"/>
              <w:bottom w:w="0" w:type="dxa"/>
              <w:right w:w="15" w:type="dxa"/>
            </w:tcMar>
            <w:vAlign w:val="bottom"/>
            <w:hideMark/>
          </w:tcPr>
          <w:p w14:paraId="3E64A369"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0.77</w:t>
            </w:r>
          </w:p>
        </w:tc>
        <w:tc>
          <w:tcPr>
            <w:tcW w:w="0" w:type="auto"/>
            <w:shd w:val="clear" w:color="auto" w:fill="auto"/>
            <w:noWrap/>
            <w:tcMar>
              <w:top w:w="15" w:type="dxa"/>
              <w:left w:w="15" w:type="dxa"/>
              <w:bottom w:w="0" w:type="dxa"/>
              <w:right w:w="15" w:type="dxa"/>
            </w:tcMar>
            <w:vAlign w:val="bottom"/>
            <w:hideMark/>
          </w:tcPr>
          <w:p w14:paraId="35DDBE99"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0.68</w:t>
            </w:r>
          </w:p>
        </w:tc>
      </w:tr>
      <w:tr w:rsidR="000E2C43" w:rsidRPr="00EE47DD" w14:paraId="20D19C58"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08851FBB"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Aged under 21 years</w:t>
            </w:r>
          </w:p>
        </w:tc>
        <w:tc>
          <w:tcPr>
            <w:tcW w:w="0" w:type="auto"/>
            <w:shd w:val="clear" w:color="auto" w:fill="auto"/>
            <w:noWrap/>
            <w:tcMar>
              <w:top w:w="15" w:type="dxa"/>
              <w:left w:w="15" w:type="dxa"/>
              <w:bottom w:w="0" w:type="dxa"/>
              <w:right w:w="15" w:type="dxa"/>
            </w:tcMar>
            <w:vAlign w:val="bottom"/>
            <w:hideMark/>
          </w:tcPr>
          <w:p w14:paraId="761EF596"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0.77</w:t>
            </w:r>
          </w:p>
        </w:tc>
        <w:tc>
          <w:tcPr>
            <w:tcW w:w="0" w:type="auto"/>
            <w:shd w:val="clear" w:color="auto" w:fill="auto"/>
            <w:noWrap/>
            <w:tcMar>
              <w:top w:w="15" w:type="dxa"/>
              <w:left w:w="15" w:type="dxa"/>
              <w:bottom w:w="0" w:type="dxa"/>
              <w:right w:w="15" w:type="dxa"/>
            </w:tcMar>
            <w:vAlign w:val="bottom"/>
            <w:hideMark/>
          </w:tcPr>
          <w:p w14:paraId="1CC08596"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0.68</w:t>
            </w:r>
          </w:p>
        </w:tc>
      </w:tr>
      <w:tr w:rsidR="000E2C43" w:rsidRPr="00EE47DD" w14:paraId="76BC87CF"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24678F12"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Aged 21 - 24 years  </w:t>
            </w:r>
          </w:p>
        </w:tc>
        <w:tc>
          <w:tcPr>
            <w:tcW w:w="0" w:type="auto"/>
            <w:shd w:val="clear" w:color="auto" w:fill="auto"/>
            <w:noWrap/>
            <w:tcMar>
              <w:top w:w="15" w:type="dxa"/>
              <w:left w:w="15" w:type="dxa"/>
              <w:bottom w:w="0" w:type="dxa"/>
              <w:right w:w="15" w:type="dxa"/>
            </w:tcMar>
            <w:vAlign w:val="bottom"/>
            <w:hideMark/>
          </w:tcPr>
          <w:p w14:paraId="33E87ABC"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0.79</w:t>
            </w:r>
          </w:p>
        </w:tc>
        <w:tc>
          <w:tcPr>
            <w:tcW w:w="0" w:type="auto"/>
            <w:shd w:val="clear" w:color="auto" w:fill="auto"/>
            <w:noWrap/>
            <w:tcMar>
              <w:top w:w="15" w:type="dxa"/>
              <w:left w:w="15" w:type="dxa"/>
              <w:bottom w:w="0" w:type="dxa"/>
              <w:right w:w="15" w:type="dxa"/>
            </w:tcMar>
            <w:vAlign w:val="bottom"/>
            <w:hideMark/>
          </w:tcPr>
          <w:p w14:paraId="78B945ED"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0.71</w:t>
            </w:r>
          </w:p>
        </w:tc>
      </w:tr>
      <w:tr w:rsidR="000E2C43" w:rsidRPr="00EE47DD" w14:paraId="40F7793C"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39B31400"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Aged 35 - 49 years </w:t>
            </w:r>
          </w:p>
        </w:tc>
        <w:tc>
          <w:tcPr>
            <w:tcW w:w="0" w:type="auto"/>
            <w:shd w:val="clear" w:color="auto" w:fill="auto"/>
            <w:noWrap/>
            <w:tcMar>
              <w:top w:w="15" w:type="dxa"/>
              <w:left w:w="15" w:type="dxa"/>
              <w:bottom w:w="0" w:type="dxa"/>
              <w:right w:w="15" w:type="dxa"/>
            </w:tcMar>
            <w:vAlign w:val="bottom"/>
            <w:hideMark/>
          </w:tcPr>
          <w:p w14:paraId="26130AF6"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0.79</w:t>
            </w:r>
          </w:p>
        </w:tc>
        <w:tc>
          <w:tcPr>
            <w:tcW w:w="0" w:type="auto"/>
            <w:shd w:val="clear" w:color="auto" w:fill="auto"/>
            <w:noWrap/>
            <w:tcMar>
              <w:top w:w="15" w:type="dxa"/>
              <w:left w:w="15" w:type="dxa"/>
              <w:bottom w:w="0" w:type="dxa"/>
              <w:right w:w="15" w:type="dxa"/>
            </w:tcMar>
            <w:vAlign w:val="bottom"/>
            <w:hideMark/>
          </w:tcPr>
          <w:p w14:paraId="4398335E"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0.71</w:t>
            </w:r>
          </w:p>
        </w:tc>
      </w:tr>
      <w:tr w:rsidR="000E2C43" w:rsidRPr="00EE47DD" w14:paraId="18385B31"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70F2D5B3"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Aged 50 years or older</w:t>
            </w:r>
          </w:p>
        </w:tc>
        <w:tc>
          <w:tcPr>
            <w:tcW w:w="0" w:type="auto"/>
            <w:shd w:val="clear" w:color="auto" w:fill="auto"/>
            <w:noWrap/>
            <w:tcMar>
              <w:top w:w="15" w:type="dxa"/>
              <w:left w:w="15" w:type="dxa"/>
              <w:bottom w:w="0" w:type="dxa"/>
              <w:right w:w="15" w:type="dxa"/>
            </w:tcMar>
            <w:vAlign w:val="bottom"/>
            <w:hideMark/>
          </w:tcPr>
          <w:p w14:paraId="2EFD2B3D"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0.74</w:t>
            </w:r>
          </w:p>
        </w:tc>
        <w:tc>
          <w:tcPr>
            <w:tcW w:w="0" w:type="auto"/>
            <w:shd w:val="clear" w:color="auto" w:fill="auto"/>
            <w:noWrap/>
            <w:tcMar>
              <w:top w:w="15" w:type="dxa"/>
              <w:left w:w="15" w:type="dxa"/>
              <w:bottom w:w="0" w:type="dxa"/>
              <w:right w:w="15" w:type="dxa"/>
            </w:tcMar>
            <w:vAlign w:val="bottom"/>
            <w:hideMark/>
          </w:tcPr>
          <w:p w14:paraId="41709CB3"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0.65</w:t>
            </w:r>
          </w:p>
        </w:tc>
      </w:tr>
      <w:tr w:rsidR="000E2C43" w:rsidRPr="00EE47DD" w14:paraId="3A504274"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450F2A50"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Identifies as Indigenous</w:t>
            </w:r>
          </w:p>
        </w:tc>
        <w:tc>
          <w:tcPr>
            <w:tcW w:w="0" w:type="auto"/>
            <w:shd w:val="clear" w:color="auto" w:fill="auto"/>
            <w:noWrap/>
            <w:tcMar>
              <w:top w:w="15" w:type="dxa"/>
              <w:left w:w="15" w:type="dxa"/>
              <w:bottom w:w="0" w:type="dxa"/>
              <w:right w:w="15" w:type="dxa"/>
            </w:tcMar>
            <w:vAlign w:val="bottom"/>
            <w:hideMark/>
          </w:tcPr>
          <w:p w14:paraId="71D70BC9"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0.79</w:t>
            </w:r>
          </w:p>
        </w:tc>
        <w:tc>
          <w:tcPr>
            <w:tcW w:w="0" w:type="auto"/>
            <w:shd w:val="clear" w:color="auto" w:fill="auto"/>
            <w:noWrap/>
            <w:tcMar>
              <w:top w:w="15" w:type="dxa"/>
              <w:left w:w="15" w:type="dxa"/>
              <w:bottom w:w="0" w:type="dxa"/>
              <w:right w:w="15" w:type="dxa"/>
            </w:tcMar>
            <w:vAlign w:val="bottom"/>
            <w:hideMark/>
          </w:tcPr>
          <w:p w14:paraId="61EC1E38"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0.71</w:t>
            </w:r>
          </w:p>
        </w:tc>
      </w:tr>
      <w:tr w:rsidR="000E2C43" w:rsidRPr="00EE47DD" w14:paraId="7584A324"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34123C80"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Inner regional  location</w:t>
            </w:r>
          </w:p>
        </w:tc>
        <w:tc>
          <w:tcPr>
            <w:tcW w:w="0" w:type="auto"/>
            <w:shd w:val="clear" w:color="auto" w:fill="auto"/>
            <w:noWrap/>
            <w:tcMar>
              <w:top w:w="15" w:type="dxa"/>
              <w:left w:w="15" w:type="dxa"/>
              <w:bottom w:w="0" w:type="dxa"/>
              <w:right w:w="15" w:type="dxa"/>
            </w:tcMar>
            <w:vAlign w:val="bottom"/>
            <w:hideMark/>
          </w:tcPr>
          <w:p w14:paraId="3AA7C49B"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0.77</w:t>
            </w:r>
          </w:p>
        </w:tc>
        <w:tc>
          <w:tcPr>
            <w:tcW w:w="0" w:type="auto"/>
            <w:shd w:val="clear" w:color="auto" w:fill="auto"/>
            <w:noWrap/>
            <w:tcMar>
              <w:top w:w="15" w:type="dxa"/>
              <w:left w:w="15" w:type="dxa"/>
              <w:bottom w:w="0" w:type="dxa"/>
              <w:right w:w="15" w:type="dxa"/>
            </w:tcMar>
            <w:vAlign w:val="bottom"/>
            <w:hideMark/>
          </w:tcPr>
          <w:p w14:paraId="512E3A6F"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0.69</w:t>
            </w:r>
          </w:p>
        </w:tc>
      </w:tr>
      <w:tr w:rsidR="000E2C43" w:rsidRPr="00EE47DD" w14:paraId="4D7A8808"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7C738EB7"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Outer regional  location</w:t>
            </w:r>
          </w:p>
        </w:tc>
        <w:tc>
          <w:tcPr>
            <w:tcW w:w="0" w:type="auto"/>
            <w:shd w:val="clear" w:color="auto" w:fill="auto"/>
            <w:noWrap/>
            <w:tcMar>
              <w:top w:w="15" w:type="dxa"/>
              <w:left w:w="15" w:type="dxa"/>
              <w:bottom w:w="0" w:type="dxa"/>
              <w:right w:w="15" w:type="dxa"/>
            </w:tcMar>
            <w:vAlign w:val="bottom"/>
            <w:hideMark/>
          </w:tcPr>
          <w:p w14:paraId="7836FF62"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0.79</w:t>
            </w:r>
          </w:p>
        </w:tc>
        <w:tc>
          <w:tcPr>
            <w:tcW w:w="0" w:type="auto"/>
            <w:shd w:val="clear" w:color="auto" w:fill="auto"/>
            <w:noWrap/>
            <w:tcMar>
              <w:top w:w="15" w:type="dxa"/>
              <w:left w:w="15" w:type="dxa"/>
              <w:bottom w:w="0" w:type="dxa"/>
              <w:right w:w="15" w:type="dxa"/>
            </w:tcMar>
            <w:vAlign w:val="bottom"/>
            <w:hideMark/>
          </w:tcPr>
          <w:p w14:paraId="70F04B02"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0.71</w:t>
            </w:r>
          </w:p>
        </w:tc>
      </w:tr>
      <w:tr w:rsidR="000E2C43" w:rsidRPr="00EE47DD" w14:paraId="1F139EC3"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70C181EE"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Less than Year 10 education  </w:t>
            </w:r>
          </w:p>
        </w:tc>
        <w:tc>
          <w:tcPr>
            <w:tcW w:w="0" w:type="auto"/>
            <w:shd w:val="clear" w:color="auto" w:fill="auto"/>
            <w:noWrap/>
            <w:tcMar>
              <w:top w:w="15" w:type="dxa"/>
              <w:left w:w="15" w:type="dxa"/>
              <w:bottom w:w="0" w:type="dxa"/>
              <w:right w:w="15" w:type="dxa"/>
            </w:tcMar>
            <w:vAlign w:val="bottom"/>
            <w:hideMark/>
          </w:tcPr>
          <w:p w14:paraId="4AA27E4C"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0.77</w:t>
            </w:r>
          </w:p>
        </w:tc>
        <w:tc>
          <w:tcPr>
            <w:tcW w:w="0" w:type="auto"/>
            <w:shd w:val="clear" w:color="auto" w:fill="auto"/>
            <w:noWrap/>
            <w:tcMar>
              <w:top w:w="15" w:type="dxa"/>
              <w:left w:w="15" w:type="dxa"/>
              <w:bottom w:w="0" w:type="dxa"/>
              <w:right w:w="15" w:type="dxa"/>
            </w:tcMar>
            <w:vAlign w:val="bottom"/>
            <w:hideMark/>
          </w:tcPr>
          <w:p w14:paraId="56D406BF"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0.68</w:t>
            </w:r>
          </w:p>
        </w:tc>
      </w:tr>
      <w:tr w:rsidR="000E2C43" w:rsidRPr="00EE47DD" w14:paraId="6EE91A6D"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4EBE5C5B"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Year 10 or 11 education </w:t>
            </w:r>
          </w:p>
        </w:tc>
        <w:tc>
          <w:tcPr>
            <w:tcW w:w="0" w:type="auto"/>
            <w:shd w:val="clear" w:color="auto" w:fill="auto"/>
            <w:noWrap/>
            <w:tcMar>
              <w:top w:w="15" w:type="dxa"/>
              <w:left w:w="15" w:type="dxa"/>
              <w:bottom w:w="0" w:type="dxa"/>
              <w:right w:w="15" w:type="dxa"/>
            </w:tcMar>
            <w:vAlign w:val="bottom"/>
            <w:hideMark/>
          </w:tcPr>
          <w:p w14:paraId="77E9EDC4"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0.78</w:t>
            </w:r>
          </w:p>
        </w:tc>
        <w:tc>
          <w:tcPr>
            <w:tcW w:w="0" w:type="auto"/>
            <w:shd w:val="clear" w:color="auto" w:fill="auto"/>
            <w:noWrap/>
            <w:tcMar>
              <w:top w:w="15" w:type="dxa"/>
              <w:left w:w="15" w:type="dxa"/>
              <w:bottom w:w="0" w:type="dxa"/>
              <w:right w:w="15" w:type="dxa"/>
            </w:tcMar>
            <w:vAlign w:val="bottom"/>
            <w:hideMark/>
          </w:tcPr>
          <w:p w14:paraId="645368D2"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0.69</w:t>
            </w:r>
          </w:p>
        </w:tc>
      </w:tr>
      <w:tr w:rsidR="000E2C43" w:rsidRPr="00EE47DD" w14:paraId="59D8FBC4"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7FA7B524"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Year 12 education </w:t>
            </w:r>
          </w:p>
        </w:tc>
        <w:tc>
          <w:tcPr>
            <w:tcW w:w="0" w:type="auto"/>
            <w:shd w:val="clear" w:color="auto" w:fill="auto"/>
            <w:noWrap/>
            <w:tcMar>
              <w:top w:w="15" w:type="dxa"/>
              <w:left w:w="15" w:type="dxa"/>
              <w:bottom w:w="0" w:type="dxa"/>
              <w:right w:w="15" w:type="dxa"/>
            </w:tcMar>
            <w:vAlign w:val="bottom"/>
            <w:hideMark/>
          </w:tcPr>
          <w:p w14:paraId="5FDD157F"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0.78</w:t>
            </w:r>
          </w:p>
        </w:tc>
        <w:tc>
          <w:tcPr>
            <w:tcW w:w="0" w:type="auto"/>
            <w:shd w:val="clear" w:color="auto" w:fill="auto"/>
            <w:noWrap/>
            <w:tcMar>
              <w:top w:w="15" w:type="dxa"/>
              <w:left w:w="15" w:type="dxa"/>
              <w:bottom w:w="0" w:type="dxa"/>
              <w:right w:w="15" w:type="dxa"/>
            </w:tcMar>
            <w:vAlign w:val="bottom"/>
            <w:hideMark/>
          </w:tcPr>
          <w:p w14:paraId="3F8E86DF"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0.70</w:t>
            </w:r>
          </w:p>
        </w:tc>
      </w:tr>
      <w:tr w:rsidR="000E2C43" w:rsidRPr="00EE47DD" w14:paraId="112C6597"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743F7779"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Has a degree  / postgraduate qualification</w:t>
            </w:r>
          </w:p>
        </w:tc>
        <w:tc>
          <w:tcPr>
            <w:tcW w:w="0" w:type="auto"/>
            <w:shd w:val="clear" w:color="auto" w:fill="auto"/>
            <w:noWrap/>
            <w:tcMar>
              <w:top w:w="15" w:type="dxa"/>
              <w:left w:w="15" w:type="dxa"/>
              <w:bottom w:w="0" w:type="dxa"/>
              <w:right w:w="15" w:type="dxa"/>
            </w:tcMar>
            <w:vAlign w:val="bottom"/>
            <w:hideMark/>
          </w:tcPr>
          <w:p w14:paraId="41D76507"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0.86</w:t>
            </w:r>
          </w:p>
        </w:tc>
        <w:tc>
          <w:tcPr>
            <w:tcW w:w="0" w:type="auto"/>
            <w:shd w:val="clear" w:color="auto" w:fill="auto"/>
            <w:noWrap/>
            <w:tcMar>
              <w:top w:w="15" w:type="dxa"/>
              <w:left w:w="15" w:type="dxa"/>
              <w:bottom w:w="0" w:type="dxa"/>
              <w:right w:w="15" w:type="dxa"/>
            </w:tcMar>
            <w:vAlign w:val="bottom"/>
            <w:hideMark/>
          </w:tcPr>
          <w:p w14:paraId="7F4B91FC"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0.80</w:t>
            </w:r>
          </w:p>
        </w:tc>
      </w:tr>
      <w:tr w:rsidR="000E2C43" w:rsidRPr="00EE47DD" w14:paraId="29FAA19E"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6F41FAD7"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Part-time activity tested  </w:t>
            </w:r>
          </w:p>
        </w:tc>
        <w:tc>
          <w:tcPr>
            <w:tcW w:w="0" w:type="auto"/>
            <w:shd w:val="clear" w:color="auto" w:fill="auto"/>
            <w:noWrap/>
            <w:tcMar>
              <w:top w:w="15" w:type="dxa"/>
              <w:left w:w="15" w:type="dxa"/>
              <w:bottom w:w="0" w:type="dxa"/>
              <w:right w:w="15" w:type="dxa"/>
            </w:tcMar>
            <w:vAlign w:val="bottom"/>
            <w:hideMark/>
          </w:tcPr>
          <w:p w14:paraId="5140F1A8"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0.72</w:t>
            </w:r>
          </w:p>
        </w:tc>
        <w:tc>
          <w:tcPr>
            <w:tcW w:w="0" w:type="auto"/>
            <w:shd w:val="clear" w:color="auto" w:fill="auto"/>
            <w:noWrap/>
            <w:tcMar>
              <w:top w:w="15" w:type="dxa"/>
              <w:left w:w="15" w:type="dxa"/>
              <w:bottom w:w="0" w:type="dxa"/>
              <w:right w:w="15" w:type="dxa"/>
            </w:tcMar>
            <w:vAlign w:val="bottom"/>
            <w:hideMark/>
          </w:tcPr>
          <w:p w14:paraId="43839512"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0.63</w:t>
            </w:r>
          </w:p>
        </w:tc>
      </w:tr>
      <w:tr w:rsidR="000E2C43" w:rsidRPr="00EE47DD" w14:paraId="25B9CD09"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0F16E838"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Single parent </w:t>
            </w:r>
          </w:p>
        </w:tc>
        <w:tc>
          <w:tcPr>
            <w:tcW w:w="0" w:type="auto"/>
            <w:shd w:val="clear" w:color="auto" w:fill="auto"/>
            <w:noWrap/>
            <w:tcMar>
              <w:top w:w="15" w:type="dxa"/>
              <w:left w:w="15" w:type="dxa"/>
              <w:bottom w:w="0" w:type="dxa"/>
              <w:right w:w="15" w:type="dxa"/>
            </w:tcMar>
            <w:vAlign w:val="bottom"/>
            <w:hideMark/>
          </w:tcPr>
          <w:p w14:paraId="7CD75A32"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0.63</w:t>
            </w:r>
          </w:p>
        </w:tc>
        <w:tc>
          <w:tcPr>
            <w:tcW w:w="0" w:type="auto"/>
            <w:shd w:val="clear" w:color="auto" w:fill="auto"/>
            <w:noWrap/>
            <w:tcMar>
              <w:top w:w="15" w:type="dxa"/>
              <w:left w:w="15" w:type="dxa"/>
              <w:bottom w:w="0" w:type="dxa"/>
              <w:right w:w="15" w:type="dxa"/>
            </w:tcMar>
            <w:vAlign w:val="bottom"/>
            <w:hideMark/>
          </w:tcPr>
          <w:p w14:paraId="6CAC36A8"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0.53</w:t>
            </w:r>
          </w:p>
        </w:tc>
      </w:tr>
      <w:tr w:rsidR="000E2C43" w:rsidRPr="00EE47DD" w14:paraId="75A8DFBD"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63FB8B70"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With disability</w:t>
            </w:r>
          </w:p>
        </w:tc>
        <w:tc>
          <w:tcPr>
            <w:tcW w:w="0" w:type="auto"/>
            <w:shd w:val="clear" w:color="auto" w:fill="auto"/>
            <w:noWrap/>
            <w:tcMar>
              <w:top w:w="15" w:type="dxa"/>
              <w:left w:w="15" w:type="dxa"/>
              <w:bottom w:w="0" w:type="dxa"/>
              <w:right w:w="15" w:type="dxa"/>
            </w:tcMar>
            <w:vAlign w:val="bottom"/>
            <w:hideMark/>
          </w:tcPr>
          <w:p w14:paraId="4421383B"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0.44</w:t>
            </w:r>
          </w:p>
        </w:tc>
        <w:tc>
          <w:tcPr>
            <w:tcW w:w="0" w:type="auto"/>
            <w:shd w:val="clear" w:color="auto" w:fill="auto"/>
            <w:noWrap/>
            <w:tcMar>
              <w:top w:w="15" w:type="dxa"/>
              <w:left w:w="15" w:type="dxa"/>
              <w:bottom w:w="0" w:type="dxa"/>
              <w:right w:w="15" w:type="dxa"/>
            </w:tcMar>
            <w:vAlign w:val="bottom"/>
            <w:hideMark/>
          </w:tcPr>
          <w:p w14:paraId="49770287"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0.34</w:t>
            </w:r>
          </w:p>
        </w:tc>
      </w:tr>
      <w:tr w:rsidR="000E2C43" w:rsidRPr="00EE47DD" w14:paraId="5945D71E"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6A9C48AC"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 xml:space="preserve">Medium disadvantaged country of birth  </w:t>
            </w:r>
          </w:p>
        </w:tc>
        <w:tc>
          <w:tcPr>
            <w:tcW w:w="0" w:type="auto"/>
            <w:shd w:val="clear" w:color="auto" w:fill="auto"/>
            <w:noWrap/>
            <w:tcMar>
              <w:top w:w="15" w:type="dxa"/>
              <w:left w:w="15" w:type="dxa"/>
              <w:bottom w:w="0" w:type="dxa"/>
              <w:right w:w="15" w:type="dxa"/>
            </w:tcMar>
            <w:vAlign w:val="bottom"/>
            <w:hideMark/>
          </w:tcPr>
          <w:p w14:paraId="089CE7CC"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0.57</w:t>
            </w:r>
          </w:p>
        </w:tc>
        <w:tc>
          <w:tcPr>
            <w:tcW w:w="0" w:type="auto"/>
            <w:shd w:val="clear" w:color="auto" w:fill="auto"/>
            <w:noWrap/>
            <w:tcMar>
              <w:top w:w="15" w:type="dxa"/>
              <w:left w:w="15" w:type="dxa"/>
              <w:bottom w:w="0" w:type="dxa"/>
              <w:right w:w="15" w:type="dxa"/>
            </w:tcMar>
            <w:vAlign w:val="bottom"/>
            <w:hideMark/>
          </w:tcPr>
          <w:p w14:paraId="06753383"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0.46</w:t>
            </w:r>
          </w:p>
        </w:tc>
      </w:tr>
      <w:tr w:rsidR="000E2C43" w:rsidRPr="00EE47DD" w14:paraId="0B10493A" w14:textId="77777777" w:rsidTr="00946ACE">
        <w:trPr>
          <w:trHeight w:hRule="exact" w:val="170"/>
          <w:jc w:val="center"/>
        </w:trPr>
        <w:tc>
          <w:tcPr>
            <w:tcW w:w="0" w:type="auto"/>
            <w:shd w:val="clear" w:color="auto" w:fill="auto"/>
            <w:noWrap/>
            <w:tcMar>
              <w:top w:w="15" w:type="dxa"/>
              <w:left w:w="15" w:type="dxa"/>
              <w:bottom w:w="0" w:type="dxa"/>
              <w:right w:w="15" w:type="dxa"/>
            </w:tcMar>
            <w:vAlign w:val="bottom"/>
            <w:hideMark/>
          </w:tcPr>
          <w:p w14:paraId="675A9262" w14:textId="77777777" w:rsidR="00103BC3" w:rsidRPr="00EE47DD" w:rsidRDefault="00103BC3" w:rsidP="00946ACE">
            <w:pPr>
              <w:spacing w:after="166"/>
              <w:rPr>
                <w:rFonts w:cstheme="minorHAnsi"/>
                <w:color w:val="FFFFFF" w:themeColor="background2"/>
                <w:sz w:val="16"/>
                <w:szCs w:val="16"/>
              </w:rPr>
            </w:pPr>
            <w:r w:rsidRPr="00EE47DD">
              <w:rPr>
                <w:rFonts w:cstheme="minorHAnsi"/>
                <w:color w:val="FFFFFF" w:themeColor="background2"/>
                <w:sz w:val="16"/>
                <w:szCs w:val="16"/>
              </w:rPr>
              <w:t>High disadvantaged country of birth</w:t>
            </w:r>
          </w:p>
        </w:tc>
        <w:tc>
          <w:tcPr>
            <w:tcW w:w="0" w:type="auto"/>
            <w:shd w:val="clear" w:color="auto" w:fill="auto"/>
            <w:noWrap/>
            <w:tcMar>
              <w:top w:w="15" w:type="dxa"/>
              <w:left w:w="15" w:type="dxa"/>
              <w:bottom w:w="0" w:type="dxa"/>
              <w:right w:w="15" w:type="dxa"/>
            </w:tcMar>
            <w:vAlign w:val="bottom"/>
            <w:hideMark/>
          </w:tcPr>
          <w:p w14:paraId="18AE9671"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0.65</w:t>
            </w:r>
          </w:p>
        </w:tc>
        <w:tc>
          <w:tcPr>
            <w:tcW w:w="0" w:type="auto"/>
            <w:shd w:val="clear" w:color="auto" w:fill="auto"/>
            <w:noWrap/>
            <w:tcMar>
              <w:top w:w="15" w:type="dxa"/>
              <w:left w:w="15" w:type="dxa"/>
              <w:bottom w:w="0" w:type="dxa"/>
              <w:right w:w="15" w:type="dxa"/>
            </w:tcMar>
            <w:vAlign w:val="bottom"/>
            <w:hideMark/>
          </w:tcPr>
          <w:p w14:paraId="7CCE228C" w14:textId="77777777" w:rsidR="00103BC3" w:rsidRPr="00EE47DD" w:rsidRDefault="00103BC3" w:rsidP="004F3B01">
            <w:pPr>
              <w:spacing w:after="166"/>
              <w:jc w:val="right"/>
              <w:rPr>
                <w:rFonts w:cstheme="minorHAnsi"/>
                <w:color w:val="FFFFFF" w:themeColor="background2"/>
                <w:sz w:val="16"/>
                <w:szCs w:val="16"/>
              </w:rPr>
            </w:pPr>
            <w:r w:rsidRPr="00EE47DD">
              <w:rPr>
                <w:rFonts w:cstheme="minorHAnsi"/>
                <w:color w:val="FFFFFF" w:themeColor="background2"/>
                <w:sz w:val="16"/>
                <w:szCs w:val="16"/>
              </w:rPr>
              <w:t>0.55</w:t>
            </w:r>
          </w:p>
        </w:tc>
      </w:tr>
    </w:tbl>
    <w:p w14:paraId="0AD5ECFF" w14:textId="77777777" w:rsidR="00940332" w:rsidRPr="009C3C01" w:rsidRDefault="00940332" w:rsidP="00EE47DD">
      <w:pPr>
        <w:pStyle w:val="Notes"/>
        <w:spacing w:before="2800"/>
      </w:pPr>
      <w:r w:rsidRPr="00940332">
        <w:rPr>
          <w:b/>
        </w:rPr>
        <w:t>Note</w:t>
      </w:r>
      <w:r>
        <w:t>:</w:t>
      </w:r>
      <w:r>
        <w:tab/>
      </w:r>
      <w:r w:rsidRPr="001F28F1">
        <w:t>Refer</w:t>
      </w:r>
      <w:r w:rsidRPr="001F28F1">
        <w:rPr>
          <w:rStyle w:val="NotesChar"/>
        </w:rPr>
        <w:t xml:space="preserve"> </w:t>
      </w:r>
      <w:hyperlink w:anchor="Title_A223" w:history="1">
        <w:r w:rsidRPr="005F1335">
          <w:rPr>
            <w:rStyle w:val="Hyperlink"/>
          </w:rPr>
          <w:t>Appendix</w:t>
        </w:r>
        <w:r w:rsidRPr="005F1335">
          <w:rPr>
            <w:rStyle w:val="Hyperlink"/>
            <w:rFonts w:eastAsiaTheme="minorEastAsia"/>
          </w:rPr>
          <w:t xml:space="preserve"> A</w:t>
        </w:r>
        <w:r w:rsidR="000748CA" w:rsidRPr="005F1335">
          <w:rPr>
            <w:rStyle w:val="Hyperlink"/>
            <w:rFonts w:eastAsiaTheme="minorEastAsia"/>
          </w:rPr>
          <w:t>2</w:t>
        </w:r>
        <w:r w:rsidRPr="005F1335">
          <w:rPr>
            <w:rStyle w:val="Hyperlink"/>
            <w:rFonts w:eastAsiaTheme="minorEastAsia"/>
          </w:rPr>
          <w:t>, Table A2.23</w:t>
        </w:r>
      </w:hyperlink>
      <w:r>
        <w:rPr>
          <w:rStyle w:val="NotesChar"/>
          <w:rFonts w:eastAsiaTheme="minorEastAsia"/>
        </w:rPr>
        <w:t>.</w:t>
      </w:r>
      <w:bookmarkStart w:id="306" w:name="Place_A223"/>
      <w:bookmarkEnd w:id="306"/>
    </w:p>
    <w:p w14:paraId="4BF1AB95" w14:textId="77777777" w:rsidR="008338FF" w:rsidRPr="008F7468" w:rsidRDefault="008338FF" w:rsidP="007C112F">
      <w:pPr>
        <w:pStyle w:val="Source"/>
      </w:pPr>
      <w:r w:rsidRPr="00EC5DCC">
        <w:rPr>
          <w:b/>
        </w:rPr>
        <w:t xml:space="preserve">Source: </w:t>
      </w:r>
      <w:r w:rsidRPr="008F7468">
        <w:rPr>
          <w:b/>
        </w:rPr>
        <w:tab/>
      </w:r>
      <w:r w:rsidRPr="008F7468">
        <w:t>Department of Employment administrative data</w:t>
      </w:r>
      <w:r w:rsidR="007C112F">
        <w:t xml:space="preserve"> and Research and Evaluation datatset (RED)</w:t>
      </w:r>
      <w:r w:rsidRPr="008F7468">
        <w:t>.</w:t>
      </w:r>
    </w:p>
    <w:p w14:paraId="11504EC5" w14:textId="77777777" w:rsidR="009C3C01" w:rsidRPr="009C3C01" w:rsidRDefault="009C3C01" w:rsidP="009C3C01">
      <w:pPr>
        <w:rPr>
          <w:rFonts w:eastAsiaTheme="majorEastAsia"/>
        </w:rPr>
      </w:pPr>
      <w:r w:rsidRPr="009C3C01">
        <w:rPr>
          <w:rFonts w:eastAsiaTheme="majorEastAsia"/>
        </w:rPr>
        <w:t xml:space="preserve">The types of job seekers most affected by the combined effect of all changes in terms of this outcome measure (as they had a lower probability of achieving </w:t>
      </w:r>
      <w:r w:rsidR="00FB21C5">
        <w:rPr>
          <w:rFonts w:eastAsiaTheme="majorEastAsia"/>
        </w:rPr>
        <w:t>this</w:t>
      </w:r>
      <w:r w:rsidRPr="009C3C01">
        <w:rPr>
          <w:rFonts w:eastAsiaTheme="majorEastAsia"/>
        </w:rPr>
        <w:t xml:space="preserve"> outcome in JSA 2012) were:</w:t>
      </w:r>
    </w:p>
    <w:tbl>
      <w:tblPr>
        <w:tblW w:w="8931" w:type="dxa"/>
        <w:tblInd w:w="108" w:type="dxa"/>
        <w:tblBorders>
          <w:top w:val="single" w:sz="4" w:space="0" w:color="B2B2B2" w:themeColor="background1" w:themeTint="99"/>
          <w:bottom w:val="single" w:sz="4" w:space="0" w:color="B2B2B2" w:themeColor="background1" w:themeTint="99"/>
          <w:insideH w:val="single" w:sz="4" w:space="0" w:color="B2B2B2" w:themeColor="background1" w:themeTint="99"/>
        </w:tblBorders>
        <w:tblLook w:val="04A0" w:firstRow="1" w:lastRow="0" w:firstColumn="1" w:lastColumn="0" w:noHBand="0" w:noVBand="1"/>
      </w:tblPr>
      <w:tblGrid>
        <w:gridCol w:w="4678"/>
        <w:gridCol w:w="4253"/>
      </w:tblGrid>
      <w:tr w:rsidR="009C3C01" w:rsidRPr="009C3C01" w14:paraId="4870014F" w14:textId="77777777" w:rsidTr="00D319E7">
        <w:trPr>
          <w:trHeight w:val="284"/>
        </w:trPr>
        <w:tc>
          <w:tcPr>
            <w:tcW w:w="4678" w:type="dxa"/>
          </w:tcPr>
          <w:p w14:paraId="50EA94A9" w14:textId="77777777" w:rsidR="009C3C01" w:rsidRPr="009C3C01" w:rsidRDefault="009C3C01" w:rsidP="009C3C01">
            <w:pPr>
              <w:spacing w:after="0"/>
              <w:ind w:left="470" w:hanging="470"/>
              <w:rPr>
                <w:sz w:val="19"/>
                <w:szCs w:val="19"/>
              </w:rPr>
            </w:pPr>
            <w:r w:rsidRPr="009C3C01">
              <w:rPr>
                <w:sz w:val="19"/>
                <w:szCs w:val="19"/>
              </w:rPr>
              <w:t>job seekers with disability</w:t>
            </w:r>
          </w:p>
        </w:tc>
        <w:tc>
          <w:tcPr>
            <w:tcW w:w="4253" w:type="dxa"/>
          </w:tcPr>
          <w:p w14:paraId="525600F8" w14:textId="77777777" w:rsidR="009C3C01" w:rsidRPr="009C3C01" w:rsidRDefault="009C3C01" w:rsidP="009C3C01">
            <w:pPr>
              <w:spacing w:after="0"/>
              <w:rPr>
                <w:sz w:val="19"/>
                <w:szCs w:val="19"/>
              </w:rPr>
            </w:pPr>
            <w:r w:rsidRPr="009C3C01">
              <w:rPr>
                <w:sz w:val="19"/>
                <w:szCs w:val="19"/>
              </w:rPr>
              <w:t>23.7 per cent less likely to be off income support</w:t>
            </w:r>
          </w:p>
        </w:tc>
      </w:tr>
      <w:tr w:rsidR="009C3C01" w:rsidRPr="009C3C01" w14:paraId="41FE102C" w14:textId="77777777" w:rsidTr="00D319E7">
        <w:trPr>
          <w:trHeight w:val="284"/>
        </w:trPr>
        <w:tc>
          <w:tcPr>
            <w:tcW w:w="4678" w:type="dxa"/>
          </w:tcPr>
          <w:p w14:paraId="0BEF1E07" w14:textId="77777777" w:rsidR="009C3C01" w:rsidRPr="009C3C01" w:rsidRDefault="009C3C01" w:rsidP="009C3C01">
            <w:pPr>
              <w:spacing w:after="0"/>
              <w:ind w:left="-649" w:firstLine="649"/>
              <w:rPr>
                <w:sz w:val="19"/>
                <w:szCs w:val="19"/>
              </w:rPr>
            </w:pPr>
            <w:r w:rsidRPr="009C3C01">
              <w:rPr>
                <w:sz w:val="19"/>
                <w:szCs w:val="19"/>
              </w:rPr>
              <w:t>single parents</w:t>
            </w:r>
          </w:p>
        </w:tc>
        <w:tc>
          <w:tcPr>
            <w:tcW w:w="4253" w:type="dxa"/>
          </w:tcPr>
          <w:p w14:paraId="6F5F9C5A" w14:textId="77777777" w:rsidR="009C3C01" w:rsidRPr="009C3C01" w:rsidRDefault="009C3C01" w:rsidP="009C3C01">
            <w:pPr>
              <w:spacing w:after="0"/>
              <w:rPr>
                <w:sz w:val="19"/>
                <w:szCs w:val="19"/>
              </w:rPr>
            </w:pPr>
            <w:r w:rsidRPr="009C3C01">
              <w:rPr>
                <w:sz w:val="19"/>
                <w:szCs w:val="19"/>
              </w:rPr>
              <w:t>16.9 per cent less likely to be off income support</w:t>
            </w:r>
          </w:p>
        </w:tc>
      </w:tr>
      <w:tr w:rsidR="009C3C01" w:rsidRPr="009C3C01" w14:paraId="5B90BF12" w14:textId="77777777" w:rsidTr="00D319E7">
        <w:trPr>
          <w:trHeight w:val="284"/>
        </w:trPr>
        <w:tc>
          <w:tcPr>
            <w:tcW w:w="4678" w:type="dxa"/>
          </w:tcPr>
          <w:p w14:paraId="4ABF3BFB" w14:textId="77777777" w:rsidR="009C3C01" w:rsidRPr="009C3C01" w:rsidRDefault="009C3C01" w:rsidP="009C3C01">
            <w:pPr>
              <w:spacing w:after="0"/>
              <w:rPr>
                <w:sz w:val="19"/>
                <w:szCs w:val="19"/>
              </w:rPr>
            </w:pPr>
            <w:r w:rsidRPr="009C3C01">
              <w:rPr>
                <w:sz w:val="19"/>
                <w:szCs w:val="19"/>
              </w:rPr>
              <w:t>job seekers from a country with medium disadvantage</w:t>
            </w:r>
          </w:p>
        </w:tc>
        <w:tc>
          <w:tcPr>
            <w:tcW w:w="4253" w:type="dxa"/>
          </w:tcPr>
          <w:p w14:paraId="256CD76A" w14:textId="77777777" w:rsidR="009C3C01" w:rsidRPr="009C3C01" w:rsidRDefault="009C3C01" w:rsidP="009C3C01">
            <w:pPr>
              <w:spacing w:after="0"/>
              <w:rPr>
                <w:sz w:val="19"/>
                <w:szCs w:val="19"/>
              </w:rPr>
            </w:pPr>
            <w:r w:rsidRPr="009C3C01">
              <w:rPr>
                <w:sz w:val="19"/>
                <w:szCs w:val="19"/>
              </w:rPr>
              <w:t>19.4 per cent less likely to be off income support</w:t>
            </w:r>
          </w:p>
        </w:tc>
      </w:tr>
      <w:tr w:rsidR="009C3C01" w:rsidRPr="009C3C01" w14:paraId="460476A4" w14:textId="77777777" w:rsidTr="00D319E7">
        <w:trPr>
          <w:trHeight w:val="284"/>
        </w:trPr>
        <w:tc>
          <w:tcPr>
            <w:tcW w:w="4678" w:type="dxa"/>
          </w:tcPr>
          <w:p w14:paraId="5AFEECE7" w14:textId="77777777" w:rsidR="009C3C01" w:rsidRPr="009C3C01" w:rsidRDefault="009C3C01" w:rsidP="009C3C01">
            <w:pPr>
              <w:spacing w:after="0"/>
              <w:rPr>
                <w:sz w:val="19"/>
                <w:szCs w:val="19"/>
              </w:rPr>
            </w:pPr>
            <w:r w:rsidRPr="009C3C01">
              <w:rPr>
                <w:sz w:val="19"/>
                <w:szCs w:val="19"/>
              </w:rPr>
              <w:t>job seekers from a country with high disadvantage</w:t>
            </w:r>
          </w:p>
        </w:tc>
        <w:tc>
          <w:tcPr>
            <w:tcW w:w="4253" w:type="dxa"/>
          </w:tcPr>
          <w:p w14:paraId="00D3522F" w14:textId="77777777" w:rsidR="009C3C01" w:rsidRPr="009C3C01" w:rsidRDefault="009C3C01" w:rsidP="009C3C01">
            <w:pPr>
              <w:spacing w:after="0"/>
              <w:rPr>
                <w:sz w:val="19"/>
                <w:szCs w:val="19"/>
              </w:rPr>
            </w:pPr>
            <w:r w:rsidRPr="009C3C01">
              <w:rPr>
                <w:sz w:val="19"/>
                <w:szCs w:val="19"/>
              </w:rPr>
              <w:t>16.3 per cent less likely to be off income support</w:t>
            </w:r>
          </w:p>
        </w:tc>
      </w:tr>
      <w:tr w:rsidR="009C3C01" w:rsidRPr="009C3C01" w14:paraId="54A1FA1B" w14:textId="77777777" w:rsidTr="00D319E7">
        <w:trPr>
          <w:trHeight w:val="284"/>
        </w:trPr>
        <w:tc>
          <w:tcPr>
            <w:tcW w:w="4678" w:type="dxa"/>
          </w:tcPr>
          <w:p w14:paraId="344859CE" w14:textId="77777777" w:rsidR="009C3C01" w:rsidRPr="009C3C01" w:rsidRDefault="009C3C01" w:rsidP="009C3C01">
            <w:pPr>
              <w:spacing w:after="0"/>
              <w:rPr>
                <w:sz w:val="19"/>
                <w:szCs w:val="19"/>
              </w:rPr>
            </w:pPr>
            <w:r w:rsidRPr="009C3C01">
              <w:rPr>
                <w:sz w:val="19"/>
                <w:szCs w:val="19"/>
              </w:rPr>
              <w:t>job seekers aged over 50 years</w:t>
            </w:r>
          </w:p>
        </w:tc>
        <w:tc>
          <w:tcPr>
            <w:tcW w:w="4253" w:type="dxa"/>
          </w:tcPr>
          <w:p w14:paraId="56AA0C2D" w14:textId="77777777" w:rsidR="009C3C01" w:rsidRPr="009C3C01" w:rsidRDefault="009C3C01" w:rsidP="00961617">
            <w:pPr>
              <w:numPr>
                <w:ilvl w:val="1"/>
                <w:numId w:val="26"/>
              </w:numPr>
              <w:spacing w:after="0"/>
              <w:ind w:left="298" w:hanging="298"/>
              <w:contextualSpacing/>
              <w:rPr>
                <w:sz w:val="19"/>
                <w:szCs w:val="19"/>
              </w:rPr>
            </w:pPr>
            <w:r w:rsidRPr="009C3C01">
              <w:rPr>
                <w:sz w:val="19"/>
                <w:szCs w:val="19"/>
              </w:rPr>
              <w:t xml:space="preserve"> per cent less likely to be off income support</w:t>
            </w:r>
          </w:p>
        </w:tc>
      </w:tr>
    </w:tbl>
    <w:p w14:paraId="6504BCE4" w14:textId="77777777" w:rsidR="009C3C01" w:rsidRPr="009C3C01" w:rsidRDefault="00904C78" w:rsidP="00904C78">
      <w:pPr>
        <w:pStyle w:val="Heading3"/>
      </w:pPr>
      <w:bookmarkStart w:id="307" w:name="_Toc22543091"/>
      <w:r>
        <w:t>4.</w:t>
      </w:r>
      <w:r w:rsidR="00A00C00">
        <w:t>2</w:t>
      </w:r>
      <w:r>
        <w:t>.5</w:t>
      </w:r>
      <w:r>
        <w:tab/>
      </w:r>
      <w:r w:rsidR="009C3C01" w:rsidRPr="009C3C01">
        <w:t>Cost effectiveness</w:t>
      </w:r>
      <w:bookmarkEnd w:id="307"/>
    </w:p>
    <w:p w14:paraId="01CF63EE" w14:textId="77777777" w:rsidR="009C3C01" w:rsidRPr="009C3C01" w:rsidRDefault="009C3C01" w:rsidP="009C3C01">
      <w:r w:rsidRPr="009C3C01">
        <w:t>Cost-effectiveness analysis compares the relative costs and outcomes (including direct and indirect longer-term outcomes) for different options reflecting the interests of all stakeholders affected by the programme.</w:t>
      </w:r>
      <w:r w:rsidR="006F2D74">
        <w:rPr>
          <w:rStyle w:val="FootnoteReference"/>
        </w:rPr>
        <w:footnoteReference w:id="36"/>
      </w:r>
    </w:p>
    <w:p w14:paraId="0C39408F" w14:textId="77777777" w:rsidR="001C2116" w:rsidRDefault="001C2116" w:rsidP="001253C6">
      <w:pPr>
        <w:pStyle w:val="Heading4"/>
      </w:pPr>
      <w:r>
        <w:t>Cost to programme</w:t>
      </w:r>
    </w:p>
    <w:p w14:paraId="0B6E700B" w14:textId="77777777" w:rsidR="00F347F8" w:rsidRPr="00F347F8" w:rsidRDefault="00F347F8" w:rsidP="00F347F8">
      <w:r w:rsidRPr="00F347F8">
        <w:t>Taking account</w:t>
      </w:r>
      <w:r w:rsidR="001253C6">
        <w:t xml:space="preserve"> of</w:t>
      </w:r>
      <w:r w:rsidRPr="00F347F8">
        <w:t xml:space="preserve"> service</w:t>
      </w:r>
      <w:r w:rsidR="001C2116">
        <w:t xml:space="preserve"> and placement</w:t>
      </w:r>
      <w:r w:rsidRPr="00F347F8">
        <w:t xml:space="preserve"> fees</w:t>
      </w:r>
      <w:r w:rsidR="001C2116">
        <w:t xml:space="preserve"> paid to providers and </w:t>
      </w:r>
      <w:r w:rsidRPr="00F347F8">
        <w:t>E</w:t>
      </w:r>
      <w:r w:rsidR="001C2116">
        <w:t xml:space="preserve">mployment </w:t>
      </w:r>
      <w:r w:rsidRPr="00F347F8">
        <w:t>P</w:t>
      </w:r>
      <w:r w:rsidR="001C2116">
        <w:t xml:space="preserve">athway </w:t>
      </w:r>
      <w:r w:rsidRPr="00F347F8">
        <w:t>F</w:t>
      </w:r>
      <w:r w:rsidR="001C2116">
        <w:t>und (EPF) expenditure</w:t>
      </w:r>
      <w:r w:rsidRPr="00F347F8">
        <w:t xml:space="preserve">, the average cost of servicing a reference job seeker </w:t>
      </w:r>
      <w:r w:rsidR="0065189E">
        <w:t xml:space="preserve">in </w:t>
      </w:r>
      <w:r w:rsidRPr="00F347F8">
        <w:t xml:space="preserve">the first year </w:t>
      </w:r>
      <w:r w:rsidR="0065189E">
        <w:t>since commencement</w:t>
      </w:r>
      <w:r w:rsidR="0065189E" w:rsidRPr="00F347F8">
        <w:t xml:space="preserve"> </w:t>
      </w:r>
      <w:r w:rsidR="0065189E">
        <w:t xml:space="preserve">in JSA 2009 </w:t>
      </w:r>
      <w:r w:rsidRPr="00F347F8">
        <w:t xml:space="preserve">was $435 </w:t>
      </w:r>
      <w:r w:rsidR="0065189E">
        <w:t>compared with</w:t>
      </w:r>
      <w:r w:rsidRPr="00F347F8">
        <w:t xml:space="preserve"> $325 </w:t>
      </w:r>
      <w:r w:rsidR="0065189E">
        <w:t>in</w:t>
      </w:r>
      <w:r w:rsidR="0065189E" w:rsidRPr="00F347F8">
        <w:t xml:space="preserve"> </w:t>
      </w:r>
      <w:r w:rsidRPr="00F347F8">
        <w:t>JSA 2012.</w:t>
      </w:r>
      <w:r w:rsidRPr="00F347F8">
        <w:rPr>
          <w:sz w:val="18"/>
          <w:vertAlign w:val="superscript"/>
        </w:rPr>
        <w:footnoteReference w:id="37"/>
      </w:r>
      <w:r w:rsidRPr="00F347F8">
        <w:t xml:space="preserve"> This gives a </w:t>
      </w:r>
      <w:r>
        <w:t>cost effectiveness ratio (</w:t>
      </w:r>
      <w:r w:rsidRPr="00F347F8">
        <w:t>CER</w:t>
      </w:r>
      <w:r>
        <w:t>)</w:t>
      </w:r>
      <w:r w:rsidRPr="00F347F8">
        <w:t xml:space="preserve"> of 0.7</w:t>
      </w:r>
      <w:r w:rsidRPr="007B7524">
        <w:rPr>
          <w:rStyle w:val="FootnoteReference"/>
        </w:rPr>
        <w:footnoteReference w:id="38"/>
      </w:r>
      <w:r w:rsidRPr="00F347F8">
        <w:t>, indicating that JSA 2012</w:t>
      </w:r>
      <w:r>
        <w:t xml:space="preserve"> wa</w:t>
      </w:r>
      <w:r w:rsidRPr="00F347F8">
        <w:t>s more cost-effective than JSA 2009.</w:t>
      </w:r>
    </w:p>
    <w:p w14:paraId="26CD020C" w14:textId="77777777" w:rsidR="00F347F8" w:rsidRPr="00F347F8" w:rsidRDefault="00F347F8" w:rsidP="00F347F8">
      <w:r w:rsidRPr="00F347F8">
        <w:t xml:space="preserve">The CERs for each of the demographic groups </w:t>
      </w:r>
      <w:r w:rsidR="004B507B">
        <w:t>shown</w:t>
      </w:r>
      <w:r w:rsidRPr="00F347F8">
        <w:t xml:space="preserve"> in </w:t>
      </w:r>
      <w:hyperlink w:anchor="Title_A224" w:history="1">
        <w:r w:rsidRPr="005F1335">
          <w:rPr>
            <w:rStyle w:val="Hyperlink"/>
          </w:rPr>
          <w:t>Table A2.</w:t>
        </w:r>
        <w:r w:rsidR="00940332" w:rsidRPr="005F1335">
          <w:rPr>
            <w:rStyle w:val="Hyperlink"/>
          </w:rPr>
          <w:t>24</w:t>
        </w:r>
        <w:bookmarkStart w:id="308" w:name="Place_A224"/>
        <w:bookmarkEnd w:id="308"/>
      </w:hyperlink>
      <w:r w:rsidR="00DE7FB3" w:rsidRPr="00F347F8">
        <w:t xml:space="preserve"> </w:t>
      </w:r>
      <w:r w:rsidRPr="00F347F8">
        <w:t xml:space="preserve">are fairly similar, with ratios ranging from 0.5 to 0.8. This cost to programme result is unsurprising as </w:t>
      </w:r>
      <w:r>
        <w:t xml:space="preserve">Stream 1 </w:t>
      </w:r>
      <w:r w:rsidRPr="00F347F8">
        <w:t>service fees were drastically reduced between the two models (from a possible maximum of $781 to $581).</w:t>
      </w:r>
    </w:p>
    <w:p w14:paraId="21D44973" w14:textId="77777777" w:rsidR="00F347F8" w:rsidRPr="00F347F8" w:rsidRDefault="00F347F8" w:rsidP="00F347F8">
      <w:r w:rsidRPr="00F347F8">
        <w:t xml:space="preserve">Under both models, outcome payments were not paid in the first 12 months in service, therefore service fees contribute the bulk of costs in this timeframe. The only change under JSA 2012 that </w:t>
      </w:r>
      <w:r w:rsidR="001253C6">
        <w:t>may</w:t>
      </w:r>
      <w:r w:rsidR="001253C6" w:rsidRPr="00F347F8">
        <w:t xml:space="preserve"> </w:t>
      </w:r>
      <w:r w:rsidRPr="00F347F8">
        <w:t>have potentially increased costs was the introduction of job placement fees in the first 13 weeks of service.</w:t>
      </w:r>
      <w:r w:rsidRPr="00B52FEF">
        <w:rPr>
          <w:rStyle w:val="FootnoteReference"/>
        </w:rPr>
        <w:footnoteReference w:id="39"/>
      </w:r>
    </w:p>
    <w:p w14:paraId="68129179" w14:textId="77777777" w:rsidR="0065189E" w:rsidRDefault="0065189E" w:rsidP="004F6AA1">
      <w:pPr>
        <w:pStyle w:val="Heading4"/>
        <w:rPr>
          <w:lang w:val="en-GB"/>
        </w:rPr>
      </w:pPr>
      <w:r>
        <w:rPr>
          <w:lang w:val="en-GB"/>
        </w:rPr>
        <w:t>Overall cost effectiveness</w:t>
      </w:r>
    </w:p>
    <w:p w14:paraId="2B63C0DA" w14:textId="77777777" w:rsidR="009C3C01" w:rsidRPr="009C3C01" w:rsidRDefault="009C3C01" w:rsidP="009C3C01">
      <w:pPr>
        <w:suppressAutoHyphens/>
        <w:autoSpaceDE w:val="0"/>
        <w:autoSpaceDN w:val="0"/>
        <w:adjustRightInd w:val="0"/>
        <w:spacing w:after="120"/>
        <w:textAlignment w:val="center"/>
        <w:rPr>
          <w:rFonts w:eastAsiaTheme="majorEastAsia" w:cs="Garamond"/>
          <w:color w:val="000000"/>
          <w:lang w:val="en-GB"/>
        </w:rPr>
      </w:pPr>
      <w:r w:rsidRPr="009C3C01">
        <w:rPr>
          <w:rFonts w:eastAsiaTheme="majorEastAsia" w:cs="Garamond"/>
          <w:color w:val="000000"/>
          <w:lang w:val="en-GB"/>
        </w:rPr>
        <w:t>There are limitations to this simple cost-effectiveness measure as it does not take account of medium to longer</w:t>
      </w:r>
      <w:r w:rsidR="006453ED">
        <w:rPr>
          <w:rFonts w:eastAsiaTheme="majorEastAsia" w:cs="Garamond"/>
          <w:color w:val="000000"/>
          <w:lang w:val="en-GB"/>
        </w:rPr>
        <w:t>-</w:t>
      </w:r>
      <w:r w:rsidRPr="009C3C01">
        <w:rPr>
          <w:rFonts w:eastAsiaTheme="majorEastAsia" w:cs="Garamond"/>
          <w:color w:val="000000"/>
          <w:lang w:val="en-GB"/>
        </w:rPr>
        <w:t>term outcomes or costs to government apart from direct programme costs. It also does not include costs to job seekers, their families or the wider community. A robust measure should consider all these costs.</w:t>
      </w:r>
    </w:p>
    <w:p w14:paraId="2CEA2245" w14:textId="77777777" w:rsidR="00F347F8" w:rsidRPr="00F347F8" w:rsidRDefault="00F347F8" w:rsidP="00F347F8">
      <w:r w:rsidRPr="00F347F8">
        <w:t xml:space="preserve">One significant </w:t>
      </w:r>
      <w:r w:rsidR="0065189E">
        <w:t xml:space="preserve">cost to </w:t>
      </w:r>
      <w:r w:rsidRPr="00F347F8">
        <w:t>government that can be estimated and included in a more refined cost effectiveness measure is the effect on income support payments. Around 72.5 per cent of the JSA 2012 study population were full</w:t>
      </w:r>
      <w:r w:rsidR="004F6AA1">
        <w:t>-</w:t>
      </w:r>
      <w:r w:rsidRPr="00F347F8">
        <w:t>time activity tested and on income support when they commenced in service.</w:t>
      </w:r>
      <w:r w:rsidRPr="008338FF">
        <w:rPr>
          <w:rStyle w:val="FootnoteReference"/>
        </w:rPr>
        <w:footnoteReference w:id="40"/>
      </w:r>
      <w:r w:rsidRPr="008338FF">
        <w:rPr>
          <w:rStyle w:val="FootnoteReference"/>
        </w:rPr>
        <w:t xml:space="preserve"> </w:t>
      </w:r>
      <w:r w:rsidRPr="00F347F8">
        <w:t>A full-time activity tested reference type job seeker on income support under JSA 2012 is estimated to have been receiving an average daily basic entitlement of $30.74.</w:t>
      </w:r>
      <w:r w:rsidRPr="00F347F8">
        <w:rPr>
          <w:sz w:val="18"/>
          <w:vertAlign w:val="superscript"/>
        </w:rPr>
        <w:t xml:space="preserve"> </w:t>
      </w:r>
      <w:r w:rsidRPr="008338FF">
        <w:rPr>
          <w:rStyle w:val="FootnoteReference"/>
        </w:rPr>
        <w:footnoteReference w:id="41"/>
      </w:r>
      <w:r w:rsidRPr="008338FF">
        <w:rPr>
          <w:rStyle w:val="FootnoteReference"/>
        </w:rPr>
        <w:t xml:space="preserve"> </w:t>
      </w:r>
      <w:r w:rsidRPr="008338FF">
        <w:rPr>
          <w:rStyle w:val="FootnoteReference"/>
        </w:rPr>
        <w:footnoteReference w:id="42"/>
      </w:r>
    </w:p>
    <w:p w14:paraId="2D3177F3" w14:textId="0ECC6E19" w:rsidR="00F347F8" w:rsidRPr="00F347F8" w:rsidRDefault="00F347F8" w:rsidP="00F347F8">
      <w:r w:rsidRPr="00F347F8">
        <w:t xml:space="preserve">For the reference </w:t>
      </w:r>
      <w:r w:rsidR="009245F1">
        <w:t xml:space="preserve">type </w:t>
      </w:r>
      <w:r w:rsidRPr="00F347F8">
        <w:t xml:space="preserve">job seeker </w:t>
      </w:r>
      <w:r w:rsidR="004F6AA1">
        <w:t>(</w:t>
      </w:r>
      <w:r w:rsidRPr="00F347F8">
        <w:t xml:space="preserve">used throughout this </w:t>
      </w:r>
      <w:r w:rsidR="0065189E">
        <w:t>chapter</w:t>
      </w:r>
      <w:r w:rsidR="004F6AA1">
        <w:t>)</w:t>
      </w:r>
      <w:r w:rsidRPr="008338FF">
        <w:rPr>
          <w:rStyle w:val="FootnoteReference"/>
        </w:rPr>
        <w:footnoteReference w:id="43"/>
      </w:r>
      <w:r w:rsidRPr="008338FF">
        <w:rPr>
          <w:rStyle w:val="FootnoteReference"/>
        </w:rPr>
        <w:t xml:space="preserve"> </w:t>
      </w:r>
      <w:r w:rsidRPr="00F347F8">
        <w:t xml:space="preserve"> the median time in service was 109 days for JSA 2009 and 130 days for JSA 2012 (Table </w:t>
      </w:r>
      <w:r>
        <w:t>A2.</w:t>
      </w:r>
      <w:r w:rsidR="00C21332">
        <w:t>22</w:t>
      </w:r>
      <w:r w:rsidRPr="00F347F8">
        <w:t xml:space="preserve">). Twenty-one extra days of income support payments </w:t>
      </w:r>
      <w:r w:rsidR="004F6AA1">
        <w:t>equals</w:t>
      </w:r>
      <w:r w:rsidRPr="00F347F8">
        <w:t xml:space="preserve"> $645 per full-time activity tested job seeker</w:t>
      </w:r>
      <w:r w:rsidR="00C40D6E">
        <w:rPr>
          <w:rStyle w:val="FootnoteReference"/>
        </w:rPr>
        <w:footnoteReference w:id="44"/>
      </w:r>
      <w:r w:rsidRPr="00F347F8">
        <w:t xml:space="preserve">. This cost added to the </w:t>
      </w:r>
      <w:r w:rsidR="004F6AA1">
        <w:t>‘</w:t>
      </w:r>
      <w:r w:rsidRPr="00F347F8">
        <w:t xml:space="preserve">Average costs per job seeker in 12 months </w:t>
      </w:r>
      <w:r w:rsidR="0065189E">
        <w:t>s</w:t>
      </w:r>
      <w:r w:rsidRPr="00F347F8">
        <w:t>in</w:t>
      </w:r>
      <w:r w:rsidR="0065189E">
        <w:t>ce commencement</w:t>
      </w:r>
      <w:r w:rsidR="004F6AA1">
        <w:t>’</w:t>
      </w:r>
      <w:r w:rsidRPr="00F347F8">
        <w:t xml:space="preserve"> for JSA 2012 gives an average net cost of $919</w:t>
      </w:r>
      <w:r w:rsidR="004F6AA1">
        <w:t>, which is</w:t>
      </w:r>
      <w:r w:rsidRPr="00F347F8">
        <w:t xml:space="preserve"> a CER of 2.1</w:t>
      </w:r>
      <w:r w:rsidR="004B507B">
        <w:t>, indicating that JSA 2012 wa</w:t>
      </w:r>
      <w:r w:rsidRPr="00F347F8">
        <w:t>s less cost-effective than JSA 2009 for reference type job seekers.</w:t>
      </w:r>
    </w:p>
    <w:p w14:paraId="5DD378AC" w14:textId="77777777" w:rsidR="00F347F8" w:rsidRPr="00F347F8" w:rsidRDefault="00F347F8" w:rsidP="00F347F8">
      <w:r w:rsidRPr="00F347F8">
        <w:t>Table A</w:t>
      </w:r>
      <w:r>
        <w:t>2.</w:t>
      </w:r>
      <w:r w:rsidR="00FB7DA2">
        <w:t>24</w:t>
      </w:r>
      <w:r w:rsidR="00DE7FB3">
        <w:t xml:space="preserve"> </w:t>
      </w:r>
      <w:r w:rsidRPr="00F347F8">
        <w:t>shows CERs for a variety of job seeker types. While there are a multitude of other job seeker types that could be examined in this way the cross</w:t>
      </w:r>
      <w:r w:rsidR="004F6AA1">
        <w:t>-</w:t>
      </w:r>
      <w:r w:rsidRPr="00F347F8">
        <w:t>section shown</w:t>
      </w:r>
      <w:r w:rsidR="004B507B">
        <w:t xml:space="preserve"> in Table A2.</w:t>
      </w:r>
      <w:r w:rsidR="00C21332">
        <w:t>24</w:t>
      </w:r>
      <w:r w:rsidR="00DE7FB3" w:rsidRPr="00F347F8">
        <w:t xml:space="preserve"> </w:t>
      </w:r>
      <w:r w:rsidRPr="00F347F8">
        <w:t xml:space="preserve">clearly demonstrates that for most </w:t>
      </w:r>
      <w:r w:rsidR="006F2D74">
        <w:t xml:space="preserve">types of </w:t>
      </w:r>
      <w:r w:rsidRPr="00F347F8">
        <w:t>Stre</w:t>
      </w:r>
      <w:r>
        <w:t>am 1 job seeker JSA 2012 wa</w:t>
      </w:r>
      <w:r w:rsidRPr="00F347F8">
        <w:t>s less cost-effective than JSA 2009.</w:t>
      </w:r>
    </w:p>
    <w:p w14:paraId="14C93EB2" w14:textId="77777777" w:rsidR="009C3C01" w:rsidRPr="009C3C01" w:rsidRDefault="00904C78" w:rsidP="008338FF">
      <w:pPr>
        <w:pStyle w:val="Heading2"/>
        <w:keepNext/>
      </w:pPr>
      <w:bookmarkStart w:id="309" w:name="_Toc450919336"/>
      <w:bookmarkStart w:id="310" w:name="_Toc22543092"/>
      <w:r>
        <w:t>4.</w:t>
      </w:r>
      <w:r w:rsidR="00A00C00">
        <w:t>3</w:t>
      </w:r>
      <w:r>
        <w:tab/>
      </w:r>
      <w:r w:rsidR="009C3C01" w:rsidRPr="009C3C01">
        <w:t>Conclusion</w:t>
      </w:r>
      <w:bookmarkEnd w:id="309"/>
      <w:bookmarkEnd w:id="310"/>
    </w:p>
    <w:p w14:paraId="0776EED6" w14:textId="77777777" w:rsidR="009C3C01" w:rsidRPr="009C3C01" w:rsidRDefault="009C3C01" w:rsidP="009C3C01">
      <w:pPr>
        <w:keepNext/>
        <w:rPr>
          <w:rFonts w:eastAsiaTheme="majorEastAsia"/>
        </w:rPr>
      </w:pPr>
      <w:r w:rsidRPr="009C3C01">
        <w:t>The key differences between</w:t>
      </w:r>
      <w:r w:rsidRPr="009C3C01">
        <w:rPr>
          <w:rFonts w:eastAsiaTheme="majorEastAsia"/>
        </w:rPr>
        <w:t xml:space="preserve"> JSA 2012 and JSA 2009 new entrant Stream 1 job seekers are that JSA 2012 Stream 1 job seekers:</w:t>
      </w:r>
    </w:p>
    <w:p w14:paraId="78B535BF" w14:textId="77777777" w:rsidR="009C3C01" w:rsidRPr="001141E4" w:rsidRDefault="009C3C01" w:rsidP="00247BDA">
      <w:pPr>
        <w:pStyle w:val="ListParagraph"/>
        <w:rPr>
          <w:rFonts w:eastAsiaTheme="majorEastAsia"/>
        </w:rPr>
      </w:pPr>
      <w:r w:rsidRPr="001141E4">
        <w:rPr>
          <w:rFonts w:eastAsiaTheme="majorEastAsia"/>
        </w:rPr>
        <w:t xml:space="preserve">remained in service longer </w:t>
      </w:r>
      <w:r w:rsidR="0065189E" w:rsidRPr="001141E4">
        <w:rPr>
          <w:rFonts w:eastAsiaTheme="majorEastAsia"/>
        </w:rPr>
        <w:t xml:space="preserve">with a </w:t>
      </w:r>
      <w:r w:rsidRPr="001141E4">
        <w:rPr>
          <w:rFonts w:eastAsiaTheme="majorEastAsia"/>
        </w:rPr>
        <w:t xml:space="preserve">median time to exit 21 days longer than </w:t>
      </w:r>
      <w:r w:rsidR="002C2BB5">
        <w:rPr>
          <w:rFonts w:eastAsiaTheme="majorEastAsia"/>
        </w:rPr>
        <w:t xml:space="preserve">for </w:t>
      </w:r>
      <w:r w:rsidRPr="001141E4">
        <w:rPr>
          <w:rFonts w:eastAsiaTheme="majorEastAsia"/>
        </w:rPr>
        <w:t>JSA 2009</w:t>
      </w:r>
    </w:p>
    <w:p w14:paraId="5ADBCE74" w14:textId="77777777" w:rsidR="009C3C01" w:rsidRPr="001141E4" w:rsidRDefault="009C3C01" w:rsidP="00247BDA">
      <w:pPr>
        <w:pStyle w:val="ListParagraph"/>
        <w:rPr>
          <w:rFonts w:eastAsiaTheme="majorEastAsia"/>
        </w:rPr>
      </w:pPr>
      <w:r w:rsidRPr="001141E4">
        <w:rPr>
          <w:rFonts w:eastAsiaTheme="majorEastAsia"/>
        </w:rPr>
        <w:t>were less likely to be off income support after 12 months in service</w:t>
      </w:r>
      <w:r w:rsidR="0065189E" w:rsidRPr="001141E4">
        <w:rPr>
          <w:rFonts w:eastAsiaTheme="majorEastAsia"/>
        </w:rPr>
        <w:t xml:space="preserve"> (by 10.5 per cent)</w:t>
      </w:r>
      <w:r w:rsidRPr="001141E4">
        <w:rPr>
          <w:rFonts w:eastAsiaTheme="majorEastAsia"/>
        </w:rPr>
        <w:t>.</w:t>
      </w:r>
    </w:p>
    <w:p w14:paraId="3D8C31E6" w14:textId="452C0B6C" w:rsidR="009C3C01" w:rsidRPr="009C3C01" w:rsidRDefault="009C3C01" w:rsidP="009C3C01">
      <w:r w:rsidRPr="009C3C01">
        <w:t xml:space="preserve">There </w:t>
      </w:r>
      <w:r w:rsidR="004F6AA1">
        <w:t>is</w:t>
      </w:r>
      <w:r w:rsidRPr="009C3C01">
        <w:t xml:space="preserve"> no indication of a compliance effect under</w:t>
      </w:r>
      <w:r w:rsidR="007B1981">
        <w:t xml:space="preserve"> the</w:t>
      </w:r>
      <w:r w:rsidRPr="009C3C01">
        <w:t xml:space="preserve"> </w:t>
      </w:r>
      <w:r w:rsidR="0065189E">
        <w:t>JSA 2012</w:t>
      </w:r>
      <w:r w:rsidRPr="009C3C01">
        <w:t xml:space="preserve"> Intensive Activity regime. </w:t>
      </w:r>
      <w:r w:rsidR="007B1981">
        <w:t>T</w:t>
      </w:r>
      <w:r w:rsidR="0065189E">
        <w:t xml:space="preserve">his is in </w:t>
      </w:r>
      <w:r w:rsidRPr="009C3C01">
        <w:t xml:space="preserve">contrast </w:t>
      </w:r>
      <w:r w:rsidR="0065189E">
        <w:t xml:space="preserve">to the </w:t>
      </w:r>
      <w:r w:rsidRPr="009C3C01">
        <w:t>noticeable effect in JSA 2009, indicated by job seekers leaving in increasing numbers prior to the 17</w:t>
      </w:r>
      <w:r w:rsidR="004D258B">
        <w:t>-</w:t>
      </w:r>
      <w:r w:rsidRPr="009C3C01">
        <w:t>week deadline.</w:t>
      </w:r>
    </w:p>
    <w:p w14:paraId="466324C3" w14:textId="77777777" w:rsidR="009C3C01" w:rsidRDefault="006E4AA0" w:rsidP="002231A4">
      <w:pPr>
        <w:rPr>
          <w:rFonts w:eastAsiaTheme="majorEastAsia"/>
        </w:rPr>
      </w:pPr>
      <w:r w:rsidRPr="002231A4">
        <w:rPr>
          <w:rFonts w:eastAsiaTheme="majorEastAsia"/>
        </w:rPr>
        <w:t>There were lower outcome rates overall for job seekers in JSA 2012, however they were worse for Stream 1 job seekers (</w:t>
      </w:r>
      <w:r w:rsidR="00E65BC1">
        <w:rPr>
          <w:rFonts w:eastAsiaTheme="majorEastAsia"/>
        </w:rPr>
        <w:t>Figure</w:t>
      </w:r>
      <w:r w:rsidRPr="002231A4">
        <w:rPr>
          <w:rFonts w:eastAsiaTheme="majorEastAsia"/>
        </w:rPr>
        <w:t xml:space="preserve"> 3.</w:t>
      </w:r>
      <w:r w:rsidR="00E65BC1">
        <w:rPr>
          <w:rFonts w:eastAsiaTheme="majorEastAsia"/>
        </w:rPr>
        <w:t>5</w:t>
      </w:r>
      <w:r w:rsidRPr="002231A4">
        <w:rPr>
          <w:rFonts w:eastAsiaTheme="majorEastAsia"/>
        </w:rPr>
        <w:t xml:space="preserve">). This indicates that </w:t>
      </w:r>
      <w:r w:rsidR="002C2BB5" w:rsidRPr="009C3C01">
        <w:rPr>
          <w:rFonts w:eastAsiaTheme="majorEastAsia"/>
        </w:rPr>
        <w:t xml:space="preserve">the combined effect of all changes made to the service delivery for Stream 1 job seekers </w:t>
      </w:r>
      <w:r>
        <w:rPr>
          <w:rFonts w:eastAsiaTheme="majorEastAsia"/>
        </w:rPr>
        <w:t xml:space="preserve">contributed to </w:t>
      </w:r>
      <w:r w:rsidR="002C2BB5" w:rsidRPr="009C3C01">
        <w:rPr>
          <w:rFonts w:eastAsiaTheme="majorEastAsia"/>
        </w:rPr>
        <w:t>lower short to medium</w:t>
      </w:r>
      <w:r w:rsidR="002C2BB5">
        <w:rPr>
          <w:rFonts w:eastAsiaTheme="majorEastAsia"/>
        </w:rPr>
        <w:t>-</w:t>
      </w:r>
      <w:r w:rsidR="002C2BB5" w:rsidRPr="009C3C01">
        <w:rPr>
          <w:rFonts w:eastAsiaTheme="majorEastAsia"/>
        </w:rPr>
        <w:t>term outcome rates.</w:t>
      </w:r>
    </w:p>
    <w:p w14:paraId="64862F5E" w14:textId="77777777" w:rsidR="009C3C01" w:rsidRPr="009C3C01" w:rsidRDefault="009C3C01" w:rsidP="009C3C01">
      <w:pPr>
        <w:rPr>
          <w:rFonts w:eastAsiaTheme="majorEastAsia"/>
        </w:rPr>
      </w:pPr>
      <w:r w:rsidRPr="009C3C01">
        <w:rPr>
          <w:rFonts w:eastAsiaTheme="majorEastAsia"/>
        </w:rPr>
        <w:t xml:space="preserve">It is not possible to </w:t>
      </w:r>
      <w:r w:rsidR="007B1981">
        <w:rPr>
          <w:rFonts w:eastAsiaTheme="majorEastAsia"/>
        </w:rPr>
        <w:t xml:space="preserve">accurately </w:t>
      </w:r>
      <w:r w:rsidRPr="009C3C01">
        <w:rPr>
          <w:rFonts w:eastAsiaTheme="majorEastAsia"/>
        </w:rPr>
        <w:t>quantify the contribution that Stream 1 service delivery changes alone made to the decline in outcome rates</w:t>
      </w:r>
      <w:r w:rsidR="0065189E">
        <w:rPr>
          <w:rFonts w:eastAsiaTheme="majorEastAsia"/>
        </w:rPr>
        <w:t>, however changes to the Intensive Activity regime certainly negated the noticeable compliance effect in JSA 2009</w:t>
      </w:r>
      <w:r w:rsidRPr="009C3C01">
        <w:rPr>
          <w:rFonts w:eastAsiaTheme="majorEastAsia"/>
        </w:rPr>
        <w:t>.</w:t>
      </w:r>
    </w:p>
    <w:p w14:paraId="0AD423E2" w14:textId="77777777" w:rsidR="009C3C01" w:rsidRPr="009C3C01" w:rsidRDefault="009C3C01" w:rsidP="004F6AA1">
      <w:r w:rsidRPr="009C3C01">
        <w:t>While Stream 1 service costs were lower in the first 12 months of service in JSA 2012 compared with JSA 2009</w:t>
      </w:r>
      <w:r w:rsidR="009245F1">
        <w:t>,</w:t>
      </w:r>
      <w:r w:rsidRPr="009C3C01">
        <w:t xml:space="preserve"> the overall effect of all service delivery model changes led to</w:t>
      </w:r>
      <w:r w:rsidR="007B1981">
        <w:t xml:space="preserve"> </w:t>
      </w:r>
      <w:r w:rsidRPr="009C3C01">
        <w:t>a longer median time in service.</w:t>
      </w:r>
    </w:p>
    <w:p w14:paraId="07715CD0" w14:textId="77777777" w:rsidR="009C3C01" w:rsidRPr="009C3C01" w:rsidRDefault="004019DF" w:rsidP="009C3C01">
      <w:r>
        <w:t xml:space="preserve">Because of the longer service periods, </w:t>
      </w:r>
      <w:r w:rsidR="009C3C01" w:rsidRPr="009C3C01">
        <w:t xml:space="preserve">when the cost to government model is used, the JSA 2012 model is not as cost-effective as the JSA 2009 model for most types of new entrant Stream 1 job seekers. </w:t>
      </w:r>
      <w:r w:rsidR="00AF1890">
        <w:t>T</w:t>
      </w:r>
      <w:r w:rsidR="009C3C01" w:rsidRPr="009C3C01">
        <w:t xml:space="preserve">he Department of Finance does not </w:t>
      </w:r>
      <w:r w:rsidR="00AF1890">
        <w:t xml:space="preserve">currently </w:t>
      </w:r>
      <w:r w:rsidR="009C3C01" w:rsidRPr="009C3C01">
        <w:t>assess whole of government impacts of new policy proposals</w:t>
      </w:r>
      <w:r w:rsidR="00AF1890">
        <w:t>. P</w:t>
      </w:r>
      <w:r w:rsidR="009C3C01" w:rsidRPr="009C3C01">
        <w:t>rogramme delivery costs are funded in isolation. This analysis shows that cost shifting between government programmes can be significant.</w:t>
      </w:r>
    </w:p>
    <w:p w14:paraId="23024486" w14:textId="77777777" w:rsidR="0086308F" w:rsidRDefault="0086308F" w:rsidP="0086308F">
      <w:pPr>
        <w:rPr>
          <w:rFonts w:eastAsiaTheme="majorEastAsia" w:cs="Garamond"/>
          <w:color w:val="000000"/>
          <w:lang w:val="en-GB"/>
        </w:rPr>
      </w:pPr>
      <w:r>
        <w:br w:type="page"/>
      </w:r>
    </w:p>
    <w:p w14:paraId="290B7B8F" w14:textId="77777777" w:rsidR="004541A6" w:rsidRDefault="003F752C" w:rsidP="003F752C">
      <w:pPr>
        <w:pStyle w:val="Heading1"/>
      </w:pPr>
      <w:bookmarkStart w:id="311" w:name="_Toc22543093"/>
      <w:r>
        <w:t>5</w:t>
      </w:r>
      <w:r w:rsidR="004541A6">
        <w:tab/>
      </w:r>
      <w:r w:rsidR="006F2A3F">
        <w:t xml:space="preserve">Cessation of the </w:t>
      </w:r>
      <w:r w:rsidR="004541A6">
        <w:t>Stream Services Review</w:t>
      </w:r>
      <w:bookmarkStart w:id="312" w:name="_Toc402170619"/>
      <w:bookmarkEnd w:id="241"/>
      <w:bookmarkEnd w:id="311"/>
    </w:p>
    <w:p w14:paraId="388FDD3D" w14:textId="77777777" w:rsidR="00A00C00" w:rsidRPr="009C3C01" w:rsidRDefault="00A00C00" w:rsidP="00A00C00">
      <w:pPr>
        <w:pStyle w:val="Heading2"/>
      </w:pPr>
      <w:bookmarkStart w:id="313" w:name="_Toc450919337"/>
      <w:bookmarkStart w:id="314" w:name="_Toc22543094"/>
      <w:bookmarkStart w:id="315" w:name="_Toc430186929"/>
      <w:r>
        <w:t>5.1</w:t>
      </w:r>
      <w:r>
        <w:tab/>
        <w:t>Introduction</w:t>
      </w:r>
      <w:bookmarkEnd w:id="313"/>
      <w:bookmarkEnd w:id="314"/>
    </w:p>
    <w:p w14:paraId="02274129" w14:textId="35F1C25F" w:rsidR="00E94C6E" w:rsidRPr="00E94C6E" w:rsidRDefault="00E94C6E" w:rsidP="00E94C6E">
      <w:r w:rsidRPr="00E94C6E">
        <w:t>Under JSA 2009</w:t>
      </w:r>
      <w:r w:rsidR="006F5678">
        <w:t>,</w:t>
      </w:r>
      <w:r w:rsidRPr="00E94C6E">
        <w:t xml:space="preserve"> transition to the Work Experience Phase (</w:t>
      </w:r>
      <w:r w:rsidR="004535A1">
        <w:t>WEP</w:t>
      </w:r>
      <w:r w:rsidR="00D712A1">
        <w:t>h</w:t>
      </w:r>
      <w:r w:rsidRPr="00E94C6E">
        <w:t>) occurred around 12 months in a particular service Stream (1, 2 or 3), subject to a Stream Service</w:t>
      </w:r>
      <w:r w:rsidR="000B2F4D">
        <w:t>s</w:t>
      </w:r>
      <w:r w:rsidRPr="00E94C6E">
        <w:t xml:space="preserve"> Review (SSR) recommendation. Movement to a new </w:t>
      </w:r>
      <w:r w:rsidR="0093497A">
        <w:t>s</w:t>
      </w:r>
      <w:r w:rsidRPr="00E94C6E">
        <w:t xml:space="preserve">tream for any reason allowed a further 12 months in the new </w:t>
      </w:r>
      <w:r w:rsidR="0093497A">
        <w:t>s</w:t>
      </w:r>
      <w:r w:rsidRPr="00E94C6E">
        <w:t xml:space="preserve">tream before the </w:t>
      </w:r>
      <w:r w:rsidR="004535A1">
        <w:t>WEP</w:t>
      </w:r>
      <w:r w:rsidR="0054199A">
        <w:t>h</w:t>
      </w:r>
      <w:r w:rsidRPr="00E94C6E">
        <w:t xml:space="preserve"> began. Movement to the </w:t>
      </w:r>
      <w:r w:rsidR="004535A1">
        <w:t>WEP</w:t>
      </w:r>
      <w:r w:rsidR="0054199A">
        <w:t>h</w:t>
      </w:r>
      <w:r w:rsidRPr="00E94C6E">
        <w:t xml:space="preserve"> was compulsory after a maximum of 78 weeks service (combined) for job seekers who moved from Stream 2 to 3.</w:t>
      </w:r>
    </w:p>
    <w:p w14:paraId="36FB66C3" w14:textId="6F795C36" w:rsidR="00E94C6E" w:rsidRPr="00E94C6E" w:rsidRDefault="00E94C6E" w:rsidP="00E94C6E">
      <w:pPr>
        <w:spacing w:after="120"/>
      </w:pPr>
      <w:r w:rsidRPr="00E94C6E">
        <w:t xml:space="preserve">A </w:t>
      </w:r>
      <w:r w:rsidR="007D5BC3">
        <w:t>Job Seeker Classification Instrument (</w:t>
      </w:r>
      <w:r w:rsidRPr="00E94C6E">
        <w:t>JSCI</w:t>
      </w:r>
      <w:r w:rsidR="007D5BC3">
        <w:t>)</w:t>
      </w:r>
      <w:r w:rsidRPr="00E94C6E">
        <w:t xml:space="preserve"> based (SSR) was triggered when a job seeker in Stream 1, 2 or 3 approached 12 months in service. The SSRs were conducted by </w:t>
      </w:r>
      <w:r w:rsidR="0093497A">
        <w:t>the Department of Human Services (</w:t>
      </w:r>
      <w:r w:rsidRPr="00E94C6E">
        <w:t>DHS</w:t>
      </w:r>
      <w:r w:rsidR="0093497A">
        <w:t>)</w:t>
      </w:r>
      <w:r w:rsidRPr="00E94C6E">
        <w:t xml:space="preserve"> using the JSCI</w:t>
      </w:r>
      <w:r w:rsidR="0093497A">
        <w:t>,</w:t>
      </w:r>
      <w:r w:rsidRPr="00E94C6E">
        <w:t xml:space="preserve"> or by a JSA provider if the job seeker did not have a Centrelink Customer Reference Number</w:t>
      </w:r>
      <w:r w:rsidR="006F5678">
        <w:t xml:space="preserve"> (CRN)</w:t>
      </w:r>
      <w:r w:rsidRPr="00E94C6E">
        <w:t xml:space="preserve">. If the SSR assessment indicated a Stream 1 or 2 job seeker required a higher level of </w:t>
      </w:r>
      <w:r w:rsidR="0093497A">
        <w:t>s</w:t>
      </w:r>
      <w:r w:rsidRPr="00E94C6E">
        <w:t xml:space="preserve">tream </w:t>
      </w:r>
      <w:r w:rsidR="0093497A">
        <w:t>s</w:t>
      </w:r>
      <w:r w:rsidRPr="00E94C6E">
        <w:t>ervice</w:t>
      </w:r>
      <w:r w:rsidR="000B2F4D">
        <w:t>s</w:t>
      </w:r>
      <w:r w:rsidRPr="00E94C6E">
        <w:t xml:space="preserve"> they were immediately upstreamed. A move to Stream 4 only occurred following a </w:t>
      </w:r>
      <w:r w:rsidR="0093497A">
        <w:t>Job Capacity Assessment/Employment Services Assessment (</w:t>
      </w:r>
      <w:r w:rsidRPr="00E94C6E">
        <w:t>JCA/ESAt</w:t>
      </w:r>
      <w:r w:rsidR="0093497A">
        <w:t>)</w:t>
      </w:r>
      <w:r w:rsidRPr="00E94C6E">
        <w:t xml:space="preserve"> referral and assessment. Prior to February 2011, these JCA/ESAts were conducted by JCA providers. Following the 2011 JCA/ESAt process changes</w:t>
      </w:r>
      <w:r w:rsidRPr="008338FF">
        <w:rPr>
          <w:rStyle w:val="FootnoteReference"/>
        </w:rPr>
        <w:footnoteReference w:id="45"/>
      </w:r>
      <w:r w:rsidRPr="008338FF">
        <w:rPr>
          <w:rStyle w:val="FootnoteReference"/>
        </w:rPr>
        <w:t xml:space="preserve"> </w:t>
      </w:r>
      <w:r w:rsidRPr="00E94C6E">
        <w:t xml:space="preserve">they were conducted by DHS assessors. SSRs for Stream 4 job seekers were also conducted by these assessors using a JCA/ESAt. Stream 4 job seekers could be provided a further six months of service before moving to the </w:t>
      </w:r>
      <w:r w:rsidR="004535A1">
        <w:t>WEP</w:t>
      </w:r>
      <w:r w:rsidR="0054199A">
        <w:t>h</w:t>
      </w:r>
      <w:r w:rsidRPr="00E94C6E">
        <w:t>, if the JCA/ESAt indicated the need.</w:t>
      </w:r>
    </w:p>
    <w:p w14:paraId="65A20867" w14:textId="57952E7E" w:rsidR="00E94C6E" w:rsidRPr="00E94C6E" w:rsidRDefault="00E94C6E" w:rsidP="00E94C6E">
      <w:r w:rsidRPr="00E94C6E">
        <w:t>Under the JSA 2012</w:t>
      </w:r>
      <w:r w:rsidR="006F5678">
        <w:t xml:space="preserve"> model</w:t>
      </w:r>
      <w:r w:rsidRPr="00E94C6E">
        <w:t xml:space="preserve">, without the formal SSR process, </w:t>
      </w:r>
      <w:r w:rsidR="006F5678">
        <w:t>discretion on when to transition job seekers to the WEP</w:t>
      </w:r>
      <w:r w:rsidR="0054199A">
        <w:t>h</w:t>
      </w:r>
      <w:r w:rsidR="006F5678">
        <w:t xml:space="preserve"> </w:t>
      </w:r>
      <w:r w:rsidRPr="00E94C6E">
        <w:t>(</w:t>
      </w:r>
      <w:r w:rsidR="00A644BF">
        <w:t xml:space="preserve">52 weeks for most and </w:t>
      </w:r>
      <w:r w:rsidRPr="00E94C6E">
        <w:t>between 52 and 78 weeks</w:t>
      </w:r>
      <w:r w:rsidR="00A644BF">
        <w:t xml:space="preserve"> for Stream 4</w:t>
      </w:r>
      <w:r w:rsidRPr="00E94C6E">
        <w:t xml:space="preserve">) </w:t>
      </w:r>
      <w:r w:rsidR="006F5678">
        <w:t xml:space="preserve">lay </w:t>
      </w:r>
      <w:r w:rsidR="00A644BF">
        <w:t>with the provider</w:t>
      </w:r>
      <w:r w:rsidRPr="00E94C6E">
        <w:t>.</w:t>
      </w:r>
    </w:p>
    <w:p w14:paraId="142945CA" w14:textId="77777777" w:rsidR="00E94C6E" w:rsidRPr="00E94C6E" w:rsidRDefault="00E94C6E" w:rsidP="00E94C6E">
      <w:pPr>
        <w:spacing w:after="0"/>
      </w:pPr>
      <w:r w:rsidRPr="00E94C6E">
        <w:t>The main business reasons for removing SSR assessments from 1 July 2012 were to:</w:t>
      </w:r>
    </w:p>
    <w:p w14:paraId="0E671F37" w14:textId="77777777" w:rsidR="00E94C6E" w:rsidRPr="00E94C6E" w:rsidRDefault="00E94C6E" w:rsidP="00247BDA">
      <w:pPr>
        <w:pStyle w:val="ListParagraph"/>
      </w:pPr>
      <w:r w:rsidRPr="00E94C6E">
        <w:t>reduce red tape (and hence costs) for JSA providers and DHS</w:t>
      </w:r>
    </w:p>
    <w:p w14:paraId="252549BD" w14:textId="77777777" w:rsidR="00E94C6E" w:rsidRPr="00E94C6E" w:rsidRDefault="00E94C6E" w:rsidP="00247BDA">
      <w:pPr>
        <w:pStyle w:val="ListParagraph"/>
      </w:pPr>
      <w:r w:rsidRPr="00E94C6E">
        <w:t>reduce potential periods of disengagement of job seekers while waiting for a SSR</w:t>
      </w:r>
    </w:p>
    <w:p w14:paraId="228A9973" w14:textId="77777777" w:rsidR="00E94C6E" w:rsidRPr="00E94C6E" w:rsidRDefault="00E94C6E" w:rsidP="00247BDA">
      <w:pPr>
        <w:pStyle w:val="ListParagraph"/>
      </w:pPr>
      <w:r w:rsidRPr="00E94C6E">
        <w:t>avoid delays in service fees payments to providers (fees were delayed until completion of the SSR).</w:t>
      </w:r>
      <w:r w:rsidRPr="001141E4">
        <w:rPr>
          <w:vertAlign w:val="superscript"/>
        </w:rPr>
        <w:t xml:space="preserve"> </w:t>
      </w:r>
      <w:r w:rsidRPr="008338FF">
        <w:rPr>
          <w:rStyle w:val="FootnoteReference"/>
        </w:rPr>
        <w:footnoteReference w:id="46"/>
      </w:r>
    </w:p>
    <w:p w14:paraId="3A2D96B0" w14:textId="77777777" w:rsidR="00E94C6E" w:rsidRDefault="00E94C6E" w:rsidP="00E94C6E">
      <w:r w:rsidRPr="00E94C6E">
        <w:t xml:space="preserve">This study assesses if the removal of SSRs affected streaming or assessment outcomes for job seekers. Appendix </w:t>
      </w:r>
      <w:r w:rsidR="00403511">
        <w:t>B3</w:t>
      </w:r>
      <w:r w:rsidRPr="00E94C6E">
        <w:t xml:space="preserve"> details the methodology used for this analysis.</w:t>
      </w:r>
    </w:p>
    <w:p w14:paraId="01FAA37A" w14:textId="77777777" w:rsidR="00D87FA5" w:rsidRDefault="00D87FA5" w:rsidP="00E94C6E">
      <w:r>
        <w:t>This study cannot isolate the effect of this from other changes to assessment procedures and so in some ways is measuring the overall effect of:</w:t>
      </w:r>
    </w:p>
    <w:p w14:paraId="075E2204" w14:textId="77777777" w:rsidR="00D87FA5" w:rsidRDefault="00D87FA5" w:rsidP="00247BDA">
      <w:pPr>
        <w:pStyle w:val="ListParagraph"/>
      </w:pPr>
      <w:r w:rsidRPr="001141E4">
        <w:t xml:space="preserve">the possible reticence of providers to be conducting excess </w:t>
      </w:r>
      <w:r w:rsidR="00750FA4" w:rsidRPr="001141E4">
        <w:t>assessments</w:t>
      </w:r>
      <w:r w:rsidRPr="001141E4">
        <w:t xml:space="preserve"> as a result of the Butterworth review</w:t>
      </w:r>
      <w:r w:rsidRPr="00076EB4">
        <w:rPr>
          <w:rStyle w:val="FootnoteReference"/>
        </w:rPr>
        <w:footnoteReference w:id="47"/>
      </w:r>
    </w:p>
    <w:p w14:paraId="414BAAC1" w14:textId="77777777" w:rsidR="00D87FA5" w:rsidRDefault="00D87FA5" w:rsidP="00247BDA">
      <w:pPr>
        <w:pStyle w:val="ListParagraph"/>
      </w:pPr>
      <w:r>
        <w:t>changes to assessment processes following the JCA</w:t>
      </w:r>
      <w:r w:rsidR="00586F68" w:rsidRPr="00586F68">
        <w:t xml:space="preserve"> </w:t>
      </w:r>
      <w:r w:rsidR="00586F68">
        <w:t xml:space="preserve">review </w:t>
      </w:r>
      <w:r w:rsidRPr="00076EB4">
        <w:rPr>
          <w:rStyle w:val="FootnoteReference"/>
        </w:rPr>
        <w:footnoteReference w:id="48"/>
      </w:r>
    </w:p>
    <w:p w14:paraId="0EE27A89" w14:textId="77777777" w:rsidR="00D87FA5" w:rsidRPr="00E94C6E" w:rsidRDefault="00D87FA5" w:rsidP="00247BDA">
      <w:pPr>
        <w:pStyle w:val="ListParagraph"/>
      </w:pPr>
      <w:r>
        <w:t>the removal of SSRs from the JSA 2012 model</w:t>
      </w:r>
      <w:r w:rsidR="009245F1">
        <w:t>.</w:t>
      </w:r>
    </w:p>
    <w:p w14:paraId="21838874" w14:textId="77777777" w:rsidR="00E94C6E" w:rsidRPr="00E94C6E" w:rsidRDefault="00403511" w:rsidP="00403511">
      <w:pPr>
        <w:pStyle w:val="Heading2"/>
      </w:pPr>
      <w:bookmarkStart w:id="316" w:name="_Toc450919338"/>
      <w:bookmarkStart w:id="317" w:name="_Toc22543095"/>
      <w:r>
        <w:t>5.</w:t>
      </w:r>
      <w:r w:rsidR="00A00C00">
        <w:t>2</w:t>
      </w:r>
      <w:r>
        <w:tab/>
      </w:r>
      <w:r w:rsidR="00E94C6E" w:rsidRPr="00E94C6E">
        <w:t>Key findings</w:t>
      </w:r>
      <w:bookmarkEnd w:id="316"/>
      <w:bookmarkEnd w:id="317"/>
    </w:p>
    <w:p w14:paraId="4E1683D6" w14:textId="77777777" w:rsidR="00E94C6E" w:rsidRPr="00E94C6E" w:rsidRDefault="00403511" w:rsidP="00403511">
      <w:pPr>
        <w:pStyle w:val="Heading3"/>
      </w:pPr>
      <w:bookmarkStart w:id="318" w:name="_Toc22543096"/>
      <w:r>
        <w:t>5.</w:t>
      </w:r>
      <w:r w:rsidR="00A00C00">
        <w:t>2</w:t>
      </w:r>
      <w:r>
        <w:t>.1</w:t>
      </w:r>
      <w:r>
        <w:tab/>
      </w:r>
      <w:r w:rsidR="00E94C6E" w:rsidRPr="00E94C6E">
        <w:t>Assessments conducted</w:t>
      </w:r>
      <w:bookmarkEnd w:id="318"/>
    </w:p>
    <w:p w14:paraId="50CC7D56" w14:textId="77777777" w:rsidR="00E94C6E" w:rsidRPr="00E94C6E" w:rsidRDefault="00E94C6E" w:rsidP="00E94C6E">
      <w:pPr>
        <w:rPr>
          <w:rFonts w:eastAsiaTheme="majorEastAsia"/>
        </w:rPr>
      </w:pPr>
      <w:r w:rsidRPr="00E94C6E">
        <w:t xml:space="preserve">There were proportionally fewer assessments per job seeker after commencement in service under JSA 2012 than JSA 2009. This is likely due to both the removal of SSRs and changes to JCA/ESAt processes (both the February 2011 programme changes and a DHS business policy change relating to medical evidence requirements for ESAt referrals that was implemented in this period). </w:t>
      </w:r>
      <w:r w:rsidR="00760772">
        <w:t xml:space="preserve">There did not appear to be any commensurate </w:t>
      </w:r>
      <w:r w:rsidRPr="00E94C6E">
        <w:rPr>
          <w:rFonts w:eastAsiaTheme="majorEastAsia"/>
        </w:rPr>
        <w:t xml:space="preserve">increase in Change of Circumstance assessments </w:t>
      </w:r>
      <w:r w:rsidR="00760772">
        <w:rPr>
          <w:rFonts w:eastAsiaTheme="majorEastAsia"/>
        </w:rPr>
        <w:t xml:space="preserve">following </w:t>
      </w:r>
      <w:r w:rsidRPr="00E94C6E">
        <w:rPr>
          <w:rFonts w:eastAsiaTheme="majorEastAsia"/>
        </w:rPr>
        <w:t xml:space="preserve">the removal of SSRs and changes to ESAt referral process. This </w:t>
      </w:r>
      <w:r w:rsidR="00760772">
        <w:rPr>
          <w:rFonts w:eastAsiaTheme="majorEastAsia"/>
        </w:rPr>
        <w:t xml:space="preserve">may </w:t>
      </w:r>
      <w:r w:rsidRPr="00E94C6E">
        <w:rPr>
          <w:rFonts w:eastAsiaTheme="majorEastAsia"/>
        </w:rPr>
        <w:t xml:space="preserve">indicate that many previous assessments </w:t>
      </w:r>
      <w:r w:rsidR="00760772">
        <w:rPr>
          <w:rFonts w:eastAsiaTheme="majorEastAsia"/>
        </w:rPr>
        <w:t>were</w:t>
      </w:r>
      <w:r w:rsidRPr="00E94C6E">
        <w:rPr>
          <w:rFonts w:eastAsiaTheme="majorEastAsia"/>
        </w:rPr>
        <w:t xml:space="preserve"> unnecessary.</w:t>
      </w:r>
    </w:p>
    <w:p w14:paraId="4FF128DA" w14:textId="27E58A80" w:rsidR="00E94C6E" w:rsidRPr="00E94C6E" w:rsidRDefault="004B579D" w:rsidP="00E94C6E">
      <w:r>
        <w:t>U</w:t>
      </w:r>
      <w:r w:rsidRPr="00E94C6E">
        <w:t>nder both models</w:t>
      </w:r>
      <w:r>
        <w:t>, a</w:t>
      </w:r>
      <w:r w:rsidR="00E94C6E" w:rsidRPr="00E94C6E">
        <w:t xml:space="preserve"> significant proportion of job seekers </w:t>
      </w:r>
      <w:r w:rsidR="006E0476">
        <w:t>were</w:t>
      </w:r>
      <w:r w:rsidR="006E0476" w:rsidRPr="00E94C6E">
        <w:t xml:space="preserve"> </w:t>
      </w:r>
      <w:r w:rsidR="00E94C6E" w:rsidRPr="00E94C6E">
        <w:t>not upstreamed during their periods of service. However</w:t>
      </w:r>
      <w:r w:rsidR="001068E3">
        <w:t xml:space="preserve">, </w:t>
      </w:r>
      <w:r w:rsidR="00E94C6E" w:rsidRPr="00E94C6E">
        <w:t xml:space="preserve">there is an observable difference between the two SSR study populations. In JSA 2012, job seekers still in service after 365 days were less likely to be upstreamed within 18 months from registration (or by the time they exited if they exited prior to 18 months), than equivalent job seekers in JSA 2009 </w:t>
      </w:r>
      <w:r w:rsidR="00760772">
        <w:t>(</w:t>
      </w:r>
      <w:r w:rsidR="00E94C6E" w:rsidRPr="00E94C6E">
        <w:t xml:space="preserve">Table </w:t>
      </w:r>
      <w:r w:rsidR="00403511" w:rsidRPr="00403511">
        <w:t>5</w:t>
      </w:r>
      <w:r w:rsidR="00E94C6E" w:rsidRPr="00E94C6E">
        <w:t>.1).</w:t>
      </w:r>
    </w:p>
    <w:p w14:paraId="71B92083" w14:textId="77777777" w:rsidR="00E94C6E" w:rsidRPr="00C2452E" w:rsidRDefault="00E94C6E" w:rsidP="00C2452E">
      <w:pPr>
        <w:pStyle w:val="Tableforcontents"/>
        <w:rPr>
          <w:rFonts w:eastAsiaTheme="majorEastAsia"/>
        </w:rPr>
      </w:pPr>
      <w:bookmarkStart w:id="319" w:name="_Toc430187005"/>
      <w:bookmarkStart w:id="320" w:name="_Toc436142568"/>
      <w:bookmarkStart w:id="321" w:name="_Toc22543989"/>
      <w:r w:rsidRPr="00C2452E">
        <w:rPr>
          <w:rFonts w:eastAsiaTheme="majorEastAsia"/>
        </w:rPr>
        <w:t xml:space="preserve">Table </w:t>
      </w:r>
      <w:r w:rsidR="00403511" w:rsidRPr="00C2452E">
        <w:rPr>
          <w:rFonts w:eastAsiaTheme="majorEastAsia"/>
        </w:rPr>
        <w:t>5.</w:t>
      </w:r>
      <w:r w:rsidR="00CF00FC">
        <w:rPr>
          <w:rFonts w:eastAsiaTheme="majorEastAsia"/>
        </w:rPr>
        <w:t>1:</w:t>
      </w:r>
      <w:r w:rsidR="003C29A5">
        <w:rPr>
          <w:rFonts w:eastAsiaTheme="majorEastAsia"/>
        </w:rPr>
        <w:t xml:space="preserve"> </w:t>
      </w:r>
      <w:r w:rsidRPr="00C2452E">
        <w:rPr>
          <w:rFonts w:eastAsiaTheme="majorEastAsia"/>
        </w:rPr>
        <w:t>Proportion of jobs seekers upstreamed, for those in service at least 365 days (per cent)</w:t>
      </w:r>
      <w:bookmarkEnd w:id="319"/>
      <w:bookmarkEnd w:id="320"/>
      <w:bookmarkEnd w:id="321"/>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521"/>
        <w:gridCol w:w="1559"/>
        <w:gridCol w:w="1559"/>
        <w:gridCol w:w="1559"/>
      </w:tblGrid>
      <w:tr w:rsidR="00E94C6E" w:rsidRPr="008800CB" w14:paraId="217E7507" w14:textId="77777777" w:rsidTr="008800CB">
        <w:trPr>
          <w:tblHeader/>
        </w:trPr>
        <w:tc>
          <w:tcPr>
            <w:tcW w:w="1848" w:type="dxa"/>
            <w:shd w:val="clear" w:color="auto" w:fill="1E3D6B"/>
          </w:tcPr>
          <w:p w14:paraId="66214251" w14:textId="77777777" w:rsidR="00E94C6E" w:rsidRPr="008800CB" w:rsidRDefault="00E94C6E" w:rsidP="00E94C6E">
            <w:pPr>
              <w:keepNext/>
              <w:rPr>
                <w:b/>
                <w:sz w:val="20"/>
                <w:szCs w:val="20"/>
              </w:rPr>
            </w:pPr>
            <w:bookmarkStart w:id="322" w:name="Title_51"/>
            <w:bookmarkEnd w:id="322"/>
            <w:r w:rsidRPr="008800CB">
              <w:rPr>
                <w:b/>
                <w:sz w:val="20"/>
                <w:szCs w:val="20"/>
              </w:rPr>
              <w:t>Commencement Stream</w:t>
            </w:r>
          </w:p>
        </w:tc>
        <w:tc>
          <w:tcPr>
            <w:tcW w:w="1521" w:type="dxa"/>
            <w:shd w:val="clear" w:color="auto" w:fill="1E3D6B"/>
          </w:tcPr>
          <w:p w14:paraId="24F9F9AA" w14:textId="77777777" w:rsidR="00E94C6E" w:rsidRPr="008800CB" w:rsidRDefault="00E94C6E" w:rsidP="008800CB">
            <w:pPr>
              <w:keepNext/>
              <w:jc w:val="center"/>
              <w:rPr>
                <w:b/>
                <w:sz w:val="20"/>
                <w:szCs w:val="20"/>
              </w:rPr>
            </w:pPr>
            <w:r w:rsidRPr="008800CB">
              <w:rPr>
                <w:b/>
                <w:sz w:val="20"/>
                <w:szCs w:val="20"/>
              </w:rPr>
              <w:t>Same Stream</w:t>
            </w:r>
            <w:r w:rsidR="008800CB">
              <w:rPr>
                <w:b/>
                <w:sz w:val="20"/>
                <w:szCs w:val="20"/>
              </w:rPr>
              <w:br/>
            </w:r>
            <w:r w:rsidR="0098738D" w:rsidRPr="008800CB">
              <w:rPr>
                <w:b/>
                <w:sz w:val="20"/>
                <w:szCs w:val="20"/>
              </w:rPr>
              <w:t>JSA 2009</w:t>
            </w:r>
          </w:p>
        </w:tc>
        <w:tc>
          <w:tcPr>
            <w:tcW w:w="1559" w:type="dxa"/>
            <w:shd w:val="clear" w:color="auto" w:fill="1E3D6B"/>
          </w:tcPr>
          <w:p w14:paraId="24EBB93D" w14:textId="77777777" w:rsidR="00E94C6E" w:rsidRPr="008800CB" w:rsidRDefault="00E94C6E" w:rsidP="008800CB">
            <w:pPr>
              <w:keepNext/>
              <w:jc w:val="center"/>
              <w:rPr>
                <w:b/>
                <w:sz w:val="20"/>
                <w:szCs w:val="20"/>
              </w:rPr>
            </w:pPr>
            <w:r w:rsidRPr="008800CB">
              <w:rPr>
                <w:b/>
                <w:sz w:val="20"/>
                <w:szCs w:val="20"/>
              </w:rPr>
              <w:t>Upstreamed</w:t>
            </w:r>
            <w:r w:rsidR="008800CB">
              <w:rPr>
                <w:b/>
                <w:sz w:val="20"/>
                <w:szCs w:val="20"/>
              </w:rPr>
              <w:br/>
            </w:r>
            <w:r w:rsidR="0098738D" w:rsidRPr="008800CB">
              <w:rPr>
                <w:b/>
                <w:sz w:val="20"/>
                <w:szCs w:val="20"/>
              </w:rPr>
              <w:t>JSA 2009</w:t>
            </w:r>
          </w:p>
        </w:tc>
        <w:tc>
          <w:tcPr>
            <w:tcW w:w="1559" w:type="dxa"/>
            <w:shd w:val="clear" w:color="auto" w:fill="1E3D6B"/>
          </w:tcPr>
          <w:p w14:paraId="022E21C5" w14:textId="77777777" w:rsidR="00E94C6E" w:rsidRPr="008800CB" w:rsidRDefault="00E94C6E" w:rsidP="008800CB">
            <w:pPr>
              <w:keepNext/>
              <w:jc w:val="center"/>
              <w:rPr>
                <w:b/>
                <w:sz w:val="20"/>
                <w:szCs w:val="20"/>
              </w:rPr>
            </w:pPr>
            <w:r w:rsidRPr="008800CB">
              <w:rPr>
                <w:b/>
                <w:sz w:val="20"/>
                <w:szCs w:val="20"/>
              </w:rPr>
              <w:t>Same Stream</w:t>
            </w:r>
            <w:r w:rsidR="008800CB">
              <w:rPr>
                <w:b/>
                <w:sz w:val="20"/>
                <w:szCs w:val="20"/>
              </w:rPr>
              <w:br/>
            </w:r>
            <w:r w:rsidR="0098738D" w:rsidRPr="008800CB">
              <w:rPr>
                <w:b/>
                <w:sz w:val="20"/>
                <w:szCs w:val="20"/>
              </w:rPr>
              <w:t>JSA 2012</w:t>
            </w:r>
          </w:p>
        </w:tc>
        <w:tc>
          <w:tcPr>
            <w:tcW w:w="1559" w:type="dxa"/>
            <w:shd w:val="clear" w:color="auto" w:fill="1E3D6B"/>
          </w:tcPr>
          <w:p w14:paraId="3ED2366B" w14:textId="77777777" w:rsidR="00E94C6E" w:rsidRPr="008800CB" w:rsidRDefault="00E94C6E" w:rsidP="008800CB">
            <w:pPr>
              <w:keepNext/>
              <w:jc w:val="center"/>
              <w:rPr>
                <w:b/>
                <w:sz w:val="20"/>
                <w:szCs w:val="20"/>
              </w:rPr>
            </w:pPr>
            <w:r w:rsidRPr="008800CB">
              <w:rPr>
                <w:b/>
                <w:sz w:val="20"/>
                <w:szCs w:val="20"/>
              </w:rPr>
              <w:t>Upstreamed</w:t>
            </w:r>
            <w:r w:rsidR="008800CB">
              <w:rPr>
                <w:b/>
                <w:sz w:val="20"/>
                <w:szCs w:val="20"/>
              </w:rPr>
              <w:br/>
            </w:r>
            <w:r w:rsidR="0098738D" w:rsidRPr="008800CB">
              <w:rPr>
                <w:b/>
                <w:sz w:val="20"/>
                <w:szCs w:val="20"/>
              </w:rPr>
              <w:t>JSA 2012</w:t>
            </w:r>
          </w:p>
        </w:tc>
      </w:tr>
      <w:tr w:rsidR="00E94C6E" w:rsidRPr="008800CB" w14:paraId="60930817" w14:textId="77777777" w:rsidTr="008800CB">
        <w:trPr>
          <w:trHeight w:hRule="exact" w:val="340"/>
        </w:trPr>
        <w:tc>
          <w:tcPr>
            <w:tcW w:w="1848" w:type="dxa"/>
            <w:vAlign w:val="center"/>
          </w:tcPr>
          <w:p w14:paraId="0B5C42F8" w14:textId="77777777" w:rsidR="00E94C6E" w:rsidRPr="008800CB" w:rsidRDefault="00E94C6E" w:rsidP="00E94C6E">
            <w:pPr>
              <w:keepNext/>
              <w:rPr>
                <w:sz w:val="20"/>
                <w:szCs w:val="20"/>
              </w:rPr>
            </w:pPr>
            <w:r w:rsidRPr="008800CB">
              <w:rPr>
                <w:sz w:val="20"/>
                <w:szCs w:val="20"/>
              </w:rPr>
              <w:t>Stream 1</w:t>
            </w:r>
          </w:p>
        </w:tc>
        <w:tc>
          <w:tcPr>
            <w:tcW w:w="1521" w:type="dxa"/>
            <w:vAlign w:val="center"/>
          </w:tcPr>
          <w:p w14:paraId="6D81EB20" w14:textId="77777777" w:rsidR="00E94C6E" w:rsidRPr="008800CB" w:rsidRDefault="00E94C6E" w:rsidP="008800CB">
            <w:pPr>
              <w:keepNext/>
              <w:ind w:right="380"/>
              <w:jc w:val="right"/>
              <w:rPr>
                <w:sz w:val="20"/>
                <w:szCs w:val="20"/>
              </w:rPr>
            </w:pPr>
            <w:r w:rsidRPr="008800CB">
              <w:rPr>
                <w:sz w:val="20"/>
                <w:szCs w:val="20"/>
              </w:rPr>
              <w:t>43.7</w:t>
            </w:r>
          </w:p>
        </w:tc>
        <w:tc>
          <w:tcPr>
            <w:tcW w:w="1559" w:type="dxa"/>
            <w:vAlign w:val="center"/>
          </w:tcPr>
          <w:p w14:paraId="2C260BF5" w14:textId="77777777" w:rsidR="00E94C6E" w:rsidRPr="008800CB" w:rsidRDefault="00E94C6E" w:rsidP="008800CB">
            <w:pPr>
              <w:keepNext/>
              <w:ind w:left="-126" w:right="380"/>
              <w:jc w:val="right"/>
              <w:rPr>
                <w:sz w:val="20"/>
                <w:szCs w:val="20"/>
              </w:rPr>
            </w:pPr>
            <w:r w:rsidRPr="008800CB">
              <w:rPr>
                <w:sz w:val="20"/>
                <w:szCs w:val="20"/>
              </w:rPr>
              <w:t>56.3</w:t>
            </w:r>
          </w:p>
        </w:tc>
        <w:tc>
          <w:tcPr>
            <w:tcW w:w="1559" w:type="dxa"/>
            <w:vAlign w:val="center"/>
          </w:tcPr>
          <w:p w14:paraId="4AA58E0B" w14:textId="77777777" w:rsidR="00E94C6E" w:rsidRPr="008800CB" w:rsidRDefault="00E94C6E" w:rsidP="008800CB">
            <w:pPr>
              <w:keepNext/>
              <w:ind w:left="-12" w:right="380"/>
              <w:jc w:val="right"/>
              <w:rPr>
                <w:sz w:val="20"/>
                <w:szCs w:val="20"/>
              </w:rPr>
            </w:pPr>
            <w:r w:rsidRPr="008800CB">
              <w:rPr>
                <w:sz w:val="20"/>
                <w:szCs w:val="20"/>
              </w:rPr>
              <w:t>64.4</w:t>
            </w:r>
          </w:p>
        </w:tc>
        <w:tc>
          <w:tcPr>
            <w:tcW w:w="1559" w:type="dxa"/>
            <w:vAlign w:val="center"/>
          </w:tcPr>
          <w:p w14:paraId="4C47263E" w14:textId="77777777" w:rsidR="00E94C6E" w:rsidRPr="008800CB" w:rsidRDefault="00E94C6E" w:rsidP="008800CB">
            <w:pPr>
              <w:keepNext/>
              <w:ind w:left="-135" w:right="380"/>
              <w:jc w:val="right"/>
              <w:rPr>
                <w:sz w:val="20"/>
                <w:szCs w:val="20"/>
              </w:rPr>
            </w:pPr>
            <w:r w:rsidRPr="008800CB">
              <w:rPr>
                <w:sz w:val="20"/>
                <w:szCs w:val="20"/>
              </w:rPr>
              <w:t>35.6</w:t>
            </w:r>
          </w:p>
        </w:tc>
      </w:tr>
      <w:tr w:rsidR="00E94C6E" w:rsidRPr="008800CB" w14:paraId="72EAF01E" w14:textId="77777777" w:rsidTr="008800CB">
        <w:trPr>
          <w:trHeight w:hRule="exact" w:val="340"/>
        </w:trPr>
        <w:tc>
          <w:tcPr>
            <w:tcW w:w="1848" w:type="dxa"/>
            <w:shd w:val="clear" w:color="auto" w:fill="E5E5E5" w:themeFill="background1" w:themeFillTint="33"/>
            <w:vAlign w:val="center"/>
          </w:tcPr>
          <w:p w14:paraId="03AA45F5" w14:textId="77777777" w:rsidR="00E94C6E" w:rsidRPr="008800CB" w:rsidRDefault="00E94C6E" w:rsidP="00E94C6E">
            <w:pPr>
              <w:keepNext/>
              <w:rPr>
                <w:sz w:val="20"/>
                <w:szCs w:val="20"/>
              </w:rPr>
            </w:pPr>
            <w:r w:rsidRPr="008800CB">
              <w:rPr>
                <w:sz w:val="20"/>
                <w:szCs w:val="20"/>
              </w:rPr>
              <w:t>Stream 2</w:t>
            </w:r>
          </w:p>
        </w:tc>
        <w:tc>
          <w:tcPr>
            <w:tcW w:w="1521" w:type="dxa"/>
            <w:shd w:val="clear" w:color="auto" w:fill="E5E5E5" w:themeFill="background1" w:themeFillTint="33"/>
            <w:vAlign w:val="center"/>
          </w:tcPr>
          <w:p w14:paraId="364A7530" w14:textId="77777777" w:rsidR="00E94C6E" w:rsidRPr="008800CB" w:rsidRDefault="00E94C6E" w:rsidP="008800CB">
            <w:pPr>
              <w:keepNext/>
              <w:ind w:right="380"/>
              <w:jc w:val="right"/>
              <w:rPr>
                <w:sz w:val="20"/>
                <w:szCs w:val="20"/>
              </w:rPr>
            </w:pPr>
            <w:r w:rsidRPr="008800CB">
              <w:rPr>
                <w:sz w:val="20"/>
                <w:szCs w:val="20"/>
              </w:rPr>
              <w:t>68.9</w:t>
            </w:r>
          </w:p>
        </w:tc>
        <w:tc>
          <w:tcPr>
            <w:tcW w:w="1559" w:type="dxa"/>
            <w:shd w:val="clear" w:color="auto" w:fill="E5E5E5" w:themeFill="background1" w:themeFillTint="33"/>
            <w:vAlign w:val="center"/>
          </w:tcPr>
          <w:p w14:paraId="617E7A38" w14:textId="77777777" w:rsidR="00E94C6E" w:rsidRPr="008800CB" w:rsidRDefault="00E94C6E" w:rsidP="008800CB">
            <w:pPr>
              <w:keepNext/>
              <w:ind w:left="-126" w:right="380"/>
              <w:jc w:val="right"/>
              <w:rPr>
                <w:sz w:val="20"/>
                <w:szCs w:val="20"/>
              </w:rPr>
            </w:pPr>
            <w:r w:rsidRPr="008800CB">
              <w:rPr>
                <w:sz w:val="20"/>
                <w:szCs w:val="20"/>
              </w:rPr>
              <w:t>31.1</w:t>
            </w:r>
          </w:p>
        </w:tc>
        <w:tc>
          <w:tcPr>
            <w:tcW w:w="1559" w:type="dxa"/>
            <w:shd w:val="clear" w:color="auto" w:fill="E5E5E5" w:themeFill="background1" w:themeFillTint="33"/>
            <w:vAlign w:val="center"/>
          </w:tcPr>
          <w:p w14:paraId="4C2390A2" w14:textId="77777777" w:rsidR="00E94C6E" w:rsidRPr="008800CB" w:rsidRDefault="00E94C6E" w:rsidP="008800CB">
            <w:pPr>
              <w:keepNext/>
              <w:ind w:left="-12" w:right="380"/>
              <w:jc w:val="right"/>
              <w:rPr>
                <w:sz w:val="20"/>
                <w:szCs w:val="20"/>
              </w:rPr>
            </w:pPr>
            <w:r w:rsidRPr="008800CB">
              <w:rPr>
                <w:sz w:val="20"/>
                <w:szCs w:val="20"/>
              </w:rPr>
              <w:t>83.4</w:t>
            </w:r>
          </w:p>
        </w:tc>
        <w:tc>
          <w:tcPr>
            <w:tcW w:w="1559" w:type="dxa"/>
            <w:shd w:val="clear" w:color="auto" w:fill="E5E5E5" w:themeFill="background1" w:themeFillTint="33"/>
            <w:vAlign w:val="center"/>
          </w:tcPr>
          <w:p w14:paraId="0B706BF9" w14:textId="77777777" w:rsidR="00E94C6E" w:rsidRPr="008800CB" w:rsidRDefault="00E94C6E" w:rsidP="008800CB">
            <w:pPr>
              <w:keepNext/>
              <w:ind w:left="-135" w:right="380"/>
              <w:jc w:val="right"/>
              <w:rPr>
                <w:sz w:val="20"/>
                <w:szCs w:val="20"/>
              </w:rPr>
            </w:pPr>
            <w:r w:rsidRPr="008800CB">
              <w:rPr>
                <w:sz w:val="20"/>
                <w:szCs w:val="20"/>
              </w:rPr>
              <w:t>16.6</w:t>
            </w:r>
          </w:p>
        </w:tc>
      </w:tr>
      <w:tr w:rsidR="00E94C6E" w:rsidRPr="008800CB" w14:paraId="42D62B82" w14:textId="77777777" w:rsidTr="008800CB">
        <w:trPr>
          <w:trHeight w:hRule="exact" w:val="340"/>
        </w:trPr>
        <w:tc>
          <w:tcPr>
            <w:tcW w:w="1848" w:type="dxa"/>
            <w:vAlign w:val="center"/>
          </w:tcPr>
          <w:p w14:paraId="3A0AA5BC" w14:textId="77777777" w:rsidR="00E94C6E" w:rsidRPr="008800CB" w:rsidRDefault="00E94C6E" w:rsidP="00E94C6E">
            <w:pPr>
              <w:keepNext/>
              <w:rPr>
                <w:sz w:val="20"/>
                <w:szCs w:val="20"/>
              </w:rPr>
            </w:pPr>
            <w:r w:rsidRPr="008800CB">
              <w:rPr>
                <w:sz w:val="20"/>
                <w:szCs w:val="20"/>
              </w:rPr>
              <w:t>Stream 3</w:t>
            </w:r>
          </w:p>
        </w:tc>
        <w:tc>
          <w:tcPr>
            <w:tcW w:w="1521" w:type="dxa"/>
            <w:vAlign w:val="center"/>
          </w:tcPr>
          <w:p w14:paraId="4584FA6F" w14:textId="77777777" w:rsidR="00E94C6E" w:rsidRPr="008800CB" w:rsidRDefault="00E94C6E" w:rsidP="008800CB">
            <w:pPr>
              <w:keepNext/>
              <w:ind w:right="380"/>
              <w:jc w:val="right"/>
              <w:rPr>
                <w:sz w:val="20"/>
                <w:szCs w:val="20"/>
              </w:rPr>
            </w:pPr>
            <w:r w:rsidRPr="008800CB">
              <w:rPr>
                <w:sz w:val="20"/>
                <w:szCs w:val="20"/>
              </w:rPr>
              <w:t>87.9</w:t>
            </w:r>
          </w:p>
        </w:tc>
        <w:tc>
          <w:tcPr>
            <w:tcW w:w="1559" w:type="dxa"/>
            <w:vAlign w:val="center"/>
          </w:tcPr>
          <w:p w14:paraId="198845B3" w14:textId="77777777" w:rsidR="00E94C6E" w:rsidRPr="008800CB" w:rsidRDefault="00E94C6E" w:rsidP="008800CB">
            <w:pPr>
              <w:keepNext/>
              <w:ind w:left="-126" w:right="380"/>
              <w:jc w:val="right"/>
              <w:rPr>
                <w:sz w:val="20"/>
                <w:szCs w:val="20"/>
              </w:rPr>
            </w:pPr>
            <w:r w:rsidRPr="008800CB">
              <w:rPr>
                <w:sz w:val="20"/>
                <w:szCs w:val="20"/>
              </w:rPr>
              <w:t>12.1</w:t>
            </w:r>
          </w:p>
        </w:tc>
        <w:tc>
          <w:tcPr>
            <w:tcW w:w="1559" w:type="dxa"/>
            <w:vAlign w:val="center"/>
          </w:tcPr>
          <w:p w14:paraId="1BE6A18C" w14:textId="77777777" w:rsidR="00E94C6E" w:rsidRPr="008800CB" w:rsidRDefault="00E94C6E" w:rsidP="008800CB">
            <w:pPr>
              <w:keepNext/>
              <w:ind w:left="-12" w:right="380"/>
              <w:jc w:val="right"/>
              <w:rPr>
                <w:sz w:val="20"/>
                <w:szCs w:val="20"/>
              </w:rPr>
            </w:pPr>
            <w:r w:rsidRPr="008800CB">
              <w:rPr>
                <w:sz w:val="20"/>
                <w:szCs w:val="20"/>
              </w:rPr>
              <w:t>94.8</w:t>
            </w:r>
          </w:p>
        </w:tc>
        <w:tc>
          <w:tcPr>
            <w:tcW w:w="1559" w:type="dxa"/>
            <w:vAlign w:val="center"/>
          </w:tcPr>
          <w:p w14:paraId="79D03034" w14:textId="77777777" w:rsidR="00E94C6E" w:rsidRPr="008800CB" w:rsidRDefault="00E94C6E" w:rsidP="008800CB">
            <w:pPr>
              <w:keepNext/>
              <w:ind w:left="-135" w:right="380"/>
              <w:jc w:val="right"/>
              <w:rPr>
                <w:sz w:val="20"/>
                <w:szCs w:val="20"/>
              </w:rPr>
            </w:pPr>
            <w:r w:rsidRPr="008800CB">
              <w:rPr>
                <w:sz w:val="20"/>
                <w:szCs w:val="20"/>
              </w:rPr>
              <w:t>5.2</w:t>
            </w:r>
          </w:p>
        </w:tc>
      </w:tr>
      <w:tr w:rsidR="00E94C6E" w:rsidRPr="008800CB" w14:paraId="4C0ADA42" w14:textId="77777777" w:rsidTr="008800CB">
        <w:trPr>
          <w:trHeight w:hRule="exact" w:val="340"/>
        </w:trPr>
        <w:tc>
          <w:tcPr>
            <w:tcW w:w="1848" w:type="dxa"/>
            <w:shd w:val="clear" w:color="auto" w:fill="8EAEDE"/>
            <w:vAlign w:val="center"/>
          </w:tcPr>
          <w:p w14:paraId="2D4FF45E" w14:textId="77777777" w:rsidR="00E94C6E" w:rsidRPr="008800CB" w:rsidRDefault="00E94C6E" w:rsidP="0098738D">
            <w:pPr>
              <w:keepNext/>
              <w:rPr>
                <w:sz w:val="20"/>
                <w:szCs w:val="20"/>
              </w:rPr>
            </w:pPr>
            <w:r w:rsidRPr="008800CB">
              <w:rPr>
                <w:sz w:val="20"/>
                <w:szCs w:val="20"/>
              </w:rPr>
              <w:t>T</w:t>
            </w:r>
            <w:r w:rsidR="0098738D" w:rsidRPr="008800CB">
              <w:rPr>
                <w:sz w:val="20"/>
                <w:szCs w:val="20"/>
              </w:rPr>
              <w:t>otal</w:t>
            </w:r>
          </w:p>
        </w:tc>
        <w:tc>
          <w:tcPr>
            <w:tcW w:w="1521" w:type="dxa"/>
            <w:shd w:val="clear" w:color="auto" w:fill="8EAEDE"/>
            <w:vAlign w:val="center"/>
          </w:tcPr>
          <w:p w14:paraId="6F5E8154" w14:textId="77777777" w:rsidR="00E94C6E" w:rsidRPr="008800CB" w:rsidRDefault="00E94C6E" w:rsidP="008800CB">
            <w:pPr>
              <w:keepNext/>
              <w:ind w:right="380"/>
              <w:jc w:val="right"/>
              <w:rPr>
                <w:sz w:val="20"/>
                <w:szCs w:val="20"/>
              </w:rPr>
            </w:pPr>
            <w:r w:rsidRPr="008800CB">
              <w:rPr>
                <w:sz w:val="20"/>
                <w:szCs w:val="20"/>
              </w:rPr>
              <w:t>54.5</w:t>
            </w:r>
          </w:p>
        </w:tc>
        <w:tc>
          <w:tcPr>
            <w:tcW w:w="1559" w:type="dxa"/>
            <w:shd w:val="clear" w:color="auto" w:fill="8EAEDE"/>
            <w:vAlign w:val="center"/>
          </w:tcPr>
          <w:p w14:paraId="179462C9" w14:textId="77777777" w:rsidR="00E94C6E" w:rsidRPr="008800CB" w:rsidRDefault="00E94C6E" w:rsidP="008800CB">
            <w:pPr>
              <w:keepNext/>
              <w:ind w:left="-126" w:right="380"/>
              <w:jc w:val="right"/>
              <w:rPr>
                <w:sz w:val="20"/>
                <w:szCs w:val="20"/>
              </w:rPr>
            </w:pPr>
            <w:r w:rsidRPr="008800CB">
              <w:rPr>
                <w:sz w:val="20"/>
                <w:szCs w:val="20"/>
              </w:rPr>
              <w:t>45.5</w:t>
            </w:r>
          </w:p>
        </w:tc>
        <w:tc>
          <w:tcPr>
            <w:tcW w:w="1559" w:type="dxa"/>
            <w:shd w:val="clear" w:color="auto" w:fill="8EAEDE"/>
            <w:vAlign w:val="center"/>
          </w:tcPr>
          <w:p w14:paraId="329E88D2" w14:textId="77777777" w:rsidR="00E94C6E" w:rsidRPr="008800CB" w:rsidRDefault="00E94C6E" w:rsidP="008800CB">
            <w:pPr>
              <w:keepNext/>
              <w:ind w:left="-12" w:right="380"/>
              <w:jc w:val="right"/>
              <w:rPr>
                <w:sz w:val="20"/>
                <w:szCs w:val="20"/>
              </w:rPr>
            </w:pPr>
            <w:r w:rsidRPr="008800CB">
              <w:rPr>
                <w:sz w:val="20"/>
                <w:szCs w:val="20"/>
              </w:rPr>
              <w:t>71.9</w:t>
            </w:r>
          </w:p>
        </w:tc>
        <w:tc>
          <w:tcPr>
            <w:tcW w:w="1559" w:type="dxa"/>
            <w:shd w:val="clear" w:color="auto" w:fill="8EAEDE"/>
            <w:vAlign w:val="center"/>
          </w:tcPr>
          <w:p w14:paraId="06F3A4ED" w14:textId="77777777" w:rsidR="00E94C6E" w:rsidRPr="008800CB" w:rsidRDefault="00E94C6E" w:rsidP="008800CB">
            <w:pPr>
              <w:keepNext/>
              <w:ind w:left="-135" w:right="380"/>
              <w:jc w:val="right"/>
              <w:rPr>
                <w:sz w:val="20"/>
                <w:szCs w:val="20"/>
              </w:rPr>
            </w:pPr>
            <w:r w:rsidRPr="008800CB">
              <w:rPr>
                <w:sz w:val="20"/>
                <w:szCs w:val="20"/>
              </w:rPr>
              <w:t>28.1</w:t>
            </w:r>
          </w:p>
        </w:tc>
      </w:tr>
    </w:tbl>
    <w:p w14:paraId="5763FEBA" w14:textId="77777777" w:rsidR="00E94C6E" w:rsidRPr="00E94C6E" w:rsidRDefault="00E94C6E" w:rsidP="00655E7B">
      <w:pPr>
        <w:pStyle w:val="Notes"/>
      </w:pPr>
      <w:r w:rsidRPr="00E94C6E">
        <w:rPr>
          <w:b/>
        </w:rPr>
        <w:t>Note:</w:t>
      </w:r>
      <w:r w:rsidRPr="00E94C6E">
        <w:rPr>
          <w:b/>
        </w:rPr>
        <w:tab/>
      </w:r>
      <w:r w:rsidRPr="00E94C6E">
        <w:t xml:space="preserve">This table only considers job seekers who remained in JSA for at least 365 days. </w:t>
      </w:r>
    </w:p>
    <w:p w14:paraId="322FFCDD" w14:textId="77777777" w:rsidR="0019430D" w:rsidRPr="00E94C6E" w:rsidRDefault="0019430D" w:rsidP="0019430D">
      <w:pPr>
        <w:pStyle w:val="Source"/>
      </w:pPr>
      <w:r w:rsidRPr="00E94C6E">
        <w:rPr>
          <w:b/>
        </w:rPr>
        <w:t>Source:</w:t>
      </w:r>
      <w:r w:rsidRPr="00E94C6E">
        <w:t xml:space="preserve"> </w:t>
      </w:r>
      <w:r w:rsidRPr="00E94C6E">
        <w:tab/>
        <w:t xml:space="preserve">Department </w:t>
      </w:r>
      <w:r w:rsidRPr="0019430D">
        <w:t>of</w:t>
      </w:r>
      <w:r w:rsidRPr="00E94C6E">
        <w:t xml:space="preserve"> Employment administrative data.</w:t>
      </w:r>
    </w:p>
    <w:p w14:paraId="76047536" w14:textId="77777777" w:rsidR="00E94C6E" w:rsidRPr="00E94C6E" w:rsidRDefault="00403511" w:rsidP="00403511">
      <w:pPr>
        <w:pStyle w:val="Heading3"/>
      </w:pPr>
      <w:bookmarkStart w:id="323" w:name="_Toc22543097"/>
      <w:r>
        <w:t>5.</w:t>
      </w:r>
      <w:r w:rsidR="00A00C00">
        <w:t>2</w:t>
      </w:r>
      <w:r>
        <w:t>.2</w:t>
      </w:r>
      <w:r>
        <w:tab/>
      </w:r>
      <w:r w:rsidR="00E94C6E" w:rsidRPr="00E94C6E">
        <w:t>SSR outcomes</w:t>
      </w:r>
      <w:bookmarkEnd w:id="323"/>
    </w:p>
    <w:p w14:paraId="24118B09" w14:textId="77777777" w:rsidR="00760772" w:rsidRDefault="00E94C6E" w:rsidP="00E94C6E">
      <w:r w:rsidRPr="00E94C6E">
        <w:t xml:space="preserve">The median number of days elapsed before conducting an SSR </w:t>
      </w:r>
      <w:r w:rsidR="00760772">
        <w:t>is shown in Table 5.2</w:t>
      </w:r>
      <w:r w:rsidR="009245F1">
        <w:t>.</w:t>
      </w:r>
    </w:p>
    <w:p w14:paraId="500F99D5" w14:textId="0CCD3AB9" w:rsidR="00760772" w:rsidRPr="00C2452E" w:rsidRDefault="00760772" w:rsidP="00265029">
      <w:pPr>
        <w:pStyle w:val="Tableforcontents"/>
        <w:tabs>
          <w:tab w:val="left" w:pos="4820"/>
        </w:tabs>
        <w:ind w:right="96"/>
        <w:rPr>
          <w:rFonts w:eastAsiaTheme="majorEastAsia"/>
        </w:rPr>
      </w:pPr>
      <w:bookmarkStart w:id="324" w:name="_Toc22543990"/>
      <w:r w:rsidRPr="00C2452E">
        <w:rPr>
          <w:rFonts w:eastAsiaTheme="majorEastAsia"/>
        </w:rPr>
        <w:t>Table 5.</w:t>
      </w:r>
      <w:r>
        <w:rPr>
          <w:rFonts w:eastAsiaTheme="majorEastAsia"/>
        </w:rPr>
        <w:t>2:</w:t>
      </w:r>
      <w:r w:rsidR="003C29A5">
        <w:rPr>
          <w:rFonts w:eastAsiaTheme="majorEastAsia"/>
        </w:rPr>
        <w:t xml:space="preserve"> </w:t>
      </w:r>
      <w:r>
        <w:rPr>
          <w:rFonts w:eastAsiaTheme="majorEastAsia"/>
        </w:rPr>
        <w:t xml:space="preserve">Median number of days from </w:t>
      </w:r>
      <w:r w:rsidR="00FB6C7E">
        <w:rPr>
          <w:rFonts w:eastAsiaTheme="majorEastAsia"/>
        </w:rPr>
        <w:t>registration</w:t>
      </w:r>
      <w:r>
        <w:rPr>
          <w:rFonts w:eastAsiaTheme="majorEastAsia"/>
        </w:rPr>
        <w:t xml:space="preserve"> to the conduct of a Stream Service</w:t>
      </w:r>
      <w:r w:rsidR="000B2F4D">
        <w:rPr>
          <w:rFonts w:eastAsiaTheme="majorEastAsia"/>
        </w:rPr>
        <w:t>s</w:t>
      </w:r>
      <w:r>
        <w:rPr>
          <w:rFonts w:eastAsiaTheme="majorEastAsia"/>
        </w:rPr>
        <w:t xml:space="preserve"> Review (</w:t>
      </w:r>
      <w:r w:rsidR="006D5A09">
        <w:rPr>
          <w:rFonts w:eastAsiaTheme="majorEastAsia"/>
        </w:rPr>
        <w:t>days</w:t>
      </w:r>
      <w:r>
        <w:rPr>
          <w:rFonts w:eastAsiaTheme="majorEastAsia"/>
        </w:rPr>
        <w:t>).</w:t>
      </w:r>
      <w:bookmarkEnd w:id="324"/>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FB6C7E" w:rsidRPr="00E94C6E" w14:paraId="1A201474" w14:textId="77777777" w:rsidTr="008800CB">
        <w:trPr>
          <w:trHeight w:hRule="exact" w:val="592"/>
          <w:tblHeader/>
        </w:trPr>
        <w:tc>
          <w:tcPr>
            <w:tcW w:w="2518" w:type="dxa"/>
            <w:shd w:val="clear" w:color="auto" w:fill="104165" w:themeFill="text2" w:themeFillShade="BF"/>
            <w:vAlign w:val="center"/>
          </w:tcPr>
          <w:p w14:paraId="018D57C0" w14:textId="77777777" w:rsidR="00FB6C7E" w:rsidRPr="00E94C6E" w:rsidRDefault="00FB6C7E" w:rsidP="00F61D3B">
            <w:pPr>
              <w:keepNext/>
              <w:rPr>
                <w:sz w:val="20"/>
                <w:szCs w:val="20"/>
              </w:rPr>
            </w:pPr>
            <w:bookmarkStart w:id="325" w:name="Title_52"/>
            <w:bookmarkEnd w:id="325"/>
            <w:r w:rsidRPr="00E94C6E">
              <w:rPr>
                <w:b/>
                <w:sz w:val="20"/>
                <w:szCs w:val="20"/>
              </w:rPr>
              <w:t>Commencement Stream</w:t>
            </w:r>
          </w:p>
        </w:tc>
        <w:tc>
          <w:tcPr>
            <w:tcW w:w="2552" w:type="dxa"/>
            <w:shd w:val="clear" w:color="auto" w:fill="104165" w:themeFill="text2" w:themeFillShade="BF"/>
            <w:vAlign w:val="center"/>
          </w:tcPr>
          <w:p w14:paraId="266C0C49" w14:textId="77777777" w:rsidR="00FB6C7E" w:rsidRPr="00E94C6E" w:rsidRDefault="00FB6C7E" w:rsidP="00FB6C7E">
            <w:pPr>
              <w:keepNext/>
              <w:ind w:right="652"/>
              <w:jc w:val="center"/>
              <w:rPr>
                <w:sz w:val="20"/>
                <w:szCs w:val="20"/>
              </w:rPr>
            </w:pPr>
            <w:r>
              <w:rPr>
                <w:b/>
                <w:sz w:val="20"/>
                <w:szCs w:val="20"/>
              </w:rPr>
              <w:t>Median Days</w:t>
            </w:r>
          </w:p>
        </w:tc>
      </w:tr>
      <w:tr w:rsidR="00FB6C7E" w:rsidRPr="00E94C6E" w14:paraId="6F93791D" w14:textId="77777777" w:rsidTr="008800CB">
        <w:trPr>
          <w:trHeight w:hRule="exact" w:val="340"/>
        </w:trPr>
        <w:tc>
          <w:tcPr>
            <w:tcW w:w="2518" w:type="dxa"/>
            <w:vAlign w:val="center"/>
          </w:tcPr>
          <w:p w14:paraId="5BBD7381" w14:textId="77777777" w:rsidR="00FB6C7E" w:rsidRPr="00E94C6E" w:rsidRDefault="00FB6C7E" w:rsidP="00F61D3B">
            <w:pPr>
              <w:keepNext/>
              <w:rPr>
                <w:sz w:val="20"/>
                <w:szCs w:val="20"/>
              </w:rPr>
            </w:pPr>
            <w:r w:rsidRPr="00E94C6E">
              <w:rPr>
                <w:sz w:val="20"/>
                <w:szCs w:val="20"/>
              </w:rPr>
              <w:t>Stream 1</w:t>
            </w:r>
          </w:p>
        </w:tc>
        <w:tc>
          <w:tcPr>
            <w:tcW w:w="2552" w:type="dxa"/>
            <w:vAlign w:val="center"/>
          </w:tcPr>
          <w:p w14:paraId="0E04F764" w14:textId="77777777" w:rsidR="00FB6C7E" w:rsidRPr="00E94C6E" w:rsidRDefault="00FB6C7E" w:rsidP="00FB6C7E">
            <w:pPr>
              <w:keepNext/>
              <w:ind w:right="652"/>
              <w:jc w:val="center"/>
              <w:rPr>
                <w:sz w:val="20"/>
                <w:szCs w:val="20"/>
              </w:rPr>
            </w:pPr>
            <w:r w:rsidRPr="00E94C6E">
              <w:rPr>
                <w:sz w:val="20"/>
                <w:szCs w:val="20"/>
              </w:rPr>
              <w:t>4</w:t>
            </w:r>
            <w:r>
              <w:rPr>
                <w:sz w:val="20"/>
                <w:szCs w:val="20"/>
              </w:rPr>
              <w:t>06</w:t>
            </w:r>
          </w:p>
        </w:tc>
      </w:tr>
      <w:tr w:rsidR="00FB6C7E" w:rsidRPr="00E94C6E" w14:paraId="553BF839" w14:textId="77777777" w:rsidTr="008800CB">
        <w:trPr>
          <w:trHeight w:hRule="exact" w:val="340"/>
        </w:trPr>
        <w:tc>
          <w:tcPr>
            <w:tcW w:w="2518" w:type="dxa"/>
            <w:shd w:val="clear" w:color="auto" w:fill="E5E5E5" w:themeFill="background1" w:themeFillTint="33"/>
            <w:vAlign w:val="center"/>
          </w:tcPr>
          <w:p w14:paraId="079A39CF" w14:textId="77777777" w:rsidR="00FB6C7E" w:rsidRPr="00E94C6E" w:rsidRDefault="00FB6C7E" w:rsidP="00F61D3B">
            <w:pPr>
              <w:keepNext/>
              <w:rPr>
                <w:sz w:val="20"/>
                <w:szCs w:val="20"/>
              </w:rPr>
            </w:pPr>
            <w:r w:rsidRPr="00E94C6E">
              <w:rPr>
                <w:sz w:val="20"/>
                <w:szCs w:val="20"/>
              </w:rPr>
              <w:t>Stream 2</w:t>
            </w:r>
          </w:p>
        </w:tc>
        <w:tc>
          <w:tcPr>
            <w:tcW w:w="2552" w:type="dxa"/>
            <w:shd w:val="clear" w:color="auto" w:fill="E5E5E5" w:themeFill="background1" w:themeFillTint="33"/>
            <w:vAlign w:val="center"/>
          </w:tcPr>
          <w:p w14:paraId="42A87FCF" w14:textId="77777777" w:rsidR="00FB6C7E" w:rsidRPr="00E94C6E" w:rsidRDefault="00E9018F" w:rsidP="00FB6C7E">
            <w:pPr>
              <w:keepNext/>
              <w:ind w:right="652"/>
              <w:jc w:val="center"/>
              <w:rPr>
                <w:sz w:val="20"/>
                <w:szCs w:val="20"/>
              </w:rPr>
            </w:pPr>
            <w:r>
              <w:rPr>
                <w:sz w:val="20"/>
                <w:szCs w:val="20"/>
              </w:rPr>
              <w:t>413</w:t>
            </w:r>
          </w:p>
        </w:tc>
      </w:tr>
      <w:tr w:rsidR="00FB6C7E" w:rsidRPr="00E94C6E" w14:paraId="58220B62" w14:textId="77777777" w:rsidTr="008800CB">
        <w:trPr>
          <w:trHeight w:hRule="exact" w:val="340"/>
        </w:trPr>
        <w:tc>
          <w:tcPr>
            <w:tcW w:w="2518" w:type="dxa"/>
            <w:vAlign w:val="center"/>
          </w:tcPr>
          <w:p w14:paraId="78AE7C3E" w14:textId="77777777" w:rsidR="00FB6C7E" w:rsidRPr="00E94C6E" w:rsidRDefault="00FB6C7E" w:rsidP="00F61D3B">
            <w:pPr>
              <w:keepNext/>
              <w:rPr>
                <w:sz w:val="20"/>
                <w:szCs w:val="20"/>
              </w:rPr>
            </w:pPr>
            <w:r w:rsidRPr="00E94C6E">
              <w:rPr>
                <w:sz w:val="20"/>
                <w:szCs w:val="20"/>
              </w:rPr>
              <w:t>Stream 3</w:t>
            </w:r>
          </w:p>
        </w:tc>
        <w:tc>
          <w:tcPr>
            <w:tcW w:w="2552" w:type="dxa"/>
            <w:vAlign w:val="center"/>
          </w:tcPr>
          <w:p w14:paraId="58E1590C" w14:textId="77777777" w:rsidR="00FB6C7E" w:rsidRPr="00E94C6E" w:rsidRDefault="00FB6C7E" w:rsidP="00FB6C7E">
            <w:pPr>
              <w:keepNext/>
              <w:ind w:right="652"/>
              <w:jc w:val="center"/>
              <w:rPr>
                <w:sz w:val="20"/>
                <w:szCs w:val="20"/>
              </w:rPr>
            </w:pPr>
            <w:r>
              <w:rPr>
                <w:sz w:val="20"/>
                <w:szCs w:val="20"/>
              </w:rPr>
              <w:t>406</w:t>
            </w:r>
          </w:p>
        </w:tc>
      </w:tr>
      <w:tr w:rsidR="00FB6C7E" w:rsidRPr="0098738D" w14:paraId="5283A765" w14:textId="77777777" w:rsidTr="008800CB">
        <w:trPr>
          <w:trHeight w:hRule="exact" w:val="340"/>
        </w:trPr>
        <w:tc>
          <w:tcPr>
            <w:tcW w:w="2518" w:type="dxa"/>
            <w:tcBorders>
              <w:bottom w:val="single" w:sz="4" w:space="0" w:color="auto"/>
            </w:tcBorders>
            <w:shd w:val="clear" w:color="auto" w:fill="E5E5E5" w:themeFill="background1" w:themeFillTint="33"/>
            <w:vAlign w:val="center"/>
          </w:tcPr>
          <w:p w14:paraId="2D1B8944" w14:textId="77777777" w:rsidR="00FB6C7E" w:rsidRPr="00FB6C7E" w:rsidRDefault="00FB6C7E" w:rsidP="00F61D3B">
            <w:pPr>
              <w:keepNext/>
              <w:rPr>
                <w:sz w:val="20"/>
                <w:szCs w:val="20"/>
              </w:rPr>
            </w:pPr>
            <w:r w:rsidRPr="00FB6C7E">
              <w:rPr>
                <w:sz w:val="20"/>
                <w:szCs w:val="20"/>
              </w:rPr>
              <w:t>Stream 4</w:t>
            </w:r>
          </w:p>
        </w:tc>
        <w:tc>
          <w:tcPr>
            <w:tcW w:w="2552" w:type="dxa"/>
            <w:tcBorders>
              <w:bottom w:val="single" w:sz="4" w:space="0" w:color="auto"/>
            </w:tcBorders>
            <w:shd w:val="clear" w:color="auto" w:fill="E5E5E5" w:themeFill="background1" w:themeFillTint="33"/>
            <w:vAlign w:val="center"/>
          </w:tcPr>
          <w:p w14:paraId="146DC74E" w14:textId="77777777" w:rsidR="00FB6C7E" w:rsidRPr="00FB6C7E" w:rsidRDefault="00FB6C7E" w:rsidP="00FB6C7E">
            <w:pPr>
              <w:keepNext/>
              <w:ind w:right="652"/>
              <w:jc w:val="center"/>
              <w:rPr>
                <w:sz w:val="20"/>
                <w:szCs w:val="20"/>
              </w:rPr>
            </w:pPr>
            <w:r w:rsidRPr="00FB6C7E">
              <w:rPr>
                <w:sz w:val="20"/>
                <w:szCs w:val="20"/>
              </w:rPr>
              <w:t>434</w:t>
            </w:r>
          </w:p>
        </w:tc>
      </w:tr>
    </w:tbl>
    <w:p w14:paraId="1FB9A00A" w14:textId="77777777" w:rsidR="00274863" w:rsidRDefault="00A404A0" w:rsidP="00A404A0">
      <w:pPr>
        <w:pStyle w:val="Notes"/>
        <w:rPr>
          <w:b/>
        </w:rPr>
      </w:pPr>
      <w:r>
        <w:rPr>
          <w:b/>
        </w:rPr>
        <w:t>Note</w:t>
      </w:r>
      <w:r w:rsidR="00274863">
        <w:rPr>
          <w:b/>
        </w:rPr>
        <w:t>s</w:t>
      </w:r>
      <w:r>
        <w:rPr>
          <w:b/>
        </w:rPr>
        <w:t>:</w:t>
      </w:r>
      <w:r>
        <w:rPr>
          <w:b/>
        </w:rPr>
        <w:tab/>
      </w:r>
    </w:p>
    <w:p w14:paraId="2F3D6B03" w14:textId="77777777" w:rsidR="00274863" w:rsidRDefault="00274863" w:rsidP="008F7468">
      <w:pPr>
        <w:pStyle w:val="Notes"/>
        <w:numPr>
          <w:ilvl w:val="0"/>
          <w:numId w:val="285"/>
        </w:numPr>
      </w:pPr>
      <w:r>
        <w:t>Elapsed days.</w:t>
      </w:r>
    </w:p>
    <w:p w14:paraId="623F2196" w14:textId="77777777" w:rsidR="00A404A0" w:rsidRPr="00A404A0" w:rsidRDefault="00A404A0" w:rsidP="008F7468">
      <w:pPr>
        <w:pStyle w:val="Notes"/>
        <w:numPr>
          <w:ilvl w:val="0"/>
          <w:numId w:val="285"/>
        </w:numPr>
      </w:pPr>
      <w:r w:rsidRPr="00A404A0">
        <w:t xml:space="preserve">Refer to </w:t>
      </w:r>
      <w:hyperlink w:anchor="Title_A225" w:history="1">
        <w:r w:rsidRPr="00DD4BF4">
          <w:rPr>
            <w:rStyle w:val="Hyperlink"/>
          </w:rPr>
          <w:t>Appendix A</w:t>
        </w:r>
        <w:r w:rsidR="000748CA" w:rsidRPr="00DD4BF4">
          <w:rPr>
            <w:rStyle w:val="Hyperlink"/>
          </w:rPr>
          <w:t>2</w:t>
        </w:r>
        <w:r w:rsidRPr="00DD4BF4">
          <w:rPr>
            <w:rStyle w:val="Hyperlink"/>
          </w:rPr>
          <w:t>, Table A2.25</w:t>
        </w:r>
      </w:hyperlink>
      <w:r w:rsidRPr="00A404A0">
        <w:t>.</w:t>
      </w:r>
      <w:bookmarkStart w:id="326" w:name="Place_A225"/>
      <w:bookmarkEnd w:id="326"/>
    </w:p>
    <w:p w14:paraId="2AF86CFB" w14:textId="77777777" w:rsidR="00760772" w:rsidRPr="00E94C6E" w:rsidRDefault="00760772" w:rsidP="0033478B">
      <w:pPr>
        <w:pStyle w:val="Source"/>
      </w:pPr>
      <w:r w:rsidRPr="00E94C6E">
        <w:rPr>
          <w:b/>
        </w:rPr>
        <w:t>Source:</w:t>
      </w:r>
      <w:r w:rsidRPr="00E94C6E">
        <w:t xml:space="preserve"> </w:t>
      </w:r>
      <w:r w:rsidRPr="00E94C6E">
        <w:tab/>
        <w:t>Department of Employment administrative data.</w:t>
      </w:r>
    </w:p>
    <w:p w14:paraId="1779ABD5" w14:textId="77777777" w:rsidR="00E94C6E" w:rsidRPr="00E94C6E" w:rsidRDefault="00E94C6E" w:rsidP="00E94C6E">
      <w:r w:rsidRPr="00E94C6E">
        <w:t xml:space="preserve">The longer median time for Stream 4 job seekers </w:t>
      </w:r>
      <w:r w:rsidR="00FB6C7E">
        <w:t>is likely</w:t>
      </w:r>
      <w:r w:rsidRPr="00E94C6E">
        <w:t xml:space="preserve"> relate</w:t>
      </w:r>
      <w:r w:rsidR="00FB6C7E">
        <w:t>d</w:t>
      </w:r>
      <w:r w:rsidRPr="00E94C6E">
        <w:t xml:space="preserve"> to </w:t>
      </w:r>
      <w:r w:rsidR="00FB6C7E">
        <w:t>the</w:t>
      </w:r>
      <w:r w:rsidR="00FB6C7E" w:rsidRPr="00E94C6E">
        <w:t xml:space="preserve"> </w:t>
      </w:r>
      <w:r w:rsidRPr="00E94C6E">
        <w:t>difficulty in arrang</w:t>
      </w:r>
      <w:r w:rsidR="004B579D">
        <w:t>ing</w:t>
      </w:r>
      <w:r w:rsidRPr="00E94C6E">
        <w:t xml:space="preserve"> SSRs for Stream 4 job seekers (as they required ESAts).</w:t>
      </w:r>
    </w:p>
    <w:p w14:paraId="31C1CB45" w14:textId="77777777" w:rsidR="00E94C6E" w:rsidRPr="00E94C6E" w:rsidRDefault="00E94C6E" w:rsidP="00E94C6E">
      <w:r w:rsidRPr="00E94C6E">
        <w:t xml:space="preserve">Almost three-quarters (72 per cent) of SSRs </w:t>
      </w:r>
      <w:r w:rsidR="00FB6C7E">
        <w:t>finalised</w:t>
      </w:r>
      <w:r w:rsidRPr="00E94C6E">
        <w:t xml:space="preserve"> within 18 months of registration for job seekers in the SSR study population recommended that the job seeker transition to the </w:t>
      </w:r>
      <w:r w:rsidR="004535A1">
        <w:t>WEP</w:t>
      </w:r>
      <w:r w:rsidR="00D712A1">
        <w:t>h</w:t>
      </w:r>
      <w:r w:rsidRPr="00E94C6E">
        <w:t>.</w:t>
      </w:r>
      <w:r w:rsidR="005068D7">
        <w:t xml:space="preserve"> </w:t>
      </w:r>
      <w:r w:rsidR="00FB6C7E">
        <w:t>For Stream 4 job seekers in the SSR study period, a</w:t>
      </w:r>
      <w:r w:rsidRPr="00E94C6E">
        <w:t xml:space="preserve">round </w:t>
      </w:r>
      <w:r w:rsidR="005068D7">
        <w:t>6</w:t>
      </w:r>
      <w:r w:rsidR="005068D7" w:rsidRPr="00E94C6E">
        <w:t xml:space="preserve"> </w:t>
      </w:r>
      <w:r w:rsidR="00EA7DBA">
        <w:t xml:space="preserve">per cent </w:t>
      </w:r>
      <w:r w:rsidRPr="00E94C6E">
        <w:t>recommended that the job seeker would be better serviced in Disability Employment Services (DES)</w:t>
      </w:r>
      <w:r w:rsidR="00FB6C7E">
        <w:t xml:space="preserve"> and a further </w:t>
      </w:r>
      <w:r w:rsidRPr="00E94C6E">
        <w:t xml:space="preserve">46 per cent recommended </w:t>
      </w:r>
      <w:r w:rsidR="00FB6C7E">
        <w:t xml:space="preserve">continued </w:t>
      </w:r>
      <w:r w:rsidRPr="00E94C6E">
        <w:t>servicing before moving to the WEP</w:t>
      </w:r>
      <w:r w:rsidR="0054199A">
        <w:t>h</w:t>
      </w:r>
      <w:r w:rsidRPr="00E94C6E">
        <w:t>.</w:t>
      </w:r>
    </w:p>
    <w:p w14:paraId="729FD514" w14:textId="77777777" w:rsidR="00E94C6E" w:rsidRPr="00E94C6E" w:rsidRDefault="00E94C6E" w:rsidP="00E94C6E">
      <w:pPr>
        <w:rPr>
          <w:rFonts w:eastAsiaTheme="majorEastAsia"/>
        </w:rPr>
      </w:pPr>
      <w:r w:rsidRPr="00E94C6E">
        <w:rPr>
          <w:rFonts w:eastAsiaTheme="majorEastAsia"/>
        </w:rPr>
        <w:t>SSRs also provided an opportunity for job seekers with dated partial capacity to work ESAt assessments to be reassessed. A SSR recommendation</w:t>
      </w:r>
      <w:r w:rsidR="000F7ED9">
        <w:rPr>
          <w:rFonts w:eastAsiaTheme="majorEastAsia"/>
        </w:rPr>
        <w:t xml:space="preserve"> to</w:t>
      </w:r>
      <w:r w:rsidRPr="00E94C6E">
        <w:rPr>
          <w:rFonts w:eastAsiaTheme="majorEastAsia"/>
        </w:rPr>
        <w:t xml:space="preserve"> </w:t>
      </w:r>
      <w:r w:rsidR="000F7ED9">
        <w:rPr>
          <w:rFonts w:eastAsiaTheme="majorEastAsia"/>
        </w:rPr>
        <w:t xml:space="preserve">increase </w:t>
      </w:r>
      <w:r w:rsidRPr="00E94C6E">
        <w:rPr>
          <w:rFonts w:eastAsiaTheme="majorEastAsia"/>
        </w:rPr>
        <w:t>work capacity led to an increase in participation requirements and engagement with employment services. The extent to which this occurred and the possible unintended consequence are not explored in this study.</w:t>
      </w:r>
    </w:p>
    <w:p w14:paraId="78BE5740" w14:textId="77777777" w:rsidR="00E94C6E" w:rsidRPr="00E94C6E" w:rsidRDefault="00403511" w:rsidP="00403511">
      <w:pPr>
        <w:pStyle w:val="Heading3"/>
      </w:pPr>
      <w:bookmarkStart w:id="327" w:name="_Toc22543098"/>
      <w:r>
        <w:t>5.</w:t>
      </w:r>
      <w:r w:rsidR="00A00C00">
        <w:t>2</w:t>
      </w:r>
      <w:r>
        <w:t>.3</w:t>
      </w:r>
      <w:r>
        <w:tab/>
      </w:r>
      <w:r w:rsidR="00E94C6E" w:rsidRPr="00E94C6E">
        <w:t>Tim</w:t>
      </w:r>
      <w:r w:rsidR="001D2838">
        <w:t xml:space="preserve">ing of recommendations to </w:t>
      </w:r>
      <w:r w:rsidR="00E94C6E" w:rsidRPr="00E94C6E">
        <w:t>change</w:t>
      </w:r>
      <w:r w:rsidR="001D2838">
        <w:t>s</w:t>
      </w:r>
      <w:r w:rsidR="00E94C6E" w:rsidRPr="00E94C6E">
        <w:t xml:space="preserve"> in service</w:t>
      </w:r>
      <w:bookmarkEnd w:id="327"/>
    </w:p>
    <w:p w14:paraId="39261D2C" w14:textId="77777777" w:rsidR="003A4D0C" w:rsidRDefault="001D2838" w:rsidP="00EA7DBA">
      <w:r>
        <w:t>Part of the reasoning behind SSR</w:t>
      </w:r>
      <w:r w:rsidR="003A4D0C">
        <w:t>s</w:t>
      </w:r>
      <w:r>
        <w:t xml:space="preserve"> </w:t>
      </w:r>
      <w:r w:rsidR="003A4D0C">
        <w:t xml:space="preserve">was </w:t>
      </w:r>
      <w:r>
        <w:t xml:space="preserve">to ensure the appropriate level of servicing. As such, the </w:t>
      </w:r>
      <w:r w:rsidR="00E94C6E" w:rsidRPr="00E94C6E">
        <w:t xml:space="preserve">length of time </w:t>
      </w:r>
      <w:r>
        <w:t xml:space="preserve">(in service) </w:t>
      </w:r>
      <w:r w:rsidR="00E94C6E" w:rsidRPr="00E94C6E">
        <w:t>between commencement in service and the first assessment (which recommended higher service levels)</w:t>
      </w:r>
      <w:r>
        <w:t xml:space="preserve"> will give an indication of how necessary SSR</w:t>
      </w:r>
      <w:r w:rsidR="00F56761">
        <w:t>s</w:t>
      </w:r>
      <w:r>
        <w:t xml:space="preserve"> were</w:t>
      </w:r>
      <w:r w:rsidR="00E94C6E" w:rsidRPr="00E94C6E">
        <w:t>.</w:t>
      </w:r>
    </w:p>
    <w:p w14:paraId="063A029F" w14:textId="77777777" w:rsidR="00E94C6E" w:rsidRPr="00E94C6E" w:rsidRDefault="00E94C6E" w:rsidP="00EA7DBA">
      <w:r w:rsidRPr="00E94C6E">
        <w:t>Some of these assessments would be based on change in circumstances. However, assuming similar change in circumstance patterns, a difference in timing between the two models would indicate a more responsive assessment process. The following assumptions are also implicit:</w:t>
      </w:r>
    </w:p>
    <w:p w14:paraId="7A8334DF" w14:textId="77777777" w:rsidR="00E94C6E" w:rsidRPr="00E94C6E" w:rsidRDefault="00E94C6E" w:rsidP="00247BDA">
      <w:pPr>
        <w:pStyle w:val="ListParagraph"/>
      </w:pPr>
      <w:r w:rsidRPr="00E94C6E">
        <w:t xml:space="preserve">all job seekers were reassessed in a timely </w:t>
      </w:r>
      <w:r w:rsidR="00F56761">
        <w:t>manner</w:t>
      </w:r>
      <w:r w:rsidR="00F56761" w:rsidRPr="00E94C6E">
        <w:t xml:space="preserve"> </w:t>
      </w:r>
      <w:r w:rsidRPr="00E94C6E">
        <w:t xml:space="preserve">after </w:t>
      </w:r>
      <w:r w:rsidR="00F56761">
        <w:t xml:space="preserve">reporting a </w:t>
      </w:r>
      <w:r w:rsidRPr="00E94C6E">
        <w:t>change in circumstances</w:t>
      </w:r>
    </w:p>
    <w:p w14:paraId="1690482C" w14:textId="77777777" w:rsidR="00E94C6E" w:rsidRPr="00E94C6E" w:rsidRDefault="00E94C6E" w:rsidP="00247BDA">
      <w:pPr>
        <w:pStyle w:val="ListParagraph"/>
      </w:pPr>
      <w:r w:rsidRPr="00E94C6E">
        <w:t>assessments were accurate reflections of need.</w:t>
      </w:r>
    </w:p>
    <w:p w14:paraId="382D8EE2" w14:textId="77777777" w:rsidR="00E94C6E" w:rsidRPr="00E94C6E" w:rsidRDefault="00E94C6E" w:rsidP="00E94C6E">
      <w:r w:rsidRPr="00E94C6E">
        <w:t>The median time in service</w:t>
      </w:r>
      <w:r w:rsidRPr="00B52FEF">
        <w:rPr>
          <w:rStyle w:val="FootnoteReference"/>
        </w:rPr>
        <w:footnoteReference w:id="49"/>
      </w:r>
      <w:r w:rsidRPr="00E94C6E">
        <w:t xml:space="preserve"> to the first assessment that recommended a change in service level was longer for job seekers who commenced in Stream 1 and 3 under JSA 2012 than for JSA 2009, and the opposite was true for those who commenced in Stream 2. Under both models </w:t>
      </w:r>
      <w:r w:rsidR="006D565F">
        <w:t xml:space="preserve">around </w:t>
      </w:r>
      <w:r w:rsidRPr="00E94C6E">
        <w:t>75 per cent of job seekers who underwent these assessments did so before 365 days in service</w:t>
      </w:r>
      <w:r w:rsidR="00446B14">
        <w:t xml:space="preserve"> (</w:t>
      </w:r>
      <w:hyperlink w:anchor="Title_A226" w:history="1">
        <w:r w:rsidR="00446B14" w:rsidRPr="00DD4BF4">
          <w:rPr>
            <w:rStyle w:val="Hyperlink"/>
          </w:rPr>
          <w:t>Table A2.26</w:t>
        </w:r>
      </w:hyperlink>
      <w:r w:rsidR="00446B14">
        <w:t>)</w:t>
      </w:r>
      <w:r w:rsidRPr="00E94C6E">
        <w:t>.</w:t>
      </w:r>
      <w:bookmarkStart w:id="328" w:name="Place_A226"/>
      <w:bookmarkEnd w:id="328"/>
      <w:r w:rsidRPr="00E94C6E">
        <w:t xml:space="preserve"> This means that </w:t>
      </w:r>
      <w:r w:rsidR="00312DCB">
        <w:t xml:space="preserve">for the </w:t>
      </w:r>
      <w:r w:rsidRPr="00E94C6E">
        <w:t>vast majority of job seekers who required upstreaming</w:t>
      </w:r>
      <w:r w:rsidR="00312DCB">
        <w:t xml:space="preserve">, it happened </w:t>
      </w:r>
      <w:r w:rsidRPr="00355B5B">
        <w:rPr>
          <w:u w:val="single"/>
        </w:rPr>
        <w:t>before</w:t>
      </w:r>
      <w:r w:rsidRPr="00E94C6E">
        <w:t xml:space="preserve"> their SSR was due</w:t>
      </w:r>
      <w:r w:rsidR="00312DCB">
        <w:t xml:space="preserve">. This </w:t>
      </w:r>
      <w:r w:rsidRPr="00E94C6E">
        <w:t>indicate</w:t>
      </w:r>
      <w:r w:rsidR="00312DCB">
        <w:t>s</w:t>
      </w:r>
      <w:r w:rsidRPr="00E94C6E">
        <w:t xml:space="preserve"> that the removal of </w:t>
      </w:r>
      <w:r w:rsidR="00312DCB">
        <w:t xml:space="preserve">automatic </w:t>
      </w:r>
      <w:r w:rsidRPr="00E94C6E">
        <w:t xml:space="preserve">SSRs </w:t>
      </w:r>
      <w:r w:rsidR="00312DCB">
        <w:t xml:space="preserve">is unlikely to have </w:t>
      </w:r>
      <w:r w:rsidRPr="00E94C6E">
        <w:t>significantly affect</w:t>
      </w:r>
      <w:r w:rsidR="00312DCB">
        <w:t>ed</w:t>
      </w:r>
      <w:r w:rsidRPr="00E94C6E">
        <w:t xml:space="preserve"> </w:t>
      </w:r>
      <w:r w:rsidR="00312DCB">
        <w:t>the servicing of job seekers who required more intensive servicing</w:t>
      </w:r>
      <w:r w:rsidRPr="00E94C6E">
        <w:t>.</w:t>
      </w:r>
    </w:p>
    <w:p w14:paraId="46CF5835" w14:textId="77777777" w:rsidR="00E94C6E" w:rsidRPr="00E94C6E" w:rsidRDefault="00E94C6E" w:rsidP="00E94C6E">
      <w:r w:rsidRPr="00E94C6E">
        <w:t xml:space="preserve">For job seekers in JSA 2012 who commenced JSA service in Stream 1, distinct review points at three, six and </w:t>
      </w:r>
      <w:r w:rsidR="006D565F">
        <w:t>12</w:t>
      </w:r>
      <w:r w:rsidRPr="00E94C6E">
        <w:t xml:space="preserve"> months in service are found (Figure </w:t>
      </w:r>
      <w:r w:rsidR="00403511" w:rsidRPr="00403511">
        <w:t>5</w:t>
      </w:r>
      <w:r w:rsidRPr="00E94C6E">
        <w:t>.1).</w:t>
      </w:r>
    </w:p>
    <w:p w14:paraId="1B77B682" w14:textId="77777777" w:rsidR="00E94C6E" w:rsidRPr="00E94C6E" w:rsidRDefault="00E94C6E" w:rsidP="005172B5">
      <w:pPr>
        <w:pStyle w:val="Figureheadingforcontents"/>
      </w:pPr>
      <w:bookmarkStart w:id="329" w:name="_Toc430186972"/>
      <w:bookmarkStart w:id="330" w:name="_Toc436400156"/>
      <w:bookmarkStart w:id="331" w:name="_Toc436400286"/>
      <w:bookmarkStart w:id="332" w:name="_Toc443152028"/>
      <w:bookmarkStart w:id="333" w:name="_Toc22544039"/>
      <w:r w:rsidRPr="00E94C6E">
        <w:t xml:space="preserve">Figure </w:t>
      </w:r>
      <w:r w:rsidR="00403511" w:rsidRPr="00403511">
        <w:t>5.</w:t>
      </w:r>
      <w:r w:rsidR="00CF00FC">
        <w:t>1:</w:t>
      </w:r>
      <w:r w:rsidR="003C29A5">
        <w:t xml:space="preserve"> </w:t>
      </w:r>
      <w:r w:rsidR="006D5A09">
        <w:t xml:space="preserve">Time </w:t>
      </w:r>
      <w:r w:rsidRPr="00E94C6E">
        <w:t>in service from commencement in Stream 1 to the first assessment that recommended higher servicing levels (days)</w:t>
      </w:r>
      <w:bookmarkEnd w:id="329"/>
      <w:bookmarkEnd w:id="330"/>
      <w:bookmarkEnd w:id="331"/>
      <w:bookmarkEnd w:id="332"/>
      <w:bookmarkEnd w:id="333"/>
    </w:p>
    <w:p w14:paraId="5AA1571E" w14:textId="77777777" w:rsidR="004B60E8" w:rsidRDefault="004B60E8" w:rsidP="0019430D">
      <w:pPr>
        <w:spacing w:after="0"/>
        <w:rPr>
          <w:b/>
        </w:rPr>
      </w:pPr>
      <w:r w:rsidRPr="004B60E8">
        <w:rPr>
          <w:noProof/>
          <w:lang w:eastAsia="en-AU"/>
        </w:rPr>
        <w:drawing>
          <wp:inline distT="0" distB="0" distL="0" distR="0" wp14:anchorId="3253FA04" wp14:editId="5AAB45F7">
            <wp:extent cx="4975860" cy="3208020"/>
            <wp:effectExtent l="0" t="0" r="0" b="0"/>
            <wp:docPr id="258" name="Picture 258" descr="Line chart showing peaks at three, six and 12 months in service for Stream 1 JSA 2012 job seekers. For JSA 2009 there are two peaks: at three months and 12 months in servic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75860" cy="3208020"/>
                    </a:xfrm>
                    <a:prstGeom prst="rect">
                      <a:avLst/>
                    </a:prstGeom>
                    <a:noFill/>
                    <a:ln>
                      <a:noFill/>
                    </a:ln>
                  </pic:spPr>
                </pic:pic>
              </a:graphicData>
            </a:graphic>
          </wp:inline>
        </w:drawing>
      </w:r>
    </w:p>
    <w:p w14:paraId="7A97F515" w14:textId="77777777" w:rsidR="001D7748" w:rsidRDefault="001D7748" w:rsidP="001D7748">
      <w:pPr>
        <w:pStyle w:val="Notes"/>
        <w:rPr>
          <w:b/>
        </w:rPr>
      </w:pPr>
      <w:r>
        <w:rPr>
          <w:b/>
        </w:rPr>
        <w:t>Note:</w:t>
      </w:r>
      <w:r>
        <w:rPr>
          <w:b/>
        </w:rPr>
        <w:tab/>
      </w:r>
      <w:r w:rsidRPr="001D7748">
        <w:rPr>
          <w:rStyle w:val="NotesChar"/>
        </w:rPr>
        <w:t xml:space="preserve">Refer </w:t>
      </w:r>
      <w:hyperlink w:anchor="Title_A227" w:history="1">
        <w:r w:rsidRPr="00DD4BF4">
          <w:rPr>
            <w:rStyle w:val="Hyperlink"/>
          </w:rPr>
          <w:t>Appendix A</w:t>
        </w:r>
        <w:r w:rsidR="000748CA" w:rsidRPr="00DD4BF4">
          <w:rPr>
            <w:rStyle w:val="Hyperlink"/>
          </w:rPr>
          <w:t>2</w:t>
        </w:r>
        <w:r w:rsidRPr="00DD4BF4">
          <w:rPr>
            <w:rStyle w:val="Hyperlink"/>
          </w:rPr>
          <w:t>, Table A2.27</w:t>
        </w:r>
      </w:hyperlink>
      <w:r w:rsidRPr="001D7748">
        <w:rPr>
          <w:rStyle w:val="NotesChar"/>
        </w:rPr>
        <w:t>.</w:t>
      </w:r>
      <w:bookmarkStart w:id="334" w:name="Place_A227"/>
      <w:bookmarkEnd w:id="334"/>
    </w:p>
    <w:p w14:paraId="32A22901" w14:textId="77777777" w:rsidR="00E94C6E" w:rsidRPr="00E94C6E" w:rsidRDefault="00E94C6E" w:rsidP="0019430D">
      <w:pPr>
        <w:pStyle w:val="Source"/>
      </w:pPr>
      <w:r w:rsidRPr="00E94C6E">
        <w:rPr>
          <w:b/>
        </w:rPr>
        <w:t>Source:</w:t>
      </w:r>
      <w:r w:rsidRPr="00E94C6E">
        <w:t xml:space="preserve"> </w:t>
      </w:r>
      <w:r w:rsidRPr="00E94C6E">
        <w:tab/>
        <w:t xml:space="preserve">Department of </w:t>
      </w:r>
      <w:r w:rsidRPr="0019430D">
        <w:t>Employment</w:t>
      </w:r>
      <w:r w:rsidRPr="00E94C6E">
        <w:t xml:space="preserve"> administrative data.</w:t>
      </w:r>
    </w:p>
    <w:p w14:paraId="120BE74E" w14:textId="77777777" w:rsidR="00E94C6E" w:rsidRPr="00E94C6E" w:rsidRDefault="00E94C6E" w:rsidP="00E94C6E">
      <w:r w:rsidRPr="00E94C6E">
        <w:t>That there is a peak in assessments at around the 365 day mark for both models indicates that despite the</w:t>
      </w:r>
      <w:r w:rsidR="008F7468">
        <w:t xml:space="preserve"> </w:t>
      </w:r>
      <w:r w:rsidRPr="00E94C6E">
        <w:t>removal</w:t>
      </w:r>
      <w:r w:rsidR="008F7468">
        <w:t xml:space="preserve"> of SSRs</w:t>
      </w:r>
      <w:r w:rsidR="0056582B">
        <w:t xml:space="preserve">, </w:t>
      </w:r>
      <w:r w:rsidR="00274863">
        <w:t>assessment</w:t>
      </w:r>
      <w:r w:rsidR="00274863" w:rsidRPr="00E94C6E">
        <w:t xml:space="preserve">s </w:t>
      </w:r>
      <w:r w:rsidRPr="00E94C6E">
        <w:t>were being conducted in both models prior to transition to the WEP</w:t>
      </w:r>
      <w:r w:rsidR="0054199A">
        <w:t>h</w:t>
      </w:r>
      <w:r w:rsidRPr="00E94C6E">
        <w:t>.</w:t>
      </w:r>
    </w:p>
    <w:p w14:paraId="6DB549F0" w14:textId="77777777" w:rsidR="00E94C6E" w:rsidRPr="00E94C6E" w:rsidRDefault="00312DCB" w:rsidP="00E94C6E">
      <w:r>
        <w:t>When asked</w:t>
      </w:r>
      <w:r w:rsidR="0056582B">
        <w:t xml:space="preserve">, providers had </w:t>
      </w:r>
      <w:r w:rsidR="0056582B" w:rsidRPr="00E94C6E">
        <w:t>some divergent views</w:t>
      </w:r>
      <w:r>
        <w:t xml:space="preserve"> on the removal of SSRs. There was </w:t>
      </w:r>
      <w:r w:rsidR="00E94C6E" w:rsidRPr="00E94C6E">
        <w:t>not</w:t>
      </w:r>
      <w:r>
        <w:t>, however,</w:t>
      </w:r>
      <w:r w:rsidR="00E94C6E" w:rsidRPr="00E94C6E">
        <w:t xml:space="preserve"> an overwhelming sentiment that their removal was </w:t>
      </w:r>
      <w:r w:rsidR="0056582B">
        <w:t>problematic</w:t>
      </w:r>
      <w:r>
        <w:t xml:space="preserve">. There was </w:t>
      </w:r>
      <w:r w:rsidR="00E94C6E" w:rsidRPr="00E94C6E">
        <w:t>some anecdotal evidence</w:t>
      </w:r>
      <w:r w:rsidR="00E94C6E" w:rsidRPr="00B52FEF">
        <w:rPr>
          <w:rStyle w:val="FootnoteReference"/>
        </w:rPr>
        <w:footnoteReference w:id="50"/>
      </w:r>
      <w:r w:rsidR="00E94C6E" w:rsidRPr="00B52FEF">
        <w:rPr>
          <w:rStyle w:val="FootnoteReference"/>
        </w:rPr>
        <w:t xml:space="preserve"> </w:t>
      </w:r>
      <w:r w:rsidR="00E94C6E" w:rsidRPr="00E94C6E">
        <w:t>that Stream 1 job seekers were detrimentally affected by the removal of SSRs. The review pattern shown in the above figure suggests that in response, providers may have adapted their processes.</w:t>
      </w:r>
    </w:p>
    <w:p w14:paraId="5EE27BA4" w14:textId="77777777" w:rsidR="00E94C6E" w:rsidRPr="00E94C6E" w:rsidRDefault="00403511" w:rsidP="00403511">
      <w:pPr>
        <w:pStyle w:val="Heading3"/>
      </w:pPr>
      <w:bookmarkStart w:id="335" w:name="_Toc22543099"/>
      <w:r>
        <w:t>5.</w:t>
      </w:r>
      <w:r w:rsidR="00A00C00">
        <w:t>2</w:t>
      </w:r>
      <w:r>
        <w:t>.4</w:t>
      </w:r>
      <w:r>
        <w:tab/>
      </w:r>
      <w:r w:rsidR="00E94C6E" w:rsidRPr="00E94C6E">
        <w:t>Time to transition to the Work Experience Phase</w:t>
      </w:r>
      <w:bookmarkEnd w:id="335"/>
    </w:p>
    <w:p w14:paraId="31AE1B5F" w14:textId="77777777" w:rsidR="00E94C6E" w:rsidRPr="00E94C6E" w:rsidRDefault="00E94C6E" w:rsidP="00E94C6E">
      <w:r w:rsidRPr="00E94C6E">
        <w:t xml:space="preserve">As there was less upstreaming in the JSA 2012 SSR study population, job seekers would have reached the requirement to enter the </w:t>
      </w:r>
      <w:r w:rsidR="004535A1">
        <w:t>WEP</w:t>
      </w:r>
      <w:r w:rsidR="0054199A">
        <w:t>h</w:t>
      </w:r>
      <w:r w:rsidRPr="00E94C6E">
        <w:t xml:space="preserve"> sooner from commencement in service. The expectation would therefore be that median days in service to transition to the WEP</w:t>
      </w:r>
      <w:r w:rsidR="0054199A">
        <w:t>h</w:t>
      </w:r>
      <w:r w:rsidRPr="00E94C6E">
        <w:t xml:space="preserve"> would be lower </w:t>
      </w:r>
      <w:r w:rsidR="00312DCB">
        <w:t>than in</w:t>
      </w:r>
      <w:r w:rsidRPr="00E94C6E">
        <w:t xml:space="preserve"> JSA 2009.</w:t>
      </w:r>
    </w:p>
    <w:p w14:paraId="7F5CC85A" w14:textId="4B708EAC" w:rsidR="00E94C6E" w:rsidRPr="00E94C6E" w:rsidRDefault="00312DCB" w:rsidP="00E94C6E">
      <w:r>
        <w:t xml:space="preserve">Table 5.3 </w:t>
      </w:r>
      <w:r w:rsidR="00E94C6E" w:rsidRPr="00E94C6E">
        <w:t xml:space="preserve">shows that job seekers transitioned to the </w:t>
      </w:r>
      <w:r w:rsidR="004535A1">
        <w:t>WEP</w:t>
      </w:r>
      <w:r w:rsidR="0054199A">
        <w:t>h</w:t>
      </w:r>
      <w:r w:rsidR="00E94C6E" w:rsidRPr="00E94C6E">
        <w:t xml:space="preserve"> after fewer days in service under JSA 2012 than JSA 2009 (the median time being 626 days under JSA 2009 compared with 379 days for JSA 2012). Job seekers who commenced in Streams 1, 2 or 3 had median times of 375 days in service compared with 472 days for Stream 4 job seekers. By contrast, </w:t>
      </w:r>
      <w:r w:rsidR="007524D1" w:rsidRPr="00E94C6E">
        <w:t xml:space="preserve">job seekers </w:t>
      </w:r>
      <w:r w:rsidR="007524D1">
        <w:t xml:space="preserve">in </w:t>
      </w:r>
      <w:r w:rsidR="00E94C6E" w:rsidRPr="00E94C6E">
        <w:t xml:space="preserve">JSA </w:t>
      </w:r>
      <w:r w:rsidR="001068E3" w:rsidRPr="00E94C6E">
        <w:t>2009</w:t>
      </w:r>
      <w:r w:rsidR="00E94C6E" w:rsidRPr="00E94C6E">
        <w:t xml:space="preserve"> had much longer median service periods (544 and 459 days for those who commenced in Stream 2 and 3 respectively).</w:t>
      </w:r>
      <w:r w:rsidR="00E94C6E" w:rsidRPr="00B52FEF">
        <w:rPr>
          <w:rStyle w:val="FootnoteReference"/>
        </w:rPr>
        <w:footnoteReference w:id="51"/>
      </w:r>
    </w:p>
    <w:p w14:paraId="257F116B" w14:textId="77777777" w:rsidR="00E94C6E" w:rsidRPr="00C2452E" w:rsidRDefault="00E94C6E" w:rsidP="00C2452E">
      <w:pPr>
        <w:pStyle w:val="Tableforcontents"/>
        <w:rPr>
          <w:rFonts w:eastAsiaTheme="majorEastAsia"/>
        </w:rPr>
      </w:pPr>
      <w:bookmarkStart w:id="336" w:name="_Toc430187007"/>
      <w:bookmarkStart w:id="337" w:name="_Toc436142570"/>
      <w:bookmarkStart w:id="338" w:name="_Toc22543991"/>
      <w:r w:rsidRPr="00C2452E">
        <w:rPr>
          <w:rFonts w:eastAsiaTheme="majorEastAsia"/>
        </w:rPr>
        <w:t xml:space="preserve">Table </w:t>
      </w:r>
      <w:r w:rsidR="00403511" w:rsidRPr="00C2452E">
        <w:rPr>
          <w:rFonts w:eastAsiaTheme="majorEastAsia"/>
        </w:rPr>
        <w:t>5</w:t>
      </w:r>
      <w:r w:rsidR="00CF00FC">
        <w:rPr>
          <w:rFonts w:eastAsiaTheme="majorEastAsia"/>
        </w:rPr>
        <w:t>.3:</w:t>
      </w:r>
      <w:r w:rsidR="003C29A5">
        <w:rPr>
          <w:rFonts w:eastAsiaTheme="majorEastAsia"/>
        </w:rPr>
        <w:t xml:space="preserve"> </w:t>
      </w:r>
      <w:r w:rsidRPr="00C2452E">
        <w:rPr>
          <w:rFonts w:eastAsiaTheme="majorEastAsia"/>
        </w:rPr>
        <w:t xml:space="preserve">Median </w:t>
      </w:r>
      <w:r w:rsidR="006D5A09">
        <w:rPr>
          <w:rFonts w:eastAsiaTheme="majorEastAsia"/>
        </w:rPr>
        <w:t>time</w:t>
      </w:r>
      <w:r w:rsidRPr="00C2452E">
        <w:rPr>
          <w:rFonts w:eastAsiaTheme="majorEastAsia"/>
        </w:rPr>
        <w:t xml:space="preserve"> in service following registration to transition to the Work Experience Phase (days)</w:t>
      </w:r>
      <w:bookmarkEnd w:id="336"/>
      <w:bookmarkEnd w:id="337"/>
      <w:bookmarkEnd w:id="338"/>
      <w:r w:rsidRPr="00C2452E">
        <w:rPr>
          <w:rFonts w:eastAsiaTheme="majorEastAsia"/>
        </w:rPr>
        <w:t xml:space="preserve"> </w:t>
      </w:r>
    </w:p>
    <w:tbl>
      <w:tblPr>
        <w:tblStyle w:val="TableGrid5"/>
        <w:tblW w:w="8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268"/>
        <w:gridCol w:w="2223"/>
      </w:tblGrid>
      <w:tr w:rsidR="00E94C6E" w:rsidRPr="00E94C6E" w14:paraId="4CAB8CBC" w14:textId="77777777" w:rsidTr="008800CB">
        <w:trPr>
          <w:cantSplit/>
          <w:trHeight w:val="471"/>
          <w:tblHeader/>
        </w:trPr>
        <w:tc>
          <w:tcPr>
            <w:tcW w:w="4253" w:type="dxa"/>
            <w:shd w:val="clear" w:color="auto" w:fill="1E3D6B"/>
            <w:vAlign w:val="center"/>
          </w:tcPr>
          <w:p w14:paraId="16CBFEEE" w14:textId="77777777" w:rsidR="00E94C6E" w:rsidRPr="00E94C6E" w:rsidRDefault="00E94C6E" w:rsidP="0011747A">
            <w:pPr>
              <w:keepNext/>
              <w:rPr>
                <w:b/>
                <w:sz w:val="20"/>
              </w:rPr>
            </w:pPr>
            <w:bookmarkStart w:id="339" w:name="Title_53"/>
            <w:bookmarkEnd w:id="339"/>
            <w:r w:rsidRPr="00E94C6E">
              <w:rPr>
                <w:b/>
                <w:sz w:val="20"/>
              </w:rPr>
              <w:t>Stream at commencement in service</w:t>
            </w:r>
          </w:p>
        </w:tc>
        <w:tc>
          <w:tcPr>
            <w:tcW w:w="2268" w:type="dxa"/>
            <w:shd w:val="clear" w:color="auto" w:fill="1E3D6B"/>
            <w:vAlign w:val="center"/>
          </w:tcPr>
          <w:p w14:paraId="2AFFA7C2" w14:textId="77777777" w:rsidR="00E94C6E" w:rsidRPr="00E94C6E" w:rsidRDefault="00E94C6E" w:rsidP="00E94C6E">
            <w:pPr>
              <w:keepNext/>
              <w:jc w:val="center"/>
              <w:rPr>
                <w:b/>
                <w:sz w:val="20"/>
              </w:rPr>
            </w:pPr>
            <w:r w:rsidRPr="00E94C6E">
              <w:rPr>
                <w:b/>
                <w:sz w:val="20"/>
              </w:rPr>
              <w:t>JSA 2009</w:t>
            </w:r>
          </w:p>
        </w:tc>
        <w:tc>
          <w:tcPr>
            <w:tcW w:w="2223" w:type="dxa"/>
            <w:shd w:val="clear" w:color="auto" w:fill="1E3D6B"/>
            <w:vAlign w:val="center"/>
          </w:tcPr>
          <w:p w14:paraId="2CD39944" w14:textId="77777777" w:rsidR="00E94C6E" w:rsidRPr="00E94C6E" w:rsidRDefault="00E94C6E" w:rsidP="00E94C6E">
            <w:pPr>
              <w:keepNext/>
              <w:jc w:val="center"/>
              <w:rPr>
                <w:b/>
                <w:sz w:val="20"/>
              </w:rPr>
            </w:pPr>
            <w:r w:rsidRPr="00E94C6E">
              <w:rPr>
                <w:b/>
                <w:sz w:val="20"/>
              </w:rPr>
              <w:t>JSA 2012</w:t>
            </w:r>
          </w:p>
        </w:tc>
      </w:tr>
      <w:tr w:rsidR="00E94C6E" w:rsidRPr="008800CB" w14:paraId="04D5124E" w14:textId="77777777" w:rsidTr="008800CB">
        <w:trPr>
          <w:cantSplit/>
          <w:trHeight w:hRule="exact" w:val="380"/>
        </w:trPr>
        <w:tc>
          <w:tcPr>
            <w:tcW w:w="4253" w:type="dxa"/>
            <w:vAlign w:val="center"/>
          </w:tcPr>
          <w:p w14:paraId="6C42E9A0" w14:textId="77777777" w:rsidR="00E94C6E" w:rsidRPr="008800CB" w:rsidRDefault="00E94C6E" w:rsidP="00E94C6E">
            <w:pPr>
              <w:rPr>
                <w:sz w:val="20"/>
                <w:szCs w:val="20"/>
              </w:rPr>
            </w:pPr>
            <w:r w:rsidRPr="008800CB">
              <w:rPr>
                <w:sz w:val="20"/>
                <w:szCs w:val="20"/>
              </w:rPr>
              <w:t>Stream 1</w:t>
            </w:r>
          </w:p>
        </w:tc>
        <w:tc>
          <w:tcPr>
            <w:tcW w:w="2268" w:type="dxa"/>
            <w:vAlign w:val="center"/>
          </w:tcPr>
          <w:p w14:paraId="5E099D74" w14:textId="77777777" w:rsidR="00E94C6E" w:rsidRPr="008800CB" w:rsidRDefault="00E94C6E" w:rsidP="008800CB">
            <w:pPr>
              <w:keepNext/>
              <w:ind w:left="234" w:right="644"/>
              <w:jc w:val="right"/>
              <w:rPr>
                <w:sz w:val="20"/>
                <w:szCs w:val="20"/>
              </w:rPr>
            </w:pPr>
            <w:r w:rsidRPr="008800CB">
              <w:rPr>
                <w:sz w:val="20"/>
                <w:szCs w:val="20"/>
              </w:rPr>
              <w:t>***</w:t>
            </w:r>
          </w:p>
        </w:tc>
        <w:tc>
          <w:tcPr>
            <w:tcW w:w="2223" w:type="dxa"/>
            <w:vAlign w:val="center"/>
          </w:tcPr>
          <w:p w14:paraId="31EA4E92" w14:textId="77777777" w:rsidR="00E94C6E" w:rsidRPr="008800CB" w:rsidRDefault="00E94C6E" w:rsidP="008800CB">
            <w:pPr>
              <w:keepNext/>
              <w:ind w:right="644"/>
              <w:jc w:val="right"/>
              <w:rPr>
                <w:sz w:val="20"/>
                <w:szCs w:val="20"/>
              </w:rPr>
            </w:pPr>
            <w:r w:rsidRPr="008800CB">
              <w:rPr>
                <w:sz w:val="20"/>
                <w:szCs w:val="20"/>
              </w:rPr>
              <w:t>376</w:t>
            </w:r>
          </w:p>
        </w:tc>
      </w:tr>
      <w:tr w:rsidR="00E94C6E" w:rsidRPr="008800CB" w14:paraId="6EA19966" w14:textId="77777777" w:rsidTr="008800CB">
        <w:trPr>
          <w:cantSplit/>
          <w:trHeight w:hRule="exact" w:val="380"/>
        </w:trPr>
        <w:tc>
          <w:tcPr>
            <w:tcW w:w="4253" w:type="dxa"/>
            <w:shd w:val="clear" w:color="auto" w:fill="E5E5E5" w:themeFill="background1" w:themeFillTint="33"/>
            <w:vAlign w:val="center"/>
          </w:tcPr>
          <w:p w14:paraId="7D2BF6F3" w14:textId="77777777" w:rsidR="00E94C6E" w:rsidRPr="008800CB" w:rsidRDefault="00E94C6E" w:rsidP="00E94C6E">
            <w:pPr>
              <w:rPr>
                <w:color w:val="000000" w:themeColor="text1"/>
                <w:sz w:val="20"/>
                <w:szCs w:val="20"/>
              </w:rPr>
            </w:pPr>
            <w:r w:rsidRPr="008800CB">
              <w:rPr>
                <w:color w:val="000000" w:themeColor="text1"/>
                <w:sz w:val="20"/>
                <w:szCs w:val="20"/>
              </w:rPr>
              <w:t>Stream 2</w:t>
            </w:r>
          </w:p>
        </w:tc>
        <w:tc>
          <w:tcPr>
            <w:tcW w:w="2268" w:type="dxa"/>
            <w:shd w:val="clear" w:color="auto" w:fill="E5E5E5" w:themeFill="background1" w:themeFillTint="33"/>
            <w:vAlign w:val="center"/>
          </w:tcPr>
          <w:p w14:paraId="1AADC676" w14:textId="77777777" w:rsidR="00E94C6E" w:rsidRPr="008800CB" w:rsidRDefault="00E94C6E" w:rsidP="008800CB">
            <w:pPr>
              <w:keepNext/>
              <w:ind w:left="234" w:right="644"/>
              <w:jc w:val="right"/>
              <w:rPr>
                <w:color w:val="000000" w:themeColor="text1"/>
                <w:sz w:val="20"/>
                <w:szCs w:val="20"/>
              </w:rPr>
            </w:pPr>
            <w:r w:rsidRPr="008800CB">
              <w:rPr>
                <w:color w:val="000000" w:themeColor="text1"/>
                <w:sz w:val="20"/>
                <w:szCs w:val="20"/>
              </w:rPr>
              <w:t>544</w:t>
            </w:r>
          </w:p>
        </w:tc>
        <w:tc>
          <w:tcPr>
            <w:tcW w:w="2223" w:type="dxa"/>
            <w:shd w:val="clear" w:color="auto" w:fill="E5E5E5" w:themeFill="background1" w:themeFillTint="33"/>
            <w:vAlign w:val="center"/>
          </w:tcPr>
          <w:p w14:paraId="17A34BDA" w14:textId="77777777" w:rsidR="00E94C6E" w:rsidRPr="008800CB" w:rsidRDefault="00E94C6E" w:rsidP="008800CB">
            <w:pPr>
              <w:keepNext/>
              <w:ind w:right="644"/>
              <w:jc w:val="right"/>
              <w:rPr>
                <w:color w:val="000000" w:themeColor="text1"/>
                <w:sz w:val="20"/>
                <w:szCs w:val="20"/>
              </w:rPr>
            </w:pPr>
            <w:r w:rsidRPr="008800CB">
              <w:rPr>
                <w:color w:val="000000" w:themeColor="text1"/>
                <w:sz w:val="20"/>
                <w:szCs w:val="20"/>
              </w:rPr>
              <w:t>374</w:t>
            </w:r>
          </w:p>
        </w:tc>
      </w:tr>
      <w:tr w:rsidR="00E94C6E" w:rsidRPr="008800CB" w14:paraId="18ACB1FB" w14:textId="77777777" w:rsidTr="008800CB">
        <w:trPr>
          <w:cantSplit/>
          <w:trHeight w:hRule="exact" w:val="380"/>
        </w:trPr>
        <w:tc>
          <w:tcPr>
            <w:tcW w:w="4253" w:type="dxa"/>
            <w:vAlign w:val="center"/>
          </w:tcPr>
          <w:p w14:paraId="4886C887" w14:textId="77777777" w:rsidR="00E94C6E" w:rsidRPr="008800CB" w:rsidRDefault="00E94C6E" w:rsidP="00E94C6E">
            <w:pPr>
              <w:rPr>
                <w:color w:val="000000" w:themeColor="text1"/>
                <w:sz w:val="20"/>
                <w:szCs w:val="20"/>
              </w:rPr>
            </w:pPr>
            <w:r w:rsidRPr="008800CB">
              <w:rPr>
                <w:color w:val="000000" w:themeColor="text1"/>
                <w:sz w:val="20"/>
                <w:szCs w:val="20"/>
              </w:rPr>
              <w:t>Stream 3</w:t>
            </w:r>
          </w:p>
        </w:tc>
        <w:tc>
          <w:tcPr>
            <w:tcW w:w="2268" w:type="dxa"/>
            <w:vAlign w:val="center"/>
          </w:tcPr>
          <w:p w14:paraId="75C7C13A" w14:textId="77777777" w:rsidR="00E94C6E" w:rsidRPr="008800CB" w:rsidRDefault="00E94C6E" w:rsidP="008800CB">
            <w:pPr>
              <w:keepNext/>
              <w:ind w:left="234" w:right="644"/>
              <w:jc w:val="right"/>
              <w:rPr>
                <w:color w:val="000000" w:themeColor="text1"/>
                <w:sz w:val="20"/>
                <w:szCs w:val="20"/>
              </w:rPr>
            </w:pPr>
            <w:r w:rsidRPr="008800CB">
              <w:rPr>
                <w:color w:val="000000" w:themeColor="text1"/>
                <w:sz w:val="20"/>
                <w:szCs w:val="20"/>
              </w:rPr>
              <w:t>459</w:t>
            </w:r>
          </w:p>
        </w:tc>
        <w:tc>
          <w:tcPr>
            <w:tcW w:w="2223" w:type="dxa"/>
            <w:vAlign w:val="center"/>
          </w:tcPr>
          <w:p w14:paraId="0B4CB447" w14:textId="77777777" w:rsidR="00E94C6E" w:rsidRPr="008800CB" w:rsidRDefault="00E94C6E" w:rsidP="008800CB">
            <w:pPr>
              <w:keepNext/>
              <w:ind w:right="644"/>
              <w:jc w:val="right"/>
              <w:rPr>
                <w:color w:val="000000" w:themeColor="text1"/>
                <w:sz w:val="20"/>
                <w:szCs w:val="20"/>
              </w:rPr>
            </w:pPr>
            <w:r w:rsidRPr="008800CB">
              <w:rPr>
                <w:color w:val="000000" w:themeColor="text1"/>
                <w:sz w:val="20"/>
                <w:szCs w:val="20"/>
              </w:rPr>
              <w:t>374</w:t>
            </w:r>
          </w:p>
        </w:tc>
      </w:tr>
      <w:tr w:rsidR="00E94C6E" w:rsidRPr="008800CB" w14:paraId="11E9A347" w14:textId="77777777" w:rsidTr="008800CB">
        <w:trPr>
          <w:cantSplit/>
          <w:trHeight w:hRule="exact" w:val="380"/>
        </w:trPr>
        <w:tc>
          <w:tcPr>
            <w:tcW w:w="4253" w:type="dxa"/>
            <w:shd w:val="clear" w:color="auto" w:fill="E5E5E5" w:themeFill="background1" w:themeFillTint="33"/>
            <w:vAlign w:val="center"/>
          </w:tcPr>
          <w:p w14:paraId="3434A7C7" w14:textId="77777777" w:rsidR="00E94C6E" w:rsidRPr="008800CB" w:rsidRDefault="00E94C6E" w:rsidP="00E94C6E">
            <w:pPr>
              <w:rPr>
                <w:color w:val="000000" w:themeColor="text1"/>
                <w:sz w:val="20"/>
                <w:szCs w:val="20"/>
              </w:rPr>
            </w:pPr>
            <w:r w:rsidRPr="008800CB">
              <w:rPr>
                <w:color w:val="000000" w:themeColor="text1"/>
                <w:sz w:val="20"/>
                <w:szCs w:val="20"/>
              </w:rPr>
              <w:t>Streams 1 to 3 combined</w:t>
            </w:r>
          </w:p>
        </w:tc>
        <w:tc>
          <w:tcPr>
            <w:tcW w:w="2268" w:type="dxa"/>
            <w:shd w:val="clear" w:color="auto" w:fill="E5E5E5" w:themeFill="background1" w:themeFillTint="33"/>
            <w:vAlign w:val="center"/>
          </w:tcPr>
          <w:p w14:paraId="63153C9B" w14:textId="77777777" w:rsidR="00E94C6E" w:rsidRPr="008800CB" w:rsidRDefault="00E94C6E" w:rsidP="008800CB">
            <w:pPr>
              <w:keepNext/>
              <w:ind w:left="234" w:right="644"/>
              <w:jc w:val="right"/>
              <w:rPr>
                <w:color w:val="000000" w:themeColor="text1"/>
                <w:sz w:val="20"/>
                <w:szCs w:val="20"/>
              </w:rPr>
            </w:pPr>
            <w:r w:rsidRPr="008800CB">
              <w:rPr>
                <w:color w:val="000000" w:themeColor="text1"/>
                <w:sz w:val="20"/>
                <w:szCs w:val="20"/>
              </w:rPr>
              <w:t>611</w:t>
            </w:r>
          </w:p>
        </w:tc>
        <w:tc>
          <w:tcPr>
            <w:tcW w:w="2223" w:type="dxa"/>
            <w:shd w:val="clear" w:color="auto" w:fill="E5E5E5" w:themeFill="background1" w:themeFillTint="33"/>
            <w:vAlign w:val="center"/>
          </w:tcPr>
          <w:p w14:paraId="40C2F2CE" w14:textId="77777777" w:rsidR="00E94C6E" w:rsidRPr="008800CB" w:rsidRDefault="00E94C6E" w:rsidP="008800CB">
            <w:pPr>
              <w:keepNext/>
              <w:ind w:right="644"/>
              <w:jc w:val="right"/>
              <w:rPr>
                <w:color w:val="000000" w:themeColor="text1"/>
                <w:sz w:val="20"/>
                <w:szCs w:val="20"/>
              </w:rPr>
            </w:pPr>
            <w:r w:rsidRPr="008800CB">
              <w:rPr>
                <w:color w:val="000000" w:themeColor="text1"/>
                <w:sz w:val="20"/>
                <w:szCs w:val="20"/>
              </w:rPr>
              <w:t>375</w:t>
            </w:r>
          </w:p>
        </w:tc>
      </w:tr>
      <w:tr w:rsidR="00E94C6E" w:rsidRPr="008800CB" w14:paraId="59AC73E3" w14:textId="77777777" w:rsidTr="008800CB">
        <w:trPr>
          <w:cantSplit/>
          <w:trHeight w:hRule="exact" w:val="380"/>
        </w:trPr>
        <w:tc>
          <w:tcPr>
            <w:tcW w:w="4253" w:type="dxa"/>
            <w:vAlign w:val="center"/>
          </w:tcPr>
          <w:p w14:paraId="4B29977C" w14:textId="77777777" w:rsidR="00E94C6E" w:rsidRPr="008800CB" w:rsidRDefault="00E94C6E" w:rsidP="00E94C6E">
            <w:pPr>
              <w:rPr>
                <w:color w:val="000000" w:themeColor="text1"/>
                <w:sz w:val="20"/>
                <w:szCs w:val="20"/>
              </w:rPr>
            </w:pPr>
            <w:r w:rsidRPr="008800CB">
              <w:rPr>
                <w:color w:val="000000" w:themeColor="text1"/>
                <w:sz w:val="20"/>
                <w:szCs w:val="20"/>
              </w:rPr>
              <w:t>Stream 4</w:t>
            </w:r>
          </w:p>
        </w:tc>
        <w:tc>
          <w:tcPr>
            <w:tcW w:w="2268" w:type="dxa"/>
            <w:vAlign w:val="center"/>
          </w:tcPr>
          <w:p w14:paraId="15A54ED6" w14:textId="77777777" w:rsidR="00E94C6E" w:rsidRPr="008800CB" w:rsidRDefault="00E94C6E" w:rsidP="008800CB">
            <w:pPr>
              <w:keepNext/>
              <w:ind w:left="234" w:right="644"/>
              <w:jc w:val="right"/>
              <w:rPr>
                <w:color w:val="000000" w:themeColor="text1"/>
                <w:sz w:val="20"/>
                <w:szCs w:val="20"/>
              </w:rPr>
            </w:pPr>
            <w:r w:rsidRPr="008800CB">
              <w:rPr>
                <w:color w:val="000000" w:themeColor="text1"/>
                <w:sz w:val="20"/>
                <w:szCs w:val="20"/>
              </w:rPr>
              <w:t>***</w:t>
            </w:r>
          </w:p>
        </w:tc>
        <w:tc>
          <w:tcPr>
            <w:tcW w:w="2223" w:type="dxa"/>
            <w:vAlign w:val="center"/>
          </w:tcPr>
          <w:p w14:paraId="01CE129B" w14:textId="77777777" w:rsidR="00E94C6E" w:rsidRPr="008800CB" w:rsidRDefault="00E94C6E" w:rsidP="008800CB">
            <w:pPr>
              <w:keepNext/>
              <w:tabs>
                <w:tab w:val="center" w:pos="470"/>
                <w:tab w:val="right" w:pos="941"/>
              </w:tabs>
              <w:ind w:right="644"/>
              <w:jc w:val="right"/>
              <w:rPr>
                <w:color w:val="000000" w:themeColor="text1"/>
                <w:sz w:val="20"/>
                <w:szCs w:val="20"/>
              </w:rPr>
            </w:pPr>
            <w:r w:rsidRPr="008800CB">
              <w:rPr>
                <w:color w:val="000000" w:themeColor="text1"/>
                <w:sz w:val="20"/>
                <w:szCs w:val="20"/>
              </w:rPr>
              <w:t>472</w:t>
            </w:r>
          </w:p>
        </w:tc>
      </w:tr>
      <w:tr w:rsidR="00E94C6E" w:rsidRPr="008800CB" w14:paraId="55B9361D" w14:textId="77777777" w:rsidTr="008800CB">
        <w:trPr>
          <w:cantSplit/>
          <w:trHeight w:hRule="exact" w:val="380"/>
        </w:trPr>
        <w:tc>
          <w:tcPr>
            <w:tcW w:w="4253" w:type="dxa"/>
            <w:shd w:val="clear" w:color="auto" w:fill="8EAEDE"/>
            <w:vAlign w:val="center"/>
          </w:tcPr>
          <w:p w14:paraId="47E6B26B" w14:textId="77777777" w:rsidR="00E94C6E" w:rsidRPr="008800CB" w:rsidRDefault="00E94C6E" w:rsidP="00EF2DEA">
            <w:pPr>
              <w:rPr>
                <w:color w:val="000000" w:themeColor="text1"/>
                <w:sz w:val="20"/>
                <w:szCs w:val="20"/>
              </w:rPr>
            </w:pPr>
            <w:r w:rsidRPr="008800CB">
              <w:rPr>
                <w:color w:val="000000" w:themeColor="text1"/>
                <w:sz w:val="20"/>
                <w:szCs w:val="20"/>
              </w:rPr>
              <w:t>T</w:t>
            </w:r>
            <w:r w:rsidR="00EF2DEA" w:rsidRPr="008800CB">
              <w:rPr>
                <w:color w:val="000000" w:themeColor="text1"/>
                <w:sz w:val="20"/>
                <w:szCs w:val="20"/>
              </w:rPr>
              <w:t>otal</w:t>
            </w:r>
          </w:p>
        </w:tc>
        <w:tc>
          <w:tcPr>
            <w:tcW w:w="2268" w:type="dxa"/>
            <w:shd w:val="clear" w:color="auto" w:fill="8EAEDE"/>
            <w:vAlign w:val="center"/>
          </w:tcPr>
          <w:p w14:paraId="78579360" w14:textId="77777777" w:rsidR="00E94C6E" w:rsidRPr="008800CB" w:rsidRDefault="00E94C6E" w:rsidP="008800CB">
            <w:pPr>
              <w:keepNext/>
              <w:ind w:left="234" w:right="644"/>
              <w:jc w:val="right"/>
              <w:rPr>
                <w:color w:val="000000" w:themeColor="text1"/>
                <w:sz w:val="20"/>
                <w:szCs w:val="20"/>
              </w:rPr>
            </w:pPr>
            <w:r w:rsidRPr="008800CB">
              <w:rPr>
                <w:color w:val="000000" w:themeColor="text1"/>
                <w:sz w:val="20"/>
                <w:szCs w:val="20"/>
              </w:rPr>
              <w:t>626</w:t>
            </w:r>
          </w:p>
        </w:tc>
        <w:tc>
          <w:tcPr>
            <w:tcW w:w="2223" w:type="dxa"/>
            <w:shd w:val="clear" w:color="auto" w:fill="8EAEDE"/>
            <w:vAlign w:val="center"/>
          </w:tcPr>
          <w:p w14:paraId="52BDC847" w14:textId="77777777" w:rsidR="00E94C6E" w:rsidRPr="008800CB" w:rsidRDefault="00E94C6E" w:rsidP="008800CB">
            <w:pPr>
              <w:keepNext/>
              <w:ind w:right="644"/>
              <w:jc w:val="right"/>
              <w:rPr>
                <w:color w:val="000000" w:themeColor="text1"/>
                <w:sz w:val="20"/>
                <w:szCs w:val="20"/>
              </w:rPr>
            </w:pPr>
            <w:r w:rsidRPr="008800CB">
              <w:rPr>
                <w:color w:val="000000" w:themeColor="text1"/>
                <w:sz w:val="20"/>
                <w:szCs w:val="20"/>
              </w:rPr>
              <w:t>379</w:t>
            </w:r>
          </w:p>
        </w:tc>
      </w:tr>
    </w:tbl>
    <w:p w14:paraId="3D5DED12" w14:textId="77777777" w:rsidR="008338FF" w:rsidRDefault="008338FF" w:rsidP="0019430D">
      <w:pPr>
        <w:pStyle w:val="Notes"/>
      </w:pPr>
      <w:r w:rsidRPr="00E94C6E">
        <w:t>***</w:t>
      </w:r>
      <w:r w:rsidR="001D7748">
        <w:tab/>
      </w:r>
      <w:r w:rsidRPr="00E94C6E">
        <w:t>The median exceeded the analysis period length.</w:t>
      </w:r>
    </w:p>
    <w:p w14:paraId="575CB304" w14:textId="77777777" w:rsidR="001D7748" w:rsidRDefault="001D7748" w:rsidP="001D7748">
      <w:pPr>
        <w:pStyle w:val="Notes"/>
        <w:rPr>
          <w:b/>
        </w:rPr>
      </w:pPr>
      <w:r>
        <w:rPr>
          <w:b/>
        </w:rPr>
        <w:t>Note:</w:t>
      </w:r>
      <w:r>
        <w:rPr>
          <w:b/>
        </w:rPr>
        <w:tab/>
      </w:r>
      <w:r w:rsidRPr="001D7748">
        <w:rPr>
          <w:rStyle w:val="NotesChar"/>
        </w:rPr>
        <w:t xml:space="preserve">Refer </w:t>
      </w:r>
      <w:hyperlink w:anchor="Title_A228" w:history="1">
        <w:r w:rsidRPr="00DD4BF4">
          <w:rPr>
            <w:rStyle w:val="Hyperlink"/>
          </w:rPr>
          <w:t>Appendix A</w:t>
        </w:r>
        <w:r w:rsidR="00F75BBA" w:rsidRPr="00DD4BF4">
          <w:rPr>
            <w:rStyle w:val="Hyperlink"/>
          </w:rPr>
          <w:t>2</w:t>
        </w:r>
        <w:r w:rsidRPr="00DD4BF4">
          <w:rPr>
            <w:rStyle w:val="Hyperlink"/>
          </w:rPr>
          <w:t>, Table A2.28</w:t>
        </w:r>
      </w:hyperlink>
      <w:r w:rsidRPr="001D7748">
        <w:rPr>
          <w:rStyle w:val="NotesChar"/>
        </w:rPr>
        <w:t>.</w:t>
      </w:r>
      <w:bookmarkStart w:id="340" w:name="Place_A228"/>
      <w:bookmarkEnd w:id="340"/>
    </w:p>
    <w:p w14:paraId="1A4C7460" w14:textId="77777777" w:rsidR="0019430D" w:rsidRDefault="0019430D" w:rsidP="0019430D">
      <w:pPr>
        <w:pStyle w:val="Source"/>
      </w:pPr>
      <w:r w:rsidRPr="00E94C6E">
        <w:rPr>
          <w:b/>
        </w:rPr>
        <w:t>Source:</w:t>
      </w:r>
      <w:r w:rsidRPr="00E94C6E">
        <w:t xml:space="preserve"> Department of Employment administrative data</w:t>
      </w:r>
      <w:r>
        <w:t>.</w:t>
      </w:r>
    </w:p>
    <w:p w14:paraId="02194B24" w14:textId="77777777" w:rsidR="00AB7156" w:rsidRDefault="00E94C6E" w:rsidP="00E94C6E">
      <w:r w:rsidRPr="00E94C6E">
        <w:t xml:space="preserve">As </w:t>
      </w:r>
      <w:r w:rsidR="0056582B" w:rsidRPr="00E94C6E">
        <w:t xml:space="preserve">Stream 4 </w:t>
      </w:r>
      <w:r w:rsidRPr="00E94C6E">
        <w:t xml:space="preserve">job seekers </w:t>
      </w:r>
      <w:r w:rsidR="0056582B" w:rsidRPr="00E94C6E">
        <w:t xml:space="preserve">who commenced in service in JSA 2012 </w:t>
      </w:r>
      <w:r w:rsidRPr="00E94C6E">
        <w:t xml:space="preserve">moved to the </w:t>
      </w:r>
      <w:r w:rsidR="004535A1">
        <w:t>WEP</w:t>
      </w:r>
      <w:r w:rsidR="0054199A">
        <w:t>h</w:t>
      </w:r>
      <w:r w:rsidRPr="00E94C6E">
        <w:t xml:space="preserve"> more quickly than Stream 4 job seekers in JSA 2009</w:t>
      </w:r>
      <w:r w:rsidR="0056582B">
        <w:t>,</w:t>
      </w:r>
      <w:r w:rsidRPr="00E94C6E">
        <w:t xml:space="preserve"> </w:t>
      </w:r>
      <w:r w:rsidR="0056582B">
        <w:t>it</w:t>
      </w:r>
      <w:r w:rsidRPr="00E94C6E">
        <w:t xml:space="preserve"> suggests that providers are well placed, by working with their clients over 12 months or more, to know when they are ready to transition to the </w:t>
      </w:r>
      <w:r w:rsidR="004535A1">
        <w:t>WEP</w:t>
      </w:r>
      <w:r w:rsidR="0054199A">
        <w:t>h</w:t>
      </w:r>
      <w:r w:rsidRPr="00E94C6E">
        <w:t>.</w:t>
      </w:r>
    </w:p>
    <w:p w14:paraId="1F644367" w14:textId="77777777" w:rsidR="00E94C6E" w:rsidRPr="00E94C6E" w:rsidRDefault="00E94C6E" w:rsidP="00E94C6E">
      <w:r w:rsidRPr="00E94C6E">
        <w:t>Anecdotal evidence</w:t>
      </w:r>
      <w:r w:rsidRPr="00B52FEF">
        <w:rPr>
          <w:rStyle w:val="FootnoteReference"/>
        </w:rPr>
        <w:footnoteReference w:id="52"/>
      </w:r>
      <w:r w:rsidRPr="00B52FEF">
        <w:rPr>
          <w:rStyle w:val="FootnoteReference"/>
        </w:rPr>
        <w:t xml:space="preserve"> </w:t>
      </w:r>
      <w:r w:rsidRPr="00E94C6E">
        <w:t>also suggests that SSRs were detrimental to some Stream 4 job seekers because they became disengaged from service waiting for a JCA to be conducted.</w:t>
      </w:r>
    </w:p>
    <w:p w14:paraId="647A770C" w14:textId="77777777" w:rsidR="00E94C6E" w:rsidRPr="00E94C6E" w:rsidRDefault="00E94C6E" w:rsidP="00E94C6E">
      <w:r w:rsidRPr="00E94C6E">
        <w:t xml:space="preserve">The JSA 2009-2012 evaluation found that the </w:t>
      </w:r>
      <w:r w:rsidR="004535A1">
        <w:t>WEP</w:t>
      </w:r>
      <w:r w:rsidR="0054199A">
        <w:t>h</w:t>
      </w:r>
      <w:r w:rsidRPr="00E94C6E">
        <w:t xml:space="preserve"> was an effective component of the programme with a strong compliance effect, particularly for </w:t>
      </w:r>
      <w:r w:rsidR="0056582B">
        <w:t>job seekers</w:t>
      </w:r>
      <w:r w:rsidR="0056582B" w:rsidRPr="00E94C6E">
        <w:t xml:space="preserve"> </w:t>
      </w:r>
      <w:r w:rsidRPr="00E94C6E">
        <w:t>in Streams 1 to 3.</w:t>
      </w:r>
      <w:r w:rsidRPr="00B52FEF">
        <w:rPr>
          <w:rStyle w:val="FootnoteReference"/>
        </w:rPr>
        <w:footnoteReference w:id="53"/>
      </w:r>
      <w:r w:rsidRPr="00E94C6E">
        <w:rPr>
          <w:vertAlign w:val="superscript"/>
        </w:rPr>
        <w:t xml:space="preserve"> </w:t>
      </w:r>
      <w:r w:rsidRPr="00E94C6E">
        <w:t xml:space="preserve"> For Stream 4 job seekers there was little evidence of such a compliance effect, possibly reflecting the inability of these highly disadvantaged job seekers to move off income support regardless of the ’threat’ of a </w:t>
      </w:r>
      <w:r w:rsidR="000F7ED9">
        <w:t>work e</w:t>
      </w:r>
      <w:r w:rsidRPr="00E94C6E">
        <w:t xml:space="preserve">xperience activity. </w:t>
      </w:r>
      <w:r w:rsidR="00AB7156">
        <w:t xml:space="preserve">It is </w:t>
      </w:r>
      <w:r w:rsidRPr="00E94C6E">
        <w:t>possible</w:t>
      </w:r>
      <w:r w:rsidR="00AB7156">
        <w:t xml:space="preserve"> that, as a result of </w:t>
      </w:r>
      <w:r w:rsidRPr="00E94C6E">
        <w:t>the SSR changes</w:t>
      </w:r>
      <w:r w:rsidR="00AB7156">
        <w:t>,</w:t>
      </w:r>
      <w:r w:rsidRPr="00E94C6E">
        <w:t xml:space="preserve"> job seekers </w:t>
      </w:r>
      <w:r w:rsidR="00AB7156">
        <w:t xml:space="preserve">were </w:t>
      </w:r>
      <w:r w:rsidRPr="00E94C6E">
        <w:t xml:space="preserve">moved to the </w:t>
      </w:r>
      <w:r w:rsidR="004535A1">
        <w:t>WEP</w:t>
      </w:r>
      <w:r w:rsidR="0054199A">
        <w:t>h</w:t>
      </w:r>
      <w:r w:rsidRPr="00E94C6E">
        <w:t xml:space="preserve"> before they were ready. </w:t>
      </w:r>
      <w:r w:rsidR="00AB7156">
        <w:t>While this is a possible unintended consequence there is no compelling</w:t>
      </w:r>
      <w:r w:rsidRPr="00E94C6E">
        <w:t xml:space="preserve"> evidence.</w:t>
      </w:r>
    </w:p>
    <w:p w14:paraId="4935F3C8" w14:textId="77777777" w:rsidR="00E94C6E" w:rsidRPr="00E94C6E" w:rsidRDefault="00403511" w:rsidP="00403511">
      <w:pPr>
        <w:pStyle w:val="Heading2"/>
      </w:pPr>
      <w:bookmarkStart w:id="341" w:name="_Toc450919339"/>
      <w:bookmarkStart w:id="342" w:name="_Toc22543100"/>
      <w:r>
        <w:t>5.</w:t>
      </w:r>
      <w:r w:rsidR="00A00C00">
        <w:t>3</w:t>
      </w:r>
      <w:r>
        <w:tab/>
      </w:r>
      <w:r w:rsidR="00E94C6E" w:rsidRPr="00E94C6E">
        <w:t>Conclusion</w:t>
      </w:r>
      <w:bookmarkEnd w:id="341"/>
      <w:bookmarkEnd w:id="342"/>
    </w:p>
    <w:p w14:paraId="35D61321" w14:textId="77777777" w:rsidR="00E94C6E" w:rsidRPr="00E94C6E" w:rsidRDefault="00E94C6E" w:rsidP="00E94C6E">
      <w:pPr>
        <w:rPr>
          <w:rFonts w:eastAsiaTheme="majorEastAsia"/>
        </w:rPr>
      </w:pPr>
      <w:r w:rsidRPr="00E94C6E">
        <w:t xml:space="preserve">A primary purpose of SSRs was to determine if job seekers were ready to transition to the </w:t>
      </w:r>
      <w:r w:rsidR="004535A1">
        <w:t>WEP</w:t>
      </w:r>
      <w:r w:rsidR="0054199A">
        <w:t>h</w:t>
      </w:r>
      <w:r w:rsidRPr="00E94C6E">
        <w:rPr>
          <w:rFonts w:eastAsiaTheme="majorEastAsia"/>
        </w:rPr>
        <w:t xml:space="preserve">. </w:t>
      </w:r>
      <w:r w:rsidR="00AB7156">
        <w:rPr>
          <w:rFonts w:eastAsiaTheme="majorEastAsia"/>
        </w:rPr>
        <w:t xml:space="preserve">That </w:t>
      </w:r>
      <w:r w:rsidRPr="00E94C6E">
        <w:rPr>
          <w:rFonts w:eastAsiaTheme="majorEastAsia"/>
        </w:rPr>
        <w:t xml:space="preserve">three-quarters of SSRs conducted for Stream 1 to 3 job seekers recommended transition to the </w:t>
      </w:r>
      <w:r w:rsidR="004535A1">
        <w:rPr>
          <w:rFonts w:eastAsiaTheme="majorEastAsia"/>
        </w:rPr>
        <w:t>WEP</w:t>
      </w:r>
      <w:r w:rsidR="0054199A">
        <w:rPr>
          <w:rFonts w:eastAsiaTheme="majorEastAsia"/>
        </w:rPr>
        <w:t xml:space="preserve">h </w:t>
      </w:r>
      <w:r w:rsidRPr="00E94C6E">
        <w:rPr>
          <w:rFonts w:eastAsiaTheme="majorEastAsia"/>
        </w:rPr>
        <w:t xml:space="preserve">suggests that such a universal approach to determining job seeker readiness for the </w:t>
      </w:r>
      <w:r w:rsidR="004535A1">
        <w:rPr>
          <w:rFonts w:eastAsiaTheme="majorEastAsia"/>
        </w:rPr>
        <w:t>WEP</w:t>
      </w:r>
      <w:r w:rsidR="0054199A">
        <w:rPr>
          <w:rFonts w:eastAsiaTheme="majorEastAsia"/>
        </w:rPr>
        <w:t>h</w:t>
      </w:r>
      <w:r w:rsidR="00AB7156">
        <w:rPr>
          <w:rFonts w:eastAsiaTheme="majorEastAsia"/>
        </w:rPr>
        <w:t xml:space="preserve"> </w:t>
      </w:r>
      <w:r w:rsidR="00274863">
        <w:rPr>
          <w:rFonts w:eastAsiaTheme="majorEastAsia"/>
        </w:rPr>
        <w:t xml:space="preserve">was </w:t>
      </w:r>
      <w:r w:rsidR="00492EF3">
        <w:rPr>
          <w:rFonts w:eastAsiaTheme="majorEastAsia"/>
        </w:rPr>
        <w:t>unnecessary</w:t>
      </w:r>
      <w:r w:rsidRPr="00E94C6E">
        <w:rPr>
          <w:rFonts w:eastAsiaTheme="majorEastAsia"/>
        </w:rPr>
        <w:t xml:space="preserve">. The risk of job seekers not ready to transition to the </w:t>
      </w:r>
      <w:r w:rsidR="004535A1">
        <w:rPr>
          <w:rFonts w:eastAsiaTheme="majorEastAsia"/>
        </w:rPr>
        <w:t>WEP</w:t>
      </w:r>
      <w:r w:rsidR="0054199A">
        <w:rPr>
          <w:rFonts w:eastAsiaTheme="majorEastAsia"/>
        </w:rPr>
        <w:t>h</w:t>
      </w:r>
      <w:r w:rsidRPr="00E94C6E">
        <w:rPr>
          <w:rFonts w:eastAsiaTheme="majorEastAsia"/>
        </w:rPr>
        <w:t xml:space="preserve"> being ‘missed’ without the ‘safety net’ of the SSR was probably low</w:t>
      </w:r>
      <w:r w:rsidR="00391A6D">
        <w:rPr>
          <w:rFonts w:eastAsiaTheme="majorEastAsia"/>
        </w:rPr>
        <w:t>. A</w:t>
      </w:r>
      <w:r w:rsidRPr="00E94C6E">
        <w:rPr>
          <w:rFonts w:eastAsiaTheme="majorEastAsia"/>
        </w:rPr>
        <w:t>round 75 per cent of those who had an assessment that recommended a change to a higher stream or</w:t>
      </w:r>
      <w:r w:rsidR="00DF4856" w:rsidRPr="00DF4856">
        <w:rPr>
          <w:rFonts w:eastAsiaTheme="majorEastAsia"/>
          <w:b/>
        </w:rPr>
        <w:t xml:space="preserve"> </w:t>
      </w:r>
      <w:r w:rsidRPr="00E94C6E">
        <w:rPr>
          <w:rFonts w:eastAsiaTheme="majorEastAsia"/>
        </w:rPr>
        <w:t xml:space="preserve">DES </w:t>
      </w:r>
      <w:r w:rsidR="00274863">
        <w:rPr>
          <w:rFonts w:eastAsiaTheme="majorEastAsia"/>
        </w:rPr>
        <w:t>did so before</w:t>
      </w:r>
      <w:r w:rsidRPr="00E94C6E">
        <w:rPr>
          <w:rFonts w:eastAsiaTheme="majorEastAsia"/>
        </w:rPr>
        <w:t xml:space="preserve"> 12 months in service. A more targeted, individualised assessment of job seeker suitability for the </w:t>
      </w:r>
      <w:r w:rsidR="004535A1">
        <w:rPr>
          <w:rFonts w:eastAsiaTheme="majorEastAsia"/>
        </w:rPr>
        <w:t>WEP</w:t>
      </w:r>
      <w:r w:rsidR="0054199A">
        <w:rPr>
          <w:rFonts w:eastAsiaTheme="majorEastAsia"/>
        </w:rPr>
        <w:t>h</w:t>
      </w:r>
      <w:r w:rsidR="00AB7156">
        <w:rPr>
          <w:rFonts w:eastAsiaTheme="majorEastAsia"/>
        </w:rPr>
        <w:t>,</w:t>
      </w:r>
      <w:r w:rsidRPr="00E94C6E">
        <w:rPr>
          <w:rFonts w:eastAsiaTheme="majorEastAsia"/>
        </w:rPr>
        <w:t xml:space="preserve"> aligned with the individualised tailored servicing philosophy of the JSA model</w:t>
      </w:r>
      <w:r w:rsidR="00AB7156">
        <w:rPr>
          <w:rFonts w:eastAsiaTheme="majorEastAsia"/>
        </w:rPr>
        <w:t>,</w:t>
      </w:r>
      <w:r w:rsidRPr="00E94C6E">
        <w:rPr>
          <w:rFonts w:eastAsiaTheme="majorEastAsia"/>
        </w:rPr>
        <w:t xml:space="preserve"> </w:t>
      </w:r>
      <w:r w:rsidR="00AB7156">
        <w:rPr>
          <w:rFonts w:eastAsiaTheme="majorEastAsia"/>
        </w:rPr>
        <w:t>would appear to be more ap</w:t>
      </w:r>
      <w:r w:rsidR="0056582B">
        <w:rPr>
          <w:rFonts w:eastAsiaTheme="majorEastAsia"/>
        </w:rPr>
        <w:t>propriate</w:t>
      </w:r>
      <w:r w:rsidRPr="00E94C6E">
        <w:rPr>
          <w:rFonts w:eastAsiaTheme="majorEastAsia"/>
        </w:rPr>
        <w:t>.</w:t>
      </w:r>
    </w:p>
    <w:p w14:paraId="70A899CC" w14:textId="77777777" w:rsidR="00E94C6E" w:rsidRPr="00403511" w:rsidRDefault="00E94C6E" w:rsidP="00E55D73">
      <w:pPr>
        <w:pStyle w:val="Heading4"/>
      </w:pPr>
      <w:r w:rsidRPr="00403511">
        <w:t>How efficiently job seekers needing to be upstreamed or move to DES were identified</w:t>
      </w:r>
      <w:r w:rsidR="00897308">
        <w:t>.</w:t>
      </w:r>
    </w:p>
    <w:p w14:paraId="0F212BE3" w14:textId="77777777" w:rsidR="00E94C6E" w:rsidRPr="00E94C6E" w:rsidRDefault="00E94C6E" w:rsidP="00F64260">
      <w:pPr>
        <w:suppressAutoHyphens/>
        <w:autoSpaceDE w:val="0"/>
        <w:autoSpaceDN w:val="0"/>
        <w:adjustRightInd w:val="0"/>
        <w:spacing w:after="120"/>
        <w:ind w:left="11"/>
        <w:textAlignment w:val="center"/>
        <w:rPr>
          <w:rFonts w:eastAsiaTheme="majorEastAsia" w:cs="Garamond"/>
          <w:color w:val="000000"/>
          <w:lang w:val="en-GB"/>
        </w:rPr>
      </w:pPr>
      <w:r w:rsidRPr="00E94C6E">
        <w:rPr>
          <w:rFonts w:eastAsiaTheme="majorEastAsia" w:cs="Garamond"/>
          <w:color w:val="000000"/>
          <w:lang w:val="en-GB"/>
        </w:rPr>
        <w:t>Under both models the median time from commencement to the first assessment that determined whether a job seeker needed a higher level of service, was around six months, well before the deadline set for SSRs in JSA 2009.</w:t>
      </w:r>
    </w:p>
    <w:p w14:paraId="069D51D9" w14:textId="70A0C829" w:rsidR="00E94C6E" w:rsidRPr="00E94C6E" w:rsidRDefault="00E94C6E" w:rsidP="00F64260">
      <w:pPr>
        <w:suppressAutoHyphens/>
        <w:autoSpaceDE w:val="0"/>
        <w:autoSpaceDN w:val="0"/>
        <w:adjustRightInd w:val="0"/>
        <w:spacing w:after="120"/>
        <w:ind w:left="11"/>
        <w:textAlignment w:val="center"/>
        <w:rPr>
          <w:rFonts w:eastAsiaTheme="majorEastAsia" w:cs="Garamond"/>
          <w:color w:val="000000"/>
          <w:lang w:val="en-GB"/>
        </w:rPr>
      </w:pPr>
      <w:r w:rsidRPr="00E94C6E">
        <w:rPr>
          <w:rFonts w:eastAsiaTheme="majorEastAsia" w:cs="Garamond"/>
          <w:color w:val="000000"/>
          <w:lang w:val="en-GB"/>
        </w:rPr>
        <w:t xml:space="preserve">There was evidence of assessment activity recommending higher levels of service around the three, six and </w:t>
      </w:r>
      <w:r w:rsidR="00CE510D">
        <w:rPr>
          <w:rFonts w:eastAsiaTheme="majorEastAsia" w:cs="Garamond"/>
          <w:color w:val="000000"/>
          <w:lang w:val="en-GB"/>
        </w:rPr>
        <w:t>12</w:t>
      </w:r>
      <w:r w:rsidR="00CE510D" w:rsidRPr="00E94C6E">
        <w:rPr>
          <w:rFonts w:eastAsiaTheme="majorEastAsia" w:cs="Garamond"/>
          <w:color w:val="000000"/>
          <w:lang w:val="en-GB"/>
        </w:rPr>
        <w:t xml:space="preserve"> </w:t>
      </w:r>
      <w:r w:rsidRPr="00E94C6E">
        <w:rPr>
          <w:rFonts w:eastAsiaTheme="majorEastAsia" w:cs="Garamond"/>
          <w:color w:val="000000"/>
          <w:lang w:val="en-GB"/>
        </w:rPr>
        <w:t xml:space="preserve">months in service for JSA 2012 Stream 1 job seekers. This suggests that these assessment times all occurred </w:t>
      </w:r>
      <w:r w:rsidRPr="00E94C6E">
        <w:rPr>
          <w:rFonts w:eastAsiaTheme="majorEastAsia" w:cs="Garamond"/>
          <w:color w:val="000000"/>
          <w:u w:val="single"/>
          <w:lang w:val="en-GB"/>
        </w:rPr>
        <w:t>before</w:t>
      </w:r>
      <w:r w:rsidRPr="00E94C6E">
        <w:rPr>
          <w:rFonts w:eastAsiaTheme="majorEastAsia" w:cs="Garamond"/>
          <w:color w:val="000000"/>
          <w:lang w:val="en-GB"/>
        </w:rPr>
        <w:t xml:space="preserve"> the SSR would have been required. A similar peak in assessment activity was seen for Stream 2 job seekers after three months in service.</w:t>
      </w:r>
    </w:p>
    <w:p w14:paraId="5C59B604" w14:textId="77777777" w:rsidR="00E94C6E" w:rsidRPr="00403511" w:rsidRDefault="00E94C6E" w:rsidP="00E55D73">
      <w:pPr>
        <w:pStyle w:val="Heading4"/>
      </w:pPr>
      <w:r w:rsidRPr="00403511">
        <w:t xml:space="preserve">How efficiently job seekers were transitioned to </w:t>
      </w:r>
      <w:r w:rsidR="00403511">
        <w:t xml:space="preserve">the </w:t>
      </w:r>
      <w:r w:rsidR="004535A1">
        <w:t>WEP</w:t>
      </w:r>
      <w:r w:rsidR="00D712A1">
        <w:t>h</w:t>
      </w:r>
      <w:r w:rsidR="00897308">
        <w:t>.</w:t>
      </w:r>
    </w:p>
    <w:p w14:paraId="78A89C87" w14:textId="77777777" w:rsidR="00E94C6E" w:rsidRPr="00E94C6E" w:rsidRDefault="00E94C6E" w:rsidP="00F64260">
      <w:pPr>
        <w:ind w:left="11"/>
      </w:pPr>
      <w:r w:rsidRPr="00E94C6E">
        <w:t xml:space="preserve">Job seekers in JSA 2012 transitioned to the </w:t>
      </w:r>
      <w:r w:rsidR="004535A1">
        <w:t>WEP</w:t>
      </w:r>
      <w:r w:rsidR="0054199A">
        <w:t>h</w:t>
      </w:r>
      <w:r w:rsidRPr="00E94C6E">
        <w:t xml:space="preserve"> more quickly than job seekers under JSA 2009. There is also less upstreaming in the JSA 2012 job seeker SSR study population, so it would be expected that JSA 2012 job seekers would, on average, move to the </w:t>
      </w:r>
      <w:r w:rsidR="004535A1">
        <w:t>WEP</w:t>
      </w:r>
      <w:r w:rsidR="0054199A">
        <w:t>h</w:t>
      </w:r>
      <w:r w:rsidRPr="00E94C6E">
        <w:t xml:space="preserve"> sooner, given they would reach the 12 months in service stream point sooner. The removal of SSRs was likely to be another contributing factor, as delays in having SSRs conducted were not uncommon.</w:t>
      </w:r>
      <w:r w:rsidR="00274863" w:rsidRPr="00B52FEF" w:rsidDel="00274863">
        <w:rPr>
          <w:rStyle w:val="FootnoteReference"/>
        </w:rPr>
        <w:t xml:space="preserve"> </w:t>
      </w:r>
      <w:r w:rsidRPr="00B52FEF">
        <w:rPr>
          <w:rStyle w:val="FootnoteReference"/>
        </w:rPr>
        <w:t xml:space="preserve"> </w:t>
      </w:r>
    </w:p>
    <w:p w14:paraId="7789E884" w14:textId="731B4029" w:rsidR="00E94C6E" w:rsidRPr="00E94C6E" w:rsidRDefault="00E94C6E" w:rsidP="00F64260">
      <w:pPr>
        <w:ind w:left="11"/>
      </w:pPr>
      <w:r w:rsidRPr="00E94C6E">
        <w:t xml:space="preserve">The median time to transition to the </w:t>
      </w:r>
      <w:r w:rsidR="004535A1">
        <w:t>WEP</w:t>
      </w:r>
      <w:r w:rsidR="0054199A">
        <w:t>h</w:t>
      </w:r>
      <w:r w:rsidRPr="00E94C6E">
        <w:t xml:space="preserve"> by Stream 4 job seekers was shorter under the JSA 2012 model. A longer median time would have been expected had providers taken the easy option and let all job seekers wait until the </w:t>
      </w:r>
      <w:r w:rsidR="001068E3" w:rsidRPr="00E94C6E">
        <w:t>78-week</w:t>
      </w:r>
      <w:r w:rsidRPr="00E94C6E">
        <w:t xml:space="preserve"> deadline to transition. This suggests that providers, through working closely with the Stream 4 job seekers on their caseload, </w:t>
      </w:r>
      <w:r w:rsidR="00CE510D">
        <w:t>were</w:t>
      </w:r>
      <w:r w:rsidR="00CE510D" w:rsidRPr="00E94C6E">
        <w:t xml:space="preserve"> </w:t>
      </w:r>
      <w:r w:rsidRPr="00E94C6E">
        <w:t xml:space="preserve">more efficiently moving job seekers to the </w:t>
      </w:r>
      <w:r w:rsidR="004535A1">
        <w:t>WEP</w:t>
      </w:r>
      <w:r w:rsidR="0054199A">
        <w:t>h</w:t>
      </w:r>
      <w:r w:rsidRPr="00E94C6E">
        <w:t xml:space="preserve"> than was the case when SSRs were a requirement.</w:t>
      </w:r>
    </w:p>
    <w:p w14:paraId="00AA0B5D" w14:textId="7735ED6C" w:rsidR="00E94C6E" w:rsidRPr="00E94C6E" w:rsidRDefault="00E94C6E" w:rsidP="00E94C6E">
      <w:r w:rsidRPr="00E94C6E">
        <w:t xml:space="preserve">Given that analysis of the </w:t>
      </w:r>
      <w:r w:rsidR="004535A1">
        <w:t>WEP</w:t>
      </w:r>
      <w:r w:rsidR="0054199A">
        <w:t>h</w:t>
      </w:r>
      <w:r w:rsidRPr="00E94C6E">
        <w:t xml:space="preserve"> reported in the JSA 2009-2012 evaluation indicated that the </w:t>
      </w:r>
      <w:r w:rsidR="004535A1">
        <w:t>WEP</w:t>
      </w:r>
      <w:r w:rsidR="0054199A">
        <w:t>h</w:t>
      </w:r>
      <w:r w:rsidRPr="00E94C6E">
        <w:t xml:space="preserve"> </w:t>
      </w:r>
      <w:r w:rsidR="00CE510D">
        <w:t>was</w:t>
      </w:r>
      <w:r w:rsidR="00CE510D" w:rsidRPr="00E94C6E">
        <w:t xml:space="preserve"> </w:t>
      </w:r>
      <w:r w:rsidRPr="00E94C6E">
        <w:t xml:space="preserve">effective at moving job seekers into employment this is likely to be a </w:t>
      </w:r>
      <w:r w:rsidR="002C2BB5">
        <w:t>positive</w:t>
      </w:r>
      <w:r w:rsidR="002C2BB5" w:rsidRPr="00E94C6E">
        <w:t xml:space="preserve"> </w:t>
      </w:r>
      <w:r w:rsidRPr="00E94C6E">
        <w:t>outcome for many job seekers. There are also cost savings as a result of fewer assessments and less upstreaming (</w:t>
      </w:r>
      <w:r w:rsidRPr="008F7468">
        <w:t xml:space="preserve">resulting in lower service </w:t>
      </w:r>
      <w:r w:rsidR="00274863" w:rsidRPr="008F7468">
        <w:t xml:space="preserve">fees </w:t>
      </w:r>
      <w:r w:rsidRPr="008F7468">
        <w:t>and outcome payments</w:t>
      </w:r>
      <w:r w:rsidRPr="00E94C6E">
        <w:t>)</w:t>
      </w:r>
      <w:r w:rsidR="002C2BB5">
        <w:t>.</w:t>
      </w:r>
      <w:r w:rsidR="002C2BB5">
        <w:br w:type="page"/>
      </w:r>
    </w:p>
    <w:p w14:paraId="1682A88F" w14:textId="77777777" w:rsidR="001A61A3" w:rsidRDefault="003F752C" w:rsidP="001A61A3">
      <w:pPr>
        <w:pStyle w:val="Heading1"/>
        <w:rPr>
          <w:rStyle w:val="Heading1Char"/>
          <w:b/>
        </w:rPr>
      </w:pPr>
      <w:bookmarkStart w:id="343" w:name="_Toc22543101"/>
      <w:bookmarkEnd w:id="315"/>
      <w:r>
        <w:t>6</w:t>
      </w:r>
      <w:r w:rsidR="004541A6" w:rsidRPr="003F752C">
        <w:tab/>
      </w:r>
      <w:r>
        <w:t xml:space="preserve">The </w:t>
      </w:r>
      <w:r w:rsidR="004541A6" w:rsidRPr="003F752C">
        <w:rPr>
          <w:rStyle w:val="Heading1Char"/>
          <w:b/>
        </w:rPr>
        <w:t>Compulsory Activity P</w:t>
      </w:r>
      <w:bookmarkStart w:id="344" w:name="_Toc402170620"/>
      <w:bookmarkEnd w:id="312"/>
      <w:r w:rsidR="004541A6" w:rsidRPr="003F752C">
        <w:rPr>
          <w:rStyle w:val="Heading1Char"/>
          <w:b/>
        </w:rPr>
        <w:t>hase</w:t>
      </w:r>
      <w:bookmarkStart w:id="345" w:name="_Toc400524716"/>
      <w:bookmarkEnd w:id="344"/>
      <w:bookmarkEnd w:id="343"/>
      <w:r w:rsidR="007A330B">
        <w:rPr>
          <w:rStyle w:val="Heading1Char"/>
          <w:b/>
        </w:rPr>
        <w:t xml:space="preserve"> </w:t>
      </w:r>
    </w:p>
    <w:p w14:paraId="2D892B27" w14:textId="77777777" w:rsidR="00A00C00" w:rsidRPr="009C3C01" w:rsidRDefault="00A00C00" w:rsidP="00A00C00">
      <w:pPr>
        <w:pStyle w:val="Heading2"/>
      </w:pPr>
      <w:bookmarkStart w:id="346" w:name="_Toc450919340"/>
      <w:bookmarkStart w:id="347" w:name="_Toc22543102"/>
      <w:bookmarkStart w:id="348" w:name="_Toc432576232"/>
      <w:bookmarkEnd w:id="345"/>
      <w:r>
        <w:t>6.1</w:t>
      </w:r>
      <w:r>
        <w:tab/>
        <w:t>Introduction</w:t>
      </w:r>
      <w:bookmarkEnd w:id="346"/>
      <w:bookmarkEnd w:id="347"/>
    </w:p>
    <w:bookmarkEnd w:id="348"/>
    <w:p w14:paraId="024934CD" w14:textId="5AF6B45A" w:rsidR="00130725" w:rsidRDefault="00130725" w:rsidP="00130725">
      <w:r>
        <w:t xml:space="preserve">The JSA 2012 contract introduced </w:t>
      </w:r>
      <w:r w:rsidR="0025006B">
        <w:t xml:space="preserve">a </w:t>
      </w:r>
      <w:r>
        <w:t>C</w:t>
      </w:r>
      <w:r w:rsidR="0025006B">
        <w:t>ompulsor</w:t>
      </w:r>
      <w:r w:rsidR="00174464">
        <w:t>y</w:t>
      </w:r>
      <w:r w:rsidR="0025006B">
        <w:t xml:space="preserve"> </w:t>
      </w:r>
      <w:r>
        <w:t>A</w:t>
      </w:r>
      <w:r w:rsidR="0025006B">
        <w:t xml:space="preserve">ctivity </w:t>
      </w:r>
      <w:r>
        <w:t>P</w:t>
      </w:r>
      <w:r w:rsidR="0025006B">
        <w:t xml:space="preserve">hase (CAP) which involved </w:t>
      </w:r>
      <w:r>
        <w:t>increased obligations</w:t>
      </w:r>
      <w:r w:rsidR="00CE510D">
        <w:t>,</w:t>
      </w:r>
      <w:r>
        <w:t xml:space="preserve"> </w:t>
      </w:r>
      <w:r w:rsidR="00CE510D">
        <w:t xml:space="preserve">including participation in Work Experience Activities for 11 months out of every 12, </w:t>
      </w:r>
      <w:r>
        <w:t xml:space="preserve">for eligible job seekers who had been in the </w:t>
      </w:r>
      <w:r w:rsidR="00DF4856">
        <w:t>Work Experience Phase (</w:t>
      </w:r>
      <w:r>
        <w:t>WEP</w:t>
      </w:r>
      <w:r w:rsidR="0054199A">
        <w:t>h</w:t>
      </w:r>
      <w:r w:rsidR="00DF4856">
        <w:t>)</w:t>
      </w:r>
      <w:r>
        <w:t xml:space="preserve"> for 12 months or more</w:t>
      </w:r>
      <w:r w:rsidR="00521130">
        <w:t>. More detail</w:t>
      </w:r>
      <w:r w:rsidR="0025006B">
        <w:t xml:space="preserve"> on the changes and objectives of them is in </w:t>
      </w:r>
      <w:r w:rsidR="003649E1">
        <w:t xml:space="preserve">section </w:t>
      </w:r>
      <w:r w:rsidR="0025006B">
        <w:t>1.1.2 (Table 1.1)</w:t>
      </w:r>
      <w:r>
        <w:t>.</w:t>
      </w:r>
      <w:r w:rsidR="008F7468">
        <w:t xml:space="preserve"> Further details of the method</w:t>
      </w:r>
      <w:r w:rsidR="009716CF">
        <w:t>o</w:t>
      </w:r>
      <w:r w:rsidR="008F7468">
        <w:t>logy used for this analysis is in Appendix B4.</w:t>
      </w:r>
    </w:p>
    <w:p w14:paraId="4D7B4C17" w14:textId="77777777" w:rsidR="00130725" w:rsidRDefault="00130725" w:rsidP="00793C77">
      <w:r>
        <w:t xml:space="preserve">That a CAP was </w:t>
      </w:r>
      <w:r w:rsidRPr="0099598E">
        <w:t xml:space="preserve">not </w:t>
      </w:r>
      <w:r>
        <w:t xml:space="preserve">part of the JSA 2009 contract provides a comparison </w:t>
      </w:r>
      <w:r w:rsidR="00897308">
        <w:t xml:space="preserve">opportunity </w:t>
      </w:r>
      <w:r>
        <w:t>with which to assess the impact of the CAP. This analysis uses that counterfactual to explore the extent and nature of effects evident in the CAP programme.</w:t>
      </w:r>
    </w:p>
    <w:p w14:paraId="0E22E59D" w14:textId="40C26AD8" w:rsidR="00897308" w:rsidRDefault="00130725" w:rsidP="00897308">
      <w:r>
        <w:t xml:space="preserve">Table </w:t>
      </w:r>
      <w:r w:rsidR="00B82E1F">
        <w:t>6.</w:t>
      </w:r>
      <w:r>
        <w:t>1 compares the job seeker requirements between the JSA 2009 and 2012 contracts for job seekers</w:t>
      </w:r>
      <w:r w:rsidRPr="00CF19FA">
        <w:t xml:space="preserve"> </w:t>
      </w:r>
      <w:r>
        <w:t xml:space="preserve">who had a </w:t>
      </w:r>
      <w:r w:rsidR="00DF4856">
        <w:t xml:space="preserve">Work Experience Activity </w:t>
      </w:r>
      <w:r w:rsidR="00492EF3">
        <w:t>Requirement</w:t>
      </w:r>
      <w:r w:rsidR="00DF4856">
        <w:t xml:space="preserve"> (</w:t>
      </w:r>
      <w:r>
        <w:t>WEAR</w:t>
      </w:r>
      <w:r w:rsidR="00DF4856">
        <w:t>)</w:t>
      </w:r>
      <w:r>
        <w:t xml:space="preserve"> in the WEP</w:t>
      </w:r>
      <w:r w:rsidR="0054199A">
        <w:t>h</w:t>
      </w:r>
      <w:r>
        <w:t>.</w:t>
      </w:r>
    </w:p>
    <w:p w14:paraId="6BCF8343" w14:textId="6D89F8D3" w:rsidR="00130725" w:rsidRDefault="006A31E6" w:rsidP="00897308">
      <w:pPr>
        <w:pStyle w:val="Tableforcontents"/>
      </w:pPr>
      <w:bookmarkStart w:id="349" w:name="_Toc22543992"/>
      <w:bookmarkStart w:id="350" w:name="_Toc372721709"/>
      <w:bookmarkStart w:id="351" w:name="_Toc385156642"/>
      <w:r>
        <w:rPr>
          <w:noProof/>
        </w:rPr>
        <w:t xml:space="preserve">Table 6.1: </w:t>
      </w:r>
      <w:r w:rsidR="00130725">
        <w:rPr>
          <w:noProof/>
        </w:rPr>
        <w:t>Comparison of job seeker requirements between JSA 2009 and JSA 2012</w:t>
      </w:r>
      <w:bookmarkEnd w:id="349"/>
    </w:p>
    <w:tbl>
      <w:tblPr>
        <w:tblStyle w:val="LightList-Accent1"/>
        <w:tblW w:w="0" w:type="auto"/>
        <w:tblBorders>
          <w:top w:val="none" w:sz="0" w:space="0" w:color="auto"/>
          <w:left w:val="none" w:sz="0" w:space="0" w:color="auto"/>
          <w:bottom w:val="none" w:sz="0" w:space="0" w:color="auto"/>
          <w:right w:val="none" w:sz="0" w:space="0" w:color="auto"/>
        </w:tblBorders>
        <w:tblLook w:val="0660" w:firstRow="1" w:lastRow="1" w:firstColumn="0" w:lastColumn="0" w:noHBand="1" w:noVBand="1"/>
      </w:tblPr>
      <w:tblGrid>
        <w:gridCol w:w="4513"/>
        <w:gridCol w:w="4514"/>
      </w:tblGrid>
      <w:tr w:rsidR="00130725" w14:paraId="53B3DD4E" w14:textId="77777777" w:rsidTr="0018032E">
        <w:trPr>
          <w:cnfStyle w:val="100000000000" w:firstRow="1" w:lastRow="0" w:firstColumn="0" w:lastColumn="0" w:oddVBand="0" w:evenVBand="0" w:oddHBand="0" w:evenHBand="0" w:firstRowFirstColumn="0" w:firstRowLastColumn="0" w:lastRowFirstColumn="0" w:lastRowLastColumn="0"/>
          <w:tblHeader/>
        </w:trPr>
        <w:tc>
          <w:tcPr>
            <w:tcW w:w="4519" w:type="dxa"/>
            <w:shd w:val="clear" w:color="auto" w:fill="1E3D6B"/>
          </w:tcPr>
          <w:p w14:paraId="12EB8945" w14:textId="7B030658" w:rsidR="00130725" w:rsidRPr="00014A7A" w:rsidRDefault="00130725" w:rsidP="00804032">
            <w:pPr>
              <w:pStyle w:val="TableBoby3"/>
            </w:pPr>
            <w:bookmarkStart w:id="352" w:name="ColumnTitle_61"/>
            <w:bookmarkEnd w:id="352"/>
            <w:r w:rsidRPr="00014A7A">
              <w:t>JSA 2009</w:t>
            </w:r>
          </w:p>
        </w:tc>
        <w:tc>
          <w:tcPr>
            <w:tcW w:w="4520" w:type="dxa"/>
            <w:shd w:val="clear" w:color="auto" w:fill="1E3D6B"/>
          </w:tcPr>
          <w:p w14:paraId="70FDCD24" w14:textId="0955EB39" w:rsidR="00130725" w:rsidRPr="00014A7A" w:rsidRDefault="00130725" w:rsidP="00804032">
            <w:pPr>
              <w:pStyle w:val="TableBoby3"/>
            </w:pPr>
            <w:r w:rsidRPr="00014A7A">
              <w:t>JSA 2012</w:t>
            </w:r>
          </w:p>
        </w:tc>
      </w:tr>
      <w:tr w:rsidR="00130725" w14:paraId="34C6D58D" w14:textId="77777777" w:rsidTr="0018032E">
        <w:tc>
          <w:tcPr>
            <w:tcW w:w="4519" w:type="dxa"/>
          </w:tcPr>
          <w:p w14:paraId="363DE3A9" w14:textId="375F2CE7" w:rsidR="00130725" w:rsidRDefault="00130725" w:rsidP="006D565F">
            <w:pPr>
              <w:pStyle w:val="Tablefirstcolumn"/>
              <w:spacing w:after="199"/>
            </w:pPr>
            <w:r>
              <w:t>Job seekers who had completed approximately 12 months of services in Stream 1 to 4 generally commenced in WEP</w:t>
            </w:r>
            <w:r w:rsidR="0054199A">
              <w:t>h</w:t>
            </w:r>
            <w:r>
              <w:t xml:space="preserve"> following a </w:t>
            </w:r>
            <w:r w:rsidRPr="00355B5B">
              <w:t>Stream Service</w:t>
            </w:r>
            <w:r w:rsidR="000B2F4D">
              <w:t>s</w:t>
            </w:r>
            <w:r w:rsidRPr="00355B5B">
              <w:t xml:space="preserve"> Review</w:t>
            </w:r>
            <w:r w:rsidR="00DF4856" w:rsidRPr="00355B5B">
              <w:t xml:space="preserve"> (SSR)</w:t>
            </w:r>
            <w:r w:rsidRPr="00355B5B">
              <w:t>.</w:t>
            </w:r>
          </w:p>
          <w:p w14:paraId="7F539A90" w14:textId="77777777" w:rsidR="00130725" w:rsidRDefault="00130725" w:rsidP="006D565F">
            <w:pPr>
              <w:pStyle w:val="Tablefirstcolumn"/>
              <w:spacing w:after="199"/>
            </w:pPr>
            <w:r>
              <w:t xml:space="preserve">The </w:t>
            </w:r>
            <w:r w:rsidR="00DF4856" w:rsidRPr="00355B5B">
              <w:t>SSR</w:t>
            </w:r>
            <w:r w:rsidR="00DF4856" w:rsidDel="00DF4856">
              <w:rPr>
                <w:b/>
              </w:rPr>
              <w:t xml:space="preserve"> </w:t>
            </w:r>
            <w:r>
              <w:t>m</w:t>
            </w:r>
            <w:r w:rsidR="00976D9A">
              <w:t>ight</w:t>
            </w:r>
            <w:r>
              <w:t xml:space="preserve"> suggest that Stream 1 to 3 job seekers should receive services under a higher </w:t>
            </w:r>
            <w:r w:rsidR="00DF4856">
              <w:t>s</w:t>
            </w:r>
            <w:r>
              <w:t>tream or Stream 4 job seekers would benefit from further Stream 4 assistance.</w:t>
            </w:r>
          </w:p>
          <w:p w14:paraId="455D9427" w14:textId="77777777" w:rsidR="00130725" w:rsidRPr="002D3C98" w:rsidRDefault="00130725" w:rsidP="00F61D3B">
            <w:pPr>
              <w:pStyle w:val="Tablefirstcolumn"/>
            </w:pPr>
            <w:r>
              <w:t>Job seekers in Stream 4 who completed 18 months automatically move</w:t>
            </w:r>
            <w:r w:rsidR="00976D9A">
              <w:t>d</w:t>
            </w:r>
            <w:r>
              <w:t xml:space="preserve"> to the WEP</w:t>
            </w:r>
            <w:r w:rsidR="0054199A">
              <w:t>h</w:t>
            </w:r>
            <w:r>
              <w:t>.</w:t>
            </w:r>
          </w:p>
        </w:tc>
        <w:tc>
          <w:tcPr>
            <w:tcW w:w="4520" w:type="dxa"/>
          </w:tcPr>
          <w:p w14:paraId="3209702A" w14:textId="77777777" w:rsidR="00130725" w:rsidRDefault="00130725" w:rsidP="006D565F">
            <w:pPr>
              <w:pStyle w:val="TableBody1"/>
              <w:spacing w:after="199"/>
            </w:pPr>
            <w:r>
              <w:t>Job seekers in Stream 1 to 3 generally commenced WEP</w:t>
            </w:r>
            <w:r w:rsidR="0054199A">
              <w:t>h</w:t>
            </w:r>
            <w:r>
              <w:t xml:space="preserve"> after 12 months of </w:t>
            </w:r>
            <w:r w:rsidR="007833D7">
              <w:t>S</w:t>
            </w:r>
            <w:r>
              <w:t xml:space="preserve">tream </w:t>
            </w:r>
            <w:r w:rsidR="007833D7">
              <w:t>S</w:t>
            </w:r>
            <w:r>
              <w:t>ervices.</w:t>
            </w:r>
          </w:p>
          <w:p w14:paraId="2F20C67D" w14:textId="77777777" w:rsidR="00130725" w:rsidRDefault="00130725" w:rsidP="006D565F">
            <w:pPr>
              <w:pStyle w:val="TableBody1"/>
              <w:spacing w:after="199"/>
            </w:pPr>
            <w:r>
              <w:t>Job seekers in Stream 4 generally commenced the WEP</w:t>
            </w:r>
            <w:r w:rsidR="0054199A">
              <w:t>h</w:t>
            </w:r>
            <w:r>
              <w:t xml:space="preserve"> after 12 or 18 months of </w:t>
            </w:r>
            <w:r w:rsidR="007833D7">
              <w:t>S</w:t>
            </w:r>
            <w:r>
              <w:t xml:space="preserve">tream </w:t>
            </w:r>
            <w:r w:rsidR="007833D7">
              <w:t>S</w:t>
            </w:r>
            <w:r>
              <w:t>ervices.</w:t>
            </w:r>
          </w:p>
          <w:p w14:paraId="176B6AFA" w14:textId="77777777" w:rsidR="00130725" w:rsidRDefault="00130725" w:rsidP="006D565F">
            <w:pPr>
              <w:pStyle w:val="TableBody1"/>
              <w:spacing w:after="199"/>
            </w:pPr>
            <w:r>
              <w:t xml:space="preserve">Following attendance at </w:t>
            </w:r>
            <w:r w:rsidRPr="00355B5B">
              <w:t>their first Work Experience contact</w:t>
            </w:r>
            <w:r w:rsidRPr="005068D7">
              <w:t xml:space="preserve"> w</w:t>
            </w:r>
            <w:r>
              <w:t>ith their providers, a job seeker was considered to have ‘commenced’ in the WEP</w:t>
            </w:r>
            <w:r w:rsidR="0054199A">
              <w:t>h</w:t>
            </w:r>
            <w:r>
              <w:t>.</w:t>
            </w:r>
          </w:p>
          <w:p w14:paraId="0EF3A9D4" w14:textId="13BADD62" w:rsidR="00130725" w:rsidRDefault="00130725" w:rsidP="00475BA6">
            <w:pPr>
              <w:pStyle w:val="TableBody1"/>
            </w:pPr>
            <w:r>
              <w:t>After 12 months in the WEP</w:t>
            </w:r>
            <w:r w:rsidR="0054199A">
              <w:t>h</w:t>
            </w:r>
            <w:r>
              <w:t xml:space="preserve"> a job seeker entered the </w:t>
            </w:r>
            <w:r w:rsidRPr="00355B5B">
              <w:t>Compulsory Activity Phase</w:t>
            </w:r>
            <w:r w:rsidR="00DF4856" w:rsidRPr="00355B5B">
              <w:t xml:space="preserve"> (CAP)</w:t>
            </w:r>
            <w:r>
              <w:t xml:space="preserve"> after having </w:t>
            </w:r>
            <w:r w:rsidR="00475BA6">
              <w:t>their</w:t>
            </w:r>
            <w:r>
              <w:t xml:space="preserve"> first CAP contact with the provider. </w:t>
            </w:r>
          </w:p>
        </w:tc>
      </w:tr>
      <w:tr w:rsidR="00130725" w14:paraId="536BD692" w14:textId="77777777" w:rsidTr="003B5C56">
        <w:tc>
          <w:tcPr>
            <w:tcW w:w="4519" w:type="dxa"/>
            <w:shd w:val="clear" w:color="auto" w:fill="E5E5E5" w:themeFill="background1" w:themeFillTint="33"/>
          </w:tcPr>
          <w:p w14:paraId="4AFB4A27" w14:textId="45E3BDD7" w:rsidR="00130725" w:rsidRDefault="00130725" w:rsidP="00A254DF">
            <w:pPr>
              <w:pStyle w:val="TableBody1"/>
            </w:pPr>
            <w:r>
              <w:t xml:space="preserve">Job seekers with a </w:t>
            </w:r>
            <w:r w:rsidR="00DF4856">
              <w:t>Work Experience Activity Requirement (</w:t>
            </w:r>
            <w:r>
              <w:t>WEAR</w:t>
            </w:r>
            <w:r w:rsidR="00DF4856">
              <w:t>)</w:t>
            </w:r>
            <w:r>
              <w:t xml:space="preserve"> were required to participate in a Work Experience Activity/Activities over a </w:t>
            </w:r>
            <w:r w:rsidRPr="00AB4E0B">
              <w:rPr>
                <w:u w:val="single"/>
              </w:rPr>
              <w:t>26</w:t>
            </w:r>
            <w:r w:rsidR="00A254DF">
              <w:rPr>
                <w:u w:val="single"/>
              </w:rPr>
              <w:t>-</w:t>
            </w:r>
            <w:r w:rsidRPr="00AB4E0B">
              <w:rPr>
                <w:u w:val="single"/>
              </w:rPr>
              <w:t>week</w:t>
            </w:r>
            <w:r>
              <w:t xml:space="preserve"> period for every 12 months they were in the WEP</w:t>
            </w:r>
            <w:r w:rsidR="0054199A">
              <w:t>h</w:t>
            </w:r>
            <w:r>
              <w:t>.</w:t>
            </w:r>
          </w:p>
        </w:tc>
        <w:tc>
          <w:tcPr>
            <w:tcW w:w="4520" w:type="dxa"/>
            <w:shd w:val="clear" w:color="auto" w:fill="E5E5E5" w:themeFill="background1" w:themeFillTint="33"/>
          </w:tcPr>
          <w:p w14:paraId="2558A265" w14:textId="6699D19F" w:rsidR="00130725" w:rsidRDefault="00130725" w:rsidP="006D565F">
            <w:pPr>
              <w:pStyle w:val="TableBody1"/>
              <w:spacing w:after="199"/>
            </w:pPr>
            <w:r>
              <w:t xml:space="preserve">Job seekers with a WEAR were required to participate in a Work Experience Activity/Activities over a </w:t>
            </w:r>
            <w:r w:rsidRPr="00AB4E0B">
              <w:rPr>
                <w:u w:val="single"/>
              </w:rPr>
              <w:t>26</w:t>
            </w:r>
            <w:r w:rsidR="00A254DF">
              <w:rPr>
                <w:u w:val="single"/>
              </w:rPr>
              <w:t>-</w:t>
            </w:r>
            <w:r w:rsidRPr="00AB4E0B">
              <w:rPr>
                <w:u w:val="single"/>
              </w:rPr>
              <w:t>week</w:t>
            </w:r>
            <w:r>
              <w:t xml:space="preserve"> period when they were in the WEP</w:t>
            </w:r>
            <w:r w:rsidR="0054199A">
              <w:t>h</w:t>
            </w:r>
            <w:r>
              <w:t>.</w:t>
            </w:r>
          </w:p>
          <w:p w14:paraId="545AC991" w14:textId="77777777" w:rsidR="00130725" w:rsidRDefault="00130725" w:rsidP="006D565F">
            <w:pPr>
              <w:pStyle w:val="TableBody1"/>
              <w:spacing w:after="199"/>
            </w:pPr>
            <w:r>
              <w:t xml:space="preserve">Job seekers who entered the CAP, with a WEAR were required to undertake activities for </w:t>
            </w:r>
            <w:r w:rsidRPr="00AB4E0B">
              <w:rPr>
                <w:u w:val="single"/>
              </w:rPr>
              <w:t>11 months</w:t>
            </w:r>
            <w:r>
              <w:t xml:space="preserve"> a year.</w:t>
            </w:r>
          </w:p>
          <w:p w14:paraId="39F3A774" w14:textId="77777777" w:rsidR="00130725" w:rsidRDefault="00130725" w:rsidP="00DF4856">
            <w:pPr>
              <w:pStyle w:val="TableBody1"/>
            </w:pPr>
            <w:r>
              <w:t xml:space="preserve">Job seekers remained in the CAP until they exited JSA or were placed in a higher </w:t>
            </w:r>
            <w:r w:rsidR="00DF4856">
              <w:t>s</w:t>
            </w:r>
            <w:r>
              <w:t>tream (except for job seekers in Stream 4). A job seeker’s requirement to participate for 11 months continued in the subsequent years of the CAP.</w:t>
            </w:r>
          </w:p>
        </w:tc>
      </w:tr>
      <w:tr w:rsidR="003B5C56" w14:paraId="16553A40" w14:textId="77777777" w:rsidTr="003B5C56">
        <w:tc>
          <w:tcPr>
            <w:tcW w:w="4519" w:type="dxa"/>
          </w:tcPr>
          <w:p w14:paraId="6B13792D" w14:textId="77777777" w:rsidR="003B5C56" w:rsidRPr="00C351EA" w:rsidRDefault="003B5C56" w:rsidP="00DF4856">
            <w:pPr>
              <w:pStyle w:val="TableBody1"/>
            </w:pPr>
            <w:r>
              <w:t>Job seekers and providers identified the activities to be undertaken during the WEPh or CAP and included them in the Employment Pathway Plan (EPP).</w:t>
            </w:r>
          </w:p>
        </w:tc>
        <w:tc>
          <w:tcPr>
            <w:tcW w:w="4520" w:type="dxa"/>
          </w:tcPr>
          <w:p w14:paraId="651CA0E4" w14:textId="77777777" w:rsidR="003B5C56" w:rsidRPr="00C351EA" w:rsidRDefault="003B5C56" w:rsidP="00F61D3B">
            <w:pPr>
              <w:pStyle w:val="TableBody1"/>
            </w:pPr>
            <w:r>
              <w:t>Job seekers and providers identified the activities to be undertaken during the WEPh or CAP and included them in the Employment Pathway Plan (EPP).</w:t>
            </w:r>
          </w:p>
        </w:tc>
      </w:tr>
      <w:tr w:rsidR="00130725" w14:paraId="3D47C556" w14:textId="77777777" w:rsidTr="003B5C56">
        <w:trPr>
          <w:cnfStyle w:val="010000000000" w:firstRow="0" w:lastRow="1" w:firstColumn="0" w:lastColumn="0" w:oddVBand="0" w:evenVBand="0" w:oddHBand="0" w:evenHBand="0" w:firstRowFirstColumn="0" w:firstRowLastColumn="0" w:lastRowFirstColumn="0" w:lastRowLastColumn="0"/>
        </w:trPr>
        <w:tc>
          <w:tcPr>
            <w:tcW w:w="4519" w:type="dxa"/>
            <w:tcBorders>
              <w:top w:val="none" w:sz="0" w:space="0" w:color="auto"/>
              <w:left w:val="none" w:sz="0" w:space="0" w:color="auto"/>
              <w:bottom w:val="single" w:sz="4" w:space="0" w:color="auto"/>
            </w:tcBorders>
            <w:shd w:val="clear" w:color="auto" w:fill="E5E5E5" w:themeFill="background1" w:themeFillTint="33"/>
          </w:tcPr>
          <w:p w14:paraId="5EA8608C" w14:textId="77777777" w:rsidR="00130725" w:rsidRPr="00A06804" w:rsidRDefault="00130725" w:rsidP="00DF4856">
            <w:pPr>
              <w:pStyle w:val="TableBody1"/>
              <w:rPr>
                <w:b w:val="0"/>
              </w:rPr>
            </w:pPr>
            <w:r w:rsidRPr="00C351EA">
              <w:rPr>
                <w:b w:val="0"/>
              </w:rPr>
              <w:t xml:space="preserve">The hours a job seeker </w:t>
            </w:r>
            <w:r>
              <w:rPr>
                <w:b w:val="0"/>
              </w:rPr>
              <w:t>was</w:t>
            </w:r>
            <w:r w:rsidRPr="00C351EA">
              <w:rPr>
                <w:b w:val="0"/>
              </w:rPr>
              <w:t xml:space="preserve"> required to spend in Work Experience Activity/Activities depend</w:t>
            </w:r>
            <w:r>
              <w:rPr>
                <w:b w:val="0"/>
              </w:rPr>
              <w:t>ed</w:t>
            </w:r>
            <w:r w:rsidRPr="00C351EA">
              <w:rPr>
                <w:b w:val="0"/>
              </w:rPr>
              <w:t xml:space="preserve"> on whether the</w:t>
            </w:r>
            <w:r>
              <w:rPr>
                <w:b w:val="0"/>
              </w:rPr>
              <w:t>y were</w:t>
            </w:r>
            <w:r w:rsidRPr="00C351EA">
              <w:rPr>
                <w:b w:val="0"/>
              </w:rPr>
              <w:t xml:space="preserve"> subject to part or full-time participation requirements and the type of activity/activities being undertaken.</w:t>
            </w:r>
          </w:p>
        </w:tc>
        <w:tc>
          <w:tcPr>
            <w:tcW w:w="4520" w:type="dxa"/>
            <w:tcBorders>
              <w:top w:val="none" w:sz="0" w:space="0" w:color="auto"/>
              <w:bottom w:val="single" w:sz="4" w:space="0" w:color="auto"/>
              <w:right w:val="none" w:sz="0" w:space="0" w:color="auto"/>
            </w:tcBorders>
            <w:shd w:val="clear" w:color="auto" w:fill="E5E5E5" w:themeFill="background1" w:themeFillTint="33"/>
          </w:tcPr>
          <w:p w14:paraId="7C8CB6A5" w14:textId="77777777" w:rsidR="00130725" w:rsidRPr="00A06804" w:rsidRDefault="00130725" w:rsidP="00F61D3B">
            <w:pPr>
              <w:pStyle w:val="TableBody1"/>
              <w:rPr>
                <w:b w:val="0"/>
              </w:rPr>
            </w:pPr>
            <w:r w:rsidRPr="00C351EA">
              <w:rPr>
                <w:b w:val="0"/>
              </w:rPr>
              <w:t xml:space="preserve">Apart from the job seeker participation requirements and type of activity/activities being undertaken, the hours a job seeker </w:t>
            </w:r>
            <w:r>
              <w:rPr>
                <w:b w:val="0"/>
              </w:rPr>
              <w:t>was</w:t>
            </w:r>
            <w:r w:rsidRPr="00C351EA">
              <w:rPr>
                <w:b w:val="0"/>
              </w:rPr>
              <w:t xml:space="preserve"> required to spend in Work Experience Activity/Activities also depend</w:t>
            </w:r>
            <w:r>
              <w:rPr>
                <w:b w:val="0"/>
              </w:rPr>
              <w:t>ed</w:t>
            </w:r>
            <w:r w:rsidRPr="00C351EA">
              <w:rPr>
                <w:b w:val="0"/>
              </w:rPr>
              <w:t xml:space="preserve"> on whether they </w:t>
            </w:r>
            <w:r>
              <w:rPr>
                <w:b w:val="0"/>
              </w:rPr>
              <w:t>were</w:t>
            </w:r>
            <w:r w:rsidRPr="00C351EA">
              <w:rPr>
                <w:b w:val="0"/>
              </w:rPr>
              <w:t xml:space="preserve"> in the WEP</w:t>
            </w:r>
            <w:r w:rsidR="0054199A">
              <w:rPr>
                <w:b w:val="0"/>
              </w:rPr>
              <w:t>h</w:t>
            </w:r>
            <w:r w:rsidRPr="00C351EA">
              <w:rPr>
                <w:b w:val="0"/>
              </w:rPr>
              <w:t xml:space="preserve"> or the CAP.</w:t>
            </w:r>
          </w:p>
        </w:tc>
      </w:tr>
    </w:tbl>
    <w:p w14:paraId="056A5594" w14:textId="77777777" w:rsidR="0025006B" w:rsidRDefault="0025006B" w:rsidP="000F7ED9">
      <w:pPr>
        <w:pStyle w:val="Heading2"/>
        <w:keepNext/>
        <w:tabs>
          <w:tab w:val="left" w:pos="567"/>
        </w:tabs>
      </w:pPr>
      <w:bookmarkStart w:id="353" w:name="_Toc450919341"/>
      <w:bookmarkStart w:id="354" w:name="_Toc22543103"/>
      <w:bookmarkStart w:id="355" w:name="_Toc425503660"/>
      <w:bookmarkStart w:id="356" w:name="_Toc432576234"/>
      <w:bookmarkStart w:id="357" w:name="_Toc370479095"/>
      <w:bookmarkStart w:id="358" w:name="_Toc373237343"/>
      <w:bookmarkEnd w:id="350"/>
      <w:bookmarkEnd w:id="351"/>
      <w:r>
        <w:t>6.</w:t>
      </w:r>
      <w:r w:rsidR="00136E6B">
        <w:t>2</w:t>
      </w:r>
      <w:r>
        <w:tab/>
        <w:t>Key Findings</w:t>
      </w:r>
      <w:bookmarkEnd w:id="353"/>
      <w:bookmarkEnd w:id="354"/>
      <w:r w:rsidR="00130725">
        <w:tab/>
      </w:r>
    </w:p>
    <w:p w14:paraId="5B61C05E" w14:textId="77777777" w:rsidR="00130725" w:rsidRPr="000D610E" w:rsidRDefault="0025006B" w:rsidP="00897308">
      <w:pPr>
        <w:pStyle w:val="Heading3"/>
      </w:pPr>
      <w:bookmarkStart w:id="359" w:name="_Toc22543104"/>
      <w:r>
        <w:t>6.</w:t>
      </w:r>
      <w:r w:rsidR="00136E6B">
        <w:t>2</w:t>
      </w:r>
      <w:r>
        <w:t>.1</w:t>
      </w:r>
      <w:r>
        <w:tab/>
      </w:r>
      <w:r w:rsidR="00130725">
        <w:t>Compulsory Activity Phase</w:t>
      </w:r>
      <w:bookmarkEnd w:id="355"/>
      <w:r w:rsidR="00130725">
        <w:t xml:space="preserve"> </w:t>
      </w:r>
      <w:r w:rsidR="00174A71">
        <w:t>and the</w:t>
      </w:r>
      <w:r w:rsidR="00130725">
        <w:t xml:space="preserve"> threat effect</w:t>
      </w:r>
      <w:bookmarkEnd w:id="356"/>
      <w:bookmarkEnd w:id="359"/>
    </w:p>
    <w:p w14:paraId="501DB96E" w14:textId="77777777" w:rsidR="00130725" w:rsidRDefault="00130725" w:rsidP="00130725">
      <w:r>
        <w:t>The following analysis pertains to job seekers in the treatment group and identifies weekly, the proportion who entered the CAP, given they were not yet in the CAP at the beginning of the week (weekly rate). These weekly rates of starting CAP are compared with the weekly rates of:</w:t>
      </w:r>
    </w:p>
    <w:p w14:paraId="1F5F7E4A" w14:textId="77777777" w:rsidR="00130725" w:rsidRPr="006D565F" w:rsidRDefault="00130725" w:rsidP="00247BDA">
      <w:pPr>
        <w:pStyle w:val="ListParagraph"/>
      </w:pPr>
      <w:r w:rsidRPr="006D565F">
        <w:t>exiting income support</w:t>
      </w:r>
    </w:p>
    <w:p w14:paraId="2D7CA1BE" w14:textId="77777777" w:rsidR="00130725" w:rsidRPr="006D565F" w:rsidRDefault="00130725" w:rsidP="00247BDA">
      <w:pPr>
        <w:pStyle w:val="ListParagraph"/>
      </w:pPr>
      <w:r w:rsidRPr="006D565F">
        <w:t>claiming exemptions from service</w:t>
      </w:r>
    </w:p>
    <w:p w14:paraId="2155CD18" w14:textId="77777777" w:rsidR="00130725" w:rsidRDefault="00130725" w:rsidP="00247BDA">
      <w:pPr>
        <w:pStyle w:val="ListParagraph"/>
      </w:pPr>
      <w:r w:rsidRPr="006D565F">
        <w:t>exiting</w:t>
      </w:r>
      <w:r>
        <w:t xml:space="preserve"> JSA.</w:t>
      </w:r>
    </w:p>
    <w:p w14:paraId="73A9C7BD" w14:textId="77777777" w:rsidR="00130725" w:rsidRPr="00BE7904" w:rsidRDefault="00130725" w:rsidP="00130725">
      <w:r>
        <w:t>Observed spikes for any of these measures coinciding with (or slightly prior to) starting the CAP suggests</w:t>
      </w:r>
      <w:r w:rsidR="00897308">
        <w:t xml:space="preserve"> the existence of </w:t>
      </w:r>
      <w:r>
        <w:t>a threat effect.</w:t>
      </w:r>
    </w:p>
    <w:p w14:paraId="53609C70" w14:textId="77777777" w:rsidR="00130725" w:rsidRPr="000700C9" w:rsidRDefault="00130725" w:rsidP="000700C9">
      <w:pPr>
        <w:pStyle w:val="Heading4"/>
      </w:pPr>
      <w:bookmarkStart w:id="360" w:name="_Toc424632395"/>
      <w:bookmarkStart w:id="361" w:name="_Toc425503661"/>
      <w:bookmarkStart w:id="362" w:name="_Toc432576235"/>
      <w:r w:rsidRPr="00355B5B">
        <w:t>Exiting income support</w:t>
      </w:r>
      <w:bookmarkEnd w:id="360"/>
      <w:bookmarkEnd w:id="361"/>
      <w:bookmarkEnd w:id="362"/>
    </w:p>
    <w:p w14:paraId="3C5E5B6A" w14:textId="77777777" w:rsidR="00130725" w:rsidRDefault="00174A71" w:rsidP="00130725">
      <w:r>
        <w:t>This section examines whether job seekers</w:t>
      </w:r>
      <w:r w:rsidR="00130725">
        <w:t xml:space="preserve"> le</w:t>
      </w:r>
      <w:r>
        <w:t>ft</w:t>
      </w:r>
      <w:r w:rsidR="00130725">
        <w:t xml:space="preserve"> income support as a result of either declaring previous work or increased job search effort and resulting employment</w:t>
      </w:r>
      <w:r w:rsidR="00634447">
        <w:t>,</w:t>
      </w:r>
      <w:r w:rsidRPr="00174A71">
        <w:t xml:space="preserve"> </w:t>
      </w:r>
      <w:r>
        <w:t>just prior to enter</w:t>
      </w:r>
      <w:r w:rsidR="00634447">
        <w:t>ing</w:t>
      </w:r>
      <w:r>
        <w:t xml:space="preserve"> the CAP </w:t>
      </w:r>
      <w:r w:rsidR="00634447">
        <w:t>Phase.</w:t>
      </w:r>
    </w:p>
    <w:p w14:paraId="0AE5CC79" w14:textId="77777777" w:rsidR="00130725" w:rsidRPr="00F93816" w:rsidRDefault="00130725" w:rsidP="00BC326C">
      <w:pPr>
        <w:rPr>
          <w:rStyle w:val="SourceandnotetextChar"/>
          <w:sz w:val="22"/>
          <w:szCs w:val="22"/>
        </w:rPr>
      </w:pPr>
      <w:r>
        <w:rPr>
          <w:rStyle w:val="SourceandnotetextChar"/>
          <w:sz w:val="22"/>
          <w:szCs w:val="22"/>
        </w:rPr>
        <w:t>For the first six to eight weeks, CAP weekly start rates are at their highest. Job seekers in the treatment group were selected because they had been in the WEP</w:t>
      </w:r>
      <w:r w:rsidR="0054199A">
        <w:rPr>
          <w:rStyle w:val="SourceandnotetextChar"/>
          <w:sz w:val="22"/>
          <w:szCs w:val="22"/>
        </w:rPr>
        <w:t>h</w:t>
      </w:r>
      <w:r>
        <w:rPr>
          <w:rStyle w:val="SourceandnotetextChar"/>
          <w:sz w:val="22"/>
          <w:szCs w:val="22"/>
        </w:rPr>
        <w:t xml:space="preserve"> for 300 days and the CAP was due to begin when they had been in the WEP</w:t>
      </w:r>
      <w:r w:rsidR="0054199A">
        <w:rPr>
          <w:rStyle w:val="SourceandnotetextChar"/>
          <w:sz w:val="22"/>
          <w:szCs w:val="22"/>
        </w:rPr>
        <w:t>h</w:t>
      </w:r>
      <w:r>
        <w:rPr>
          <w:rStyle w:val="SourceandnotetextChar"/>
          <w:sz w:val="22"/>
          <w:szCs w:val="22"/>
        </w:rPr>
        <w:t xml:space="preserve"> for 365 days. </w:t>
      </w:r>
      <w:r w:rsidRPr="00F93816">
        <w:rPr>
          <w:rStyle w:val="SourceandnotetextChar"/>
          <w:sz w:val="22"/>
          <w:szCs w:val="22"/>
        </w:rPr>
        <w:t>The</w:t>
      </w:r>
      <w:r>
        <w:rPr>
          <w:rStyle w:val="SourceandnotetextChar"/>
          <w:sz w:val="22"/>
          <w:szCs w:val="22"/>
        </w:rPr>
        <w:t xml:space="preserve"> less steep decline in the CAP starting rates from eight weeks on is a result of providers commencing likely candidates with greater opportunities of being placed in activities as quickly as possible. More difficult to place job seekers, or those with possible exemptions pending, account for the delayed starts and thus, a drop-off in commencements. The dip at 26 weeks is around the Christmas break when most activity drops off.</w:t>
      </w:r>
    </w:p>
    <w:p w14:paraId="2CE20511" w14:textId="77777777" w:rsidR="00130725" w:rsidRDefault="00130725" w:rsidP="00130725">
      <w:r>
        <w:t xml:space="preserve">Figure </w:t>
      </w:r>
      <w:r w:rsidR="00B82E1F">
        <w:t>6.</w:t>
      </w:r>
      <w:r>
        <w:t xml:space="preserve">1 shows no evidence to suggest a threat effect from the increase in compulsory activity imposed by the CAP. In the first ten weeks, the weekly rates of starting the CAP are between </w:t>
      </w:r>
      <w:r w:rsidR="00DF4856">
        <w:t xml:space="preserve">6 </w:t>
      </w:r>
      <w:r>
        <w:t xml:space="preserve">and </w:t>
      </w:r>
      <w:r w:rsidR="00DF4856">
        <w:t xml:space="preserve">8 </w:t>
      </w:r>
      <w:r>
        <w:t xml:space="preserve">per cent while rates of exiting income support are quite flat, remaining at less than </w:t>
      </w:r>
      <w:r w:rsidR="00DF4856">
        <w:t xml:space="preserve">1 </w:t>
      </w:r>
      <w:r>
        <w:t>per cent each week.</w:t>
      </w:r>
    </w:p>
    <w:p w14:paraId="75E91F1C" w14:textId="77777777" w:rsidR="00130725" w:rsidRDefault="00130725" w:rsidP="00793C77">
      <w:pPr>
        <w:pStyle w:val="Figureheadingforcontents"/>
      </w:pPr>
      <w:bookmarkStart w:id="363" w:name="_Toc443152029"/>
      <w:bookmarkStart w:id="364" w:name="_Toc22544040"/>
      <w:r w:rsidRPr="00B57ECD">
        <w:t xml:space="preserve">Figure </w:t>
      </w:r>
      <w:r w:rsidR="00F053E9">
        <w:t>6.</w:t>
      </w:r>
      <w:r w:rsidRPr="00B57ECD">
        <w:t>1:</w:t>
      </w:r>
      <w:r>
        <w:t xml:space="preserve"> Weekly rates of starting the </w:t>
      </w:r>
      <w:r w:rsidR="006D5A09">
        <w:t>Compulsory Activity Phase (</w:t>
      </w:r>
      <w:r>
        <w:t>CAP</w:t>
      </w:r>
      <w:r w:rsidR="006D5A09">
        <w:t>)</w:t>
      </w:r>
      <w:r>
        <w:t xml:space="preserve"> and exiting income support for the treatment group</w:t>
      </w:r>
      <w:bookmarkEnd w:id="363"/>
      <w:bookmarkEnd w:id="364"/>
    </w:p>
    <w:p w14:paraId="0B5B6F62" w14:textId="77777777" w:rsidR="002A0F08" w:rsidRDefault="002A0F08" w:rsidP="0019430D">
      <w:pPr>
        <w:spacing w:after="0"/>
        <w:rPr>
          <w:rStyle w:val="SourceandnotetextChar"/>
          <w:b/>
        </w:rPr>
      </w:pPr>
      <w:r w:rsidRPr="002A0F08">
        <w:rPr>
          <w:noProof/>
          <w:lang w:eastAsia="en-AU"/>
        </w:rPr>
        <w:drawing>
          <wp:inline distT="0" distB="0" distL="0" distR="0" wp14:anchorId="77A7FEC0" wp14:editId="02E50CC8">
            <wp:extent cx="5334000" cy="3901440"/>
            <wp:effectExtent l="0" t="0" r="0" b="3810"/>
            <wp:docPr id="259" name="Picture 259" descr="Line chart showing that while the proportion starting the CAP was between 6 to 8 per cent in the first ten weeks from July 2013 the rates of job seekers exiting income support were quite flat, remaining at less than 1 per cent each week.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0" cy="3901440"/>
                    </a:xfrm>
                    <a:prstGeom prst="rect">
                      <a:avLst/>
                    </a:prstGeom>
                    <a:noFill/>
                    <a:ln>
                      <a:noFill/>
                    </a:ln>
                  </pic:spPr>
                </pic:pic>
              </a:graphicData>
            </a:graphic>
          </wp:inline>
        </w:drawing>
      </w:r>
    </w:p>
    <w:p w14:paraId="4DCCBFF8" w14:textId="77777777" w:rsidR="001D7748" w:rsidRDefault="001D7748" w:rsidP="001D7748">
      <w:pPr>
        <w:pStyle w:val="Notes"/>
        <w:rPr>
          <w:b/>
        </w:rPr>
      </w:pPr>
      <w:bookmarkStart w:id="365" w:name="_Toc424632396"/>
      <w:bookmarkStart w:id="366" w:name="_Toc425503662"/>
      <w:bookmarkStart w:id="367" w:name="_Toc432576236"/>
      <w:r>
        <w:rPr>
          <w:b/>
        </w:rPr>
        <w:t>Note:</w:t>
      </w:r>
      <w:r>
        <w:rPr>
          <w:b/>
        </w:rPr>
        <w:tab/>
      </w:r>
      <w:r w:rsidRPr="001D7748">
        <w:rPr>
          <w:rStyle w:val="NotesChar"/>
        </w:rPr>
        <w:t xml:space="preserve">Refer </w:t>
      </w:r>
      <w:hyperlink w:anchor="Title_A229" w:history="1">
        <w:r w:rsidRPr="00DD4BF4">
          <w:rPr>
            <w:rStyle w:val="Hyperlink"/>
          </w:rPr>
          <w:t>Appendix A</w:t>
        </w:r>
        <w:r w:rsidR="00F75BBA" w:rsidRPr="00DD4BF4">
          <w:rPr>
            <w:rStyle w:val="Hyperlink"/>
          </w:rPr>
          <w:t>2</w:t>
        </w:r>
        <w:r w:rsidRPr="00DD4BF4">
          <w:rPr>
            <w:rStyle w:val="Hyperlink"/>
          </w:rPr>
          <w:t>, Table A2.29</w:t>
        </w:r>
      </w:hyperlink>
      <w:r w:rsidRPr="001D7748">
        <w:rPr>
          <w:rStyle w:val="NotesChar"/>
        </w:rPr>
        <w:t>.</w:t>
      </w:r>
      <w:bookmarkStart w:id="368" w:name="Place_A229"/>
      <w:bookmarkEnd w:id="368"/>
    </w:p>
    <w:p w14:paraId="42ED5DDE" w14:textId="77777777" w:rsidR="007C112F" w:rsidRPr="008F7468" w:rsidRDefault="007C112F" w:rsidP="007C112F">
      <w:pPr>
        <w:pStyle w:val="Source"/>
      </w:pPr>
      <w:r w:rsidRPr="00EC5DCC">
        <w:rPr>
          <w:b/>
        </w:rPr>
        <w:t xml:space="preserve">Source: </w:t>
      </w:r>
      <w:r w:rsidRPr="008F7468">
        <w:rPr>
          <w:b/>
        </w:rPr>
        <w:tab/>
      </w:r>
      <w:r w:rsidRPr="008F7468">
        <w:t>Department of Employment administrative data</w:t>
      </w:r>
      <w:r>
        <w:t xml:space="preserve"> and Research and Evaluation datatset (RED)</w:t>
      </w:r>
      <w:r w:rsidRPr="008F7468">
        <w:t>.</w:t>
      </w:r>
    </w:p>
    <w:p w14:paraId="2736E025" w14:textId="77777777" w:rsidR="00130725" w:rsidRPr="002F0B81" w:rsidRDefault="00130725" w:rsidP="00A00C00">
      <w:pPr>
        <w:pStyle w:val="Heading4"/>
      </w:pPr>
      <w:r w:rsidRPr="00A00C00">
        <w:t>Exemption from service</w:t>
      </w:r>
      <w:bookmarkEnd w:id="365"/>
      <w:bookmarkEnd w:id="366"/>
      <w:bookmarkEnd w:id="367"/>
    </w:p>
    <w:p w14:paraId="7F41C4C1" w14:textId="44D40F4F" w:rsidR="00130725" w:rsidRDefault="00130725" w:rsidP="00793C77">
      <w:r>
        <w:t xml:space="preserve">Overall, </w:t>
      </w:r>
      <w:r w:rsidR="00A45DEF">
        <w:t xml:space="preserve">53.7 per cent of </w:t>
      </w:r>
      <w:r>
        <w:t xml:space="preserve">job seekers </w:t>
      </w:r>
      <w:r w:rsidR="00A45DEF">
        <w:t xml:space="preserve">in the treatment group </w:t>
      </w:r>
      <w:r>
        <w:t xml:space="preserve">had a first exemption in the </w:t>
      </w:r>
      <w:r w:rsidR="0008723A">
        <w:t>18-month</w:t>
      </w:r>
      <w:r>
        <w:t xml:space="preserve"> study period. About 66 per cent of these exemptions were due to health or personal circumstances. A further 28 per cent of exemptions were study or work related. </w:t>
      </w:r>
      <w:hyperlink w:anchor="Title_A230" w:history="1">
        <w:r w:rsidR="00F053E9" w:rsidRPr="00886013">
          <w:rPr>
            <w:rStyle w:val="Hyperlink"/>
          </w:rPr>
          <w:t>Table A2.</w:t>
        </w:r>
        <w:r w:rsidR="001D7748" w:rsidRPr="00886013">
          <w:rPr>
            <w:rStyle w:val="Hyperlink"/>
          </w:rPr>
          <w:t>30</w:t>
        </w:r>
        <w:bookmarkStart w:id="369" w:name="Place_A230"/>
        <w:bookmarkEnd w:id="369"/>
      </w:hyperlink>
      <w:r w:rsidR="00F053E9">
        <w:t xml:space="preserve"> </w:t>
      </w:r>
      <w:r>
        <w:t>provides a list of exemptions from service.</w:t>
      </w:r>
      <w:r w:rsidR="00793C77">
        <w:t xml:space="preserve"> </w:t>
      </w:r>
      <w:r>
        <w:t xml:space="preserve">There is a spike in the rate of exemptions just prior to the spike in the rate of CAP commencements at the beginning of the follow-up period. A further two spikes occur around week 31. This is suggestive of a threat effect; however, the patterns are not consistent enough to be conclusive (Figure </w:t>
      </w:r>
      <w:r w:rsidR="00B82E1F">
        <w:t>6.</w:t>
      </w:r>
      <w:r>
        <w:t xml:space="preserve">2). CAP </w:t>
      </w:r>
      <w:r w:rsidR="00C84926">
        <w:t xml:space="preserve">was </w:t>
      </w:r>
      <w:r>
        <w:t xml:space="preserve">applied to </w:t>
      </w:r>
      <w:r w:rsidR="005E24EF">
        <w:t>very long-term unemployed (</w:t>
      </w:r>
      <w:r>
        <w:t>VLTU</w:t>
      </w:r>
      <w:r w:rsidR="005E24EF">
        <w:t>)</w:t>
      </w:r>
      <w:r>
        <w:t xml:space="preserve"> job seekers, who are also the least likely to have capacity to leave income support or services of their own accord. It is likely then that they opt for an exemption from activities rather than leaving.</w:t>
      </w:r>
    </w:p>
    <w:p w14:paraId="19260DBC" w14:textId="77777777" w:rsidR="00130725" w:rsidRDefault="00130725" w:rsidP="00897308">
      <w:pPr>
        <w:pStyle w:val="Figureheadingforcontents"/>
      </w:pPr>
      <w:bookmarkStart w:id="370" w:name="_Toc443152030"/>
      <w:bookmarkStart w:id="371" w:name="_Toc22544041"/>
      <w:r w:rsidRPr="00C81AD4">
        <w:t xml:space="preserve">Figure </w:t>
      </w:r>
      <w:r w:rsidR="00793C77">
        <w:t>6.</w:t>
      </w:r>
      <w:r w:rsidRPr="00C81AD4">
        <w:t>2</w:t>
      </w:r>
      <w:r>
        <w:t xml:space="preserve">: Weekly rates of starting </w:t>
      </w:r>
      <w:r w:rsidR="006D5A09">
        <w:t xml:space="preserve">the Compulsory Activity Phase (CAP) </w:t>
      </w:r>
      <w:r>
        <w:t>and starting exemption</w:t>
      </w:r>
      <w:r w:rsidRPr="007F6854">
        <w:t xml:space="preserve"> </w:t>
      </w:r>
      <w:r>
        <w:t>for the treatment group</w:t>
      </w:r>
      <w:bookmarkEnd w:id="370"/>
      <w:bookmarkEnd w:id="371"/>
    </w:p>
    <w:p w14:paraId="63E9B53E" w14:textId="77777777" w:rsidR="001D1448" w:rsidRDefault="002A0F08" w:rsidP="0019430D">
      <w:pPr>
        <w:spacing w:after="0"/>
        <w:rPr>
          <w:rStyle w:val="SourceandnotetextChar"/>
          <w:b/>
        </w:rPr>
      </w:pPr>
      <w:bookmarkStart w:id="372" w:name="_Toc396588755"/>
      <w:r w:rsidRPr="002A0F08">
        <w:rPr>
          <w:noProof/>
          <w:lang w:eastAsia="en-AU"/>
        </w:rPr>
        <w:drawing>
          <wp:inline distT="0" distB="0" distL="0" distR="0" wp14:anchorId="2828000B" wp14:editId="21965FFF">
            <wp:extent cx="5250180" cy="3886200"/>
            <wp:effectExtent l="0" t="0" r="7620" b="0"/>
            <wp:docPr id="260" name="Picture 260" descr="Line chart showing that while the proportion of job seekers that started the CAP was between 6 to 8 per cent in the first ten weeks from July 2013 the proportion of job seekers getting exemptions spiked just prior to the spike in CAP commencements in the first few weeks after July 2013, and again around 31 weeks after July 2013, suggesting a threat effect.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50180" cy="3886200"/>
                    </a:xfrm>
                    <a:prstGeom prst="rect">
                      <a:avLst/>
                    </a:prstGeom>
                    <a:noFill/>
                    <a:ln>
                      <a:noFill/>
                    </a:ln>
                  </pic:spPr>
                </pic:pic>
              </a:graphicData>
            </a:graphic>
          </wp:inline>
        </w:drawing>
      </w:r>
    </w:p>
    <w:p w14:paraId="17DB0476" w14:textId="77777777" w:rsidR="001D7748" w:rsidRDefault="001D7748" w:rsidP="001D7748">
      <w:pPr>
        <w:pStyle w:val="Notes"/>
        <w:rPr>
          <w:b/>
        </w:rPr>
      </w:pPr>
      <w:r>
        <w:rPr>
          <w:b/>
        </w:rPr>
        <w:t>Note:</w:t>
      </w:r>
      <w:r>
        <w:rPr>
          <w:b/>
        </w:rPr>
        <w:tab/>
      </w:r>
      <w:r w:rsidRPr="001D7748">
        <w:rPr>
          <w:rStyle w:val="NotesChar"/>
        </w:rPr>
        <w:t xml:space="preserve">Refer </w:t>
      </w:r>
      <w:hyperlink w:anchor="Title_A231" w:history="1">
        <w:r w:rsidRPr="00886013">
          <w:rPr>
            <w:rStyle w:val="Hyperlink"/>
          </w:rPr>
          <w:t>Appendix A</w:t>
        </w:r>
        <w:r w:rsidR="00F75BBA" w:rsidRPr="00886013">
          <w:rPr>
            <w:rStyle w:val="Hyperlink"/>
          </w:rPr>
          <w:t>2</w:t>
        </w:r>
        <w:r w:rsidRPr="00886013">
          <w:rPr>
            <w:rStyle w:val="Hyperlink"/>
          </w:rPr>
          <w:t>, Table A2.31</w:t>
        </w:r>
      </w:hyperlink>
      <w:r w:rsidRPr="001D7748">
        <w:rPr>
          <w:rStyle w:val="NotesChar"/>
        </w:rPr>
        <w:t>.</w:t>
      </w:r>
      <w:bookmarkStart w:id="373" w:name="Place_A231"/>
      <w:bookmarkEnd w:id="373"/>
    </w:p>
    <w:p w14:paraId="4846DCC9" w14:textId="77777777" w:rsidR="00B232B5" w:rsidRPr="008F1B8A" w:rsidRDefault="00130725" w:rsidP="0019430D">
      <w:pPr>
        <w:pStyle w:val="Source"/>
      </w:pPr>
      <w:r w:rsidRPr="008F1B8A">
        <w:rPr>
          <w:rStyle w:val="SourceandnotetextChar"/>
          <w:b/>
        </w:rPr>
        <w:t>Source</w:t>
      </w:r>
      <w:r w:rsidRPr="008F1B8A">
        <w:rPr>
          <w:rStyle w:val="SourceandnotetextChar"/>
        </w:rPr>
        <w:t xml:space="preserve">: Department of Employment </w:t>
      </w:r>
      <w:r w:rsidR="0019430D">
        <w:rPr>
          <w:rStyle w:val="SourceandnotetextChar"/>
        </w:rPr>
        <w:t>a</w:t>
      </w:r>
      <w:r w:rsidRPr="008F1B8A">
        <w:rPr>
          <w:rStyle w:val="SourceandnotetextChar"/>
        </w:rPr>
        <w:t>dministrative data.</w:t>
      </w:r>
      <w:r w:rsidR="00793C77" w:rsidRPr="008F1B8A" w:rsidDel="00793C77">
        <w:t xml:space="preserve"> </w:t>
      </w:r>
      <w:bookmarkStart w:id="374" w:name="_Toc424632398"/>
      <w:bookmarkStart w:id="375" w:name="_Toc425503663"/>
      <w:bookmarkStart w:id="376" w:name="_Toc432576237"/>
    </w:p>
    <w:p w14:paraId="6190F484" w14:textId="77777777" w:rsidR="00130725" w:rsidRPr="00A00C00" w:rsidRDefault="00130725" w:rsidP="008F1B8A">
      <w:pPr>
        <w:pStyle w:val="Heading4"/>
        <w:keepNext w:val="0"/>
      </w:pPr>
      <w:r w:rsidRPr="00A00C00">
        <w:t>Exiting Job Services Australia</w:t>
      </w:r>
      <w:bookmarkEnd w:id="374"/>
      <w:bookmarkEnd w:id="375"/>
      <w:bookmarkEnd w:id="376"/>
    </w:p>
    <w:p w14:paraId="11016291" w14:textId="77777777" w:rsidR="00130725" w:rsidRDefault="00130725" w:rsidP="000F1544">
      <w:r>
        <w:t>A consistent pattern of exits from JSA corresponding to</w:t>
      </w:r>
      <w:r w:rsidR="005E24EF">
        <w:t>,</w:t>
      </w:r>
      <w:r>
        <w:t xml:space="preserve"> or slightly preceding entry to CAP, and prompting exits from service, would be evidence of a threat effect. No such pattern is evident, indicating no evidence of a threat effect (Figure </w:t>
      </w:r>
      <w:r w:rsidR="00B82E1F">
        <w:t>6.</w:t>
      </w:r>
      <w:r>
        <w:t>3).</w:t>
      </w:r>
    </w:p>
    <w:p w14:paraId="7D2F1CC1" w14:textId="77777777" w:rsidR="00550DEF" w:rsidRDefault="00130725" w:rsidP="00CC1D3C">
      <w:pPr>
        <w:pStyle w:val="Figureheadingforcontents"/>
      </w:pPr>
      <w:bookmarkStart w:id="377" w:name="_Toc443152031"/>
      <w:bookmarkStart w:id="378" w:name="_Toc22544042"/>
      <w:r w:rsidRPr="00C81AD4">
        <w:t>Figure</w:t>
      </w:r>
      <w:r w:rsidR="003C29A5">
        <w:t xml:space="preserve"> 6.</w:t>
      </w:r>
      <w:r>
        <w:t xml:space="preserve">3: Weekly rates of starting </w:t>
      </w:r>
      <w:r w:rsidR="006D5A09">
        <w:t xml:space="preserve">the Compulsory Activity Phase (CAP) </w:t>
      </w:r>
      <w:r>
        <w:t>and exiting JSA</w:t>
      </w:r>
      <w:r w:rsidRPr="007F6854">
        <w:t xml:space="preserve"> </w:t>
      </w:r>
      <w:r>
        <w:t>for the treatment group</w:t>
      </w:r>
      <w:bookmarkEnd w:id="377"/>
      <w:bookmarkEnd w:id="378"/>
    </w:p>
    <w:p w14:paraId="136F0E47" w14:textId="77777777" w:rsidR="002A0F08" w:rsidRDefault="002A0F08" w:rsidP="0019430D">
      <w:pPr>
        <w:pStyle w:val="Body"/>
        <w:spacing w:after="0"/>
        <w:ind w:left="0"/>
        <w:rPr>
          <w:rStyle w:val="tableheading"/>
          <w:rFonts w:cstheme="minorBidi"/>
          <w:b w:val="0"/>
          <w:bCs w:val="0"/>
          <w:color w:val="auto"/>
          <w:lang w:val="en-AU"/>
        </w:rPr>
      </w:pPr>
      <w:r w:rsidRPr="002A0F08">
        <w:rPr>
          <w:noProof/>
          <w:lang w:eastAsia="en-AU"/>
        </w:rPr>
        <w:drawing>
          <wp:inline distT="0" distB="0" distL="0" distR="0" wp14:anchorId="20ED7462" wp14:editId="509696A9">
            <wp:extent cx="5234940" cy="3962400"/>
            <wp:effectExtent l="0" t="0" r="3810" b="0"/>
            <wp:docPr id="261" name="Picture 261" descr="Line chart showing no evidence of a relationship between the threat of entry to CAP and job seeker exits from service. The exit JSA line is fairly constant ranging from 0.4 to 0.9 per cent in the 18 months after July 2013, while the Start CAP line peaks in July 2013 and then declines over the first 9 months or so.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34940" cy="3962400"/>
                    </a:xfrm>
                    <a:prstGeom prst="rect">
                      <a:avLst/>
                    </a:prstGeom>
                    <a:noFill/>
                    <a:ln>
                      <a:noFill/>
                    </a:ln>
                  </pic:spPr>
                </pic:pic>
              </a:graphicData>
            </a:graphic>
          </wp:inline>
        </w:drawing>
      </w:r>
    </w:p>
    <w:p w14:paraId="26837E81" w14:textId="77777777" w:rsidR="001D7748" w:rsidRDefault="001D7748" w:rsidP="001D7748">
      <w:pPr>
        <w:pStyle w:val="Notes"/>
        <w:rPr>
          <w:b/>
        </w:rPr>
      </w:pPr>
      <w:r>
        <w:rPr>
          <w:b/>
        </w:rPr>
        <w:t>Note:</w:t>
      </w:r>
      <w:r>
        <w:rPr>
          <w:b/>
        </w:rPr>
        <w:tab/>
      </w:r>
      <w:r>
        <w:rPr>
          <w:rStyle w:val="NotesChar"/>
        </w:rPr>
        <w:t xml:space="preserve">Refer </w:t>
      </w:r>
      <w:hyperlink w:anchor="Title_A232" w:history="1">
        <w:r w:rsidRPr="00886013">
          <w:rPr>
            <w:rStyle w:val="Hyperlink"/>
          </w:rPr>
          <w:t>Appendix A</w:t>
        </w:r>
        <w:r w:rsidR="00F75BBA" w:rsidRPr="00886013">
          <w:rPr>
            <w:rStyle w:val="Hyperlink"/>
          </w:rPr>
          <w:t>2</w:t>
        </w:r>
        <w:r w:rsidRPr="00886013">
          <w:rPr>
            <w:rStyle w:val="Hyperlink"/>
          </w:rPr>
          <w:t>, Table A2.32</w:t>
        </w:r>
      </w:hyperlink>
      <w:r w:rsidRPr="001D7748">
        <w:rPr>
          <w:rStyle w:val="NotesChar"/>
        </w:rPr>
        <w:t>.</w:t>
      </w:r>
      <w:bookmarkStart w:id="379" w:name="Place_A232"/>
      <w:bookmarkEnd w:id="379"/>
    </w:p>
    <w:p w14:paraId="1D98E3FF" w14:textId="1C329927" w:rsidR="00130725" w:rsidRPr="00897308" w:rsidRDefault="00130725" w:rsidP="0033478B">
      <w:pPr>
        <w:pStyle w:val="Source"/>
      </w:pPr>
      <w:r w:rsidRPr="00897308">
        <w:rPr>
          <w:b/>
        </w:rPr>
        <w:t>Source</w:t>
      </w:r>
      <w:r w:rsidRPr="00897308">
        <w:t xml:space="preserve">: </w:t>
      </w:r>
      <w:r w:rsidR="006149DB">
        <w:tab/>
      </w:r>
      <w:r w:rsidRPr="00897308">
        <w:t xml:space="preserve">Department of Employment </w:t>
      </w:r>
      <w:r w:rsidR="0019430D">
        <w:t>a</w:t>
      </w:r>
      <w:r w:rsidRPr="00897308">
        <w:t>dministrative data.</w:t>
      </w:r>
    </w:p>
    <w:p w14:paraId="0D6F6BE8" w14:textId="77777777" w:rsidR="00130725" w:rsidRPr="001F3E3A" w:rsidRDefault="00130725" w:rsidP="00897308">
      <w:pPr>
        <w:pStyle w:val="Heading4"/>
      </w:pPr>
      <w:bookmarkStart w:id="380" w:name="_Toc432576238"/>
      <w:r w:rsidRPr="00A00C00">
        <w:t>Discussion</w:t>
      </w:r>
      <w:bookmarkEnd w:id="380"/>
    </w:p>
    <w:p w14:paraId="068B5497" w14:textId="77777777" w:rsidR="00130725" w:rsidRDefault="00130725" w:rsidP="00130725">
      <w:r>
        <w:t xml:space="preserve">The above </w:t>
      </w:r>
      <w:r w:rsidR="00E74A80">
        <w:t xml:space="preserve">analyses </w:t>
      </w:r>
      <w:r>
        <w:t>relies heavily on the assumption that the timing of exiting income support, claiming exemption or exiting JSA is in anticipation of upcoming increased obligations, that is, that the CAP exerted a ‘threat effect’. It also assumes that job seekers were in a position to respond to the threat of upcoming obligations by leaving income support and/or finding work. Given the income support status and length of unemployment of the treatment group, this assumption may not hold</w:t>
      </w:r>
      <w:r w:rsidR="00E74A80">
        <w:t>. J</w:t>
      </w:r>
      <w:r>
        <w:t>ob seekers might not be able to exit income support and therefore exit provider services (as provider services are compulsory for income support recipients). This could be why any threat or avoidance which appears to exist pertains to exemptions (though this is not unequivocal in the data).</w:t>
      </w:r>
    </w:p>
    <w:p w14:paraId="2A38C5E7" w14:textId="77777777" w:rsidR="00130725" w:rsidRPr="00E74A80" w:rsidRDefault="00B232B5" w:rsidP="00E74A80">
      <w:pPr>
        <w:pStyle w:val="Heading3"/>
        <w:rPr>
          <w:b w:val="0"/>
        </w:rPr>
      </w:pPr>
      <w:bookmarkStart w:id="381" w:name="_Toc424632405"/>
      <w:bookmarkStart w:id="382" w:name="_Toc425503665"/>
      <w:bookmarkStart w:id="383" w:name="_Toc432576239"/>
      <w:bookmarkStart w:id="384" w:name="_Toc22543105"/>
      <w:r w:rsidRPr="00E74A80">
        <w:rPr>
          <w:rStyle w:val="Heading3Char"/>
          <w:b/>
        </w:rPr>
        <w:t>6.</w:t>
      </w:r>
      <w:r w:rsidR="00136E6B">
        <w:rPr>
          <w:rStyle w:val="Heading3Char"/>
          <w:b/>
        </w:rPr>
        <w:t>2</w:t>
      </w:r>
      <w:r w:rsidRPr="00E74A80">
        <w:rPr>
          <w:rStyle w:val="Heading3Char"/>
          <w:b/>
        </w:rPr>
        <w:t>.2</w:t>
      </w:r>
      <w:r w:rsidRPr="00E74A80">
        <w:rPr>
          <w:rStyle w:val="Heading3Char"/>
          <w:b/>
        </w:rPr>
        <w:tab/>
      </w:r>
      <w:r w:rsidR="00130725" w:rsidRPr="00E74A80">
        <w:rPr>
          <w:rStyle w:val="Heading3Char"/>
          <w:b/>
        </w:rPr>
        <w:t>What is the overall impact of the Compulsory Activity Phase</w:t>
      </w:r>
      <w:bookmarkEnd w:id="381"/>
      <w:bookmarkEnd w:id="382"/>
      <w:r w:rsidR="00130725" w:rsidRPr="00E74A80">
        <w:rPr>
          <w:rStyle w:val="Heading3Char"/>
          <w:b/>
        </w:rPr>
        <w:t xml:space="preserve"> over 18 months</w:t>
      </w:r>
      <w:bookmarkEnd w:id="383"/>
      <w:bookmarkEnd w:id="384"/>
    </w:p>
    <w:p w14:paraId="5F0CE65D" w14:textId="77777777" w:rsidR="00130725" w:rsidRDefault="00130725" w:rsidP="00130725">
      <w:r>
        <w:t>This analysis tracks job seekers in the treatment (July 2013)</w:t>
      </w:r>
      <w:r w:rsidRPr="004A3C86">
        <w:t xml:space="preserve"> </w:t>
      </w:r>
      <w:r>
        <w:t>and comparison (July 2010) groups for their income support payment status for 18 months. Job seekers in the comparison group remained in JSA services at least until the end of December 2010. Job seekers in the treatment group who had started their CAP in the last six months of 2013 (that is, before or on 31 December 2013) were included in the analysis.</w:t>
      </w:r>
      <w:r w:rsidR="00B232B5">
        <w:t xml:space="preserve"> Descriptions of the treatment and control groups, as well as </w:t>
      </w:r>
      <w:r w:rsidR="00E74A80">
        <w:t>further</w:t>
      </w:r>
      <w:r w:rsidR="00B232B5">
        <w:t xml:space="preserve"> detail on the methodology are in Appendix B4</w:t>
      </w:r>
      <w:r w:rsidR="00B53009">
        <w:t>.</w:t>
      </w:r>
    </w:p>
    <w:p w14:paraId="0CEE6783" w14:textId="77777777" w:rsidR="00130725" w:rsidRDefault="00B232B5" w:rsidP="00897308">
      <w:pPr>
        <w:pStyle w:val="Heading4"/>
      </w:pPr>
      <w:bookmarkStart w:id="385" w:name="_Toc424632407"/>
      <w:bookmarkStart w:id="386" w:name="_Toc425503667"/>
      <w:bookmarkStart w:id="387" w:name="_Toc432576241"/>
      <w:r>
        <w:t xml:space="preserve">Income support </w:t>
      </w:r>
      <w:bookmarkEnd w:id="385"/>
      <w:bookmarkEnd w:id="386"/>
      <w:bookmarkEnd w:id="387"/>
      <w:r>
        <w:t>rates</w:t>
      </w:r>
      <w:r w:rsidR="00E74A80">
        <w:t xml:space="preserve"> – predicted exits</w:t>
      </w:r>
    </w:p>
    <w:p w14:paraId="3105CB62" w14:textId="77777777" w:rsidR="00130725" w:rsidRDefault="00130725" w:rsidP="00130725">
      <w:r>
        <w:t xml:space="preserve">The actual (raw or unregressed) rates of exiting income support are not comparable between the treatment and comparison groups because </w:t>
      </w:r>
      <w:r w:rsidR="00E74A80">
        <w:t xml:space="preserve">of variations in </w:t>
      </w:r>
      <w:r>
        <w:t>job seeker characteristics between the two groups (</w:t>
      </w:r>
      <w:hyperlink w:anchor="Title_A14a" w:history="1">
        <w:r w:rsidRPr="005F7891">
          <w:rPr>
            <w:rStyle w:val="Hyperlink"/>
          </w:rPr>
          <w:t xml:space="preserve">Table </w:t>
        </w:r>
        <w:r w:rsidR="00A85C10" w:rsidRPr="005F7891">
          <w:rPr>
            <w:rStyle w:val="Hyperlink"/>
          </w:rPr>
          <w:t>A</w:t>
        </w:r>
        <w:r w:rsidR="00F75BBA" w:rsidRPr="005F7891">
          <w:rPr>
            <w:rStyle w:val="Hyperlink"/>
          </w:rPr>
          <w:t>1.4</w:t>
        </w:r>
      </w:hyperlink>
      <w:r>
        <w:t>)</w:t>
      </w:r>
      <w:bookmarkStart w:id="388" w:name="Place_A14"/>
      <w:bookmarkEnd w:id="388"/>
      <w:r>
        <w:t>.</w:t>
      </w:r>
    </w:p>
    <w:p w14:paraId="46582A52" w14:textId="77777777" w:rsidR="00295B42" w:rsidRDefault="00130725" w:rsidP="00295B42">
      <w:r>
        <w:t xml:space="preserve">The </w:t>
      </w:r>
      <w:r w:rsidR="00A85C10">
        <w:t xml:space="preserve">regression </w:t>
      </w:r>
      <w:r>
        <w:t>methodology used to obtain the predicted rates of exit</w:t>
      </w:r>
      <w:r w:rsidR="00E74A80">
        <w:t xml:space="preserve"> from</w:t>
      </w:r>
      <w:r>
        <w:t xml:space="preserve"> income support for the comparison group implies that the difference between the actual and predicted rates </w:t>
      </w:r>
      <w:r w:rsidR="00E74A80">
        <w:t xml:space="preserve">for this group </w:t>
      </w:r>
      <w:r>
        <w:t>capture the impact of the CAP.</w:t>
      </w:r>
      <w:r w:rsidR="00423440">
        <w:t xml:space="preserve"> Details of the significant variables used in the final regression model are shown in </w:t>
      </w:r>
      <w:hyperlink w:anchor="Title_A233" w:history="1">
        <w:r w:rsidR="00423440" w:rsidRPr="005F7891">
          <w:rPr>
            <w:rStyle w:val="Hyperlink"/>
          </w:rPr>
          <w:t>Table A2.</w:t>
        </w:r>
        <w:r w:rsidR="001D7748" w:rsidRPr="005F7891">
          <w:rPr>
            <w:rStyle w:val="Hyperlink"/>
          </w:rPr>
          <w:t>33</w:t>
        </w:r>
      </w:hyperlink>
      <w:r w:rsidR="00423440">
        <w:t>.</w:t>
      </w:r>
      <w:bookmarkStart w:id="389" w:name="Place_A233"/>
      <w:bookmarkEnd w:id="389"/>
    </w:p>
    <w:p w14:paraId="3F5C5CB6" w14:textId="4DFFE26F" w:rsidR="00295B42" w:rsidRDefault="00295B42" w:rsidP="00295B42">
      <w:r>
        <w:t>The modelling shows the predicted outcomes of the comparison group if they had been subject to the CAP (Table 6.2). The higher predicted proportions of job seekers exiting income support in the first six months is likely a response to the threat of increased obligations when job seekers enter the CAP. The evident changes in rates are less than one percentage point and it appears that this is the extent of any threat effect of the CAP.</w:t>
      </w:r>
    </w:p>
    <w:p w14:paraId="555D928D" w14:textId="77777777" w:rsidR="00130725" w:rsidRPr="00A01771" w:rsidRDefault="00130725" w:rsidP="00897308">
      <w:pPr>
        <w:pStyle w:val="Tableforcontents"/>
        <w:rPr>
          <w:rStyle w:val="tableheading"/>
          <w:rFonts w:cstheme="majorBidi"/>
          <w:b/>
          <w:bCs w:val="0"/>
          <w:color w:val="auto"/>
          <w:lang w:val="en-AU"/>
        </w:rPr>
      </w:pPr>
      <w:bookmarkStart w:id="390" w:name="_Toc22543993"/>
      <w:r>
        <w:t xml:space="preserve">Table </w:t>
      </w:r>
      <w:r w:rsidR="00A85C10">
        <w:t>6.2</w:t>
      </w:r>
      <w:r>
        <w:rPr>
          <w:noProof/>
        </w:rPr>
        <w:t>: Proportion of job seekers getting off income support — actual and predicted</w:t>
      </w:r>
      <w:r w:rsidR="00CC1EFF">
        <w:rPr>
          <w:noProof/>
        </w:rPr>
        <w:t xml:space="preserve"> (per cent and ppt)</w:t>
      </w:r>
      <w:bookmarkEnd w:id="390"/>
    </w:p>
    <w:tbl>
      <w:tblPr>
        <w:tblStyle w:val="DEEWRTable"/>
        <w:tblW w:w="0" w:type="auto"/>
        <w:tblLayout w:type="fixed"/>
        <w:tblLook w:val="0420" w:firstRow="1" w:lastRow="0" w:firstColumn="0" w:lastColumn="0" w:noHBand="0" w:noVBand="1"/>
      </w:tblPr>
      <w:tblGrid>
        <w:gridCol w:w="1668"/>
        <w:gridCol w:w="2126"/>
        <w:gridCol w:w="1843"/>
        <w:gridCol w:w="1985"/>
        <w:gridCol w:w="1559"/>
      </w:tblGrid>
      <w:tr w:rsidR="00CC1EFF" w:rsidRPr="00CC1EFF" w14:paraId="6F94263B" w14:textId="77777777" w:rsidTr="00CC1EFF">
        <w:trPr>
          <w:cnfStyle w:val="100000000000" w:firstRow="1" w:lastRow="0" w:firstColumn="0" w:lastColumn="0" w:oddVBand="0" w:evenVBand="0" w:oddHBand="0" w:evenHBand="0" w:firstRowFirstColumn="0" w:firstRowLastColumn="0" w:lastRowFirstColumn="0" w:lastRowLastColumn="0"/>
        </w:trPr>
        <w:tc>
          <w:tcPr>
            <w:tcW w:w="1668" w:type="dxa"/>
            <w:tcBorders>
              <w:top w:val="nil"/>
            </w:tcBorders>
            <w:shd w:val="clear" w:color="auto" w:fill="1E3D6B"/>
          </w:tcPr>
          <w:p w14:paraId="01CBFC4D" w14:textId="77777777" w:rsidR="00130725" w:rsidRPr="00CC1EFF" w:rsidRDefault="00CC1EFF" w:rsidP="00F61D3B">
            <w:pPr>
              <w:pStyle w:val="TableBody1"/>
              <w:keepNext/>
              <w:keepLines/>
              <w:rPr>
                <w:color w:val="auto"/>
              </w:rPr>
            </w:pPr>
            <w:bookmarkStart w:id="391" w:name="Title_62"/>
            <w:bookmarkEnd w:id="391"/>
            <w:r>
              <w:rPr>
                <w:color w:val="auto"/>
              </w:rPr>
              <w:t>Months</w:t>
            </w:r>
            <w:r w:rsidR="00866348">
              <w:rPr>
                <w:color w:val="auto"/>
              </w:rPr>
              <w:t xml:space="preserve"> </w:t>
            </w:r>
            <w:r w:rsidR="00866348" w:rsidRPr="00866348">
              <w:rPr>
                <w:color w:val="auto"/>
                <w:vertAlign w:val="superscript"/>
              </w:rPr>
              <w:t>(1)</w:t>
            </w:r>
          </w:p>
        </w:tc>
        <w:tc>
          <w:tcPr>
            <w:tcW w:w="2126" w:type="dxa"/>
            <w:tcBorders>
              <w:top w:val="nil"/>
            </w:tcBorders>
            <w:shd w:val="clear" w:color="auto" w:fill="1E3D6B"/>
          </w:tcPr>
          <w:p w14:paraId="099AB79E" w14:textId="77777777" w:rsidR="00130725" w:rsidRDefault="00CC1EFF" w:rsidP="00CC1EFF">
            <w:pPr>
              <w:pStyle w:val="TableBoby3"/>
              <w:keepNext/>
              <w:keepLines/>
              <w:rPr>
                <w:color w:val="auto"/>
              </w:rPr>
            </w:pPr>
            <w:r>
              <w:rPr>
                <w:color w:val="auto"/>
              </w:rPr>
              <w:t>Treatment group</w:t>
            </w:r>
            <w:r w:rsidRPr="00CC1EFF">
              <w:rPr>
                <w:color w:val="auto"/>
              </w:rPr>
              <w:br/>
            </w:r>
            <w:r w:rsidR="00130725" w:rsidRPr="00CC1EFF">
              <w:rPr>
                <w:color w:val="auto"/>
              </w:rPr>
              <w:t>Actual</w:t>
            </w:r>
          </w:p>
          <w:p w14:paraId="0F82F13C" w14:textId="77777777" w:rsidR="00CC1EFF" w:rsidRPr="00CC1EFF" w:rsidRDefault="00CC1EFF" w:rsidP="00CC1EFF">
            <w:pPr>
              <w:pStyle w:val="TableBoby3"/>
              <w:keepNext/>
              <w:keepLines/>
              <w:rPr>
                <w:color w:val="auto"/>
              </w:rPr>
            </w:pPr>
            <w:r>
              <w:rPr>
                <w:color w:val="auto"/>
              </w:rPr>
              <w:t>(%)</w:t>
            </w:r>
          </w:p>
        </w:tc>
        <w:tc>
          <w:tcPr>
            <w:tcW w:w="1843" w:type="dxa"/>
            <w:tcBorders>
              <w:top w:val="nil"/>
            </w:tcBorders>
            <w:shd w:val="clear" w:color="auto" w:fill="1E3D6B"/>
          </w:tcPr>
          <w:p w14:paraId="2D6D442F" w14:textId="77777777" w:rsidR="00130725" w:rsidRPr="00CC1EFF" w:rsidRDefault="00CC1EFF" w:rsidP="00CC1EFF">
            <w:pPr>
              <w:pStyle w:val="TableBoby3"/>
              <w:keepNext/>
              <w:keepLines/>
              <w:rPr>
                <w:color w:val="auto"/>
              </w:rPr>
            </w:pPr>
            <w:r w:rsidRPr="00CC1EFF">
              <w:rPr>
                <w:color w:val="auto"/>
              </w:rPr>
              <w:t>Comparison group</w:t>
            </w:r>
            <w:r>
              <w:rPr>
                <w:color w:val="auto"/>
              </w:rPr>
              <w:br/>
            </w:r>
            <w:r w:rsidR="00130725" w:rsidRPr="00CC1EFF">
              <w:rPr>
                <w:color w:val="auto"/>
              </w:rPr>
              <w:t>Actual</w:t>
            </w:r>
            <w:r>
              <w:rPr>
                <w:color w:val="auto"/>
              </w:rPr>
              <w:br/>
              <w:t>(%)</w:t>
            </w:r>
          </w:p>
        </w:tc>
        <w:tc>
          <w:tcPr>
            <w:tcW w:w="1985" w:type="dxa"/>
            <w:tcBorders>
              <w:top w:val="nil"/>
            </w:tcBorders>
            <w:shd w:val="clear" w:color="auto" w:fill="1E3D6B"/>
          </w:tcPr>
          <w:p w14:paraId="53DD8EE9" w14:textId="77777777" w:rsidR="00130725" w:rsidRPr="00CC1EFF" w:rsidRDefault="00CC1EFF" w:rsidP="00CC1EFF">
            <w:pPr>
              <w:pStyle w:val="TableBoby3"/>
              <w:keepNext/>
              <w:keepLines/>
              <w:rPr>
                <w:color w:val="auto"/>
              </w:rPr>
            </w:pPr>
            <w:r w:rsidRPr="00CC1EFF">
              <w:rPr>
                <w:color w:val="auto"/>
              </w:rPr>
              <w:t>Comparison group</w:t>
            </w:r>
            <w:r>
              <w:rPr>
                <w:color w:val="auto"/>
              </w:rPr>
              <w:br/>
            </w:r>
            <w:r w:rsidR="00130725" w:rsidRPr="00CC1EFF">
              <w:rPr>
                <w:color w:val="auto"/>
              </w:rPr>
              <w:t>Predicted</w:t>
            </w:r>
            <w:r>
              <w:rPr>
                <w:color w:val="auto"/>
              </w:rPr>
              <w:br/>
              <w:t>(%)</w:t>
            </w:r>
          </w:p>
        </w:tc>
        <w:tc>
          <w:tcPr>
            <w:tcW w:w="1559" w:type="dxa"/>
            <w:tcBorders>
              <w:top w:val="nil"/>
            </w:tcBorders>
            <w:shd w:val="clear" w:color="auto" w:fill="1E3D6B"/>
          </w:tcPr>
          <w:p w14:paraId="75C05BF1" w14:textId="77777777" w:rsidR="00130725" w:rsidRPr="00CC1EFF" w:rsidRDefault="00CC1EFF" w:rsidP="00CC1EFF">
            <w:pPr>
              <w:pStyle w:val="Tablebody2"/>
              <w:keepNext/>
              <w:keepLines/>
              <w:jc w:val="center"/>
              <w:rPr>
                <w:color w:val="auto"/>
              </w:rPr>
            </w:pPr>
            <w:r>
              <w:rPr>
                <w:color w:val="auto"/>
              </w:rPr>
              <w:t>Difference</w:t>
            </w:r>
            <w:r>
              <w:rPr>
                <w:color w:val="auto"/>
              </w:rPr>
              <w:br/>
              <w:t>(ppt)</w:t>
            </w:r>
          </w:p>
        </w:tc>
      </w:tr>
      <w:tr w:rsidR="00130725" w14:paraId="3480C107" w14:textId="77777777" w:rsidTr="00CC1EFF">
        <w:trPr>
          <w:trHeight w:hRule="exact" w:val="284"/>
        </w:trPr>
        <w:tc>
          <w:tcPr>
            <w:tcW w:w="1668" w:type="dxa"/>
            <w:vAlign w:val="center"/>
          </w:tcPr>
          <w:p w14:paraId="218BA50A" w14:textId="77777777" w:rsidR="00130725" w:rsidRDefault="00130725" w:rsidP="00F61D3B">
            <w:pPr>
              <w:pStyle w:val="TableBody1"/>
              <w:keepNext/>
              <w:keepLines/>
            </w:pPr>
            <w:r>
              <w:t>3 months</w:t>
            </w:r>
          </w:p>
        </w:tc>
        <w:tc>
          <w:tcPr>
            <w:tcW w:w="2126" w:type="dxa"/>
            <w:vAlign w:val="center"/>
          </w:tcPr>
          <w:p w14:paraId="05473100" w14:textId="77777777" w:rsidR="00130725" w:rsidRPr="008422D4" w:rsidRDefault="00130725" w:rsidP="00F61D3B">
            <w:pPr>
              <w:pStyle w:val="Tablebody2"/>
              <w:keepNext/>
              <w:keepLines/>
              <w:jc w:val="center"/>
            </w:pPr>
            <w:r w:rsidRPr="008422D4">
              <w:t>3.6</w:t>
            </w:r>
          </w:p>
        </w:tc>
        <w:tc>
          <w:tcPr>
            <w:tcW w:w="1843" w:type="dxa"/>
            <w:vAlign w:val="center"/>
          </w:tcPr>
          <w:p w14:paraId="172F819A" w14:textId="77777777" w:rsidR="00130725" w:rsidRPr="008422D4" w:rsidRDefault="00130725" w:rsidP="00CC1EFF">
            <w:pPr>
              <w:pStyle w:val="Tablebody2"/>
              <w:keepNext/>
              <w:keepLines/>
              <w:ind w:right="616"/>
            </w:pPr>
            <w:r w:rsidRPr="008422D4">
              <w:t>1.1</w:t>
            </w:r>
          </w:p>
        </w:tc>
        <w:tc>
          <w:tcPr>
            <w:tcW w:w="1985" w:type="dxa"/>
            <w:vAlign w:val="center"/>
          </w:tcPr>
          <w:p w14:paraId="148BB80E" w14:textId="77777777" w:rsidR="00130725" w:rsidRPr="008422D4" w:rsidRDefault="00130725" w:rsidP="00CC1EFF">
            <w:pPr>
              <w:pStyle w:val="Tablebody2"/>
              <w:keepNext/>
              <w:keepLines/>
              <w:ind w:right="616"/>
            </w:pPr>
            <w:r w:rsidRPr="008422D4">
              <w:t>1.6</w:t>
            </w:r>
          </w:p>
        </w:tc>
        <w:tc>
          <w:tcPr>
            <w:tcW w:w="1559" w:type="dxa"/>
            <w:vAlign w:val="center"/>
          </w:tcPr>
          <w:p w14:paraId="4F20B306" w14:textId="77777777" w:rsidR="00130725" w:rsidRPr="0004482C" w:rsidRDefault="00130725" w:rsidP="00CC1EFF">
            <w:pPr>
              <w:pStyle w:val="Tablebody2"/>
              <w:keepNext/>
              <w:keepLines/>
              <w:ind w:right="498"/>
            </w:pPr>
            <w:r w:rsidRPr="0004482C">
              <w:t>0.5</w:t>
            </w:r>
          </w:p>
        </w:tc>
      </w:tr>
      <w:tr w:rsidR="00130725" w14:paraId="59377B60" w14:textId="77777777" w:rsidTr="00CC1EFF">
        <w:trPr>
          <w:trHeight w:hRule="exact" w:val="284"/>
        </w:trPr>
        <w:tc>
          <w:tcPr>
            <w:tcW w:w="1668" w:type="dxa"/>
            <w:shd w:val="clear" w:color="auto" w:fill="E5E5E5" w:themeFill="background1" w:themeFillTint="33"/>
            <w:vAlign w:val="center"/>
          </w:tcPr>
          <w:p w14:paraId="4A79E6D6" w14:textId="77777777" w:rsidR="00130725" w:rsidRDefault="00130725" w:rsidP="00F61D3B">
            <w:pPr>
              <w:pStyle w:val="TableBody1"/>
              <w:keepNext/>
              <w:keepLines/>
            </w:pPr>
            <w:r>
              <w:t>6 months</w:t>
            </w:r>
          </w:p>
        </w:tc>
        <w:tc>
          <w:tcPr>
            <w:tcW w:w="2126" w:type="dxa"/>
            <w:shd w:val="clear" w:color="auto" w:fill="E5E5E5" w:themeFill="background1" w:themeFillTint="33"/>
            <w:vAlign w:val="center"/>
          </w:tcPr>
          <w:p w14:paraId="4199698C" w14:textId="77777777" w:rsidR="00130725" w:rsidRPr="008422D4" w:rsidRDefault="00130725" w:rsidP="00F61D3B">
            <w:pPr>
              <w:pStyle w:val="Tablebody2"/>
              <w:keepNext/>
              <w:keepLines/>
              <w:jc w:val="center"/>
            </w:pPr>
            <w:r w:rsidRPr="008422D4">
              <w:t>7.9</w:t>
            </w:r>
          </w:p>
        </w:tc>
        <w:tc>
          <w:tcPr>
            <w:tcW w:w="1843" w:type="dxa"/>
            <w:shd w:val="clear" w:color="auto" w:fill="E5E5E5" w:themeFill="background1" w:themeFillTint="33"/>
            <w:vAlign w:val="center"/>
          </w:tcPr>
          <w:p w14:paraId="3572F67A" w14:textId="77777777" w:rsidR="00130725" w:rsidRPr="008422D4" w:rsidRDefault="00130725" w:rsidP="00CC1EFF">
            <w:pPr>
              <w:pStyle w:val="Tablebody2"/>
              <w:keepNext/>
              <w:keepLines/>
              <w:ind w:right="616"/>
            </w:pPr>
            <w:r w:rsidRPr="008422D4">
              <w:t>2.9</w:t>
            </w:r>
          </w:p>
        </w:tc>
        <w:tc>
          <w:tcPr>
            <w:tcW w:w="1985" w:type="dxa"/>
            <w:shd w:val="clear" w:color="auto" w:fill="E5E5E5" w:themeFill="background1" w:themeFillTint="33"/>
            <w:vAlign w:val="center"/>
          </w:tcPr>
          <w:p w14:paraId="16667F43" w14:textId="77777777" w:rsidR="00130725" w:rsidRPr="008422D4" w:rsidRDefault="00130725" w:rsidP="00CC1EFF">
            <w:pPr>
              <w:pStyle w:val="Tablebody2"/>
              <w:keepNext/>
              <w:keepLines/>
              <w:ind w:right="616"/>
            </w:pPr>
            <w:r w:rsidRPr="008422D4">
              <w:t>3.5</w:t>
            </w:r>
          </w:p>
        </w:tc>
        <w:tc>
          <w:tcPr>
            <w:tcW w:w="1559" w:type="dxa"/>
            <w:shd w:val="clear" w:color="auto" w:fill="E5E5E5" w:themeFill="background1" w:themeFillTint="33"/>
            <w:vAlign w:val="center"/>
          </w:tcPr>
          <w:p w14:paraId="752CF81E" w14:textId="77777777" w:rsidR="00130725" w:rsidRPr="0004482C" w:rsidRDefault="00130725" w:rsidP="00CC1EFF">
            <w:pPr>
              <w:pStyle w:val="Tablebody2"/>
              <w:keepNext/>
              <w:keepLines/>
              <w:ind w:right="498"/>
            </w:pPr>
            <w:r w:rsidRPr="0004482C">
              <w:t>0.7</w:t>
            </w:r>
          </w:p>
        </w:tc>
      </w:tr>
      <w:tr w:rsidR="00130725" w14:paraId="29F63349" w14:textId="77777777" w:rsidTr="00CC1EFF">
        <w:trPr>
          <w:trHeight w:hRule="exact" w:val="284"/>
        </w:trPr>
        <w:tc>
          <w:tcPr>
            <w:tcW w:w="1668" w:type="dxa"/>
            <w:vAlign w:val="center"/>
          </w:tcPr>
          <w:p w14:paraId="4085020B" w14:textId="77777777" w:rsidR="00130725" w:rsidRDefault="00130725" w:rsidP="00F61D3B">
            <w:pPr>
              <w:pStyle w:val="TableBody1"/>
              <w:keepNext/>
              <w:keepLines/>
            </w:pPr>
            <w:r>
              <w:t>9 months</w:t>
            </w:r>
          </w:p>
        </w:tc>
        <w:tc>
          <w:tcPr>
            <w:tcW w:w="2126" w:type="dxa"/>
            <w:vAlign w:val="center"/>
          </w:tcPr>
          <w:p w14:paraId="49AC369D" w14:textId="77777777" w:rsidR="00130725" w:rsidRPr="008422D4" w:rsidRDefault="00130725" w:rsidP="00F61D3B">
            <w:pPr>
              <w:pStyle w:val="Tablebody2"/>
              <w:keepNext/>
              <w:keepLines/>
              <w:jc w:val="center"/>
            </w:pPr>
            <w:r w:rsidRPr="008422D4">
              <w:t>11.6</w:t>
            </w:r>
          </w:p>
        </w:tc>
        <w:tc>
          <w:tcPr>
            <w:tcW w:w="1843" w:type="dxa"/>
            <w:vAlign w:val="center"/>
          </w:tcPr>
          <w:p w14:paraId="6EB7FDF9" w14:textId="77777777" w:rsidR="00130725" w:rsidRPr="008422D4" w:rsidRDefault="00130725" w:rsidP="00CC1EFF">
            <w:pPr>
              <w:pStyle w:val="Tablebody2"/>
              <w:keepNext/>
              <w:keepLines/>
              <w:ind w:right="616"/>
            </w:pPr>
            <w:r w:rsidRPr="008422D4">
              <w:t>7.2</w:t>
            </w:r>
          </w:p>
        </w:tc>
        <w:tc>
          <w:tcPr>
            <w:tcW w:w="1985" w:type="dxa"/>
            <w:vAlign w:val="center"/>
          </w:tcPr>
          <w:p w14:paraId="23972A9A" w14:textId="77777777" w:rsidR="00130725" w:rsidRPr="008422D4" w:rsidRDefault="00130725" w:rsidP="00CC1EFF">
            <w:pPr>
              <w:pStyle w:val="Tablebody2"/>
              <w:keepNext/>
              <w:keepLines/>
              <w:ind w:right="616"/>
            </w:pPr>
            <w:r w:rsidRPr="008422D4">
              <w:t>5.7</w:t>
            </w:r>
          </w:p>
        </w:tc>
        <w:tc>
          <w:tcPr>
            <w:tcW w:w="1559" w:type="dxa"/>
            <w:vAlign w:val="center"/>
          </w:tcPr>
          <w:p w14:paraId="794A1435" w14:textId="77777777" w:rsidR="00130725" w:rsidRPr="0004482C" w:rsidRDefault="00130725" w:rsidP="00CC1EFF">
            <w:pPr>
              <w:pStyle w:val="Tablebody2"/>
              <w:keepNext/>
              <w:keepLines/>
              <w:ind w:right="498"/>
            </w:pPr>
            <w:r w:rsidRPr="0004482C">
              <w:t>-1.5</w:t>
            </w:r>
          </w:p>
        </w:tc>
      </w:tr>
      <w:tr w:rsidR="00130725" w14:paraId="71891201" w14:textId="77777777" w:rsidTr="00CC1EFF">
        <w:trPr>
          <w:trHeight w:hRule="exact" w:val="284"/>
        </w:trPr>
        <w:tc>
          <w:tcPr>
            <w:tcW w:w="1668" w:type="dxa"/>
            <w:shd w:val="clear" w:color="auto" w:fill="E5E5E5" w:themeFill="background1" w:themeFillTint="33"/>
            <w:vAlign w:val="center"/>
          </w:tcPr>
          <w:p w14:paraId="651A3F13" w14:textId="77777777" w:rsidR="00130725" w:rsidRDefault="00130725" w:rsidP="00F61D3B">
            <w:pPr>
              <w:pStyle w:val="TableBody1"/>
              <w:keepNext/>
              <w:keepLines/>
            </w:pPr>
            <w:r>
              <w:t>12 months</w:t>
            </w:r>
          </w:p>
        </w:tc>
        <w:tc>
          <w:tcPr>
            <w:tcW w:w="2126" w:type="dxa"/>
            <w:shd w:val="clear" w:color="auto" w:fill="E5E5E5" w:themeFill="background1" w:themeFillTint="33"/>
            <w:vAlign w:val="center"/>
          </w:tcPr>
          <w:p w14:paraId="3AF2A7A6" w14:textId="77777777" w:rsidR="00130725" w:rsidRPr="008422D4" w:rsidRDefault="00130725" w:rsidP="00F61D3B">
            <w:pPr>
              <w:pStyle w:val="Tablebody2"/>
              <w:keepNext/>
              <w:keepLines/>
              <w:jc w:val="center"/>
            </w:pPr>
            <w:r w:rsidRPr="008422D4">
              <w:t>14.5</w:t>
            </w:r>
          </w:p>
        </w:tc>
        <w:tc>
          <w:tcPr>
            <w:tcW w:w="1843" w:type="dxa"/>
            <w:shd w:val="clear" w:color="auto" w:fill="E5E5E5" w:themeFill="background1" w:themeFillTint="33"/>
            <w:vAlign w:val="center"/>
          </w:tcPr>
          <w:p w14:paraId="0A166CCA" w14:textId="77777777" w:rsidR="00130725" w:rsidRPr="008422D4" w:rsidRDefault="00130725" w:rsidP="00CC1EFF">
            <w:pPr>
              <w:pStyle w:val="Tablebody2"/>
              <w:keepNext/>
              <w:keepLines/>
              <w:ind w:right="616"/>
            </w:pPr>
            <w:r w:rsidRPr="008422D4">
              <w:t>11.2</w:t>
            </w:r>
          </w:p>
        </w:tc>
        <w:tc>
          <w:tcPr>
            <w:tcW w:w="1985" w:type="dxa"/>
            <w:shd w:val="clear" w:color="auto" w:fill="E5E5E5" w:themeFill="background1" w:themeFillTint="33"/>
            <w:vAlign w:val="center"/>
          </w:tcPr>
          <w:p w14:paraId="195840ED" w14:textId="77777777" w:rsidR="00130725" w:rsidRPr="008422D4" w:rsidRDefault="00130725" w:rsidP="00CC1EFF">
            <w:pPr>
              <w:pStyle w:val="Tablebody2"/>
              <w:keepNext/>
              <w:keepLines/>
              <w:ind w:right="616"/>
            </w:pPr>
            <w:r w:rsidRPr="008422D4">
              <w:t>7.5</w:t>
            </w:r>
          </w:p>
        </w:tc>
        <w:tc>
          <w:tcPr>
            <w:tcW w:w="1559" w:type="dxa"/>
            <w:shd w:val="clear" w:color="auto" w:fill="E5E5E5" w:themeFill="background1" w:themeFillTint="33"/>
            <w:vAlign w:val="center"/>
          </w:tcPr>
          <w:p w14:paraId="69BF78C5" w14:textId="77777777" w:rsidR="00130725" w:rsidRPr="0004482C" w:rsidRDefault="00130725" w:rsidP="00CC1EFF">
            <w:pPr>
              <w:pStyle w:val="Tablebody2"/>
              <w:keepNext/>
              <w:keepLines/>
              <w:ind w:right="498"/>
            </w:pPr>
            <w:r w:rsidRPr="0004482C">
              <w:t>-3.7</w:t>
            </w:r>
          </w:p>
        </w:tc>
      </w:tr>
      <w:tr w:rsidR="00130725" w14:paraId="28A9DF8D" w14:textId="77777777" w:rsidTr="00CC1EFF">
        <w:trPr>
          <w:trHeight w:hRule="exact" w:val="284"/>
        </w:trPr>
        <w:tc>
          <w:tcPr>
            <w:tcW w:w="1668" w:type="dxa"/>
            <w:tcBorders>
              <w:bottom w:val="nil"/>
            </w:tcBorders>
            <w:vAlign w:val="center"/>
          </w:tcPr>
          <w:p w14:paraId="3284948B" w14:textId="77777777" w:rsidR="00130725" w:rsidRDefault="00130725" w:rsidP="00F61D3B">
            <w:pPr>
              <w:pStyle w:val="TableBody1"/>
              <w:keepNext/>
              <w:keepLines/>
            </w:pPr>
            <w:r>
              <w:t>15 months</w:t>
            </w:r>
          </w:p>
        </w:tc>
        <w:tc>
          <w:tcPr>
            <w:tcW w:w="2126" w:type="dxa"/>
            <w:tcBorders>
              <w:bottom w:val="nil"/>
            </w:tcBorders>
            <w:vAlign w:val="center"/>
          </w:tcPr>
          <w:p w14:paraId="23436CCB" w14:textId="77777777" w:rsidR="00130725" w:rsidRPr="008422D4" w:rsidRDefault="00130725" w:rsidP="00F61D3B">
            <w:pPr>
              <w:pStyle w:val="Tablebody2"/>
              <w:keepNext/>
              <w:keepLines/>
              <w:jc w:val="center"/>
            </w:pPr>
            <w:r w:rsidRPr="008422D4">
              <w:t>17.0</w:t>
            </w:r>
          </w:p>
        </w:tc>
        <w:tc>
          <w:tcPr>
            <w:tcW w:w="1843" w:type="dxa"/>
            <w:tcBorders>
              <w:bottom w:val="nil"/>
            </w:tcBorders>
            <w:vAlign w:val="center"/>
          </w:tcPr>
          <w:p w14:paraId="6CB1687B" w14:textId="77777777" w:rsidR="00130725" w:rsidRPr="008422D4" w:rsidRDefault="00130725" w:rsidP="00CC1EFF">
            <w:pPr>
              <w:pStyle w:val="Tablebody2"/>
              <w:keepNext/>
              <w:keepLines/>
              <w:ind w:right="616"/>
            </w:pPr>
            <w:r w:rsidRPr="008422D4">
              <w:t>14.4</w:t>
            </w:r>
          </w:p>
        </w:tc>
        <w:tc>
          <w:tcPr>
            <w:tcW w:w="1985" w:type="dxa"/>
            <w:tcBorders>
              <w:bottom w:val="nil"/>
            </w:tcBorders>
            <w:vAlign w:val="center"/>
          </w:tcPr>
          <w:p w14:paraId="6D02347C" w14:textId="77777777" w:rsidR="00130725" w:rsidRPr="008422D4" w:rsidRDefault="00130725" w:rsidP="00CC1EFF">
            <w:pPr>
              <w:pStyle w:val="Tablebody2"/>
              <w:keepNext/>
              <w:keepLines/>
              <w:ind w:right="616"/>
            </w:pPr>
            <w:r w:rsidRPr="008422D4">
              <w:t>9.1</w:t>
            </w:r>
          </w:p>
        </w:tc>
        <w:tc>
          <w:tcPr>
            <w:tcW w:w="1559" w:type="dxa"/>
            <w:tcBorders>
              <w:bottom w:val="nil"/>
            </w:tcBorders>
            <w:vAlign w:val="center"/>
          </w:tcPr>
          <w:p w14:paraId="08A4785B" w14:textId="77777777" w:rsidR="00130725" w:rsidRPr="0004482C" w:rsidRDefault="00130725" w:rsidP="00CC1EFF">
            <w:pPr>
              <w:pStyle w:val="Tablebody2"/>
              <w:keepNext/>
              <w:keepLines/>
              <w:ind w:right="498"/>
            </w:pPr>
            <w:r w:rsidRPr="0004482C">
              <w:t>-5.3</w:t>
            </w:r>
          </w:p>
        </w:tc>
      </w:tr>
      <w:tr w:rsidR="00130725" w:rsidRPr="00CC1EFF" w14:paraId="273184E2" w14:textId="77777777" w:rsidTr="00CC1EFF">
        <w:trPr>
          <w:trHeight w:hRule="exact" w:val="284"/>
        </w:trPr>
        <w:tc>
          <w:tcPr>
            <w:tcW w:w="1668" w:type="dxa"/>
            <w:tcBorders>
              <w:top w:val="nil"/>
              <w:bottom w:val="single" w:sz="4" w:space="0" w:color="auto"/>
            </w:tcBorders>
            <w:shd w:val="clear" w:color="auto" w:fill="E5E5E5" w:themeFill="background1" w:themeFillTint="33"/>
            <w:vAlign w:val="center"/>
          </w:tcPr>
          <w:p w14:paraId="17F1E94F" w14:textId="77777777" w:rsidR="00130725" w:rsidRPr="00CC1EFF" w:rsidRDefault="00130725" w:rsidP="00F61D3B">
            <w:pPr>
              <w:pStyle w:val="TableBody1"/>
              <w:keepNext/>
              <w:keepLines/>
            </w:pPr>
            <w:r w:rsidRPr="00CC1EFF">
              <w:t>18 months</w:t>
            </w:r>
          </w:p>
        </w:tc>
        <w:tc>
          <w:tcPr>
            <w:tcW w:w="2126" w:type="dxa"/>
            <w:tcBorders>
              <w:top w:val="nil"/>
              <w:bottom w:val="single" w:sz="4" w:space="0" w:color="auto"/>
            </w:tcBorders>
            <w:shd w:val="clear" w:color="auto" w:fill="E5E5E5" w:themeFill="background1" w:themeFillTint="33"/>
            <w:vAlign w:val="center"/>
          </w:tcPr>
          <w:p w14:paraId="3690414F" w14:textId="77777777" w:rsidR="00130725" w:rsidRPr="00CC1EFF" w:rsidRDefault="00130725" w:rsidP="00F61D3B">
            <w:pPr>
              <w:pStyle w:val="Tablebody2"/>
              <w:keepNext/>
              <w:keepLines/>
              <w:jc w:val="center"/>
            </w:pPr>
            <w:r w:rsidRPr="00CC1EFF">
              <w:t>19.0</w:t>
            </w:r>
          </w:p>
        </w:tc>
        <w:tc>
          <w:tcPr>
            <w:tcW w:w="1843" w:type="dxa"/>
            <w:tcBorders>
              <w:top w:val="nil"/>
              <w:bottom w:val="single" w:sz="4" w:space="0" w:color="auto"/>
            </w:tcBorders>
            <w:shd w:val="clear" w:color="auto" w:fill="E5E5E5" w:themeFill="background1" w:themeFillTint="33"/>
            <w:vAlign w:val="center"/>
          </w:tcPr>
          <w:p w14:paraId="572643B9" w14:textId="77777777" w:rsidR="00130725" w:rsidRPr="00CC1EFF" w:rsidRDefault="00130725" w:rsidP="00CC1EFF">
            <w:pPr>
              <w:pStyle w:val="Tablebody2"/>
              <w:keepNext/>
              <w:keepLines/>
              <w:ind w:right="616"/>
            </w:pPr>
            <w:r w:rsidRPr="00CC1EFF">
              <w:t>16.2</w:t>
            </w:r>
          </w:p>
        </w:tc>
        <w:tc>
          <w:tcPr>
            <w:tcW w:w="1985" w:type="dxa"/>
            <w:tcBorders>
              <w:top w:val="nil"/>
              <w:bottom w:val="single" w:sz="4" w:space="0" w:color="auto"/>
            </w:tcBorders>
            <w:shd w:val="clear" w:color="auto" w:fill="E5E5E5" w:themeFill="background1" w:themeFillTint="33"/>
            <w:vAlign w:val="center"/>
          </w:tcPr>
          <w:p w14:paraId="7200E9BE" w14:textId="77777777" w:rsidR="00130725" w:rsidRPr="00CC1EFF" w:rsidRDefault="00130725" w:rsidP="00CC1EFF">
            <w:pPr>
              <w:pStyle w:val="Tablebody2"/>
              <w:keepNext/>
              <w:keepLines/>
              <w:ind w:right="616"/>
            </w:pPr>
            <w:r w:rsidRPr="00CC1EFF">
              <w:t>10.4</w:t>
            </w:r>
          </w:p>
        </w:tc>
        <w:tc>
          <w:tcPr>
            <w:tcW w:w="1559" w:type="dxa"/>
            <w:tcBorders>
              <w:top w:val="nil"/>
              <w:bottom w:val="single" w:sz="4" w:space="0" w:color="auto"/>
            </w:tcBorders>
            <w:shd w:val="clear" w:color="auto" w:fill="E5E5E5" w:themeFill="background1" w:themeFillTint="33"/>
            <w:vAlign w:val="center"/>
          </w:tcPr>
          <w:p w14:paraId="2814208D" w14:textId="77777777" w:rsidR="00130725" w:rsidRPr="00CC1EFF" w:rsidRDefault="00130725" w:rsidP="00CC1EFF">
            <w:pPr>
              <w:pStyle w:val="Tablebody2"/>
              <w:keepNext/>
              <w:keepLines/>
              <w:ind w:right="498"/>
            </w:pPr>
            <w:r w:rsidRPr="00CC1EFF">
              <w:t>-5.8</w:t>
            </w:r>
          </w:p>
        </w:tc>
      </w:tr>
    </w:tbl>
    <w:p w14:paraId="31C3ACC4" w14:textId="77777777" w:rsidR="00CC1EFF" w:rsidRPr="0019430D" w:rsidRDefault="00CC1EFF" w:rsidP="0019430D">
      <w:pPr>
        <w:pStyle w:val="Notes"/>
        <w:rPr>
          <w:b/>
        </w:rPr>
      </w:pPr>
      <w:r w:rsidRPr="0019430D">
        <w:rPr>
          <w:b/>
        </w:rPr>
        <w:t xml:space="preserve">Notes:  </w:t>
      </w:r>
    </w:p>
    <w:p w14:paraId="3AC7ACCD" w14:textId="77777777" w:rsidR="00CC1EFF" w:rsidRPr="00E5413A" w:rsidRDefault="00CC1EFF" w:rsidP="006149DB">
      <w:pPr>
        <w:pStyle w:val="Notesnumbered"/>
        <w:numPr>
          <w:ilvl w:val="0"/>
          <w:numId w:val="237"/>
        </w:numPr>
        <w:ind w:left="709" w:hanging="425"/>
      </w:pPr>
      <w:r w:rsidRPr="00E5413A">
        <w:t>Months measured from July 2010 for the comparison group (JSA 20</w:t>
      </w:r>
      <w:r w:rsidR="00866348" w:rsidRPr="00E5413A">
        <w:t>0</w:t>
      </w:r>
      <w:r w:rsidRPr="00E5413A">
        <w:t>9) and from July 2013 for the treatment group (JSA 2012).</w:t>
      </w:r>
    </w:p>
    <w:p w14:paraId="193D06E5" w14:textId="77777777" w:rsidR="00CC1EFF" w:rsidRPr="00CC1EFF" w:rsidRDefault="00CC1EFF" w:rsidP="006149DB">
      <w:pPr>
        <w:pStyle w:val="Notesnumbered"/>
        <w:numPr>
          <w:ilvl w:val="0"/>
          <w:numId w:val="237"/>
        </w:numPr>
        <w:ind w:left="709" w:hanging="425"/>
      </w:pPr>
      <w:r w:rsidRPr="00E5413A">
        <w:t>Numbers</w:t>
      </w:r>
      <w:r w:rsidRPr="00CC1EFF">
        <w:t xml:space="preserve"> may not add due to rounding errors.</w:t>
      </w:r>
    </w:p>
    <w:p w14:paraId="553E5189" w14:textId="77777777" w:rsidR="007C112F" w:rsidRPr="00913A43" w:rsidRDefault="007C112F" w:rsidP="007C112F">
      <w:pPr>
        <w:pStyle w:val="Source"/>
      </w:pPr>
      <w:r w:rsidRPr="00EC5DCC">
        <w:rPr>
          <w:b/>
        </w:rPr>
        <w:t xml:space="preserve">Source: </w:t>
      </w:r>
      <w:r w:rsidRPr="00913A43">
        <w:rPr>
          <w:b/>
        </w:rPr>
        <w:tab/>
      </w:r>
      <w:r w:rsidRPr="00913A43">
        <w:t>Department of Employment administrative data</w:t>
      </w:r>
      <w:r>
        <w:t xml:space="preserve"> and Research and Evaluation datatset (RED)</w:t>
      </w:r>
      <w:r w:rsidRPr="00913A43">
        <w:t>.</w:t>
      </w:r>
    </w:p>
    <w:p w14:paraId="52CAE683" w14:textId="2D7E8147" w:rsidR="00130725" w:rsidRDefault="00130725" w:rsidP="00130725">
      <w:r w:rsidRPr="00254FE3">
        <w:t xml:space="preserve">After six months, the comparison group show higher off income support outcomes than if they had been serviced under the CAP. By 18 months, the difference between actual and predicted rate is almost six percentage points. This </w:t>
      </w:r>
      <w:r w:rsidR="00F134B0" w:rsidRPr="00254FE3">
        <w:t xml:space="preserve">could either be a </w:t>
      </w:r>
      <w:r w:rsidRPr="00254FE3">
        <w:t>‘lock-in’ effect</w:t>
      </w:r>
      <w:r w:rsidR="00FD3356" w:rsidRPr="00254FE3">
        <w:t xml:space="preserve">, whereby </w:t>
      </w:r>
      <w:r w:rsidRPr="00254FE3">
        <w:t>job seekers devote so much time and energy to programme requirements, in this case compulsory activities, that they</w:t>
      </w:r>
      <w:r w:rsidR="005068D7" w:rsidRPr="00254FE3">
        <w:t xml:space="preserve"> </w:t>
      </w:r>
      <w:r w:rsidRPr="00254FE3">
        <w:t xml:space="preserve">are </w:t>
      </w:r>
      <w:r w:rsidR="00FD3356" w:rsidRPr="00254FE3">
        <w:t>un</w:t>
      </w:r>
      <w:r w:rsidRPr="00254FE3">
        <w:t xml:space="preserve">able (or </w:t>
      </w:r>
      <w:r w:rsidR="00FD3356" w:rsidRPr="00254FE3">
        <w:t>un</w:t>
      </w:r>
      <w:r w:rsidRPr="00254FE3">
        <w:t xml:space="preserve">motivated) to channel time and energy into job search. </w:t>
      </w:r>
      <w:r w:rsidR="0081632B" w:rsidRPr="00254FE3">
        <w:t xml:space="preserve">It is </w:t>
      </w:r>
      <w:r w:rsidR="001F21B2" w:rsidRPr="00254FE3">
        <w:t>similarly</w:t>
      </w:r>
      <w:r w:rsidR="0081632B" w:rsidRPr="00254FE3">
        <w:t xml:space="preserve"> possible that this pattern indicates an ‘attachment effect’ whereby job seekers are participating in activities which are developing skills that they value and so they lessen their job search effort while attaining these skills (particular</w:t>
      </w:r>
      <w:r w:rsidR="00747224">
        <w:t>l</w:t>
      </w:r>
      <w:r w:rsidR="0081632B" w:rsidRPr="00254FE3">
        <w:t xml:space="preserve">y while undertaking training). </w:t>
      </w:r>
      <w:r w:rsidRPr="00254FE3">
        <w:t>Longer</w:t>
      </w:r>
      <w:r w:rsidR="00747224">
        <w:t>-</w:t>
      </w:r>
      <w:r w:rsidRPr="00254FE3">
        <w:t>term outcomes following training are often much better, but the lock-in causes a lag effect</w:t>
      </w:r>
      <w:r w:rsidR="00F8259C" w:rsidRPr="00254FE3">
        <w:t xml:space="preserve"> (Figure 6.4)</w:t>
      </w:r>
      <w:r w:rsidRPr="00254FE3">
        <w:t>.</w:t>
      </w:r>
    </w:p>
    <w:p w14:paraId="4CF9FF17" w14:textId="77777777" w:rsidR="00130725" w:rsidRDefault="00130725" w:rsidP="00897308">
      <w:pPr>
        <w:pStyle w:val="Figureheadingforcontents"/>
      </w:pPr>
      <w:bookmarkStart w:id="392" w:name="_Toc443152032"/>
      <w:bookmarkStart w:id="393" w:name="_Toc22544043"/>
      <w:r>
        <w:t xml:space="preserve">Figure </w:t>
      </w:r>
      <w:r w:rsidR="00FD3356">
        <w:t>6.</w:t>
      </w:r>
      <w:r>
        <w:t xml:space="preserve">4: </w:t>
      </w:r>
      <w:r w:rsidRPr="004D62EC">
        <w:t>Compar</w:t>
      </w:r>
      <w:r>
        <w:t>ison of</w:t>
      </w:r>
      <w:r w:rsidRPr="004D62EC">
        <w:t xml:space="preserve"> actual and predicted rate</w:t>
      </w:r>
      <w:r>
        <w:t>s</w:t>
      </w:r>
      <w:r w:rsidRPr="004D62EC">
        <w:t xml:space="preserve"> of off income support for comparison group over time</w:t>
      </w:r>
      <w:bookmarkEnd w:id="392"/>
      <w:r w:rsidR="006D5A09">
        <w:t xml:space="preserve"> (per cent)</w:t>
      </w:r>
      <w:bookmarkEnd w:id="393"/>
    </w:p>
    <w:p w14:paraId="2DBBE47B" w14:textId="77777777" w:rsidR="00130725" w:rsidRPr="00FF538C" w:rsidRDefault="002A0F08" w:rsidP="0019430D">
      <w:pPr>
        <w:spacing w:after="0"/>
      </w:pPr>
      <w:r>
        <w:rPr>
          <w:noProof/>
          <w:lang w:eastAsia="en-AU"/>
        </w:rPr>
        <w:drawing>
          <wp:inline distT="0" distB="0" distL="0" distR="0" wp14:anchorId="3C1EC10A" wp14:editId="02E068D7">
            <wp:extent cx="5732145" cy="4486275"/>
            <wp:effectExtent l="0" t="0" r="1905" b="9525"/>
            <wp:docPr id="262" name="Picture 262" descr="Line chart with two lines that cross one another. The area between the lines before the intersection (that is, where the predicted rates of exit from income support are greater than the actual rates) represents the ‘threat’ effect of CAP. The area between the two lines after the intersection (where the actual rates are greater than the predicted rates) represents the ‘lock-in’ effect of CAP. The lock-in effect is greater than the threat effect and increases over tim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4.png"/>
                    <pic:cNvPicPr/>
                  </pic:nvPicPr>
                  <pic:blipFill>
                    <a:blip r:embed="rId41">
                      <a:extLst>
                        <a:ext uri="{28A0092B-C50C-407E-A947-70E740481C1C}">
                          <a14:useLocalDpi xmlns:a14="http://schemas.microsoft.com/office/drawing/2010/main" val="0"/>
                        </a:ext>
                      </a:extLst>
                    </a:blip>
                    <a:stretch>
                      <a:fillRect/>
                    </a:stretch>
                  </pic:blipFill>
                  <pic:spPr>
                    <a:xfrm>
                      <a:off x="0" y="0"/>
                      <a:ext cx="5732145" cy="4486275"/>
                    </a:xfrm>
                    <a:prstGeom prst="rect">
                      <a:avLst/>
                    </a:prstGeom>
                  </pic:spPr>
                </pic:pic>
              </a:graphicData>
            </a:graphic>
          </wp:inline>
        </w:drawing>
      </w:r>
    </w:p>
    <w:p w14:paraId="1C391555" w14:textId="77777777" w:rsidR="001D7748" w:rsidRDefault="001D7748" w:rsidP="001D7748">
      <w:pPr>
        <w:pStyle w:val="Notes"/>
        <w:rPr>
          <w:b/>
        </w:rPr>
      </w:pPr>
      <w:bookmarkStart w:id="394" w:name="_Toc424632408"/>
      <w:bookmarkStart w:id="395" w:name="_Toc425503668"/>
      <w:r>
        <w:rPr>
          <w:b/>
        </w:rPr>
        <w:t>Note:</w:t>
      </w:r>
      <w:r>
        <w:rPr>
          <w:b/>
        </w:rPr>
        <w:tab/>
      </w:r>
      <w:r w:rsidRPr="001D7748">
        <w:rPr>
          <w:rStyle w:val="NotesChar"/>
        </w:rPr>
        <w:t xml:space="preserve">Refer </w:t>
      </w:r>
      <w:hyperlink w:anchor="Title_A234" w:history="1">
        <w:r w:rsidRPr="005F7891">
          <w:rPr>
            <w:rStyle w:val="Hyperlink"/>
          </w:rPr>
          <w:t>Appendix A</w:t>
        </w:r>
        <w:r w:rsidR="00F75BBA" w:rsidRPr="005F7891">
          <w:rPr>
            <w:rStyle w:val="Hyperlink"/>
          </w:rPr>
          <w:t>2</w:t>
        </w:r>
        <w:r w:rsidRPr="005F7891">
          <w:rPr>
            <w:rStyle w:val="Hyperlink"/>
          </w:rPr>
          <w:t>, Table A2.34</w:t>
        </w:r>
      </w:hyperlink>
      <w:r w:rsidRPr="001D7748">
        <w:rPr>
          <w:rStyle w:val="NotesChar"/>
        </w:rPr>
        <w:t>.</w:t>
      </w:r>
      <w:bookmarkStart w:id="396" w:name="Place_A234"/>
      <w:bookmarkEnd w:id="396"/>
    </w:p>
    <w:p w14:paraId="54F41EC4" w14:textId="77777777" w:rsidR="007C112F" w:rsidRPr="00913A43" w:rsidRDefault="007C112F" w:rsidP="007C112F">
      <w:pPr>
        <w:pStyle w:val="Source"/>
      </w:pPr>
      <w:r w:rsidRPr="00EC5DCC">
        <w:rPr>
          <w:b/>
        </w:rPr>
        <w:t xml:space="preserve">Source: </w:t>
      </w:r>
      <w:r w:rsidRPr="00913A43">
        <w:rPr>
          <w:b/>
        </w:rPr>
        <w:tab/>
      </w:r>
      <w:r w:rsidRPr="00913A43">
        <w:t>Department of Employment administrative data</w:t>
      </w:r>
      <w:r>
        <w:t xml:space="preserve"> and Research and Evaluation datatset (RED)</w:t>
      </w:r>
      <w:r w:rsidRPr="00913A43">
        <w:t>.</w:t>
      </w:r>
    </w:p>
    <w:p w14:paraId="344D2A95" w14:textId="77777777" w:rsidR="00E74A80" w:rsidRDefault="00E74A80" w:rsidP="00E74A80">
      <w:pPr>
        <w:pStyle w:val="Heading4"/>
      </w:pPr>
      <w:r>
        <w:t>Income support rates – matched comparison group</w:t>
      </w:r>
    </w:p>
    <w:bookmarkEnd w:id="394"/>
    <w:bookmarkEnd w:id="395"/>
    <w:p w14:paraId="0F6766C1" w14:textId="77777777" w:rsidR="00130725" w:rsidRDefault="00130725" w:rsidP="00130725">
      <w:r>
        <w:t>In the above analysis, regression was used to account for differences in composition of the comparison groups. To test the regression modelling assumptions used, the analysis below creates new comparison groups using the 1:1 nearest neighbour matching method, based on estimated propensity scores.</w:t>
      </w:r>
      <w:r w:rsidR="00295B42">
        <w:rPr>
          <w:rStyle w:val="FootnoteReference"/>
        </w:rPr>
        <w:footnoteReference w:id="54"/>
      </w:r>
      <w:r>
        <w:t xml:space="preserve"> </w:t>
      </w:r>
      <w:r w:rsidR="00913A43">
        <w:t xml:space="preserve">Almost 18 </w:t>
      </w:r>
      <w:r>
        <w:t>(17.8</w:t>
      </w:r>
      <w:r w:rsidR="00913A43">
        <w:t>)</w:t>
      </w:r>
      <w:r>
        <w:t xml:space="preserve"> per cent </w:t>
      </w:r>
      <w:r w:rsidR="00913A43">
        <w:t xml:space="preserve">of </w:t>
      </w:r>
      <w:r>
        <w:t xml:space="preserve">treatment group members paired with comparison group members by this method. </w:t>
      </w:r>
      <w:hyperlink w:anchor="Title_A15a" w:history="1">
        <w:r w:rsidRPr="005F7891">
          <w:rPr>
            <w:rStyle w:val="Hyperlink"/>
          </w:rPr>
          <w:t>Table</w:t>
        </w:r>
        <w:r w:rsidR="00E8056E" w:rsidRPr="005F7891">
          <w:rPr>
            <w:rStyle w:val="Hyperlink"/>
          </w:rPr>
          <w:t xml:space="preserve"> </w:t>
        </w:r>
        <w:r w:rsidR="00E74A80" w:rsidRPr="005F7891">
          <w:rPr>
            <w:rStyle w:val="Hyperlink"/>
          </w:rPr>
          <w:t>A</w:t>
        </w:r>
        <w:r w:rsidR="00F75BBA" w:rsidRPr="005F7891">
          <w:rPr>
            <w:rStyle w:val="Hyperlink"/>
          </w:rPr>
          <w:t>1.5</w:t>
        </w:r>
        <w:bookmarkStart w:id="397" w:name="Place_A15"/>
        <w:bookmarkEnd w:id="397"/>
      </w:hyperlink>
      <w:r>
        <w:t xml:space="preserve"> evaluates the quality of matches. The differences in characteristics between the two groups reduce significantly after the 1:1 matching (compare Table </w:t>
      </w:r>
      <w:r w:rsidR="00F75BBA">
        <w:t>A1.4</w:t>
      </w:r>
      <w:r w:rsidR="00E74A80">
        <w:t xml:space="preserve"> </w:t>
      </w:r>
      <w:r>
        <w:t xml:space="preserve">and Table </w:t>
      </w:r>
      <w:r w:rsidR="00F75BBA">
        <w:t>A1.5</w:t>
      </w:r>
      <w:r>
        <w:t>) to provide two readily comparable groups for analysis.</w:t>
      </w:r>
    </w:p>
    <w:p w14:paraId="0CDDBEAD" w14:textId="77777777" w:rsidR="00130725" w:rsidRDefault="00130725" w:rsidP="00130725">
      <w:r>
        <w:t>The proportions of job seekers exiting income support at three monthly intervals are shown in Figure</w:t>
      </w:r>
      <w:r w:rsidR="00E74A80">
        <w:t xml:space="preserve"> 6.</w:t>
      </w:r>
      <w:r>
        <w:t xml:space="preserve">5. Results are similar to those </w:t>
      </w:r>
      <w:r w:rsidR="00E74A80">
        <w:t>gained from predicted exit analysis</w:t>
      </w:r>
      <w:r>
        <w:t>. In the first six months since July of the relevant year, a higher proportion of job seekers in the matched treatment group exited income support as compared to the matched comparison group. This can be interpreted as a threat effect, a consequence of increased obligations. After this time, a lock-in effect begins to take over with lower proportions of job seekers exiting income support in the matched treatment group compared to the matched comparison group.</w:t>
      </w:r>
    </w:p>
    <w:p w14:paraId="31E8AE0B" w14:textId="77777777" w:rsidR="00130725" w:rsidRDefault="00130725" w:rsidP="00E2651A">
      <w:pPr>
        <w:pStyle w:val="Figureheadingforcontents"/>
      </w:pPr>
      <w:bookmarkStart w:id="398" w:name="_Toc443152033"/>
      <w:bookmarkStart w:id="399" w:name="_Toc22544044"/>
      <w:r>
        <w:t xml:space="preserve">Figure </w:t>
      </w:r>
      <w:r w:rsidR="003C29A5">
        <w:t>6.</w:t>
      </w:r>
      <w:r>
        <w:t xml:space="preserve">5: Proportions exiting income support at 3-month intervals— matched </w:t>
      </w:r>
      <w:bookmarkStart w:id="400" w:name="_Toc424632409"/>
      <w:r>
        <w:t>groups</w:t>
      </w:r>
      <w:bookmarkEnd w:id="398"/>
      <w:r w:rsidR="006D5A09">
        <w:t xml:space="preserve"> (per cent)</w:t>
      </w:r>
      <w:bookmarkEnd w:id="399"/>
    </w:p>
    <w:p w14:paraId="4669A281" w14:textId="77777777" w:rsidR="00130725" w:rsidRPr="00AE228A" w:rsidRDefault="002A0F08" w:rsidP="0019430D">
      <w:pPr>
        <w:spacing w:after="0"/>
      </w:pPr>
      <w:r>
        <w:rPr>
          <w:noProof/>
          <w:lang w:eastAsia="en-AU"/>
        </w:rPr>
        <w:drawing>
          <wp:inline distT="0" distB="0" distL="0" distR="0" wp14:anchorId="7622A92A" wp14:editId="2AC09EC8">
            <wp:extent cx="5732145" cy="4918710"/>
            <wp:effectExtent l="0" t="0" r="1905" b="0"/>
            <wp:docPr id="264" name="Picture 264" descr="Line chart with two lines that cross one another. The area between the lines before the intersection (that is, where the proportion exiting income support in the JSA 2012 treatment group was greater than the proportion exiting income support in the JSA 2009 control group) represents the ‘threat’ effect of CAP. The area between the two lines after the intersection (where the proportion exiting income support in the JSA 2012 treatment group was less than the proportion exiting income support in the JSA 2009 control group) represents the ‘lock-in’ effect of CAP. The lock-in effect is greater than the threat effect and increases over tim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5.png"/>
                    <pic:cNvPicPr/>
                  </pic:nvPicPr>
                  <pic:blipFill>
                    <a:blip r:embed="rId42">
                      <a:extLst>
                        <a:ext uri="{28A0092B-C50C-407E-A947-70E740481C1C}">
                          <a14:useLocalDpi xmlns:a14="http://schemas.microsoft.com/office/drawing/2010/main" val="0"/>
                        </a:ext>
                      </a:extLst>
                    </a:blip>
                    <a:stretch>
                      <a:fillRect/>
                    </a:stretch>
                  </pic:blipFill>
                  <pic:spPr>
                    <a:xfrm>
                      <a:off x="0" y="0"/>
                      <a:ext cx="5732145" cy="4918710"/>
                    </a:xfrm>
                    <a:prstGeom prst="rect">
                      <a:avLst/>
                    </a:prstGeom>
                  </pic:spPr>
                </pic:pic>
              </a:graphicData>
            </a:graphic>
          </wp:inline>
        </w:drawing>
      </w:r>
    </w:p>
    <w:p w14:paraId="5D8C05C7" w14:textId="77777777" w:rsidR="001D7748" w:rsidRDefault="001D7748" w:rsidP="001D7748">
      <w:pPr>
        <w:pStyle w:val="Notes"/>
        <w:rPr>
          <w:b/>
        </w:rPr>
      </w:pPr>
      <w:bookmarkStart w:id="401" w:name="_Toc425503669"/>
      <w:bookmarkStart w:id="402" w:name="_Toc432576243"/>
      <w:bookmarkEnd w:id="400"/>
      <w:r>
        <w:rPr>
          <w:b/>
        </w:rPr>
        <w:t>Note:</w:t>
      </w:r>
      <w:r>
        <w:rPr>
          <w:b/>
        </w:rPr>
        <w:tab/>
      </w:r>
      <w:r w:rsidRPr="001D7748">
        <w:rPr>
          <w:rStyle w:val="NotesChar"/>
        </w:rPr>
        <w:t xml:space="preserve">Refer </w:t>
      </w:r>
      <w:hyperlink w:anchor="Title_A235" w:history="1">
        <w:r w:rsidRPr="005F7891">
          <w:rPr>
            <w:rStyle w:val="Hyperlink"/>
          </w:rPr>
          <w:t>Appendix A</w:t>
        </w:r>
        <w:r w:rsidR="00F75BBA" w:rsidRPr="005F7891">
          <w:rPr>
            <w:rStyle w:val="Hyperlink"/>
          </w:rPr>
          <w:t>2</w:t>
        </w:r>
        <w:r w:rsidRPr="005F7891">
          <w:rPr>
            <w:rStyle w:val="Hyperlink"/>
          </w:rPr>
          <w:t>, Table A2.35</w:t>
        </w:r>
      </w:hyperlink>
      <w:r w:rsidRPr="001D7748">
        <w:rPr>
          <w:rStyle w:val="NotesChar"/>
        </w:rPr>
        <w:t>.</w:t>
      </w:r>
      <w:bookmarkStart w:id="403" w:name="Place_A235"/>
      <w:bookmarkEnd w:id="403"/>
    </w:p>
    <w:p w14:paraId="5FC6981B" w14:textId="77777777" w:rsidR="007C112F" w:rsidRPr="00913A43" w:rsidRDefault="007C112F" w:rsidP="007C112F">
      <w:pPr>
        <w:pStyle w:val="Source"/>
      </w:pPr>
      <w:r w:rsidRPr="00EC5DCC">
        <w:rPr>
          <w:b/>
        </w:rPr>
        <w:t xml:space="preserve">Source: </w:t>
      </w:r>
      <w:r w:rsidRPr="00913A43">
        <w:rPr>
          <w:b/>
        </w:rPr>
        <w:tab/>
      </w:r>
      <w:r w:rsidRPr="00913A43">
        <w:t>Department of Employment administrative data</w:t>
      </w:r>
      <w:r>
        <w:t xml:space="preserve"> and Research and Evaluation datatset (RED)</w:t>
      </w:r>
      <w:r w:rsidRPr="00913A43">
        <w:t>.</w:t>
      </w:r>
    </w:p>
    <w:p w14:paraId="60C62477" w14:textId="77777777" w:rsidR="00130725" w:rsidRDefault="00423440" w:rsidP="00130725">
      <w:pPr>
        <w:pStyle w:val="Heading2"/>
        <w:keepNext/>
      </w:pPr>
      <w:bookmarkStart w:id="404" w:name="_Toc450919342"/>
      <w:bookmarkStart w:id="405" w:name="_Toc22543106"/>
      <w:r>
        <w:t>6.</w:t>
      </w:r>
      <w:r w:rsidR="00136E6B">
        <w:t>3</w:t>
      </w:r>
      <w:r>
        <w:tab/>
      </w:r>
      <w:r w:rsidR="00130725">
        <w:t>Conclusion</w:t>
      </w:r>
      <w:bookmarkEnd w:id="401"/>
      <w:bookmarkEnd w:id="402"/>
      <w:bookmarkEnd w:id="404"/>
      <w:bookmarkEnd w:id="405"/>
    </w:p>
    <w:p w14:paraId="2C71CF36" w14:textId="13F229D7" w:rsidR="00423440" w:rsidRDefault="00423440" w:rsidP="0081632B">
      <w:r w:rsidRPr="00254FE3">
        <w:t xml:space="preserve">One of the likely effects of the </w:t>
      </w:r>
      <w:r w:rsidR="00E2651A" w:rsidRPr="00254FE3">
        <w:t xml:space="preserve">CAP </w:t>
      </w:r>
      <w:r w:rsidRPr="00254FE3">
        <w:t xml:space="preserve">is a </w:t>
      </w:r>
      <w:r w:rsidR="005068D7" w:rsidRPr="00254FE3">
        <w:t>‘</w:t>
      </w:r>
      <w:r w:rsidRPr="00254FE3">
        <w:t>threat effect</w:t>
      </w:r>
      <w:r w:rsidR="005068D7" w:rsidRPr="00254FE3">
        <w:t>’</w:t>
      </w:r>
      <w:r w:rsidRPr="00254FE3">
        <w:t xml:space="preserve">. This generally occurs when job seekers faced with onerous obligations either declare previously undeclared work, or increase job search in order to leave income support. </w:t>
      </w:r>
      <w:r w:rsidR="0081632B" w:rsidRPr="00254FE3">
        <w:t xml:space="preserve">Other </w:t>
      </w:r>
      <w:r w:rsidRPr="00254FE3">
        <w:t>possible effect</w:t>
      </w:r>
      <w:r w:rsidR="0081632B" w:rsidRPr="00254FE3">
        <w:t>s</w:t>
      </w:r>
      <w:r w:rsidRPr="00254FE3">
        <w:t xml:space="preserve"> of the CAP </w:t>
      </w:r>
      <w:r w:rsidR="0081632B" w:rsidRPr="00254FE3">
        <w:t xml:space="preserve">include </w:t>
      </w:r>
      <w:r w:rsidRPr="00254FE3">
        <w:t xml:space="preserve">the </w:t>
      </w:r>
      <w:r w:rsidR="005068D7" w:rsidRPr="00254FE3">
        <w:t>‘</w:t>
      </w:r>
      <w:r w:rsidRPr="00254FE3">
        <w:t>lock-in effect</w:t>
      </w:r>
      <w:r w:rsidR="005068D7" w:rsidRPr="00254FE3">
        <w:t>’</w:t>
      </w:r>
      <w:r w:rsidR="0081632B" w:rsidRPr="00254FE3">
        <w:t xml:space="preserve"> and ‘attachment effect’</w:t>
      </w:r>
      <w:r w:rsidRPr="00254FE3">
        <w:t xml:space="preserve">. </w:t>
      </w:r>
      <w:r w:rsidR="0081632B" w:rsidRPr="00254FE3">
        <w:t xml:space="preserve">The ‘lock-in effect’ </w:t>
      </w:r>
      <w:r w:rsidRPr="00254FE3">
        <w:t>occurs when job seekers participating in CAP-type programmes do not have time, energy or motivation for job search and therefore tend to remain in the programme.</w:t>
      </w:r>
      <w:r w:rsidR="0081632B" w:rsidRPr="00254FE3">
        <w:t xml:space="preserve"> The ‘attachment effect’ occurs when job seekers are participating in activities which are developing skills that they value and so they lessen their job search effort while attaining these skills (particular</w:t>
      </w:r>
      <w:r w:rsidR="00747224">
        <w:t>l</w:t>
      </w:r>
      <w:r w:rsidR="0081632B" w:rsidRPr="00254FE3">
        <w:t>y while undertaking training).</w:t>
      </w:r>
    </w:p>
    <w:p w14:paraId="25270643" w14:textId="77777777" w:rsidR="00423440" w:rsidRDefault="00423440" w:rsidP="00423440">
      <w:r>
        <w:t>Programme effects are generally longer</w:t>
      </w:r>
      <w:r w:rsidR="00295B42">
        <w:t>-</w:t>
      </w:r>
      <w:r>
        <w:t>term effects which result from job seekers participating</w:t>
      </w:r>
      <w:r w:rsidR="005068D7">
        <w:t xml:space="preserve"> or </w:t>
      </w:r>
      <w:r>
        <w:t>completing</w:t>
      </w:r>
      <w:r w:rsidR="005068D7">
        <w:t xml:space="preserve"> or </w:t>
      </w:r>
      <w:r>
        <w:t xml:space="preserve">exiting the programme. </w:t>
      </w:r>
      <w:r w:rsidR="00E2651A">
        <w:t>There are several reasons why t</w:t>
      </w:r>
      <w:r>
        <w:t xml:space="preserve">he analysis in this chapter is restricted in the extent to which programme effects can be analysed. Firstly, programme effects were less relevant to the CAP, as it was ongoing for 11 out of 12 months and therefore there was no exit or completion after which we could expect to identify a programme effect. Also, because the report covers data over the period to December 2014, which is 18 months from </w:t>
      </w:r>
      <w:r w:rsidR="00976D9A">
        <w:t xml:space="preserve">the </w:t>
      </w:r>
      <w:r>
        <w:t>caseload snapshot date, it is unlikely that we would pick up any longer</w:t>
      </w:r>
      <w:r w:rsidR="00E2651A">
        <w:t>-</w:t>
      </w:r>
      <w:r>
        <w:t xml:space="preserve">term programme effects. </w:t>
      </w:r>
      <w:r w:rsidR="005068D7">
        <w:t>T</w:t>
      </w:r>
      <w:r>
        <w:t xml:space="preserve">herefore, </w:t>
      </w:r>
      <w:r w:rsidR="00492EF3">
        <w:t>there</w:t>
      </w:r>
      <w:r w:rsidR="005068D7">
        <w:t xml:space="preserve"> is no </w:t>
      </w:r>
      <w:r>
        <w:t>attempt to estimate programme effects.</w:t>
      </w:r>
    </w:p>
    <w:p w14:paraId="6528024B" w14:textId="148C0981" w:rsidR="00130725" w:rsidRDefault="00130725" w:rsidP="00423440">
      <w:r>
        <w:t xml:space="preserve">It is apparent that </w:t>
      </w:r>
      <w:r w:rsidRPr="00EB6A1A">
        <w:t xml:space="preserve">the </w:t>
      </w:r>
      <w:r w:rsidRPr="00355B5B">
        <w:t>threat</w:t>
      </w:r>
      <w:r w:rsidRPr="00EB6A1A">
        <w:t xml:space="preserve"> effect</w:t>
      </w:r>
      <w:r>
        <w:t xml:space="preserve"> for the CAP </w:t>
      </w:r>
      <w:r w:rsidR="00C84926">
        <w:t>was</w:t>
      </w:r>
      <w:r w:rsidR="00C84926" w:rsidRPr="00EB6A1A">
        <w:t xml:space="preserve"> </w:t>
      </w:r>
      <w:r w:rsidRPr="00EB6A1A">
        <w:t>negligible</w:t>
      </w:r>
      <w:r>
        <w:t xml:space="preserve"> (less than 1 percentage point). The assumption underlying the operation of the threat effect is that job seekers are in a position to leave income support by finding employment. Arguably, this assumption is less likely to hold for job seekers who have been unemployed for long periods of time (those subject to the CAP). The threat, even of quite onerous obligations, will produce a very small effect on those who cannot leave income support and this appears to be the case for CAP.</w:t>
      </w:r>
    </w:p>
    <w:p w14:paraId="4AECDBCD" w14:textId="0E70917E" w:rsidR="00130725" w:rsidRDefault="00130725" w:rsidP="00130725">
      <w:r w:rsidRPr="005068D7">
        <w:t xml:space="preserve">The </w:t>
      </w:r>
      <w:r w:rsidR="000A3A57">
        <w:t xml:space="preserve">combination of </w:t>
      </w:r>
      <w:r w:rsidRPr="00355B5B">
        <w:t>lock-in</w:t>
      </w:r>
      <w:r w:rsidRPr="005068D7">
        <w:t xml:space="preserve"> </w:t>
      </w:r>
      <w:r w:rsidR="000A3A57">
        <w:t xml:space="preserve">and attachment </w:t>
      </w:r>
      <w:r w:rsidRPr="005068D7">
        <w:t>effect</w:t>
      </w:r>
      <w:r w:rsidRPr="00EB6A1A">
        <w:t xml:space="preserve"> for job seekers in </w:t>
      </w:r>
      <w:r>
        <w:t>CAP</w:t>
      </w:r>
      <w:r w:rsidRPr="00EB6A1A">
        <w:t xml:space="preserve"> is </w:t>
      </w:r>
      <w:r>
        <w:t>up to six percentage points at 18 months.</w:t>
      </w:r>
      <w:r w:rsidRPr="00EB6A1A">
        <w:t xml:space="preserve"> </w:t>
      </w:r>
      <w:r>
        <w:t xml:space="preserve">While </w:t>
      </w:r>
      <w:r w:rsidR="000A3A57">
        <w:t>attachment</w:t>
      </w:r>
      <w:r>
        <w:t xml:space="preserve"> is often associated with training courses, where job search is to all intents temporarily suspended until the course is completed, it is also common in other activity types.</w:t>
      </w:r>
    </w:p>
    <w:p w14:paraId="7BB9182B" w14:textId="6D6EF871" w:rsidR="00130725" w:rsidRPr="00EB6A1A" w:rsidRDefault="00130725" w:rsidP="00130725">
      <w:r w:rsidRPr="00EB6A1A">
        <w:t xml:space="preserve">Whether or how this </w:t>
      </w:r>
      <w:r>
        <w:t>affect</w:t>
      </w:r>
      <w:r w:rsidR="00C84926">
        <w:t>ed</w:t>
      </w:r>
      <w:r w:rsidRPr="00EB6A1A">
        <w:t xml:space="preserve"> </w:t>
      </w:r>
      <w:r>
        <w:t>job seekers’</w:t>
      </w:r>
      <w:r w:rsidRPr="00EB6A1A">
        <w:t xml:space="preserve"> long</w:t>
      </w:r>
      <w:r>
        <w:t>er</w:t>
      </w:r>
      <w:r w:rsidRPr="00EB6A1A">
        <w:t>-term</w:t>
      </w:r>
      <w:r>
        <w:t xml:space="preserve"> employment</w:t>
      </w:r>
      <w:r w:rsidRPr="00EB6A1A">
        <w:t xml:space="preserve"> prospects is not </w:t>
      </w:r>
      <w:r>
        <w:t xml:space="preserve">part of this analysis. The main finding of this analysis is that the identified </w:t>
      </w:r>
      <w:r w:rsidRPr="00EB6A1A">
        <w:t>lock-in</w:t>
      </w:r>
      <w:r w:rsidR="000A3A57">
        <w:t xml:space="preserve">/attachment </w:t>
      </w:r>
      <w:r w:rsidRPr="00EB6A1A">
        <w:t xml:space="preserve">effect </w:t>
      </w:r>
      <w:r>
        <w:t xml:space="preserve">of the CAP </w:t>
      </w:r>
      <w:r w:rsidR="00A669E6">
        <w:t xml:space="preserve">outweighed </w:t>
      </w:r>
      <w:r>
        <w:t>any negligible threat effect</w:t>
      </w:r>
      <w:r w:rsidRPr="00EB6A1A">
        <w:t>.</w:t>
      </w:r>
    </w:p>
    <w:p w14:paraId="06E11B84" w14:textId="77777777" w:rsidR="0025006B" w:rsidRDefault="00130725" w:rsidP="00423440">
      <w:bookmarkStart w:id="406" w:name="_Toc424632410"/>
      <w:bookmarkStart w:id="407" w:name="_Toc425503670"/>
      <w:r>
        <w:br w:type="page"/>
      </w:r>
    </w:p>
    <w:p w14:paraId="04E94E08" w14:textId="77777777" w:rsidR="003F752C" w:rsidRDefault="00D042E7" w:rsidP="00897308">
      <w:pPr>
        <w:pStyle w:val="Heading1"/>
      </w:pPr>
      <w:bookmarkStart w:id="408" w:name="_Toc22543107"/>
      <w:bookmarkEnd w:id="357"/>
      <w:bookmarkEnd w:id="358"/>
      <w:bookmarkEnd w:id="372"/>
      <w:bookmarkEnd w:id="406"/>
      <w:bookmarkEnd w:id="407"/>
      <w:r>
        <w:t>7</w:t>
      </w:r>
      <w:r w:rsidR="004541A6">
        <w:tab/>
      </w:r>
      <w:r w:rsidR="00806ED3">
        <w:t>O</w:t>
      </w:r>
      <w:r w:rsidR="003F752C">
        <w:t>ther c</w:t>
      </w:r>
      <w:r w:rsidR="004541A6">
        <w:t xml:space="preserve">hanges to </w:t>
      </w:r>
      <w:r w:rsidR="003F752C">
        <w:t xml:space="preserve">the </w:t>
      </w:r>
      <w:r w:rsidR="00A01C07">
        <w:t xml:space="preserve">Job Services Australia </w:t>
      </w:r>
      <w:r w:rsidR="003F752C">
        <w:t>model</w:t>
      </w:r>
      <w:bookmarkEnd w:id="408"/>
    </w:p>
    <w:p w14:paraId="0563296E" w14:textId="77777777" w:rsidR="004541A6" w:rsidRDefault="003F752C" w:rsidP="003F752C">
      <w:pPr>
        <w:pStyle w:val="Heading2"/>
      </w:pPr>
      <w:bookmarkStart w:id="409" w:name="_Toc450919343"/>
      <w:bookmarkStart w:id="410" w:name="_Toc22543108"/>
      <w:r>
        <w:t>7.1</w:t>
      </w:r>
      <w:r w:rsidR="004541A6">
        <w:tab/>
      </w:r>
      <w:r w:rsidR="00806ED3">
        <w:t>C</w:t>
      </w:r>
      <w:r w:rsidR="004541A6">
        <w:t xml:space="preserve">hanges to encourage better servicing of </w:t>
      </w:r>
      <w:r w:rsidR="00AC21E7">
        <w:t>Indigenous</w:t>
      </w:r>
      <w:r w:rsidR="00886DC3">
        <w:t xml:space="preserve"> </w:t>
      </w:r>
      <w:r w:rsidR="004541A6">
        <w:t>job seekers</w:t>
      </w:r>
      <w:bookmarkEnd w:id="409"/>
      <w:bookmarkEnd w:id="410"/>
    </w:p>
    <w:p w14:paraId="48390DFE" w14:textId="77777777" w:rsidR="008A7CAD" w:rsidRDefault="008A7CAD" w:rsidP="0086308F">
      <w:r>
        <w:t xml:space="preserve">Some changes were made with the JSA 2012 contract which were designed to improve outcomes for </w:t>
      </w:r>
      <w:r w:rsidR="00AC21E7">
        <w:t>Indigenous</w:t>
      </w:r>
      <w:r>
        <w:t xml:space="preserve"> job seekers.</w:t>
      </w:r>
    </w:p>
    <w:p w14:paraId="4FDAA97B" w14:textId="77777777" w:rsidR="008A7CAD" w:rsidRDefault="008A7CAD" w:rsidP="008A7CAD">
      <w:pPr>
        <w:spacing w:after="0"/>
      </w:pPr>
      <w:r>
        <w:t xml:space="preserve">Some were part of the JSA service delivery model and some were </w:t>
      </w:r>
      <w:r w:rsidR="00886DC3">
        <w:t xml:space="preserve">complementary, but sat </w:t>
      </w:r>
      <w:r>
        <w:t>outside the model. These changes included:</w:t>
      </w:r>
    </w:p>
    <w:p w14:paraId="12A4B638" w14:textId="77777777" w:rsidR="0086308F" w:rsidRDefault="008A7CAD" w:rsidP="00247BDA">
      <w:pPr>
        <w:pStyle w:val="ListParagraph"/>
      </w:pPr>
      <w:r>
        <w:t xml:space="preserve">the development of on-line </w:t>
      </w:r>
      <w:r w:rsidR="00AC21E7">
        <w:t>‘</w:t>
      </w:r>
      <w:r>
        <w:t>Cultural Capability Training</w:t>
      </w:r>
      <w:r w:rsidR="00AC21E7">
        <w:t>’</w:t>
      </w:r>
      <w:r>
        <w:t xml:space="preserve"> for providers</w:t>
      </w:r>
    </w:p>
    <w:p w14:paraId="53EF3059" w14:textId="77777777" w:rsidR="008A7CAD" w:rsidRDefault="008A7CAD" w:rsidP="00247BDA">
      <w:pPr>
        <w:pStyle w:val="ListParagraph"/>
      </w:pPr>
      <w:r>
        <w:t xml:space="preserve">the Indigenous Mentoring Pilot </w:t>
      </w:r>
    </w:p>
    <w:p w14:paraId="1A1EB468" w14:textId="3DFFFE93" w:rsidR="008A7CAD" w:rsidRDefault="008A7CAD" w:rsidP="00247BDA">
      <w:pPr>
        <w:pStyle w:val="ListParagraph"/>
      </w:pPr>
      <w:r>
        <w:t xml:space="preserve">the Indigenous </w:t>
      </w:r>
      <w:r w:rsidR="002C2BB5">
        <w:t>Opportunity</w:t>
      </w:r>
      <w:r>
        <w:t xml:space="preserve"> </w:t>
      </w:r>
      <w:r w:rsidR="00EF50E6">
        <w:t>Policy</w:t>
      </w:r>
      <w:r w:rsidR="006149DB">
        <w:t>.</w:t>
      </w:r>
    </w:p>
    <w:p w14:paraId="26FBA6BD" w14:textId="77777777" w:rsidR="0086308F" w:rsidRDefault="008A7CAD" w:rsidP="0086308F">
      <w:r>
        <w:t>Qualitative research with JSA providers was undertaken in 2014 to gain an understanding of the effectiveness of these changes. A description of the research methodology is at Appendix B</w:t>
      </w:r>
      <w:r w:rsidR="008D3BC4">
        <w:t>5</w:t>
      </w:r>
      <w:r>
        <w:t>.</w:t>
      </w:r>
    </w:p>
    <w:p w14:paraId="1F3879E7" w14:textId="77777777" w:rsidR="008A7CAD" w:rsidRDefault="008A7CAD" w:rsidP="008A7CAD">
      <w:pPr>
        <w:pStyle w:val="Heading3"/>
      </w:pPr>
      <w:bookmarkStart w:id="411" w:name="_Toc22543109"/>
      <w:r>
        <w:t>7.1.1</w:t>
      </w:r>
      <w:r>
        <w:tab/>
        <w:t>Indigenous Cultural Capability Training</w:t>
      </w:r>
      <w:bookmarkEnd w:id="411"/>
    </w:p>
    <w:p w14:paraId="54A95335" w14:textId="77777777" w:rsidR="008A7CAD" w:rsidRDefault="00A01C07" w:rsidP="008A7CAD">
      <w:pPr>
        <w:pStyle w:val="Heading4"/>
      </w:pPr>
      <w:r>
        <w:t>Introduction</w:t>
      </w:r>
    </w:p>
    <w:p w14:paraId="7EE9EC3F" w14:textId="34B1A74E" w:rsidR="008A7CAD" w:rsidRDefault="008A7CAD" w:rsidP="008A7CAD">
      <w:pPr>
        <w:spacing w:after="0"/>
      </w:pPr>
      <w:r w:rsidRPr="00CE195F">
        <w:t xml:space="preserve">The Indigenous Cultural Capability Training Programme was developed by the Department </w:t>
      </w:r>
      <w:r>
        <w:t xml:space="preserve">and </w:t>
      </w:r>
      <w:r w:rsidRPr="00CE195F">
        <w:t>aim</w:t>
      </w:r>
      <w:r w:rsidR="00A536D9">
        <w:t>ed</w:t>
      </w:r>
      <w:r>
        <w:t xml:space="preserve"> </w:t>
      </w:r>
      <w:r w:rsidRPr="00CE195F">
        <w:t xml:space="preserve">to afford </w:t>
      </w:r>
      <w:r w:rsidR="00886DC3">
        <w:t xml:space="preserve">JSA </w:t>
      </w:r>
      <w:r w:rsidRPr="00CE195F">
        <w:t xml:space="preserve">staff with an overview of </w:t>
      </w:r>
      <w:r>
        <w:t>the following:</w:t>
      </w:r>
    </w:p>
    <w:p w14:paraId="6F191E7A" w14:textId="77777777" w:rsidR="008A7CAD" w:rsidRDefault="008A7CAD" w:rsidP="00247BDA">
      <w:pPr>
        <w:pStyle w:val="ListParagraph"/>
      </w:pPr>
      <w:r w:rsidRPr="00CE195F">
        <w:t>Indigenous culture</w:t>
      </w:r>
    </w:p>
    <w:p w14:paraId="31B3163F" w14:textId="77777777" w:rsidR="008A7CAD" w:rsidRDefault="008A7CAD" w:rsidP="00247BDA">
      <w:pPr>
        <w:pStyle w:val="ListParagraph"/>
      </w:pPr>
      <w:r w:rsidRPr="00CE195F">
        <w:t xml:space="preserve">the impact of </w:t>
      </w:r>
      <w:r w:rsidR="006F1796">
        <w:t xml:space="preserve">the arrival of </w:t>
      </w:r>
      <w:r w:rsidRPr="00CE195F">
        <w:t>people from Britain and Europe on that culture and identity</w:t>
      </w:r>
    </w:p>
    <w:p w14:paraId="3E694654" w14:textId="77777777" w:rsidR="008A7CAD" w:rsidRDefault="008A7CAD" w:rsidP="00247BDA">
      <w:pPr>
        <w:pStyle w:val="ListParagraph"/>
      </w:pPr>
      <w:r w:rsidRPr="00CE195F">
        <w:t xml:space="preserve">how employment services are customised to </w:t>
      </w:r>
      <w:r w:rsidR="002C2BB5" w:rsidRPr="00CE195F">
        <w:t xml:space="preserve">meet the needs of Indigenous </w:t>
      </w:r>
      <w:r w:rsidR="006F1796">
        <w:t>job seekers</w:t>
      </w:r>
      <w:r w:rsidR="002C2BB5" w:rsidRPr="00CE195F">
        <w:t xml:space="preserve"> </w:t>
      </w:r>
      <w:r w:rsidRPr="00CE195F">
        <w:t>in remote or urban areas.</w:t>
      </w:r>
    </w:p>
    <w:p w14:paraId="67BBDD61" w14:textId="550CE32D" w:rsidR="008A7CAD" w:rsidRDefault="008A7CAD" w:rsidP="001141E4">
      <w:pPr>
        <w:spacing w:after="0"/>
      </w:pPr>
      <w:r>
        <w:t xml:space="preserve">There </w:t>
      </w:r>
      <w:r w:rsidR="00A669E6">
        <w:t xml:space="preserve">were </w:t>
      </w:r>
      <w:r>
        <w:t xml:space="preserve">six on-line </w:t>
      </w:r>
      <w:r w:rsidR="00886DC3">
        <w:t>m</w:t>
      </w:r>
      <w:r>
        <w:t xml:space="preserve">odules designed to be completed in a self-paced </w:t>
      </w:r>
      <w:r w:rsidR="00886DC3">
        <w:t>e</w:t>
      </w:r>
      <w:r w:rsidR="00C5154D">
        <w:t>n</w:t>
      </w:r>
      <w:r w:rsidR="00311FBD">
        <w:t>vironment,</w:t>
      </w:r>
      <w:r w:rsidR="00886DC3">
        <w:t xml:space="preserve"> including:</w:t>
      </w:r>
    </w:p>
    <w:p w14:paraId="2D28BC6A" w14:textId="77777777" w:rsidR="00886DC3" w:rsidRDefault="008A7CAD" w:rsidP="00247BDA">
      <w:pPr>
        <w:pStyle w:val="ListParagraph"/>
      </w:pPr>
      <w:r>
        <w:t>Indigenous Identity and Culture</w:t>
      </w:r>
    </w:p>
    <w:p w14:paraId="0ED0F0BF" w14:textId="77777777" w:rsidR="008A7CAD" w:rsidRDefault="00886DC3" w:rsidP="00247BDA">
      <w:pPr>
        <w:pStyle w:val="ListParagraph"/>
      </w:pPr>
      <w:r>
        <w:t>Indigenous History and Reconciliation</w:t>
      </w:r>
    </w:p>
    <w:p w14:paraId="00B098BF" w14:textId="77777777" w:rsidR="008A7CAD" w:rsidRDefault="008A7CAD" w:rsidP="00247BDA">
      <w:pPr>
        <w:pStyle w:val="ListParagraph"/>
      </w:pPr>
      <w:r>
        <w:t>Indigenous Cultural Awareness in Employment Services</w:t>
      </w:r>
    </w:p>
    <w:p w14:paraId="11E08432" w14:textId="58A81B6C" w:rsidR="008A7CAD" w:rsidRDefault="008A7CAD" w:rsidP="00247BDA">
      <w:pPr>
        <w:pStyle w:val="ListParagraph"/>
      </w:pPr>
      <w:r>
        <w:t>Employment Service</w:t>
      </w:r>
      <w:r w:rsidR="00E7638D">
        <w:t>s</w:t>
      </w:r>
      <w:r>
        <w:t xml:space="preserve"> Delivery in Urban and Regional Locations</w:t>
      </w:r>
    </w:p>
    <w:p w14:paraId="6D3C3D77" w14:textId="15E5034A" w:rsidR="008A7CAD" w:rsidRDefault="008A7CAD" w:rsidP="00247BDA">
      <w:pPr>
        <w:pStyle w:val="ListParagraph"/>
      </w:pPr>
      <w:r>
        <w:t>Employment Service</w:t>
      </w:r>
      <w:r w:rsidR="00E7638D">
        <w:t>s</w:t>
      </w:r>
      <w:r>
        <w:t xml:space="preserve"> Delivery in Remote Locations</w:t>
      </w:r>
    </w:p>
    <w:p w14:paraId="3B0EF8A0" w14:textId="77777777" w:rsidR="008A7CAD" w:rsidRDefault="008A7CAD" w:rsidP="00247BDA">
      <w:pPr>
        <w:pStyle w:val="ListParagraph"/>
      </w:pPr>
      <w:r>
        <w:t>Working with and Supporting Employers</w:t>
      </w:r>
      <w:r w:rsidR="00E8056E">
        <w:t>.</w:t>
      </w:r>
    </w:p>
    <w:p w14:paraId="4864F40E" w14:textId="6CF75D0C" w:rsidR="00886DC3" w:rsidRDefault="00886DC3" w:rsidP="00C5154D">
      <w:r>
        <w:t xml:space="preserve">The training </w:t>
      </w:r>
      <w:r w:rsidR="00A669E6">
        <w:t xml:space="preserve">involved </w:t>
      </w:r>
      <w:r>
        <w:t>reading the information and answering questions at the end of each module. There is also a ‘lite’ version of the modules.</w:t>
      </w:r>
    </w:p>
    <w:p w14:paraId="63F3A66F" w14:textId="77777777" w:rsidR="008A7CAD" w:rsidRDefault="00A01C07" w:rsidP="008A7CAD">
      <w:pPr>
        <w:pStyle w:val="Heading4"/>
      </w:pPr>
      <w:r>
        <w:t>Key Findings</w:t>
      </w:r>
    </w:p>
    <w:p w14:paraId="1544D901" w14:textId="77777777" w:rsidR="008A7CAD" w:rsidRDefault="008A7CAD" w:rsidP="008A7CAD">
      <w:r>
        <w:t xml:space="preserve">Just over </w:t>
      </w:r>
      <w:r w:rsidR="002C2BB5">
        <w:t>half</w:t>
      </w:r>
      <w:r>
        <w:t xml:space="preserve"> of</w:t>
      </w:r>
      <w:r w:rsidRPr="00C85C6D">
        <w:t xml:space="preserve"> </w:t>
      </w:r>
      <w:r>
        <w:t xml:space="preserve">employees at the JSA sites </w:t>
      </w:r>
      <w:r w:rsidR="00886DC3">
        <w:t xml:space="preserve">visited </w:t>
      </w:r>
      <w:r>
        <w:t>had completed all six modules. It seemed that if employees undertook the training they generally completed all modules. However, among the managers interviewed m</w:t>
      </w:r>
      <w:r w:rsidRPr="009D59D1">
        <w:t>any remembered their own company cultural awareness training that included Indigenous group leaders.</w:t>
      </w:r>
      <w:r>
        <w:t xml:space="preserve"> </w:t>
      </w:r>
      <w:r w:rsidRPr="009D59D1">
        <w:t xml:space="preserve">The majority did not recall </w:t>
      </w:r>
      <w:r w:rsidR="003C7EBE">
        <w:t>d</w:t>
      </w:r>
      <w:r w:rsidRPr="009D59D1">
        <w:t>epartmental training even if they had done it.</w:t>
      </w:r>
    </w:p>
    <w:p w14:paraId="0D45A554" w14:textId="77777777" w:rsidR="008A7CAD" w:rsidRPr="009D59D1" w:rsidRDefault="008A7CAD" w:rsidP="008A7CAD">
      <w:r>
        <w:t>To put this in context, most of the providers visited were national companies or had a number of offices. Many had their own</w:t>
      </w:r>
      <w:r w:rsidRPr="009D59D1">
        <w:rPr>
          <w:bCs/>
        </w:rPr>
        <w:t xml:space="preserve"> cultural awareness program</w:t>
      </w:r>
      <w:r w:rsidR="00E8056E">
        <w:rPr>
          <w:bCs/>
        </w:rPr>
        <w:t>me</w:t>
      </w:r>
      <w:r>
        <w:rPr>
          <w:bCs/>
        </w:rPr>
        <w:t>s which were</w:t>
      </w:r>
      <w:r w:rsidRPr="009D59D1">
        <w:rPr>
          <w:bCs/>
        </w:rPr>
        <w:t xml:space="preserve"> face-to-face and </w:t>
      </w:r>
      <w:r w:rsidRPr="00BA5F8A">
        <w:rPr>
          <w:bCs/>
        </w:rPr>
        <w:t>involved local Indigenous leaders</w:t>
      </w:r>
      <w:r>
        <w:rPr>
          <w:bCs/>
        </w:rPr>
        <w:t xml:space="preserve"> and were </w:t>
      </w:r>
      <w:r w:rsidRPr="009D59D1">
        <w:rPr>
          <w:bCs/>
        </w:rPr>
        <w:t xml:space="preserve">therefore </w:t>
      </w:r>
      <w:r>
        <w:rPr>
          <w:bCs/>
        </w:rPr>
        <w:t>considered more appropriate than online training</w:t>
      </w:r>
      <w:r w:rsidRPr="009D59D1">
        <w:rPr>
          <w:bCs/>
        </w:rPr>
        <w:t>.</w:t>
      </w:r>
    </w:p>
    <w:p w14:paraId="43E43034" w14:textId="77777777" w:rsidR="008A7CAD" w:rsidRDefault="008A7CAD" w:rsidP="008A7CAD">
      <w:r>
        <w:t>There was little feedback from JSA site managers regarding their own or staff perceptions of the modules. For several respondents, the modules provided some interest; for other</w:t>
      </w:r>
      <w:r w:rsidR="00A536D9">
        <w:t>s</w:t>
      </w:r>
      <w:r>
        <w:t xml:space="preserve">, it sparked some conversation, but did not appear to </w:t>
      </w:r>
      <w:r w:rsidR="00A536D9">
        <w:t>affect</w:t>
      </w:r>
      <w:r>
        <w:t xml:space="preserve"> their behaviour.</w:t>
      </w:r>
    </w:p>
    <w:p w14:paraId="241A0692" w14:textId="249AFBD0" w:rsidR="008A7CAD" w:rsidRDefault="008A7CAD" w:rsidP="008A7CAD">
      <w:r>
        <w:t>There was near-unanimous agreement that</w:t>
      </w:r>
      <w:r w:rsidR="00A669E6">
        <w:t>,</w:t>
      </w:r>
      <w:r>
        <w:t xml:space="preserve"> </w:t>
      </w:r>
      <w:r w:rsidR="00E64182">
        <w:t>for</w:t>
      </w:r>
      <w:r w:rsidR="00E64182" w:rsidRPr="002104FB">
        <w:t xml:space="preserve"> </w:t>
      </w:r>
      <w:r w:rsidRPr="002104FB">
        <w:t>th</w:t>
      </w:r>
      <w:r w:rsidR="00E64182">
        <w:t>e</w:t>
      </w:r>
      <w:r w:rsidRPr="002104FB">
        <w:t xml:space="preserve"> </w:t>
      </w:r>
      <w:r>
        <w:t xml:space="preserve">training </w:t>
      </w:r>
      <w:r w:rsidR="00E64182">
        <w:t xml:space="preserve">to </w:t>
      </w:r>
      <w:r w:rsidRPr="002104FB">
        <w:t>be use</w:t>
      </w:r>
      <w:r w:rsidR="00E64182">
        <w:t>ful,</w:t>
      </w:r>
      <w:r w:rsidRPr="002104FB">
        <w:t xml:space="preserve"> it should be used as backup or </w:t>
      </w:r>
      <w:r>
        <w:t>discussion</w:t>
      </w:r>
      <w:r w:rsidRPr="002104FB">
        <w:t xml:space="preserve"> material</w:t>
      </w:r>
      <w:r>
        <w:t>. In the latter case, an</w:t>
      </w:r>
      <w:r w:rsidRPr="002104FB">
        <w:t xml:space="preserve"> Indigenous employment consultant </w:t>
      </w:r>
      <w:r>
        <w:t>or a local Indigenous leader could utilise the training material with groups of staff. They could</w:t>
      </w:r>
      <w:r w:rsidRPr="002104FB">
        <w:t xml:space="preserve"> watch the first module, have a discussion, and then meet week</w:t>
      </w:r>
      <w:r>
        <w:t>ly,</w:t>
      </w:r>
      <w:r w:rsidRPr="002104FB">
        <w:t xml:space="preserve"> and </w:t>
      </w:r>
      <w:r>
        <w:t>complete the modules</w:t>
      </w:r>
      <w:r w:rsidRPr="002104FB">
        <w:t xml:space="preserve"> over six weeks</w:t>
      </w:r>
      <w:r>
        <w:t xml:space="preserve"> in a similar manner</w:t>
      </w:r>
      <w:r w:rsidRPr="002104FB">
        <w:t>.</w:t>
      </w:r>
    </w:p>
    <w:p w14:paraId="157AD40D" w14:textId="77777777" w:rsidR="008C11CB" w:rsidRDefault="008C11CB" w:rsidP="008C11CB">
      <w:pPr>
        <w:pStyle w:val="Heading4"/>
      </w:pPr>
      <w:r>
        <w:t>Conclusion</w:t>
      </w:r>
    </w:p>
    <w:p w14:paraId="2425B55D" w14:textId="6BA36298" w:rsidR="008A7CAD" w:rsidRDefault="00682D84" w:rsidP="008A7CAD">
      <w:r>
        <w:t>Q</w:t>
      </w:r>
      <w:r w:rsidR="000A3A27">
        <w:t>u</w:t>
      </w:r>
      <w:r>
        <w:t>alitative evidence indicates that</w:t>
      </w:r>
      <w:r w:rsidR="008A7CAD" w:rsidRPr="009D59D1">
        <w:t xml:space="preserve"> the </w:t>
      </w:r>
      <w:r w:rsidR="008A7CAD">
        <w:t>training</w:t>
      </w:r>
      <w:r w:rsidR="008A7CAD" w:rsidRPr="009D59D1">
        <w:t xml:space="preserve"> would </w:t>
      </w:r>
      <w:r w:rsidR="002C2BB5">
        <w:t xml:space="preserve">have improved </w:t>
      </w:r>
      <w:r w:rsidR="008A7CAD" w:rsidRPr="009D59D1">
        <w:t xml:space="preserve">if </w:t>
      </w:r>
      <w:r w:rsidR="008A7CAD">
        <w:t>conducted</w:t>
      </w:r>
      <w:r w:rsidR="008A7CAD" w:rsidRPr="009D59D1">
        <w:t xml:space="preserve"> in small groups; preferably with an Indigenous mentor or community </w:t>
      </w:r>
      <w:r w:rsidR="008A7CAD">
        <w:t xml:space="preserve">member who </w:t>
      </w:r>
      <w:r w:rsidR="00976D9A">
        <w:t xml:space="preserve">could </w:t>
      </w:r>
      <w:r w:rsidR="008A7CAD">
        <w:t xml:space="preserve">answer specific questions (e.g. Why is the term </w:t>
      </w:r>
      <w:r w:rsidR="00E64182">
        <w:t>‘</w:t>
      </w:r>
      <w:r w:rsidR="008A7CAD">
        <w:t>aunty</w:t>
      </w:r>
      <w:r w:rsidR="00E64182">
        <w:t>’</w:t>
      </w:r>
      <w:r w:rsidR="008A7CAD">
        <w:t xml:space="preserve"> used?). </w:t>
      </w:r>
      <w:r w:rsidR="008A7CAD" w:rsidRPr="00685F33">
        <w:t>JSA managers</w:t>
      </w:r>
      <w:r w:rsidR="008A7CAD">
        <w:t xml:space="preserve"> generally supported a more experiential approach to the training.</w:t>
      </w:r>
    </w:p>
    <w:p w14:paraId="55AB84EE" w14:textId="77777777" w:rsidR="008A7CAD" w:rsidRDefault="008A7CAD" w:rsidP="008A7CAD">
      <w:pPr>
        <w:spacing w:after="0"/>
      </w:pPr>
      <w:r>
        <w:t>The following could improve both the take-up and the impact of the Indigenous Cultural Capability Training:</w:t>
      </w:r>
    </w:p>
    <w:p w14:paraId="301777A0" w14:textId="77777777" w:rsidR="008A7CAD" w:rsidRPr="00E64182" w:rsidRDefault="008A7CAD" w:rsidP="00247BDA">
      <w:pPr>
        <w:pStyle w:val="ListParagraph"/>
      </w:pPr>
      <w:r w:rsidRPr="00E64182">
        <w:t>the modules should be undertaken by staff members in groups to allow for discussion</w:t>
      </w:r>
    </w:p>
    <w:p w14:paraId="0F5514D0" w14:textId="77777777" w:rsidR="008A7CAD" w:rsidRPr="00E64182" w:rsidRDefault="008A7CAD" w:rsidP="00247BDA">
      <w:pPr>
        <w:pStyle w:val="ListParagraph"/>
      </w:pPr>
      <w:r w:rsidRPr="00E64182">
        <w:t>if possible, an Indigenous mentor, employment consultant or local elder should be invited to assist with the sessions</w:t>
      </w:r>
    </w:p>
    <w:p w14:paraId="4E0C2150" w14:textId="77777777" w:rsidR="008A7CAD" w:rsidRPr="00E64182" w:rsidRDefault="008A7CAD" w:rsidP="00247BDA">
      <w:pPr>
        <w:pStyle w:val="ListParagraph"/>
      </w:pPr>
      <w:r w:rsidRPr="00E64182">
        <w:t>the modules should be undertaken over a six weeks period to allow time for more discussion and also to not impact too severely on the work of the office.</w:t>
      </w:r>
    </w:p>
    <w:p w14:paraId="4266EB48" w14:textId="77777777" w:rsidR="008A7CAD" w:rsidRDefault="008A7CAD" w:rsidP="008A7CAD">
      <w:pPr>
        <w:pStyle w:val="Heading3"/>
      </w:pPr>
      <w:bookmarkStart w:id="412" w:name="_Toc22543110"/>
      <w:r>
        <w:t>7.1.</w:t>
      </w:r>
      <w:r w:rsidR="00C60BD7">
        <w:t>2</w:t>
      </w:r>
      <w:r>
        <w:tab/>
        <w:t xml:space="preserve">Indigenous Mentoring </w:t>
      </w:r>
      <w:r w:rsidR="00FB1E03">
        <w:t>Pilot</w:t>
      </w:r>
      <w:bookmarkEnd w:id="412"/>
    </w:p>
    <w:p w14:paraId="015CEE3F" w14:textId="77777777" w:rsidR="00AA0692" w:rsidRDefault="00A01C07" w:rsidP="00AA0692">
      <w:pPr>
        <w:pStyle w:val="Heading4"/>
      </w:pPr>
      <w:r>
        <w:t>Introduction</w:t>
      </w:r>
    </w:p>
    <w:p w14:paraId="652C8621" w14:textId="102472F9" w:rsidR="008A7CAD" w:rsidRPr="005A7491" w:rsidRDefault="008A7CAD" w:rsidP="008A7CAD">
      <w:r>
        <w:t xml:space="preserve">The </w:t>
      </w:r>
      <w:r w:rsidR="000123D3">
        <w:t>‘</w:t>
      </w:r>
      <w:r w:rsidRPr="0027337E">
        <w:t>Access to Mentor</w:t>
      </w:r>
      <w:r>
        <w:t>i</w:t>
      </w:r>
      <w:r w:rsidRPr="0027337E">
        <w:t xml:space="preserve">ng Support for Indigenous Job Seekers </w:t>
      </w:r>
      <w:r>
        <w:t>Pilot</w:t>
      </w:r>
      <w:r w:rsidR="000123D3">
        <w:t>’</w:t>
      </w:r>
      <w:r>
        <w:t xml:space="preserve"> (the </w:t>
      </w:r>
      <w:r w:rsidR="00E8056E" w:rsidRPr="0027337E">
        <w:t>Indigenous Mentor</w:t>
      </w:r>
      <w:r w:rsidR="00E8056E">
        <w:t>i</w:t>
      </w:r>
      <w:r w:rsidR="00E8056E" w:rsidRPr="0027337E">
        <w:t xml:space="preserve">ng </w:t>
      </w:r>
      <w:r w:rsidR="00882A95">
        <w:t>P</w:t>
      </w:r>
      <w:r>
        <w:t xml:space="preserve">ilot) was designed </w:t>
      </w:r>
      <w:r w:rsidRPr="005A7491">
        <w:t xml:space="preserve">to </w:t>
      </w:r>
      <w:r>
        <w:t xml:space="preserve">trial the provision of culturally appropriate mentoring support for </w:t>
      </w:r>
      <w:r w:rsidR="00AC21E7">
        <w:t xml:space="preserve">Indigenous </w:t>
      </w:r>
      <w:r>
        <w:t>job seekers</w:t>
      </w:r>
      <w:r w:rsidR="000123D3">
        <w:t xml:space="preserve">. It </w:t>
      </w:r>
      <w:r>
        <w:t>includ</w:t>
      </w:r>
      <w:r w:rsidR="000123D3">
        <w:t>ed</w:t>
      </w:r>
      <w:r>
        <w:t xml:space="preserve"> pre-placement support and ongoing mentoring throughout the first 26 weeks of employment. The pilot</w:t>
      </w:r>
      <w:r w:rsidR="00AA0692">
        <w:t xml:space="preserve"> commenced on 1 July 2012 and</w:t>
      </w:r>
      <w:r>
        <w:t xml:space="preserve"> attracted funding of $6.1 million over three years </w:t>
      </w:r>
      <w:r w:rsidRPr="005A7491">
        <w:t xml:space="preserve">as part of </w:t>
      </w:r>
      <w:r>
        <w:t>the 2011 Budget</w:t>
      </w:r>
      <w:r w:rsidRPr="003A0ADB">
        <w:t>.</w:t>
      </w:r>
      <w:r w:rsidR="00AA0692">
        <w:t xml:space="preserve"> </w:t>
      </w:r>
      <w:r>
        <w:t xml:space="preserve">The overall objective </w:t>
      </w:r>
      <w:r w:rsidR="00976D9A">
        <w:t xml:space="preserve">was </w:t>
      </w:r>
      <w:r>
        <w:t xml:space="preserve">determining whether intensive and culturally appropriate mentor support contributes to improved sustainability of employment for </w:t>
      </w:r>
      <w:r w:rsidR="00AC21E7">
        <w:t xml:space="preserve">Indigenous </w:t>
      </w:r>
      <w:r>
        <w:t xml:space="preserve">job seekers who commence work. Mentoring support </w:t>
      </w:r>
      <w:r w:rsidR="00AA0692">
        <w:t xml:space="preserve">(additional to the support expected) </w:t>
      </w:r>
      <w:r w:rsidR="00A536D9">
        <w:t xml:space="preserve">was </w:t>
      </w:r>
      <w:r>
        <w:t xml:space="preserve">provided to </w:t>
      </w:r>
      <w:r w:rsidR="000123D3">
        <w:t xml:space="preserve">selected </w:t>
      </w:r>
      <w:r w:rsidR="00AC21E7">
        <w:t xml:space="preserve">Indigenous </w:t>
      </w:r>
      <w:r>
        <w:t>job seekers, with priority given to job seekers in Streams 3 and 4.</w:t>
      </w:r>
    </w:p>
    <w:p w14:paraId="7822965F" w14:textId="688210C1" w:rsidR="008A7CAD" w:rsidRDefault="008A7CAD" w:rsidP="008A7CAD">
      <w:r>
        <w:t xml:space="preserve">The specific objectives of the </w:t>
      </w:r>
      <w:r w:rsidR="00E8056E" w:rsidRPr="0027337E">
        <w:t>Indigenous Mentor</w:t>
      </w:r>
      <w:r w:rsidR="00E8056E">
        <w:t>i</w:t>
      </w:r>
      <w:r w:rsidR="00E8056E" w:rsidRPr="0027337E">
        <w:t xml:space="preserve">ng </w:t>
      </w:r>
      <w:r w:rsidR="00882A95">
        <w:t>P</w:t>
      </w:r>
      <w:r>
        <w:t xml:space="preserve">ilot </w:t>
      </w:r>
      <w:r w:rsidR="00A536D9">
        <w:t xml:space="preserve">were </w:t>
      </w:r>
      <w:r>
        <w:t>to:</w:t>
      </w:r>
    </w:p>
    <w:p w14:paraId="61EFC5E0" w14:textId="28F1A42A" w:rsidR="008A7CAD" w:rsidRPr="005A7491" w:rsidRDefault="00A669E6" w:rsidP="00247BDA">
      <w:pPr>
        <w:pStyle w:val="ListParagraph"/>
      </w:pPr>
      <w:r>
        <w:t>provide</w:t>
      </w:r>
      <w:r w:rsidRPr="003B1EBE">
        <w:t xml:space="preserve"> </w:t>
      </w:r>
      <w:r w:rsidR="008A7CAD">
        <w:t xml:space="preserve">one-on-one </w:t>
      </w:r>
      <w:r w:rsidR="008A7CAD" w:rsidRPr="003B1EBE">
        <w:t xml:space="preserve">mentoring support </w:t>
      </w:r>
      <w:r w:rsidR="008A7CAD">
        <w:t xml:space="preserve">to </w:t>
      </w:r>
      <w:r w:rsidR="00AC21E7">
        <w:t xml:space="preserve">Indigenous </w:t>
      </w:r>
      <w:r w:rsidR="008A7CAD">
        <w:t>job seekers</w:t>
      </w:r>
      <w:r w:rsidR="008A7CAD" w:rsidRPr="003B1EBE">
        <w:t xml:space="preserve"> in areas </w:t>
      </w:r>
      <w:r w:rsidR="002C2BB5">
        <w:t xml:space="preserve">with a relatively higher proportion of Indigenous persons </w:t>
      </w:r>
      <w:r w:rsidR="008A7CAD">
        <w:t>and strong employer demand</w:t>
      </w:r>
    </w:p>
    <w:p w14:paraId="46871CE2" w14:textId="3723BC37" w:rsidR="008A7CAD" w:rsidRDefault="00A669E6" w:rsidP="00247BDA">
      <w:pPr>
        <w:pStyle w:val="ListParagraph"/>
      </w:pPr>
      <w:r>
        <w:t xml:space="preserve">following </w:t>
      </w:r>
      <w:r w:rsidR="008A7CAD">
        <w:t xml:space="preserve">employment placement of an </w:t>
      </w:r>
      <w:r w:rsidR="00AC21E7">
        <w:t xml:space="preserve">Indigenous </w:t>
      </w:r>
      <w:r w:rsidR="008A7CAD">
        <w:t>job seeker, provide mentoring support for up to 26 weeks</w:t>
      </w:r>
    </w:p>
    <w:p w14:paraId="486BE344" w14:textId="2197C6B0" w:rsidR="008A7CAD" w:rsidRPr="005A7491" w:rsidRDefault="00A669E6" w:rsidP="00247BDA">
      <w:pPr>
        <w:pStyle w:val="ListParagraph"/>
      </w:pPr>
      <w:r>
        <w:t xml:space="preserve">achieve </w:t>
      </w:r>
      <w:r w:rsidR="008A7CAD">
        <w:t>sustained employment outcomes for Indigenous</w:t>
      </w:r>
      <w:r w:rsidR="008A7CAD" w:rsidRPr="00CE67A0">
        <w:t xml:space="preserve"> </w:t>
      </w:r>
      <w:r w:rsidR="000A3A27">
        <w:t>M</w:t>
      </w:r>
      <w:r w:rsidR="008A7CAD">
        <w:t xml:space="preserve">entoring </w:t>
      </w:r>
      <w:r w:rsidR="000A3A27">
        <w:t>P</w:t>
      </w:r>
      <w:r w:rsidR="008A7CAD">
        <w:t>ilot participants</w:t>
      </w:r>
    </w:p>
    <w:p w14:paraId="6DFA8762" w14:textId="37BA772D" w:rsidR="008A7CAD" w:rsidRPr="005A7491" w:rsidRDefault="00A669E6" w:rsidP="00247BDA">
      <w:pPr>
        <w:pStyle w:val="ListParagraph"/>
      </w:pPr>
      <w:r>
        <w:t xml:space="preserve">ascertain </w:t>
      </w:r>
      <w:r w:rsidR="008A7CAD">
        <w:t xml:space="preserve">whether culturally appropriate mentoring support contributes to sustained employment outcomes for </w:t>
      </w:r>
      <w:r w:rsidR="00AC21E7">
        <w:t xml:space="preserve">Indigenous </w:t>
      </w:r>
      <w:r w:rsidR="008A7CAD">
        <w:t>job seekers</w:t>
      </w:r>
    </w:p>
    <w:p w14:paraId="3F28B915" w14:textId="6969CF91" w:rsidR="008A7CAD" w:rsidRPr="00A46A7F" w:rsidRDefault="00A669E6" w:rsidP="00247BDA">
      <w:pPr>
        <w:pStyle w:val="ListParagraph"/>
      </w:pPr>
      <w:r>
        <w:t>c</w:t>
      </w:r>
      <w:r w:rsidRPr="003B1EBE">
        <w:t xml:space="preserve">ontribute </w:t>
      </w:r>
      <w:r w:rsidR="008A7CAD" w:rsidRPr="003B1EBE">
        <w:t>to the Closing the Gap on Indigenous employment outcomes objective</w:t>
      </w:r>
      <w:r w:rsidR="008A7CAD">
        <w:t xml:space="preserve"> t</w:t>
      </w:r>
      <w:r w:rsidR="008A7CAD" w:rsidRPr="003B1EBE">
        <w:t>o halve the gap in employment outcomes between Indigenous and non-Indigenous Australians within a decade.</w:t>
      </w:r>
      <w:r w:rsidR="008A7CAD" w:rsidRPr="003A0ADB">
        <w:rPr>
          <w:rStyle w:val="FootnoteReference"/>
          <w:rFonts w:cstheme="minorHAnsi"/>
        </w:rPr>
        <w:footnoteReference w:id="55"/>
      </w:r>
    </w:p>
    <w:p w14:paraId="1851257C" w14:textId="09A35F9B" w:rsidR="008A7CAD" w:rsidRDefault="00265029" w:rsidP="000123D3">
      <w:pPr>
        <w:pStyle w:val="Tableforcontents"/>
      </w:pPr>
      <w:bookmarkStart w:id="413" w:name="_Toc22543994"/>
      <w:r>
        <w:t xml:space="preserve">Table </w:t>
      </w:r>
      <w:r w:rsidR="000123D3">
        <w:t>7.1</w:t>
      </w:r>
      <w:r w:rsidR="003C29A5">
        <w:t xml:space="preserve">: </w:t>
      </w:r>
      <w:r w:rsidR="00AA0692">
        <w:t>Employment Service</w:t>
      </w:r>
      <w:r w:rsidR="00E7638D">
        <w:t>s</w:t>
      </w:r>
      <w:r w:rsidR="00AA0692">
        <w:t xml:space="preserve"> Areas (</w:t>
      </w:r>
      <w:r w:rsidR="008A7CAD">
        <w:t>ESA</w:t>
      </w:r>
      <w:r w:rsidR="00AA0692">
        <w:t>)</w:t>
      </w:r>
      <w:r w:rsidR="008A7CAD">
        <w:t xml:space="preserve"> </w:t>
      </w:r>
      <w:r w:rsidR="000123D3">
        <w:t xml:space="preserve">where the </w:t>
      </w:r>
      <w:r w:rsidR="006D5A09">
        <w:t>Indigenous Mentoring Pilot (IMP)</w:t>
      </w:r>
      <w:r w:rsidR="000123D3">
        <w:t xml:space="preserve"> was conducted</w:t>
      </w:r>
      <w:bookmarkEnd w:id="4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1"/>
      </w:tblGrid>
      <w:tr w:rsidR="00EE3126" w14:paraId="0C0A5978" w14:textId="77777777" w:rsidTr="00EE3126">
        <w:trPr>
          <w:trHeight w:hRule="exact" w:val="356"/>
          <w:tblHeader/>
        </w:trPr>
        <w:tc>
          <w:tcPr>
            <w:tcW w:w="2310" w:type="dxa"/>
            <w:shd w:val="clear" w:color="auto" w:fill="1E3D6B"/>
          </w:tcPr>
          <w:p w14:paraId="7C17CB21" w14:textId="77777777" w:rsidR="00EE3126" w:rsidRPr="00E6223C" w:rsidRDefault="00EE3126" w:rsidP="00DC1334">
            <w:pPr>
              <w:rPr>
                <w:rFonts w:cstheme="minorHAnsi"/>
                <w:b/>
              </w:rPr>
            </w:pPr>
            <w:bookmarkStart w:id="414" w:name="ColumnTitle_71"/>
            <w:bookmarkEnd w:id="414"/>
            <w:r w:rsidRPr="00E6223C">
              <w:rPr>
                <w:rFonts w:cstheme="minorHAnsi"/>
                <w:b/>
              </w:rPr>
              <w:t>State</w:t>
            </w:r>
          </w:p>
        </w:tc>
        <w:tc>
          <w:tcPr>
            <w:tcW w:w="2311" w:type="dxa"/>
            <w:shd w:val="clear" w:color="auto" w:fill="1E3D6B"/>
          </w:tcPr>
          <w:p w14:paraId="37D89CF6" w14:textId="77777777" w:rsidR="00EE3126" w:rsidRPr="00E6223C" w:rsidRDefault="00EE3126" w:rsidP="00DC1334">
            <w:pPr>
              <w:rPr>
                <w:rFonts w:cstheme="minorHAnsi"/>
                <w:b/>
              </w:rPr>
            </w:pPr>
            <w:r w:rsidRPr="00E6223C">
              <w:rPr>
                <w:rFonts w:cstheme="minorHAnsi"/>
                <w:b/>
              </w:rPr>
              <w:t>ESA</w:t>
            </w:r>
          </w:p>
        </w:tc>
      </w:tr>
      <w:tr w:rsidR="00E113E9" w:rsidRPr="00E113E9" w14:paraId="43D0D947" w14:textId="77777777" w:rsidTr="00E113E9">
        <w:trPr>
          <w:trHeight w:hRule="exact" w:val="284"/>
          <w:tblHeader/>
        </w:trPr>
        <w:tc>
          <w:tcPr>
            <w:tcW w:w="2310" w:type="dxa"/>
            <w:shd w:val="clear" w:color="auto" w:fill="FFFFFF" w:themeFill="background2"/>
          </w:tcPr>
          <w:p w14:paraId="04170ABE" w14:textId="77777777" w:rsidR="00E113E9" w:rsidRPr="00E113E9" w:rsidRDefault="00E113E9" w:rsidP="004C0986">
            <w:pPr>
              <w:rPr>
                <w:rFonts w:cstheme="minorHAnsi"/>
                <w:color w:val="000000" w:themeColor="text1"/>
                <w:sz w:val="20"/>
                <w:szCs w:val="20"/>
              </w:rPr>
            </w:pPr>
            <w:r w:rsidRPr="00E113E9">
              <w:rPr>
                <w:rFonts w:cstheme="minorHAnsi"/>
                <w:color w:val="000000" w:themeColor="text1"/>
                <w:sz w:val="20"/>
                <w:szCs w:val="20"/>
              </w:rPr>
              <w:t>New South Wales</w:t>
            </w:r>
          </w:p>
        </w:tc>
        <w:tc>
          <w:tcPr>
            <w:tcW w:w="2311" w:type="dxa"/>
            <w:shd w:val="clear" w:color="auto" w:fill="FFFFFF" w:themeFill="background2"/>
            <w:vAlign w:val="center"/>
          </w:tcPr>
          <w:p w14:paraId="0303CCB4"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Central Coast</w:t>
            </w:r>
          </w:p>
        </w:tc>
      </w:tr>
      <w:tr w:rsidR="00E113E9" w:rsidRPr="00E113E9" w14:paraId="12E3ACA4" w14:textId="77777777" w:rsidTr="00E113E9">
        <w:trPr>
          <w:trHeight w:hRule="exact" w:val="284"/>
          <w:tblHeader/>
        </w:trPr>
        <w:tc>
          <w:tcPr>
            <w:tcW w:w="2310" w:type="dxa"/>
            <w:shd w:val="clear" w:color="auto" w:fill="FFFFFF" w:themeFill="background2"/>
          </w:tcPr>
          <w:p w14:paraId="3E2C4200" w14:textId="77777777" w:rsidR="00E113E9" w:rsidRPr="00E113E9" w:rsidRDefault="00E113E9" w:rsidP="004C0986">
            <w:pPr>
              <w:rPr>
                <w:rFonts w:cstheme="minorHAnsi"/>
                <w:color w:val="FFFFFF" w:themeColor="background2"/>
                <w:sz w:val="20"/>
                <w:szCs w:val="20"/>
              </w:rPr>
            </w:pPr>
            <w:r w:rsidRPr="00E113E9">
              <w:rPr>
                <w:rFonts w:cstheme="minorHAnsi"/>
                <w:color w:val="FFFFFF" w:themeColor="background2"/>
                <w:sz w:val="20"/>
                <w:szCs w:val="20"/>
              </w:rPr>
              <w:t>New South Wales</w:t>
            </w:r>
          </w:p>
        </w:tc>
        <w:tc>
          <w:tcPr>
            <w:tcW w:w="2311" w:type="dxa"/>
            <w:shd w:val="clear" w:color="auto" w:fill="FFFFFF" w:themeFill="background2"/>
            <w:vAlign w:val="center"/>
          </w:tcPr>
          <w:p w14:paraId="42ECD63D"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Inner Sydney</w:t>
            </w:r>
          </w:p>
        </w:tc>
      </w:tr>
      <w:tr w:rsidR="00E113E9" w:rsidRPr="00E113E9" w14:paraId="6F63AE08" w14:textId="77777777" w:rsidTr="00E113E9">
        <w:trPr>
          <w:trHeight w:hRule="exact" w:val="284"/>
          <w:tblHeader/>
        </w:trPr>
        <w:tc>
          <w:tcPr>
            <w:tcW w:w="2310" w:type="dxa"/>
            <w:shd w:val="clear" w:color="auto" w:fill="FFFFFF" w:themeFill="background2"/>
          </w:tcPr>
          <w:p w14:paraId="4362D82F" w14:textId="77777777" w:rsidR="00E113E9" w:rsidRPr="00E113E9" w:rsidRDefault="00E113E9" w:rsidP="004C0986">
            <w:pPr>
              <w:rPr>
                <w:rFonts w:cstheme="minorHAnsi"/>
                <w:color w:val="FFFFFF" w:themeColor="background2"/>
                <w:sz w:val="20"/>
                <w:szCs w:val="20"/>
              </w:rPr>
            </w:pPr>
            <w:r w:rsidRPr="00E113E9">
              <w:rPr>
                <w:rFonts w:cstheme="minorHAnsi"/>
                <w:color w:val="FFFFFF" w:themeColor="background2"/>
                <w:sz w:val="20"/>
                <w:szCs w:val="20"/>
              </w:rPr>
              <w:t>New South Wales</w:t>
            </w:r>
          </w:p>
        </w:tc>
        <w:tc>
          <w:tcPr>
            <w:tcW w:w="2311" w:type="dxa"/>
            <w:shd w:val="clear" w:color="auto" w:fill="FFFFFF" w:themeFill="background2"/>
            <w:vAlign w:val="center"/>
          </w:tcPr>
          <w:p w14:paraId="420C5D4A"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Lower Hunter</w:t>
            </w:r>
          </w:p>
        </w:tc>
      </w:tr>
      <w:tr w:rsidR="00E113E9" w:rsidRPr="00E113E9" w14:paraId="29384453" w14:textId="77777777" w:rsidTr="00E113E9">
        <w:trPr>
          <w:trHeight w:hRule="exact" w:val="284"/>
          <w:tblHeader/>
        </w:trPr>
        <w:tc>
          <w:tcPr>
            <w:tcW w:w="2310" w:type="dxa"/>
            <w:shd w:val="clear" w:color="auto" w:fill="FFFFFF" w:themeFill="background2"/>
          </w:tcPr>
          <w:p w14:paraId="5E18540D" w14:textId="77777777" w:rsidR="00E113E9" w:rsidRPr="00E113E9" w:rsidRDefault="00E113E9" w:rsidP="004C0986">
            <w:pPr>
              <w:rPr>
                <w:rFonts w:cstheme="minorHAnsi"/>
                <w:color w:val="FFFFFF" w:themeColor="background2"/>
                <w:sz w:val="20"/>
                <w:szCs w:val="20"/>
              </w:rPr>
            </w:pPr>
            <w:r w:rsidRPr="00E113E9">
              <w:rPr>
                <w:rFonts w:cstheme="minorHAnsi"/>
                <w:color w:val="FFFFFF" w:themeColor="background2"/>
                <w:sz w:val="20"/>
                <w:szCs w:val="20"/>
              </w:rPr>
              <w:t>New South Wales</w:t>
            </w:r>
          </w:p>
        </w:tc>
        <w:tc>
          <w:tcPr>
            <w:tcW w:w="2311" w:type="dxa"/>
            <w:shd w:val="clear" w:color="auto" w:fill="FFFFFF" w:themeFill="background2"/>
            <w:vAlign w:val="center"/>
          </w:tcPr>
          <w:p w14:paraId="665D6D55"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Orana</w:t>
            </w:r>
          </w:p>
        </w:tc>
      </w:tr>
      <w:tr w:rsidR="00E113E9" w:rsidRPr="00E113E9" w14:paraId="093011F5" w14:textId="77777777" w:rsidTr="00E113E9">
        <w:trPr>
          <w:trHeight w:hRule="exact" w:val="284"/>
          <w:tblHeader/>
        </w:trPr>
        <w:tc>
          <w:tcPr>
            <w:tcW w:w="2310" w:type="dxa"/>
            <w:shd w:val="clear" w:color="auto" w:fill="FFFFFF" w:themeFill="background2"/>
          </w:tcPr>
          <w:p w14:paraId="6EA1F3F3" w14:textId="77777777" w:rsidR="00E113E9" w:rsidRPr="00E113E9" w:rsidRDefault="00E113E9" w:rsidP="004C0986">
            <w:pPr>
              <w:rPr>
                <w:rFonts w:cstheme="minorHAnsi"/>
                <w:color w:val="FFFFFF" w:themeColor="background2"/>
                <w:sz w:val="20"/>
                <w:szCs w:val="20"/>
              </w:rPr>
            </w:pPr>
            <w:r w:rsidRPr="00E113E9">
              <w:rPr>
                <w:rFonts w:cstheme="minorHAnsi"/>
                <w:color w:val="FFFFFF" w:themeColor="background2"/>
                <w:sz w:val="20"/>
                <w:szCs w:val="20"/>
              </w:rPr>
              <w:t>New South Wales</w:t>
            </w:r>
          </w:p>
        </w:tc>
        <w:tc>
          <w:tcPr>
            <w:tcW w:w="2311" w:type="dxa"/>
            <w:shd w:val="clear" w:color="auto" w:fill="FFFFFF" w:themeFill="background2"/>
            <w:vAlign w:val="center"/>
          </w:tcPr>
          <w:p w14:paraId="56189C46"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Outer Western Sydney</w:t>
            </w:r>
          </w:p>
        </w:tc>
      </w:tr>
      <w:tr w:rsidR="00E113E9" w:rsidRPr="00E113E9" w14:paraId="7AF79BB0" w14:textId="77777777" w:rsidTr="00E113E9">
        <w:trPr>
          <w:trHeight w:hRule="exact" w:val="284"/>
          <w:tblHeader/>
        </w:trPr>
        <w:tc>
          <w:tcPr>
            <w:tcW w:w="2310" w:type="dxa"/>
            <w:shd w:val="clear" w:color="auto" w:fill="FFFFFF" w:themeFill="background2"/>
          </w:tcPr>
          <w:p w14:paraId="142DA665" w14:textId="77777777" w:rsidR="00E113E9" w:rsidRPr="00E113E9" w:rsidRDefault="00E113E9" w:rsidP="004C0986">
            <w:pPr>
              <w:rPr>
                <w:rFonts w:cstheme="minorHAnsi"/>
                <w:color w:val="FFFFFF" w:themeColor="background2"/>
                <w:sz w:val="20"/>
                <w:szCs w:val="20"/>
              </w:rPr>
            </w:pPr>
            <w:r w:rsidRPr="00E113E9">
              <w:rPr>
                <w:rFonts w:cstheme="minorHAnsi"/>
                <w:color w:val="FFFFFF" w:themeColor="background2"/>
                <w:sz w:val="20"/>
                <w:szCs w:val="20"/>
              </w:rPr>
              <w:t>New South Wales</w:t>
            </w:r>
          </w:p>
        </w:tc>
        <w:tc>
          <w:tcPr>
            <w:tcW w:w="2311" w:type="dxa"/>
            <w:shd w:val="clear" w:color="auto" w:fill="FFFFFF" w:themeFill="background2"/>
            <w:vAlign w:val="center"/>
          </w:tcPr>
          <w:p w14:paraId="3655219F"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Shoalhaven</w:t>
            </w:r>
          </w:p>
        </w:tc>
      </w:tr>
      <w:tr w:rsidR="00E113E9" w:rsidRPr="00E113E9" w14:paraId="7EEA6820" w14:textId="77777777" w:rsidTr="00E113E9">
        <w:trPr>
          <w:trHeight w:hRule="exact" w:val="284"/>
          <w:tblHeader/>
        </w:trPr>
        <w:tc>
          <w:tcPr>
            <w:tcW w:w="2310" w:type="dxa"/>
            <w:shd w:val="clear" w:color="auto" w:fill="E5E5E5" w:themeFill="background1" w:themeFillTint="33"/>
          </w:tcPr>
          <w:p w14:paraId="081CA15B" w14:textId="77777777" w:rsidR="00E113E9" w:rsidRPr="00E113E9" w:rsidRDefault="00E113E9" w:rsidP="004C0986">
            <w:pPr>
              <w:rPr>
                <w:rFonts w:cstheme="minorHAnsi"/>
                <w:color w:val="000000" w:themeColor="text1"/>
                <w:sz w:val="20"/>
                <w:szCs w:val="20"/>
              </w:rPr>
            </w:pPr>
            <w:r w:rsidRPr="00E113E9">
              <w:rPr>
                <w:rFonts w:cstheme="minorHAnsi"/>
                <w:color w:val="000000" w:themeColor="text1"/>
                <w:sz w:val="20"/>
                <w:szCs w:val="20"/>
              </w:rPr>
              <w:t>Victoria</w:t>
            </w:r>
          </w:p>
        </w:tc>
        <w:tc>
          <w:tcPr>
            <w:tcW w:w="2311" w:type="dxa"/>
            <w:shd w:val="clear" w:color="auto" w:fill="E5E5E5" w:themeFill="background1" w:themeFillTint="33"/>
            <w:vAlign w:val="center"/>
          </w:tcPr>
          <w:p w14:paraId="4D66E19F"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East Gippsland</w:t>
            </w:r>
          </w:p>
        </w:tc>
      </w:tr>
      <w:tr w:rsidR="00E113E9" w:rsidRPr="00E113E9" w14:paraId="1C2429CA" w14:textId="77777777" w:rsidTr="00E113E9">
        <w:trPr>
          <w:trHeight w:hRule="exact" w:val="284"/>
          <w:tblHeader/>
        </w:trPr>
        <w:tc>
          <w:tcPr>
            <w:tcW w:w="2310" w:type="dxa"/>
            <w:shd w:val="clear" w:color="auto" w:fill="E5E5E5" w:themeFill="background1" w:themeFillTint="33"/>
          </w:tcPr>
          <w:p w14:paraId="01A98BE4" w14:textId="77777777" w:rsidR="00E113E9" w:rsidRPr="00E113E9" w:rsidRDefault="00E113E9" w:rsidP="004C0986">
            <w:pPr>
              <w:rPr>
                <w:rFonts w:cstheme="minorHAnsi"/>
                <w:color w:val="E5E5E5" w:themeColor="background1" w:themeTint="33"/>
                <w:sz w:val="20"/>
                <w:szCs w:val="20"/>
              </w:rPr>
            </w:pPr>
            <w:r w:rsidRPr="00E113E9">
              <w:rPr>
                <w:rFonts w:cstheme="minorHAnsi"/>
                <w:color w:val="E5E5E5" w:themeColor="background1" w:themeTint="33"/>
                <w:sz w:val="20"/>
                <w:szCs w:val="20"/>
              </w:rPr>
              <w:t>Victoria</w:t>
            </w:r>
          </w:p>
        </w:tc>
        <w:tc>
          <w:tcPr>
            <w:tcW w:w="2311" w:type="dxa"/>
            <w:shd w:val="clear" w:color="auto" w:fill="E5E5E5" w:themeFill="background1" w:themeFillTint="33"/>
            <w:vAlign w:val="center"/>
          </w:tcPr>
          <w:p w14:paraId="60684B78"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Kiewa</w:t>
            </w:r>
          </w:p>
        </w:tc>
      </w:tr>
      <w:tr w:rsidR="00E113E9" w:rsidRPr="00E113E9" w14:paraId="325FECD4" w14:textId="77777777" w:rsidTr="00E113E9">
        <w:trPr>
          <w:trHeight w:hRule="exact" w:val="284"/>
          <w:tblHeader/>
        </w:trPr>
        <w:tc>
          <w:tcPr>
            <w:tcW w:w="2310" w:type="dxa"/>
            <w:shd w:val="clear" w:color="auto" w:fill="E5E5E5" w:themeFill="background1" w:themeFillTint="33"/>
          </w:tcPr>
          <w:p w14:paraId="3263FE9A" w14:textId="77777777" w:rsidR="00E113E9" w:rsidRPr="00E113E9" w:rsidRDefault="00E113E9" w:rsidP="004C0986">
            <w:pPr>
              <w:rPr>
                <w:rFonts w:cstheme="minorHAnsi"/>
                <w:color w:val="E5E5E5" w:themeColor="background1" w:themeTint="33"/>
                <w:sz w:val="20"/>
                <w:szCs w:val="20"/>
              </w:rPr>
            </w:pPr>
            <w:r w:rsidRPr="00E113E9">
              <w:rPr>
                <w:rFonts w:cstheme="minorHAnsi"/>
                <w:color w:val="E5E5E5" w:themeColor="background1" w:themeTint="33"/>
                <w:sz w:val="20"/>
                <w:szCs w:val="20"/>
              </w:rPr>
              <w:t>Victoria</w:t>
            </w:r>
          </w:p>
        </w:tc>
        <w:tc>
          <w:tcPr>
            <w:tcW w:w="2311" w:type="dxa"/>
            <w:shd w:val="clear" w:color="auto" w:fill="E5E5E5" w:themeFill="background1" w:themeFillTint="33"/>
            <w:vAlign w:val="center"/>
          </w:tcPr>
          <w:p w14:paraId="412B3A14"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Plenty</w:t>
            </w:r>
          </w:p>
        </w:tc>
      </w:tr>
      <w:tr w:rsidR="00E113E9" w:rsidRPr="00E113E9" w14:paraId="18D61FCB" w14:textId="77777777" w:rsidTr="00E113E9">
        <w:trPr>
          <w:trHeight w:hRule="exact" w:val="284"/>
          <w:tblHeader/>
        </w:trPr>
        <w:tc>
          <w:tcPr>
            <w:tcW w:w="2310" w:type="dxa"/>
            <w:shd w:val="clear" w:color="auto" w:fill="E5E5E5" w:themeFill="background1" w:themeFillTint="33"/>
          </w:tcPr>
          <w:p w14:paraId="250D5982" w14:textId="77777777" w:rsidR="00E113E9" w:rsidRPr="00E113E9" w:rsidRDefault="00E113E9" w:rsidP="004C0986">
            <w:pPr>
              <w:rPr>
                <w:rFonts w:cstheme="minorHAnsi"/>
                <w:color w:val="E5E5E5" w:themeColor="background1" w:themeTint="33"/>
                <w:sz w:val="20"/>
                <w:szCs w:val="20"/>
              </w:rPr>
            </w:pPr>
            <w:r w:rsidRPr="00E113E9">
              <w:rPr>
                <w:rFonts w:cstheme="minorHAnsi"/>
                <w:color w:val="E5E5E5" w:themeColor="background1" w:themeTint="33"/>
                <w:sz w:val="20"/>
                <w:szCs w:val="20"/>
              </w:rPr>
              <w:t>Victoria</w:t>
            </w:r>
          </w:p>
        </w:tc>
        <w:tc>
          <w:tcPr>
            <w:tcW w:w="2311" w:type="dxa"/>
            <w:shd w:val="clear" w:color="auto" w:fill="E5E5E5" w:themeFill="background1" w:themeFillTint="33"/>
            <w:vAlign w:val="center"/>
          </w:tcPr>
          <w:p w14:paraId="0C2F9790"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Westgate</w:t>
            </w:r>
          </w:p>
        </w:tc>
      </w:tr>
      <w:tr w:rsidR="00E113E9" w:rsidRPr="00E113E9" w14:paraId="3E1B316F" w14:textId="77777777" w:rsidTr="00E113E9">
        <w:trPr>
          <w:trHeight w:hRule="exact" w:val="284"/>
          <w:tblHeader/>
        </w:trPr>
        <w:tc>
          <w:tcPr>
            <w:tcW w:w="2310" w:type="dxa"/>
            <w:shd w:val="clear" w:color="auto" w:fill="FFFFFF" w:themeFill="background2"/>
          </w:tcPr>
          <w:p w14:paraId="698E763A" w14:textId="77777777" w:rsidR="00EE3126" w:rsidRPr="00E113E9" w:rsidRDefault="00EE3126" w:rsidP="00DC1334">
            <w:pPr>
              <w:rPr>
                <w:rFonts w:cstheme="minorHAnsi"/>
                <w:color w:val="000000" w:themeColor="text1"/>
                <w:sz w:val="20"/>
                <w:szCs w:val="20"/>
              </w:rPr>
            </w:pPr>
            <w:r w:rsidRPr="00E113E9">
              <w:rPr>
                <w:rFonts w:cstheme="minorHAnsi"/>
                <w:color w:val="000000" w:themeColor="text1"/>
                <w:sz w:val="20"/>
                <w:szCs w:val="20"/>
              </w:rPr>
              <w:t>Queensland</w:t>
            </w:r>
          </w:p>
        </w:tc>
        <w:tc>
          <w:tcPr>
            <w:tcW w:w="2311" w:type="dxa"/>
            <w:shd w:val="clear" w:color="auto" w:fill="FFFFFF" w:themeFill="background2"/>
            <w:vAlign w:val="center"/>
          </w:tcPr>
          <w:p w14:paraId="195A73DA"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Cairns</w:t>
            </w:r>
          </w:p>
        </w:tc>
      </w:tr>
      <w:tr w:rsidR="00E113E9" w:rsidRPr="00E113E9" w14:paraId="64B487CB" w14:textId="77777777" w:rsidTr="00E113E9">
        <w:trPr>
          <w:trHeight w:hRule="exact" w:val="284"/>
          <w:tblHeader/>
        </w:trPr>
        <w:tc>
          <w:tcPr>
            <w:tcW w:w="2310" w:type="dxa"/>
            <w:shd w:val="clear" w:color="auto" w:fill="FFFFFF" w:themeFill="background2"/>
          </w:tcPr>
          <w:p w14:paraId="344454DA"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3C780DC1"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Capricornia</w:t>
            </w:r>
          </w:p>
        </w:tc>
      </w:tr>
      <w:tr w:rsidR="00E113E9" w:rsidRPr="00E113E9" w14:paraId="692B4E5D" w14:textId="77777777" w:rsidTr="00E113E9">
        <w:trPr>
          <w:trHeight w:hRule="exact" w:val="284"/>
          <w:tblHeader/>
        </w:trPr>
        <w:tc>
          <w:tcPr>
            <w:tcW w:w="2310" w:type="dxa"/>
            <w:shd w:val="clear" w:color="auto" w:fill="FFFFFF" w:themeFill="background2"/>
          </w:tcPr>
          <w:p w14:paraId="7CCA590C"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79C72D8C"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Gladstone</w:t>
            </w:r>
          </w:p>
        </w:tc>
      </w:tr>
      <w:tr w:rsidR="00E113E9" w:rsidRPr="00E113E9" w14:paraId="3A80FA65" w14:textId="77777777" w:rsidTr="00E113E9">
        <w:trPr>
          <w:trHeight w:hRule="exact" w:val="284"/>
          <w:tblHeader/>
        </w:trPr>
        <w:tc>
          <w:tcPr>
            <w:tcW w:w="2310" w:type="dxa"/>
            <w:shd w:val="clear" w:color="auto" w:fill="FFFFFF" w:themeFill="background2"/>
          </w:tcPr>
          <w:p w14:paraId="3D6A4563"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30F4CD9E"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Ipswich</w:t>
            </w:r>
          </w:p>
        </w:tc>
      </w:tr>
      <w:tr w:rsidR="00E113E9" w:rsidRPr="00E113E9" w14:paraId="4FE874FA" w14:textId="77777777" w:rsidTr="00E113E9">
        <w:trPr>
          <w:trHeight w:hRule="exact" w:val="284"/>
          <w:tblHeader/>
        </w:trPr>
        <w:tc>
          <w:tcPr>
            <w:tcW w:w="2310" w:type="dxa"/>
            <w:shd w:val="clear" w:color="auto" w:fill="FFFFFF" w:themeFill="background2"/>
          </w:tcPr>
          <w:p w14:paraId="0112BFEC"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4759824C"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Logan</w:t>
            </w:r>
          </w:p>
        </w:tc>
      </w:tr>
      <w:tr w:rsidR="00E113E9" w:rsidRPr="00E113E9" w14:paraId="56115B6D" w14:textId="77777777" w:rsidTr="00E113E9">
        <w:trPr>
          <w:trHeight w:hRule="exact" w:val="284"/>
          <w:tblHeader/>
        </w:trPr>
        <w:tc>
          <w:tcPr>
            <w:tcW w:w="2310" w:type="dxa"/>
            <w:shd w:val="clear" w:color="auto" w:fill="FFFFFF" w:themeFill="background2"/>
          </w:tcPr>
          <w:p w14:paraId="23DC782F"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5BFB62FD"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North Brisbane</w:t>
            </w:r>
          </w:p>
        </w:tc>
      </w:tr>
      <w:tr w:rsidR="00E113E9" w:rsidRPr="00E113E9" w14:paraId="74C45A36" w14:textId="77777777" w:rsidTr="00E113E9">
        <w:trPr>
          <w:trHeight w:hRule="exact" w:val="284"/>
          <w:tblHeader/>
        </w:trPr>
        <w:tc>
          <w:tcPr>
            <w:tcW w:w="2310" w:type="dxa"/>
            <w:shd w:val="clear" w:color="auto" w:fill="FFFFFF" w:themeFill="background2"/>
          </w:tcPr>
          <w:p w14:paraId="72ED446E"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13671604"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South Brisbane</w:t>
            </w:r>
          </w:p>
        </w:tc>
      </w:tr>
      <w:tr w:rsidR="00E113E9" w:rsidRPr="00E113E9" w14:paraId="038C4B5C" w14:textId="77777777" w:rsidTr="00E113E9">
        <w:trPr>
          <w:trHeight w:hRule="exact" w:val="284"/>
          <w:tblHeader/>
        </w:trPr>
        <w:tc>
          <w:tcPr>
            <w:tcW w:w="2310" w:type="dxa"/>
            <w:shd w:val="clear" w:color="auto" w:fill="FFFFFF" w:themeFill="background2"/>
          </w:tcPr>
          <w:p w14:paraId="2BC5C3C0" w14:textId="77777777" w:rsidR="00EE3126" w:rsidRPr="00E113E9" w:rsidRDefault="00EE3126" w:rsidP="00DC1334">
            <w:pPr>
              <w:rPr>
                <w:rFonts w:cstheme="minorHAnsi"/>
                <w:color w:val="FFFFFF" w:themeColor="background2"/>
                <w:sz w:val="20"/>
                <w:szCs w:val="20"/>
              </w:rPr>
            </w:pPr>
            <w:r w:rsidRPr="00E113E9">
              <w:rPr>
                <w:rFonts w:cstheme="minorHAnsi"/>
                <w:color w:val="FFFFFF" w:themeColor="background2"/>
                <w:sz w:val="20"/>
                <w:szCs w:val="20"/>
              </w:rPr>
              <w:t>Queensland</w:t>
            </w:r>
          </w:p>
        </w:tc>
        <w:tc>
          <w:tcPr>
            <w:tcW w:w="2311" w:type="dxa"/>
            <w:shd w:val="clear" w:color="auto" w:fill="FFFFFF" w:themeFill="background2"/>
            <w:vAlign w:val="center"/>
          </w:tcPr>
          <w:p w14:paraId="5CF37996"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Townsville</w:t>
            </w:r>
          </w:p>
        </w:tc>
      </w:tr>
      <w:tr w:rsidR="00E113E9" w:rsidRPr="00E113E9" w14:paraId="475087BC" w14:textId="77777777" w:rsidTr="00E113E9">
        <w:trPr>
          <w:trHeight w:hRule="exact" w:val="284"/>
          <w:tblHeader/>
        </w:trPr>
        <w:tc>
          <w:tcPr>
            <w:tcW w:w="2310" w:type="dxa"/>
            <w:shd w:val="clear" w:color="auto" w:fill="E5E5E5" w:themeFill="background1" w:themeFillTint="33"/>
          </w:tcPr>
          <w:p w14:paraId="3833B00F" w14:textId="77777777" w:rsidR="00EE3126" w:rsidRPr="00E113E9" w:rsidRDefault="00EE3126" w:rsidP="00DC1334">
            <w:pPr>
              <w:rPr>
                <w:rFonts w:cstheme="minorHAnsi"/>
                <w:color w:val="000000" w:themeColor="text1"/>
                <w:sz w:val="20"/>
                <w:szCs w:val="20"/>
              </w:rPr>
            </w:pPr>
            <w:r w:rsidRPr="00E113E9">
              <w:rPr>
                <w:rFonts w:cstheme="minorHAnsi"/>
                <w:color w:val="000000" w:themeColor="text1"/>
                <w:sz w:val="20"/>
                <w:szCs w:val="20"/>
              </w:rPr>
              <w:t>Western Australia</w:t>
            </w:r>
          </w:p>
        </w:tc>
        <w:tc>
          <w:tcPr>
            <w:tcW w:w="2311" w:type="dxa"/>
            <w:shd w:val="clear" w:color="auto" w:fill="E5E5E5" w:themeFill="background1" w:themeFillTint="33"/>
            <w:vAlign w:val="center"/>
          </w:tcPr>
          <w:p w14:paraId="31F60CA9"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Goldfields/Esperance</w:t>
            </w:r>
          </w:p>
        </w:tc>
      </w:tr>
      <w:tr w:rsidR="00E113E9" w:rsidRPr="00E113E9" w14:paraId="507485CA" w14:textId="77777777" w:rsidTr="00E113E9">
        <w:trPr>
          <w:trHeight w:hRule="exact" w:val="284"/>
          <w:tblHeader/>
        </w:trPr>
        <w:tc>
          <w:tcPr>
            <w:tcW w:w="2310" w:type="dxa"/>
            <w:shd w:val="clear" w:color="auto" w:fill="E5E5E5" w:themeFill="background1" w:themeFillTint="33"/>
          </w:tcPr>
          <w:p w14:paraId="7774170D" w14:textId="77777777" w:rsidR="00EE3126" w:rsidRPr="00E113E9" w:rsidRDefault="00EE3126" w:rsidP="00DC1334">
            <w:pPr>
              <w:rPr>
                <w:rFonts w:cstheme="minorHAnsi"/>
                <w:color w:val="E5E5E5" w:themeColor="background1" w:themeTint="33"/>
                <w:sz w:val="20"/>
                <w:szCs w:val="20"/>
              </w:rPr>
            </w:pPr>
            <w:r w:rsidRPr="00E113E9">
              <w:rPr>
                <w:rFonts w:cstheme="minorHAnsi"/>
                <w:color w:val="E5E5E5" w:themeColor="background1" w:themeTint="33"/>
                <w:sz w:val="20"/>
                <w:szCs w:val="20"/>
              </w:rPr>
              <w:t>Western Australia</w:t>
            </w:r>
          </w:p>
        </w:tc>
        <w:tc>
          <w:tcPr>
            <w:tcW w:w="2311" w:type="dxa"/>
            <w:shd w:val="clear" w:color="auto" w:fill="E5E5E5" w:themeFill="background1" w:themeFillTint="33"/>
            <w:vAlign w:val="center"/>
          </w:tcPr>
          <w:p w14:paraId="3BA5532C"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Mid West/Gascoyne</w:t>
            </w:r>
          </w:p>
        </w:tc>
      </w:tr>
      <w:tr w:rsidR="00E113E9" w:rsidRPr="00E113E9" w14:paraId="140A7C39" w14:textId="77777777" w:rsidTr="00E113E9">
        <w:trPr>
          <w:trHeight w:hRule="exact" w:val="284"/>
          <w:tblHeader/>
        </w:trPr>
        <w:tc>
          <w:tcPr>
            <w:tcW w:w="2310" w:type="dxa"/>
            <w:shd w:val="clear" w:color="auto" w:fill="E5E5E5" w:themeFill="background1" w:themeFillTint="33"/>
          </w:tcPr>
          <w:p w14:paraId="213D892D" w14:textId="77777777" w:rsidR="00EE3126" w:rsidRPr="00E113E9" w:rsidRDefault="00EE3126" w:rsidP="00DC1334">
            <w:pPr>
              <w:rPr>
                <w:rFonts w:cstheme="minorHAnsi"/>
                <w:color w:val="E5E5E5" w:themeColor="background1" w:themeTint="33"/>
                <w:sz w:val="20"/>
                <w:szCs w:val="20"/>
              </w:rPr>
            </w:pPr>
            <w:r w:rsidRPr="00E113E9">
              <w:rPr>
                <w:rFonts w:cstheme="minorHAnsi"/>
                <w:color w:val="E5E5E5" w:themeColor="background1" w:themeTint="33"/>
                <w:sz w:val="20"/>
                <w:szCs w:val="20"/>
              </w:rPr>
              <w:t>Western Australia</w:t>
            </w:r>
          </w:p>
        </w:tc>
        <w:tc>
          <w:tcPr>
            <w:tcW w:w="2311" w:type="dxa"/>
            <w:shd w:val="clear" w:color="auto" w:fill="E5E5E5" w:themeFill="background1" w:themeFillTint="33"/>
            <w:vAlign w:val="center"/>
          </w:tcPr>
          <w:p w14:paraId="50C44150" w14:textId="77777777" w:rsidR="00EE3126" w:rsidRPr="00E113E9" w:rsidRDefault="00EE3126" w:rsidP="00DC1334">
            <w:pPr>
              <w:rPr>
                <w:rFonts w:ascii="Calibri" w:hAnsi="Calibri" w:cs="Calibri"/>
                <w:bCs/>
                <w:color w:val="000000" w:themeColor="text1"/>
                <w:sz w:val="20"/>
                <w:szCs w:val="20"/>
              </w:rPr>
            </w:pPr>
            <w:r w:rsidRPr="00E113E9">
              <w:rPr>
                <w:rFonts w:ascii="Calibri" w:hAnsi="Calibri" w:cs="Calibri"/>
                <w:bCs/>
                <w:color w:val="000000" w:themeColor="text1"/>
                <w:sz w:val="20"/>
                <w:szCs w:val="20"/>
              </w:rPr>
              <w:t>North Metro</w:t>
            </w:r>
          </w:p>
        </w:tc>
      </w:tr>
      <w:tr w:rsidR="00E113E9" w:rsidRPr="00E113E9" w14:paraId="2E69BD9F" w14:textId="77777777" w:rsidTr="00E113E9">
        <w:trPr>
          <w:trHeight w:hRule="exact" w:val="284"/>
          <w:tblHeader/>
        </w:trPr>
        <w:tc>
          <w:tcPr>
            <w:tcW w:w="2310" w:type="dxa"/>
            <w:shd w:val="clear" w:color="auto" w:fill="FFFFFF" w:themeFill="background2"/>
          </w:tcPr>
          <w:p w14:paraId="714C483B" w14:textId="77777777" w:rsidR="00EE3126" w:rsidRPr="00E113E9" w:rsidRDefault="00EE3126" w:rsidP="004C0986">
            <w:pPr>
              <w:rPr>
                <w:rFonts w:cstheme="minorHAnsi"/>
                <w:color w:val="000000" w:themeColor="text1"/>
                <w:sz w:val="20"/>
                <w:szCs w:val="20"/>
              </w:rPr>
            </w:pPr>
            <w:r w:rsidRPr="00E113E9">
              <w:rPr>
                <w:rFonts w:cstheme="minorHAnsi"/>
                <w:color w:val="000000" w:themeColor="text1"/>
                <w:sz w:val="20"/>
                <w:szCs w:val="20"/>
              </w:rPr>
              <w:t>South Australia</w:t>
            </w:r>
          </w:p>
        </w:tc>
        <w:tc>
          <w:tcPr>
            <w:tcW w:w="2311" w:type="dxa"/>
            <w:shd w:val="clear" w:color="auto" w:fill="FFFFFF" w:themeFill="background2"/>
            <w:vAlign w:val="center"/>
          </w:tcPr>
          <w:p w14:paraId="167C021D" w14:textId="77777777" w:rsidR="00EE3126" w:rsidRPr="00E113E9" w:rsidRDefault="00EE3126"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North Country</w:t>
            </w:r>
          </w:p>
        </w:tc>
      </w:tr>
      <w:tr w:rsidR="00E113E9" w:rsidRPr="00E113E9" w14:paraId="48065AF3" w14:textId="77777777" w:rsidTr="00E113E9">
        <w:trPr>
          <w:trHeight w:hRule="exact" w:val="284"/>
          <w:tblHeader/>
        </w:trPr>
        <w:tc>
          <w:tcPr>
            <w:tcW w:w="2310" w:type="dxa"/>
            <w:shd w:val="clear" w:color="auto" w:fill="FFFFFF" w:themeFill="background2"/>
          </w:tcPr>
          <w:p w14:paraId="299C413F" w14:textId="77777777" w:rsidR="00EE3126" w:rsidRPr="00E113E9" w:rsidRDefault="00EE3126" w:rsidP="004C0986">
            <w:pPr>
              <w:rPr>
                <w:rFonts w:cstheme="minorHAnsi"/>
                <w:color w:val="000000" w:themeColor="text1"/>
                <w:sz w:val="20"/>
                <w:szCs w:val="20"/>
              </w:rPr>
            </w:pPr>
            <w:r w:rsidRPr="00E113E9">
              <w:rPr>
                <w:rFonts w:cstheme="minorHAnsi"/>
                <w:color w:val="FFFFFF" w:themeColor="background2"/>
                <w:sz w:val="20"/>
                <w:szCs w:val="20"/>
              </w:rPr>
              <w:t>South Australia</w:t>
            </w:r>
          </w:p>
        </w:tc>
        <w:tc>
          <w:tcPr>
            <w:tcW w:w="2311" w:type="dxa"/>
            <w:shd w:val="clear" w:color="auto" w:fill="FFFFFF" w:themeFill="background2"/>
            <w:vAlign w:val="center"/>
          </w:tcPr>
          <w:p w14:paraId="6A7FE879" w14:textId="77777777" w:rsidR="00EE3126" w:rsidRPr="00E113E9" w:rsidRDefault="00EE3126"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Western Adelaide</w:t>
            </w:r>
          </w:p>
        </w:tc>
      </w:tr>
      <w:tr w:rsidR="00E113E9" w:rsidRPr="00E113E9" w14:paraId="0F84BD3E" w14:textId="77777777" w:rsidTr="00E113E9">
        <w:trPr>
          <w:trHeight w:hRule="exact" w:val="284"/>
          <w:tblHeader/>
        </w:trPr>
        <w:tc>
          <w:tcPr>
            <w:tcW w:w="2310" w:type="dxa"/>
            <w:tcBorders>
              <w:bottom w:val="single" w:sz="4" w:space="0" w:color="auto"/>
            </w:tcBorders>
            <w:shd w:val="clear" w:color="auto" w:fill="E5E5E5" w:themeFill="background1" w:themeFillTint="33"/>
          </w:tcPr>
          <w:p w14:paraId="36DBF2D2" w14:textId="77777777" w:rsidR="00E113E9" w:rsidRPr="00E113E9" w:rsidRDefault="00E113E9" w:rsidP="004C0986">
            <w:pPr>
              <w:rPr>
                <w:rFonts w:cstheme="minorHAnsi"/>
                <w:color w:val="000000" w:themeColor="text1"/>
                <w:sz w:val="20"/>
                <w:szCs w:val="20"/>
              </w:rPr>
            </w:pPr>
            <w:r w:rsidRPr="00E113E9">
              <w:rPr>
                <w:rFonts w:cstheme="minorHAnsi"/>
                <w:color w:val="000000" w:themeColor="text1"/>
                <w:sz w:val="20"/>
                <w:szCs w:val="20"/>
              </w:rPr>
              <w:t>Northern Territory</w:t>
            </w:r>
          </w:p>
        </w:tc>
        <w:tc>
          <w:tcPr>
            <w:tcW w:w="2311" w:type="dxa"/>
            <w:tcBorders>
              <w:bottom w:val="single" w:sz="4" w:space="0" w:color="auto"/>
            </w:tcBorders>
            <w:shd w:val="clear" w:color="auto" w:fill="E5E5E5" w:themeFill="background1" w:themeFillTint="33"/>
            <w:vAlign w:val="center"/>
          </w:tcPr>
          <w:p w14:paraId="2EFF3443" w14:textId="77777777" w:rsidR="00E113E9" w:rsidRPr="00E113E9" w:rsidRDefault="00E113E9" w:rsidP="004C0986">
            <w:pPr>
              <w:rPr>
                <w:rFonts w:ascii="Calibri" w:hAnsi="Calibri" w:cs="Calibri"/>
                <w:bCs/>
                <w:color w:val="000000" w:themeColor="text1"/>
                <w:sz w:val="20"/>
                <w:szCs w:val="20"/>
              </w:rPr>
            </w:pPr>
            <w:r w:rsidRPr="00E113E9">
              <w:rPr>
                <w:rFonts w:ascii="Calibri" w:hAnsi="Calibri" w:cs="Calibri"/>
                <w:bCs/>
                <w:color w:val="000000" w:themeColor="text1"/>
                <w:sz w:val="20"/>
                <w:szCs w:val="20"/>
              </w:rPr>
              <w:t>Alice Springs</w:t>
            </w:r>
          </w:p>
        </w:tc>
      </w:tr>
    </w:tbl>
    <w:p w14:paraId="725CB143" w14:textId="77777777" w:rsidR="008A7CAD" w:rsidRDefault="00A01C07" w:rsidP="00AA0692">
      <w:pPr>
        <w:pStyle w:val="Heading4"/>
      </w:pPr>
      <w:r>
        <w:t xml:space="preserve">Key </w:t>
      </w:r>
      <w:r w:rsidR="00976D9A">
        <w:t>f</w:t>
      </w:r>
      <w:r w:rsidR="00AA0692">
        <w:t>indings</w:t>
      </w:r>
    </w:p>
    <w:p w14:paraId="69094AF4" w14:textId="2B0F510D" w:rsidR="00AA0692" w:rsidRDefault="00AA0692" w:rsidP="00AA0692">
      <w:r>
        <w:t xml:space="preserve">Based on responses of </w:t>
      </w:r>
      <w:r w:rsidR="000123D3">
        <w:t>the</w:t>
      </w:r>
      <w:r>
        <w:t xml:space="preserve"> JSA managers who </w:t>
      </w:r>
      <w:r w:rsidR="000123D3">
        <w:t xml:space="preserve">participated </w:t>
      </w:r>
      <w:r>
        <w:t xml:space="preserve">in the research (both those who were part of the </w:t>
      </w:r>
      <w:r w:rsidR="000A3A27">
        <w:t>P</w:t>
      </w:r>
      <w:r>
        <w:t>ilot and those who were not)</w:t>
      </w:r>
      <w:r w:rsidR="006669CD">
        <w:t>,</w:t>
      </w:r>
      <w:r>
        <w:t xml:space="preserve"> the </w:t>
      </w:r>
      <w:r w:rsidR="00E8056E" w:rsidRPr="0027337E">
        <w:t>Indigenous Mentor</w:t>
      </w:r>
      <w:r w:rsidR="00E8056E">
        <w:t>i</w:t>
      </w:r>
      <w:r w:rsidR="00E8056E" w:rsidRPr="0027337E">
        <w:t xml:space="preserve">ng </w:t>
      </w:r>
      <w:r w:rsidR="00FB1E03">
        <w:t>P</w:t>
      </w:r>
      <w:r w:rsidR="00E8056E">
        <w:t xml:space="preserve">ilot </w:t>
      </w:r>
      <w:r w:rsidR="00A669E6">
        <w:t xml:space="preserve">was </w:t>
      </w:r>
      <w:r>
        <w:t>a</w:t>
      </w:r>
      <w:r w:rsidR="00F02675">
        <w:t xml:space="preserve"> worthwhile</w:t>
      </w:r>
      <w:r>
        <w:t xml:space="preserve"> programme. Providing concentrated assistance to </w:t>
      </w:r>
      <w:r w:rsidR="00AC21E7">
        <w:t xml:space="preserve">Indigenous </w:t>
      </w:r>
      <w:r>
        <w:t>job seekers helps to ensure they are ready to start applying for jobs.</w:t>
      </w:r>
    </w:p>
    <w:p w14:paraId="248D56F9" w14:textId="24D2B0DF" w:rsidR="00AA0692" w:rsidRDefault="00AA0692" w:rsidP="00AA0692">
      <w:r>
        <w:t xml:space="preserve">From the research, a key point about the </w:t>
      </w:r>
      <w:r w:rsidR="000A3A27">
        <w:t>P</w:t>
      </w:r>
      <w:r w:rsidR="00E8056E">
        <w:t xml:space="preserve">ilot </w:t>
      </w:r>
      <w:r>
        <w:t xml:space="preserve">is that it operated as much as a case management programme as a programme to get </w:t>
      </w:r>
      <w:r w:rsidR="00AC21E7">
        <w:t xml:space="preserve">Indigenous </w:t>
      </w:r>
      <w:r>
        <w:t xml:space="preserve">jobs seekers into work. It was repeatedly pointed out that assisting </w:t>
      </w:r>
      <w:r w:rsidR="00F02675">
        <w:t xml:space="preserve">these </w:t>
      </w:r>
      <w:r>
        <w:t>job seekers with housing, justice issues, Centrelink requirements, health and family issues formed the greater part of the mentor</w:t>
      </w:r>
      <w:r w:rsidR="00976D9A">
        <w:t>’</w:t>
      </w:r>
      <w:r>
        <w:t xml:space="preserve">s role. For many </w:t>
      </w:r>
      <w:r w:rsidR="00AC21E7">
        <w:t xml:space="preserve">Indigenous </w:t>
      </w:r>
      <w:r>
        <w:t>job seekers, it was only when those issues were resolved could attention be given to becoming job ready.</w:t>
      </w:r>
    </w:p>
    <w:p w14:paraId="5D4E4A40" w14:textId="77777777" w:rsidR="00AA0692" w:rsidRDefault="00C60BD7" w:rsidP="00AA0692">
      <w:r>
        <w:t>Questions arose during research as to where</w:t>
      </w:r>
      <w:r w:rsidR="00F02675">
        <w:t xml:space="preserve"> is</w:t>
      </w:r>
      <w:r>
        <w:t xml:space="preserve"> </w:t>
      </w:r>
      <w:r w:rsidR="00AA0692">
        <w:t xml:space="preserve">the </w:t>
      </w:r>
      <w:r>
        <w:t xml:space="preserve">natural home for the </w:t>
      </w:r>
      <w:r w:rsidR="00AA0692">
        <w:t>mentoring programme</w:t>
      </w:r>
      <w:r w:rsidR="00F02675">
        <w:t>.</w:t>
      </w:r>
    </w:p>
    <w:p w14:paraId="1F835125" w14:textId="77777777" w:rsidR="00AA0692" w:rsidRDefault="00AA0692" w:rsidP="00AA0692">
      <w:r>
        <w:t xml:space="preserve">If </w:t>
      </w:r>
      <w:r w:rsidR="00BF60DD">
        <w:t>Vocational Training &amp; Employment Services</w:t>
      </w:r>
      <w:r w:rsidR="00AC21E7">
        <w:t xml:space="preserve"> (VTECs)</w:t>
      </w:r>
      <w:r w:rsidR="00BF60DD">
        <w:rPr>
          <w:rStyle w:val="FootnoteReference"/>
        </w:rPr>
        <w:footnoteReference w:id="56"/>
      </w:r>
      <w:r>
        <w:t xml:space="preserve"> are already in multiple locations and are to be further deployed around the country then the additional assistance they could provide may make them the natural home for many </w:t>
      </w:r>
      <w:r w:rsidR="00AC21E7">
        <w:t xml:space="preserve">Indigenous </w:t>
      </w:r>
      <w:r>
        <w:t xml:space="preserve">job seekers. </w:t>
      </w:r>
      <w:r w:rsidRPr="00C70F89">
        <w:t xml:space="preserve">VTECs </w:t>
      </w:r>
      <w:r>
        <w:t xml:space="preserve">are intended to </w:t>
      </w:r>
      <w:r w:rsidRPr="00C70F89">
        <w:t xml:space="preserve">connect </w:t>
      </w:r>
      <w:r w:rsidR="00AC21E7">
        <w:t xml:space="preserve">Indigenous </w:t>
      </w:r>
      <w:r w:rsidRPr="00C70F89">
        <w:t>job seekers with guaranteed jobs and bring together the support services necessary to prepare job seekers for long</w:t>
      </w:r>
      <w:r>
        <w:t>-</w:t>
      </w:r>
      <w:r w:rsidRPr="00C70F89">
        <w:t xml:space="preserve">term employment. VTECs are open to </w:t>
      </w:r>
      <w:r w:rsidR="00AC21E7">
        <w:t xml:space="preserve">Indigenous </w:t>
      </w:r>
      <w:r w:rsidRPr="00C70F89">
        <w:t>job seekers and school leavers and prioritise</w:t>
      </w:r>
      <w:r w:rsidR="00F02675">
        <w:t xml:space="preserve"> those who are</w:t>
      </w:r>
      <w:r w:rsidRPr="00C70F89">
        <w:t xml:space="preserve"> highly disadvantaged.</w:t>
      </w:r>
    </w:p>
    <w:p w14:paraId="0BCCAE65" w14:textId="06C975C1" w:rsidR="00AA0692" w:rsidRDefault="00AA0692" w:rsidP="00AA0692">
      <w:r>
        <w:t xml:space="preserve">Despite the attraction of VTECs as a ‘one stop shop’ it is likely that there </w:t>
      </w:r>
      <w:r w:rsidR="00A669E6">
        <w:t xml:space="preserve">would </w:t>
      </w:r>
      <w:r>
        <w:t xml:space="preserve">still be many </w:t>
      </w:r>
      <w:r w:rsidR="00AC21E7">
        <w:t xml:space="preserve">Indigenous </w:t>
      </w:r>
      <w:r>
        <w:t>job seekers who prefer a JSA provider. Others will prefer to utilise the services of the A</w:t>
      </w:r>
      <w:r w:rsidR="00F02675">
        <w:t xml:space="preserve">boriginal </w:t>
      </w:r>
      <w:r>
        <w:t>E</w:t>
      </w:r>
      <w:r w:rsidR="00F02675">
        <w:t xml:space="preserve">mployment </w:t>
      </w:r>
      <w:r>
        <w:t>S</w:t>
      </w:r>
      <w:r w:rsidR="00F02675">
        <w:t>ervice (AES)</w:t>
      </w:r>
      <w:r>
        <w:t xml:space="preserve"> where available.</w:t>
      </w:r>
      <w:r w:rsidR="00C60BD7">
        <w:t xml:space="preserve"> </w:t>
      </w:r>
      <w:r>
        <w:t>It seems likely therefore that</w:t>
      </w:r>
      <w:r w:rsidR="00C60BD7">
        <w:t xml:space="preserve"> </w:t>
      </w:r>
      <w:r>
        <w:t xml:space="preserve">Indigenous mentoring </w:t>
      </w:r>
      <w:r w:rsidR="00F02675">
        <w:t xml:space="preserve">could </w:t>
      </w:r>
      <w:r>
        <w:t>be provided by JSA</w:t>
      </w:r>
      <w:r w:rsidR="00A669E6">
        <w:t xml:space="preserve"> providers</w:t>
      </w:r>
      <w:r>
        <w:t>, VTEC</w:t>
      </w:r>
      <w:r w:rsidR="00A669E6">
        <w:t>s</w:t>
      </w:r>
      <w:r>
        <w:t>, the AES and</w:t>
      </w:r>
      <w:r w:rsidR="00F02675">
        <w:t>/or</w:t>
      </w:r>
      <w:r>
        <w:t xml:space="preserve"> </w:t>
      </w:r>
      <w:r w:rsidR="00C60BD7">
        <w:t xml:space="preserve">via </w:t>
      </w:r>
      <w:r>
        <w:t>community organisations.</w:t>
      </w:r>
    </w:p>
    <w:p w14:paraId="464B03C6" w14:textId="77777777" w:rsidR="00AA0692" w:rsidRDefault="00AA0692" w:rsidP="00AA0692">
      <w:r>
        <w:t xml:space="preserve">The </w:t>
      </w:r>
      <w:r w:rsidR="00C60BD7">
        <w:t xml:space="preserve">success of </w:t>
      </w:r>
      <w:r>
        <w:t xml:space="preserve">the Indigenous Mentoring </w:t>
      </w:r>
      <w:r w:rsidR="00FB1E03">
        <w:t>P</w:t>
      </w:r>
      <w:r w:rsidR="00393AFA">
        <w:t xml:space="preserve">ilot </w:t>
      </w:r>
      <w:r w:rsidR="00C60BD7">
        <w:t>appeared dependent on the following aspects</w:t>
      </w:r>
      <w:r>
        <w:t>:</w:t>
      </w:r>
    </w:p>
    <w:p w14:paraId="46DCADC7" w14:textId="77777777" w:rsidR="00AC21E7" w:rsidRDefault="00AC21E7" w:rsidP="00C62CC0">
      <w:pPr>
        <w:pStyle w:val="Heading5"/>
      </w:pPr>
      <w:r>
        <w:t>Providers</w:t>
      </w:r>
      <w:r w:rsidR="00736251">
        <w:t xml:space="preserve"> should:</w:t>
      </w:r>
    </w:p>
    <w:p w14:paraId="1B0385E2" w14:textId="77777777" w:rsidR="00AA0692" w:rsidRDefault="00AA0692" w:rsidP="00247BDA">
      <w:pPr>
        <w:pStyle w:val="ListParagraph"/>
      </w:pPr>
      <w:r w:rsidRPr="00532E36">
        <w:t>have a Reconciliation Action Plan</w:t>
      </w:r>
      <w:r w:rsidR="00AC21E7">
        <w:t xml:space="preserve"> (RAP)</w:t>
      </w:r>
      <w:r w:rsidRPr="00532E36">
        <w:t>, an implemented Indigenous Training, Employment and Supplier Plan a</w:t>
      </w:r>
      <w:r>
        <w:t>nd cultural capability training</w:t>
      </w:r>
    </w:p>
    <w:p w14:paraId="7133F9BA" w14:textId="77777777" w:rsidR="00736251" w:rsidRPr="007B55E7" w:rsidRDefault="00AC21E7" w:rsidP="00247BDA">
      <w:pPr>
        <w:pStyle w:val="ListParagraph"/>
      </w:pPr>
      <w:r w:rsidRPr="007B55E7">
        <w:t>choose mentors from the local Indigenous community who are known and respected</w:t>
      </w:r>
    </w:p>
    <w:p w14:paraId="72005179" w14:textId="77777777" w:rsidR="00736251" w:rsidRPr="007B55E7" w:rsidRDefault="00736251" w:rsidP="00247BDA">
      <w:pPr>
        <w:pStyle w:val="ListParagraph"/>
      </w:pPr>
      <w:r w:rsidRPr="007B55E7">
        <w:t>choose mentors who have had work experience and understand what it means to be in full-time work</w:t>
      </w:r>
    </w:p>
    <w:p w14:paraId="1142875F" w14:textId="77777777" w:rsidR="00736251" w:rsidRPr="007B55E7" w:rsidRDefault="00736251" w:rsidP="00247BDA">
      <w:pPr>
        <w:pStyle w:val="ListParagraph"/>
      </w:pPr>
      <w:r w:rsidRPr="007B55E7">
        <w:t>provide mentors with both the normal organisation’s induction program and mentoring training</w:t>
      </w:r>
    </w:p>
    <w:p w14:paraId="404FF717" w14:textId="77777777" w:rsidR="00736251" w:rsidRPr="007B55E7" w:rsidRDefault="00736251" w:rsidP="00247BDA">
      <w:pPr>
        <w:pStyle w:val="ListParagraph"/>
      </w:pPr>
      <w:r w:rsidRPr="007B55E7">
        <w:t xml:space="preserve">consider </w:t>
      </w:r>
      <w:r w:rsidR="002C2BB5" w:rsidRPr="007B55E7">
        <w:t>providing</w:t>
      </w:r>
      <w:r w:rsidRPr="007B55E7">
        <w:t xml:space="preserve"> mental health training for employment consultants and Indigenous mentors</w:t>
      </w:r>
    </w:p>
    <w:p w14:paraId="56C7144E" w14:textId="77777777" w:rsidR="00736251" w:rsidRPr="007B55E7" w:rsidRDefault="00736251" w:rsidP="00247BDA">
      <w:pPr>
        <w:pStyle w:val="ListParagraph"/>
      </w:pPr>
      <w:r w:rsidRPr="007B55E7">
        <w:t>implement a ‘mentor the mentors’- type programme, particularly when program</w:t>
      </w:r>
      <w:r w:rsidR="000700C9" w:rsidRPr="007B55E7">
        <w:t>me</w:t>
      </w:r>
      <w:r w:rsidRPr="007B55E7">
        <w:t>s are being set up</w:t>
      </w:r>
    </w:p>
    <w:p w14:paraId="2E62E435" w14:textId="77777777" w:rsidR="00736251" w:rsidRPr="007B55E7" w:rsidRDefault="00736251" w:rsidP="00247BDA">
      <w:pPr>
        <w:pStyle w:val="ListParagraph"/>
      </w:pPr>
      <w:r w:rsidRPr="007B55E7">
        <w:t>look for ways of retaining their mentors as continuity of mentors is critical</w:t>
      </w:r>
    </w:p>
    <w:p w14:paraId="22D98000" w14:textId="77777777" w:rsidR="00736251" w:rsidRPr="007B55E7" w:rsidRDefault="00736251" w:rsidP="00247BDA">
      <w:pPr>
        <w:pStyle w:val="ListParagraph"/>
      </w:pPr>
      <w:r w:rsidRPr="007B55E7">
        <w:t>provide clarity within the JSA as to the differing roles and responsibilities of the employment consultants and the Indigenous mentor</w:t>
      </w:r>
    </w:p>
    <w:p w14:paraId="0D104310" w14:textId="77777777" w:rsidR="00736251" w:rsidRPr="00532E36" w:rsidRDefault="00736251" w:rsidP="00247BDA">
      <w:pPr>
        <w:pStyle w:val="ListParagraph"/>
      </w:pPr>
      <w:r w:rsidRPr="007B55E7">
        <w:t>assist the</w:t>
      </w:r>
      <w:r>
        <w:t xml:space="preserve"> mentor to maintain </w:t>
      </w:r>
      <w:r w:rsidRPr="00532E36">
        <w:t xml:space="preserve">a manageable workload </w:t>
      </w:r>
      <w:r>
        <w:t xml:space="preserve">through allocation </w:t>
      </w:r>
      <w:r w:rsidRPr="00532E36">
        <w:t>and monitor</w:t>
      </w:r>
      <w:r>
        <w:t>ing</w:t>
      </w:r>
      <w:r w:rsidRPr="00532E36">
        <w:t xml:space="preserve"> </w:t>
      </w:r>
      <w:r>
        <w:t>as</w:t>
      </w:r>
      <w:r w:rsidRPr="00532E36">
        <w:t xml:space="preserve"> many clients require intensive assistance</w:t>
      </w:r>
      <w:r w:rsidR="00976D9A">
        <w:t>.</w:t>
      </w:r>
    </w:p>
    <w:p w14:paraId="43E98618" w14:textId="77777777" w:rsidR="00AC21E7" w:rsidRPr="00532E36" w:rsidRDefault="00AC21E7" w:rsidP="00C62CC0">
      <w:pPr>
        <w:pStyle w:val="Heading5"/>
      </w:pPr>
      <w:r>
        <w:t>Mentors</w:t>
      </w:r>
      <w:r w:rsidR="00736251">
        <w:t xml:space="preserve"> should:</w:t>
      </w:r>
    </w:p>
    <w:p w14:paraId="70CA12EB" w14:textId="77777777" w:rsidR="00AA0692" w:rsidRPr="00532E36" w:rsidRDefault="00AA0692" w:rsidP="00247BDA">
      <w:pPr>
        <w:pStyle w:val="ListParagraph"/>
      </w:pPr>
      <w:r w:rsidRPr="00532E36">
        <w:t>work closely w</w:t>
      </w:r>
      <w:r>
        <w:t>ith the families of job seekers</w:t>
      </w:r>
    </w:p>
    <w:p w14:paraId="1344B729" w14:textId="77777777" w:rsidR="00AA0692" w:rsidRPr="00532E36" w:rsidRDefault="00AA0692" w:rsidP="00247BDA">
      <w:pPr>
        <w:pStyle w:val="ListParagraph"/>
      </w:pPr>
      <w:r w:rsidRPr="00532E36">
        <w:t>have or develop strong contacts with organisations providing assistance such as the Aboriginal Legal Service an</w:t>
      </w:r>
      <w:r>
        <w:t>d the Aboriginal Health Service</w:t>
      </w:r>
    </w:p>
    <w:p w14:paraId="4E33680D" w14:textId="77777777" w:rsidR="00AA0692" w:rsidRPr="00532E36" w:rsidRDefault="00AA0692" w:rsidP="00247BDA">
      <w:pPr>
        <w:pStyle w:val="ListParagraph"/>
      </w:pPr>
      <w:r w:rsidRPr="00532E36">
        <w:t>develop strong contacts with employers either through employme</w:t>
      </w:r>
      <w:r>
        <w:t>nt consultants or independently</w:t>
      </w:r>
    </w:p>
    <w:p w14:paraId="252B917E" w14:textId="77777777" w:rsidR="00AA0692" w:rsidRPr="00532E36" w:rsidRDefault="00AA0692" w:rsidP="00247BDA">
      <w:pPr>
        <w:pStyle w:val="ListParagraph"/>
      </w:pPr>
      <w:r w:rsidRPr="00532E36">
        <w:t xml:space="preserve">understand Centrelink processes and how the JSA must interact with Centrelink </w:t>
      </w:r>
    </w:p>
    <w:p w14:paraId="13794F4A" w14:textId="77777777" w:rsidR="00AA0692" w:rsidRPr="00532E36" w:rsidRDefault="00AA0692" w:rsidP="00247BDA">
      <w:pPr>
        <w:pStyle w:val="ListParagraph"/>
      </w:pPr>
      <w:r w:rsidRPr="00532E36">
        <w:t>encourag</w:t>
      </w:r>
      <w:r w:rsidR="00736251">
        <w:t>e</w:t>
      </w:r>
      <w:r w:rsidRPr="00532E36">
        <w:t xml:space="preserve"> companies and organisations that take on </w:t>
      </w:r>
      <w:r w:rsidR="00736251">
        <w:t>Indigenous</w:t>
      </w:r>
      <w:r w:rsidR="00636435">
        <w:t xml:space="preserve"> </w:t>
      </w:r>
      <w:r w:rsidRPr="00532E36">
        <w:t>job seekers to have their own Indigenous mentors would a</w:t>
      </w:r>
      <w:r>
        <w:t>ssist in keeping people in work</w:t>
      </w:r>
      <w:r w:rsidR="00976D9A">
        <w:t>.</w:t>
      </w:r>
    </w:p>
    <w:p w14:paraId="2FE38C6C" w14:textId="77777777" w:rsidR="008C11CB" w:rsidRDefault="008C11CB" w:rsidP="00736251">
      <w:pPr>
        <w:pStyle w:val="Heading4"/>
      </w:pPr>
      <w:r>
        <w:t>Conclusion</w:t>
      </w:r>
    </w:p>
    <w:p w14:paraId="478ECA19" w14:textId="398B6FE0" w:rsidR="00AE7D0B" w:rsidRDefault="00BF60DD" w:rsidP="00E2651A">
      <w:r>
        <w:t xml:space="preserve">The Indigenous Mentoring </w:t>
      </w:r>
      <w:r w:rsidR="00FB1E03">
        <w:t>P</w:t>
      </w:r>
      <w:r>
        <w:t xml:space="preserve">ilot received positive feedback from providers </w:t>
      </w:r>
      <w:r w:rsidR="00AE7D0B">
        <w:t>who participated in the research</w:t>
      </w:r>
      <w:r>
        <w:t>. There was an acknowledgement</w:t>
      </w:r>
      <w:r w:rsidR="00636435">
        <w:t>, and some anecdotal evidence</w:t>
      </w:r>
      <w:r w:rsidR="00976D9A">
        <w:t>,</w:t>
      </w:r>
      <w:r>
        <w:t xml:space="preserve"> that providing </w:t>
      </w:r>
      <w:r w:rsidR="002C2BB5">
        <w:t>intensive</w:t>
      </w:r>
      <w:r>
        <w:t xml:space="preserve"> assistance to </w:t>
      </w:r>
      <w:r w:rsidR="00736251">
        <w:t xml:space="preserve">Indigenous </w:t>
      </w:r>
      <w:r>
        <w:t xml:space="preserve">job seekers can have a positive effect on employment outcomes. However, the </w:t>
      </w:r>
      <w:r w:rsidR="000A3A27">
        <w:t>P</w:t>
      </w:r>
      <w:r w:rsidR="00393AFA">
        <w:t xml:space="preserve">ilot </w:t>
      </w:r>
      <w:r w:rsidR="00882A95">
        <w:t>operated</w:t>
      </w:r>
      <w:r w:rsidR="00971BA2">
        <w:t xml:space="preserve"> </w:t>
      </w:r>
      <w:r>
        <w:t>as much as a case management exercise as it did</w:t>
      </w:r>
      <w:r w:rsidR="00636435">
        <w:t xml:space="preserve"> a programme</w:t>
      </w:r>
      <w:r>
        <w:t xml:space="preserve"> for </w:t>
      </w:r>
      <w:r w:rsidR="00636435">
        <w:t xml:space="preserve">job </w:t>
      </w:r>
      <w:r>
        <w:t>placement and post</w:t>
      </w:r>
      <w:r w:rsidR="00CF06E4">
        <w:t>-</w:t>
      </w:r>
      <w:r>
        <w:t xml:space="preserve">placement support. This is because the often multi and complex barriers this group face </w:t>
      </w:r>
      <w:r w:rsidR="00AE7D0B">
        <w:t>need to be</w:t>
      </w:r>
      <w:r>
        <w:t xml:space="preserve"> addressed </w:t>
      </w:r>
      <w:r w:rsidR="00AE7D0B">
        <w:t>before</w:t>
      </w:r>
      <w:r>
        <w:t xml:space="preserve"> focus</w:t>
      </w:r>
      <w:r w:rsidR="00AE7D0B">
        <w:t xml:space="preserve">ing </w:t>
      </w:r>
      <w:r>
        <w:t>on employment</w:t>
      </w:r>
      <w:r w:rsidR="00AE7D0B">
        <w:t>.</w:t>
      </w:r>
    </w:p>
    <w:p w14:paraId="4BEC0A22" w14:textId="77777777" w:rsidR="00AE7D0B" w:rsidRDefault="00AE7D0B" w:rsidP="00E2651A">
      <w:r>
        <w:t xml:space="preserve">Any future mentoring programme could potentially be </w:t>
      </w:r>
      <w:r w:rsidR="00636435">
        <w:t>managed</w:t>
      </w:r>
      <w:r>
        <w:t xml:space="preserve"> from VTECs, the AES or jobactive providers.</w:t>
      </w:r>
    </w:p>
    <w:p w14:paraId="394D8727" w14:textId="77777777" w:rsidR="00AE7D0B" w:rsidRDefault="00AE7D0B" w:rsidP="00E2651A">
      <w:r>
        <w:t>The research found the ingredients that contribute to a successful mentoring programme include:</w:t>
      </w:r>
    </w:p>
    <w:p w14:paraId="6E46C3F9" w14:textId="77777777" w:rsidR="00AE7D0B" w:rsidRDefault="00AE7D0B" w:rsidP="00247BDA">
      <w:pPr>
        <w:pStyle w:val="ListParagraph"/>
      </w:pPr>
      <w:r>
        <w:t>mentors with experience of work, an understanding of the income support system, with links to support services, employers and the local community</w:t>
      </w:r>
    </w:p>
    <w:p w14:paraId="2BD91B5F" w14:textId="77777777" w:rsidR="00AE7D0B" w:rsidRDefault="00AE7D0B" w:rsidP="00247BDA">
      <w:pPr>
        <w:pStyle w:val="ListParagraph"/>
      </w:pPr>
      <w:r>
        <w:t>providers who have a RAP, some form or cultural capability training, adequate support for the mentor and continuity of mentoring staff</w:t>
      </w:r>
    </w:p>
    <w:p w14:paraId="42FBE55A" w14:textId="77777777" w:rsidR="008C11CB" w:rsidRPr="008C11CB" w:rsidRDefault="00AE7D0B" w:rsidP="00247BDA">
      <w:pPr>
        <w:pStyle w:val="ListParagraph"/>
      </w:pPr>
      <w:r>
        <w:t>employers who are willing to</w:t>
      </w:r>
      <w:r w:rsidR="00636435">
        <w:t xml:space="preserve"> employ and mentor </w:t>
      </w:r>
      <w:r w:rsidR="00736251">
        <w:t xml:space="preserve">Indigenous </w:t>
      </w:r>
      <w:r w:rsidR="00636435">
        <w:t>staff.</w:t>
      </w:r>
    </w:p>
    <w:p w14:paraId="549A7F5E" w14:textId="77777777" w:rsidR="00C60BD7" w:rsidRDefault="00C60BD7" w:rsidP="00C60BD7">
      <w:pPr>
        <w:pStyle w:val="Heading3"/>
      </w:pPr>
      <w:bookmarkStart w:id="415" w:name="_Toc22543111"/>
      <w:r>
        <w:t>7.1.3</w:t>
      </w:r>
      <w:r>
        <w:tab/>
        <w:t xml:space="preserve">Indigenous </w:t>
      </w:r>
      <w:r w:rsidR="00A536D9">
        <w:t xml:space="preserve">Opportunity </w:t>
      </w:r>
      <w:r>
        <w:t>Po</w:t>
      </w:r>
      <w:r w:rsidR="003B63F0">
        <w:t>licy</w:t>
      </w:r>
      <w:bookmarkEnd w:id="415"/>
    </w:p>
    <w:p w14:paraId="4615128A" w14:textId="77777777" w:rsidR="003B63F0" w:rsidRDefault="003B63F0" w:rsidP="00E2651A">
      <w:pPr>
        <w:pStyle w:val="Heading4"/>
      </w:pPr>
      <w:r>
        <w:t>Introduction</w:t>
      </w:r>
    </w:p>
    <w:p w14:paraId="3175065C" w14:textId="77777777" w:rsidR="003B63F0" w:rsidRDefault="003B63F0" w:rsidP="003B63F0">
      <w:r w:rsidRPr="00840F12">
        <w:t>The Indigenous Opportunit</w:t>
      </w:r>
      <w:r w:rsidR="00EF50E6">
        <w:t>y</w:t>
      </w:r>
      <w:r w:rsidRPr="00840F12">
        <w:t xml:space="preserve"> Policy</w:t>
      </w:r>
      <w:r>
        <w:t xml:space="preserve"> (IOP)</w:t>
      </w:r>
      <w:r w:rsidRPr="00840F12">
        <w:t xml:space="preserve"> </w:t>
      </w:r>
      <w:r w:rsidR="00596DB4">
        <w:t>was</w:t>
      </w:r>
      <w:r w:rsidR="00596DB4" w:rsidRPr="00840F12">
        <w:t xml:space="preserve"> </w:t>
      </w:r>
      <w:r w:rsidRPr="00840F12">
        <w:t xml:space="preserve">one of </w:t>
      </w:r>
      <w:r>
        <w:t xml:space="preserve">the Australian </w:t>
      </w:r>
      <w:r w:rsidRPr="00840F12">
        <w:t>Government</w:t>
      </w:r>
      <w:r>
        <w:t>’s</w:t>
      </w:r>
      <w:r w:rsidRPr="00840F12">
        <w:t xml:space="preserve"> </w:t>
      </w:r>
      <w:r>
        <w:t xml:space="preserve">Closing the Gap in employment </w:t>
      </w:r>
      <w:r w:rsidRPr="00840F12">
        <w:t>initiat</w:t>
      </w:r>
      <w:r>
        <w:t>ives</w:t>
      </w:r>
      <w:r w:rsidR="00CB557F">
        <w:t>.</w:t>
      </w:r>
      <w:r w:rsidR="00596DB4">
        <w:rPr>
          <w:rStyle w:val="FootnoteReference"/>
        </w:rPr>
        <w:footnoteReference w:id="57"/>
      </w:r>
      <w:r>
        <w:t xml:space="preserve"> Closing the gap in employment refers to the goal of</w:t>
      </w:r>
      <w:r w:rsidRPr="00840F12">
        <w:t xml:space="preserve"> halv</w:t>
      </w:r>
      <w:r>
        <w:t>ing</w:t>
      </w:r>
      <w:r w:rsidRPr="00840F12">
        <w:t xml:space="preserve"> the gap in employment outcomes between Indigenous and non-Indigenous Australians within a decade. </w:t>
      </w:r>
      <w:r w:rsidRPr="00D87492">
        <w:t xml:space="preserve">Under the National Partnership Agreement on Indigenous Economic Participation, </w:t>
      </w:r>
      <w:r>
        <w:t>the Council of Australian Governments (</w:t>
      </w:r>
      <w:r w:rsidRPr="00D87492">
        <w:t>COAG</w:t>
      </w:r>
      <w:r>
        <w:t>)</w:t>
      </w:r>
      <w:r w:rsidRPr="00D87492">
        <w:t xml:space="preserve"> made a commitment to strengthen current government procurement policies to maximise Indigenous employment.</w:t>
      </w:r>
      <w:r w:rsidRPr="003B688F">
        <w:t xml:space="preserve"> </w:t>
      </w:r>
      <w:r>
        <w:t>The IOP</w:t>
      </w:r>
      <w:r w:rsidRPr="00840F12">
        <w:t xml:space="preserve"> </w:t>
      </w:r>
      <w:r w:rsidR="00596DB4">
        <w:t>was</w:t>
      </w:r>
      <w:r w:rsidR="00596DB4" w:rsidRPr="00840F12">
        <w:t xml:space="preserve"> </w:t>
      </w:r>
      <w:r w:rsidRPr="00840F12">
        <w:t xml:space="preserve">part of the overall policy framework </w:t>
      </w:r>
      <w:r>
        <w:t xml:space="preserve">that </w:t>
      </w:r>
      <w:r w:rsidRPr="003B688F">
        <w:rPr>
          <w:color w:val="000000"/>
        </w:rPr>
        <w:t xml:space="preserve">non- corporate Commonwealth entities </w:t>
      </w:r>
      <w:r w:rsidRPr="00840F12">
        <w:t xml:space="preserve">must comply </w:t>
      </w:r>
      <w:r>
        <w:t xml:space="preserve">with </w:t>
      </w:r>
      <w:r w:rsidRPr="00840F12">
        <w:t>when undertaking procurement.</w:t>
      </w:r>
    </w:p>
    <w:p w14:paraId="7181C32C" w14:textId="1813098F" w:rsidR="003B63F0" w:rsidRPr="00B709A5" w:rsidRDefault="003B63F0" w:rsidP="003B63F0">
      <w:r>
        <w:t>The policy state</w:t>
      </w:r>
      <w:r w:rsidR="00EA214E">
        <w:t>d</w:t>
      </w:r>
      <w:r>
        <w:t xml:space="preserve"> that</w:t>
      </w:r>
      <w:r w:rsidR="00A669E6">
        <w:t>,</w:t>
      </w:r>
      <w:r w:rsidRPr="00B709A5">
        <w:t xml:space="preserve"> where projects involve expenditure over $5 million ($6 million for construction) in regions where there are significant Indigenous populations, officials must:</w:t>
      </w:r>
    </w:p>
    <w:p w14:paraId="1A296154" w14:textId="77777777" w:rsidR="003B63F0" w:rsidRPr="0056217F" w:rsidRDefault="003B63F0" w:rsidP="00247BDA">
      <w:pPr>
        <w:pStyle w:val="ListParagraph"/>
      </w:pPr>
      <w:r w:rsidRPr="0056217F">
        <w:t xml:space="preserve">Consult </w:t>
      </w:r>
      <w:r>
        <w:t>with the IOP Administrator in the Department of the Prime Minister and Cabinet</w:t>
      </w:r>
      <w:r w:rsidR="00596DB4">
        <w:t xml:space="preserve"> (PM&amp;C)</w:t>
      </w:r>
      <w:r w:rsidRPr="0056217F">
        <w:t>, the Commonwealth Indigenous Coordination Centres or equivalent Commonwealth Office, and community council or group, as appropriate, in the planning stages of those projects</w:t>
      </w:r>
      <w:r>
        <w:t>.</w:t>
      </w:r>
    </w:p>
    <w:p w14:paraId="40878E2F" w14:textId="77777777" w:rsidR="003B63F0" w:rsidRPr="00547B66" w:rsidRDefault="003B63F0" w:rsidP="00247BDA">
      <w:pPr>
        <w:pStyle w:val="ListParagraph"/>
      </w:pPr>
      <w:r w:rsidRPr="0056217F">
        <w:t>In each procurement process under those projects require each tenderer to submit as part of their tender a plan for providing training and employment opportunities to local Indigenous communities and for the use of Indigenous suppliers</w:t>
      </w:r>
      <w:r w:rsidRPr="008C24F2">
        <w:rPr>
          <w:rStyle w:val="FootnoteReference"/>
        </w:rPr>
        <w:t xml:space="preserve"> </w:t>
      </w:r>
      <w:r w:rsidRPr="0056217F">
        <w:t>that are small and medium enterprises</w:t>
      </w:r>
      <w:r>
        <w:t>.</w:t>
      </w:r>
      <w:r>
        <w:rPr>
          <w:rStyle w:val="FootnoteReference"/>
        </w:rPr>
        <w:footnoteReference w:id="58"/>
      </w:r>
    </w:p>
    <w:p w14:paraId="2B668388" w14:textId="213F9CCB" w:rsidR="003B63F0" w:rsidRDefault="003B63F0" w:rsidP="003B63F0">
      <w:r>
        <w:t xml:space="preserve">Through </w:t>
      </w:r>
      <w:r w:rsidRPr="00840F12">
        <w:t xml:space="preserve">awarding </w:t>
      </w:r>
      <w:r w:rsidRPr="003B688F">
        <w:rPr>
          <w:color w:val="000000"/>
        </w:rPr>
        <w:t>large Australian Government</w:t>
      </w:r>
      <w:r w:rsidRPr="00840F12">
        <w:t xml:space="preserve"> contract(s) </w:t>
      </w:r>
      <w:r>
        <w:t>the IOP aim</w:t>
      </w:r>
      <w:r w:rsidR="00EA214E">
        <w:t>ed</w:t>
      </w:r>
      <w:r>
        <w:t xml:space="preserve"> to </w:t>
      </w:r>
      <w:r w:rsidRPr="00840F12">
        <w:t xml:space="preserve">increase the </w:t>
      </w:r>
      <w:r>
        <w:t xml:space="preserve">level of </w:t>
      </w:r>
      <w:r w:rsidRPr="00840F12">
        <w:t xml:space="preserve">Indigenous </w:t>
      </w:r>
      <w:r>
        <w:t>employment and training as well as in</w:t>
      </w:r>
      <w:r w:rsidRPr="00840F12">
        <w:t>creas</w:t>
      </w:r>
      <w:r>
        <w:t xml:space="preserve">e </w:t>
      </w:r>
      <w:r w:rsidRPr="00840F12">
        <w:t xml:space="preserve">the level of involvement of </w:t>
      </w:r>
      <w:r>
        <w:t>Indigenous business</w:t>
      </w:r>
      <w:r w:rsidRPr="00840F12">
        <w:t>es in the delivery of goods and services under those contracts.</w:t>
      </w:r>
      <w:r>
        <w:t xml:space="preserve"> </w:t>
      </w:r>
      <w:r w:rsidRPr="00840F12">
        <w:t>The Government acknowledge</w:t>
      </w:r>
      <w:r w:rsidR="00EA214E">
        <w:t>d</w:t>
      </w:r>
      <w:r w:rsidRPr="00840F12">
        <w:t xml:space="preserve"> that this w</w:t>
      </w:r>
      <w:r w:rsidR="00EA214E">
        <w:t>ould</w:t>
      </w:r>
      <w:r w:rsidRPr="00840F12">
        <w:t xml:space="preserve"> involve changes in the way that some businesses operate (including Indigenous businesses). This </w:t>
      </w:r>
      <w:r w:rsidR="00EA214E">
        <w:t>was</w:t>
      </w:r>
      <w:r w:rsidRPr="00840F12">
        <w:t xml:space="preserve"> a key intention of the Policy.</w:t>
      </w:r>
    </w:p>
    <w:p w14:paraId="16D0C5CF" w14:textId="39C0A70F" w:rsidR="003B63F0" w:rsidRPr="009537C4" w:rsidRDefault="003B63F0" w:rsidP="003B63F0">
      <w:pPr>
        <w:rPr>
          <w:color w:val="000000"/>
        </w:rPr>
      </w:pPr>
      <w:r>
        <w:t>As at 1 July 2011 a</w:t>
      </w:r>
      <w:r w:rsidRPr="009537C4">
        <w:t xml:space="preserve">ll </w:t>
      </w:r>
      <w:r>
        <w:t xml:space="preserve">relevant organisations </w:t>
      </w:r>
      <w:r w:rsidRPr="009537C4">
        <w:t xml:space="preserve">responding to Approaches to Market for Australian Government business affected by the IOP </w:t>
      </w:r>
      <w:r>
        <w:t xml:space="preserve">had to develop and implement an </w:t>
      </w:r>
      <w:r w:rsidRPr="009537C4">
        <w:rPr>
          <w:color w:val="000000"/>
        </w:rPr>
        <w:t xml:space="preserve">Indigenous Training, Employment and Supplier Plan that </w:t>
      </w:r>
      <w:r>
        <w:rPr>
          <w:color w:val="000000"/>
        </w:rPr>
        <w:t>specifie</w:t>
      </w:r>
      <w:r w:rsidR="00EA214E">
        <w:rPr>
          <w:color w:val="000000"/>
        </w:rPr>
        <w:t>d</w:t>
      </w:r>
      <w:r w:rsidRPr="009537C4">
        <w:rPr>
          <w:color w:val="000000"/>
        </w:rPr>
        <w:t xml:space="preserve"> how </w:t>
      </w:r>
      <w:r>
        <w:rPr>
          <w:color w:val="000000"/>
        </w:rPr>
        <w:t xml:space="preserve">they </w:t>
      </w:r>
      <w:r w:rsidRPr="009537C4">
        <w:rPr>
          <w:color w:val="000000"/>
        </w:rPr>
        <w:t>intend</w:t>
      </w:r>
      <w:r w:rsidR="00EA214E">
        <w:rPr>
          <w:color w:val="000000"/>
        </w:rPr>
        <w:t>ed</w:t>
      </w:r>
      <w:r w:rsidRPr="009537C4">
        <w:rPr>
          <w:color w:val="000000"/>
        </w:rPr>
        <w:t xml:space="preserve"> to:</w:t>
      </w:r>
    </w:p>
    <w:p w14:paraId="62416206" w14:textId="77777777" w:rsidR="003B63F0" w:rsidRPr="009537C4" w:rsidRDefault="003B63F0" w:rsidP="00247BDA">
      <w:pPr>
        <w:pStyle w:val="ListParagraph"/>
      </w:pPr>
      <w:r w:rsidRPr="009537C4">
        <w:t xml:space="preserve">provide training opportunities to local Indigenous Australians </w:t>
      </w:r>
    </w:p>
    <w:p w14:paraId="015A797E" w14:textId="77777777" w:rsidR="003B63F0" w:rsidRPr="009537C4" w:rsidRDefault="003B63F0" w:rsidP="00247BDA">
      <w:pPr>
        <w:pStyle w:val="ListParagraph"/>
      </w:pPr>
      <w:r w:rsidRPr="009537C4">
        <w:t xml:space="preserve">provide employment opportunities to local Indigenous Australians </w:t>
      </w:r>
    </w:p>
    <w:p w14:paraId="06F38D2D" w14:textId="77777777" w:rsidR="003B63F0" w:rsidRPr="009537C4" w:rsidRDefault="003B63F0" w:rsidP="00247BDA">
      <w:pPr>
        <w:pStyle w:val="ListParagraph"/>
      </w:pPr>
      <w:r w:rsidRPr="009537C4">
        <w:t xml:space="preserve">utilise Indigenous businesses that are </w:t>
      </w:r>
      <w:r>
        <w:t>SMEs.</w:t>
      </w:r>
    </w:p>
    <w:p w14:paraId="487BA5E1" w14:textId="72197D99" w:rsidR="00AA0692" w:rsidRDefault="003B63F0" w:rsidP="003B63F0">
      <w:r>
        <w:t>Organisations</w:t>
      </w:r>
      <w:r w:rsidRPr="009537C4">
        <w:t xml:space="preserve"> </w:t>
      </w:r>
      <w:r w:rsidR="00EA214E">
        <w:t>we</w:t>
      </w:r>
      <w:r w:rsidRPr="009537C4">
        <w:t>re required to report on outcomes</w:t>
      </w:r>
      <w:r>
        <w:t xml:space="preserve"> annually</w:t>
      </w:r>
      <w:r w:rsidRPr="009537C4">
        <w:t xml:space="preserve"> if they w</w:t>
      </w:r>
      <w:r w:rsidR="00EA214E">
        <w:t>o</w:t>
      </w:r>
      <w:r w:rsidRPr="009537C4">
        <w:t xml:space="preserve">n an Australian Government contract to which the </w:t>
      </w:r>
      <w:r w:rsidR="00393AFA">
        <w:t xml:space="preserve">IOP </w:t>
      </w:r>
      <w:r w:rsidRPr="009537C4">
        <w:t>applie</w:t>
      </w:r>
      <w:r w:rsidR="00EA214E">
        <w:t>d</w:t>
      </w:r>
      <w:r w:rsidRPr="009537C4">
        <w:t>.</w:t>
      </w:r>
      <w:r>
        <w:t xml:space="preserve"> </w:t>
      </w:r>
      <w:r w:rsidRPr="009537C4">
        <w:t>In practical terms, this mean</w:t>
      </w:r>
      <w:r w:rsidR="00EA214E">
        <w:t>t</w:t>
      </w:r>
      <w:r w:rsidRPr="009537C4">
        <w:t xml:space="preserve"> that many organisations w</w:t>
      </w:r>
      <w:r w:rsidR="00EA214E">
        <w:t>ould</w:t>
      </w:r>
      <w:r w:rsidRPr="009537C4">
        <w:t xml:space="preserve"> have to plan how they train</w:t>
      </w:r>
      <w:r w:rsidR="002A14C1">
        <w:t>ed</w:t>
      </w:r>
      <w:r w:rsidRPr="009537C4">
        <w:t xml:space="preserve"> and employ</w:t>
      </w:r>
      <w:r w:rsidR="002A14C1">
        <w:t>ed</w:t>
      </w:r>
      <w:r w:rsidRPr="009537C4">
        <w:t xml:space="preserve"> Indigenous Australians </w:t>
      </w:r>
      <w:r>
        <w:t xml:space="preserve">locally </w:t>
      </w:r>
      <w:r w:rsidRPr="009537C4">
        <w:t>and how they c</w:t>
      </w:r>
      <w:r w:rsidR="002A14C1">
        <w:t>ould</w:t>
      </w:r>
      <w:r w:rsidRPr="009537C4">
        <w:t xml:space="preserve"> in</w:t>
      </w:r>
      <w:r w:rsidR="002A14C1">
        <w:t>clude</w:t>
      </w:r>
      <w:r w:rsidRPr="009537C4">
        <w:t xml:space="preserve"> Indigenous businesses in the production or delivery of goods and services </w:t>
      </w:r>
      <w:r>
        <w:t>for the Australian Government.</w:t>
      </w:r>
    </w:p>
    <w:p w14:paraId="4A97865C" w14:textId="77777777" w:rsidR="00AA0692" w:rsidRDefault="003B63F0" w:rsidP="00E2651A">
      <w:pPr>
        <w:pStyle w:val="Heading4"/>
      </w:pPr>
      <w:r>
        <w:t>Key findings</w:t>
      </w:r>
    </w:p>
    <w:p w14:paraId="320A62DF" w14:textId="680451BC" w:rsidR="00EA3AEE" w:rsidRDefault="005E27F8" w:rsidP="0086308F">
      <w:r>
        <w:t>Because recruitment, training and purchasing policy are generally developed and managed at a national leve</w:t>
      </w:r>
      <w:r w:rsidR="00EA3AEE">
        <w:t>l</w:t>
      </w:r>
      <w:r>
        <w:t>, providers</w:t>
      </w:r>
      <w:r w:rsidR="00EA3AEE">
        <w:t xml:space="preserve"> who participated</w:t>
      </w:r>
      <w:r w:rsidR="00596DB4" w:rsidRPr="00C82A60">
        <w:t xml:space="preserve"> in the research</w:t>
      </w:r>
      <w:r>
        <w:t xml:space="preserve"> </w:t>
      </w:r>
      <w:r w:rsidR="00EA3AEE">
        <w:t>(</w:t>
      </w:r>
      <w:r>
        <w:t>at</w:t>
      </w:r>
      <w:r w:rsidR="00FA5536">
        <w:t xml:space="preserve"> a local</w:t>
      </w:r>
      <w:r>
        <w:t xml:space="preserve"> level</w:t>
      </w:r>
      <w:r w:rsidR="00EA3AEE">
        <w:t>), though vaguely aware,</w:t>
      </w:r>
      <w:r w:rsidR="00596DB4" w:rsidRPr="00C82A60">
        <w:t xml:space="preserve"> were broadly unfamiliar with the IOP.</w:t>
      </w:r>
      <w:r>
        <w:t xml:space="preserve"> </w:t>
      </w:r>
      <w:r w:rsidR="00EA3AEE">
        <w:t>Decisions around these types of policy were based on sound business practices above all else.</w:t>
      </w:r>
    </w:p>
    <w:p w14:paraId="537FCA9F" w14:textId="77777777" w:rsidR="00EA3AEE" w:rsidRDefault="00EA3AEE" w:rsidP="0086308F">
      <w:r>
        <w:t>While the IOP itself did</w:t>
      </w:r>
      <w:r w:rsidR="00976D9A">
        <w:t xml:space="preserve"> not</w:t>
      </w:r>
      <w:r>
        <w:t xml:space="preserve"> impact on provider practices, some were undertaking some of the initiatives within the policy framework, such as approaching employers that seek to employ </w:t>
      </w:r>
      <w:r w:rsidR="0088460C">
        <w:t>Indigenous</w:t>
      </w:r>
      <w:r>
        <w:t xml:space="preserve"> job seekers.</w:t>
      </w:r>
    </w:p>
    <w:p w14:paraId="688D05C8" w14:textId="77777777" w:rsidR="003B63F0" w:rsidRDefault="00EA3AEE" w:rsidP="0086308F">
      <w:r>
        <w:t xml:space="preserve">Given the general absence of dissemination of the </w:t>
      </w:r>
      <w:r w:rsidR="00393AFA">
        <w:t xml:space="preserve">IOP </w:t>
      </w:r>
      <w:r>
        <w:t>from head offices to site offices perhaps the focus should be on encouraging providers to focus on their core business: providing</w:t>
      </w:r>
      <w:r w:rsidRPr="00C1106D">
        <w:t xml:space="preserve"> Indigenous job seekers to companies</w:t>
      </w:r>
      <w:r>
        <w:t xml:space="preserve"> and other organisations that must meet the requirements of the IOP.</w:t>
      </w:r>
    </w:p>
    <w:p w14:paraId="0523C990" w14:textId="77777777" w:rsidR="008C11CB" w:rsidRDefault="008C11CB" w:rsidP="008C11CB">
      <w:pPr>
        <w:pStyle w:val="Heading4"/>
      </w:pPr>
      <w:r>
        <w:t>Conclusion</w:t>
      </w:r>
    </w:p>
    <w:p w14:paraId="48F84F1C" w14:textId="77777777" w:rsidR="00AA0692" w:rsidRDefault="004E1F3F" w:rsidP="0086308F">
      <w:r>
        <w:t>From the qualitative research conducted, it was evident that t</w:t>
      </w:r>
      <w:r w:rsidR="00EA3AEE">
        <w:t>he IOP was broadly unsuccessful as a policy in terms of changing provider behaviour at the site leve</w:t>
      </w:r>
      <w:r>
        <w:t>l</w:t>
      </w:r>
      <w:r w:rsidR="00EA3AEE">
        <w:t xml:space="preserve">. However, providers were </w:t>
      </w:r>
      <w:r w:rsidR="00682D84">
        <w:t>inadvertently</w:t>
      </w:r>
      <w:r w:rsidR="00EA3AEE">
        <w:t xml:space="preserve"> implementing aspects of the </w:t>
      </w:r>
      <w:r>
        <w:t>policy. Given the providers</w:t>
      </w:r>
      <w:r w:rsidR="00976D9A">
        <w:t>’</w:t>
      </w:r>
      <w:r>
        <w:t xml:space="preserve"> core business – getting job seekers into jobs – a shift in focus to encouraging providers to work more closely with other businesses required to implement the IOP may be a more practical approach.</w:t>
      </w:r>
    </w:p>
    <w:p w14:paraId="78FFCF0B" w14:textId="77777777" w:rsidR="003F752C" w:rsidRDefault="003F752C" w:rsidP="006149DB">
      <w:pPr>
        <w:pStyle w:val="Heading2"/>
        <w:keepNext/>
      </w:pPr>
      <w:bookmarkStart w:id="416" w:name="_Toc450919344"/>
      <w:bookmarkStart w:id="417" w:name="_Toc22543112"/>
      <w:bookmarkStart w:id="418" w:name="_Toc402170621"/>
      <w:r>
        <w:t>7.2</w:t>
      </w:r>
      <w:r>
        <w:tab/>
      </w:r>
      <w:r w:rsidR="00806ED3">
        <w:t>C</w:t>
      </w:r>
      <w:r>
        <w:t>hanges to administrative procedures</w:t>
      </w:r>
      <w:bookmarkEnd w:id="416"/>
      <w:bookmarkEnd w:id="417"/>
    </w:p>
    <w:p w14:paraId="08B6CC17" w14:textId="77777777" w:rsidR="003B63F0" w:rsidRDefault="003B63F0" w:rsidP="00C82A60">
      <w:pPr>
        <w:pStyle w:val="Heading3"/>
      </w:pPr>
      <w:bookmarkStart w:id="419" w:name="_Toc22543113"/>
      <w:r>
        <w:t>7.2.1</w:t>
      </w:r>
      <w:r>
        <w:tab/>
        <w:t>Introduction</w:t>
      </w:r>
      <w:bookmarkEnd w:id="419"/>
    </w:p>
    <w:p w14:paraId="67C041D4" w14:textId="77777777" w:rsidR="00611EB6" w:rsidRDefault="00611EB6" w:rsidP="00611EB6">
      <w:pPr>
        <w:pStyle w:val="normalbody"/>
      </w:pPr>
      <w:bookmarkStart w:id="420" w:name="_Toc434853233"/>
      <w:r>
        <w:t>Publicly funded e</w:t>
      </w:r>
      <w:r w:rsidRPr="002873BF">
        <w:t xml:space="preserve">mployment services </w:t>
      </w:r>
      <w:r>
        <w:t>are</w:t>
      </w:r>
      <w:r w:rsidRPr="002873BF">
        <w:t xml:space="preserve"> regulated to</w:t>
      </w:r>
      <w:r>
        <w:t xml:space="preserve"> </w:t>
      </w:r>
      <w:r w:rsidRPr="002873BF">
        <w:t xml:space="preserve">ensure accountability and value for </w:t>
      </w:r>
      <w:r>
        <w:t>money. In the delivery of employment services, providers, employers and job seekers are subject to a level of ‘red tape’ or compliance burden around regulatory activities. Under JSA costs associated with compliance for regulation and contractual requirements changed over the contract periods of JSA 2009 and JSA 2012 and with the commencement of jobactive.</w:t>
      </w:r>
      <w:r>
        <w:rPr>
          <w:rStyle w:val="FootnoteReference"/>
          <w:rFonts w:cstheme="minorHAnsi"/>
        </w:rPr>
        <w:footnoteReference w:id="59"/>
      </w:r>
    </w:p>
    <w:p w14:paraId="55AA5A0D" w14:textId="77777777" w:rsidR="00611EB6" w:rsidRDefault="00611EB6" w:rsidP="00355B5B">
      <w:pPr>
        <w:pStyle w:val="Heading4"/>
      </w:pPr>
      <w:bookmarkStart w:id="421" w:name="_Toc434853241"/>
      <w:bookmarkEnd w:id="420"/>
      <w:r w:rsidRPr="00355B5B">
        <w:t>What are red tape costs?</w:t>
      </w:r>
    </w:p>
    <w:p w14:paraId="034D7E1E" w14:textId="781FD82C" w:rsidR="00611EB6" w:rsidRDefault="00611EB6" w:rsidP="00611EB6">
      <w:r>
        <w:t>The Office of Best Practice</w:t>
      </w:r>
      <w:r w:rsidR="00FA5536">
        <w:t xml:space="preserve"> Regulation</w:t>
      </w:r>
      <w:r>
        <w:t xml:space="preserve"> </w:t>
      </w:r>
      <w:r w:rsidR="00A669E6">
        <w:t xml:space="preserve">(OBPR) </w:t>
      </w:r>
      <w:r>
        <w:t xml:space="preserve">defines </w:t>
      </w:r>
      <w:r w:rsidR="00976D9A">
        <w:t>administrative cost burden</w:t>
      </w:r>
      <w:r>
        <w:t>, ‘</w:t>
      </w:r>
      <w:r w:rsidR="00976D9A">
        <w:t>red tape’</w:t>
      </w:r>
      <w:r>
        <w:t>, or compliance costs as:</w:t>
      </w:r>
    </w:p>
    <w:p w14:paraId="4EEBECC2" w14:textId="77777777" w:rsidR="00611EB6" w:rsidRPr="00D71A15" w:rsidRDefault="002231A4" w:rsidP="008338FF">
      <w:pPr>
        <w:pStyle w:val="Quote"/>
      </w:pPr>
      <w:r>
        <w:t>‘</w:t>
      </w:r>
      <w:r w:rsidR="00611EB6">
        <w:t xml:space="preserve">… </w:t>
      </w:r>
      <w:r w:rsidR="00611EB6" w:rsidRPr="00D71A15">
        <w:t>the costs incurred by regulated entities primarily to demonstrate compliance with the regulation</w:t>
      </w:r>
      <w:r w:rsidR="00611EB6">
        <w:t>’</w:t>
      </w:r>
      <w:r w:rsidR="00611EB6" w:rsidRPr="00D71A15">
        <w:t>.</w:t>
      </w:r>
    </w:p>
    <w:p w14:paraId="4BE6C098" w14:textId="77777777" w:rsidR="00611EB6" w:rsidRPr="00E76990" w:rsidRDefault="00611EB6" w:rsidP="00312C66">
      <w:r w:rsidRPr="00E76990">
        <w:t xml:space="preserve">Some examples of </w:t>
      </w:r>
      <w:r>
        <w:t>compliance</w:t>
      </w:r>
      <w:r w:rsidRPr="00E76990">
        <w:t xml:space="preserve"> costs are:</w:t>
      </w:r>
    </w:p>
    <w:p w14:paraId="6E776A32" w14:textId="77777777" w:rsidR="00611EB6" w:rsidRPr="00093440" w:rsidRDefault="00611EB6" w:rsidP="00247BDA">
      <w:pPr>
        <w:pStyle w:val="ListParagraph"/>
      </w:pPr>
      <w:r w:rsidRPr="00093440">
        <w:t>costs of making, keeping and providing records</w:t>
      </w:r>
    </w:p>
    <w:p w14:paraId="7631FE57" w14:textId="77777777" w:rsidR="00611EB6" w:rsidRPr="00093440" w:rsidRDefault="00611EB6" w:rsidP="00247BDA">
      <w:pPr>
        <w:pStyle w:val="ListParagraph"/>
      </w:pPr>
      <w:r w:rsidRPr="00093440">
        <w:t>costs of notifying the Government of certain activities</w:t>
      </w:r>
    </w:p>
    <w:p w14:paraId="76F74B4F" w14:textId="77777777" w:rsidR="00611EB6" w:rsidRPr="00093440" w:rsidRDefault="00611EB6" w:rsidP="00247BDA">
      <w:pPr>
        <w:pStyle w:val="ListParagraph"/>
      </w:pPr>
      <w:r w:rsidRPr="00093440">
        <w:t>costs of conducting tests</w:t>
      </w:r>
    </w:p>
    <w:p w14:paraId="081111B6" w14:textId="77777777" w:rsidR="00611EB6" w:rsidRPr="00A57DE0" w:rsidRDefault="00611EB6" w:rsidP="00247BDA">
      <w:pPr>
        <w:pStyle w:val="ListParagraph"/>
      </w:pPr>
      <w:r w:rsidRPr="00A57DE0">
        <w:t>costs of making an application</w:t>
      </w:r>
    </w:p>
    <w:p w14:paraId="11E117E9" w14:textId="77777777" w:rsidR="00611EB6" w:rsidRPr="00AE75A0" w:rsidRDefault="00611EB6" w:rsidP="00247BDA">
      <w:pPr>
        <w:pStyle w:val="ListParagraph"/>
      </w:pPr>
      <w:r w:rsidRPr="00F518EA">
        <w:t>compliance costs associated with financial costs, including the costs incurred in complying with government taxes, fees, charges and levies (excluding the actual amount paid)—for example, t</w:t>
      </w:r>
      <w:r w:rsidRPr="00AE75A0">
        <w:t>he time taken to pay a licence fee is a compliance cost.</w:t>
      </w:r>
    </w:p>
    <w:p w14:paraId="035F003E" w14:textId="2C496156" w:rsidR="00611EB6" w:rsidRDefault="00611EB6" w:rsidP="002231A4">
      <w:pPr>
        <w:pStyle w:val="Quote"/>
        <w:ind w:left="0"/>
      </w:pPr>
      <w:r w:rsidRPr="00247BDA">
        <w:rPr>
          <w:sz w:val="22"/>
        </w:rPr>
        <w:t>Compliance costs include the time taken to demonstrate compliance with the regulation as well as the associated travel costs (for instance, the costs of travelling to a particular location to submit a form or waiting in a queue in order to comply with a requirement)</w:t>
      </w:r>
      <w:r w:rsidRPr="00093440">
        <w:t>.</w:t>
      </w:r>
      <w:r w:rsidR="00F64E6A">
        <w:rPr>
          <w:rStyle w:val="FootnoteReference"/>
        </w:rPr>
        <w:footnoteReference w:id="60"/>
      </w:r>
    </w:p>
    <w:bookmarkEnd w:id="421"/>
    <w:p w14:paraId="6E98FFA5" w14:textId="77777777" w:rsidR="0094165C" w:rsidRDefault="0094165C" w:rsidP="00355B5B">
      <w:pPr>
        <w:pStyle w:val="Heading4"/>
      </w:pPr>
      <w:r w:rsidRPr="00355B5B">
        <w:t>Approaches to red tape cost reduction</w:t>
      </w:r>
    </w:p>
    <w:p w14:paraId="7E9454D3" w14:textId="77777777" w:rsidR="0094165C" w:rsidRPr="00AC73D0" w:rsidRDefault="0094165C" w:rsidP="0094165C">
      <w:r>
        <w:t xml:space="preserve">Though regulation of employment services is required, the level of red tape imposed on stakeholders as a consequence may not be optimal. Regulation </w:t>
      </w:r>
      <w:r w:rsidRPr="00AC73D0">
        <w:t>should be modernised to take advantage of technological improvements, new business models and increased availability of information.</w:t>
      </w:r>
    </w:p>
    <w:p w14:paraId="1B871479" w14:textId="77777777" w:rsidR="0094165C" w:rsidRPr="00AC73D0" w:rsidRDefault="0094165C" w:rsidP="0094165C">
      <w:pPr>
        <w:rPr>
          <w:rFonts w:cstheme="minorHAnsi"/>
        </w:rPr>
      </w:pPr>
      <w:r w:rsidRPr="00AC73D0">
        <w:rPr>
          <w:rFonts w:cstheme="minorHAnsi"/>
        </w:rPr>
        <w:t xml:space="preserve">Reductions in </w:t>
      </w:r>
      <w:r>
        <w:rPr>
          <w:rFonts w:cstheme="minorHAnsi"/>
        </w:rPr>
        <w:t>red tape</w:t>
      </w:r>
      <w:r w:rsidRPr="00AC73D0">
        <w:rPr>
          <w:rFonts w:cstheme="minorHAnsi"/>
        </w:rPr>
        <w:t xml:space="preserve"> can be achieved</w:t>
      </w:r>
      <w:r>
        <w:rPr>
          <w:rFonts w:cstheme="minorHAnsi"/>
        </w:rPr>
        <w:t xml:space="preserve"> when regulations</w:t>
      </w:r>
      <w:r w:rsidRPr="00AC73D0">
        <w:rPr>
          <w:rFonts w:cstheme="minorHAnsi"/>
        </w:rPr>
        <w:t>:</w:t>
      </w:r>
    </w:p>
    <w:p w14:paraId="28291623" w14:textId="35EFEF79" w:rsidR="0094165C" w:rsidRPr="006C1CF0" w:rsidRDefault="0094165C" w:rsidP="00247BDA">
      <w:pPr>
        <w:pStyle w:val="ListParagraph"/>
      </w:pPr>
      <w:r w:rsidRPr="006C1CF0">
        <w:t xml:space="preserve">are not required by the Department to effectively monitor </w:t>
      </w:r>
      <w:r w:rsidR="00093440">
        <w:t xml:space="preserve">or manage risk to </w:t>
      </w:r>
      <w:r w:rsidRPr="006C1CF0">
        <w:t>the delivery of employment services</w:t>
      </w:r>
    </w:p>
    <w:p w14:paraId="4B430EB0" w14:textId="77777777" w:rsidR="0094165C" w:rsidRPr="00EA214E" w:rsidRDefault="0094165C" w:rsidP="00247BDA">
      <w:pPr>
        <w:pStyle w:val="ListParagraph"/>
      </w:pPr>
      <w:r w:rsidRPr="00553086">
        <w:t>provide benefits that do not exceed the costs. An example of this is streamlining the number of special claims for provider payments</w:t>
      </w:r>
    </w:p>
    <w:p w14:paraId="669744D6" w14:textId="77777777" w:rsidR="0094165C" w:rsidRPr="0061122B" w:rsidRDefault="0094165C" w:rsidP="00247BDA">
      <w:pPr>
        <w:pStyle w:val="ListParagraph"/>
      </w:pPr>
      <w:r w:rsidRPr="005C5E60">
        <w:t>provides</w:t>
      </w:r>
      <w:r w:rsidRPr="007B55E7">
        <w:t xml:space="preserve"> information</w:t>
      </w:r>
      <w:r w:rsidRPr="0061122B">
        <w:t xml:space="preserve"> that could be more effectively gained through other avenues such as:</w:t>
      </w:r>
    </w:p>
    <w:p w14:paraId="5438A9D8" w14:textId="77777777" w:rsidR="0094165C" w:rsidRPr="00A47497" w:rsidRDefault="0094165C" w:rsidP="00961617">
      <w:pPr>
        <w:pStyle w:val="bullet"/>
        <w:numPr>
          <w:ilvl w:val="1"/>
          <w:numId w:val="87"/>
        </w:numPr>
        <w:rPr>
          <w:rFonts w:eastAsia="Times New Roman" w:cstheme="minorHAnsi"/>
          <w:szCs w:val="20"/>
        </w:rPr>
      </w:pPr>
      <w:r>
        <w:t>inter-agency data exchange</w:t>
      </w:r>
    </w:p>
    <w:p w14:paraId="1CD8B716" w14:textId="77777777" w:rsidR="00806ED3" w:rsidRPr="00006893" w:rsidRDefault="0094165C" w:rsidP="00961617">
      <w:pPr>
        <w:pStyle w:val="bullet"/>
        <w:numPr>
          <w:ilvl w:val="1"/>
          <w:numId w:val="87"/>
        </w:numPr>
        <w:rPr>
          <w:rFonts w:eastAsia="Times New Roman" w:cstheme="minorHAnsi"/>
          <w:szCs w:val="20"/>
        </w:rPr>
      </w:pPr>
      <w:r w:rsidRPr="00006893">
        <w:rPr>
          <w:rFonts w:eastAsia="Times New Roman" w:cstheme="minorHAnsi"/>
          <w:szCs w:val="20"/>
        </w:rPr>
        <w:t>by allowing for the collection of information electronically</w:t>
      </w:r>
      <w:r>
        <w:rPr>
          <w:rFonts w:eastAsia="Times New Roman" w:cstheme="minorHAnsi"/>
          <w:szCs w:val="20"/>
        </w:rPr>
        <w:t>.</w:t>
      </w:r>
    </w:p>
    <w:p w14:paraId="40F484E2" w14:textId="77777777" w:rsidR="003B3C72" w:rsidRDefault="003B3C72" w:rsidP="00C5435B">
      <w:pPr>
        <w:pStyle w:val="Heading3"/>
        <w:rPr>
          <w:rFonts w:eastAsiaTheme="minorHAnsi"/>
        </w:rPr>
      </w:pPr>
      <w:bookmarkStart w:id="422" w:name="_Toc22543114"/>
      <w:r>
        <w:rPr>
          <w:rFonts w:eastAsiaTheme="minorHAnsi"/>
        </w:rPr>
        <w:t>7.2.2</w:t>
      </w:r>
      <w:r>
        <w:rPr>
          <w:rFonts w:eastAsiaTheme="minorHAnsi"/>
        </w:rPr>
        <w:tab/>
        <w:t xml:space="preserve">Key </w:t>
      </w:r>
      <w:r w:rsidR="00976D9A">
        <w:rPr>
          <w:rFonts w:eastAsiaTheme="minorHAnsi"/>
        </w:rPr>
        <w:t>f</w:t>
      </w:r>
      <w:r>
        <w:rPr>
          <w:rFonts w:eastAsiaTheme="minorHAnsi"/>
        </w:rPr>
        <w:t>indings</w:t>
      </w:r>
      <w:bookmarkEnd w:id="422"/>
    </w:p>
    <w:p w14:paraId="7F9AAD49" w14:textId="77777777" w:rsidR="0094165C" w:rsidRDefault="0094165C" w:rsidP="0094165C">
      <w:pPr>
        <w:pStyle w:val="Heading4"/>
        <w:rPr>
          <w:rFonts w:eastAsiaTheme="minorHAnsi"/>
        </w:rPr>
      </w:pPr>
      <w:r>
        <w:rPr>
          <w:rFonts w:eastAsiaTheme="minorHAnsi"/>
        </w:rPr>
        <w:t xml:space="preserve">Red </w:t>
      </w:r>
      <w:r w:rsidR="00976D9A">
        <w:rPr>
          <w:rFonts w:eastAsiaTheme="minorHAnsi"/>
        </w:rPr>
        <w:t>t</w:t>
      </w:r>
      <w:r>
        <w:rPr>
          <w:rFonts w:eastAsiaTheme="minorHAnsi"/>
        </w:rPr>
        <w:t xml:space="preserve">ape </w:t>
      </w:r>
      <w:r w:rsidR="00976D9A">
        <w:rPr>
          <w:rFonts w:eastAsiaTheme="minorHAnsi"/>
        </w:rPr>
        <w:t>e</w:t>
      </w:r>
      <w:r>
        <w:rPr>
          <w:rFonts w:eastAsiaTheme="minorHAnsi"/>
        </w:rPr>
        <w:t>stimates</w:t>
      </w:r>
    </w:p>
    <w:p w14:paraId="6BF6CBE4" w14:textId="2C33FEE5" w:rsidR="00806ED3" w:rsidRDefault="0094165C" w:rsidP="0094165C">
      <w:pPr>
        <w:rPr>
          <w:b/>
          <w:i/>
          <w:sz w:val="20"/>
        </w:rPr>
      </w:pPr>
      <w:r w:rsidRPr="003F08AE">
        <w:rPr>
          <w:rFonts w:eastAsiaTheme="minorHAnsi"/>
        </w:rPr>
        <w:t xml:space="preserve">The Department has estimated the level of </w:t>
      </w:r>
      <w:r>
        <w:rPr>
          <w:rFonts w:eastAsiaTheme="minorHAnsi"/>
        </w:rPr>
        <w:t>red tape</w:t>
      </w:r>
      <w:r w:rsidRPr="003F08AE">
        <w:rPr>
          <w:rFonts w:eastAsiaTheme="minorHAnsi"/>
        </w:rPr>
        <w:t xml:space="preserve"> imposed on key stakeholders including providers, employers and job seekers</w:t>
      </w:r>
      <w:r>
        <w:rPr>
          <w:rFonts w:eastAsiaTheme="minorHAnsi"/>
        </w:rPr>
        <w:t>,</w:t>
      </w:r>
      <w:r w:rsidRPr="003F08AE">
        <w:rPr>
          <w:rFonts w:eastAsiaTheme="minorHAnsi"/>
        </w:rPr>
        <w:t xml:space="preserve"> using items from the Regulatory Burden Measurement (RBM) Framework guidance provided by</w:t>
      </w:r>
      <w:r>
        <w:rPr>
          <w:rFonts w:eastAsiaTheme="minorHAnsi"/>
        </w:rPr>
        <w:t xml:space="preserve"> </w:t>
      </w:r>
      <w:r w:rsidR="00A669E6">
        <w:rPr>
          <w:rFonts w:eastAsiaTheme="minorHAnsi"/>
        </w:rPr>
        <w:t>OBPR</w:t>
      </w:r>
      <w:r w:rsidRPr="003F08AE">
        <w:rPr>
          <w:rFonts w:eastAsiaTheme="minorHAnsi"/>
        </w:rPr>
        <w:t>.</w:t>
      </w:r>
      <w:r>
        <w:rPr>
          <w:rFonts w:eastAsiaTheme="minorHAnsi"/>
        </w:rPr>
        <w:t xml:space="preserve"> Estimates are provided for each main component of the programme, (such as job seeker co</w:t>
      </w:r>
      <w:r w:rsidR="007833D7">
        <w:rPr>
          <w:rFonts w:eastAsiaTheme="minorHAnsi"/>
        </w:rPr>
        <w:t>mpliance and participation and S</w:t>
      </w:r>
      <w:r>
        <w:rPr>
          <w:rFonts w:eastAsiaTheme="minorHAnsi"/>
        </w:rPr>
        <w:t xml:space="preserve">tream </w:t>
      </w:r>
      <w:r w:rsidR="007833D7">
        <w:rPr>
          <w:rFonts w:eastAsiaTheme="minorHAnsi"/>
        </w:rPr>
        <w:t>S</w:t>
      </w:r>
      <w:r>
        <w:rPr>
          <w:rFonts w:eastAsiaTheme="minorHAnsi"/>
        </w:rPr>
        <w:t>ervices), and used to show how red tape costs have changed across contracts and which components of the programme are driving these costs</w:t>
      </w:r>
      <w:r w:rsidR="009716CF">
        <w:rPr>
          <w:rFonts w:eastAsiaTheme="minorHAnsi"/>
        </w:rPr>
        <w:t>.</w:t>
      </w:r>
      <w:r w:rsidR="009716CF" w:rsidRPr="009716CF">
        <w:t xml:space="preserve"> </w:t>
      </w:r>
      <w:r w:rsidR="009716CF">
        <w:t>Further details of the methodology used for this analysis is in Appendix B</w:t>
      </w:r>
      <w:r w:rsidR="008D3BC4">
        <w:t>6.</w:t>
      </w:r>
    </w:p>
    <w:p w14:paraId="75F8EC20" w14:textId="77777777" w:rsidR="0094165C" w:rsidRPr="00C2452E" w:rsidRDefault="0094165C" w:rsidP="00B2456E">
      <w:pPr>
        <w:pStyle w:val="Figureheadingforcontents"/>
        <w:rPr>
          <w:rFonts w:eastAsiaTheme="majorEastAsia"/>
        </w:rPr>
      </w:pPr>
      <w:bookmarkStart w:id="423" w:name="_Toc436214881"/>
      <w:bookmarkStart w:id="424" w:name="_Toc436214979"/>
      <w:bookmarkStart w:id="425" w:name="_Toc22544045"/>
      <w:r>
        <w:rPr>
          <w:rFonts w:eastAsiaTheme="majorEastAsia"/>
        </w:rPr>
        <w:t>Figure</w:t>
      </w:r>
      <w:r w:rsidRPr="00C2452E">
        <w:rPr>
          <w:rFonts w:eastAsiaTheme="majorEastAsia"/>
        </w:rPr>
        <w:t xml:space="preserve"> 7</w:t>
      </w:r>
      <w:r>
        <w:rPr>
          <w:rFonts w:eastAsiaTheme="majorEastAsia"/>
        </w:rPr>
        <w:t xml:space="preserve">.1: </w:t>
      </w:r>
      <w:r w:rsidRPr="00C2452E">
        <w:rPr>
          <w:rFonts w:eastAsiaTheme="majorEastAsia"/>
        </w:rPr>
        <w:t xml:space="preserve">Annual </w:t>
      </w:r>
      <w:r>
        <w:rPr>
          <w:rFonts w:eastAsiaTheme="majorEastAsia"/>
        </w:rPr>
        <w:t>red tape</w:t>
      </w:r>
      <w:r w:rsidRPr="00C2452E">
        <w:rPr>
          <w:rFonts w:eastAsiaTheme="majorEastAsia"/>
        </w:rPr>
        <w:t xml:space="preserve"> estimates by activity</w:t>
      </w:r>
      <w:bookmarkEnd w:id="423"/>
      <w:bookmarkEnd w:id="424"/>
      <w:r>
        <w:rPr>
          <w:rFonts w:eastAsiaTheme="majorEastAsia"/>
        </w:rPr>
        <w:t xml:space="preserve"> (</w:t>
      </w:r>
      <w:r w:rsidR="00976D9A">
        <w:rPr>
          <w:rFonts w:eastAsiaTheme="majorEastAsia"/>
        </w:rPr>
        <w:t xml:space="preserve">$ </w:t>
      </w:r>
      <w:r>
        <w:rPr>
          <w:rFonts w:eastAsiaTheme="majorEastAsia"/>
        </w:rPr>
        <w:t>million)</w:t>
      </w:r>
      <w:bookmarkEnd w:id="425"/>
    </w:p>
    <w:p w14:paraId="69878308" w14:textId="77777777" w:rsidR="0032778C" w:rsidRDefault="004E0198" w:rsidP="0019430D">
      <w:pPr>
        <w:pStyle w:val="Notes"/>
        <w:rPr>
          <w:rStyle w:val="SourceandnotetextChar"/>
          <w:b/>
        </w:rPr>
      </w:pPr>
      <w:r w:rsidRPr="004E0198">
        <w:rPr>
          <w:noProof/>
          <w:lang w:val="en-AU" w:eastAsia="en-AU"/>
        </w:rPr>
        <w:drawing>
          <wp:inline distT="0" distB="0" distL="0" distR="0" wp14:anchorId="3A982610" wp14:editId="79F9119F">
            <wp:extent cx="5732145" cy="4165632"/>
            <wp:effectExtent l="0" t="0" r="1905" b="6350"/>
            <wp:docPr id="13" name="Picture 13" descr="Bar chart showing significantly decline in red tape estimates under JSA 2012 for: Stream Services Operations; and for registration and assessments, less for Outcomes but more for Job seeker compliance and participation. For the remaining categories the differences were not as marked.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2145" cy="4165632"/>
                    </a:xfrm>
                    <a:prstGeom prst="rect">
                      <a:avLst/>
                    </a:prstGeom>
                    <a:noFill/>
                    <a:ln>
                      <a:noFill/>
                    </a:ln>
                  </pic:spPr>
                </pic:pic>
              </a:graphicData>
            </a:graphic>
          </wp:inline>
        </w:drawing>
      </w:r>
    </w:p>
    <w:p w14:paraId="0EBAAA0B" w14:textId="77777777" w:rsidR="001D7748" w:rsidRDefault="00E95B8A" w:rsidP="0019430D">
      <w:pPr>
        <w:pStyle w:val="Notes"/>
        <w:rPr>
          <w:rStyle w:val="SourceandnotetextChar"/>
        </w:rPr>
      </w:pPr>
      <w:r w:rsidRPr="00E95B8A">
        <w:rPr>
          <w:rStyle w:val="SourceandnotetextChar"/>
          <w:b/>
        </w:rPr>
        <w:t>Note</w:t>
      </w:r>
      <w:r w:rsidR="001D7748">
        <w:rPr>
          <w:rStyle w:val="SourceandnotetextChar"/>
          <w:b/>
        </w:rPr>
        <w:t>s</w:t>
      </w:r>
      <w:r w:rsidRPr="00E95B8A">
        <w:rPr>
          <w:rStyle w:val="SourceandnotetextChar"/>
          <w:b/>
        </w:rPr>
        <w:t>:</w:t>
      </w:r>
      <w:r>
        <w:rPr>
          <w:rStyle w:val="SourceandnotetextChar"/>
        </w:rPr>
        <w:tab/>
      </w:r>
    </w:p>
    <w:p w14:paraId="2A1A1D32" w14:textId="77777777" w:rsidR="0094165C" w:rsidRPr="00E5413A" w:rsidRDefault="0094165C" w:rsidP="006149DB">
      <w:pPr>
        <w:pStyle w:val="Notesnumbered"/>
        <w:numPr>
          <w:ilvl w:val="0"/>
          <w:numId w:val="238"/>
        </w:numPr>
        <w:ind w:left="709" w:hanging="567"/>
      </w:pPr>
      <w:r w:rsidRPr="00E5413A">
        <w:t>Other includes programmes introduced in JSA 2012 period: Wage Connect, Indigenous Employment Strategy and Move to Work/Relocation Assistance.</w:t>
      </w:r>
    </w:p>
    <w:p w14:paraId="46DEDFA7" w14:textId="77777777" w:rsidR="001D7748" w:rsidRDefault="001D7748" w:rsidP="006149DB">
      <w:pPr>
        <w:pStyle w:val="Notesnumbered"/>
        <w:numPr>
          <w:ilvl w:val="0"/>
          <w:numId w:val="238"/>
        </w:numPr>
        <w:ind w:left="709" w:hanging="567"/>
        <w:rPr>
          <w:b/>
        </w:rPr>
      </w:pPr>
      <w:r w:rsidRPr="00E5413A">
        <w:t xml:space="preserve">Refer </w:t>
      </w:r>
      <w:hyperlink w:anchor="Title_A236" w:history="1">
        <w:r w:rsidRPr="00B15D38">
          <w:rPr>
            <w:rStyle w:val="Hyperlink"/>
          </w:rPr>
          <w:t>Appendix</w:t>
        </w:r>
        <w:r w:rsidRPr="00B15D38">
          <w:rPr>
            <w:rStyle w:val="Hyperlink"/>
            <w:rFonts w:cs="Times New Roman"/>
            <w:szCs w:val="20"/>
            <w:lang w:val="en-US"/>
          </w:rPr>
          <w:t xml:space="preserve"> A</w:t>
        </w:r>
        <w:r w:rsidR="00F75BBA" w:rsidRPr="00B15D38">
          <w:rPr>
            <w:rStyle w:val="Hyperlink"/>
            <w:rFonts w:cs="Times New Roman"/>
            <w:szCs w:val="20"/>
            <w:lang w:val="en-US"/>
          </w:rPr>
          <w:t>2</w:t>
        </w:r>
        <w:r w:rsidRPr="00B15D38">
          <w:rPr>
            <w:rStyle w:val="Hyperlink"/>
            <w:rFonts w:cs="Times New Roman"/>
            <w:szCs w:val="20"/>
            <w:lang w:val="en-US"/>
          </w:rPr>
          <w:t>, Table A2.36</w:t>
        </w:r>
      </w:hyperlink>
      <w:r w:rsidRPr="001D7748">
        <w:rPr>
          <w:rStyle w:val="NotesChar"/>
          <w:rFonts w:eastAsiaTheme="minorEastAsia"/>
        </w:rPr>
        <w:t>.</w:t>
      </w:r>
      <w:bookmarkStart w:id="426" w:name="Place_A236"/>
      <w:bookmarkEnd w:id="426"/>
    </w:p>
    <w:p w14:paraId="6F36F75C" w14:textId="77777777" w:rsidR="0019430D" w:rsidRPr="00E95B8A" w:rsidRDefault="0019430D" w:rsidP="0019430D">
      <w:pPr>
        <w:pStyle w:val="Source"/>
      </w:pPr>
      <w:bookmarkStart w:id="427" w:name="_Toc434853246"/>
      <w:r w:rsidRPr="00E95B8A">
        <w:rPr>
          <w:b/>
        </w:rPr>
        <w:t>Source</w:t>
      </w:r>
      <w:r w:rsidRPr="00E95B8A">
        <w:t xml:space="preserve">: </w:t>
      </w:r>
      <w:r w:rsidRPr="00E95B8A">
        <w:tab/>
        <w:t>Department of Employment administrative data.</w:t>
      </w:r>
    </w:p>
    <w:p w14:paraId="2ABC81A1" w14:textId="256EAC59" w:rsidR="000D5D9B" w:rsidRDefault="0094165C" w:rsidP="000D5D9B">
      <w:pPr>
        <w:rPr>
          <w:rFonts w:cstheme="minorHAnsi"/>
        </w:rPr>
      </w:pPr>
      <w:r>
        <w:rPr>
          <w:rFonts w:cstheme="minorHAnsi"/>
        </w:rPr>
        <w:t>Annual e</w:t>
      </w:r>
      <w:r w:rsidRPr="00BC4CE0">
        <w:rPr>
          <w:rFonts w:cstheme="minorHAnsi"/>
        </w:rPr>
        <w:t>stimates</w:t>
      </w:r>
      <w:r>
        <w:rPr>
          <w:rFonts w:cstheme="minorHAnsi"/>
        </w:rPr>
        <w:t xml:space="preserve"> of</w:t>
      </w:r>
      <w:r w:rsidRPr="00BC4CE0">
        <w:rPr>
          <w:rFonts w:cstheme="minorHAnsi"/>
        </w:rPr>
        <w:t xml:space="preserve"> </w:t>
      </w:r>
      <w:r>
        <w:rPr>
          <w:rFonts w:cstheme="minorHAnsi"/>
        </w:rPr>
        <w:t>red tape</w:t>
      </w:r>
      <w:r w:rsidRPr="00BC4CE0">
        <w:rPr>
          <w:rFonts w:cstheme="minorHAnsi"/>
        </w:rPr>
        <w:t xml:space="preserve"> </w:t>
      </w:r>
      <w:r w:rsidR="009B0D8C">
        <w:rPr>
          <w:rFonts w:cstheme="minorHAnsi"/>
        </w:rPr>
        <w:t xml:space="preserve">costs </w:t>
      </w:r>
      <w:r w:rsidRPr="00BC4CE0">
        <w:rPr>
          <w:rFonts w:cstheme="minorHAnsi"/>
        </w:rPr>
        <w:t>were produced by the Department for</w:t>
      </w:r>
      <w:r>
        <w:rPr>
          <w:rFonts w:cstheme="minorHAnsi"/>
        </w:rPr>
        <w:t xml:space="preserve"> both contracts (JSA 2009 and </w:t>
      </w:r>
      <w:r w:rsidR="00804032">
        <w:rPr>
          <w:rFonts w:cstheme="minorHAnsi"/>
        </w:rPr>
        <w:t xml:space="preserve">JSA </w:t>
      </w:r>
      <w:r w:rsidRPr="00BC4CE0">
        <w:rPr>
          <w:rFonts w:cstheme="minorHAnsi"/>
        </w:rPr>
        <w:t>2012</w:t>
      </w:r>
      <w:r>
        <w:rPr>
          <w:rFonts w:cstheme="minorHAnsi"/>
        </w:rPr>
        <w:t>).</w:t>
      </w:r>
      <w:r>
        <w:rPr>
          <w:rStyle w:val="FootnoteReference"/>
          <w:rFonts w:cstheme="minorHAnsi"/>
        </w:rPr>
        <w:footnoteReference w:id="61"/>
      </w:r>
    </w:p>
    <w:p w14:paraId="1CC5C50C" w14:textId="77777777" w:rsidR="000D5D9B" w:rsidRDefault="000D5D9B" w:rsidP="000D5D9B">
      <w:pPr>
        <w:rPr>
          <w:rFonts w:cstheme="minorHAnsi"/>
        </w:rPr>
      </w:pPr>
      <w:r>
        <w:rPr>
          <w:rFonts w:cstheme="minorHAnsi"/>
        </w:rPr>
        <w:t>Overall red tape declined significantly between the two JSA contracts,</w:t>
      </w:r>
      <w:r w:rsidRPr="00F06DE7">
        <w:rPr>
          <w:rFonts w:cstheme="minorHAnsi"/>
        </w:rPr>
        <w:t xml:space="preserve"> </w:t>
      </w:r>
      <w:r>
        <w:rPr>
          <w:rFonts w:cstheme="minorHAnsi"/>
        </w:rPr>
        <w:t>from $321.9 million to $259.3 million per annum (19.5 </w:t>
      </w:r>
      <w:r w:rsidRPr="007E3DA2">
        <w:rPr>
          <w:rFonts w:cstheme="minorHAnsi"/>
        </w:rPr>
        <w:t>per cent</w:t>
      </w:r>
      <w:r>
        <w:rPr>
          <w:rFonts w:cstheme="minorHAnsi"/>
        </w:rPr>
        <w:t>) (Figure 7.1).</w:t>
      </w:r>
      <w:r>
        <w:rPr>
          <w:rStyle w:val="FootnoteReference"/>
          <w:rFonts w:cstheme="minorHAnsi"/>
        </w:rPr>
        <w:footnoteReference w:id="62"/>
      </w:r>
      <w:r>
        <w:rPr>
          <w:rFonts w:cstheme="minorHAnsi"/>
        </w:rPr>
        <w:t xml:space="preserve"> The main findings are:</w:t>
      </w:r>
    </w:p>
    <w:p w14:paraId="6A2522BE" w14:textId="77777777" w:rsidR="000D5D9B" w:rsidRPr="009B0D8C" w:rsidRDefault="000D5D9B" w:rsidP="00247BDA">
      <w:pPr>
        <w:pStyle w:val="ListParagraph"/>
      </w:pPr>
      <w:r w:rsidRPr="009B0D8C">
        <w:t xml:space="preserve">Red tape costs are primarily incurred by providers, accounting for approximately </w:t>
      </w:r>
      <w:r>
        <w:t>8</w:t>
      </w:r>
      <w:r w:rsidRPr="009B0D8C">
        <w:t xml:space="preserve"> per cent</w:t>
      </w:r>
      <w:r>
        <w:t xml:space="preserve"> and 84.5 per cent</w:t>
      </w:r>
      <w:r w:rsidRPr="009B0D8C">
        <w:t xml:space="preserve"> of total red tape costs</w:t>
      </w:r>
      <w:r>
        <w:t xml:space="preserve"> for 2009-12 and 2012-15 respectively</w:t>
      </w:r>
      <w:r w:rsidR="009C400A">
        <w:t>.</w:t>
      </w:r>
      <w:r w:rsidRPr="009B0D8C">
        <w:t xml:space="preserve"> The main changes resulted from the following activities:</w:t>
      </w:r>
    </w:p>
    <w:p w14:paraId="2DB2B482" w14:textId="77777777" w:rsidR="0094165C" w:rsidRPr="00386A40" w:rsidRDefault="009B0D8C" w:rsidP="0032778C">
      <w:pPr>
        <w:pStyle w:val="bullet"/>
        <w:numPr>
          <w:ilvl w:val="1"/>
          <w:numId w:val="47"/>
        </w:numPr>
      </w:pPr>
      <w:r w:rsidRPr="009B0D8C">
        <w:t>Red tape cost</w:t>
      </w:r>
      <w:r w:rsidR="006F1796">
        <w:t xml:space="preserve"> e</w:t>
      </w:r>
      <w:r w:rsidRPr="009B0D8C">
        <w:t>s</w:t>
      </w:r>
      <w:r w:rsidR="006F1796">
        <w:t>timates</w:t>
      </w:r>
      <w:r w:rsidRPr="009B0D8C">
        <w:t xml:space="preserve"> </w:t>
      </w:r>
      <w:r w:rsidR="0094165C" w:rsidRPr="00386A40">
        <w:t xml:space="preserve">declined </w:t>
      </w:r>
      <w:r>
        <w:t xml:space="preserve">by </w:t>
      </w:r>
      <w:r w:rsidR="0094165C" w:rsidRPr="00386A40">
        <w:t>81</w:t>
      </w:r>
      <w:r w:rsidR="002E6AF1">
        <w:t>.3</w:t>
      </w:r>
      <w:r w:rsidR="0094165C" w:rsidRPr="00386A40">
        <w:t xml:space="preserve"> per cent</w:t>
      </w:r>
      <w:r w:rsidRPr="009B0D8C">
        <w:t xml:space="preserve"> </w:t>
      </w:r>
      <w:r w:rsidRPr="00386A40">
        <w:t xml:space="preserve">for </w:t>
      </w:r>
      <w:r>
        <w:t>r</w:t>
      </w:r>
      <w:r w:rsidRPr="00386A40">
        <w:t>egistration and assessments</w:t>
      </w:r>
      <w:r w:rsidR="0094165C" w:rsidRPr="00386A40">
        <w:t>. This was primarily due to changes in the Job Seeker Classification Instrument (</w:t>
      </w:r>
      <w:r w:rsidR="0094165C" w:rsidRPr="0061122B">
        <w:t xml:space="preserve">JSCI) process with providers taking less time and with fewer transactions. The transition from Job Network (JN) to JSA 2009 resulted in a significant number of JSCI </w:t>
      </w:r>
      <w:r w:rsidR="000752E9">
        <w:t>a</w:t>
      </w:r>
      <w:r w:rsidR="000752E9" w:rsidRPr="0061122B">
        <w:t xml:space="preserve">ssessments </w:t>
      </w:r>
      <w:r w:rsidR="0094165C" w:rsidRPr="0061122B">
        <w:t>and re-assessments that did not occur at the commencement of JSA 2012</w:t>
      </w:r>
      <w:r w:rsidR="00386A40">
        <w:t>.</w:t>
      </w:r>
    </w:p>
    <w:p w14:paraId="3BC39EC4" w14:textId="77777777" w:rsidR="0094165C" w:rsidRPr="00386A40" w:rsidRDefault="009B0D8C" w:rsidP="00913A43">
      <w:pPr>
        <w:pStyle w:val="bullet"/>
        <w:numPr>
          <w:ilvl w:val="1"/>
          <w:numId w:val="47"/>
        </w:numPr>
      </w:pPr>
      <w:r w:rsidRPr="009B0D8C">
        <w:t>Red tape cost</w:t>
      </w:r>
      <w:r w:rsidR="006F1796">
        <w:t xml:space="preserve"> e</w:t>
      </w:r>
      <w:r w:rsidRPr="009B0D8C">
        <w:t>s</w:t>
      </w:r>
      <w:r w:rsidR="006F1796">
        <w:t>timates</w:t>
      </w:r>
      <w:r w:rsidRPr="009B0D8C">
        <w:t xml:space="preserve"> </w:t>
      </w:r>
      <w:r w:rsidR="0094165C" w:rsidRPr="00386A40">
        <w:t xml:space="preserve">declined </w:t>
      </w:r>
      <w:r>
        <w:t xml:space="preserve">by </w:t>
      </w:r>
      <w:r w:rsidR="002E6AF1">
        <w:t>59.6</w:t>
      </w:r>
      <w:r w:rsidR="0094165C" w:rsidRPr="00386A40">
        <w:t xml:space="preserve"> per cent</w:t>
      </w:r>
      <w:r w:rsidRPr="009B0D8C">
        <w:t xml:space="preserve"> </w:t>
      </w:r>
      <w:r w:rsidRPr="00386A40">
        <w:t xml:space="preserve">for </w:t>
      </w:r>
      <w:r w:rsidR="007833D7">
        <w:t>S</w:t>
      </w:r>
      <w:r w:rsidRPr="00386A40">
        <w:t xml:space="preserve">tream </w:t>
      </w:r>
      <w:r w:rsidR="007833D7">
        <w:t>S</w:t>
      </w:r>
      <w:r w:rsidRPr="00386A40">
        <w:t xml:space="preserve">ervices </w:t>
      </w:r>
      <w:r>
        <w:t>o</w:t>
      </w:r>
      <w:r w:rsidRPr="00386A40">
        <w:t>perations</w:t>
      </w:r>
      <w:r w:rsidR="0094165C" w:rsidRPr="00386A40">
        <w:t>. This is due to the removal of a number of documentary evidence requirements regarding job seeker appointments and interviews</w:t>
      </w:r>
      <w:r w:rsidR="00386A40">
        <w:t>.</w:t>
      </w:r>
    </w:p>
    <w:p w14:paraId="5AAEA03D" w14:textId="77777777" w:rsidR="0094165C" w:rsidRPr="00386A40" w:rsidRDefault="006F1796" w:rsidP="00913A43">
      <w:pPr>
        <w:pStyle w:val="bullet"/>
        <w:numPr>
          <w:ilvl w:val="1"/>
          <w:numId w:val="47"/>
        </w:numPr>
      </w:pPr>
      <w:r>
        <w:t xml:space="preserve">Red tape cost estimates </w:t>
      </w:r>
      <w:r w:rsidR="0094165C" w:rsidRPr="0061122B">
        <w:t xml:space="preserve">declined </w:t>
      </w:r>
      <w:r w:rsidR="009B0D8C">
        <w:t>by</w:t>
      </w:r>
      <w:r w:rsidR="0094165C" w:rsidRPr="0061122B">
        <w:t xml:space="preserve"> 11.1 per cent</w:t>
      </w:r>
      <w:r w:rsidR="009B0D8C" w:rsidRPr="009B0D8C">
        <w:t xml:space="preserve"> </w:t>
      </w:r>
      <w:r w:rsidR="009B0D8C" w:rsidRPr="0061122B">
        <w:t xml:space="preserve">for </w:t>
      </w:r>
      <w:r w:rsidR="009B0D8C">
        <w:t>o</w:t>
      </w:r>
      <w:r w:rsidR="009B0D8C" w:rsidRPr="0061122B">
        <w:t>utcomes reporting</w:t>
      </w:r>
      <w:r w:rsidR="0094165C" w:rsidRPr="0061122B">
        <w:t>. This is because providers were no longer required to distinguish between Provider Brokered Outcomes and Provider Assisted Outcomes that influenced the costing estimate</w:t>
      </w:r>
      <w:r w:rsidR="00386A40">
        <w:t>.</w:t>
      </w:r>
    </w:p>
    <w:p w14:paraId="78463898" w14:textId="77777777" w:rsidR="000D5D9B" w:rsidRPr="007B55E7" w:rsidRDefault="000D5D9B" w:rsidP="000D5D9B">
      <w:pPr>
        <w:pStyle w:val="bullet"/>
        <w:numPr>
          <w:ilvl w:val="1"/>
          <w:numId w:val="47"/>
        </w:numPr>
      </w:pPr>
      <w:r w:rsidRPr="009B0D8C">
        <w:rPr>
          <w:rFonts w:cstheme="minorHAnsi"/>
        </w:rPr>
        <w:t xml:space="preserve">Red tape </w:t>
      </w:r>
      <w:r w:rsidRPr="007B55E7">
        <w:t>cost estimates increased by 7.</w:t>
      </w:r>
      <w:r>
        <w:t>6</w:t>
      </w:r>
      <w:r w:rsidRPr="007B55E7">
        <w:t xml:space="preserve"> per cent for the Work Experience Phase (WEPh), because of an increase in the number of job seekers undertaking an activity.</w:t>
      </w:r>
    </w:p>
    <w:p w14:paraId="38F629C3" w14:textId="77777777" w:rsidR="000D5D9B" w:rsidRPr="007B55E7" w:rsidRDefault="000D5D9B" w:rsidP="000D5D9B">
      <w:pPr>
        <w:pStyle w:val="bullet"/>
        <w:numPr>
          <w:ilvl w:val="1"/>
          <w:numId w:val="47"/>
        </w:numPr>
      </w:pPr>
      <w:r w:rsidRPr="007B55E7">
        <w:t xml:space="preserve">Red tape cost estimates increased by </w:t>
      </w:r>
      <w:r>
        <w:t>39</w:t>
      </w:r>
      <w:r w:rsidRPr="007B55E7">
        <w:t>.</w:t>
      </w:r>
      <w:r>
        <w:t>6</w:t>
      </w:r>
      <w:r w:rsidRPr="007B55E7">
        <w:t xml:space="preserve"> per cent for job seeker compliance and participation, primarily due to an increase in the number of transactions.</w:t>
      </w:r>
    </w:p>
    <w:p w14:paraId="56ACF222" w14:textId="77777777" w:rsidR="000D5D9B" w:rsidRPr="007B55E7" w:rsidRDefault="000D5D9B" w:rsidP="00247BDA">
      <w:pPr>
        <w:pStyle w:val="ListParagraph"/>
      </w:pPr>
      <w:r w:rsidRPr="007B55E7">
        <w:t>Red tape costs are generally concentrated around the reporting of whether job seekers are meeting their mutual obligation requirements. Outcome payment processing is also a significant cost due to the requirement for documentary evidence from all stakeholders.</w:t>
      </w:r>
    </w:p>
    <w:p w14:paraId="43D1E974" w14:textId="79CA89D6" w:rsidR="000D5D9B" w:rsidRDefault="000D5D9B" w:rsidP="00247BDA">
      <w:pPr>
        <w:pStyle w:val="ListParagraph"/>
      </w:pPr>
      <w:r w:rsidRPr="007B55E7">
        <w:t>Despite an overall decline in red tape, estimates of costs imposed on provider</w:t>
      </w:r>
      <w:r w:rsidR="000B7C36">
        <w:t>s, employers and job seekers were</w:t>
      </w:r>
      <w:r>
        <w:t xml:space="preserve"> still significant, representing </w:t>
      </w:r>
      <w:r w:rsidR="00F24C80">
        <w:t>an estim</w:t>
      </w:r>
      <w:r w:rsidR="00A81C03">
        <w:t>a</w:t>
      </w:r>
      <w:r w:rsidR="00F24C80">
        <w:t xml:space="preserve">ted </w:t>
      </w:r>
      <w:r>
        <w:t>20.</w:t>
      </w:r>
      <w:r w:rsidR="00F24C80">
        <w:t>9</w:t>
      </w:r>
      <w:r w:rsidRPr="00BB6089">
        <w:t xml:space="preserve"> per cent of programme funding</w:t>
      </w:r>
      <w:r>
        <w:t xml:space="preserve"> under JSA 2012.</w:t>
      </w:r>
      <w:r>
        <w:rPr>
          <w:rStyle w:val="FootnoteReference"/>
        </w:rPr>
        <w:footnoteReference w:id="63"/>
      </w:r>
    </w:p>
    <w:bookmarkEnd w:id="427"/>
    <w:p w14:paraId="66F5DE94" w14:textId="77777777" w:rsidR="0094165C" w:rsidRDefault="0094165C" w:rsidP="0094165C">
      <w:pPr>
        <w:pStyle w:val="Heading4"/>
      </w:pPr>
      <w:r>
        <w:t>Provider feedback</w:t>
      </w:r>
    </w:p>
    <w:p w14:paraId="0168D2FF" w14:textId="7764718C" w:rsidR="0094165C" w:rsidRDefault="000B7C36" w:rsidP="0094165C">
      <w:pPr>
        <w:rPr>
          <w:rFonts w:cstheme="minorHAnsi"/>
        </w:rPr>
      </w:pPr>
      <w:r>
        <w:rPr>
          <w:rFonts w:cstheme="minorHAnsi"/>
        </w:rPr>
        <w:t>The Department conducted</w:t>
      </w:r>
      <w:r w:rsidR="0094165C">
        <w:rPr>
          <w:rFonts w:cstheme="minorHAnsi"/>
        </w:rPr>
        <w:t xml:space="preserve"> annual survey</w:t>
      </w:r>
      <w:r>
        <w:rPr>
          <w:rFonts w:cstheme="minorHAnsi"/>
        </w:rPr>
        <w:t>s</w:t>
      </w:r>
      <w:r w:rsidR="0094165C">
        <w:rPr>
          <w:rFonts w:cstheme="minorHAnsi"/>
        </w:rPr>
        <w:t xml:space="preserve"> of employment service</w:t>
      </w:r>
      <w:r w:rsidR="00E7638D">
        <w:rPr>
          <w:rFonts w:cstheme="minorHAnsi"/>
        </w:rPr>
        <w:t>s</w:t>
      </w:r>
      <w:r w:rsidR="0094165C">
        <w:rPr>
          <w:rFonts w:cstheme="minorHAnsi"/>
        </w:rPr>
        <w:t xml:space="preserve"> providers </w:t>
      </w:r>
      <w:r>
        <w:rPr>
          <w:rFonts w:cstheme="minorHAnsi"/>
        </w:rPr>
        <w:t>throughout the JSA period that asked</w:t>
      </w:r>
      <w:r w:rsidR="0094165C">
        <w:rPr>
          <w:rFonts w:cstheme="minorHAnsi"/>
        </w:rPr>
        <w:t xml:space="preserve"> specific questions on</w:t>
      </w:r>
      <w:r w:rsidR="0094165C" w:rsidRPr="00BF7EB7">
        <w:rPr>
          <w:rFonts w:cstheme="minorHAnsi"/>
        </w:rPr>
        <w:t xml:space="preserve"> </w:t>
      </w:r>
      <w:r w:rsidR="0094165C">
        <w:rPr>
          <w:rFonts w:cstheme="minorHAnsi"/>
        </w:rPr>
        <w:t>red tape. This section analyses the main findings from the provider survey</w:t>
      </w:r>
      <w:r>
        <w:rPr>
          <w:rFonts w:cstheme="minorHAnsi"/>
        </w:rPr>
        <w:t>s</w:t>
      </w:r>
      <w:r w:rsidR="0094165C">
        <w:rPr>
          <w:rFonts w:cstheme="minorHAnsi"/>
        </w:rPr>
        <w:t>.</w:t>
      </w:r>
    </w:p>
    <w:p w14:paraId="2D734473" w14:textId="7341FB4F" w:rsidR="0094165C" w:rsidRDefault="0094165C" w:rsidP="0094165C">
      <w:pPr>
        <w:rPr>
          <w:rFonts w:cstheme="minorHAnsi"/>
        </w:rPr>
      </w:pPr>
      <w:r>
        <w:rPr>
          <w:rFonts w:cstheme="minorHAnsi"/>
        </w:rPr>
        <w:t xml:space="preserve">Figure 7.2 shows the proportion of </w:t>
      </w:r>
      <w:r w:rsidRPr="003A1268">
        <w:rPr>
          <w:rFonts w:cstheme="minorHAnsi"/>
        </w:rPr>
        <w:t>staff time</w:t>
      </w:r>
      <w:r>
        <w:rPr>
          <w:rFonts w:cstheme="minorHAnsi"/>
        </w:rPr>
        <w:t xml:space="preserve"> (by site), </w:t>
      </w:r>
      <w:r w:rsidRPr="003A1268">
        <w:rPr>
          <w:rFonts w:cstheme="minorHAnsi"/>
        </w:rPr>
        <w:t xml:space="preserve">devoted to meeting </w:t>
      </w:r>
      <w:r w:rsidR="00735186">
        <w:rPr>
          <w:rFonts w:cstheme="minorHAnsi"/>
        </w:rPr>
        <w:t xml:space="preserve">the Department’s </w:t>
      </w:r>
      <w:r w:rsidRPr="003A1268">
        <w:rPr>
          <w:rFonts w:cstheme="minorHAnsi"/>
        </w:rPr>
        <w:t>administrative requirements.</w:t>
      </w:r>
      <w:r>
        <w:rPr>
          <w:rFonts w:cstheme="minorHAnsi"/>
        </w:rPr>
        <w:t xml:space="preserve"> Though this varies significantly across sites, the average time spent is high. For example, over 20 per cent of sites report spending an average of 50 to 60 per cent of time on administrative requirements.</w:t>
      </w:r>
    </w:p>
    <w:p w14:paraId="3A15B204" w14:textId="77777777" w:rsidR="0094165C" w:rsidRPr="005172B5" w:rsidRDefault="0094165C" w:rsidP="0094165C">
      <w:pPr>
        <w:pStyle w:val="Figureheadingforcontents"/>
      </w:pPr>
      <w:bookmarkStart w:id="428" w:name="_Toc436400162"/>
      <w:bookmarkStart w:id="429" w:name="_Toc436400292"/>
      <w:bookmarkStart w:id="430" w:name="_Toc443152034"/>
      <w:bookmarkStart w:id="431" w:name="_Toc22544046"/>
      <w:r w:rsidRPr="005172B5">
        <w:t>Figure 7</w:t>
      </w:r>
      <w:r>
        <w:t xml:space="preserve">.2: </w:t>
      </w:r>
      <w:r w:rsidRPr="005172B5">
        <w:t>Perceived distribution of time devoted to administrative tasks (per</w:t>
      </w:r>
      <w:r w:rsidR="006D5A09">
        <w:t xml:space="preserve"> </w:t>
      </w:r>
      <w:r w:rsidRPr="005172B5">
        <w:t>cent)</w:t>
      </w:r>
      <w:bookmarkEnd w:id="428"/>
      <w:bookmarkEnd w:id="429"/>
      <w:bookmarkEnd w:id="430"/>
      <w:bookmarkEnd w:id="431"/>
    </w:p>
    <w:p w14:paraId="6D5B184F" w14:textId="77777777" w:rsidR="001D7748" w:rsidRDefault="00265029" w:rsidP="0019430D">
      <w:pPr>
        <w:pStyle w:val="Notes"/>
        <w:rPr>
          <w:rStyle w:val="SourceandnotetextChar"/>
        </w:rPr>
      </w:pPr>
      <w:r w:rsidRPr="00265029">
        <w:rPr>
          <w:noProof/>
          <w:lang w:val="en-AU" w:eastAsia="en-AU"/>
        </w:rPr>
        <w:drawing>
          <wp:inline distT="0" distB="0" distL="0" distR="0" wp14:anchorId="6325EA7C" wp14:editId="40A17C46">
            <wp:extent cx="5732145" cy="3920466"/>
            <wp:effectExtent l="0" t="0" r="1905" b="4445"/>
            <wp:docPr id="15" name="Picture 15" descr="Line chart showing similar distribution of perceptions about the time devoted to administrative tasks for the three years, 2011, 2012 and 2014. For all three there is a peak of around 20 per cent of sites believing that around 50-59 per cent of their time is devoted to administration.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2145" cy="3920466"/>
                    </a:xfrm>
                    <a:prstGeom prst="rect">
                      <a:avLst/>
                    </a:prstGeom>
                    <a:noFill/>
                    <a:ln>
                      <a:noFill/>
                    </a:ln>
                  </pic:spPr>
                </pic:pic>
              </a:graphicData>
            </a:graphic>
          </wp:inline>
        </w:drawing>
      </w:r>
      <w:r w:rsidR="00806ED3" w:rsidRPr="006F1796">
        <w:rPr>
          <w:rStyle w:val="SourceandnotetextChar"/>
          <w:b/>
        </w:rPr>
        <w:t>Note</w:t>
      </w:r>
      <w:r w:rsidR="001D7748">
        <w:rPr>
          <w:rStyle w:val="SourceandnotetextChar"/>
          <w:b/>
        </w:rPr>
        <w:t>s</w:t>
      </w:r>
      <w:r w:rsidR="00806ED3" w:rsidRPr="006F1796">
        <w:rPr>
          <w:rStyle w:val="SourceandnotetextChar"/>
          <w:b/>
        </w:rPr>
        <w:t>:</w:t>
      </w:r>
      <w:r w:rsidR="00806ED3" w:rsidRPr="006F1796">
        <w:rPr>
          <w:rStyle w:val="SourceandnotetextChar"/>
        </w:rPr>
        <w:tab/>
      </w:r>
    </w:p>
    <w:p w14:paraId="5AC0708E" w14:textId="745C9208" w:rsidR="0019430D" w:rsidRDefault="00806ED3" w:rsidP="00AE4704">
      <w:pPr>
        <w:pStyle w:val="Notesnumbered"/>
        <w:numPr>
          <w:ilvl w:val="0"/>
          <w:numId w:val="239"/>
        </w:numPr>
        <w:ind w:left="709" w:hanging="567"/>
      </w:pPr>
      <w:r w:rsidRPr="00E5413A">
        <w:t xml:space="preserve">A distribution was not produced for 2010, 2013 or 2015 as no equivalent question on percentage of time devoted </w:t>
      </w:r>
      <w:r w:rsidR="0019430D" w:rsidRPr="00E5413A">
        <w:t>to administration was asked.</w:t>
      </w:r>
    </w:p>
    <w:p w14:paraId="51521476" w14:textId="42B574F6" w:rsidR="00735186" w:rsidRPr="00247BDA" w:rsidRDefault="00AC259E" w:rsidP="00AE4704">
      <w:pPr>
        <w:pStyle w:val="ListParagraph"/>
        <w:numPr>
          <w:ilvl w:val="0"/>
          <w:numId w:val="239"/>
        </w:numPr>
        <w:autoSpaceDE w:val="0"/>
        <w:autoSpaceDN w:val="0"/>
        <w:ind w:left="709" w:hanging="567"/>
        <w:rPr>
          <w:rFonts w:cstheme="minorHAnsi"/>
          <w:sz w:val="18"/>
          <w:szCs w:val="18"/>
        </w:rPr>
      </w:pPr>
      <w:r w:rsidRPr="00247BDA">
        <w:rPr>
          <w:noProof/>
          <w:sz w:val="18"/>
          <w:szCs w:val="18"/>
        </w:rPr>
        <w:t xml:space="preserve">Based on </w:t>
      </w:r>
      <w:r w:rsidRPr="00247BDA">
        <w:rPr>
          <w:sz w:val="18"/>
          <w:szCs w:val="18"/>
        </w:rPr>
        <w:t>responses</w:t>
      </w:r>
      <w:r w:rsidRPr="00247BDA">
        <w:rPr>
          <w:noProof/>
          <w:sz w:val="18"/>
          <w:szCs w:val="18"/>
        </w:rPr>
        <w:t xml:space="preserve"> to the question</w:t>
      </w:r>
      <w:r w:rsidR="00735186">
        <w:rPr>
          <w:rFonts w:cstheme="minorHAnsi"/>
          <w:sz w:val="18"/>
          <w:szCs w:val="18"/>
        </w:rPr>
        <w:t xml:space="preserve">: </w:t>
      </w:r>
      <w:r>
        <w:rPr>
          <w:rFonts w:cstheme="minorHAnsi"/>
          <w:sz w:val="18"/>
          <w:szCs w:val="18"/>
        </w:rPr>
        <w:t>‘</w:t>
      </w:r>
      <w:r w:rsidR="00735186" w:rsidRPr="00247BDA">
        <w:rPr>
          <w:rFonts w:cstheme="minorHAnsi"/>
          <w:sz w:val="18"/>
          <w:szCs w:val="18"/>
        </w:rPr>
        <w:t xml:space="preserve">On average, what </w:t>
      </w:r>
      <w:r w:rsidR="00735186" w:rsidRPr="00247BDA">
        <w:rPr>
          <w:rFonts w:cstheme="minorHAnsi"/>
          <w:b/>
          <w:bCs/>
          <w:sz w:val="18"/>
          <w:szCs w:val="18"/>
        </w:rPr>
        <w:t xml:space="preserve">percentage </w:t>
      </w:r>
      <w:r w:rsidR="00735186" w:rsidRPr="00247BDA">
        <w:rPr>
          <w:rFonts w:cstheme="minorHAnsi"/>
          <w:sz w:val="18"/>
          <w:szCs w:val="18"/>
        </w:rPr>
        <w:t>of staff time is devoted to meeting the Department's administrative requirements</w:t>
      </w:r>
      <w:r w:rsidR="00735186">
        <w:rPr>
          <w:rFonts w:cstheme="minorHAnsi"/>
          <w:sz w:val="18"/>
          <w:szCs w:val="18"/>
        </w:rPr>
        <w:t xml:space="preserve"> for the JSA contract at your site?</w:t>
      </w:r>
      <w:r>
        <w:rPr>
          <w:rFonts w:cstheme="minorHAnsi"/>
          <w:sz w:val="18"/>
          <w:szCs w:val="18"/>
        </w:rPr>
        <w:t>’</w:t>
      </w:r>
    </w:p>
    <w:p w14:paraId="23AADA1E" w14:textId="77777777" w:rsidR="001D7748" w:rsidRPr="001D7748" w:rsidRDefault="001D7748" w:rsidP="00AE4704">
      <w:pPr>
        <w:pStyle w:val="Notesnumbered"/>
        <w:numPr>
          <w:ilvl w:val="0"/>
          <w:numId w:val="239"/>
        </w:numPr>
        <w:ind w:left="709" w:hanging="567"/>
      </w:pPr>
      <w:r w:rsidRPr="00E5413A">
        <w:t xml:space="preserve">Refer </w:t>
      </w:r>
      <w:hyperlink w:anchor="Title_A237" w:history="1">
        <w:r w:rsidRPr="00B15D38">
          <w:rPr>
            <w:rStyle w:val="Hyperlink"/>
          </w:rPr>
          <w:t>Appendix A</w:t>
        </w:r>
        <w:r w:rsidR="00F75BBA" w:rsidRPr="00B15D38">
          <w:rPr>
            <w:rStyle w:val="Hyperlink"/>
          </w:rPr>
          <w:t>2</w:t>
        </w:r>
        <w:r w:rsidRPr="00B15D38">
          <w:rPr>
            <w:rStyle w:val="Hyperlink"/>
          </w:rPr>
          <w:t>, Table A2.37</w:t>
        </w:r>
      </w:hyperlink>
      <w:r w:rsidRPr="001D7748">
        <w:t>.</w:t>
      </w:r>
      <w:bookmarkStart w:id="432" w:name="Place_A237"/>
      <w:bookmarkEnd w:id="432"/>
    </w:p>
    <w:p w14:paraId="6C7E8544" w14:textId="5D97099C" w:rsidR="0019430D" w:rsidRPr="00DB7AA1" w:rsidRDefault="0019430D" w:rsidP="0019430D">
      <w:pPr>
        <w:pStyle w:val="Source"/>
        <w:rPr>
          <w:rFonts w:eastAsia="Times New Roman"/>
          <w:lang w:eastAsia="en-AU"/>
        </w:rPr>
      </w:pPr>
      <w:r w:rsidRPr="00DB7AA1">
        <w:rPr>
          <w:b/>
        </w:rPr>
        <w:t>Source:</w:t>
      </w:r>
      <w:r w:rsidRPr="00DB7AA1">
        <w:rPr>
          <w:rFonts w:eastAsia="Times New Roman"/>
          <w:lang w:eastAsia="en-AU"/>
        </w:rPr>
        <w:t xml:space="preserve"> </w:t>
      </w:r>
      <w:r w:rsidRPr="00DB7AA1">
        <w:rPr>
          <w:rFonts w:eastAsia="Times New Roman"/>
          <w:lang w:eastAsia="en-AU"/>
        </w:rPr>
        <w:tab/>
      </w:r>
      <w:r w:rsidRPr="0019430D">
        <w:t>Department</w:t>
      </w:r>
      <w:r w:rsidRPr="00DB7AA1">
        <w:rPr>
          <w:rFonts w:eastAsia="Times New Roman"/>
          <w:lang w:eastAsia="en-AU"/>
        </w:rPr>
        <w:t xml:space="preserve"> of Employment </w:t>
      </w:r>
      <w:r w:rsidR="007C112F">
        <w:rPr>
          <w:rFonts w:eastAsia="Times New Roman"/>
          <w:lang w:eastAsia="en-AU"/>
        </w:rPr>
        <w:t>Service</w:t>
      </w:r>
      <w:r w:rsidR="00E7638D">
        <w:rPr>
          <w:rFonts w:eastAsia="Times New Roman"/>
          <w:lang w:eastAsia="en-AU"/>
        </w:rPr>
        <w:t>s</w:t>
      </w:r>
      <w:r w:rsidR="007C112F">
        <w:rPr>
          <w:rFonts w:eastAsia="Times New Roman"/>
          <w:lang w:eastAsia="en-AU"/>
        </w:rPr>
        <w:t xml:space="preserve"> </w:t>
      </w:r>
      <w:r w:rsidRPr="00DB7AA1">
        <w:rPr>
          <w:rFonts w:eastAsia="Times New Roman"/>
          <w:lang w:eastAsia="en-AU"/>
        </w:rPr>
        <w:t xml:space="preserve"> Provider </w:t>
      </w:r>
      <w:r w:rsidR="007C112F">
        <w:rPr>
          <w:rFonts w:eastAsia="Times New Roman"/>
          <w:lang w:eastAsia="en-AU"/>
        </w:rPr>
        <w:t>s</w:t>
      </w:r>
      <w:r w:rsidRPr="00DB7AA1">
        <w:rPr>
          <w:rFonts w:eastAsia="Times New Roman"/>
          <w:lang w:eastAsia="en-AU"/>
        </w:rPr>
        <w:t>urvey, 2011, 2012 and 2014.</w:t>
      </w:r>
    </w:p>
    <w:p w14:paraId="4CCB6FC6" w14:textId="77777777" w:rsidR="0094165C" w:rsidRDefault="0094165C" w:rsidP="0094165C">
      <w:r>
        <w:t xml:space="preserve">This perceived </w:t>
      </w:r>
      <w:r w:rsidR="00CA37D4">
        <w:t xml:space="preserve">level of administration is </w:t>
      </w:r>
      <w:r>
        <w:t>supported by qualitative feedback which was typified by the example below:</w:t>
      </w:r>
    </w:p>
    <w:p w14:paraId="338BD253" w14:textId="41A3E014" w:rsidR="0094165C" w:rsidRPr="008F5F0E" w:rsidRDefault="0094165C" w:rsidP="008338FF">
      <w:pPr>
        <w:pStyle w:val="Quotation"/>
        <w:rPr>
          <w:rFonts w:cstheme="minorHAnsi"/>
          <w:i/>
          <w:szCs w:val="20"/>
        </w:rPr>
      </w:pPr>
      <w:r w:rsidRPr="008338FF">
        <w:rPr>
          <w:rStyle w:val="QuoteChar"/>
        </w:rPr>
        <w:t>I think the frustrating thing is the level of compliance. We have such a large number of boxes to tick before they even really think about getting someone a job… I guess there is a dichotomy between what is expected one day and another thing another day. We get a report on a regular basis that says these are the Department of Employment issues and I think staff know what to do but when things change all the time</w:t>
      </w:r>
      <w:r w:rsidR="00735186">
        <w:rPr>
          <w:rStyle w:val="QuoteChar"/>
        </w:rPr>
        <w:t>,</w:t>
      </w:r>
      <w:r w:rsidRPr="008338FF">
        <w:rPr>
          <w:rStyle w:val="QuoteChar"/>
        </w:rPr>
        <w:t xml:space="preserve"> it gets very frustrating and demoralising.</w:t>
      </w:r>
    </w:p>
    <w:p w14:paraId="16109A5D" w14:textId="77777777" w:rsidR="0094165C" w:rsidRDefault="0094165C" w:rsidP="0094165C">
      <w:pPr>
        <w:pStyle w:val="CRCQuoteAuthor"/>
        <w:rPr>
          <w:rFonts w:asciiTheme="minorHAnsi" w:hAnsiTheme="minorHAnsi" w:cstheme="minorHAnsi"/>
          <w:sz w:val="20"/>
          <w:szCs w:val="20"/>
        </w:rPr>
      </w:pPr>
      <w:r w:rsidRPr="008F5F0E">
        <w:rPr>
          <w:sz w:val="20"/>
          <w:szCs w:val="20"/>
        </w:rPr>
        <w:t xml:space="preserve"> </w:t>
      </w:r>
      <w:r w:rsidRPr="008F5F0E">
        <w:rPr>
          <w:rFonts w:asciiTheme="minorHAnsi" w:hAnsiTheme="minorHAnsi" w:cstheme="minorHAnsi"/>
          <w:sz w:val="20"/>
          <w:szCs w:val="20"/>
        </w:rPr>
        <w:t>JSA provider (</w:t>
      </w:r>
      <w:r>
        <w:rPr>
          <w:rFonts w:asciiTheme="minorHAnsi" w:hAnsiTheme="minorHAnsi" w:cstheme="minorHAnsi"/>
          <w:sz w:val="20"/>
          <w:szCs w:val="20"/>
        </w:rPr>
        <w:t>area manager</w:t>
      </w:r>
      <w:r w:rsidRPr="008F5F0E">
        <w:rPr>
          <w:rFonts w:asciiTheme="minorHAnsi" w:hAnsiTheme="minorHAnsi" w:cstheme="minorHAnsi"/>
          <w:sz w:val="20"/>
          <w:szCs w:val="20"/>
        </w:rPr>
        <w:t xml:space="preserve">), </w:t>
      </w:r>
      <w:r>
        <w:rPr>
          <w:rFonts w:asciiTheme="minorHAnsi" w:hAnsiTheme="minorHAnsi" w:cstheme="minorHAnsi"/>
          <w:sz w:val="20"/>
          <w:szCs w:val="20"/>
        </w:rPr>
        <w:t>Regional</w:t>
      </w:r>
      <w:r w:rsidRPr="008F5F0E">
        <w:rPr>
          <w:rFonts w:asciiTheme="minorHAnsi" w:hAnsiTheme="minorHAnsi" w:cstheme="minorHAnsi"/>
          <w:sz w:val="20"/>
          <w:szCs w:val="20"/>
        </w:rPr>
        <w:t xml:space="preserve">, </w:t>
      </w:r>
      <w:r>
        <w:rPr>
          <w:rFonts w:asciiTheme="minorHAnsi" w:hAnsiTheme="minorHAnsi" w:cstheme="minorHAnsi"/>
          <w:sz w:val="20"/>
          <w:szCs w:val="20"/>
        </w:rPr>
        <w:t>Large</w:t>
      </w:r>
      <w:r w:rsidR="00913A43">
        <w:rPr>
          <w:rFonts w:asciiTheme="minorHAnsi" w:hAnsiTheme="minorHAnsi" w:cstheme="minorHAnsi"/>
          <w:sz w:val="20"/>
          <w:szCs w:val="20"/>
        </w:rPr>
        <w:t xml:space="preserve"> provider </w:t>
      </w:r>
      <w:r>
        <w:rPr>
          <w:rStyle w:val="FootnoteReference"/>
          <w:rFonts w:eastAsiaTheme="majorEastAsia" w:cstheme="minorHAnsi"/>
          <w:szCs w:val="20"/>
        </w:rPr>
        <w:footnoteReference w:id="64"/>
      </w:r>
    </w:p>
    <w:p w14:paraId="15FE9DF5" w14:textId="3141539D" w:rsidR="0094165C" w:rsidRDefault="0094165C" w:rsidP="0094165C">
      <w:pPr>
        <w:spacing w:before="120"/>
        <w:rPr>
          <w:rFonts w:eastAsia="Times New Roman"/>
        </w:rPr>
      </w:pPr>
      <w:r>
        <w:rPr>
          <w:rFonts w:eastAsia="Times New Roman"/>
        </w:rPr>
        <w:t xml:space="preserve">In another indication of the high level of </w:t>
      </w:r>
      <w:r>
        <w:rPr>
          <w:rFonts w:cstheme="minorHAnsi"/>
        </w:rPr>
        <w:t>red tape</w:t>
      </w:r>
      <w:r>
        <w:rPr>
          <w:rFonts w:eastAsia="Times New Roman"/>
        </w:rPr>
        <w:t xml:space="preserve"> on providers, 82.3 per cent of staff report</w:t>
      </w:r>
      <w:r w:rsidR="00A669E6">
        <w:rPr>
          <w:rFonts w:eastAsia="Times New Roman"/>
        </w:rPr>
        <w:t>ed</w:t>
      </w:r>
      <w:r>
        <w:rPr>
          <w:rFonts w:eastAsia="Times New Roman"/>
        </w:rPr>
        <w:t xml:space="preserve"> spending the same or more time on administrative tasks as they do on clients.</w:t>
      </w:r>
      <w:r>
        <w:rPr>
          <w:rStyle w:val="FootnoteReference"/>
          <w:rFonts w:eastAsia="Times New Roman"/>
        </w:rPr>
        <w:footnoteReference w:id="65"/>
      </w:r>
      <w:r>
        <w:rPr>
          <w:rFonts w:eastAsia="Times New Roman"/>
        </w:rPr>
        <w:t xml:space="preserve"> Results also show that complex administrative requirements </w:t>
      </w:r>
      <w:r w:rsidR="00A669E6">
        <w:rPr>
          <w:rFonts w:eastAsia="Times New Roman"/>
        </w:rPr>
        <w:t xml:space="preserve">were </w:t>
      </w:r>
      <w:r>
        <w:rPr>
          <w:rFonts w:eastAsia="Times New Roman"/>
        </w:rPr>
        <w:t>an issue for 69.7 per cent of sites and too much paper work is a problem for 76.1 per cent of sites.</w:t>
      </w:r>
    </w:p>
    <w:p w14:paraId="63FE6E02" w14:textId="69551225" w:rsidR="0094165C" w:rsidRPr="003A67F5" w:rsidRDefault="0094165C" w:rsidP="0094165C">
      <w:pPr>
        <w:rPr>
          <w:rFonts w:eastAsia="Times New Roman"/>
        </w:rPr>
      </w:pPr>
      <w:r>
        <w:rPr>
          <w:rFonts w:eastAsia="Times New Roman"/>
        </w:rPr>
        <w:t xml:space="preserve">Table 7.2 identifies tasks provider site staff </w:t>
      </w:r>
      <w:r w:rsidR="00913A43">
        <w:rPr>
          <w:rFonts w:eastAsia="Times New Roman"/>
        </w:rPr>
        <w:t>perceive</w:t>
      </w:r>
      <w:r w:rsidR="00A669E6">
        <w:rPr>
          <w:rFonts w:eastAsia="Times New Roman"/>
        </w:rPr>
        <w:t>d</w:t>
      </w:r>
      <w:r w:rsidR="00913A43">
        <w:rPr>
          <w:rFonts w:eastAsia="Times New Roman"/>
        </w:rPr>
        <w:t xml:space="preserve"> to be</w:t>
      </w:r>
      <w:r>
        <w:rPr>
          <w:rFonts w:eastAsia="Times New Roman"/>
        </w:rPr>
        <w:t xml:space="preserve"> the most time consuming.</w:t>
      </w:r>
      <w:r>
        <w:rPr>
          <w:rStyle w:val="FootnoteReference"/>
          <w:rFonts w:eastAsia="Times New Roman"/>
        </w:rPr>
        <w:footnoteReference w:id="66"/>
      </w:r>
      <w:r>
        <w:rPr>
          <w:rFonts w:eastAsia="Times New Roman"/>
        </w:rPr>
        <w:t xml:space="preserve"> They included monitoring activity placements, arranging activity </w:t>
      </w:r>
      <w:r w:rsidR="00492EF3">
        <w:rPr>
          <w:rFonts w:eastAsia="Times New Roman"/>
        </w:rPr>
        <w:t>placements and</w:t>
      </w:r>
      <w:r>
        <w:rPr>
          <w:rFonts w:eastAsia="Times New Roman"/>
        </w:rPr>
        <w:t xml:space="preserve"> record keeping. This aligns with the activities estimated to have high </w:t>
      </w:r>
      <w:r>
        <w:rPr>
          <w:rFonts w:cstheme="minorHAnsi"/>
        </w:rPr>
        <w:t>red tape costs</w:t>
      </w:r>
      <w:r>
        <w:rPr>
          <w:rFonts w:eastAsia="Times New Roman"/>
        </w:rPr>
        <w:t xml:space="preserve"> - the WEPh and job seeker compliance and participation.</w:t>
      </w:r>
    </w:p>
    <w:p w14:paraId="32CF30CC" w14:textId="77777777" w:rsidR="00BD500D" w:rsidRPr="00C2452E" w:rsidRDefault="00BD500D" w:rsidP="00BD500D">
      <w:pPr>
        <w:pStyle w:val="Tableforcontents"/>
        <w:rPr>
          <w:rFonts w:eastAsiaTheme="majorEastAsia"/>
        </w:rPr>
      </w:pPr>
      <w:bookmarkStart w:id="433" w:name="_Toc22543995"/>
      <w:r w:rsidRPr="00C2452E">
        <w:rPr>
          <w:rFonts w:eastAsiaTheme="majorEastAsia"/>
        </w:rPr>
        <w:t>Table 7.</w:t>
      </w:r>
      <w:r>
        <w:rPr>
          <w:rFonts w:eastAsiaTheme="majorEastAsia"/>
        </w:rPr>
        <w:t xml:space="preserve">2: </w:t>
      </w:r>
      <w:r w:rsidR="004C4EAF">
        <w:rPr>
          <w:rFonts w:eastAsiaTheme="majorEastAsia"/>
        </w:rPr>
        <w:t>A</w:t>
      </w:r>
      <w:r w:rsidRPr="00C2452E">
        <w:rPr>
          <w:rFonts w:eastAsiaTheme="majorEastAsia"/>
        </w:rPr>
        <w:t xml:space="preserve">ctivities </w:t>
      </w:r>
      <w:r w:rsidR="004C4EAF">
        <w:rPr>
          <w:rFonts w:eastAsiaTheme="majorEastAsia"/>
        </w:rPr>
        <w:t xml:space="preserve">providers perceive to be the most time consuming </w:t>
      </w:r>
      <w:r w:rsidRPr="00C2452E">
        <w:rPr>
          <w:rFonts w:eastAsiaTheme="majorEastAsia"/>
        </w:rPr>
        <w:t>(per cent)</w:t>
      </w:r>
      <w:bookmarkEnd w:id="433"/>
      <w:r w:rsidRPr="00C2452E">
        <w:rPr>
          <w:rFonts w:eastAsiaTheme="majorEastAsia"/>
        </w:rPr>
        <w:t xml:space="preserve"> </w:t>
      </w:r>
    </w:p>
    <w:tbl>
      <w:tblPr>
        <w:tblW w:w="0" w:type="auto"/>
        <w:tblInd w:w="93" w:type="dxa"/>
        <w:tblLook w:val="04A0" w:firstRow="1" w:lastRow="0" w:firstColumn="1" w:lastColumn="0" w:noHBand="0" w:noVBand="1"/>
      </w:tblPr>
      <w:tblGrid>
        <w:gridCol w:w="4266"/>
        <w:gridCol w:w="4538"/>
      </w:tblGrid>
      <w:tr w:rsidR="00BD500D" w:rsidRPr="000C2FDF" w14:paraId="7489A92D" w14:textId="77777777" w:rsidTr="005740AB">
        <w:trPr>
          <w:trHeight w:val="300"/>
          <w:tblHeader/>
        </w:trPr>
        <w:tc>
          <w:tcPr>
            <w:tcW w:w="0" w:type="auto"/>
            <w:shd w:val="clear" w:color="auto" w:fill="1E3D6B"/>
            <w:noWrap/>
            <w:hideMark/>
          </w:tcPr>
          <w:p w14:paraId="518FD56E" w14:textId="77777777" w:rsidR="00BD500D" w:rsidRPr="005A1709" w:rsidRDefault="00BD500D" w:rsidP="00603A71">
            <w:pPr>
              <w:pStyle w:val="Tablefirstcolumn"/>
              <w:keepNext/>
              <w:spacing w:line="240" w:lineRule="auto"/>
              <w:rPr>
                <w:b/>
              </w:rPr>
            </w:pPr>
            <w:bookmarkStart w:id="434" w:name="Title_72"/>
            <w:bookmarkEnd w:id="434"/>
            <w:r w:rsidRPr="005A1709">
              <w:rPr>
                <w:b/>
              </w:rPr>
              <w:t>Activity</w:t>
            </w:r>
          </w:p>
        </w:tc>
        <w:tc>
          <w:tcPr>
            <w:tcW w:w="4538" w:type="dxa"/>
            <w:shd w:val="clear" w:color="auto" w:fill="1E3D6B"/>
            <w:noWrap/>
            <w:hideMark/>
          </w:tcPr>
          <w:p w14:paraId="15FBB634" w14:textId="77777777" w:rsidR="00BD500D" w:rsidRPr="005A1709" w:rsidRDefault="004C4EAF" w:rsidP="001D1448">
            <w:pPr>
              <w:pStyle w:val="Tablefirstcolumn"/>
              <w:keepNext/>
              <w:spacing w:line="240" w:lineRule="auto"/>
              <w:jc w:val="center"/>
              <w:rPr>
                <w:b/>
              </w:rPr>
            </w:pPr>
            <w:r>
              <w:rPr>
                <w:b/>
              </w:rPr>
              <w:t xml:space="preserve">Proportion of providers that included this activity in the top three most time consuming activities </w:t>
            </w:r>
            <w:r w:rsidR="001D1448">
              <w:rPr>
                <w:b/>
              </w:rPr>
              <w:br/>
            </w:r>
            <w:r w:rsidR="00BD500D">
              <w:rPr>
                <w:b/>
              </w:rPr>
              <w:t>(%)</w:t>
            </w:r>
          </w:p>
        </w:tc>
      </w:tr>
      <w:tr w:rsidR="00BD500D" w:rsidRPr="000C2FDF" w14:paraId="1C7D2BFB" w14:textId="77777777" w:rsidTr="005740AB">
        <w:trPr>
          <w:trHeight w:val="300"/>
        </w:trPr>
        <w:tc>
          <w:tcPr>
            <w:tcW w:w="0" w:type="auto"/>
            <w:shd w:val="clear" w:color="auto" w:fill="auto"/>
            <w:noWrap/>
            <w:vAlign w:val="bottom"/>
            <w:hideMark/>
          </w:tcPr>
          <w:p w14:paraId="602C1DB4" w14:textId="77777777" w:rsidR="00BD500D" w:rsidRPr="005A1709" w:rsidRDefault="00BD500D" w:rsidP="00603A71">
            <w:pPr>
              <w:pStyle w:val="Tablefirstcolumn"/>
              <w:keepNext/>
              <w:spacing w:line="240" w:lineRule="auto"/>
            </w:pPr>
            <w:r w:rsidRPr="005A1709">
              <w:t xml:space="preserve">Monitoring activity placements / work experience </w:t>
            </w:r>
          </w:p>
        </w:tc>
        <w:tc>
          <w:tcPr>
            <w:tcW w:w="4538" w:type="dxa"/>
            <w:shd w:val="clear" w:color="auto" w:fill="auto"/>
            <w:noWrap/>
            <w:vAlign w:val="bottom"/>
            <w:hideMark/>
          </w:tcPr>
          <w:p w14:paraId="177C740F" w14:textId="77777777" w:rsidR="00BD500D" w:rsidRPr="005A1709" w:rsidRDefault="00BD500D" w:rsidP="005740AB">
            <w:pPr>
              <w:pStyle w:val="Tablefirstcolumn"/>
              <w:keepNext/>
              <w:spacing w:line="240" w:lineRule="auto"/>
              <w:ind w:right="1674"/>
              <w:jc w:val="right"/>
            </w:pPr>
            <w:r w:rsidRPr="005A1709">
              <w:t>75.0</w:t>
            </w:r>
          </w:p>
        </w:tc>
      </w:tr>
      <w:tr w:rsidR="00BD500D" w:rsidRPr="000C2FDF" w14:paraId="3EA2DF35" w14:textId="77777777" w:rsidTr="005740AB">
        <w:trPr>
          <w:trHeight w:val="300"/>
        </w:trPr>
        <w:tc>
          <w:tcPr>
            <w:tcW w:w="0" w:type="auto"/>
            <w:shd w:val="clear" w:color="auto" w:fill="E5E5E5" w:themeFill="background1" w:themeFillTint="33"/>
            <w:noWrap/>
            <w:vAlign w:val="bottom"/>
            <w:hideMark/>
          </w:tcPr>
          <w:p w14:paraId="090D0F6F" w14:textId="77777777" w:rsidR="00BD500D" w:rsidRPr="005A1709" w:rsidRDefault="00BD500D" w:rsidP="00603A71">
            <w:pPr>
              <w:pStyle w:val="Tablefirstcolumn"/>
              <w:keepNext/>
              <w:spacing w:line="240" w:lineRule="auto"/>
            </w:pPr>
            <w:r w:rsidRPr="005A1709">
              <w:t xml:space="preserve">Arranging activity placements / work experience </w:t>
            </w:r>
          </w:p>
        </w:tc>
        <w:tc>
          <w:tcPr>
            <w:tcW w:w="4538" w:type="dxa"/>
            <w:shd w:val="clear" w:color="auto" w:fill="E5E5E5" w:themeFill="background1" w:themeFillTint="33"/>
            <w:noWrap/>
            <w:vAlign w:val="bottom"/>
            <w:hideMark/>
          </w:tcPr>
          <w:p w14:paraId="5515C13B" w14:textId="77777777" w:rsidR="00BD500D" w:rsidRPr="005A1709" w:rsidRDefault="00BD500D" w:rsidP="005740AB">
            <w:pPr>
              <w:pStyle w:val="Tablefirstcolumn"/>
              <w:keepNext/>
              <w:spacing w:line="240" w:lineRule="auto"/>
              <w:ind w:right="1674"/>
              <w:jc w:val="right"/>
            </w:pPr>
            <w:r w:rsidRPr="005A1709">
              <w:t>68.3</w:t>
            </w:r>
          </w:p>
        </w:tc>
      </w:tr>
      <w:tr w:rsidR="00BD500D" w:rsidRPr="000C2FDF" w14:paraId="7592C0CA" w14:textId="77777777" w:rsidTr="005740AB">
        <w:trPr>
          <w:trHeight w:val="300"/>
        </w:trPr>
        <w:tc>
          <w:tcPr>
            <w:tcW w:w="0" w:type="auto"/>
            <w:shd w:val="clear" w:color="auto" w:fill="auto"/>
            <w:noWrap/>
            <w:vAlign w:val="bottom"/>
            <w:hideMark/>
          </w:tcPr>
          <w:p w14:paraId="0959C7E1" w14:textId="77777777" w:rsidR="00BD500D" w:rsidRPr="005A1709" w:rsidRDefault="00BD500D" w:rsidP="00603A71">
            <w:pPr>
              <w:pStyle w:val="Tablefirstcolumn"/>
              <w:keepNext/>
              <w:spacing w:line="240" w:lineRule="auto"/>
            </w:pPr>
            <w:r w:rsidRPr="005A1709">
              <w:t xml:space="preserve">Record keeping </w:t>
            </w:r>
          </w:p>
        </w:tc>
        <w:tc>
          <w:tcPr>
            <w:tcW w:w="4538" w:type="dxa"/>
            <w:shd w:val="clear" w:color="auto" w:fill="auto"/>
            <w:noWrap/>
            <w:vAlign w:val="bottom"/>
            <w:hideMark/>
          </w:tcPr>
          <w:p w14:paraId="5455AB20" w14:textId="77777777" w:rsidR="00BD500D" w:rsidRPr="005A1709" w:rsidRDefault="00BD500D" w:rsidP="005740AB">
            <w:pPr>
              <w:pStyle w:val="Tablefirstcolumn"/>
              <w:keepNext/>
              <w:spacing w:line="240" w:lineRule="auto"/>
              <w:ind w:right="1674"/>
              <w:jc w:val="right"/>
            </w:pPr>
            <w:r w:rsidRPr="005A1709">
              <w:t>57.0</w:t>
            </w:r>
          </w:p>
        </w:tc>
      </w:tr>
      <w:tr w:rsidR="00BD500D" w:rsidRPr="000C2FDF" w14:paraId="2C048FDC" w14:textId="77777777" w:rsidTr="005740AB">
        <w:trPr>
          <w:trHeight w:val="300"/>
        </w:trPr>
        <w:tc>
          <w:tcPr>
            <w:tcW w:w="0" w:type="auto"/>
            <w:shd w:val="clear" w:color="auto" w:fill="E5E5E5" w:themeFill="background1" w:themeFillTint="33"/>
            <w:noWrap/>
            <w:vAlign w:val="bottom"/>
            <w:hideMark/>
          </w:tcPr>
          <w:p w14:paraId="19FB013E" w14:textId="77777777" w:rsidR="00BD500D" w:rsidRPr="005A1709" w:rsidRDefault="00BD500D" w:rsidP="00603A71">
            <w:pPr>
              <w:pStyle w:val="Tablefirstcolumn"/>
              <w:keepNext/>
              <w:spacing w:line="240" w:lineRule="auto"/>
            </w:pPr>
            <w:r w:rsidRPr="005A1709">
              <w:t>Updating the Employment Services System</w:t>
            </w:r>
            <w:r>
              <w:t xml:space="preserve"> (ESS)</w:t>
            </w:r>
            <w:r w:rsidRPr="005A1709">
              <w:t xml:space="preserve"> </w:t>
            </w:r>
          </w:p>
        </w:tc>
        <w:tc>
          <w:tcPr>
            <w:tcW w:w="4538" w:type="dxa"/>
            <w:shd w:val="clear" w:color="auto" w:fill="E5E5E5" w:themeFill="background1" w:themeFillTint="33"/>
            <w:noWrap/>
            <w:vAlign w:val="bottom"/>
            <w:hideMark/>
          </w:tcPr>
          <w:p w14:paraId="4D6B64BD" w14:textId="77777777" w:rsidR="00BD500D" w:rsidRPr="005A1709" w:rsidRDefault="00BD500D" w:rsidP="005740AB">
            <w:pPr>
              <w:pStyle w:val="Tablefirstcolumn"/>
              <w:keepNext/>
              <w:spacing w:line="240" w:lineRule="auto"/>
              <w:ind w:right="1674"/>
              <w:jc w:val="right"/>
            </w:pPr>
            <w:r w:rsidRPr="005A1709">
              <w:t>32.7</w:t>
            </w:r>
          </w:p>
        </w:tc>
      </w:tr>
      <w:tr w:rsidR="00BD500D" w:rsidRPr="000C2FDF" w14:paraId="4443F7AB" w14:textId="77777777" w:rsidTr="005740AB">
        <w:trPr>
          <w:trHeight w:val="300"/>
        </w:trPr>
        <w:tc>
          <w:tcPr>
            <w:tcW w:w="0" w:type="auto"/>
            <w:shd w:val="clear" w:color="auto" w:fill="auto"/>
            <w:noWrap/>
            <w:vAlign w:val="bottom"/>
            <w:hideMark/>
          </w:tcPr>
          <w:p w14:paraId="460FC5A9" w14:textId="77777777" w:rsidR="00BD500D" w:rsidRPr="005A1709" w:rsidRDefault="00BD500D" w:rsidP="00603A71">
            <w:pPr>
              <w:pStyle w:val="Tablefirstcolumn"/>
              <w:keepNext/>
              <w:spacing w:line="240" w:lineRule="auto"/>
            </w:pPr>
            <w:r w:rsidRPr="005A1709">
              <w:t xml:space="preserve">Conducting </w:t>
            </w:r>
            <w:r>
              <w:t>S</w:t>
            </w:r>
            <w:r w:rsidRPr="005A1709">
              <w:t xml:space="preserve">kills </w:t>
            </w:r>
            <w:r>
              <w:t>A</w:t>
            </w:r>
            <w:r w:rsidRPr="005A1709">
              <w:t xml:space="preserve">ssessment </w:t>
            </w:r>
          </w:p>
        </w:tc>
        <w:tc>
          <w:tcPr>
            <w:tcW w:w="4538" w:type="dxa"/>
            <w:shd w:val="clear" w:color="auto" w:fill="auto"/>
            <w:noWrap/>
            <w:vAlign w:val="bottom"/>
            <w:hideMark/>
          </w:tcPr>
          <w:p w14:paraId="661EBCF5" w14:textId="77777777" w:rsidR="00BD500D" w:rsidRPr="005A1709" w:rsidRDefault="00BD500D" w:rsidP="005740AB">
            <w:pPr>
              <w:pStyle w:val="Tablefirstcolumn"/>
              <w:keepNext/>
              <w:spacing w:line="240" w:lineRule="auto"/>
              <w:ind w:right="1674"/>
              <w:jc w:val="right"/>
            </w:pPr>
            <w:r w:rsidRPr="005A1709">
              <w:t>26.6</w:t>
            </w:r>
          </w:p>
        </w:tc>
      </w:tr>
      <w:tr w:rsidR="00BD500D" w:rsidRPr="000C2FDF" w14:paraId="72C9747B" w14:textId="77777777" w:rsidTr="005740AB">
        <w:trPr>
          <w:trHeight w:val="300"/>
        </w:trPr>
        <w:tc>
          <w:tcPr>
            <w:tcW w:w="0" w:type="auto"/>
            <w:shd w:val="clear" w:color="auto" w:fill="E5E5E5" w:themeFill="background1" w:themeFillTint="33"/>
            <w:noWrap/>
            <w:vAlign w:val="bottom"/>
            <w:hideMark/>
          </w:tcPr>
          <w:p w14:paraId="7E812DD7" w14:textId="77777777" w:rsidR="00BD500D" w:rsidRPr="005A1709" w:rsidRDefault="00BD500D" w:rsidP="00603A71">
            <w:pPr>
              <w:pStyle w:val="Tablefirstcolumn"/>
              <w:keepNext/>
              <w:spacing w:line="240" w:lineRule="auto"/>
            </w:pPr>
            <w:r w:rsidRPr="005A1709">
              <w:t xml:space="preserve">Processing claims </w:t>
            </w:r>
          </w:p>
        </w:tc>
        <w:tc>
          <w:tcPr>
            <w:tcW w:w="4538" w:type="dxa"/>
            <w:shd w:val="clear" w:color="auto" w:fill="E5E5E5" w:themeFill="background1" w:themeFillTint="33"/>
            <w:noWrap/>
            <w:vAlign w:val="bottom"/>
            <w:hideMark/>
          </w:tcPr>
          <w:p w14:paraId="3CC87F53" w14:textId="77777777" w:rsidR="00BD500D" w:rsidRPr="005A1709" w:rsidRDefault="00BD500D" w:rsidP="005740AB">
            <w:pPr>
              <w:pStyle w:val="Tablefirstcolumn"/>
              <w:keepNext/>
              <w:spacing w:line="240" w:lineRule="auto"/>
              <w:ind w:right="1674"/>
              <w:jc w:val="right"/>
            </w:pPr>
            <w:r w:rsidRPr="005A1709">
              <w:t>18.2</w:t>
            </w:r>
          </w:p>
        </w:tc>
      </w:tr>
      <w:tr w:rsidR="00BD500D" w:rsidRPr="000C2FDF" w14:paraId="7871E093" w14:textId="77777777" w:rsidTr="005740AB">
        <w:trPr>
          <w:trHeight w:val="300"/>
        </w:trPr>
        <w:tc>
          <w:tcPr>
            <w:tcW w:w="0" w:type="auto"/>
            <w:shd w:val="clear" w:color="auto" w:fill="auto"/>
            <w:noWrap/>
            <w:vAlign w:val="bottom"/>
            <w:hideMark/>
          </w:tcPr>
          <w:p w14:paraId="35869103" w14:textId="77777777" w:rsidR="00BD500D" w:rsidRPr="005A1709" w:rsidRDefault="00BD500D" w:rsidP="00603A71">
            <w:pPr>
              <w:pStyle w:val="Tablefirstcolumn"/>
              <w:keepNext/>
              <w:spacing w:line="240" w:lineRule="auto"/>
            </w:pPr>
            <w:r w:rsidRPr="005A1709">
              <w:t>Preparing participation reports</w:t>
            </w:r>
          </w:p>
        </w:tc>
        <w:tc>
          <w:tcPr>
            <w:tcW w:w="4538" w:type="dxa"/>
            <w:shd w:val="clear" w:color="auto" w:fill="auto"/>
            <w:noWrap/>
            <w:vAlign w:val="bottom"/>
            <w:hideMark/>
          </w:tcPr>
          <w:p w14:paraId="06760386" w14:textId="77777777" w:rsidR="00BD500D" w:rsidRPr="005A1709" w:rsidRDefault="00BD500D" w:rsidP="005740AB">
            <w:pPr>
              <w:pStyle w:val="Tablefirstcolumn"/>
              <w:keepNext/>
              <w:spacing w:line="240" w:lineRule="auto"/>
              <w:ind w:right="1674"/>
              <w:jc w:val="right"/>
            </w:pPr>
            <w:r w:rsidRPr="005A1709">
              <w:t>18.2</w:t>
            </w:r>
          </w:p>
        </w:tc>
      </w:tr>
      <w:tr w:rsidR="00BD500D" w:rsidRPr="000C2FDF" w14:paraId="3362AB1B" w14:textId="77777777" w:rsidTr="005740AB">
        <w:trPr>
          <w:trHeight w:val="300"/>
        </w:trPr>
        <w:tc>
          <w:tcPr>
            <w:tcW w:w="0" w:type="auto"/>
            <w:tcBorders>
              <w:bottom w:val="single" w:sz="4" w:space="0" w:color="auto"/>
            </w:tcBorders>
            <w:shd w:val="clear" w:color="auto" w:fill="E5E5E5" w:themeFill="background1" w:themeFillTint="33"/>
            <w:noWrap/>
            <w:vAlign w:val="bottom"/>
            <w:hideMark/>
          </w:tcPr>
          <w:p w14:paraId="43C170BF" w14:textId="77777777" w:rsidR="00BD500D" w:rsidRPr="005A1709" w:rsidRDefault="00BD500D" w:rsidP="00603A71">
            <w:pPr>
              <w:pStyle w:val="Tablefirstcolumn"/>
              <w:keepNext/>
              <w:spacing w:line="240" w:lineRule="auto"/>
            </w:pPr>
            <w:r w:rsidRPr="005A1709">
              <w:t xml:space="preserve">No tasks are time consuming </w:t>
            </w:r>
          </w:p>
        </w:tc>
        <w:tc>
          <w:tcPr>
            <w:tcW w:w="4538" w:type="dxa"/>
            <w:tcBorders>
              <w:bottom w:val="single" w:sz="4" w:space="0" w:color="auto"/>
            </w:tcBorders>
            <w:shd w:val="clear" w:color="auto" w:fill="E5E5E5" w:themeFill="background1" w:themeFillTint="33"/>
            <w:noWrap/>
            <w:vAlign w:val="bottom"/>
            <w:hideMark/>
          </w:tcPr>
          <w:p w14:paraId="6F0F2746" w14:textId="77777777" w:rsidR="00BD500D" w:rsidRPr="005A1709" w:rsidRDefault="00BD500D" w:rsidP="005740AB">
            <w:pPr>
              <w:pStyle w:val="Tablefirstcolumn"/>
              <w:keepNext/>
              <w:spacing w:line="240" w:lineRule="auto"/>
              <w:ind w:right="1674"/>
              <w:jc w:val="right"/>
            </w:pPr>
            <w:r w:rsidRPr="005A1709">
              <w:t>1.4</w:t>
            </w:r>
          </w:p>
        </w:tc>
      </w:tr>
    </w:tbl>
    <w:p w14:paraId="6B4AFC41" w14:textId="77777777" w:rsidR="004C4EAF" w:rsidRPr="005740AB" w:rsidRDefault="004C4EAF" w:rsidP="005740AB">
      <w:pPr>
        <w:pStyle w:val="Source"/>
        <w:spacing w:after="0"/>
      </w:pPr>
      <w:r>
        <w:rPr>
          <w:b/>
        </w:rPr>
        <w:t>Note:</w:t>
      </w:r>
      <w:r>
        <w:rPr>
          <w:b/>
        </w:rPr>
        <w:tab/>
      </w:r>
      <w:r w:rsidRPr="005740AB">
        <w:t>Providers were asked to identify the three most time consuming activities.</w:t>
      </w:r>
    </w:p>
    <w:p w14:paraId="36BC3476" w14:textId="0C3E556D" w:rsidR="00BD500D" w:rsidRDefault="00BD500D" w:rsidP="0019430D">
      <w:pPr>
        <w:pStyle w:val="Source"/>
        <w:rPr>
          <w:rFonts w:eastAsia="Times New Roman"/>
          <w:lang w:eastAsia="en-AU"/>
        </w:rPr>
      </w:pPr>
      <w:r>
        <w:rPr>
          <w:b/>
        </w:rPr>
        <w:t>Source:</w:t>
      </w:r>
      <w:r>
        <w:rPr>
          <w:rFonts w:eastAsia="Times New Roman"/>
          <w:lang w:eastAsia="en-AU"/>
        </w:rPr>
        <w:t xml:space="preserve"> </w:t>
      </w:r>
      <w:r>
        <w:rPr>
          <w:rFonts w:eastAsia="Times New Roman"/>
          <w:lang w:eastAsia="en-AU"/>
        </w:rPr>
        <w:tab/>
        <w:t xml:space="preserve">Department of Employment </w:t>
      </w:r>
      <w:r w:rsidR="007C112F">
        <w:rPr>
          <w:rFonts w:eastAsia="Times New Roman"/>
          <w:lang w:eastAsia="en-AU"/>
        </w:rPr>
        <w:t>Service</w:t>
      </w:r>
      <w:r w:rsidR="00E7638D">
        <w:rPr>
          <w:rFonts w:eastAsia="Times New Roman"/>
          <w:lang w:eastAsia="en-AU"/>
        </w:rPr>
        <w:t>s</w:t>
      </w:r>
      <w:r w:rsidR="007C112F">
        <w:rPr>
          <w:rFonts w:eastAsia="Times New Roman"/>
          <w:lang w:eastAsia="en-AU"/>
        </w:rPr>
        <w:t xml:space="preserve"> </w:t>
      </w:r>
      <w:r>
        <w:rPr>
          <w:rFonts w:eastAsia="Times New Roman"/>
          <w:lang w:eastAsia="en-AU"/>
        </w:rPr>
        <w:t xml:space="preserve">Provider </w:t>
      </w:r>
      <w:r w:rsidR="007C112F">
        <w:rPr>
          <w:rFonts w:eastAsia="Times New Roman"/>
          <w:lang w:eastAsia="en-AU"/>
        </w:rPr>
        <w:t>s</w:t>
      </w:r>
      <w:r>
        <w:rPr>
          <w:rFonts w:eastAsia="Times New Roman"/>
          <w:lang w:eastAsia="en-AU"/>
        </w:rPr>
        <w:t>urvey</w:t>
      </w:r>
      <w:r w:rsidR="007C112F">
        <w:rPr>
          <w:rFonts w:eastAsia="Times New Roman"/>
          <w:lang w:eastAsia="en-AU"/>
        </w:rPr>
        <w:t>, 2014</w:t>
      </w:r>
      <w:r>
        <w:rPr>
          <w:rFonts w:eastAsia="Times New Roman"/>
          <w:lang w:eastAsia="en-AU"/>
        </w:rPr>
        <w:t>.</w:t>
      </w:r>
    </w:p>
    <w:p w14:paraId="6D356D9A" w14:textId="718D696E" w:rsidR="00BD500D" w:rsidRDefault="00BD500D" w:rsidP="00BD500D">
      <w:pPr>
        <w:rPr>
          <w:rFonts w:cstheme="minorHAnsi"/>
        </w:rPr>
      </w:pPr>
      <w:bookmarkStart w:id="435" w:name="_Toc436214883"/>
      <w:bookmarkStart w:id="436" w:name="_Toc436214981"/>
      <w:bookmarkStart w:id="437" w:name="_Toc436400163"/>
      <w:bookmarkStart w:id="438" w:name="_Toc436400293"/>
      <w:bookmarkStart w:id="439" w:name="_Toc443152035"/>
      <w:r>
        <w:rPr>
          <w:rFonts w:cstheme="minorHAnsi"/>
        </w:rPr>
        <w:t>Red tape costs</w:t>
      </w:r>
      <w:r w:rsidRPr="009514D1">
        <w:rPr>
          <w:rFonts w:cstheme="minorHAnsi"/>
        </w:rPr>
        <w:t xml:space="preserve"> </w:t>
      </w:r>
      <w:r>
        <w:rPr>
          <w:rFonts w:cstheme="minorHAnsi"/>
        </w:rPr>
        <w:t xml:space="preserve">are not just a consequence of broader regulation but also a result of requirements being unnecessarily complex. Survey results on the Department’s communication approach with providers indicate that this </w:t>
      </w:r>
      <w:r w:rsidR="00A669E6">
        <w:rPr>
          <w:rFonts w:cstheme="minorHAnsi"/>
        </w:rPr>
        <w:t xml:space="preserve">was </w:t>
      </w:r>
      <w:r>
        <w:rPr>
          <w:rFonts w:cstheme="minorHAnsi"/>
        </w:rPr>
        <w:t>likely a contributing factor to red tape costs. The cost of understanding programme changes involves:</w:t>
      </w:r>
    </w:p>
    <w:p w14:paraId="35BAABE0" w14:textId="77777777" w:rsidR="00BD500D" w:rsidRPr="00386A40" w:rsidRDefault="00BD500D" w:rsidP="00247BDA">
      <w:pPr>
        <w:pStyle w:val="ListParagraph"/>
      </w:pPr>
      <w:r w:rsidRPr="00386A40">
        <w:t>time spent learning new material</w:t>
      </w:r>
    </w:p>
    <w:p w14:paraId="55607ED3" w14:textId="77777777" w:rsidR="00BD500D" w:rsidRDefault="00BD500D" w:rsidP="00247BDA">
      <w:pPr>
        <w:pStyle w:val="ListParagraph"/>
      </w:pPr>
      <w:r w:rsidRPr="0061122B">
        <w:t>extra cost from</w:t>
      </w:r>
      <w:r w:rsidRPr="00B12142">
        <w:t xml:space="preserve"> poor communication by the </w:t>
      </w:r>
      <w:r>
        <w:t>D</w:t>
      </w:r>
      <w:r w:rsidRPr="00B12142">
        <w:t>epartment</w:t>
      </w:r>
      <w:r w:rsidR="000752E9">
        <w:t>.</w:t>
      </w:r>
    </w:p>
    <w:p w14:paraId="71EE454F" w14:textId="7774CA33" w:rsidR="00BD500D" w:rsidRDefault="00BD500D" w:rsidP="00BD500D">
      <w:r>
        <w:t xml:space="preserve">These in turn </w:t>
      </w:r>
      <w:r w:rsidR="00A669E6">
        <w:t>made</w:t>
      </w:r>
      <w:r w:rsidR="00A669E6" w:rsidRPr="00B12142">
        <w:t xml:space="preserve"> </w:t>
      </w:r>
      <w:r w:rsidRPr="00B12142">
        <w:t xml:space="preserve">it more difficult to </w:t>
      </w:r>
      <w:r>
        <w:t xml:space="preserve">gain proficiency in understanding </w:t>
      </w:r>
      <w:r w:rsidRPr="00B12142">
        <w:t xml:space="preserve">the material than necessary. </w:t>
      </w:r>
      <w:r>
        <w:t>O</w:t>
      </w:r>
      <w:r w:rsidRPr="00B12142">
        <w:t>ver time providers</w:t>
      </w:r>
      <w:r>
        <w:t xml:space="preserve"> have</w:t>
      </w:r>
      <w:r w:rsidRPr="00B12142">
        <w:t xml:space="preserve"> lost confidence in the reporting of guideline processes. Net agreement</w:t>
      </w:r>
      <w:r w:rsidR="000752E9">
        <w:t xml:space="preserve"> </w:t>
      </w:r>
      <w:r>
        <w:t>(</w:t>
      </w:r>
      <w:r w:rsidRPr="00B12142">
        <w:t>those that agree minus those that disagree</w:t>
      </w:r>
      <w:r>
        <w:t>)</w:t>
      </w:r>
      <w:r w:rsidRPr="00B12142">
        <w:t xml:space="preserve"> with the statements that guideline changes were communicated effectively and were given reasonable notice declined over the contract period to around 50 per cent</w:t>
      </w:r>
      <w:r>
        <w:t xml:space="preserve"> (Figure 7.3)</w:t>
      </w:r>
      <w:r w:rsidRPr="00B12142">
        <w:t>.</w:t>
      </w:r>
    </w:p>
    <w:p w14:paraId="5CE5CDAD" w14:textId="77777777" w:rsidR="00BD500D" w:rsidRPr="005A1709" w:rsidRDefault="00BD500D" w:rsidP="00BD500D">
      <w:pPr>
        <w:pStyle w:val="Figureheadingforcontents"/>
      </w:pPr>
      <w:bookmarkStart w:id="440" w:name="_Toc22544047"/>
      <w:bookmarkEnd w:id="435"/>
      <w:bookmarkEnd w:id="436"/>
      <w:bookmarkEnd w:id="437"/>
      <w:bookmarkEnd w:id="438"/>
      <w:bookmarkEnd w:id="439"/>
      <w:r>
        <w:t xml:space="preserve">Figure 7.3: </w:t>
      </w:r>
      <w:r w:rsidRPr="005A1709">
        <w:t>Net agreement on guideline changes</w:t>
      </w:r>
      <w:r>
        <w:t xml:space="preserve"> 2010 to 2014</w:t>
      </w:r>
      <w:r w:rsidR="00793982">
        <w:t xml:space="preserve"> (per cent)</w:t>
      </w:r>
      <w:bookmarkEnd w:id="440"/>
    </w:p>
    <w:p w14:paraId="771047ED" w14:textId="77777777" w:rsidR="00BD500D" w:rsidRDefault="002A0F08" w:rsidP="0019430D">
      <w:pPr>
        <w:spacing w:after="0"/>
        <w:rPr>
          <w:rFonts w:cstheme="minorHAnsi"/>
        </w:rPr>
      </w:pPr>
      <w:r w:rsidRPr="002A0F08">
        <w:rPr>
          <w:noProof/>
          <w:lang w:eastAsia="en-AU"/>
        </w:rPr>
        <w:drawing>
          <wp:inline distT="0" distB="0" distL="0" distR="0" wp14:anchorId="0E29727C" wp14:editId="6719A57C">
            <wp:extent cx="5732145" cy="3272809"/>
            <wp:effectExtent l="0" t="0" r="1905" b="3810"/>
            <wp:docPr id="267" name="Picture 267" descr="Line chart showing that net agreement for both ‘reasonable notice’ and ‘communicate change effectively’ declined over the JSA 2012 period.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2145" cy="3272809"/>
                    </a:xfrm>
                    <a:prstGeom prst="rect">
                      <a:avLst/>
                    </a:prstGeom>
                    <a:noFill/>
                    <a:ln>
                      <a:noFill/>
                    </a:ln>
                  </pic:spPr>
                </pic:pic>
              </a:graphicData>
            </a:graphic>
          </wp:inline>
        </w:drawing>
      </w:r>
    </w:p>
    <w:p w14:paraId="46A44662" w14:textId="77777777" w:rsidR="001D7748" w:rsidRDefault="00BD500D" w:rsidP="0019430D">
      <w:pPr>
        <w:pStyle w:val="Notes"/>
        <w:rPr>
          <w:b/>
        </w:rPr>
      </w:pPr>
      <w:r w:rsidRPr="001C728A">
        <w:rPr>
          <w:b/>
        </w:rPr>
        <w:t>Note</w:t>
      </w:r>
      <w:r w:rsidR="001D7748">
        <w:rPr>
          <w:b/>
        </w:rPr>
        <w:t>s</w:t>
      </w:r>
      <w:r w:rsidRPr="001C728A">
        <w:rPr>
          <w:b/>
        </w:rPr>
        <w:t>:</w:t>
      </w:r>
      <w:r w:rsidRPr="001C728A">
        <w:rPr>
          <w:b/>
        </w:rPr>
        <w:tab/>
      </w:r>
    </w:p>
    <w:p w14:paraId="272CFE09" w14:textId="77777777" w:rsidR="00BD500D" w:rsidRPr="00E5413A" w:rsidRDefault="00BD500D" w:rsidP="00AE4704">
      <w:pPr>
        <w:pStyle w:val="Notesnumbered"/>
        <w:numPr>
          <w:ilvl w:val="0"/>
          <w:numId w:val="240"/>
        </w:numPr>
        <w:ind w:left="709" w:hanging="567"/>
      </w:pPr>
      <w:r w:rsidRPr="003C6A72">
        <w:rPr>
          <w:lang w:eastAsia="en-AU"/>
        </w:rPr>
        <w:t>T</w:t>
      </w:r>
      <w:r w:rsidRPr="003C6A72">
        <w:t xml:space="preserve">he </w:t>
      </w:r>
      <w:r w:rsidRPr="00E5413A">
        <w:t>scale of answers for 2010 varied from other survey years.</w:t>
      </w:r>
    </w:p>
    <w:p w14:paraId="041A7059" w14:textId="77777777" w:rsidR="001D7748" w:rsidRDefault="001D7748" w:rsidP="00AE4704">
      <w:pPr>
        <w:pStyle w:val="Notesnumbered"/>
        <w:numPr>
          <w:ilvl w:val="0"/>
          <w:numId w:val="240"/>
        </w:numPr>
        <w:ind w:left="709" w:hanging="567"/>
        <w:rPr>
          <w:b/>
        </w:rPr>
      </w:pPr>
      <w:r w:rsidRPr="00E5413A">
        <w:t xml:space="preserve">Refer </w:t>
      </w:r>
      <w:hyperlink w:anchor="Title_A238" w:history="1">
        <w:r w:rsidRPr="00B15D38">
          <w:rPr>
            <w:rStyle w:val="Hyperlink"/>
          </w:rPr>
          <w:t>Appendix</w:t>
        </w:r>
        <w:r w:rsidRPr="00B15D38">
          <w:rPr>
            <w:rStyle w:val="Hyperlink"/>
            <w:rFonts w:cs="Times New Roman"/>
            <w:szCs w:val="20"/>
            <w:lang w:val="en-US"/>
          </w:rPr>
          <w:t xml:space="preserve"> A</w:t>
        </w:r>
        <w:r w:rsidR="00F75BBA" w:rsidRPr="00B15D38">
          <w:rPr>
            <w:rStyle w:val="Hyperlink"/>
            <w:rFonts w:cs="Times New Roman"/>
            <w:szCs w:val="20"/>
            <w:lang w:val="en-US"/>
          </w:rPr>
          <w:t>2</w:t>
        </w:r>
        <w:r w:rsidRPr="00B15D38">
          <w:rPr>
            <w:rStyle w:val="Hyperlink"/>
            <w:rFonts w:cs="Times New Roman"/>
            <w:szCs w:val="20"/>
            <w:lang w:val="en-US"/>
          </w:rPr>
          <w:t>, Table A2.38</w:t>
        </w:r>
      </w:hyperlink>
      <w:r w:rsidRPr="001D7748">
        <w:rPr>
          <w:rStyle w:val="NotesChar"/>
          <w:rFonts w:eastAsiaTheme="minorEastAsia"/>
        </w:rPr>
        <w:t>.</w:t>
      </w:r>
      <w:bookmarkStart w:id="441" w:name="Place_A238"/>
      <w:bookmarkEnd w:id="441"/>
    </w:p>
    <w:p w14:paraId="0554A7FB" w14:textId="77777777" w:rsidR="0019430D" w:rsidRPr="003C6A72" w:rsidRDefault="0019430D" w:rsidP="0019430D">
      <w:pPr>
        <w:pStyle w:val="Source"/>
        <w:rPr>
          <w:rFonts w:eastAsia="Times New Roman"/>
          <w:lang w:eastAsia="en-AU"/>
        </w:rPr>
      </w:pPr>
      <w:r>
        <w:rPr>
          <w:b/>
        </w:rPr>
        <w:t>Source:</w:t>
      </w:r>
      <w:r>
        <w:rPr>
          <w:rFonts w:eastAsia="Times New Roman"/>
          <w:lang w:eastAsia="en-AU"/>
        </w:rPr>
        <w:t xml:space="preserve"> </w:t>
      </w:r>
      <w:r>
        <w:rPr>
          <w:rFonts w:eastAsia="Times New Roman"/>
          <w:lang w:eastAsia="en-AU"/>
        </w:rPr>
        <w:tab/>
        <w:t xml:space="preserve">Department of Employment </w:t>
      </w:r>
      <w:r w:rsidR="007C112F">
        <w:rPr>
          <w:rFonts w:eastAsia="Times New Roman"/>
          <w:lang w:eastAsia="en-AU"/>
        </w:rPr>
        <w:t>Sevice</w:t>
      </w:r>
      <w:r>
        <w:rPr>
          <w:rFonts w:eastAsia="Times New Roman"/>
          <w:lang w:eastAsia="en-AU"/>
        </w:rPr>
        <w:t xml:space="preserve"> Provider </w:t>
      </w:r>
      <w:r w:rsidR="007C112F">
        <w:rPr>
          <w:rFonts w:eastAsia="Times New Roman"/>
          <w:lang w:eastAsia="en-AU"/>
        </w:rPr>
        <w:t>survey, 2010 to 2014</w:t>
      </w:r>
      <w:r>
        <w:rPr>
          <w:rFonts w:eastAsia="Times New Roman"/>
          <w:lang w:eastAsia="en-AU"/>
        </w:rPr>
        <w:t>.</w:t>
      </w:r>
    </w:p>
    <w:p w14:paraId="1BBCEAA7" w14:textId="77777777" w:rsidR="00BD500D" w:rsidRDefault="00BD500D" w:rsidP="00BD500D">
      <w:pPr>
        <w:rPr>
          <w:rFonts w:cstheme="minorHAnsi"/>
        </w:rPr>
      </w:pPr>
      <w:r>
        <w:rPr>
          <w:rFonts w:cstheme="minorHAnsi"/>
        </w:rPr>
        <w:t>The P</w:t>
      </w:r>
      <w:r w:rsidRPr="00E27993">
        <w:rPr>
          <w:rFonts w:cstheme="minorHAnsi"/>
        </w:rPr>
        <w:t xml:space="preserve">rovider Portal is the main </w:t>
      </w:r>
      <w:r>
        <w:rPr>
          <w:rFonts w:cstheme="minorHAnsi"/>
        </w:rPr>
        <w:t>method</w:t>
      </w:r>
      <w:r w:rsidRPr="00E27993">
        <w:rPr>
          <w:rFonts w:cstheme="minorHAnsi"/>
        </w:rPr>
        <w:t xml:space="preserve"> for communicating policy and procedural changes to providers. </w:t>
      </w:r>
      <w:r>
        <w:rPr>
          <w:rFonts w:cstheme="minorHAnsi"/>
        </w:rPr>
        <w:t>P</w:t>
      </w:r>
      <w:r w:rsidRPr="00E27993">
        <w:rPr>
          <w:rFonts w:cstheme="minorHAnsi"/>
        </w:rPr>
        <w:t>rovider feedback</w:t>
      </w:r>
      <w:r>
        <w:rPr>
          <w:rFonts w:cstheme="minorHAnsi"/>
        </w:rPr>
        <w:t xml:space="preserve"> shows a decline in perceptions</w:t>
      </w:r>
      <w:r w:rsidRPr="00E27993">
        <w:rPr>
          <w:rFonts w:cstheme="minorHAnsi"/>
        </w:rPr>
        <w:t xml:space="preserve"> on various aspects </w:t>
      </w:r>
      <w:r>
        <w:rPr>
          <w:rFonts w:cstheme="minorHAnsi"/>
        </w:rPr>
        <w:t xml:space="preserve">of the </w:t>
      </w:r>
      <w:r w:rsidRPr="00E27993">
        <w:rPr>
          <w:rFonts w:cstheme="minorHAnsi"/>
        </w:rPr>
        <w:t xml:space="preserve">information </w:t>
      </w:r>
      <w:r>
        <w:rPr>
          <w:rFonts w:cstheme="minorHAnsi"/>
        </w:rPr>
        <w:t xml:space="preserve">given </w:t>
      </w:r>
      <w:r w:rsidRPr="00E27993">
        <w:rPr>
          <w:rFonts w:cstheme="minorHAnsi"/>
        </w:rPr>
        <w:t xml:space="preserve">on the </w:t>
      </w:r>
      <w:r>
        <w:rPr>
          <w:rFonts w:cstheme="minorHAnsi"/>
        </w:rPr>
        <w:t>p</w:t>
      </w:r>
      <w:r w:rsidRPr="00E27993">
        <w:rPr>
          <w:rFonts w:cstheme="minorHAnsi"/>
        </w:rPr>
        <w:t>ortal</w:t>
      </w:r>
      <w:r>
        <w:rPr>
          <w:rFonts w:cstheme="minorHAnsi"/>
        </w:rPr>
        <w:t xml:space="preserve"> (</w:t>
      </w:r>
      <w:r w:rsidRPr="00E27993">
        <w:rPr>
          <w:rFonts w:cstheme="minorHAnsi"/>
        </w:rPr>
        <w:t>with the exception of the information being up-to-date</w:t>
      </w:r>
      <w:r>
        <w:rPr>
          <w:rFonts w:cstheme="minorHAnsi"/>
        </w:rPr>
        <w:t>) (Table 7.3)</w:t>
      </w:r>
      <w:r w:rsidRPr="00E27993">
        <w:rPr>
          <w:rFonts w:cstheme="minorHAnsi"/>
        </w:rPr>
        <w:t xml:space="preserve">. While complying with contractual requirements is mandatory and imposes </w:t>
      </w:r>
      <w:r>
        <w:rPr>
          <w:rFonts w:cstheme="minorHAnsi"/>
        </w:rPr>
        <w:t>red tape</w:t>
      </w:r>
      <w:r w:rsidRPr="00E27993">
        <w:rPr>
          <w:rFonts w:cstheme="minorHAnsi"/>
        </w:rPr>
        <w:t xml:space="preserve"> on providers, feedback </w:t>
      </w:r>
      <w:r>
        <w:rPr>
          <w:rFonts w:cstheme="minorHAnsi"/>
        </w:rPr>
        <w:t>indicates that part of the costs relate to problems with communication processes.</w:t>
      </w:r>
    </w:p>
    <w:p w14:paraId="3982D16D" w14:textId="77777777" w:rsidR="00BD500D" w:rsidRPr="008D1D34" w:rsidRDefault="00BD500D" w:rsidP="00BD500D">
      <w:pPr>
        <w:pStyle w:val="Tableforcontents"/>
        <w:rPr>
          <w:rFonts w:eastAsiaTheme="majorEastAsia"/>
        </w:rPr>
      </w:pPr>
      <w:bookmarkStart w:id="442" w:name="_Toc436214884"/>
      <w:bookmarkStart w:id="443" w:name="_Toc436214982"/>
      <w:bookmarkStart w:id="444" w:name="_Toc22543996"/>
      <w:r w:rsidRPr="008D1D34">
        <w:rPr>
          <w:rFonts w:eastAsiaTheme="majorEastAsia"/>
        </w:rPr>
        <w:t>Table 7</w:t>
      </w:r>
      <w:r>
        <w:rPr>
          <w:rFonts w:eastAsiaTheme="majorEastAsia"/>
        </w:rPr>
        <w:t xml:space="preserve">.3: </w:t>
      </w:r>
      <w:r w:rsidRPr="008D1D34">
        <w:rPr>
          <w:rFonts w:eastAsiaTheme="majorEastAsia"/>
        </w:rPr>
        <w:t>Provider feedback on information given on the provider portal</w:t>
      </w:r>
      <w:r w:rsidR="000752E9">
        <w:rPr>
          <w:rFonts w:eastAsiaTheme="majorEastAsia"/>
        </w:rPr>
        <w:t xml:space="preserve">, </w:t>
      </w:r>
      <w:r w:rsidR="00793982">
        <w:rPr>
          <w:rFonts w:eastAsiaTheme="majorEastAsia"/>
        </w:rPr>
        <w:t xml:space="preserve">2011 – 2014 </w:t>
      </w:r>
      <w:r w:rsidRPr="008D1D34">
        <w:rPr>
          <w:rFonts w:eastAsiaTheme="majorEastAsia"/>
        </w:rPr>
        <w:t>(per cent)</w:t>
      </w:r>
      <w:bookmarkEnd w:id="442"/>
      <w:bookmarkEnd w:id="443"/>
      <w:bookmarkEnd w:id="444"/>
    </w:p>
    <w:tbl>
      <w:tblPr>
        <w:tblStyle w:val="TableGrid"/>
        <w:tblW w:w="918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1140"/>
        <w:gridCol w:w="1230"/>
        <w:gridCol w:w="1266"/>
        <w:gridCol w:w="1124"/>
        <w:gridCol w:w="1140"/>
        <w:gridCol w:w="1122"/>
        <w:gridCol w:w="1051"/>
      </w:tblGrid>
      <w:tr w:rsidR="00BD500D" w:rsidRPr="0011747A" w14:paraId="18D801C3" w14:textId="77777777" w:rsidTr="001D1448">
        <w:trPr>
          <w:tblHeader/>
        </w:trPr>
        <w:tc>
          <w:tcPr>
            <w:tcW w:w="1107" w:type="dxa"/>
            <w:tcBorders>
              <w:bottom w:val="nil"/>
            </w:tcBorders>
            <w:shd w:val="clear" w:color="auto" w:fill="1E3D6B"/>
          </w:tcPr>
          <w:p w14:paraId="6AA90462" w14:textId="77777777" w:rsidR="00BD500D" w:rsidRPr="0011747A" w:rsidRDefault="00BD500D" w:rsidP="00603A71">
            <w:pPr>
              <w:pStyle w:val="TableCaption"/>
              <w:ind w:left="-8"/>
              <w:rPr>
                <w:sz w:val="20"/>
                <w:szCs w:val="20"/>
              </w:rPr>
            </w:pPr>
            <w:bookmarkStart w:id="445" w:name="Title_73"/>
            <w:bookmarkEnd w:id="445"/>
            <w:r w:rsidRPr="0011747A">
              <w:rPr>
                <w:sz w:val="20"/>
                <w:szCs w:val="20"/>
              </w:rPr>
              <w:t>Year</w:t>
            </w:r>
          </w:p>
        </w:tc>
        <w:tc>
          <w:tcPr>
            <w:tcW w:w="1140" w:type="dxa"/>
            <w:tcBorders>
              <w:bottom w:val="nil"/>
            </w:tcBorders>
            <w:shd w:val="clear" w:color="auto" w:fill="1E3D6B"/>
          </w:tcPr>
          <w:p w14:paraId="711A0FDF" w14:textId="77777777" w:rsidR="00BD500D" w:rsidRPr="0011747A" w:rsidRDefault="00BD500D" w:rsidP="00603A71">
            <w:pPr>
              <w:pStyle w:val="TableCaption"/>
              <w:ind w:left="-8"/>
              <w:rPr>
                <w:sz w:val="20"/>
                <w:szCs w:val="20"/>
              </w:rPr>
            </w:pPr>
            <w:r w:rsidRPr="0011747A">
              <w:rPr>
                <w:sz w:val="20"/>
                <w:szCs w:val="20"/>
              </w:rPr>
              <w:t xml:space="preserve">Accurate </w:t>
            </w:r>
          </w:p>
        </w:tc>
        <w:tc>
          <w:tcPr>
            <w:tcW w:w="1230" w:type="dxa"/>
            <w:tcBorders>
              <w:bottom w:val="nil"/>
            </w:tcBorders>
            <w:shd w:val="clear" w:color="auto" w:fill="1E3D6B"/>
          </w:tcPr>
          <w:p w14:paraId="0FDFC9E9" w14:textId="77777777" w:rsidR="00BD500D" w:rsidRPr="0011747A" w:rsidRDefault="00BD500D" w:rsidP="00603A71">
            <w:pPr>
              <w:pStyle w:val="TableCaption"/>
              <w:ind w:left="-8"/>
              <w:rPr>
                <w:sz w:val="20"/>
                <w:szCs w:val="20"/>
              </w:rPr>
            </w:pPr>
            <w:r w:rsidRPr="0011747A">
              <w:rPr>
                <w:sz w:val="20"/>
                <w:szCs w:val="20"/>
              </w:rPr>
              <w:t xml:space="preserve">Up-to-date </w:t>
            </w:r>
          </w:p>
        </w:tc>
        <w:tc>
          <w:tcPr>
            <w:tcW w:w="1266" w:type="dxa"/>
            <w:tcBorders>
              <w:bottom w:val="nil"/>
            </w:tcBorders>
            <w:shd w:val="clear" w:color="auto" w:fill="1E3D6B"/>
          </w:tcPr>
          <w:p w14:paraId="1751B8B4" w14:textId="77777777" w:rsidR="00BD500D" w:rsidRPr="0011747A" w:rsidRDefault="00BD500D" w:rsidP="00603A71">
            <w:pPr>
              <w:pStyle w:val="TableCaption"/>
              <w:ind w:left="-8"/>
              <w:rPr>
                <w:sz w:val="20"/>
                <w:szCs w:val="20"/>
              </w:rPr>
            </w:pPr>
            <w:r w:rsidRPr="0011747A">
              <w:rPr>
                <w:sz w:val="20"/>
                <w:szCs w:val="20"/>
              </w:rPr>
              <w:t>Easy to understand</w:t>
            </w:r>
          </w:p>
        </w:tc>
        <w:tc>
          <w:tcPr>
            <w:tcW w:w="1124" w:type="dxa"/>
            <w:tcBorders>
              <w:bottom w:val="nil"/>
            </w:tcBorders>
            <w:shd w:val="clear" w:color="auto" w:fill="1E3D6B"/>
          </w:tcPr>
          <w:p w14:paraId="352788B0" w14:textId="77777777" w:rsidR="00BD500D" w:rsidRPr="0011747A" w:rsidRDefault="00BD500D" w:rsidP="00603A71">
            <w:pPr>
              <w:pStyle w:val="TableCaption"/>
              <w:ind w:left="-8"/>
              <w:rPr>
                <w:sz w:val="20"/>
                <w:szCs w:val="20"/>
              </w:rPr>
            </w:pPr>
            <w:r w:rsidRPr="0011747A">
              <w:rPr>
                <w:sz w:val="20"/>
                <w:szCs w:val="20"/>
              </w:rPr>
              <w:t xml:space="preserve">Useful format </w:t>
            </w:r>
          </w:p>
        </w:tc>
        <w:tc>
          <w:tcPr>
            <w:tcW w:w="1140" w:type="dxa"/>
            <w:tcBorders>
              <w:bottom w:val="nil"/>
            </w:tcBorders>
            <w:shd w:val="clear" w:color="auto" w:fill="1E3D6B"/>
          </w:tcPr>
          <w:p w14:paraId="48B3A3B9" w14:textId="77777777" w:rsidR="00BD500D" w:rsidRPr="0011747A" w:rsidRDefault="00BD500D" w:rsidP="00603A71">
            <w:pPr>
              <w:pStyle w:val="TableCaption"/>
              <w:ind w:left="-8"/>
              <w:rPr>
                <w:sz w:val="20"/>
                <w:szCs w:val="20"/>
              </w:rPr>
            </w:pPr>
            <w:r w:rsidRPr="0011747A">
              <w:rPr>
                <w:sz w:val="20"/>
                <w:szCs w:val="20"/>
              </w:rPr>
              <w:t xml:space="preserve">Relevant </w:t>
            </w:r>
          </w:p>
        </w:tc>
        <w:tc>
          <w:tcPr>
            <w:tcW w:w="1122" w:type="dxa"/>
            <w:tcBorders>
              <w:bottom w:val="nil"/>
            </w:tcBorders>
            <w:shd w:val="clear" w:color="auto" w:fill="1E3D6B"/>
          </w:tcPr>
          <w:p w14:paraId="2E9CDD9B" w14:textId="77777777" w:rsidR="00BD500D" w:rsidRPr="0011747A" w:rsidRDefault="00BD500D" w:rsidP="00603A71">
            <w:pPr>
              <w:pStyle w:val="TableCaption"/>
              <w:ind w:left="-8"/>
              <w:rPr>
                <w:sz w:val="20"/>
                <w:szCs w:val="20"/>
              </w:rPr>
            </w:pPr>
            <w:r w:rsidRPr="0011747A">
              <w:rPr>
                <w:sz w:val="20"/>
                <w:szCs w:val="20"/>
              </w:rPr>
              <w:t>Timely</w:t>
            </w:r>
          </w:p>
        </w:tc>
        <w:tc>
          <w:tcPr>
            <w:tcW w:w="1051" w:type="dxa"/>
            <w:tcBorders>
              <w:bottom w:val="nil"/>
            </w:tcBorders>
            <w:shd w:val="clear" w:color="auto" w:fill="1E3D6B"/>
          </w:tcPr>
          <w:p w14:paraId="52EE3E47" w14:textId="77777777" w:rsidR="00BD500D" w:rsidRPr="0011747A" w:rsidRDefault="00BD500D" w:rsidP="00603A71">
            <w:pPr>
              <w:pStyle w:val="TableCaption"/>
              <w:ind w:left="-40"/>
              <w:rPr>
                <w:sz w:val="20"/>
                <w:szCs w:val="20"/>
              </w:rPr>
            </w:pPr>
            <w:r w:rsidRPr="0011747A">
              <w:rPr>
                <w:sz w:val="20"/>
                <w:szCs w:val="20"/>
              </w:rPr>
              <w:t>Consistent</w:t>
            </w:r>
          </w:p>
        </w:tc>
      </w:tr>
      <w:tr w:rsidR="00BD500D" w:rsidRPr="00E27993" w14:paraId="4D25A442" w14:textId="77777777" w:rsidTr="001D1448">
        <w:trPr>
          <w:trHeight w:hRule="exact" w:val="340"/>
        </w:trPr>
        <w:tc>
          <w:tcPr>
            <w:tcW w:w="1107" w:type="dxa"/>
            <w:tcBorders>
              <w:top w:val="nil"/>
              <w:bottom w:val="nil"/>
            </w:tcBorders>
            <w:vAlign w:val="center"/>
          </w:tcPr>
          <w:p w14:paraId="31C852C2" w14:textId="77777777" w:rsidR="00BD500D" w:rsidRPr="00D2532D" w:rsidRDefault="00BD500D" w:rsidP="00603A71">
            <w:pPr>
              <w:ind w:left="-8"/>
              <w:rPr>
                <w:rFonts w:cstheme="minorHAnsi"/>
                <w:sz w:val="20"/>
              </w:rPr>
            </w:pPr>
            <w:r w:rsidRPr="00D2532D">
              <w:rPr>
                <w:rFonts w:cstheme="minorHAnsi"/>
                <w:sz w:val="20"/>
              </w:rPr>
              <w:t>2011</w:t>
            </w:r>
          </w:p>
        </w:tc>
        <w:tc>
          <w:tcPr>
            <w:tcW w:w="1140" w:type="dxa"/>
            <w:tcBorders>
              <w:top w:val="nil"/>
              <w:bottom w:val="nil"/>
            </w:tcBorders>
            <w:vAlign w:val="center"/>
          </w:tcPr>
          <w:p w14:paraId="6D1BA9CD" w14:textId="77777777" w:rsidR="00BD500D" w:rsidRPr="00D2532D" w:rsidRDefault="00BD500D" w:rsidP="00603A71">
            <w:pPr>
              <w:ind w:left="86"/>
              <w:rPr>
                <w:rFonts w:cstheme="minorHAnsi"/>
                <w:sz w:val="20"/>
              </w:rPr>
            </w:pPr>
            <w:r w:rsidRPr="00D2532D">
              <w:rPr>
                <w:rFonts w:cstheme="minorHAnsi"/>
                <w:sz w:val="20"/>
              </w:rPr>
              <w:t>83.0</w:t>
            </w:r>
          </w:p>
        </w:tc>
        <w:tc>
          <w:tcPr>
            <w:tcW w:w="1230" w:type="dxa"/>
            <w:tcBorders>
              <w:top w:val="nil"/>
              <w:bottom w:val="nil"/>
            </w:tcBorders>
            <w:vAlign w:val="center"/>
          </w:tcPr>
          <w:p w14:paraId="594E08B2" w14:textId="77777777" w:rsidR="00BD500D" w:rsidRPr="00D2532D" w:rsidRDefault="00BD500D" w:rsidP="00603A71">
            <w:pPr>
              <w:ind w:left="135"/>
              <w:rPr>
                <w:rFonts w:cstheme="minorHAnsi"/>
                <w:sz w:val="20"/>
              </w:rPr>
            </w:pPr>
            <w:r>
              <w:rPr>
                <w:rFonts w:cstheme="minorHAnsi"/>
                <w:sz w:val="20"/>
              </w:rPr>
              <w:t>76.1</w:t>
            </w:r>
          </w:p>
        </w:tc>
        <w:tc>
          <w:tcPr>
            <w:tcW w:w="1266" w:type="dxa"/>
            <w:tcBorders>
              <w:top w:val="nil"/>
              <w:bottom w:val="nil"/>
            </w:tcBorders>
            <w:vAlign w:val="center"/>
          </w:tcPr>
          <w:p w14:paraId="21B06BCF" w14:textId="77777777" w:rsidR="00BD500D" w:rsidRPr="00D2532D" w:rsidRDefault="00BD500D" w:rsidP="00603A71">
            <w:pPr>
              <w:ind w:left="173"/>
              <w:rPr>
                <w:rFonts w:cstheme="minorHAnsi"/>
                <w:sz w:val="20"/>
              </w:rPr>
            </w:pPr>
            <w:r>
              <w:rPr>
                <w:rFonts w:cstheme="minorHAnsi"/>
                <w:sz w:val="20"/>
              </w:rPr>
              <w:t>60.5</w:t>
            </w:r>
          </w:p>
        </w:tc>
        <w:tc>
          <w:tcPr>
            <w:tcW w:w="1124" w:type="dxa"/>
            <w:tcBorders>
              <w:top w:val="nil"/>
              <w:bottom w:val="nil"/>
            </w:tcBorders>
            <w:vAlign w:val="center"/>
          </w:tcPr>
          <w:p w14:paraId="0824A132" w14:textId="77777777" w:rsidR="00BD500D" w:rsidRPr="00D2532D" w:rsidRDefault="00BD500D" w:rsidP="00603A71">
            <w:pPr>
              <w:ind w:left="63"/>
              <w:rPr>
                <w:rFonts w:cstheme="minorHAnsi"/>
                <w:sz w:val="20"/>
              </w:rPr>
            </w:pPr>
            <w:r>
              <w:rPr>
                <w:rFonts w:cstheme="minorHAnsi"/>
                <w:sz w:val="20"/>
              </w:rPr>
              <w:t>63.5</w:t>
            </w:r>
          </w:p>
        </w:tc>
        <w:tc>
          <w:tcPr>
            <w:tcW w:w="1140" w:type="dxa"/>
            <w:tcBorders>
              <w:top w:val="nil"/>
              <w:bottom w:val="nil"/>
            </w:tcBorders>
            <w:vAlign w:val="center"/>
          </w:tcPr>
          <w:p w14:paraId="0048A919" w14:textId="77777777" w:rsidR="00BD500D" w:rsidRPr="00D2532D" w:rsidRDefault="00BD500D" w:rsidP="00603A71">
            <w:pPr>
              <w:ind w:left="72"/>
              <w:rPr>
                <w:rFonts w:cstheme="minorHAnsi"/>
                <w:sz w:val="20"/>
              </w:rPr>
            </w:pPr>
            <w:r w:rsidRPr="00D2532D">
              <w:rPr>
                <w:rFonts w:cstheme="minorHAnsi"/>
                <w:sz w:val="20"/>
              </w:rPr>
              <w:t>85.6</w:t>
            </w:r>
          </w:p>
        </w:tc>
        <w:tc>
          <w:tcPr>
            <w:tcW w:w="1122" w:type="dxa"/>
            <w:tcBorders>
              <w:top w:val="nil"/>
              <w:bottom w:val="nil"/>
            </w:tcBorders>
            <w:vAlign w:val="center"/>
          </w:tcPr>
          <w:p w14:paraId="7E8BE4D1" w14:textId="77777777" w:rsidR="00BD500D" w:rsidRPr="00D2532D" w:rsidRDefault="00BD500D" w:rsidP="00603A71">
            <w:pPr>
              <w:ind w:left="67"/>
              <w:rPr>
                <w:rFonts w:cstheme="minorHAnsi"/>
                <w:sz w:val="20"/>
              </w:rPr>
            </w:pPr>
            <w:r>
              <w:rPr>
                <w:rFonts w:cstheme="minorHAnsi"/>
                <w:sz w:val="20"/>
              </w:rPr>
              <w:t>79.0</w:t>
            </w:r>
          </w:p>
        </w:tc>
        <w:tc>
          <w:tcPr>
            <w:tcW w:w="1051" w:type="dxa"/>
            <w:tcBorders>
              <w:top w:val="nil"/>
              <w:bottom w:val="nil"/>
            </w:tcBorders>
            <w:vAlign w:val="center"/>
          </w:tcPr>
          <w:p w14:paraId="57D623BB" w14:textId="77777777" w:rsidR="00BD500D" w:rsidRPr="00D2532D" w:rsidRDefault="00BD500D" w:rsidP="00603A71">
            <w:pPr>
              <w:ind w:left="77" w:right="-89"/>
              <w:rPr>
                <w:rFonts w:cstheme="minorHAnsi"/>
                <w:sz w:val="20"/>
              </w:rPr>
            </w:pPr>
            <w:r>
              <w:rPr>
                <w:rFonts w:cstheme="minorHAnsi"/>
                <w:sz w:val="20"/>
              </w:rPr>
              <w:t>81.5</w:t>
            </w:r>
          </w:p>
        </w:tc>
      </w:tr>
      <w:tr w:rsidR="00BD500D" w:rsidRPr="00E27993" w14:paraId="068C48EF" w14:textId="77777777" w:rsidTr="001D1448">
        <w:trPr>
          <w:trHeight w:hRule="exact" w:val="340"/>
        </w:trPr>
        <w:tc>
          <w:tcPr>
            <w:tcW w:w="1107" w:type="dxa"/>
            <w:tcBorders>
              <w:top w:val="nil"/>
              <w:bottom w:val="nil"/>
            </w:tcBorders>
            <w:shd w:val="clear" w:color="auto" w:fill="E5E5E5" w:themeFill="background1" w:themeFillTint="33"/>
            <w:vAlign w:val="center"/>
          </w:tcPr>
          <w:p w14:paraId="381B6453" w14:textId="77777777" w:rsidR="00BD500D" w:rsidRPr="00D2532D" w:rsidRDefault="00BD500D" w:rsidP="00603A71">
            <w:pPr>
              <w:ind w:left="-8"/>
              <w:rPr>
                <w:rFonts w:cstheme="minorHAnsi"/>
                <w:sz w:val="20"/>
              </w:rPr>
            </w:pPr>
            <w:r w:rsidRPr="00D2532D">
              <w:rPr>
                <w:rFonts w:cstheme="minorHAnsi"/>
                <w:sz w:val="20"/>
              </w:rPr>
              <w:t>2012</w:t>
            </w:r>
          </w:p>
        </w:tc>
        <w:tc>
          <w:tcPr>
            <w:tcW w:w="1140" w:type="dxa"/>
            <w:tcBorders>
              <w:top w:val="nil"/>
              <w:bottom w:val="nil"/>
            </w:tcBorders>
            <w:shd w:val="clear" w:color="auto" w:fill="E5E5E5" w:themeFill="background1" w:themeFillTint="33"/>
            <w:vAlign w:val="center"/>
          </w:tcPr>
          <w:p w14:paraId="0DE490A8" w14:textId="77777777" w:rsidR="00BD500D" w:rsidRPr="00D2532D" w:rsidRDefault="00BD500D" w:rsidP="00603A71">
            <w:pPr>
              <w:ind w:left="86"/>
              <w:rPr>
                <w:rFonts w:cstheme="minorHAnsi"/>
                <w:sz w:val="20"/>
              </w:rPr>
            </w:pPr>
            <w:r w:rsidRPr="00D2532D">
              <w:rPr>
                <w:rFonts w:cstheme="minorHAnsi"/>
                <w:sz w:val="20"/>
              </w:rPr>
              <w:t>79.7</w:t>
            </w:r>
          </w:p>
        </w:tc>
        <w:tc>
          <w:tcPr>
            <w:tcW w:w="1230" w:type="dxa"/>
            <w:tcBorders>
              <w:top w:val="nil"/>
              <w:bottom w:val="nil"/>
            </w:tcBorders>
            <w:shd w:val="clear" w:color="auto" w:fill="E5E5E5" w:themeFill="background1" w:themeFillTint="33"/>
            <w:vAlign w:val="center"/>
          </w:tcPr>
          <w:p w14:paraId="148E41F8" w14:textId="77777777" w:rsidR="00BD500D" w:rsidRPr="00D2532D" w:rsidRDefault="00BD500D" w:rsidP="00603A71">
            <w:pPr>
              <w:ind w:left="135"/>
              <w:rPr>
                <w:rFonts w:cstheme="minorHAnsi"/>
                <w:sz w:val="20"/>
              </w:rPr>
            </w:pPr>
            <w:r>
              <w:rPr>
                <w:rFonts w:cstheme="minorHAnsi"/>
                <w:sz w:val="20"/>
              </w:rPr>
              <w:t>77.6</w:t>
            </w:r>
          </w:p>
        </w:tc>
        <w:tc>
          <w:tcPr>
            <w:tcW w:w="1266" w:type="dxa"/>
            <w:tcBorders>
              <w:top w:val="nil"/>
              <w:bottom w:val="nil"/>
            </w:tcBorders>
            <w:shd w:val="clear" w:color="auto" w:fill="E5E5E5" w:themeFill="background1" w:themeFillTint="33"/>
            <w:vAlign w:val="center"/>
          </w:tcPr>
          <w:p w14:paraId="30857EC4" w14:textId="77777777" w:rsidR="00BD500D" w:rsidRPr="00D2532D" w:rsidRDefault="00BD500D" w:rsidP="00603A71">
            <w:pPr>
              <w:ind w:left="173"/>
              <w:rPr>
                <w:rFonts w:cstheme="minorHAnsi"/>
                <w:sz w:val="20"/>
              </w:rPr>
            </w:pPr>
            <w:r>
              <w:rPr>
                <w:rFonts w:cstheme="minorHAnsi"/>
                <w:sz w:val="20"/>
              </w:rPr>
              <w:t>57.5</w:t>
            </w:r>
          </w:p>
        </w:tc>
        <w:tc>
          <w:tcPr>
            <w:tcW w:w="1124" w:type="dxa"/>
            <w:tcBorders>
              <w:top w:val="nil"/>
              <w:bottom w:val="nil"/>
            </w:tcBorders>
            <w:shd w:val="clear" w:color="auto" w:fill="E5E5E5" w:themeFill="background1" w:themeFillTint="33"/>
            <w:vAlign w:val="center"/>
          </w:tcPr>
          <w:p w14:paraId="0C5CFD79" w14:textId="77777777" w:rsidR="00BD500D" w:rsidRPr="00D2532D" w:rsidRDefault="00BD500D" w:rsidP="00603A71">
            <w:pPr>
              <w:ind w:left="63"/>
              <w:rPr>
                <w:rFonts w:cstheme="minorHAnsi"/>
                <w:sz w:val="20"/>
              </w:rPr>
            </w:pPr>
            <w:r>
              <w:rPr>
                <w:rFonts w:cstheme="minorHAnsi"/>
                <w:sz w:val="20"/>
              </w:rPr>
              <w:t>60.4</w:t>
            </w:r>
          </w:p>
        </w:tc>
        <w:tc>
          <w:tcPr>
            <w:tcW w:w="1140" w:type="dxa"/>
            <w:tcBorders>
              <w:top w:val="nil"/>
              <w:bottom w:val="nil"/>
            </w:tcBorders>
            <w:shd w:val="clear" w:color="auto" w:fill="E5E5E5" w:themeFill="background1" w:themeFillTint="33"/>
            <w:vAlign w:val="center"/>
          </w:tcPr>
          <w:p w14:paraId="6674BD62" w14:textId="77777777" w:rsidR="00BD500D" w:rsidRPr="00D2532D" w:rsidRDefault="00BD500D" w:rsidP="00603A71">
            <w:pPr>
              <w:ind w:left="72"/>
              <w:rPr>
                <w:rFonts w:cstheme="minorHAnsi"/>
                <w:sz w:val="20"/>
              </w:rPr>
            </w:pPr>
            <w:r>
              <w:rPr>
                <w:rFonts w:cstheme="minorHAnsi"/>
                <w:sz w:val="20"/>
              </w:rPr>
              <w:t>85.4</w:t>
            </w:r>
          </w:p>
        </w:tc>
        <w:tc>
          <w:tcPr>
            <w:tcW w:w="1122" w:type="dxa"/>
            <w:tcBorders>
              <w:top w:val="nil"/>
              <w:bottom w:val="nil"/>
            </w:tcBorders>
            <w:shd w:val="clear" w:color="auto" w:fill="E5E5E5" w:themeFill="background1" w:themeFillTint="33"/>
            <w:vAlign w:val="center"/>
          </w:tcPr>
          <w:p w14:paraId="27923BCF" w14:textId="77777777" w:rsidR="00BD500D" w:rsidRPr="00D2532D" w:rsidRDefault="00BD500D" w:rsidP="00603A71">
            <w:pPr>
              <w:ind w:left="67"/>
              <w:rPr>
                <w:rFonts w:cstheme="minorHAnsi"/>
                <w:sz w:val="20"/>
              </w:rPr>
            </w:pPr>
            <w:r>
              <w:rPr>
                <w:rFonts w:cstheme="minorHAnsi"/>
                <w:sz w:val="20"/>
              </w:rPr>
              <w:t>74.7</w:t>
            </w:r>
          </w:p>
        </w:tc>
        <w:tc>
          <w:tcPr>
            <w:tcW w:w="1051" w:type="dxa"/>
            <w:tcBorders>
              <w:top w:val="nil"/>
              <w:bottom w:val="nil"/>
            </w:tcBorders>
            <w:shd w:val="clear" w:color="auto" w:fill="E5E5E5" w:themeFill="background1" w:themeFillTint="33"/>
            <w:vAlign w:val="center"/>
          </w:tcPr>
          <w:p w14:paraId="300D3A8F" w14:textId="77777777" w:rsidR="00BD500D" w:rsidRPr="00D2532D" w:rsidRDefault="00BD500D" w:rsidP="00603A71">
            <w:pPr>
              <w:ind w:left="77" w:right="-89"/>
              <w:rPr>
                <w:rFonts w:cstheme="minorHAnsi"/>
                <w:sz w:val="20"/>
              </w:rPr>
            </w:pPr>
            <w:r>
              <w:rPr>
                <w:rFonts w:cstheme="minorHAnsi"/>
                <w:sz w:val="20"/>
              </w:rPr>
              <w:t>78.1</w:t>
            </w:r>
          </w:p>
        </w:tc>
      </w:tr>
      <w:tr w:rsidR="00BD500D" w:rsidRPr="00E27993" w14:paraId="5EF5657D" w14:textId="77777777" w:rsidTr="001D1448">
        <w:trPr>
          <w:trHeight w:hRule="exact" w:val="340"/>
        </w:trPr>
        <w:tc>
          <w:tcPr>
            <w:tcW w:w="1107" w:type="dxa"/>
            <w:tcBorders>
              <w:top w:val="nil"/>
              <w:bottom w:val="nil"/>
            </w:tcBorders>
            <w:vAlign w:val="center"/>
          </w:tcPr>
          <w:p w14:paraId="4ED6A927" w14:textId="77777777" w:rsidR="00BD500D" w:rsidRPr="00D2532D" w:rsidRDefault="00BD500D" w:rsidP="00603A71">
            <w:pPr>
              <w:ind w:left="-8"/>
              <w:rPr>
                <w:rFonts w:cstheme="minorHAnsi"/>
                <w:sz w:val="20"/>
              </w:rPr>
            </w:pPr>
            <w:r w:rsidRPr="00D2532D">
              <w:rPr>
                <w:rFonts w:cstheme="minorHAnsi"/>
                <w:sz w:val="20"/>
              </w:rPr>
              <w:t>2013</w:t>
            </w:r>
          </w:p>
        </w:tc>
        <w:tc>
          <w:tcPr>
            <w:tcW w:w="1140" w:type="dxa"/>
            <w:tcBorders>
              <w:top w:val="nil"/>
              <w:bottom w:val="nil"/>
            </w:tcBorders>
            <w:vAlign w:val="center"/>
          </w:tcPr>
          <w:p w14:paraId="1C241D14" w14:textId="77777777" w:rsidR="00BD500D" w:rsidRPr="00D2532D" w:rsidRDefault="00BD500D" w:rsidP="00603A71">
            <w:pPr>
              <w:ind w:left="86"/>
              <w:rPr>
                <w:rFonts w:cstheme="minorHAnsi"/>
                <w:sz w:val="20"/>
              </w:rPr>
            </w:pPr>
            <w:r w:rsidRPr="00D2532D">
              <w:rPr>
                <w:rFonts w:cstheme="minorHAnsi"/>
                <w:sz w:val="20"/>
              </w:rPr>
              <w:t>78.3</w:t>
            </w:r>
          </w:p>
        </w:tc>
        <w:tc>
          <w:tcPr>
            <w:tcW w:w="1230" w:type="dxa"/>
            <w:tcBorders>
              <w:top w:val="nil"/>
              <w:bottom w:val="nil"/>
            </w:tcBorders>
            <w:vAlign w:val="center"/>
          </w:tcPr>
          <w:p w14:paraId="307C4EED" w14:textId="77777777" w:rsidR="00BD500D" w:rsidRPr="00D2532D" w:rsidRDefault="00BD500D" w:rsidP="00603A71">
            <w:pPr>
              <w:ind w:left="135"/>
              <w:rPr>
                <w:rFonts w:cstheme="minorHAnsi"/>
                <w:sz w:val="20"/>
              </w:rPr>
            </w:pPr>
            <w:r>
              <w:rPr>
                <w:rFonts w:cstheme="minorHAnsi"/>
                <w:sz w:val="20"/>
              </w:rPr>
              <w:t>79.9</w:t>
            </w:r>
          </w:p>
        </w:tc>
        <w:tc>
          <w:tcPr>
            <w:tcW w:w="1266" w:type="dxa"/>
            <w:tcBorders>
              <w:top w:val="nil"/>
              <w:bottom w:val="nil"/>
            </w:tcBorders>
            <w:vAlign w:val="center"/>
          </w:tcPr>
          <w:p w14:paraId="2BEC9897" w14:textId="77777777" w:rsidR="00BD500D" w:rsidRPr="00D2532D" w:rsidRDefault="00BD500D" w:rsidP="00603A71">
            <w:pPr>
              <w:ind w:left="173"/>
              <w:rPr>
                <w:rFonts w:cstheme="minorHAnsi"/>
                <w:sz w:val="20"/>
              </w:rPr>
            </w:pPr>
            <w:r>
              <w:rPr>
                <w:rFonts w:cstheme="minorHAnsi"/>
                <w:sz w:val="20"/>
              </w:rPr>
              <w:t>50.2</w:t>
            </w:r>
          </w:p>
        </w:tc>
        <w:tc>
          <w:tcPr>
            <w:tcW w:w="1124" w:type="dxa"/>
            <w:tcBorders>
              <w:top w:val="nil"/>
              <w:bottom w:val="nil"/>
            </w:tcBorders>
            <w:vAlign w:val="center"/>
          </w:tcPr>
          <w:p w14:paraId="2EA69F11" w14:textId="77777777" w:rsidR="00BD500D" w:rsidRPr="00D2532D" w:rsidRDefault="00BD500D" w:rsidP="00603A71">
            <w:pPr>
              <w:ind w:left="63"/>
              <w:rPr>
                <w:rFonts w:cstheme="minorHAnsi"/>
                <w:sz w:val="20"/>
              </w:rPr>
            </w:pPr>
            <w:r>
              <w:rPr>
                <w:rFonts w:cstheme="minorHAnsi"/>
                <w:sz w:val="20"/>
              </w:rPr>
              <w:t>58.8</w:t>
            </w:r>
          </w:p>
        </w:tc>
        <w:tc>
          <w:tcPr>
            <w:tcW w:w="1140" w:type="dxa"/>
            <w:tcBorders>
              <w:top w:val="nil"/>
              <w:bottom w:val="nil"/>
            </w:tcBorders>
            <w:vAlign w:val="center"/>
          </w:tcPr>
          <w:p w14:paraId="49310A38" w14:textId="77777777" w:rsidR="00BD500D" w:rsidRPr="00D2532D" w:rsidRDefault="00BD500D" w:rsidP="00603A71">
            <w:pPr>
              <w:ind w:left="72"/>
              <w:rPr>
                <w:rFonts w:cstheme="minorHAnsi"/>
                <w:sz w:val="20"/>
              </w:rPr>
            </w:pPr>
            <w:r>
              <w:rPr>
                <w:rFonts w:cstheme="minorHAnsi"/>
                <w:sz w:val="20"/>
              </w:rPr>
              <w:t>84.2</w:t>
            </w:r>
          </w:p>
        </w:tc>
        <w:tc>
          <w:tcPr>
            <w:tcW w:w="1122" w:type="dxa"/>
            <w:tcBorders>
              <w:top w:val="nil"/>
              <w:bottom w:val="nil"/>
            </w:tcBorders>
            <w:vAlign w:val="center"/>
          </w:tcPr>
          <w:p w14:paraId="7961E546" w14:textId="77777777" w:rsidR="00BD500D" w:rsidRPr="00D2532D" w:rsidRDefault="00BD500D" w:rsidP="00603A71">
            <w:pPr>
              <w:ind w:left="67"/>
              <w:rPr>
                <w:rFonts w:cstheme="minorHAnsi"/>
                <w:sz w:val="20"/>
              </w:rPr>
            </w:pPr>
            <w:r>
              <w:rPr>
                <w:rFonts w:cstheme="minorHAnsi"/>
                <w:sz w:val="20"/>
              </w:rPr>
              <w:t>73.1</w:t>
            </w:r>
          </w:p>
        </w:tc>
        <w:tc>
          <w:tcPr>
            <w:tcW w:w="1051" w:type="dxa"/>
            <w:tcBorders>
              <w:top w:val="nil"/>
              <w:bottom w:val="nil"/>
            </w:tcBorders>
            <w:vAlign w:val="center"/>
          </w:tcPr>
          <w:p w14:paraId="3BA5B3F4" w14:textId="77777777" w:rsidR="00BD500D" w:rsidRPr="00D2532D" w:rsidRDefault="00BD500D" w:rsidP="00603A71">
            <w:pPr>
              <w:ind w:left="77" w:right="-89"/>
              <w:rPr>
                <w:rFonts w:cstheme="minorHAnsi"/>
                <w:sz w:val="20"/>
              </w:rPr>
            </w:pPr>
            <w:r w:rsidRPr="00D2532D">
              <w:rPr>
                <w:rFonts w:cstheme="minorHAnsi"/>
                <w:sz w:val="20"/>
              </w:rPr>
              <w:t>75.4</w:t>
            </w:r>
          </w:p>
        </w:tc>
      </w:tr>
      <w:tr w:rsidR="00BD500D" w:rsidRPr="00E27993" w14:paraId="3D80F9AB" w14:textId="77777777" w:rsidTr="001D1448">
        <w:trPr>
          <w:trHeight w:hRule="exact" w:val="340"/>
        </w:trPr>
        <w:tc>
          <w:tcPr>
            <w:tcW w:w="1107" w:type="dxa"/>
            <w:tcBorders>
              <w:top w:val="nil"/>
              <w:bottom w:val="single" w:sz="4" w:space="0" w:color="auto"/>
            </w:tcBorders>
            <w:shd w:val="clear" w:color="auto" w:fill="E5E5E5" w:themeFill="background1" w:themeFillTint="33"/>
            <w:vAlign w:val="center"/>
          </w:tcPr>
          <w:p w14:paraId="0743620D" w14:textId="77777777" w:rsidR="00BD500D" w:rsidRPr="00D2532D" w:rsidRDefault="00BD500D" w:rsidP="00603A71">
            <w:pPr>
              <w:ind w:left="-8"/>
              <w:rPr>
                <w:rFonts w:cstheme="minorHAnsi"/>
                <w:sz w:val="20"/>
              </w:rPr>
            </w:pPr>
            <w:r w:rsidRPr="00D2532D">
              <w:rPr>
                <w:rFonts w:cstheme="minorHAnsi"/>
                <w:sz w:val="20"/>
              </w:rPr>
              <w:t>2014</w:t>
            </w:r>
          </w:p>
        </w:tc>
        <w:tc>
          <w:tcPr>
            <w:tcW w:w="1140" w:type="dxa"/>
            <w:tcBorders>
              <w:top w:val="nil"/>
              <w:bottom w:val="single" w:sz="4" w:space="0" w:color="auto"/>
            </w:tcBorders>
            <w:shd w:val="clear" w:color="auto" w:fill="E5E5E5" w:themeFill="background1" w:themeFillTint="33"/>
            <w:vAlign w:val="center"/>
          </w:tcPr>
          <w:p w14:paraId="3F1546F1" w14:textId="77777777" w:rsidR="00BD500D" w:rsidRPr="00D2532D" w:rsidRDefault="00BD500D" w:rsidP="00603A71">
            <w:pPr>
              <w:ind w:left="86"/>
              <w:rPr>
                <w:rFonts w:cstheme="minorHAnsi"/>
                <w:sz w:val="20"/>
              </w:rPr>
            </w:pPr>
            <w:r w:rsidRPr="00D2532D">
              <w:rPr>
                <w:rFonts w:cstheme="minorHAnsi"/>
                <w:sz w:val="20"/>
              </w:rPr>
              <w:t>81.</w:t>
            </w:r>
            <w:r>
              <w:rPr>
                <w:rFonts w:cstheme="minorHAnsi"/>
                <w:sz w:val="20"/>
              </w:rPr>
              <w:t>1</w:t>
            </w:r>
          </w:p>
        </w:tc>
        <w:tc>
          <w:tcPr>
            <w:tcW w:w="1230" w:type="dxa"/>
            <w:tcBorders>
              <w:top w:val="nil"/>
              <w:bottom w:val="single" w:sz="4" w:space="0" w:color="auto"/>
            </w:tcBorders>
            <w:shd w:val="clear" w:color="auto" w:fill="E5E5E5" w:themeFill="background1" w:themeFillTint="33"/>
            <w:vAlign w:val="center"/>
          </w:tcPr>
          <w:p w14:paraId="2E4F6A90" w14:textId="77777777" w:rsidR="00BD500D" w:rsidRPr="00D2532D" w:rsidRDefault="00BD500D" w:rsidP="00603A71">
            <w:pPr>
              <w:ind w:left="135"/>
              <w:rPr>
                <w:rFonts w:cstheme="minorHAnsi"/>
                <w:sz w:val="20"/>
              </w:rPr>
            </w:pPr>
            <w:r>
              <w:rPr>
                <w:rFonts w:cstheme="minorHAnsi"/>
                <w:sz w:val="20"/>
              </w:rPr>
              <w:t>77.9</w:t>
            </w:r>
          </w:p>
        </w:tc>
        <w:tc>
          <w:tcPr>
            <w:tcW w:w="1266" w:type="dxa"/>
            <w:tcBorders>
              <w:top w:val="nil"/>
              <w:bottom w:val="single" w:sz="4" w:space="0" w:color="auto"/>
            </w:tcBorders>
            <w:shd w:val="clear" w:color="auto" w:fill="E5E5E5" w:themeFill="background1" w:themeFillTint="33"/>
            <w:vAlign w:val="center"/>
          </w:tcPr>
          <w:p w14:paraId="37B7D614" w14:textId="77777777" w:rsidR="00BD500D" w:rsidRPr="00D2532D" w:rsidRDefault="00BD500D" w:rsidP="00603A71">
            <w:pPr>
              <w:ind w:left="173"/>
              <w:rPr>
                <w:rFonts w:cstheme="minorHAnsi"/>
                <w:sz w:val="20"/>
              </w:rPr>
            </w:pPr>
            <w:r w:rsidRPr="00D2532D">
              <w:rPr>
                <w:rFonts w:cstheme="minorHAnsi"/>
                <w:sz w:val="20"/>
              </w:rPr>
              <w:t>51.1</w:t>
            </w:r>
          </w:p>
        </w:tc>
        <w:tc>
          <w:tcPr>
            <w:tcW w:w="1124" w:type="dxa"/>
            <w:tcBorders>
              <w:top w:val="nil"/>
              <w:bottom w:val="single" w:sz="4" w:space="0" w:color="auto"/>
            </w:tcBorders>
            <w:shd w:val="clear" w:color="auto" w:fill="E5E5E5" w:themeFill="background1" w:themeFillTint="33"/>
            <w:vAlign w:val="center"/>
          </w:tcPr>
          <w:p w14:paraId="229C86D9" w14:textId="77777777" w:rsidR="00BD500D" w:rsidRPr="00D2532D" w:rsidRDefault="00BD500D" w:rsidP="00603A71">
            <w:pPr>
              <w:ind w:left="63"/>
              <w:rPr>
                <w:rFonts w:cstheme="minorHAnsi"/>
                <w:sz w:val="20"/>
              </w:rPr>
            </w:pPr>
            <w:r>
              <w:rPr>
                <w:rFonts w:cstheme="minorHAnsi"/>
                <w:sz w:val="20"/>
              </w:rPr>
              <w:t>54.2</w:t>
            </w:r>
          </w:p>
        </w:tc>
        <w:tc>
          <w:tcPr>
            <w:tcW w:w="1140" w:type="dxa"/>
            <w:tcBorders>
              <w:top w:val="nil"/>
              <w:bottom w:val="single" w:sz="4" w:space="0" w:color="auto"/>
            </w:tcBorders>
            <w:shd w:val="clear" w:color="auto" w:fill="E5E5E5" w:themeFill="background1" w:themeFillTint="33"/>
            <w:vAlign w:val="center"/>
          </w:tcPr>
          <w:p w14:paraId="69EDF48B" w14:textId="77777777" w:rsidR="00BD500D" w:rsidRPr="00D2532D" w:rsidRDefault="00BD500D" w:rsidP="00603A71">
            <w:pPr>
              <w:ind w:left="72"/>
              <w:rPr>
                <w:rFonts w:cstheme="minorHAnsi"/>
                <w:sz w:val="20"/>
              </w:rPr>
            </w:pPr>
            <w:r>
              <w:rPr>
                <w:rFonts w:cstheme="minorHAnsi"/>
                <w:sz w:val="20"/>
              </w:rPr>
              <w:t>81.9</w:t>
            </w:r>
          </w:p>
        </w:tc>
        <w:tc>
          <w:tcPr>
            <w:tcW w:w="1122" w:type="dxa"/>
            <w:tcBorders>
              <w:top w:val="nil"/>
              <w:bottom w:val="single" w:sz="4" w:space="0" w:color="auto"/>
            </w:tcBorders>
            <w:shd w:val="clear" w:color="auto" w:fill="E5E5E5" w:themeFill="background1" w:themeFillTint="33"/>
            <w:vAlign w:val="center"/>
          </w:tcPr>
          <w:p w14:paraId="68CB5DCC" w14:textId="77777777" w:rsidR="00BD500D" w:rsidRPr="00D2532D" w:rsidRDefault="00BD500D" w:rsidP="00603A71">
            <w:pPr>
              <w:ind w:left="67"/>
              <w:rPr>
                <w:rFonts w:cstheme="minorHAnsi"/>
                <w:sz w:val="20"/>
              </w:rPr>
            </w:pPr>
            <w:r>
              <w:rPr>
                <w:rFonts w:cstheme="minorHAnsi"/>
                <w:sz w:val="20"/>
              </w:rPr>
              <w:t>73.7</w:t>
            </w:r>
          </w:p>
        </w:tc>
        <w:tc>
          <w:tcPr>
            <w:tcW w:w="1051" w:type="dxa"/>
            <w:tcBorders>
              <w:top w:val="nil"/>
              <w:bottom w:val="single" w:sz="4" w:space="0" w:color="auto"/>
            </w:tcBorders>
            <w:shd w:val="clear" w:color="auto" w:fill="E5E5E5" w:themeFill="background1" w:themeFillTint="33"/>
            <w:vAlign w:val="center"/>
          </w:tcPr>
          <w:p w14:paraId="5CDA4B20" w14:textId="77777777" w:rsidR="00BD500D" w:rsidRPr="00D2532D" w:rsidRDefault="00BD500D" w:rsidP="00603A71">
            <w:pPr>
              <w:ind w:left="77" w:right="-89"/>
              <w:rPr>
                <w:rFonts w:cstheme="minorHAnsi"/>
                <w:sz w:val="20"/>
              </w:rPr>
            </w:pPr>
            <w:r>
              <w:rPr>
                <w:rFonts w:cstheme="minorHAnsi"/>
                <w:sz w:val="20"/>
              </w:rPr>
              <w:t>73.9</w:t>
            </w:r>
          </w:p>
        </w:tc>
      </w:tr>
    </w:tbl>
    <w:p w14:paraId="17F6F64E" w14:textId="77777777" w:rsidR="007C112F" w:rsidRPr="003C6A72" w:rsidRDefault="007C112F" w:rsidP="007C112F">
      <w:pPr>
        <w:pStyle w:val="Source"/>
        <w:rPr>
          <w:rFonts w:eastAsia="Times New Roman"/>
          <w:lang w:eastAsia="en-AU"/>
        </w:rPr>
      </w:pPr>
      <w:r>
        <w:rPr>
          <w:b/>
        </w:rPr>
        <w:t>Source:</w:t>
      </w:r>
      <w:r>
        <w:rPr>
          <w:rFonts w:eastAsia="Times New Roman"/>
          <w:lang w:eastAsia="en-AU"/>
        </w:rPr>
        <w:t xml:space="preserve"> </w:t>
      </w:r>
      <w:r>
        <w:rPr>
          <w:rFonts w:eastAsia="Times New Roman"/>
          <w:lang w:eastAsia="en-AU"/>
        </w:rPr>
        <w:tab/>
        <w:t>Department of Employment Sevice Provider survey, 2010 to 2014.</w:t>
      </w:r>
    </w:p>
    <w:p w14:paraId="7853D85D" w14:textId="77777777" w:rsidR="00BD500D" w:rsidRDefault="00BD500D" w:rsidP="00BD500D">
      <w:pPr>
        <w:pStyle w:val="normalbody"/>
      </w:pPr>
      <w:r w:rsidRPr="009E2811">
        <w:t xml:space="preserve">The Department’s </w:t>
      </w:r>
      <w:r>
        <w:t xml:space="preserve">red tape </w:t>
      </w:r>
      <w:r w:rsidRPr="009E2811">
        <w:t xml:space="preserve">cost estimates and survey results therefore suggest that the level of </w:t>
      </w:r>
      <w:r>
        <w:t>red tape</w:t>
      </w:r>
      <w:r w:rsidRPr="009E2811">
        <w:t xml:space="preserve"> in employment services is still significant, despite</w:t>
      </w:r>
      <w:r w:rsidR="00CA37D4" w:rsidRPr="00CA37D4">
        <w:t xml:space="preserve"> </w:t>
      </w:r>
      <w:r w:rsidR="00CA37D4">
        <w:t>estimated</w:t>
      </w:r>
      <w:r w:rsidRPr="009E2811">
        <w:t xml:space="preserve"> reductions in </w:t>
      </w:r>
      <w:r>
        <w:t>red tape</w:t>
      </w:r>
      <w:r w:rsidR="00CA37D4" w:rsidRPr="00CA37D4">
        <w:t xml:space="preserve"> </w:t>
      </w:r>
      <w:r w:rsidR="00CA37D4">
        <w:t>across the two contracts</w:t>
      </w:r>
      <w:r w:rsidRPr="009E2811">
        <w:t>.</w:t>
      </w:r>
    </w:p>
    <w:p w14:paraId="43A0534F" w14:textId="77777777" w:rsidR="003B3C72" w:rsidRDefault="003B3C72" w:rsidP="003B3C72">
      <w:pPr>
        <w:pStyle w:val="Heading3"/>
      </w:pPr>
      <w:bookmarkStart w:id="446" w:name="_Toc22543115"/>
      <w:r>
        <w:t>7.2.3</w:t>
      </w:r>
      <w:r>
        <w:tab/>
        <w:t>Conclusion</w:t>
      </w:r>
      <w:bookmarkEnd w:id="446"/>
    </w:p>
    <w:p w14:paraId="78A8CA59" w14:textId="77777777" w:rsidR="00B43A68" w:rsidRPr="00BB6089" w:rsidRDefault="00B43A68" w:rsidP="00B43A68">
      <w:r>
        <w:t>Regulations in employment</w:t>
      </w:r>
      <w:r>
        <w:rPr>
          <w:rStyle w:val="CommentReference"/>
        </w:rPr>
        <w:t> </w:t>
      </w:r>
      <w:r>
        <w:t xml:space="preserve">services are designed to ensure appropriate risk management and accountability for the funding </w:t>
      </w:r>
      <w:r w:rsidR="00971BA2">
        <w:t>expenditure</w:t>
      </w:r>
      <w:r>
        <w:t xml:space="preserve">. These regulations impose red tape on key stakeholders such as providers, employers and </w:t>
      </w:r>
      <w:r w:rsidRPr="00BB6089">
        <w:t>job seekers in demonstrating compliance with their requirements.</w:t>
      </w:r>
    </w:p>
    <w:p w14:paraId="7E67B190" w14:textId="62D8E5B5" w:rsidR="00B43A68" w:rsidRDefault="00B43A68" w:rsidP="00EF7478">
      <w:r w:rsidRPr="00BB6089">
        <w:t>Despite reductions in red tape over the JSA contract period</w:t>
      </w:r>
      <w:r w:rsidRPr="00BB6089">
        <w:rPr>
          <w:rStyle w:val="FootnoteReference"/>
        </w:rPr>
        <w:footnoteReference w:id="67"/>
      </w:r>
      <w:r w:rsidRPr="00BB6089">
        <w:t>, the level of red tape in employment services remain</w:t>
      </w:r>
      <w:r w:rsidR="00735186">
        <w:t>ed</w:t>
      </w:r>
      <w:r w:rsidRPr="00BB6089">
        <w:t xml:space="preserve"> significant. Und</w:t>
      </w:r>
      <w:r>
        <w:t>er JSA 2012, annual red tape</w:t>
      </w:r>
      <w:r w:rsidRPr="00BB6089">
        <w:t xml:space="preserve"> cost estimates equate</w:t>
      </w:r>
      <w:r w:rsidR="00735186">
        <w:t>d</w:t>
      </w:r>
      <w:r w:rsidRPr="00BB6089">
        <w:t xml:space="preserve"> to approximately </w:t>
      </w:r>
      <w:r w:rsidR="009C400A">
        <w:t>20.</w:t>
      </w:r>
      <w:r w:rsidR="00AD7E3F">
        <w:t>9</w:t>
      </w:r>
      <w:r w:rsidRPr="00BB6089">
        <w:t xml:space="preserve"> per cent of programme funding. Survey results indicate that the majority of staff </w:t>
      </w:r>
      <w:r w:rsidR="009C400A" w:rsidRPr="00BB6089">
        <w:t>spen</w:t>
      </w:r>
      <w:r w:rsidR="009C400A">
        <w:t>t</w:t>
      </w:r>
      <w:r w:rsidR="009C400A" w:rsidRPr="00BB6089">
        <w:t xml:space="preserve"> </w:t>
      </w:r>
      <w:r w:rsidRPr="00BB6089">
        <w:t>the same or more time on administrative tasks as they d</w:t>
      </w:r>
      <w:r w:rsidR="00735186">
        <w:t>id</w:t>
      </w:r>
      <w:r w:rsidRPr="00BB6089">
        <w:t xml:space="preserve"> on time servicing clients. Red tape costs were grouped into particular administrative processes or key pressure points across activities in employment services.</w:t>
      </w:r>
    </w:p>
    <w:p w14:paraId="6B13DD9E" w14:textId="17B15767" w:rsidR="00B43A68" w:rsidRDefault="00B43A68" w:rsidP="00B43A68">
      <w:r>
        <w:t xml:space="preserve">The majority of red tape costs </w:t>
      </w:r>
      <w:r w:rsidR="00735186">
        <w:t>we</w:t>
      </w:r>
      <w:r>
        <w:t xml:space="preserve">re linked to ensuring that job seekers </w:t>
      </w:r>
      <w:r w:rsidR="00735186">
        <w:t>we</w:t>
      </w:r>
      <w:r>
        <w:t xml:space="preserve">re meeting their mutual obligation requirements. As mutual obligation is a cornerstone of the employment and income support framework, removing these requirements is counter-intuitive. Consequently, if the number of requirements placed on job seekers is considered appropriate, alternative options for easing </w:t>
      </w:r>
      <w:r>
        <w:rPr>
          <w:rFonts w:cstheme="minorHAnsi"/>
        </w:rPr>
        <w:t xml:space="preserve">compliance costs </w:t>
      </w:r>
      <w:r>
        <w:t xml:space="preserve">require exploration. However, it </w:t>
      </w:r>
      <w:r w:rsidR="00FA7E47">
        <w:t xml:space="preserve">may </w:t>
      </w:r>
      <w:r>
        <w:t>be difficult to identify and achieve significant savings, though options could include:</w:t>
      </w:r>
    </w:p>
    <w:p w14:paraId="7429DD6C" w14:textId="77777777" w:rsidR="00B43A68" w:rsidRPr="007B55E7" w:rsidRDefault="00B43A68" w:rsidP="00247BDA">
      <w:pPr>
        <w:pStyle w:val="ListParagraph"/>
      </w:pPr>
      <w:r w:rsidRPr="00503D82">
        <w:t xml:space="preserve">simplifying </w:t>
      </w:r>
      <w:r>
        <w:t xml:space="preserve">and/or automating </w:t>
      </w:r>
      <w:r w:rsidRPr="00503D82">
        <w:t>of processes used to collect information, assum</w:t>
      </w:r>
      <w:r>
        <w:t>ing</w:t>
      </w:r>
      <w:r w:rsidRPr="00503D82">
        <w:t xml:space="preserve"> there is </w:t>
      </w:r>
      <w:r w:rsidRPr="007B55E7">
        <w:t>significant scope for improvement</w:t>
      </w:r>
    </w:p>
    <w:p w14:paraId="05206F26" w14:textId="77777777" w:rsidR="00B43A68" w:rsidRPr="007B55E7" w:rsidRDefault="00B43A68" w:rsidP="00247BDA">
      <w:pPr>
        <w:pStyle w:val="ListParagraph"/>
      </w:pPr>
      <w:r w:rsidRPr="007B55E7">
        <w:t>further explore technological solutions, beyond those that have already been implemented</w:t>
      </w:r>
    </w:p>
    <w:p w14:paraId="4854C278" w14:textId="250079CE" w:rsidR="00B43A68" w:rsidRPr="007B55E7" w:rsidRDefault="00B43A68" w:rsidP="00247BDA">
      <w:pPr>
        <w:pStyle w:val="ListParagraph"/>
      </w:pPr>
      <w:r w:rsidRPr="007B55E7">
        <w:t xml:space="preserve">exploration of behavioural economics </w:t>
      </w:r>
      <w:r w:rsidR="000B7C36">
        <w:t>strategies as a non-regulatory approach</w:t>
      </w:r>
    </w:p>
    <w:p w14:paraId="76B5623D" w14:textId="77777777" w:rsidR="00B43A68" w:rsidRDefault="00B43A68" w:rsidP="00247BDA">
      <w:pPr>
        <w:pStyle w:val="ListParagraph"/>
      </w:pPr>
      <w:r w:rsidRPr="007B55E7">
        <w:t xml:space="preserve">employing risk management to reduce </w:t>
      </w:r>
      <w:r w:rsidR="005E79D9" w:rsidRPr="007B55E7">
        <w:t>r</w:t>
      </w:r>
      <w:r w:rsidRPr="007B55E7">
        <w:t xml:space="preserve">ed </w:t>
      </w:r>
      <w:r w:rsidR="005E79D9" w:rsidRPr="007B55E7">
        <w:t>t</w:t>
      </w:r>
      <w:r w:rsidRPr="007B55E7">
        <w:t>ape, for example, by placing more of a focus on random auditing to ensure integrity with the consequence of deliberate compliance failure made clear</w:t>
      </w:r>
      <w:r>
        <w:t xml:space="preserve"> through financial penalties or loss of contract.</w:t>
      </w:r>
    </w:p>
    <w:p w14:paraId="2786A689" w14:textId="77777777" w:rsidR="007433E6" w:rsidRDefault="007433E6" w:rsidP="00B43A68">
      <w:pPr>
        <w:pStyle w:val="Heading2"/>
        <w:keepNext/>
      </w:pPr>
      <w:bookmarkStart w:id="447" w:name="_Toc450919345"/>
      <w:bookmarkStart w:id="448" w:name="_Toc22543116"/>
      <w:r w:rsidRPr="00403511">
        <w:t>7.3</w:t>
      </w:r>
      <w:r w:rsidRPr="00403511">
        <w:tab/>
        <w:t>The Quality Assurance Framework pilot</w:t>
      </w:r>
      <w:bookmarkEnd w:id="447"/>
      <w:bookmarkEnd w:id="448"/>
    </w:p>
    <w:p w14:paraId="73AFB0A8" w14:textId="77777777" w:rsidR="00403511" w:rsidRDefault="00403511" w:rsidP="00403511">
      <w:pPr>
        <w:rPr>
          <w:rFonts w:ascii="Calibri" w:hAnsi="Calibri" w:cs="Calibri"/>
          <w:noProof/>
        </w:rPr>
      </w:pPr>
      <w:r>
        <w:rPr>
          <w:rFonts w:ascii="Calibri" w:hAnsi="Calibri" w:cs="Calibri"/>
          <w:noProof/>
        </w:rPr>
        <w:t>An internal evaluation of the Quality Assurance Framework (QAF) pilot was c</w:t>
      </w:r>
      <w:r w:rsidR="00AD50ED">
        <w:rPr>
          <w:rFonts w:ascii="Calibri" w:hAnsi="Calibri" w:cs="Calibri"/>
          <w:noProof/>
        </w:rPr>
        <w:t>onducted</w:t>
      </w:r>
      <w:r>
        <w:rPr>
          <w:rFonts w:ascii="Calibri" w:hAnsi="Calibri" w:cs="Calibri"/>
          <w:noProof/>
        </w:rPr>
        <w:t xml:space="preserve"> in 2014 and the report is available on the Department</w:t>
      </w:r>
      <w:r w:rsidR="005E79D9">
        <w:rPr>
          <w:rFonts w:ascii="Calibri" w:hAnsi="Calibri" w:cs="Calibri"/>
          <w:noProof/>
        </w:rPr>
        <w:t xml:space="preserve">’s </w:t>
      </w:r>
      <w:r>
        <w:rPr>
          <w:rFonts w:ascii="Calibri" w:hAnsi="Calibri" w:cs="Calibri"/>
          <w:noProof/>
        </w:rPr>
        <w:t>website.</w:t>
      </w:r>
      <w:r>
        <w:rPr>
          <w:rStyle w:val="FootnoteReference"/>
          <w:rFonts w:ascii="Calibri" w:hAnsi="Calibri" w:cs="Calibri"/>
          <w:noProof/>
        </w:rPr>
        <w:footnoteReference w:id="68"/>
      </w:r>
      <w:r>
        <w:rPr>
          <w:rFonts w:ascii="Calibri" w:hAnsi="Calibri" w:cs="Calibri"/>
          <w:noProof/>
        </w:rPr>
        <w:t xml:space="preserve"> The information in this section is drawn from the </w:t>
      </w:r>
      <w:r w:rsidR="00AD50ED">
        <w:rPr>
          <w:rFonts w:ascii="Calibri" w:hAnsi="Calibri" w:cs="Calibri"/>
          <w:noProof/>
        </w:rPr>
        <w:t xml:space="preserve">QAF pilot </w:t>
      </w:r>
      <w:r>
        <w:rPr>
          <w:rFonts w:ascii="Calibri" w:hAnsi="Calibri" w:cs="Calibri"/>
          <w:noProof/>
        </w:rPr>
        <w:t>evaluation</w:t>
      </w:r>
      <w:r w:rsidR="00AD50ED">
        <w:rPr>
          <w:rFonts w:ascii="Calibri" w:hAnsi="Calibri" w:cs="Calibri"/>
          <w:noProof/>
        </w:rPr>
        <w:t xml:space="preserve"> report</w:t>
      </w:r>
      <w:r>
        <w:rPr>
          <w:rFonts w:ascii="Calibri" w:hAnsi="Calibri" w:cs="Calibri"/>
          <w:noProof/>
        </w:rPr>
        <w:t>.</w:t>
      </w:r>
    </w:p>
    <w:p w14:paraId="36190389" w14:textId="77777777" w:rsidR="00403511" w:rsidRDefault="00403511" w:rsidP="00403511">
      <w:pPr>
        <w:pStyle w:val="Heading3"/>
        <w:rPr>
          <w:rFonts w:cs="Calibri"/>
          <w:noProof/>
        </w:rPr>
      </w:pPr>
      <w:bookmarkStart w:id="449" w:name="_Toc22543117"/>
      <w:r>
        <w:rPr>
          <w:rFonts w:cs="Calibri"/>
          <w:noProof/>
        </w:rPr>
        <w:t>7.3.1</w:t>
      </w:r>
      <w:r>
        <w:rPr>
          <w:rFonts w:cs="Calibri"/>
          <w:noProof/>
        </w:rPr>
        <w:tab/>
      </w:r>
      <w:r w:rsidR="003B3C72">
        <w:rPr>
          <w:rFonts w:cs="Calibri"/>
          <w:noProof/>
        </w:rPr>
        <w:t>Introduction</w:t>
      </w:r>
      <w:bookmarkEnd w:id="449"/>
    </w:p>
    <w:p w14:paraId="78A964D3" w14:textId="77777777" w:rsidR="00403511" w:rsidRDefault="00403511" w:rsidP="00403511">
      <w:pPr>
        <w:rPr>
          <w:noProof/>
        </w:rPr>
      </w:pPr>
      <w:r>
        <w:rPr>
          <w:noProof/>
        </w:rPr>
        <w:t>U</w:t>
      </w:r>
      <w:r w:rsidRPr="009C285E">
        <w:rPr>
          <w:noProof/>
        </w:rPr>
        <w:t xml:space="preserve">nder JSA </w:t>
      </w:r>
      <w:r>
        <w:rPr>
          <w:noProof/>
        </w:rPr>
        <w:t>t</w:t>
      </w:r>
      <w:r w:rsidRPr="009C285E">
        <w:rPr>
          <w:noProof/>
        </w:rPr>
        <w:t xml:space="preserve">he performance of </w:t>
      </w:r>
      <w:r>
        <w:rPr>
          <w:noProof/>
        </w:rPr>
        <w:t>providers wa</w:t>
      </w:r>
      <w:r w:rsidRPr="009C285E">
        <w:rPr>
          <w:noProof/>
        </w:rPr>
        <w:t xml:space="preserve">s </w:t>
      </w:r>
      <w:r>
        <w:rPr>
          <w:noProof/>
        </w:rPr>
        <w:t>assessed</w:t>
      </w:r>
      <w:r w:rsidRPr="009C285E">
        <w:rPr>
          <w:noProof/>
        </w:rPr>
        <w:t xml:space="preserve"> against three </w:t>
      </w:r>
      <w:r w:rsidR="0065266F">
        <w:rPr>
          <w:noProof/>
        </w:rPr>
        <w:t>K</w:t>
      </w:r>
      <w:r w:rsidRPr="009C285E">
        <w:rPr>
          <w:noProof/>
        </w:rPr>
        <w:t xml:space="preserve">ey </w:t>
      </w:r>
      <w:r w:rsidR="0065266F">
        <w:rPr>
          <w:noProof/>
        </w:rPr>
        <w:t>P</w:t>
      </w:r>
      <w:r w:rsidRPr="009C285E">
        <w:rPr>
          <w:noProof/>
        </w:rPr>
        <w:t xml:space="preserve">erformance </w:t>
      </w:r>
      <w:r w:rsidR="0065266F">
        <w:rPr>
          <w:noProof/>
        </w:rPr>
        <w:t>I</w:t>
      </w:r>
      <w:r w:rsidRPr="009C285E">
        <w:rPr>
          <w:noProof/>
        </w:rPr>
        <w:t>ndicators (KPI), the Code of Practice and the Service Guarantees for the Services.</w:t>
      </w:r>
      <w:r>
        <w:rPr>
          <w:noProof/>
        </w:rPr>
        <w:t xml:space="preserve"> </w:t>
      </w:r>
      <w:r w:rsidRPr="009C285E">
        <w:rPr>
          <w:noProof/>
        </w:rPr>
        <w:t>Feedback from industry and contract management activity suggested</w:t>
      </w:r>
      <w:r>
        <w:rPr>
          <w:noProof/>
        </w:rPr>
        <w:t xml:space="preserve"> that</w:t>
      </w:r>
      <w:r w:rsidRPr="009C285E">
        <w:rPr>
          <w:noProof/>
        </w:rPr>
        <w:t xml:space="preserve"> the </w:t>
      </w:r>
      <w:r>
        <w:rPr>
          <w:noProof/>
        </w:rPr>
        <w:t xml:space="preserve">KPI 3 </w:t>
      </w:r>
      <w:r w:rsidRPr="009C285E">
        <w:rPr>
          <w:noProof/>
        </w:rPr>
        <w:t xml:space="preserve">Quality Framework </w:t>
      </w:r>
      <w:r>
        <w:rPr>
          <w:noProof/>
        </w:rPr>
        <w:t xml:space="preserve">did not </w:t>
      </w:r>
      <w:r w:rsidRPr="009C285E">
        <w:rPr>
          <w:noProof/>
        </w:rPr>
        <w:t>provide</w:t>
      </w:r>
      <w:r>
        <w:rPr>
          <w:noProof/>
        </w:rPr>
        <w:t xml:space="preserve"> enough</w:t>
      </w:r>
      <w:r w:rsidRPr="009C285E">
        <w:rPr>
          <w:noProof/>
        </w:rPr>
        <w:t xml:space="preserve"> practical information to support continuous improvement </w:t>
      </w:r>
      <w:r>
        <w:rPr>
          <w:noProof/>
        </w:rPr>
        <w:t>in</w:t>
      </w:r>
      <w:r w:rsidRPr="009C285E">
        <w:rPr>
          <w:noProof/>
        </w:rPr>
        <w:t xml:space="preserve"> service quality</w:t>
      </w:r>
      <w:r>
        <w:rPr>
          <w:noProof/>
        </w:rPr>
        <w:t>.</w:t>
      </w:r>
    </w:p>
    <w:p w14:paraId="158DEC7D" w14:textId="77777777" w:rsidR="00403511" w:rsidRDefault="00403511" w:rsidP="00403511">
      <w:pPr>
        <w:rPr>
          <w:rFonts w:ascii="Calibri" w:hAnsi="Calibri"/>
          <w:noProof/>
        </w:rPr>
      </w:pPr>
      <w:r>
        <w:rPr>
          <w:rFonts w:ascii="Calibri" w:hAnsi="Calibri" w:cs="Calibri"/>
          <w:noProof/>
        </w:rPr>
        <w:t>In response</w:t>
      </w:r>
      <w:r w:rsidR="00AD50ED">
        <w:rPr>
          <w:rFonts w:ascii="Calibri" w:hAnsi="Calibri" w:cs="Calibri"/>
          <w:noProof/>
        </w:rPr>
        <w:t>,</w:t>
      </w:r>
      <w:r>
        <w:rPr>
          <w:rFonts w:ascii="Calibri" w:hAnsi="Calibri" w:cs="Calibri"/>
          <w:noProof/>
        </w:rPr>
        <w:t xml:space="preserve"> the QAF was designed with an emphasis on quality service delivery</w:t>
      </w:r>
      <w:r>
        <w:rPr>
          <w:rFonts w:ascii="Calibri" w:hAnsi="Calibri"/>
          <w:noProof/>
        </w:rPr>
        <w:t xml:space="preserve"> and </w:t>
      </w:r>
      <w:r>
        <w:rPr>
          <w:rFonts w:ascii="Calibri" w:hAnsi="Calibri" w:cs="Calibri"/>
          <w:noProof/>
        </w:rPr>
        <w:t>incorporates two audit components</w:t>
      </w:r>
      <w:r w:rsidR="00F8259C">
        <w:rPr>
          <w:rFonts w:ascii="Calibri" w:hAnsi="Calibri" w:cs="Calibri"/>
          <w:noProof/>
        </w:rPr>
        <w:t>:</w:t>
      </w:r>
    </w:p>
    <w:p w14:paraId="00B63861" w14:textId="77777777" w:rsidR="00403511" w:rsidRPr="008338FF" w:rsidRDefault="00403511" w:rsidP="00247BDA">
      <w:pPr>
        <w:pStyle w:val="ListParagraph"/>
      </w:pPr>
      <w:r w:rsidRPr="008338FF">
        <w:t xml:space="preserve">certification by an independent auditor against one of four quality standards deemed acceptable by the </w:t>
      </w:r>
      <w:r w:rsidR="00AD50ED" w:rsidRPr="00386A40">
        <w:t>D</w:t>
      </w:r>
      <w:r w:rsidRPr="00386A40">
        <w:t>epartment: Standard ISO 9001, Employment Services Industry Standards, Disability Service Standards and Investors in People</w:t>
      </w:r>
    </w:p>
    <w:p w14:paraId="699D80DB" w14:textId="77777777" w:rsidR="00403511" w:rsidRDefault="00403511" w:rsidP="00247BDA">
      <w:pPr>
        <w:pStyle w:val="ListParagraph"/>
        <w:rPr>
          <w:noProof/>
        </w:rPr>
      </w:pPr>
      <w:r w:rsidRPr="008338FF">
        <w:t>adherence to eight overarching quality principles with supporting key performance measures</w:t>
      </w:r>
      <w:r>
        <w:rPr>
          <w:noProof/>
        </w:rPr>
        <w:t>.</w:t>
      </w:r>
    </w:p>
    <w:p w14:paraId="5A65446C" w14:textId="2A20D022" w:rsidR="00403511" w:rsidRDefault="00403511" w:rsidP="00403511">
      <w:pPr>
        <w:rPr>
          <w:rFonts w:ascii="Calibri" w:hAnsi="Calibri" w:cs="Calibri"/>
          <w:noProof/>
        </w:rPr>
      </w:pPr>
      <w:r>
        <w:rPr>
          <w:rFonts w:ascii="Calibri" w:hAnsi="Calibri" w:cs="Calibri"/>
          <w:noProof/>
        </w:rPr>
        <w:t xml:space="preserve">The JSA Quality Standards </w:t>
      </w:r>
      <w:r w:rsidR="000A3A27">
        <w:rPr>
          <w:rFonts w:ascii="Calibri" w:hAnsi="Calibri" w:cs="Calibri"/>
          <w:noProof/>
        </w:rPr>
        <w:t>p</w:t>
      </w:r>
      <w:r>
        <w:rPr>
          <w:rFonts w:ascii="Calibri" w:hAnsi="Calibri" w:cs="Calibri"/>
          <w:noProof/>
        </w:rPr>
        <w:t xml:space="preserve">ilot (the pilot) was conducted to </w:t>
      </w:r>
      <w:r>
        <w:rPr>
          <w:noProof/>
        </w:rPr>
        <w:t>finalise the operational detail of the QAF prior to national implementation on 1 July 2015 under jobactive. The p</w:t>
      </w:r>
      <w:r>
        <w:rPr>
          <w:rFonts w:ascii="Calibri" w:hAnsi="Calibri" w:cs="Calibri"/>
          <w:noProof/>
        </w:rPr>
        <w:t>ilot commenced on 1</w:t>
      </w:r>
      <w:r w:rsidR="00A669E6">
        <w:rPr>
          <w:rFonts w:ascii="Calibri" w:hAnsi="Calibri" w:cs="Calibri"/>
          <w:noProof/>
        </w:rPr>
        <w:t> </w:t>
      </w:r>
      <w:r>
        <w:rPr>
          <w:rFonts w:ascii="Calibri" w:hAnsi="Calibri" w:cs="Calibri"/>
          <w:noProof/>
        </w:rPr>
        <w:t>January 2013, and ran for 15 months to 31 March 2014. Two groups of providers participated in the pilot, those who:</w:t>
      </w:r>
    </w:p>
    <w:p w14:paraId="79FED9FE" w14:textId="77777777" w:rsidR="00403511" w:rsidRPr="00B86305" w:rsidRDefault="00403511" w:rsidP="00247BDA">
      <w:pPr>
        <w:pStyle w:val="ListParagraph"/>
        <w:rPr>
          <w:noProof/>
        </w:rPr>
      </w:pPr>
      <w:r>
        <w:rPr>
          <w:noProof/>
        </w:rPr>
        <w:t>were</w:t>
      </w:r>
      <w:r w:rsidRPr="00B86305">
        <w:rPr>
          <w:noProof/>
        </w:rPr>
        <w:t xml:space="preserve"> required to participate due to poor performance in the </w:t>
      </w:r>
      <w:r>
        <w:rPr>
          <w:noProof/>
        </w:rPr>
        <w:t xml:space="preserve">2012 </w:t>
      </w:r>
      <w:r w:rsidRPr="00B86305">
        <w:rPr>
          <w:noProof/>
        </w:rPr>
        <w:t>Programme Assurance Audit of Provider Brokered Outcome claims</w:t>
      </w:r>
    </w:p>
    <w:p w14:paraId="40FDE1A8" w14:textId="77777777" w:rsidR="00403511" w:rsidRPr="00B86305" w:rsidRDefault="00403511" w:rsidP="00247BDA">
      <w:pPr>
        <w:pStyle w:val="ListParagraph"/>
        <w:rPr>
          <w:noProof/>
        </w:rPr>
      </w:pPr>
      <w:r w:rsidRPr="00B86305">
        <w:rPr>
          <w:noProof/>
        </w:rPr>
        <w:t>volunteered to participate.</w:t>
      </w:r>
    </w:p>
    <w:p w14:paraId="66C6B196" w14:textId="77777777" w:rsidR="00403511" w:rsidRDefault="00403511" w:rsidP="00403511">
      <w:pPr>
        <w:pStyle w:val="Heading3"/>
        <w:rPr>
          <w:rFonts w:cs="Calibri"/>
          <w:bCs w:val="0"/>
        </w:rPr>
      </w:pPr>
      <w:bookmarkStart w:id="450" w:name="_Toc22543118"/>
      <w:r>
        <w:rPr>
          <w:rFonts w:cs="Calibri"/>
          <w:bCs w:val="0"/>
        </w:rPr>
        <w:t>7.3.2</w:t>
      </w:r>
      <w:r w:rsidR="00E34477">
        <w:rPr>
          <w:rFonts w:cs="Calibri"/>
          <w:bCs w:val="0"/>
        </w:rPr>
        <w:tab/>
      </w:r>
      <w:r>
        <w:rPr>
          <w:rFonts w:cs="Calibri"/>
          <w:bCs w:val="0"/>
        </w:rPr>
        <w:t>Key findings</w:t>
      </w:r>
      <w:bookmarkEnd w:id="450"/>
    </w:p>
    <w:p w14:paraId="6F97B33D" w14:textId="77777777" w:rsidR="00403511" w:rsidRDefault="00403511" w:rsidP="00403511">
      <w:pPr>
        <w:rPr>
          <w:rFonts w:ascii="Calibri" w:hAnsi="Calibri" w:cs="Calibri"/>
        </w:rPr>
      </w:pPr>
      <w:r>
        <w:rPr>
          <w:rFonts w:ascii="Calibri" w:hAnsi="Calibri" w:cs="Calibri"/>
        </w:rPr>
        <w:t>The key aspects explored by the evaluation were</w:t>
      </w:r>
      <w:r w:rsidR="008C11CB">
        <w:rPr>
          <w:rFonts w:ascii="Calibri" w:hAnsi="Calibri" w:cs="Calibri"/>
        </w:rPr>
        <w:t xml:space="preserve"> whether</w:t>
      </w:r>
      <w:r>
        <w:rPr>
          <w:rFonts w:ascii="Calibri" w:hAnsi="Calibri" w:cs="Calibri"/>
        </w:rPr>
        <w:t>:</w:t>
      </w:r>
    </w:p>
    <w:p w14:paraId="29C40CA5" w14:textId="77777777" w:rsidR="00403511" w:rsidRPr="00F538A4" w:rsidRDefault="00403511" w:rsidP="00247BDA">
      <w:pPr>
        <w:pStyle w:val="ListParagraph"/>
        <w:rPr>
          <w:rFonts w:eastAsia="Times New Roman"/>
          <w:lang w:eastAsia="en-AU"/>
        </w:rPr>
      </w:pPr>
      <w:r w:rsidRPr="00B86305">
        <w:rPr>
          <w:rFonts w:eastAsia="Times New Roman"/>
          <w:lang w:eastAsia="en-AU"/>
        </w:rPr>
        <w:t>the pilot demonstrated that the QAF would drive continuous improvement</w:t>
      </w:r>
    </w:p>
    <w:p w14:paraId="6125D58E" w14:textId="77777777" w:rsidR="00403511" w:rsidRPr="00F538A4" w:rsidRDefault="00403511" w:rsidP="00247BDA">
      <w:pPr>
        <w:pStyle w:val="ListParagraph"/>
        <w:rPr>
          <w:rFonts w:eastAsia="Times New Roman"/>
          <w:lang w:eastAsia="en-AU"/>
        </w:rPr>
      </w:pPr>
      <w:r w:rsidRPr="00B86305">
        <w:rPr>
          <w:rFonts w:eastAsia="Times New Roman"/>
          <w:lang w:eastAsia="en-AU"/>
        </w:rPr>
        <w:t>the adoption of quality standards would result in improvements to services delivery</w:t>
      </w:r>
    </w:p>
    <w:p w14:paraId="037E8A99" w14:textId="77777777" w:rsidR="00403511" w:rsidRPr="00B86305" w:rsidRDefault="00403511" w:rsidP="00247BDA">
      <w:pPr>
        <w:pStyle w:val="ListParagraph"/>
        <w:rPr>
          <w:rFonts w:eastAsia="Times New Roman"/>
          <w:sz w:val="20"/>
          <w:szCs w:val="20"/>
          <w:lang w:eastAsia="en-AU"/>
        </w:rPr>
      </w:pPr>
      <w:r w:rsidRPr="00B86305">
        <w:rPr>
          <w:rFonts w:eastAsia="Times New Roman"/>
          <w:lang w:eastAsia="en-AU"/>
        </w:rPr>
        <w:t xml:space="preserve">there was benefit realisation between the cost to </w:t>
      </w:r>
      <w:r w:rsidR="007B23E6">
        <w:rPr>
          <w:rFonts w:eastAsia="Times New Roman"/>
          <w:lang w:eastAsia="en-AU"/>
        </w:rPr>
        <w:t>p</w:t>
      </w:r>
      <w:r w:rsidRPr="00B86305">
        <w:rPr>
          <w:rFonts w:eastAsia="Times New Roman"/>
          <w:lang w:eastAsia="en-AU"/>
        </w:rPr>
        <w:t>roviders and improvements to service delivery.</w:t>
      </w:r>
    </w:p>
    <w:p w14:paraId="2897B32D" w14:textId="77777777" w:rsidR="00403511" w:rsidRPr="00B86305" w:rsidRDefault="00403511" w:rsidP="00403511">
      <w:pPr>
        <w:pStyle w:val="Heading4"/>
      </w:pPr>
      <w:r>
        <w:t>C</w:t>
      </w:r>
      <w:r w:rsidRPr="00F17E79">
        <w:t>ontinuous improvement</w:t>
      </w:r>
    </w:p>
    <w:p w14:paraId="5EC18389" w14:textId="77777777" w:rsidR="00403511" w:rsidRDefault="00403511" w:rsidP="00403511">
      <w:pPr>
        <w:rPr>
          <w:rFonts w:ascii="Calibri" w:hAnsi="Calibri" w:cs="Calibri"/>
          <w:noProof/>
        </w:rPr>
      </w:pPr>
      <w:r>
        <w:rPr>
          <w:rFonts w:ascii="Calibri" w:hAnsi="Calibri" w:cs="Calibri"/>
          <w:noProof/>
        </w:rPr>
        <w:t>Feedback collected through the evaluation suggested that the QAF would drive continuous improvement and may have greater potential than the JSA KPI 3 Quality Framework.</w:t>
      </w:r>
    </w:p>
    <w:p w14:paraId="40E015D5" w14:textId="77777777" w:rsidR="00403511" w:rsidRPr="00B86305" w:rsidRDefault="00403511" w:rsidP="00403511">
      <w:pPr>
        <w:pStyle w:val="Heading4"/>
      </w:pPr>
      <w:r>
        <w:t>Improved</w:t>
      </w:r>
      <w:r w:rsidRPr="00B86305">
        <w:t xml:space="preserve"> service delivery</w:t>
      </w:r>
    </w:p>
    <w:p w14:paraId="6FB257E7" w14:textId="3A9D8AB0" w:rsidR="00403511" w:rsidRDefault="00403511" w:rsidP="00403511">
      <w:r w:rsidRPr="00B86305">
        <w:rPr>
          <w:rFonts w:ascii="Calibri" w:eastAsia="Times New Roman" w:hAnsi="Calibri" w:cs="Calibri"/>
          <w:lang w:val="en-US"/>
        </w:rPr>
        <w:t>Provider Chief Executive Officers (CEO</w:t>
      </w:r>
      <w:r w:rsidR="00A669E6">
        <w:rPr>
          <w:rFonts w:ascii="Calibri" w:eastAsia="Times New Roman" w:hAnsi="Calibri" w:cs="Calibri"/>
          <w:lang w:val="en-US"/>
        </w:rPr>
        <w:t>s</w:t>
      </w:r>
      <w:r w:rsidRPr="00B86305">
        <w:rPr>
          <w:rFonts w:ascii="Calibri" w:eastAsia="Times New Roman" w:hAnsi="Calibri" w:cs="Calibri"/>
          <w:lang w:val="en-US"/>
        </w:rPr>
        <w:t>), Quality Managers</w:t>
      </w:r>
      <w:r>
        <w:rPr>
          <w:rStyle w:val="FootnoteReference"/>
          <w:rFonts w:ascii="Calibri" w:eastAsia="Times New Roman" w:hAnsi="Calibri" w:cs="Calibri"/>
          <w:lang w:val="en-US"/>
        </w:rPr>
        <w:footnoteReference w:id="69"/>
      </w:r>
      <w:r w:rsidRPr="00B86305">
        <w:rPr>
          <w:rFonts w:ascii="Calibri" w:eastAsia="Times New Roman" w:hAnsi="Calibri" w:cs="Calibri"/>
          <w:lang w:val="en-US"/>
        </w:rPr>
        <w:t xml:space="preserve"> and front line staff reported positive impacts on their businesses and service delivery</w:t>
      </w:r>
      <w:r>
        <w:rPr>
          <w:rFonts w:ascii="Calibri" w:eastAsia="Times New Roman" w:hAnsi="Calibri" w:cs="Calibri"/>
          <w:lang w:val="en-US"/>
        </w:rPr>
        <w:t xml:space="preserve">, indicating that </w:t>
      </w:r>
      <w:r>
        <w:rPr>
          <w:rFonts w:ascii="Calibri" w:hAnsi="Calibri" w:cs="Calibri"/>
        </w:rPr>
        <w:t>they saw short-term improvements to client services and business operations</w:t>
      </w:r>
      <w:r w:rsidRPr="00B86305">
        <w:rPr>
          <w:rFonts w:ascii="Calibri" w:eastAsia="Times New Roman" w:hAnsi="Calibri" w:cs="Calibri"/>
          <w:lang w:val="en-US"/>
        </w:rPr>
        <w:t>. They were also optimistic about the longer</w:t>
      </w:r>
      <w:r>
        <w:rPr>
          <w:rFonts w:ascii="Calibri" w:eastAsia="Times New Roman" w:hAnsi="Calibri" w:cs="Calibri"/>
          <w:lang w:val="en-US"/>
        </w:rPr>
        <w:t>-</w:t>
      </w:r>
      <w:r w:rsidRPr="00B86305">
        <w:rPr>
          <w:rFonts w:ascii="Calibri" w:eastAsia="Times New Roman" w:hAnsi="Calibri" w:cs="Calibri"/>
          <w:lang w:val="en-US"/>
        </w:rPr>
        <w:t xml:space="preserve">term prospects of the </w:t>
      </w:r>
      <w:r>
        <w:rPr>
          <w:noProof/>
        </w:rPr>
        <w:t>QAF for delivering improved services to job seekers and, perhaps to a lesser extent, employers</w:t>
      </w:r>
      <w:r w:rsidRPr="00B86305">
        <w:rPr>
          <w:rFonts w:ascii="Calibri" w:eastAsia="Times New Roman" w:hAnsi="Calibri" w:cs="Calibri"/>
          <w:lang w:val="en-US"/>
        </w:rPr>
        <w:t>.</w:t>
      </w:r>
      <w:r w:rsidRPr="008C08FC">
        <w:rPr>
          <w:lang w:val="en-US"/>
        </w:rPr>
        <w:t xml:space="preserve"> </w:t>
      </w:r>
    </w:p>
    <w:p w14:paraId="27E33CB8" w14:textId="67621B05" w:rsidR="00403511" w:rsidRDefault="00403511" w:rsidP="00403511">
      <w:r>
        <w:rPr>
          <w:rFonts w:ascii="Calibri" w:hAnsi="Calibri" w:cs="Calibri"/>
        </w:rPr>
        <w:t xml:space="preserve">The evaluation noted </w:t>
      </w:r>
      <w:r w:rsidR="006669CD">
        <w:rPr>
          <w:rFonts w:ascii="Calibri" w:hAnsi="Calibri" w:cs="Calibri"/>
        </w:rPr>
        <w:t>however,</w:t>
      </w:r>
      <w:r>
        <w:rPr>
          <w:rFonts w:ascii="Calibri" w:hAnsi="Calibri" w:cs="Calibri"/>
        </w:rPr>
        <w:t xml:space="preserve"> that </w:t>
      </w:r>
      <w:r>
        <w:rPr>
          <w:rFonts w:cstheme="minorHAnsi"/>
        </w:rPr>
        <w:t xml:space="preserve">views of job seekers and employers (not canvassed in the course of the evaluation) should also be considered to provide an objective assessment of whether the </w:t>
      </w:r>
      <w:r w:rsidR="000752E9">
        <w:rPr>
          <w:rFonts w:cstheme="minorHAnsi"/>
        </w:rPr>
        <w:t xml:space="preserve">QAF </w:t>
      </w:r>
      <w:r>
        <w:rPr>
          <w:rFonts w:cstheme="minorHAnsi"/>
        </w:rPr>
        <w:t>pilot had driven improvements to service delivery.</w:t>
      </w:r>
    </w:p>
    <w:p w14:paraId="539D25CD" w14:textId="77777777" w:rsidR="00403511" w:rsidRPr="00B86305" w:rsidRDefault="00403511" w:rsidP="00403511">
      <w:pPr>
        <w:pStyle w:val="Heading4"/>
      </w:pPr>
      <w:r>
        <w:t>Benefit realisation</w:t>
      </w:r>
    </w:p>
    <w:p w14:paraId="4EC003D6" w14:textId="77777777" w:rsidR="00403511" w:rsidRDefault="00403511" w:rsidP="00403511">
      <w:pPr>
        <w:rPr>
          <w:rFonts w:ascii="Calibri" w:hAnsi="Calibri" w:cstheme="minorHAnsi"/>
        </w:rPr>
      </w:pPr>
      <w:r>
        <w:rPr>
          <w:rFonts w:ascii="Calibri" w:hAnsi="Calibri" w:cstheme="minorHAnsi"/>
        </w:rPr>
        <w:t>Provider CEOs’ and Quality Managers’ estimates of financial costs associated with the pilot varied significantly, with estimates for:</w:t>
      </w:r>
    </w:p>
    <w:p w14:paraId="376004D4" w14:textId="77777777" w:rsidR="00403511" w:rsidRPr="00B86305" w:rsidRDefault="00403511" w:rsidP="00247BDA">
      <w:pPr>
        <w:pStyle w:val="ListParagraph"/>
        <w:rPr>
          <w:noProof/>
        </w:rPr>
      </w:pPr>
      <w:r w:rsidRPr="00B86305">
        <w:rPr>
          <w:noProof/>
        </w:rPr>
        <w:t xml:space="preserve">preparing for an audit ranging from $10,000 to $260,000, with a median </w:t>
      </w:r>
      <w:r w:rsidR="005005CF">
        <w:rPr>
          <w:noProof/>
        </w:rPr>
        <w:t xml:space="preserve">cost </w:t>
      </w:r>
      <w:r w:rsidRPr="00B86305">
        <w:rPr>
          <w:noProof/>
        </w:rPr>
        <w:t>estimate of $47,500.</w:t>
      </w:r>
    </w:p>
    <w:p w14:paraId="79A61BEB" w14:textId="77777777" w:rsidR="00403511" w:rsidRPr="00B86305" w:rsidRDefault="00403511" w:rsidP="00247BDA">
      <w:pPr>
        <w:pStyle w:val="ListParagraph"/>
        <w:rPr>
          <w:noProof/>
        </w:rPr>
      </w:pPr>
      <w:r w:rsidRPr="00B86305">
        <w:rPr>
          <w:noProof/>
        </w:rPr>
        <w:t xml:space="preserve">conducting an audit ranging from $2,700 to $150,000, with a median </w:t>
      </w:r>
      <w:r w:rsidR="005005CF">
        <w:rPr>
          <w:noProof/>
        </w:rPr>
        <w:t xml:space="preserve">cost </w:t>
      </w:r>
      <w:r w:rsidRPr="00B86305">
        <w:rPr>
          <w:noProof/>
        </w:rPr>
        <w:t>estimate of $36,000.</w:t>
      </w:r>
    </w:p>
    <w:p w14:paraId="7489FD94" w14:textId="77777777" w:rsidR="00403511" w:rsidRPr="00F538A4" w:rsidRDefault="00403511" w:rsidP="00403511">
      <w:pPr>
        <w:rPr>
          <w:rFonts w:ascii="Calibri" w:hAnsi="Calibri" w:cs="Calibri"/>
        </w:rPr>
      </w:pPr>
      <w:r>
        <w:rPr>
          <w:rFonts w:ascii="Calibri" w:hAnsi="Calibri" w:cs="Calibri"/>
        </w:rPr>
        <w:t xml:space="preserve">There was overwhelming agreement that involvement in the </w:t>
      </w:r>
      <w:r w:rsidR="00346298">
        <w:rPr>
          <w:rFonts w:ascii="Calibri" w:hAnsi="Calibri" w:cs="Calibri"/>
        </w:rPr>
        <w:t>p</w:t>
      </w:r>
      <w:r>
        <w:rPr>
          <w:rFonts w:ascii="Calibri" w:hAnsi="Calibri" w:cs="Calibri"/>
        </w:rPr>
        <w:t>ilot had been a worthwhile investment of time</w:t>
      </w:r>
      <w:r w:rsidR="005005CF">
        <w:rPr>
          <w:rFonts w:ascii="Calibri" w:hAnsi="Calibri" w:cs="Calibri"/>
        </w:rPr>
        <w:t>. J</w:t>
      </w:r>
      <w:r w:rsidRPr="00B86305">
        <w:rPr>
          <w:rFonts w:ascii="Calibri" w:hAnsi="Calibri" w:cs="Calibri"/>
        </w:rPr>
        <w:t>ust over one-third</w:t>
      </w:r>
      <w:r w:rsidR="00AF5618">
        <w:rPr>
          <w:rFonts w:ascii="Calibri" w:hAnsi="Calibri" w:cs="Calibri"/>
        </w:rPr>
        <w:t xml:space="preserve"> </w:t>
      </w:r>
      <w:r w:rsidR="00603A71">
        <w:rPr>
          <w:rFonts w:ascii="Calibri" w:hAnsi="Calibri" w:cs="Calibri"/>
        </w:rPr>
        <w:t>(</w:t>
      </w:r>
      <w:r w:rsidR="00603A71">
        <w:t xml:space="preserve">35 per cent) </w:t>
      </w:r>
      <w:r w:rsidRPr="00B86305">
        <w:rPr>
          <w:rFonts w:ascii="Calibri" w:hAnsi="Calibri" w:cs="Calibri"/>
        </w:rPr>
        <w:t>of CEOs agree</w:t>
      </w:r>
      <w:r w:rsidR="005005CF">
        <w:rPr>
          <w:rFonts w:ascii="Calibri" w:hAnsi="Calibri" w:cs="Calibri"/>
        </w:rPr>
        <w:t>d</w:t>
      </w:r>
      <w:r w:rsidRPr="00B86305">
        <w:rPr>
          <w:rFonts w:ascii="Calibri" w:hAnsi="Calibri" w:cs="Calibri"/>
        </w:rPr>
        <w:t xml:space="preserve"> or strongly agree</w:t>
      </w:r>
      <w:r w:rsidR="005005CF">
        <w:rPr>
          <w:rFonts w:ascii="Calibri" w:hAnsi="Calibri" w:cs="Calibri"/>
        </w:rPr>
        <w:t>d</w:t>
      </w:r>
      <w:r w:rsidRPr="00B86305">
        <w:rPr>
          <w:rFonts w:ascii="Calibri" w:hAnsi="Calibri" w:cs="Calibri"/>
        </w:rPr>
        <w:t xml:space="preserve"> </w:t>
      </w:r>
      <w:r w:rsidRPr="006572C5">
        <w:rPr>
          <w:rFonts w:ascii="Calibri" w:hAnsi="Calibri" w:cs="Calibri"/>
        </w:rPr>
        <w:t>th</w:t>
      </w:r>
      <w:r w:rsidRPr="005F3055">
        <w:rPr>
          <w:rFonts w:ascii="Calibri" w:hAnsi="Calibri" w:cs="Calibri"/>
        </w:rPr>
        <w:t>at the audit represented ‘value for money’</w:t>
      </w:r>
      <w:r w:rsidRPr="00F538A4">
        <w:rPr>
          <w:rFonts w:ascii="Calibri" w:hAnsi="Calibri" w:cs="Calibri"/>
        </w:rPr>
        <w:t>.</w:t>
      </w:r>
    </w:p>
    <w:p w14:paraId="6CD216AA" w14:textId="77777777" w:rsidR="00403511" w:rsidRDefault="00403511" w:rsidP="00403511">
      <w:pPr>
        <w:rPr>
          <w:rFonts w:ascii="Calibri" w:eastAsia="Times New Roman" w:hAnsi="Calibri" w:cs="Calibri"/>
          <w:lang w:val="en-US"/>
        </w:rPr>
      </w:pPr>
      <w:r w:rsidRPr="00B86305">
        <w:rPr>
          <w:rFonts w:ascii="Calibri" w:hAnsi="Calibri" w:cs="Calibri"/>
        </w:rPr>
        <w:t>A</w:t>
      </w:r>
      <w:r w:rsidRPr="006572C5">
        <w:rPr>
          <w:rFonts w:ascii="Calibri" w:hAnsi="Calibri" w:cs="Calibri"/>
        </w:rPr>
        <w:t>round</w:t>
      </w:r>
      <w:r>
        <w:rPr>
          <w:rFonts w:ascii="Calibri" w:hAnsi="Calibri" w:cs="Calibri"/>
        </w:rPr>
        <w:t xml:space="preserve"> t</w:t>
      </w:r>
      <w:r w:rsidRPr="006572C5">
        <w:rPr>
          <w:rFonts w:ascii="Calibri" w:hAnsi="Calibri" w:cs="Calibri"/>
        </w:rPr>
        <w:t>wo-thirds of p</w:t>
      </w:r>
      <w:r w:rsidRPr="005F3055">
        <w:rPr>
          <w:rFonts w:ascii="Calibri" w:hAnsi="Calibri" w:cs="Calibri"/>
        </w:rPr>
        <w:t>roviders indicated that time and costs were greater than expected</w:t>
      </w:r>
      <w:r w:rsidR="00FB31B0">
        <w:rPr>
          <w:rFonts w:ascii="Calibri" w:hAnsi="Calibri" w:cs="Calibri"/>
        </w:rPr>
        <w:t xml:space="preserve"> (</w:t>
      </w:r>
      <w:r w:rsidR="00FB31B0">
        <w:t>68 per cent and 64 per cent</w:t>
      </w:r>
      <w:r w:rsidR="00FB31B0" w:rsidDel="00FB31B0">
        <w:rPr>
          <w:rFonts w:ascii="Calibri" w:hAnsi="Calibri" w:cs="Calibri"/>
        </w:rPr>
        <w:t xml:space="preserve"> </w:t>
      </w:r>
      <w:r w:rsidR="00FB31B0">
        <w:rPr>
          <w:rFonts w:ascii="Calibri" w:hAnsi="Calibri" w:cs="Calibri"/>
        </w:rPr>
        <w:t>respectively)</w:t>
      </w:r>
      <w:r w:rsidRPr="006572C5">
        <w:rPr>
          <w:rFonts w:ascii="Calibri" w:hAnsi="Calibri" w:cs="Calibri"/>
        </w:rPr>
        <w:t xml:space="preserve">. </w:t>
      </w:r>
      <w:r w:rsidRPr="00B86305">
        <w:rPr>
          <w:rFonts w:ascii="Calibri" w:hAnsi="Calibri" w:cs="Calibri"/>
        </w:rPr>
        <w:t xml:space="preserve">Lack of preparedness for the audit, </w:t>
      </w:r>
      <w:r>
        <w:rPr>
          <w:rFonts w:ascii="Calibri" w:hAnsi="Calibri" w:cs="Calibri"/>
        </w:rPr>
        <w:t>e.g.</w:t>
      </w:r>
      <w:r w:rsidRPr="00B86305">
        <w:rPr>
          <w:rFonts w:ascii="Calibri" w:hAnsi="Calibri" w:cs="Calibri"/>
        </w:rPr>
        <w:t xml:space="preserve"> poor choice of Quality Standard</w:t>
      </w:r>
      <w:r>
        <w:rPr>
          <w:rFonts w:ascii="Calibri" w:hAnsi="Calibri" w:cs="Calibri"/>
        </w:rPr>
        <w:t xml:space="preserve"> and</w:t>
      </w:r>
      <w:r>
        <w:rPr>
          <w:rFonts w:ascii="Calibri" w:eastAsia="Times New Roman" w:hAnsi="Calibri" w:cs="Calibri"/>
          <w:lang w:val="en-US"/>
        </w:rPr>
        <w:t xml:space="preserve"> not having correct documentation on hand for the auditor were thought to have been contributing factors to this finding. Other factors beyond the control of providers were</w:t>
      </w:r>
      <w:r w:rsidR="00AF5618">
        <w:rPr>
          <w:rFonts w:ascii="Calibri" w:eastAsia="Times New Roman" w:hAnsi="Calibri" w:cs="Calibri"/>
          <w:lang w:val="en-US"/>
        </w:rPr>
        <w:t>:</w:t>
      </w:r>
      <w:r>
        <w:rPr>
          <w:rFonts w:ascii="Calibri" w:eastAsia="Times New Roman" w:hAnsi="Calibri" w:cs="Calibri"/>
          <w:lang w:val="en-US"/>
        </w:rPr>
        <w:t xml:space="preserve"> the overlap between the Quality Standards and Quality Principles (and the Key Performance Measures within them)</w:t>
      </w:r>
      <w:r w:rsidR="00AF5618">
        <w:rPr>
          <w:rFonts w:ascii="Calibri" w:eastAsia="Times New Roman" w:hAnsi="Calibri" w:cs="Calibri"/>
          <w:lang w:val="en-US"/>
        </w:rPr>
        <w:t>;</w:t>
      </w:r>
      <w:r>
        <w:rPr>
          <w:rFonts w:ascii="Calibri" w:eastAsia="Times New Roman" w:hAnsi="Calibri" w:cs="Calibri"/>
          <w:lang w:val="en-US"/>
        </w:rPr>
        <w:t xml:space="preserve"> waiting for the Employment Services Industry Standards to be </w:t>
      </w:r>
      <w:r w:rsidR="00492EF3">
        <w:rPr>
          <w:rFonts w:ascii="Calibri" w:eastAsia="Times New Roman" w:hAnsi="Calibri" w:cs="Calibri"/>
          <w:lang w:val="en-US"/>
        </w:rPr>
        <w:t>certified; and</w:t>
      </w:r>
      <w:r>
        <w:rPr>
          <w:rFonts w:ascii="Calibri" w:eastAsia="Times New Roman" w:hAnsi="Calibri" w:cs="Calibri"/>
          <w:lang w:val="en-US"/>
        </w:rPr>
        <w:t xml:space="preserve"> an apparent lack of understanding of the process, the Deed and JSA more generally, among some auditors.</w:t>
      </w:r>
    </w:p>
    <w:p w14:paraId="52BC7A5B" w14:textId="77777777" w:rsidR="00403511" w:rsidRDefault="00403511" w:rsidP="00403511">
      <w:pPr>
        <w:rPr>
          <w:rFonts w:cstheme="minorHAnsi"/>
        </w:rPr>
      </w:pPr>
      <w:r>
        <w:rPr>
          <w:rFonts w:ascii="Calibri" w:hAnsi="Calibri" w:cs="Calibri"/>
        </w:rPr>
        <w:t xml:space="preserve">The evaluation concluded that as the </w:t>
      </w:r>
      <w:r w:rsidR="00AF5618">
        <w:rPr>
          <w:rFonts w:ascii="Calibri" w:hAnsi="Calibri" w:cs="Calibri"/>
        </w:rPr>
        <w:t>D</w:t>
      </w:r>
      <w:r>
        <w:rPr>
          <w:rFonts w:ascii="Calibri" w:hAnsi="Calibri" w:cs="Calibri"/>
        </w:rPr>
        <w:t>epartment and providers become more familiar with the intricacies and processes involved in establishing and maintaining the QAF</w:t>
      </w:r>
      <w:r w:rsidR="00AF5618">
        <w:rPr>
          <w:rFonts w:ascii="Calibri" w:hAnsi="Calibri" w:cs="Calibri"/>
        </w:rPr>
        <w:t>,</w:t>
      </w:r>
      <w:r>
        <w:rPr>
          <w:rFonts w:ascii="Calibri" w:hAnsi="Calibri" w:cs="Calibri"/>
        </w:rPr>
        <w:t xml:space="preserve"> costs will reduce or at least become more predictable, with this aspect</w:t>
      </w:r>
      <w:r>
        <w:rPr>
          <w:rFonts w:cstheme="minorHAnsi"/>
        </w:rPr>
        <w:t xml:space="preserve"> likely to be a key factor in the successful promotion and implementation of the QAF.</w:t>
      </w:r>
    </w:p>
    <w:p w14:paraId="23AEE5FA" w14:textId="77777777" w:rsidR="008C11CB" w:rsidRDefault="008C11CB" w:rsidP="008C11CB">
      <w:pPr>
        <w:pStyle w:val="Heading3"/>
      </w:pPr>
      <w:bookmarkStart w:id="451" w:name="_Toc22543119"/>
      <w:r>
        <w:t>7.</w:t>
      </w:r>
      <w:r w:rsidR="00B04197">
        <w:t>3</w:t>
      </w:r>
      <w:r>
        <w:t>.3</w:t>
      </w:r>
      <w:r>
        <w:tab/>
        <w:t>Conclusion</w:t>
      </w:r>
      <w:bookmarkEnd w:id="451"/>
    </w:p>
    <w:p w14:paraId="07B97766" w14:textId="449F0E48" w:rsidR="00403511" w:rsidRDefault="006669CD" w:rsidP="00403511">
      <w:pPr>
        <w:rPr>
          <w:noProof/>
          <w:lang w:val="en-US"/>
        </w:rPr>
      </w:pPr>
      <w:r>
        <w:rPr>
          <w:rFonts w:ascii="Calibri" w:hAnsi="Calibri" w:cs="Calibri"/>
        </w:rPr>
        <w:t>Overall,</w:t>
      </w:r>
      <w:r w:rsidR="00403511">
        <w:rPr>
          <w:rFonts w:ascii="Calibri" w:hAnsi="Calibri" w:cs="Calibri"/>
        </w:rPr>
        <w:t xml:space="preserve"> the evaluation found that if cost and time requirements are </w:t>
      </w:r>
      <w:r w:rsidR="005005CF">
        <w:rPr>
          <w:rFonts w:ascii="Calibri" w:hAnsi="Calibri" w:cs="Calibri"/>
        </w:rPr>
        <w:t xml:space="preserve">managed </w:t>
      </w:r>
      <w:r w:rsidR="00403511">
        <w:rPr>
          <w:rFonts w:ascii="Calibri" w:hAnsi="Calibri" w:cs="Calibri"/>
        </w:rPr>
        <w:t xml:space="preserve">within reasonable limits </w:t>
      </w:r>
      <w:r w:rsidR="005005CF">
        <w:rPr>
          <w:rFonts w:ascii="Calibri" w:hAnsi="Calibri" w:cs="Calibri"/>
        </w:rPr>
        <w:t xml:space="preserve">it is anticipated that </w:t>
      </w:r>
      <w:r w:rsidR="00403511">
        <w:rPr>
          <w:rFonts w:ascii="Calibri" w:hAnsi="Calibri" w:cs="Calibri"/>
        </w:rPr>
        <w:t xml:space="preserve">the </w:t>
      </w:r>
      <w:r w:rsidR="00403511">
        <w:rPr>
          <w:rFonts w:ascii="Calibri" w:hAnsi="Calibri"/>
          <w:noProof/>
        </w:rPr>
        <w:t>QAF</w:t>
      </w:r>
      <w:r w:rsidR="00403511">
        <w:t xml:space="preserve"> should benefit all parties and might be an improvement on the </w:t>
      </w:r>
      <w:r w:rsidR="0049368F">
        <w:t xml:space="preserve">JSA </w:t>
      </w:r>
      <w:r w:rsidR="00403511">
        <w:rPr>
          <w:rFonts w:ascii="Calibri" w:eastAsia="Times New Roman" w:hAnsi="Calibri" w:cs="Calibri"/>
          <w:lang w:val="en-US"/>
        </w:rPr>
        <w:t>KPI 3 Quality Framework, with t</w:t>
      </w:r>
      <w:r w:rsidR="00403511">
        <w:rPr>
          <w:noProof/>
          <w:lang w:val="en-US"/>
        </w:rPr>
        <w:t>he evaluation making several recommendations to achieve a balance between costs and benefits of adopting the QAF.</w:t>
      </w:r>
    </w:p>
    <w:p w14:paraId="712633C8" w14:textId="77777777" w:rsidR="00827FF5" w:rsidRDefault="00827FF5" w:rsidP="00827FF5">
      <w:pPr>
        <w:pStyle w:val="Heading2"/>
      </w:pPr>
      <w:bookmarkStart w:id="452" w:name="_Toc450919346"/>
      <w:bookmarkStart w:id="453" w:name="_Toc22543120"/>
      <w:r>
        <w:t>7.4</w:t>
      </w:r>
      <w:r>
        <w:tab/>
      </w:r>
      <w:r w:rsidRPr="00D42784">
        <w:t>Changes to the</w:t>
      </w:r>
      <w:r w:rsidR="00261D3D" w:rsidRPr="00D42784">
        <w:t xml:space="preserve"> </w:t>
      </w:r>
      <w:r w:rsidR="00D42784" w:rsidRPr="003719BA">
        <w:t>job seeker participation and compliance framework</w:t>
      </w:r>
      <w:bookmarkEnd w:id="452"/>
      <w:bookmarkEnd w:id="453"/>
    </w:p>
    <w:p w14:paraId="619D748B" w14:textId="77777777" w:rsidR="00B72AD4" w:rsidRPr="00130E90" w:rsidRDefault="00130E90" w:rsidP="00E2651A">
      <w:pPr>
        <w:pStyle w:val="Heading3"/>
      </w:pPr>
      <w:bookmarkStart w:id="454" w:name="_Toc22543121"/>
      <w:r w:rsidRPr="00130E90">
        <w:rPr>
          <w:rStyle w:val="Heading3Char"/>
          <w:b/>
        </w:rPr>
        <w:t>7.4.1</w:t>
      </w:r>
      <w:r w:rsidRPr="00130E90">
        <w:rPr>
          <w:rStyle w:val="Heading3Char"/>
          <w:b/>
        </w:rPr>
        <w:tab/>
        <w:t>Introduction</w:t>
      </w:r>
      <w:bookmarkEnd w:id="454"/>
    </w:p>
    <w:p w14:paraId="708CE01F" w14:textId="77777777" w:rsidR="00B72AD4" w:rsidRDefault="00B72AD4" w:rsidP="00B72AD4">
      <w:pPr>
        <w:rPr>
          <w:rFonts w:cstheme="minorHAnsi"/>
        </w:rPr>
      </w:pPr>
      <w:r w:rsidRPr="001B7264">
        <w:rPr>
          <w:rFonts w:cstheme="minorHAnsi"/>
        </w:rPr>
        <w:t xml:space="preserve">The </w:t>
      </w:r>
      <w:r w:rsidR="00261D3D">
        <w:rPr>
          <w:rFonts w:cstheme="minorHAnsi"/>
        </w:rPr>
        <w:t xml:space="preserve">job seeker </w:t>
      </w:r>
      <w:r w:rsidR="00D42784">
        <w:rPr>
          <w:rFonts w:cstheme="minorHAnsi"/>
        </w:rPr>
        <w:t xml:space="preserve">participation and </w:t>
      </w:r>
      <w:r w:rsidRPr="001B7264">
        <w:rPr>
          <w:rFonts w:cstheme="minorHAnsi"/>
        </w:rPr>
        <w:t>compliance framework was designed to be flexible and responsive to the needs of the job seeker and support providers to deliver appropriate servicing. The JSA contracts employed procedural justice principles along with early intervention strategies to maintain job seekers engagement and compliance</w:t>
      </w:r>
      <w:r w:rsidR="00EF7478" w:rsidRPr="00EF7478">
        <w:rPr>
          <w:rFonts w:cstheme="minorHAnsi"/>
        </w:rPr>
        <w:t xml:space="preserve"> </w:t>
      </w:r>
      <w:r w:rsidR="00EF7478">
        <w:rPr>
          <w:rFonts w:cstheme="minorHAnsi"/>
        </w:rPr>
        <w:t>with social security legislation</w:t>
      </w:r>
      <w:r w:rsidRPr="001B7264">
        <w:rPr>
          <w:rFonts w:cstheme="minorHAnsi"/>
        </w:rPr>
        <w:t>. The most notable change to the framework under JSA 2012</w:t>
      </w:r>
      <w:r w:rsidR="007D0A36">
        <w:rPr>
          <w:rFonts w:cstheme="minorHAnsi"/>
        </w:rPr>
        <w:t xml:space="preserve"> was</w:t>
      </w:r>
      <w:r w:rsidRPr="001B7264">
        <w:rPr>
          <w:rFonts w:cstheme="minorHAnsi"/>
        </w:rPr>
        <w:t xml:space="preserve"> the </w:t>
      </w:r>
      <w:r w:rsidR="00346298">
        <w:rPr>
          <w:rFonts w:cstheme="minorHAnsi"/>
        </w:rPr>
        <w:t>‘</w:t>
      </w:r>
      <w:r w:rsidRPr="00346298">
        <w:rPr>
          <w:rFonts w:cstheme="minorHAnsi"/>
        </w:rPr>
        <w:t>Strengthening the Job Seeker Compliance Framework</w:t>
      </w:r>
      <w:r w:rsidR="00346298">
        <w:rPr>
          <w:rFonts w:cstheme="minorHAnsi"/>
        </w:rPr>
        <w:t>’</w:t>
      </w:r>
      <w:r w:rsidRPr="00346298">
        <w:rPr>
          <w:rFonts w:cstheme="minorHAnsi"/>
        </w:rPr>
        <w:t xml:space="preserve"> measure, </w:t>
      </w:r>
      <w:r w:rsidRPr="001B7264">
        <w:rPr>
          <w:rFonts w:cstheme="minorHAnsi"/>
        </w:rPr>
        <w:t xml:space="preserve">introduced in </w:t>
      </w:r>
      <w:r>
        <w:rPr>
          <w:rFonts w:cstheme="minorHAnsi"/>
        </w:rPr>
        <w:t xml:space="preserve">two </w:t>
      </w:r>
      <w:r w:rsidRPr="001B7264">
        <w:rPr>
          <w:rFonts w:cstheme="minorHAnsi"/>
        </w:rPr>
        <w:t xml:space="preserve">stages </w:t>
      </w:r>
      <w:r>
        <w:rPr>
          <w:rFonts w:cstheme="minorHAnsi"/>
        </w:rPr>
        <w:t xml:space="preserve">(Stage 1 included two phases) </w:t>
      </w:r>
      <w:r w:rsidRPr="001B7264">
        <w:rPr>
          <w:rFonts w:cstheme="minorHAnsi"/>
        </w:rPr>
        <w:t>between 1 July 2014 and 1 January 2015</w:t>
      </w:r>
      <w:r>
        <w:rPr>
          <w:rFonts w:cstheme="minorHAnsi"/>
        </w:rPr>
        <w:t>.</w:t>
      </w:r>
      <w:r>
        <w:rPr>
          <w:rStyle w:val="FootnoteReference"/>
          <w:rFonts w:cstheme="minorHAnsi"/>
        </w:rPr>
        <w:footnoteReference w:id="70"/>
      </w:r>
      <w:r w:rsidRPr="001B7264">
        <w:rPr>
          <w:rFonts w:cstheme="minorHAnsi"/>
        </w:rPr>
        <w:t xml:space="preserve"> </w:t>
      </w:r>
    </w:p>
    <w:p w14:paraId="677EE71E" w14:textId="77777777" w:rsidR="00B72AD4" w:rsidRDefault="00B72AD4" w:rsidP="00B72AD4">
      <w:pPr>
        <w:rPr>
          <w:rFonts w:cstheme="minorHAnsi"/>
        </w:rPr>
      </w:pPr>
      <w:r>
        <w:rPr>
          <w:rFonts w:cstheme="minorHAnsi"/>
        </w:rPr>
        <w:t xml:space="preserve">These changes were designed to incentivise job seekers to attend appointments to ensure there </w:t>
      </w:r>
      <w:r w:rsidR="000752E9">
        <w:rPr>
          <w:rFonts w:cstheme="minorHAnsi"/>
        </w:rPr>
        <w:t xml:space="preserve">were </w:t>
      </w:r>
      <w:r>
        <w:rPr>
          <w:rFonts w:cstheme="minorHAnsi"/>
        </w:rPr>
        <w:t>no impacts to their income support payments. If the risk of</w:t>
      </w:r>
      <w:r w:rsidR="00EF7478">
        <w:rPr>
          <w:rFonts w:cstheme="minorHAnsi"/>
        </w:rPr>
        <w:t xml:space="preserve"> a</w:t>
      </w:r>
      <w:r>
        <w:rPr>
          <w:rFonts w:cstheme="minorHAnsi"/>
        </w:rPr>
        <w:t xml:space="preserve"> financial penalty affect</w:t>
      </w:r>
      <w:r w:rsidR="00EF7478">
        <w:rPr>
          <w:rFonts w:cstheme="minorHAnsi"/>
        </w:rPr>
        <w:t>s</w:t>
      </w:r>
      <w:r>
        <w:rPr>
          <w:rFonts w:cstheme="minorHAnsi"/>
        </w:rPr>
        <w:t xml:space="preserve"> the probability of job seeker compliance, then these changes should have increased appointment attendance rates. Further, any increase should be attributable to higher attendance rates at re-engagement appointments.</w:t>
      </w:r>
    </w:p>
    <w:p w14:paraId="0A754C6F" w14:textId="77777777" w:rsidR="00130E90" w:rsidRDefault="00130E90" w:rsidP="00E2651A">
      <w:pPr>
        <w:pStyle w:val="Heading3"/>
      </w:pPr>
      <w:bookmarkStart w:id="455" w:name="_Toc22543122"/>
      <w:r>
        <w:t>7.4.2</w:t>
      </w:r>
      <w:r>
        <w:tab/>
        <w:t xml:space="preserve">Key </w:t>
      </w:r>
      <w:r w:rsidR="000752E9">
        <w:t>f</w:t>
      </w:r>
      <w:r>
        <w:t>indings</w:t>
      </w:r>
      <w:bookmarkEnd w:id="455"/>
    </w:p>
    <w:p w14:paraId="5101EC54" w14:textId="77777777" w:rsidR="00B72AD4" w:rsidRPr="00346298" w:rsidRDefault="00CD2C33" w:rsidP="00B72AD4">
      <w:pPr>
        <w:spacing w:after="60"/>
        <w:rPr>
          <w:rFonts w:cstheme="minorHAnsi"/>
        </w:rPr>
      </w:pPr>
      <w:r>
        <w:rPr>
          <w:rFonts w:cstheme="minorHAnsi"/>
        </w:rPr>
        <w:t>There was an increase</w:t>
      </w:r>
      <w:r w:rsidRPr="00702362">
        <w:rPr>
          <w:rFonts w:cstheme="minorHAnsi"/>
        </w:rPr>
        <w:t xml:space="preserve"> in appointment attendance </w:t>
      </w:r>
      <w:r>
        <w:rPr>
          <w:rFonts w:cstheme="minorHAnsi"/>
        </w:rPr>
        <w:t>between JSA 2009 and JSA 2012</w:t>
      </w:r>
      <w:r w:rsidRPr="00702362" w:rsidDel="004305B4">
        <w:rPr>
          <w:rFonts w:cstheme="minorHAnsi"/>
        </w:rPr>
        <w:t xml:space="preserve"> </w:t>
      </w:r>
      <w:r>
        <w:rPr>
          <w:rFonts w:cstheme="minorHAnsi"/>
        </w:rPr>
        <w:t>(from 60.8 per cent to 62.9 per cent</w:t>
      </w:r>
      <w:r w:rsidRPr="003B07AB">
        <w:rPr>
          <w:rFonts w:cstheme="minorHAnsi"/>
        </w:rPr>
        <w:t>). This was likely due in part to changes in compliance and appointment rescheduling</w:t>
      </w:r>
      <w:r>
        <w:rPr>
          <w:rFonts w:cstheme="minorHAnsi"/>
        </w:rPr>
        <w:t xml:space="preserve"> </w:t>
      </w:r>
      <w:r w:rsidRPr="00702362">
        <w:rPr>
          <w:rFonts w:cstheme="minorHAnsi"/>
        </w:rPr>
        <w:t xml:space="preserve">following </w:t>
      </w:r>
      <w:r>
        <w:rPr>
          <w:rFonts w:cstheme="minorHAnsi"/>
        </w:rPr>
        <w:t>the</w:t>
      </w:r>
      <w:r w:rsidRPr="00702362">
        <w:rPr>
          <w:rFonts w:cstheme="minorHAnsi"/>
        </w:rPr>
        <w:t xml:space="preserve"> introduction</w:t>
      </w:r>
      <w:r>
        <w:rPr>
          <w:rFonts w:cstheme="minorHAnsi"/>
        </w:rPr>
        <w:t xml:space="preserve"> of </w:t>
      </w:r>
      <w:r w:rsidRPr="00346298">
        <w:rPr>
          <w:rFonts w:cstheme="minorHAnsi"/>
        </w:rPr>
        <w:t xml:space="preserve">the </w:t>
      </w:r>
      <w:r w:rsidR="00346298">
        <w:rPr>
          <w:rFonts w:cstheme="minorHAnsi"/>
        </w:rPr>
        <w:t>‘</w:t>
      </w:r>
      <w:r w:rsidRPr="00346298">
        <w:rPr>
          <w:rFonts w:cstheme="minorHAnsi"/>
        </w:rPr>
        <w:t>Strengthening the Job Seeker Compliance Framework</w:t>
      </w:r>
      <w:r w:rsidR="00346298">
        <w:rPr>
          <w:rFonts w:cstheme="minorHAnsi"/>
        </w:rPr>
        <w:t>’</w:t>
      </w:r>
      <w:r w:rsidRPr="00346298">
        <w:rPr>
          <w:rFonts w:cstheme="minorHAnsi"/>
        </w:rPr>
        <w:t xml:space="preserve"> measure.</w:t>
      </w:r>
      <w:r w:rsidR="008D3BC4">
        <w:rPr>
          <w:rFonts w:cstheme="minorHAnsi"/>
        </w:rPr>
        <w:t xml:space="preserve"> </w:t>
      </w:r>
      <w:r w:rsidR="009716CF">
        <w:t>Further details of the methodology used for this analysis is in Appendix B7</w:t>
      </w:r>
      <w:r w:rsidR="008D3BC4">
        <w:t>.</w:t>
      </w:r>
    </w:p>
    <w:p w14:paraId="51D44096" w14:textId="77777777" w:rsidR="00CD2C33" w:rsidRPr="00702362" w:rsidRDefault="00CD2C33" w:rsidP="00CD2C33">
      <w:pPr>
        <w:spacing w:before="240" w:after="60"/>
        <w:rPr>
          <w:rFonts w:cstheme="minorHAnsi"/>
        </w:rPr>
      </w:pPr>
      <w:r>
        <w:rPr>
          <w:rFonts w:cstheme="minorHAnsi"/>
        </w:rPr>
        <w:t xml:space="preserve">Post introduction of </w:t>
      </w:r>
      <w:r w:rsidR="00346298">
        <w:rPr>
          <w:rFonts w:cstheme="minorHAnsi"/>
        </w:rPr>
        <w:t>‘</w:t>
      </w:r>
      <w:r w:rsidRPr="00346298">
        <w:rPr>
          <w:rFonts w:cstheme="minorHAnsi"/>
        </w:rPr>
        <w:t>Strengthening the Job Seeker Compliance Framework</w:t>
      </w:r>
      <w:r w:rsidR="00346298">
        <w:rPr>
          <w:rFonts w:cstheme="minorHAnsi"/>
        </w:rPr>
        <w:t>’</w:t>
      </w:r>
      <w:r w:rsidRPr="00346298">
        <w:rPr>
          <w:rFonts w:cstheme="minorHAnsi"/>
        </w:rPr>
        <w:t xml:space="preserve"> measure, during JSA 2012,</w:t>
      </w:r>
      <w:r>
        <w:rPr>
          <w:rFonts w:cstheme="minorHAnsi"/>
        </w:rPr>
        <w:t xml:space="preserve"> j</w:t>
      </w:r>
      <w:r w:rsidRPr="00702362">
        <w:rPr>
          <w:rFonts w:cstheme="minorHAnsi"/>
        </w:rPr>
        <w:t xml:space="preserve">ob seekers without a valid reason for not attending their appointment were significantly more likely to attend their re-engagement appointment </w:t>
      </w:r>
      <w:r>
        <w:rPr>
          <w:rFonts w:cstheme="minorHAnsi"/>
        </w:rPr>
        <w:t>(</w:t>
      </w:r>
      <w:r w:rsidRPr="00702362">
        <w:rPr>
          <w:rFonts w:cstheme="minorHAnsi"/>
        </w:rPr>
        <w:t xml:space="preserve">as their income support payment </w:t>
      </w:r>
      <w:r>
        <w:rPr>
          <w:rFonts w:cstheme="minorHAnsi"/>
        </w:rPr>
        <w:t xml:space="preserve">had </w:t>
      </w:r>
      <w:r w:rsidRPr="00702362">
        <w:rPr>
          <w:rFonts w:cstheme="minorHAnsi"/>
        </w:rPr>
        <w:t>be</w:t>
      </w:r>
      <w:r>
        <w:rPr>
          <w:rFonts w:cstheme="minorHAnsi"/>
        </w:rPr>
        <w:t>en</w:t>
      </w:r>
      <w:r w:rsidRPr="00702362">
        <w:rPr>
          <w:rFonts w:cstheme="minorHAnsi"/>
        </w:rPr>
        <w:t xml:space="preserve"> suspended</w:t>
      </w:r>
      <w:r>
        <w:rPr>
          <w:rFonts w:cstheme="minorHAnsi"/>
        </w:rPr>
        <w:t>)</w:t>
      </w:r>
      <w:r w:rsidRPr="00702362">
        <w:rPr>
          <w:rFonts w:cstheme="minorHAnsi"/>
        </w:rPr>
        <w:t xml:space="preserve">. </w:t>
      </w:r>
      <w:r>
        <w:rPr>
          <w:rFonts w:cstheme="minorHAnsi"/>
        </w:rPr>
        <w:t xml:space="preserve">This increase was substantial across all streams with re-engagement appointment attendance rates around 90 per cent or higher. </w:t>
      </w:r>
      <w:r w:rsidRPr="00702362">
        <w:rPr>
          <w:rFonts w:cstheme="minorHAnsi"/>
        </w:rPr>
        <w:t>Attendance rates for job seekers with a V</w:t>
      </w:r>
      <w:r>
        <w:rPr>
          <w:rFonts w:cstheme="minorHAnsi"/>
        </w:rPr>
        <w:t xml:space="preserve">ulnerability </w:t>
      </w:r>
      <w:r w:rsidRPr="00702362">
        <w:rPr>
          <w:rFonts w:cstheme="minorHAnsi"/>
        </w:rPr>
        <w:t>I</w:t>
      </w:r>
      <w:r>
        <w:rPr>
          <w:rFonts w:cstheme="minorHAnsi"/>
        </w:rPr>
        <w:t>ndicator (VI)</w:t>
      </w:r>
      <w:r w:rsidRPr="00702362">
        <w:rPr>
          <w:rFonts w:cstheme="minorHAnsi"/>
        </w:rPr>
        <w:t xml:space="preserve"> also significantly improved (a 19.5 percentage point increase to 87.6 per cent)</w:t>
      </w:r>
      <w:r>
        <w:rPr>
          <w:rFonts w:cstheme="minorHAnsi"/>
        </w:rPr>
        <w:t xml:space="preserve"> (Table</w:t>
      </w:r>
      <w:r w:rsidR="002231A4">
        <w:rPr>
          <w:rFonts w:cstheme="minorHAnsi"/>
        </w:rPr>
        <w:t> </w:t>
      </w:r>
      <w:r>
        <w:rPr>
          <w:rFonts w:cstheme="minorHAnsi"/>
        </w:rPr>
        <w:t>7.4)</w:t>
      </w:r>
      <w:r w:rsidRPr="00702362">
        <w:rPr>
          <w:rFonts w:cstheme="minorHAnsi"/>
        </w:rPr>
        <w:t>.</w:t>
      </w:r>
    </w:p>
    <w:p w14:paraId="56BE8DD0" w14:textId="77777777" w:rsidR="00B72AD4" w:rsidRPr="00C2452E" w:rsidRDefault="00B72AD4" w:rsidP="001D1448">
      <w:pPr>
        <w:pStyle w:val="Tableforcontents"/>
        <w:keepLines/>
      </w:pPr>
      <w:bookmarkStart w:id="456" w:name="_Toc22543997"/>
      <w:r w:rsidRPr="001B7264">
        <w:t xml:space="preserve">Table </w:t>
      </w:r>
      <w:r w:rsidR="003C29A5">
        <w:t>7</w:t>
      </w:r>
      <w:r>
        <w:t>.</w:t>
      </w:r>
      <w:r w:rsidR="00B2456E">
        <w:t>4</w:t>
      </w:r>
      <w:r>
        <w:t>:</w:t>
      </w:r>
      <w:r w:rsidR="003C29A5">
        <w:t xml:space="preserve"> </w:t>
      </w:r>
      <w:r w:rsidR="00F548F1">
        <w:t>Appointment</w:t>
      </w:r>
      <w:r w:rsidR="00F548F1" w:rsidRPr="001B7264">
        <w:t xml:space="preserve"> </w:t>
      </w:r>
      <w:r w:rsidRPr="001B7264">
        <w:t xml:space="preserve">attendance rates before and after introduction of the </w:t>
      </w:r>
      <w:r w:rsidRPr="00C2452E">
        <w:t>Strengthening the Job Seeker Compliance Framework measure</w:t>
      </w:r>
      <w:r>
        <w:t xml:space="preserve"> (per cent)</w:t>
      </w:r>
      <w:bookmarkEnd w:id="456"/>
    </w:p>
    <w:tbl>
      <w:tblPr>
        <w:tblStyle w:val="TableGrid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418"/>
        <w:gridCol w:w="1418"/>
        <w:gridCol w:w="1417"/>
        <w:gridCol w:w="1417"/>
        <w:gridCol w:w="1418"/>
        <w:gridCol w:w="1417"/>
      </w:tblGrid>
      <w:tr w:rsidR="00B72AD4" w:rsidRPr="001D1448" w14:paraId="64AC64B5" w14:textId="77777777" w:rsidTr="001D1448">
        <w:trPr>
          <w:tblHeader/>
        </w:trPr>
        <w:tc>
          <w:tcPr>
            <w:tcW w:w="817" w:type="dxa"/>
            <w:shd w:val="clear" w:color="auto" w:fill="1E3D6B"/>
          </w:tcPr>
          <w:p w14:paraId="67533DCD" w14:textId="77777777" w:rsidR="00B72AD4" w:rsidRPr="001D1448" w:rsidRDefault="00B72AD4" w:rsidP="001D1448">
            <w:pPr>
              <w:pStyle w:val="Tableheadingleftaligned"/>
              <w:keepNext/>
              <w:keepLines/>
            </w:pPr>
            <w:bookmarkStart w:id="457" w:name="Title_74"/>
            <w:bookmarkEnd w:id="457"/>
            <w:r w:rsidRPr="001D1448">
              <w:t>Stream</w:t>
            </w:r>
          </w:p>
        </w:tc>
        <w:tc>
          <w:tcPr>
            <w:tcW w:w="1418" w:type="dxa"/>
            <w:shd w:val="clear" w:color="auto" w:fill="1E3D6B"/>
          </w:tcPr>
          <w:p w14:paraId="7F76C81F" w14:textId="77777777" w:rsidR="00B72AD4" w:rsidRPr="001D1448" w:rsidRDefault="00B72AD4" w:rsidP="00E61200">
            <w:pPr>
              <w:pStyle w:val="Tableheadingleftaligned"/>
              <w:keepNext/>
              <w:keepLines/>
              <w:jc w:val="center"/>
              <w:rPr>
                <w:color w:val="FFFFFF" w:themeColor="background2"/>
              </w:rPr>
            </w:pPr>
            <w:r w:rsidRPr="001D1448">
              <w:rPr>
                <w:rFonts w:cstheme="minorHAnsi"/>
                <w:color w:val="FFFFFF" w:themeColor="background2"/>
                <w:lang w:eastAsia="en-AU"/>
              </w:rPr>
              <w:t xml:space="preserve">All </w:t>
            </w:r>
            <w:r w:rsidR="00E61200">
              <w:rPr>
                <w:rFonts w:cstheme="minorHAnsi"/>
                <w:color w:val="FFFFFF" w:themeColor="background2"/>
                <w:lang w:eastAsia="en-AU"/>
              </w:rPr>
              <w:t>a</w:t>
            </w:r>
            <w:r w:rsidR="00F548F1" w:rsidRPr="001D1448">
              <w:rPr>
                <w:rFonts w:cstheme="minorHAnsi"/>
                <w:color w:val="FFFFFF" w:themeColor="background2"/>
                <w:lang w:eastAsia="en-AU"/>
              </w:rPr>
              <w:t>ppointments</w:t>
            </w:r>
            <w:r w:rsidR="001D1448">
              <w:rPr>
                <w:rFonts w:cstheme="minorHAnsi"/>
                <w:color w:val="FFFFFF" w:themeColor="background2"/>
                <w:lang w:eastAsia="en-AU"/>
              </w:rPr>
              <w:br/>
            </w:r>
            <w:r w:rsidR="00E61200">
              <w:rPr>
                <w:rFonts w:cstheme="minorHAnsi"/>
                <w:color w:val="FFFFFF" w:themeColor="background2"/>
                <w:lang w:eastAsia="en-AU"/>
              </w:rPr>
              <w:t>b</w:t>
            </w:r>
            <w:r w:rsidRPr="001D1448">
              <w:rPr>
                <w:rFonts w:cstheme="minorHAnsi"/>
                <w:color w:val="FFFFFF" w:themeColor="background2"/>
                <w:lang w:eastAsia="en-AU"/>
              </w:rPr>
              <w:t>efore</w:t>
            </w:r>
            <w:r w:rsidR="001D1448">
              <w:rPr>
                <w:rFonts w:cstheme="minorHAnsi"/>
                <w:color w:val="FFFFFF" w:themeColor="background2"/>
                <w:lang w:eastAsia="en-AU"/>
              </w:rPr>
              <w:br/>
            </w:r>
            <w:r w:rsidRPr="001D1448">
              <w:rPr>
                <w:rFonts w:cstheme="minorHAnsi"/>
                <w:color w:val="FFFFFF" w:themeColor="background2"/>
                <w:lang w:eastAsia="en-AU"/>
              </w:rPr>
              <w:t>(</w:t>
            </w:r>
            <w:r w:rsidR="001D1448">
              <w:rPr>
                <w:rFonts w:cstheme="minorHAnsi"/>
                <w:color w:val="FFFFFF" w:themeColor="background2"/>
                <w:lang w:eastAsia="en-AU"/>
              </w:rPr>
              <w:t>%</w:t>
            </w:r>
            <w:r w:rsidRPr="001D1448">
              <w:rPr>
                <w:rFonts w:cstheme="minorHAnsi"/>
                <w:color w:val="FFFFFF" w:themeColor="background2"/>
                <w:lang w:eastAsia="en-AU"/>
              </w:rPr>
              <w:t>)</w:t>
            </w:r>
          </w:p>
        </w:tc>
        <w:tc>
          <w:tcPr>
            <w:tcW w:w="1418" w:type="dxa"/>
            <w:shd w:val="clear" w:color="auto" w:fill="1E3D6B"/>
          </w:tcPr>
          <w:p w14:paraId="0AE847A0" w14:textId="77777777" w:rsidR="00B72AD4" w:rsidRPr="001D1448" w:rsidRDefault="00907D0E" w:rsidP="00E61200">
            <w:pPr>
              <w:pStyle w:val="Tableheadingleftaligned"/>
              <w:keepNext/>
              <w:keepLines/>
              <w:ind w:left="-89" w:right="-88"/>
              <w:jc w:val="center"/>
              <w:rPr>
                <w:color w:val="FFFFFF" w:themeColor="background2"/>
              </w:rPr>
            </w:pPr>
            <w:r>
              <w:rPr>
                <w:rFonts w:cstheme="minorHAnsi"/>
                <w:color w:val="FFFFFF" w:themeColor="background2"/>
                <w:lang w:eastAsia="en-AU"/>
              </w:rPr>
              <w:t>Re-engagement</w:t>
            </w:r>
            <w:r w:rsidR="001D1448">
              <w:rPr>
                <w:rFonts w:cstheme="minorHAnsi"/>
                <w:color w:val="FFFFFF" w:themeColor="background2"/>
                <w:lang w:eastAsia="en-AU"/>
              </w:rPr>
              <w:br/>
            </w:r>
            <w:r w:rsidR="00E61200">
              <w:rPr>
                <w:rFonts w:cstheme="minorHAnsi"/>
                <w:color w:val="FFFFFF" w:themeColor="background2"/>
                <w:lang w:eastAsia="en-AU"/>
              </w:rPr>
              <w:t>a</w:t>
            </w:r>
            <w:r w:rsidR="00F548F1" w:rsidRPr="001D1448">
              <w:rPr>
                <w:rFonts w:cstheme="minorHAnsi"/>
                <w:color w:val="FFFFFF" w:themeColor="background2"/>
                <w:lang w:eastAsia="en-AU"/>
              </w:rPr>
              <w:t>ppointments</w:t>
            </w:r>
            <w:r w:rsidR="000A7969">
              <w:rPr>
                <w:rFonts w:cstheme="minorHAnsi"/>
                <w:color w:val="FFFFFF" w:themeColor="background2"/>
                <w:lang w:eastAsia="en-AU"/>
              </w:rPr>
              <w:br/>
              <w:t>before</w:t>
            </w:r>
            <w:r w:rsidR="001D1448">
              <w:rPr>
                <w:rFonts w:cstheme="minorHAnsi"/>
                <w:color w:val="FFFFFF" w:themeColor="background2"/>
                <w:lang w:eastAsia="en-AU"/>
              </w:rPr>
              <w:br/>
            </w:r>
            <w:r w:rsidR="00B72AD4" w:rsidRPr="001D1448">
              <w:rPr>
                <w:rFonts w:cstheme="minorHAnsi"/>
                <w:color w:val="FFFFFF" w:themeColor="background2"/>
                <w:lang w:eastAsia="en-AU"/>
              </w:rPr>
              <w:t>(</w:t>
            </w:r>
            <w:r w:rsidR="001D1448">
              <w:rPr>
                <w:rFonts w:cstheme="minorHAnsi"/>
                <w:color w:val="FFFFFF" w:themeColor="background2"/>
                <w:lang w:eastAsia="en-AU"/>
              </w:rPr>
              <w:t>%</w:t>
            </w:r>
            <w:r w:rsidR="00B72AD4" w:rsidRPr="001D1448">
              <w:rPr>
                <w:rFonts w:cstheme="minorHAnsi"/>
                <w:color w:val="FFFFFF" w:themeColor="background2"/>
                <w:lang w:eastAsia="en-AU"/>
              </w:rPr>
              <w:t>)</w:t>
            </w:r>
          </w:p>
        </w:tc>
        <w:tc>
          <w:tcPr>
            <w:tcW w:w="1417" w:type="dxa"/>
            <w:shd w:val="clear" w:color="auto" w:fill="1E3D6B"/>
          </w:tcPr>
          <w:p w14:paraId="0C106A11" w14:textId="77777777" w:rsidR="00B72AD4" w:rsidRPr="001D1448" w:rsidRDefault="001D1448" w:rsidP="00E61200">
            <w:pPr>
              <w:pStyle w:val="Tableheadingleftaligned"/>
              <w:keepNext/>
              <w:keepLines/>
              <w:jc w:val="center"/>
              <w:rPr>
                <w:color w:val="FFFFFF" w:themeColor="background2"/>
              </w:rPr>
            </w:pPr>
            <w:r>
              <w:rPr>
                <w:rFonts w:cstheme="minorHAnsi"/>
                <w:color w:val="FFFFFF" w:themeColor="background2"/>
                <w:lang w:eastAsia="en-AU"/>
              </w:rPr>
              <w:t>All</w:t>
            </w:r>
            <w:r>
              <w:rPr>
                <w:rFonts w:cstheme="minorHAnsi"/>
                <w:color w:val="FFFFFF" w:themeColor="background2"/>
                <w:lang w:eastAsia="en-AU"/>
              </w:rPr>
              <w:br/>
            </w:r>
            <w:r w:rsidR="00E61200">
              <w:rPr>
                <w:rFonts w:cstheme="minorHAnsi"/>
                <w:color w:val="FFFFFF" w:themeColor="background2"/>
                <w:lang w:eastAsia="en-AU"/>
              </w:rPr>
              <w:t>a</w:t>
            </w:r>
            <w:r w:rsidR="00F548F1" w:rsidRPr="001D1448">
              <w:rPr>
                <w:rFonts w:cstheme="minorHAnsi"/>
                <w:color w:val="FFFFFF" w:themeColor="background2"/>
                <w:lang w:eastAsia="en-AU"/>
              </w:rPr>
              <w:t>ppointments</w:t>
            </w:r>
            <w:r>
              <w:rPr>
                <w:rFonts w:cstheme="minorHAnsi"/>
                <w:color w:val="FFFFFF" w:themeColor="background2"/>
                <w:lang w:eastAsia="en-AU"/>
              </w:rPr>
              <w:br/>
            </w:r>
            <w:r w:rsidR="00E61200">
              <w:rPr>
                <w:rFonts w:cstheme="minorHAnsi"/>
                <w:color w:val="FFFFFF" w:themeColor="background2"/>
                <w:lang w:eastAsia="en-AU"/>
              </w:rPr>
              <w:t>a</w:t>
            </w:r>
            <w:r w:rsidR="00B72AD4" w:rsidRPr="001D1448">
              <w:rPr>
                <w:rFonts w:cstheme="minorHAnsi"/>
                <w:color w:val="FFFFFF" w:themeColor="background2"/>
                <w:lang w:eastAsia="en-AU"/>
              </w:rPr>
              <w:t>fter</w:t>
            </w:r>
            <w:r>
              <w:rPr>
                <w:rFonts w:cstheme="minorHAnsi"/>
                <w:color w:val="FFFFFF" w:themeColor="background2"/>
                <w:lang w:eastAsia="en-AU"/>
              </w:rPr>
              <w:br/>
            </w:r>
            <w:r w:rsidR="00B72AD4" w:rsidRPr="001D1448">
              <w:rPr>
                <w:rFonts w:cstheme="minorHAnsi"/>
                <w:color w:val="FFFFFF" w:themeColor="background2"/>
                <w:lang w:eastAsia="en-AU"/>
              </w:rPr>
              <w:t>(</w:t>
            </w:r>
            <w:r>
              <w:rPr>
                <w:rFonts w:cstheme="minorHAnsi"/>
                <w:color w:val="FFFFFF" w:themeColor="background2"/>
                <w:lang w:eastAsia="en-AU"/>
              </w:rPr>
              <w:t>%</w:t>
            </w:r>
            <w:r w:rsidR="00B72AD4" w:rsidRPr="001D1448">
              <w:rPr>
                <w:rFonts w:cstheme="minorHAnsi"/>
                <w:color w:val="FFFFFF" w:themeColor="background2"/>
                <w:lang w:eastAsia="en-AU"/>
              </w:rPr>
              <w:t>)</w:t>
            </w:r>
          </w:p>
        </w:tc>
        <w:tc>
          <w:tcPr>
            <w:tcW w:w="1417" w:type="dxa"/>
            <w:shd w:val="clear" w:color="auto" w:fill="1E3D6B"/>
          </w:tcPr>
          <w:p w14:paraId="6CC1D6B4" w14:textId="77777777" w:rsidR="00B72AD4" w:rsidRPr="001D1448" w:rsidRDefault="00907D0E" w:rsidP="00E61200">
            <w:pPr>
              <w:pStyle w:val="Tableheadingleftaligned"/>
              <w:keepNext/>
              <w:keepLines/>
              <w:ind w:left="-89" w:right="-89"/>
              <w:jc w:val="center"/>
              <w:rPr>
                <w:color w:val="FFFFFF" w:themeColor="background2"/>
              </w:rPr>
            </w:pPr>
            <w:r>
              <w:rPr>
                <w:rFonts w:cstheme="minorHAnsi"/>
                <w:color w:val="FFFFFF" w:themeColor="background2"/>
                <w:lang w:eastAsia="en-AU"/>
              </w:rPr>
              <w:t>Re-engagement</w:t>
            </w:r>
            <w:r w:rsidRPr="001D1448">
              <w:rPr>
                <w:rFonts w:cstheme="minorHAnsi"/>
                <w:color w:val="FFFFFF" w:themeColor="background2"/>
                <w:lang w:eastAsia="en-AU"/>
              </w:rPr>
              <w:t xml:space="preserve"> </w:t>
            </w:r>
            <w:r w:rsidR="00E61200">
              <w:rPr>
                <w:rFonts w:cstheme="minorHAnsi"/>
                <w:color w:val="FFFFFF" w:themeColor="background2"/>
                <w:lang w:eastAsia="en-AU"/>
              </w:rPr>
              <w:t>a</w:t>
            </w:r>
            <w:r w:rsidR="00F548F1" w:rsidRPr="001D1448">
              <w:rPr>
                <w:rFonts w:cstheme="minorHAnsi"/>
                <w:color w:val="FFFFFF" w:themeColor="background2"/>
                <w:lang w:eastAsia="en-AU"/>
              </w:rPr>
              <w:t xml:space="preserve">ppointments </w:t>
            </w:r>
            <w:r w:rsidR="00E61200">
              <w:rPr>
                <w:rFonts w:cstheme="minorHAnsi"/>
                <w:color w:val="FFFFFF" w:themeColor="background2"/>
                <w:lang w:eastAsia="en-AU"/>
              </w:rPr>
              <w:t>a</w:t>
            </w:r>
            <w:r w:rsidR="00B72AD4" w:rsidRPr="001D1448">
              <w:rPr>
                <w:rFonts w:cstheme="minorHAnsi"/>
                <w:color w:val="FFFFFF" w:themeColor="background2"/>
                <w:lang w:eastAsia="en-AU"/>
              </w:rPr>
              <w:t>fter</w:t>
            </w:r>
            <w:r w:rsidR="001D1448">
              <w:rPr>
                <w:rFonts w:cstheme="minorHAnsi"/>
                <w:color w:val="FFFFFF" w:themeColor="background2"/>
                <w:lang w:eastAsia="en-AU"/>
              </w:rPr>
              <w:br/>
            </w:r>
            <w:r w:rsidR="00B72AD4" w:rsidRPr="001D1448">
              <w:rPr>
                <w:rFonts w:cstheme="minorHAnsi"/>
                <w:color w:val="FFFFFF" w:themeColor="background2"/>
                <w:lang w:eastAsia="en-AU"/>
              </w:rPr>
              <w:t>(</w:t>
            </w:r>
            <w:r w:rsidR="001D1448">
              <w:rPr>
                <w:rFonts w:cstheme="minorHAnsi"/>
                <w:color w:val="FFFFFF" w:themeColor="background2"/>
                <w:lang w:eastAsia="en-AU"/>
              </w:rPr>
              <w:t>%</w:t>
            </w:r>
            <w:r w:rsidR="00B72AD4" w:rsidRPr="001D1448">
              <w:rPr>
                <w:rFonts w:cstheme="minorHAnsi"/>
                <w:color w:val="FFFFFF" w:themeColor="background2"/>
                <w:lang w:eastAsia="en-AU"/>
              </w:rPr>
              <w:t>)</w:t>
            </w:r>
          </w:p>
        </w:tc>
        <w:tc>
          <w:tcPr>
            <w:tcW w:w="1418" w:type="dxa"/>
            <w:shd w:val="clear" w:color="auto" w:fill="1E3D6B"/>
          </w:tcPr>
          <w:p w14:paraId="6356B0FF" w14:textId="77777777" w:rsidR="00B72AD4" w:rsidRPr="001D1448" w:rsidRDefault="00B72AD4" w:rsidP="00E61200">
            <w:pPr>
              <w:pStyle w:val="Tableheadingleftaligned"/>
              <w:keepNext/>
              <w:keepLines/>
              <w:jc w:val="center"/>
              <w:rPr>
                <w:color w:val="FFFFFF" w:themeColor="background2"/>
              </w:rPr>
            </w:pPr>
            <w:r w:rsidRPr="001D1448">
              <w:rPr>
                <w:rFonts w:cstheme="minorHAnsi"/>
                <w:color w:val="FFFFFF" w:themeColor="background2"/>
                <w:lang w:eastAsia="en-AU"/>
              </w:rPr>
              <w:t xml:space="preserve">All </w:t>
            </w:r>
            <w:r w:rsidR="00E61200">
              <w:rPr>
                <w:rFonts w:cstheme="minorHAnsi"/>
                <w:color w:val="FFFFFF" w:themeColor="background2"/>
                <w:lang w:eastAsia="en-AU"/>
              </w:rPr>
              <w:t>a</w:t>
            </w:r>
            <w:r w:rsidR="00F548F1" w:rsidRPr="001D1448">
              <w:rPr>
                <w:rFonts w:cstheme="minorHAnsi"/>
                <w:color w:val="FFFFFF" w:themeColor="background2"/>
                <w:lang w:eastAsia="en-AU"/>
              </w:rPr>
              <w:t>ppointments</w:t>
            </w:r>
            <w:r w:rsidR="001D1448">
              <w:rPr>
                <w:rFonts w:cstheme="minorHAnsi"/>
                <w:color w:val="FFFFFF" w:themeColor="background2"/>
                <w:lang w:eastAsia="en-AU"/>
              </w:rPr>
              <w:br/>
            </w:r>
            <w:r w:rsidR="00E61200">
              <w:rPr>
                <w:rFonts w:cstheme="minorHAnsi"/>
                <w:color w:val="FFFFFF" w:themeColor="background2"/>
                <w:lang w:eastAsia="en-AU"/>
              </w:rPr>
              <w:t>c</w:t>
            </w:r>
            <w:r w:rsidRPr="001D1448">
              <w:rPr>
                <w:rFonts w:cstheme="minorHAnsi"/>
                <w:color w:val="FFFFFF" w:themeColor="background2"/>
                <w:lang w:eastAsia="en-AU"/>
              </w:rPr>
              <w:t>hange</w:t>
            </w:r>
            <w:r w:rsidR="001D1448">
              <w:rPr>
                <w:rFonts w:cstheme="minorHAnsi"/>
                <w:color w:val="FFFFFF" w:themeColor="background2"/>
                <w:lang w:eastAsia="en-AU"/>
              </w:rPr>
              <w:br/>
            </w:r>
            <w:r w:rsidRPr="001D1448">
              <w:rPr>
                <w:rFonts w:cstheme="minorHAnsi"/>
                <w:color w:val="FFFFFF" w:themeColor="background2"/>
                <w:lang w:eastAsia="en-AU"/>
              </w:rPr>
              <w:t>(</w:t>
            </w:r>
            <w:r w:rsidR="001D1448">
              <w:rPr>
                <w:rFonts w:cstheme="minorHAnsi"/>
                <w:color w:val="FFFFFF" w:themeColor="background2"/>
                <w:lang w:eastAsia="en-AU"/>
              </w:rPr>
              <w:t>ppt</w:t>
            </w:r>
            <w:r w:rsidRPr="001D1448">
              <w:rPr>
                <w:rFonts w:cstheme="minorHAnsi"/>
                <w:color w:val="FFFFFF" w:themeColor="background2"/>
                <w:lang w:eastAsia="en-AU"/>
              </w:rPr>
              <w:t>)</w:t>
            </w:r>
          </w:p>
        </w:tc>
        <w:tc>
          <w:tcPr>
            <w:tcW w:w="1417" w:type="dxa"/>
            <w:shd w:val="clear" w:color="auto" w:fill="1E3D6B"/>
          </w:tcPr>
          <w:p w14:paraId="0FD11F59" w14:textId="77777777" w:rsidR="00B72AD4" w:rsidRPr="001D1448" w:rsidRDefault="00907D0E" w:rsidP="00E61200">
            <w:pPr>
              <w:pStyle w:val="Tableheadingleftaligned"/>
              <w:keepNext/>
              <w:keepLines/>
              <w:ind w:left="-89" w:right="-89"/>
              <w:jc w:val="center"/>
              <w:rPr>
                <w:color w:val="FFFFFF" w:themeColor="background2"/>
              </w:rPr>
            </w:pPr>
            <w:r>
              <w:rPr>
                <w:rFonts w:cstheme="minorHAnsi"/>
                <w:color w:val="FFFFFF" w:themeColor="background2"/>
                <w:lang w:eastAsia="en-AU"/>
              </w:rPr>
              <w:t>Re-engagement</w:t>
            </w:r>
            <w:r w:rsidR="00B72AD4" w:rsidRPr="001D1448">
              <w:rPr>
                <w:rFonts w:cstheme="minorHAnsi"/>
                <w:color w:val="FFFFFF" w:themeColor="background2"/>
                <w:lang w:eastAsia="en-AU"/>
              </w:rPr>
              <w:t xml:space="preserve"> </w:t>
            </w:r>
            <w:r w:rsidR="00E61200">
              <w:rPr>
                <w:rFonts w:cstheme="minorHAnsi"/>
                <w:color w:val="FFFFFF" w:themeColor="background2"/>
                <w:lang w:eastAsia="en-AU"/>
              </w:rPr>
              <w:t>a</w:t>
            </w:r>
            <w:r w:rsidR="00F548F1" w:rsidRPr="001D1448">
              <w:rPr>
                <w:rFonts w:cstheme="minorHAnsi"/>
                <w:color w:val="FFFFFF" w:themeColor="background2"/>
                <w:lang w:eastAsia="en-AU"/>
              </w:rPr>
              <w:t xml:space="preserve">ppointments </w:t>
            </w:r>
            <w:r w:rsidR="00E61200">
              <w:rPr>
                <w:rFonts w:cstheme="minorHAnsi"/>
                <w:color w:val="FFFFFF" w:themeColor="background2"/>
                <w:lang w:eastAsia="en-AU"/>
              </w:rPr>
              <w:t>c</w:t>
            </w:r>
            <w:r w:rsidR="00B72AD4" w:rsidRPr="001D1448">
              <w:rPr>
                <w:rFonts w:cstheme="minorHAnsi"/>
                <w:color w:val="FFFFFF" w:themeColor="background2"/>
                <w:lang w:eastAsia="en-AU"/>
              </w:rPr>
              <w:t>hange</w:t>
            </w:r>
            <w:r w:rsidR="001D1448">
              <w:rPr>
                <w:rFonts w:cstheme="minorHAnsi"/>
                <w:color w:val="FFFFFF" w:themeColor="background2"/>
                <w:lang w:eastAsia="en-AU"/>
              </w:rPr>
              <w:br/>
            </w:r>
            <w:r w:rsidR="00B72AD4" w:rsidRPr="001D1448">
              <w:rPr>
                <w:rFonts w:cstheme="minorHAnsi"/>
                <w:color w:val="FFFFFF" w:themeColor="background2"/>
                <w:lang w:eastAsia="en-AU"/>
              </w:rPr>
              <w:t>(</w:t>
            </w:r>
            <w:r w:rsidR="001D1448">
              <w:rPr>
                <w:rFonts w:cstheme="minorHAnsi"/>
                <w:color w:val="FFFFFF" w:themeColor="background2"/>
                <w:lang w:eastAsia="en-AU"/>
              </w:rPr>
              <w:t>ppt</w:t>
            </w:r>
            <w:r w:rsidR="00B72AD4" w:rsidRPr="001D1448">
              <w:rPr>
                <w:rFonts w:cstheme="minorHAnsi"/>
                <w:color w:val="FFFFFF" w:themeColor="background2"/>
                <w:lang w:eastAsia="en-AU"/>
              </w:rPr>
              <w:t>)</w:t>
            </w:r>
          </w:p>
        </w:tc>
      </w:tr>
      <w:tr w:rsidR="00B72AD4" w:rsidRPr="00916231" w14:paraId="3FEF141E" w14:textId="77777777" w:rsidTr="001D1448">
        <w:trPr>
          <w:trHeight w:hRule="exact" w:val="340"/>
        </w:trPr>
        <w:tc>
          <w:tcPr>
            <w:tcW w:w="817" w:type="dxa"/>
            <w:vAlign w:val="center"/>
          </w:tcPr>
          <w:p w14:paraId="44A0699E" w14:textId="77777777" w:rsidR="00B72AD4" w:rsidRPr="00916231" w:rsidRDefault="00B72AD4" w:rsidP="001D1448">
            <w:pPr>
              <w:pStyle w:val="Tablefirstcolumn"/>
              <w:keepNext/>
              <w:keepLines/>
            </w:pPr>
            <w:r w:rsidRPr="00916231">
              <w:t>1</w:t>
            </w:r>
          </w:p>
        </w:tc>
        <w:tc>
          <w:tcPr>
            <w:tcW w:w="1418" w:type="dxa"/>
            <w:vAlign w:val="center"/>
          </w:tcPr>
          <w:p w14:paraId="5900A186" w14:textId="77777777" w:rsidR="00B72AD4" w:rsidRPr="00916231" w:rsidRDefault="00B72AD4" w:rsidP="001D1448">
            <w:pPr>
              <w:pStyle w:val="Tablebodytextleftaligned"/>
              <w:keepNext/>
              <w:keepLines/>
              <w:spacing w:before="83"/>
              <w:ind w:right="257"/>
              <w:jc w:val="right"/>
            </w:pPr>
            <w:r w:rsidRPr="00916231">
              <w:rPr>
                <w:lang w:eastAsia="en-AU"/>
              </w:rPr>
              <w:t>81.3</w:t>
            </w:r>
          </w:p>
        </w:tc>
        <w:tc>
          <w:tcPr>
            <w:tcW w:w="1418" w:type="dxa"/>
            <w:vAlign w:val="center"/>
          </w:tcPr>
          <w:p w14:paraId="08416454" w14:textId="77777777" w:rsidR="00B72AD4" w:rsidRPr="00916231" w:rsidRDefault="00B72AD4" w:rsidP="001D1448">
            <w:pPr>
              <w:pStyle w:val="Tablebodytextleftaligned"/>
              <w:keepNext/>
              <w:keepLines/>
              <w:spacing w:before="83"/>
              <w:ind w:right="257"/>
              <w:jc w:val="right"/>
            </w:pPr>
            <w:r w:rsidRPr="00916231">
              <w:rPr>
                <w:lang w:eastAsia="en-AU"/>
              </w:rPr>
              <w:t>78.0</w:t>
            </w:r>
          </w:p>
        </w:tc>
        <w:tc>
          <w:tcPr>
            <w:tcW w:w="1417" w:type="dxa"/>
            <w:vAlign w:val="center"/>
          </w:tcPr>
          <w:p w14:paraId="4FB2AB67" w14:textId="77777777" w:rsidR="00B72AD4" w:rsidRPr="00916231" w:rsidRDefault="00B72AD4" w:rsidP="001D1448">
            <w:pPr>
              <w:pStyle w:val="Tablebodytextleftaligned"/>
              <w:keepNext/>
              <w:keepLines/>
              <w:spacing w:before="83"/>
              <w:ind w:left="-90" w:right="380"/>
              <w:jc w:val="right"/>
            </w:pPr>
            <w:r w:rsidRPr="00916231">
              <w:rPr>
                <w:lang w:eastAsia="en-AU"/>
              </w:rPr>
              <w:t>82.1</w:t>
            </w:r>
          </w:p>
        </w:tc>
        <w:tc>
          <w:tcPr>
            <w:tcW w:w="1417" w:type="dxa"/>
            <w:vAlign w:val="center"/>
          </w:tcPr>
          <w:p w14:paraId="146673CD" w14:textId="77777777" w:rsidR="00B72AD4" w:rsidRPr="00916231" w:rsidRDefault="00B72AD4" w:rsidP="001D1448">
            <w:pPr>
              <w:pStyle w:val="Tablebodytextleftaligned"/>
              <w:keepNext/>
              <w:keepLines/>
              <w:spacing w:before="83"/>
              <w:ind w:left="-89" w:right="380"/>
              <w:jc w:val="right"/>
            </w:pPr>
            <w:r w:rsidRPr="00916231">
              <w:rPr>
                <w:lang w:eastAsia="en-AU"/>
              </w:rPr>
              <w:t>92.4</w:t>
            </w:r>
          </w:p>
        </w:tc>
        <w:tc>
          <w:tcPr>
            <w:tcW w:w="1418" w:type="dxa"/>
            <w:vAlign w:val="center"/>
          </w:tcPr>
          <w:p w14:paraId="397529BC" w14:textId="77777777" w:rsidR="00B72AD4" w:rsidRPr="00916231" w:rsidRDefault="00B72AD4" w:rsidP="001D1448">
            <w:pPr>
              <w:pStyle w:val="Tablebodytextleftaligned"/>
              <w:keepNext/>
              <w:keepLines/>
              <w:spacing w:before="83"/>
              <w:ind w:left="-89" w:right="380"/>
              <w:jc w:val="right"/>
            </w:pPr>
            <w:r w:rsidRPr="00916231">
              <w:rPr>
                <w:lang w:eastAsia="en-AU"/>
              </w:rPr>
              <w:t>0.8</w:t>
            </w:r>
          </w:p>
        </w:tc>
        <w:tc>
          <w:tcPr>
            <w:tcW w:w="1417" w:type="dxa"/>
            <w:vAlign w:val="center"/>
          </w:tcPr>
          <w:p w14:paraId="5ECED5DB" w14:textId="77777777" w:rsidR="00B72AD4" w:rsidRPr="00916231" w:rsidRDefault="00B72AD4" w:rsidP="001D1448">
            <w:pPr>
              <w:pStyle w:val="Tablebodytextleftaligned"/>
              <w:keepNext/>
              <w:keepLines/>
              <w:spacing w:before="83"/>
              <w:ind w:left="-89" w:right="380"/>
              <w:jc w:val="right"/>
            </w:pPr>
            <w:r w:rsidRPr="00916231">
              <w:rPr>
                <w:lang w:eastAsia="en-AU"/>
              </w:rPr>
              <w:t>14.4</w:t>
            </w:r>
          </w:p>
        </w:tc>
      </w:tr>
      <w:tr w:rsidR="00B72AD4" w:rsidRPr="00916231" w14:paraId="3AF47FA4" w14:textId="77777777" w:rsidTr="001D1448">
        <w:trPr>
          <w:trHeight w:hRule="exact" w:val="340"/>
        </w:trPr>
        <w:tc>
          <w:tcPr>
            <w:tcW w:w="817" w:type="dxa"/>
            <w:shd w:val="clear" w:color="auto" w:fill="E5E5E5" w:themeFill="background1" w:themeFillTint="33"/>
            <w:vAlign w:val="center"/>
          </w:tcPr>
          <w:p w14:paraId="51E38968" w14:textId="77777777" w:rsidR="00B72AD4" w:rsidRPr="00916231" w:rsidRDefault="00B72AD4" w:rsidP="001D1448">
            <w:pPr>
              <w:pStyle w:val="Tablefirstcolumn"/>
              <w:keepNext/>
              <w:keepLines/>
            </w:pPr>
            <w:r w:rsidRPr="00916231">
              <w:t>2</w:t>
            </w:r>
          </w:p>
        </w:tc>
        <w:tc>
          <w:tcPr>
            <w:tcW w:w="1418" w:type="dxa"/>
            <w:shd w:val="clear" w:color="auto" w:fill="E5E5E5" w:themeFill="background1" w:themeFillTint="33"/>
            <w:vAlign w:val="center"/>
          </w:tcPr>
          <w:p w14:paraId="211B31B3" w14:textId="77777777" w:rsidR="00B72AD4" w:rsidRPr="00916231" w:rsidRDefault="00B72AD4" w:rsidP="001D1448">
            <w:pPr>
              <w:pStyle w:val="Tablebodytextleftaligned"/>
              <w:keepNext/>
              <w:keepLines/>
              <w:spacing w:before="83"/>
              <w:ind w:right="257"/>
              <w:jc w:val="right"/>
            </w:pPr>
            <w:r w:rsidRPr="00916231">
              <w:rPr>
                <w:lang w:eastAsia="en-AU"/>
              </w:rPr>
              <w:t>74.0</w:t>
            </w:r>
          </w:p>
        </w:tc>
        <w:tc>
          <w:tcPr>
            <w:tcW w:w="1418" w:type="dxa"/>
            <w:shd w:val="clear" w:color="auto" w:fill="E5E5E5" w:themeFill="background1" w:themeFillTint="33"/>
            <w:vAlign w:val="center"/>
          </w:tcPr>
          <w:p w14:paraId="2B4E6E7B" w14:textId="77777777" w:rsidR="00B72AD4" w:rsidRPr="00916231" w:rsidRDefault="00B72AD4" w:rsidP="001D1448">
            <w:pPr>
              <w:pStyle w:val="Tablebodytextleftaligned"/>
              <w:keepNext/>
              <w:keepLines/>
              <w:spacing w:before="83"/>
              <w:ind w:right="257"/>
              <w:jc w:val="right"/>
            </w:pPr>
            <w:r w:rsidRPr="00916231">
              <w:rPr>
                <w:lang w:eastAsia="en-AU"/>
              </w:rPr>
              <w:t>76.5</w:t>
            </w:r>
          </w:p>
        </w:tc>
        <w:tc>
          <w:tcPr>
            <w:tcW w:w="1417" w:type="dxa"/>
            <w:shd w:val="clear" w:color="auto" w:fill="E5E5E5" w:themeFill="background1" w:themeFillTint="33"/>
            <w:vAlign w:val="center"/>
          </w:tcPr>
          <w:p w14:paraId="7AF11EF9" w14:textId="77777777" w:rsidR="00B72AD4" w:rsidRPr="00916231" w:rsidRDefault="00B72AD4" w:rsidP="001D1448">
            <w:pPr>
              <w:pStyle w:val="Tablebodytextleftaligned"/>
              <w:keepNext/>
              <w:keepLines/>
              <w:spacing w:before="83"/>
              <w:ind w:left="-90" w:right="380"/>
              <w:jc w:val="right"/>
            </w:pPr>
            <w:r w:rsidRPr="00916231">
              <w:rPr>
                <w:lang w:eastAsia="en-AU"/>
              </w:rPr>
              <w:t>76.4</w:t>
            </w:r>
          </w:p>
        </w:tc>
        <w:tc>
          <w:tcPr>
            <w:tcW w:w="1417" w:type="dxa"/>
            <w:shd w:val="clear" w:color="auto" w:fill="E5E5E5" w:themeFill="background1" w:themeFillTint="33"/>
            <w:vAlign w:val="center"/>
          </w:tcPr>
          <w:p w14:paraId="0F3E42CD" w14:textId="77777777" w:rsidR="00B72AD4" w:rsidRPr="00916231" w:rsidRDefault="00B72AD4" w:rsidP="001D1448">
            <w:pPr>
              <w:pStyle w:val="Tablebodytextleftaligned"/>
              <w:keepNext/>
              <w:keepLines/>
              <w:spacing w:before="83"/>
              <w:ind w:left="-89" w:right="380"/>
              <w:jc w:val="right"/>
            </w:pPr>
            <w:r w:rsidRPr="00916231">
              <w:rPr>
                <w:lang w:eastAsia="en-AU"/>
              </w:rPr>
              <w:t>91.8</w:t>
            </w:r>
          </w:p>
        </w:tc>
        <w:tc>
          <w:tcPr>
            <w:tcW w:w="1418" w:type="dxa"/>
            <w:shd w:val="clear" w:color="auto" w:fill="E5E5E5" w:themeFill="background1" w:themeFillTint="33"/>
            <w:vAlign w:val="center"/>
          </w:tcPr>
          <w:p w14:paraId="62956E30" w14:textId="77777777" w:rsidR="00B72AD4" w:rsidRPr="00916231" w:rsidRDefault="00B72AD4" w:rsidP="001D1448">
            <w:pPr>
              <w:pStyle w:val="Tablebodytextleftaligned"/>
              <w:keepNext/>
              <w:keepLines/>
              <w:spacing w:before="83"/>
              <w:ind w:left="-89" w:right="380"/>
              <w:jc w:val="right"/>
            </w:pPr>
            <w:r w:rsidRPr="00916231">
              <w:rPr>
                <w:lang w:eastAsia="en-AU"/>
              </w:rPr>
              <w:t>2.3</w:t>
            </w:r>
          </w:p>
        </w:tc>
        <w:tc>
          <w:tcPr>
            <w:tcW w:w="1417" w:type="dxa"/>
            <w:shd w:val="clear" w:color="auto" w:fill="E5E5E5" w:themeFill="background1" w:themeFillTint="33"/>
            <w:vAlign w:val="center"/>
          </w:tcPr>
          <w:p w14:paraId="19B11EBA" w14:textId="77777777" w:rsidR="00B72AD4" w:rsidRPr="00916231" w:rsidRDefault="00B72AD4" w:rsidP="001D1448">
            <w:pPr>
              <w:pStyle w:val="Tablebodytextleftaligned"/>
              <w:keepNext/>
              <w:keepLines/>
              <w:spacing w:before="83"/>
              <w:ind w:left="-89" w:right="380"/>
              <w:jc w:val="right"/>
            </w:pPr>
            <w:r w:rsidRPr="00916231">
              <w:rPr>
                <w:lang w:eastAsia="en-AU"/>
              </w:rPr>
              <w:t>15.2</w:t>
            </w:r>
          </w:p>
        </w:tc>
      </w:tr>
      <w:tr w:rsidR="00B72AD4" w:rsidRPr="00916231" w14:paraId="34545362" w14:textId="77777777" w:rsidTr="001D1448">
        <w:trPr>
          <w:trHeight w:hRule="exact" w:val="340"/>
        </w:trPr>
        <w:tc>
          <w:tcPr>
            <w:tcW w:w="817" w:type="dxa"/>
            <w:vAlign w:val="center"/>
          </w:tcPr>
          <w:p w14:paraId="50D187A6" w14:textId="77777777" w:rsidR="00B72AD4" w:rsidRPr="00916231" w:rsidRDefault="00B72AD4" w:rsidP="001D1448">
            <w:pPr>
              <w:pStyle w:val="Tablefirstcolumn"/>
              <w:keepNext/>
              <w:keepLines/>
            </w:pPr>
            <w:r w:rsidRPr="00916231">
              <w:t>3</w:t>
            </w:r>
          </w:p>
        </w:tc>
        <w:tc>
          <w:tcPr>
            <w:tcW w:w="1418" w:type="dxa"/>
            <w:vAlign w:val="center"/>
          </w:tcPr>
          <w:p w14:paraId="114DD9AD" w14:textId="77777777" w:rsidR="00B72AD4" w:rsidRPr="00916231" w:rsidRDefault="00B72AD4" w:rsidP="001D1448">
            <w:pPr>
              <w:pStyle w:val="Tablebodytextleftaligned"/>
              <w:keepNext/>
              <w:keepLines/>
              <w:spacing w:before="83"/>
              <w:ind w:right="257"/>
              <w:jc w:val="right"/>
            </w:pPr>
            <w:r w:rsidRPr="00916231">
              <w:rPr>
                <w:lang w:eastAsia="en-AU"/>
              </w:rPr>
              <w:t>73.9</w:t>
            </w:r>
          </w:p>
        </w:tc>
        <w:tc>
          <w:tcPr>
            <w:tcW w:w="1418" w:type="dxa"/>
            <w:vAlign w:val="center"/>
          </w:tcPr>
          <w:p w14:paraId="72A48AAD" w14:textId="77777777" w:rsidR="00B72AD4" w:rsidRPr="00916231" w:rsidRDefault="00B72AD4" w:rsidP="001D1448">
            <w:pPr>
              <w:pStyle w:val="Tablebodytextleftaligned"/>
              <w:keepNext/>
              <w:keepLines/>
              <w:spacing w:before="83"/>
              <w:ind w:right="257"/>
              <w:jc w:val="right"/>
            </w:pPr>
            <w:r w:rsidRPr="00916231">
              <w:rPr>
                <w:lang w:eastAsia="en-AU"/>
              </w:rPr>
              <w:t>76.4</w:t>
            </w:r>
          </w:p>
        </w:tc>
        <w:tc>
          <w:tcPr>
            <w:tcW w:w="1417" w:type="dxa"/>
            <w:vAlign w:val="center"/>
          </w:tcPr>
          <w:p w14:paraId="2D68FDF8" w14:textId="77777777" w:rsidR="00B72AD4" w:rsidRPr="00916231" w:rsidRDefault="00B72AD4" w:rsidP="001D1448">
            <w:pPr>
              <w:pStyle w:val="Tablebodytextleftaligned"/>
              <w:keepNext/>
              <w:keepLines/>
              <w:spacing w:before="83"/>
              <w:ind w:left="-90" w:right="380"/>
              <w:jc w:val="right"/>
            </w:pPr>
            <w:r w:rsidRPr="00916231">
              <w:rPr>
                <w:lang w:eastAsia="en-AU"/>
              </w:rPr>
              <w:t>75.2</w:t>
            </w:r>
          </w:p>
        </w:tc>
        <w:tc>
          <w:tcPr>
            <w:tcW w:w="1417" w:type="dxa"/>
            <w:vAlign w:val="center"/>
          </w:tcPr>
          <w:p w14:paraId="2FE3D4F5" w14:textId="77777777" w:rsidR="00B72AD4" w:rsidRPr="00916231" w:rsidRDefault="00B72AD4" w:rsidP="001D1448">
            <w:pPr>
              <w:pStyle w:val="Tablebodytextleftaligned"/>
              <w:keepNext/>
              <w:keepLines/>
              <w:spacing w:before="83"/>
              <w:ind w:left="-89" w:right="380"/>
              <w:jc w:val="right"/>
            </w:pPr>
            <w:r w:rsidRPr="00916231">
              <w:rPr>
                <w:lang w:eastAsia="en-AU"/>
              </w:rPr>
              <w:t>91.0</w:t>
            </w:r>
          </w:p>
        </w:tc>
        <w:tc>
          <w:tcPr>
            <w:tcW w:w="1418" w:type="dxa"/>
            <w:vAlign w:val="center"/>
          </w:tcPr>
          <w:p w14:paraId="526D87E1" w14:textId="77777777" w:rsidR="00B72AD4" w:rsidRPr="00916231" w:rsidRDefault="00B72AD4" w:rsidP="001D1448">
            <w:pPr>
              <w:pStyle w:val="Tablebodytextleftaligned"/>
              <w:keepNext/>
              <w:keepLines/>
              <w:spacing w:before="83"/>
              <w:ind w:left="-89" w:right="380"/>
              <w:jc w:val="right"/>
            </w:pPr>
            <w:r w:rsidRPr="00916231">
              <w:rPr>
                <w:lang w:eastAsia="en-AU"/>
              </w:rPr>
              <w:t>1.3</w:t>
            </w:r>
          </w:p>
        </w:tc>
        <w:tc>
          <w:tcPr>
            <w:tcW w:w="1417" w:type="dxa"/>
            <w:vAlign w:val="center"/>
          </w:tcPr>
          <w:p w14:paraId="4F02AA83" w14:textId="77777777" w:rsidR="00B72AD4" w:rsidRPr="00916231" w:rsidRDefault="00B72AD4" w:rsidP="001D1448">
            <w:pPr>
              <w:pStyle w:val="Tablebodytextleftaligned"/>
              <w:keepNext/>
              <w:keepLines/>
              <w:spacing w:before="83"/>
              <w:ind w:left="-89" w:right="380"/>
              <w:jc w:val="right"/>
            </w:pPr>
            <w:r w:rsidRPr="00916231">
              <w:rPr>
                <w:lang w:eastAsia="en-AU"/>
              </w:rPr>
              <w:t>14.7</w:t>
            </w:r>
          </w:p>
        </w:tc>
      </w:tr>
      <w:tr w:rsidR="00B72AD4" w:rsidRPr="00916231" w14:paraId="7A6B395D" w14:textId="77777777" w:rsidTr="001D1448">
        <w:trPr>
          <w:trHeight w:hRule="exact" w:val="340"/>
        </w:trPr>
        <w:tc>
          <w:tcPr>
            <w:tcW w:w="817" w:type="dxa"/>
            <w:shd w:val="clear" w:color="auto" w:fill="E5E5E5" w:themeFill="background1" w:themeFillTint="33"/>
            <w:vAlign w:val="center"/>
          </w:tcPr>
          <w:p w14:paraId="220FB0BE" w14:textId="77777777" w:rsidR="00B72AD4" w:rsidRPr="00916231" w:rsidRDefault="00B72AD4" w:rsidP="001D1448">
            <w:pPr>
              <w:pStyle w:val="Tablefirstcolumn"/>
              <w:keepNext/>
              <w:keepLines/>
            </w:pPr>
            <w:r w:rsidRPr="00916231">
              <w:t>4</w:t>
            </w:r>
          </w:p>
        </w:tc>
        <w:tc>
          <w:tcPr>
            <w:tcW w:w="1418" w:type="dxa"/>
            <w:shd w:val="clear" w:color="auto" w:fill="E5E5E5" w:themeFill="background1" w:themeFillTint="33"/>
            <w:vAlign w:val="center"/>
          </w:tcPr>
          <w:p w14:paraId="4EFC3034" w14:textId="77777777" w:rsidR="00B72AD4" w:rsidRPr="00916231" w:rsidRDefault="00B72AD4" w:rsidP="001D1448">
            <w:pPr>
              <w:pStyle w:val="Tablebodytextleftaligned"/>
              <w:keepNext/>
              <w:keepLines/>
              <w:spacing w:before="83"/>
              <w:ind w:right="257"/>
              <w:jc w:val="right"/>
            </w:pPr>
            <w:r w:rsidRPr="00916231">
              <w:rPr>
                <w:lang w:eastAsia="en-AU"/>
              </w:rPr>
              <w:t>68.4</w:t>
            </w:r>
          </w:p>
        </w:tc>
        <w:tc>
          <w:tcPr>
            <w:tcW w:w="1418" w:type="dxa"/>
            <w:shd w:val="clear" w:color="auto" w:fill="E5E5E5" w:themeFill="background1" w:themeFillTint="33"/>
            <w:vAlign w:val="center"/>
          </w:tcPr>
          <w:p w14:paraId="3BD22A29" w14:textId="77777777" w:rsidR="00B72AD4" w:rsidRPr="00916231" w:rsidRDefault="00B72AD4" w:rsidP="001D1448">
            <w:pPr>
              <w:pStyle w:val="Tablebodytextleftaligned"/>
              <w:keepNext/>
              <w:keepLines/>
              <w:spacing w:before="83"/>
              <w:ind w:right="257"/>
              <w:jc w:val="right"/>
            </w:pPr>
            <w:r w:rsidRPr="00916231">
              <w:rPr>
                <w:lang w:eastAsia="en-AU"/>
              </w:rPr>
              <w:t>68.3</w:t>
            </w:r>
          </w:p>
        </w:tc>
        <w:tc>
          <w:tcPr>
            <w:tcW w:w="1417" w:type="dxa"/>
            <w:shd w:val="clear" w:color="auto" w:fill="E5E5E5" w:themeFill="background1" w:themeFillTint="33"/>
            <w:vAlign w:val="center"/>
          </w:tcPr>
          <w:p w14:paraId="08A8369F" w14:textId="77777777" w:rsidR="00B72AD4" w:rsidRPr="00916231" w:rsidRDefault="00B72AD4" w:rsidP="001D1448">
            <w:pPr>
              <w:pStyle w:val="Tablebodytextleftaligned"/>
              <w:keepNext/>
              <w:keepLines/>
              <w:spacing w:before="83"/>
              <w:ind w:left="-90" w:right="380"/>
              <w:jc w:val="right"/>
            </w:pPr>
            <w:r w:rsidRPr="00916231">
              <w:rPr>
                <w:lang w:eastAsia="en-AU"/>
              </w:rPr>
              <w:t>69.5</w:t>
            </w:r>
          </w:p>
        </w:tc>
        <w:tc>
          <w:tcPr>
            <w:tcW w:w="1417" w:type="dxa"/>
            <w:shd w:val="clear" w:color="auto" w:fill="E5E5E5" w:themeFill="background1" w:themeFillTint="33"/>
            <w:vAlign w:val="center"/>
          </w:tcPr>
          <w:p w14:paraId="38442F6E" w14:textId="77777777" w:rsidR="00B72AD4" w:rsidRPr="00916231" w:rsidRDefault="00B72AD4" w:rsidP="001D1448">
            <w:pPr>
              <w:pStyle w:val="Tablebodytextleftaligned"/>
              <w:keepNext/>
              <w:keepLines/>
              <w:spacing w:before="83"/>
              <w:ind w:left="-89" w:right="380"/>
              <w:jc w:val="right"/>
            </w:pPr>
            <w:r w:rsidRPr="00916231">
              <w:rPr>
                <w:lang w:eastAsia="en-AU"/>
              </w:rPr>
              <w:t>89.5</w:t>
            </w:r>
          </w:p>
        </w:tc>
        <w:tc>
          <w:tcPr>
            <w:tcW w:w="1418" w:type="dxa"/>
            <w:shd w:val="clear" w:color="auto" w:fill="E5E5E5" w:themeFill="background1" w:themeFillTint="33"/>
            <w:vAlign w:val="center"/>
          </w:tcPr>
          <w:p w14:paraId="2ADC553F" w14:textId="77777777" w:rsidR="00B72AD4" w:rsidRPr="00916231" w:rsidRDefault="00B72AD4" w:rsidP="001D1448">
            <w:pPr>
              <w:pStyle w:val="Tablebodytextleftaligned"/>
              <w:keepNext/>
              <w:keepLines/>
              <w:spacing w:before="83"/>
              <w:ind w:left="-89" w:right="380"/>
              <w:jc w:val="right"/>
            </w:pPr>
            <w:r w:rsidRPr="00916231">
              <w:rPr>
                <w:lang w:eastAsia="en-AU"/>
              </w:rPr>
              <w:t>1.1</w:t>
            </w:r>
          </w:p>
        </w:tc>
        <w:tc>
          <w:tcPr>
            <w:tcW w:w="1417" w:type="dxa"/>
            <w:shd w:val="clear" w:color="auto" w:fill="E5E5E5" w:themeFill="background1" w:themeFillTint="33"/>
            <w:vAlign w:val="center"/>
          </w:tcPr>
          <w:p w14:paraId="61BF13E6" w14:textId="77777777" w:rsidR="00B72AD4" w:rsidRPr="00916231" w:rsidRDefault="00B72AD4" w:rsidP="001D1448">
            <w:pPr>
              <w:pStyle w:val="Tablebodytextleftaligned"/>
              <w:keepNext/>
              <w:keepLines/>
              <w:spacing w:before="83"/>
              <w:ind w:left="-89" w:right="380"/>
              <w:jc w:val="right"/>
            </w:pPr>
            <w:r w:rsidRPr="00916231">
              <w:rPr>
                <w:lang w:eastAsia="en-AU"/>
              </w:rPr>
              <w:t>21.2</w:t>
            </w:r>
          </w:p>
        </w:tc>
      </w:tr>
      <w:tr w:rsidR="00B72AD4" w:rsidRPr="00916231" w14:paraId="395E2261" w14:textId="77777777" w:rsidTr="001D1448">
        <w:trPr>
          <w:trHeight w:hRule="exact" w:val="340"/>
        </w:trPr>
        <w:tc>
          <w:tcPr>
            <w:tcW w:w="817" w:type="dxa"/>
            <w:tcBorders>
              <w:bottom w:val="single" w:sz="4" w:space="0" w:color="auto"/>
            </w:tcBorders>
            <w:vAlign w:val="center"/>
          </w:tcPr>
          <w:p w14:paraId="7E84AAAE" w14:textId="77777777" w:rsidR="00B72AD4" w:rsidRPr="00916231" w:rsidRDefault="00B72AD4" w:rsidP="001D1448">
            <w:pPr>
              <w:pStyle w:val="Tablefirstcolumn"/>
              <w:keepNext/>
              <w:keepLines/>
            </w:pPr>
            <w:r w:rsidRPr="00916231">
              <w:t>VI</w:t>
            </w:r>
          </w:p>
        </w:tc>
        <w:tc>
          <w:tcPr>
            <w:tcW w:w="1418" w:type="dxa"/>
            <w:tcBorders>
              <w:bottom w:val="single" w:sz="4" w:space="0" w:color="auto"/>
            </w:tcBorders>
            <w:vAlign w:val="center"/>
          </w:tcPr>
          <w:p w14:paraId="4294C5D4" w14:textId="77777777" w:rsidR="00B72AD4" w:rsidRPr="00916231" w:rsidRDefault="00B72AD4" w:rsidP="001D1448">
            <w:pPr>
              <w:pStyle w:val="Tablebodytextleftaligned"/>
              <w:keepNext/>
              <w:keepLines/>
              <w:spacing w:before="83"/>
              <w:ind w:right="257"/>
              <w:jc w:val="right"/>
            </w:pPr>
            <w:r w:rsidRPr="00916231">
              <w:rPr>
                <w:lang w:eastAsia="en-AU"/>
              </w:rPr>
              <w:t>64.3</w:t>
            </w:r>
          </w:p>
        </w:tc>
        <w:tc>
          <w:tcPr>
            <w:tcW w:w="1418" w:type="dxa"/>
            <w:tcBorders>
              <w:bottom w:val="single" w:sz="4" w:space="0" w:color="auto"/>
            </w:tcBorders>
            <w:vAlign w:val="center"/>
          </w:tcPr>
          <w:p w14:paraId="60763027" w14:textId="77777777" w:rsidR="00B72AD4" w:rsidRPr="00916231" w:rsidRDefault="00B72AD4" w:rsidP="001D1448">
            <w:pPr>
              <w:pStyle w:val="Tablebodytextleftaligned"/>
              <w:keepNext/>
              <w:keepLines/>
              <w:spacing w:before="83"/>
              <w:ind w:right="257"/>
              <w:jc w:val="right"/>
            </w:pPr>
            <w:r w:rsidRPr="00916231">
              <w:rPr>
                <w:lang w:eastAsia="en-AU"/>
              </w:rPr>
              <w:t>68.1</w:t>
            </w:r>
          </w:p>
        </w:tc>
        <w:tc>
          <w:tcPr>
            <w:tcW w:w="1417" w:type="dxa"/>
            <w:tcBorders>
              <w:bottom w:val="single" w:sz="4" w:space="0" w:color="auto"/>
            </w:tcBorders>
            <w:vAlign w:val="center"/>
          </w:tcPr>
          <w:p w14:paraId="312235B7" w14:textId="77777777" w:rsidR="00B72AD4" w:rsidRPr="00916231" w:rsidRDefault="00B72AD4" w:rsidP="001D1448">
            <w:pPr>
              <w:pStyle w:val="Tablebodytextleftaligned"/>
              <w:keepNext/>
              <w:keepLines/>
              <w:spacing w:before="83"/>
              <w:ind w:left="-90" w:right="380"/>
              <w:jc w:val="right"/>
            </w:pPr>
            <w:r w:rsidRPr="00916231">
              <w:rPr>
                <w:lang w:eastAsia="en-AU"/>
              </w:rPr>
              <w:t>66.0</w:t>
            </w:r>
          </w:p>
        </w:tc>
        <w:tc>
          <w:tcPr>
            <w:tcW w:w="1417" w:type="dxa"/>
            <w:tcBorders>
              <w:bottom w:val="single" w:sz="4" w:space="0" w:color="auto"/>
            </w:tcBorders>
            <w:vAlign w:val="center"/>
          </w:tcPr>
          <w:p w14:paraId="08737664" w14:textId="77777777" w:rsidR="00B72AD4" w:rsidRPr="00916231" w:rsidRDefault="00B72AD4" w:rsidP="001D1448">
            <w:pPr>
              <w:pStyle w:val="Tablebodytextleftaligned"/>
              <w:keepNext/>
              <w:keepLines/>
              <w:spacing w:before="83"/>
              <w:ind w:left="-89" w:right="380"/>
              <w:jc w:val="right"/>
            </w:pPr>
            <w:r w:rsidRPr="00916231">
              <w:rPr>
                <w:lang w:eastAsia="en-AU"/>
              </w:rPr>
              <w:t>87.6</w:t>
            </w:r>
          </w:p>
        </w:tc>
        <w:tc>
          <w:tcPr>
            <w:tcW w:w="1418" w:type="dxa"/>
            <w:tcBorders>
              <w:bottom w:val="single" w:sz="4" w:space="0" w:color="auto"/>
            </w:tcBorders>
            <w:vAlign w:val="center"/>
          </w:tcPr>
          <w:p w14:paraId="509183B0" w14:textId="77777777" w:rsidR="00B72AD4" w:rsidRPr="00916231" w:rsidRDefault="00B72AD4" w:rsidP="001D1448">
            <w:pPr>
              <w:pStyle w:val="Tablebodytextleftaligned"/>
              <w:keepNext/>
              <w:keepLines/>
              <w:spacing w:before="83"/>
              <w:ind w:left="-89" w:right="380"/>
              <w:jc w:val="right"/>
            </w:pPr>
            <w:r w:rsidRPr="00916231">
              <w:rPr>
                <w:lang w:eastAsia="en-AU"/>
              </w:rPr>
              <w:t>1.7</w:t>
            </w:r>
          </w:p>
        </w:tc>
        <w:tc>
          <w:tcPr>
            <w:tcW w:w="1417" w:type="dxa"/>
            <w:tcBorders>
              <w:bottom w:val="single" w:sz="4" w:space="0" w:color="auto"/>
            </w:tcBorders>
            <w:vAlign w:val="center"/>
          </w:tcPr>
          <w:p w14:paraId="7975DAF7" w14:textId="77777777" w:rsidR="00B72AD4" w:rsidRPr="00916231" w:rsidRDefault="00B72AD4" w:rsidP="001D1448">
            <w:pPr>
              <w:pStyle w:val="Tablebodytextleftaligned"/>
              <w:keepNext/>
              <w:keepLines/>
              <w:spacing w:before="83"/>
              <w:ind w:left="-89" w:right="380"/>
              <w:jc w:val="right"/>
              <w:rPr>
                <w:color w:val="FFFFFF" w:themeColor="background2"/>
              </w:rPr>
            </w:pPr>
            <w:r w:rsidRPr="00916231">
              <w:rPr>
                <w:lang w:eastAsia="en-AU"/>
              </w:rPr>
              <w:t>19.5</w:t>
            </w:r>
          </w:p>
        </w:tc>
      </w:tr>
    </w:tbl>
    <w:p w14:paraId="6B59A566" w14:textId="77777777" w:rsidR="00B72AD4" w:rsidRPr="001B7264" w:rsidRDefault="00B72AD4" w:rsidP="0019430D">
      <w:pPr>
        <w:pStyle w:val="Source"/>
      </w:pPr>
      <w:r w:rsidRPr="001B7264">
        <w:rPr>
          <w:b/>
        </w:rPr>
        <w:t>Source:</w:t>
      </w:r>
      <w:r w:rsidRPr="001B7264">
        <w:t xml:space="preserve"> </w:t>
      </w:r>
      <w:r w:rsidRPr="0019430D">
        <w:t>Department</w:t>
      </w:r>
      <w:r w:rsidRPr="001B7264">
        <w:t xml:space="preserve"> of Employment administrative data.</w:t>
      </w:r>
    </w:p>
    <w:p w14:paraId="692B22CD" w14:textId="77777777" w:rsidR="00130E90" w:rsidRPr="00F276EC" w:rsidRDefault="00130E90" w:rsidP="0096244A">
      <w:pPr>
        <w:pStyle w:val="Heading3"/>
      </w:pPr>
      <w:bookmarkStart w:id="458" w:name="_Toc22543123"/>
      <w:r w:rsidRPr="00F276EC">
        <w:t>7.4.3</w:t>
      </w:r>
      <w:r w:rsidRPr="00F276EC">
        <w:tab/>
        <w:t>Conclusion</w:t>
      </w:r>
      <w:bookmarkEnd w:id="458"/>
    </w:p>
    <w:p w14:paraId="36E31047" w14:textId="38803F4F" w:rsidR="00130E90" w:rsidRDefault="00F548F1">
      <w:pPr>
        <w:rPr>
          <w:highlight w:val="yellow"/>
        </w:rPr>
      </w:pPr>
      <w:r w:rsidRPr="00F276EC">
        <w:t xml:space="preserve">An increase in </w:t>
      </w:r>
      <w:r>
        <w:t xml:space="preserve">appointment </w:t>
      </w:r>
      <w:r w:rsidRPr="00F276EC">
        <w:t xml:space="preserve">attendance rates, across all </w:t>
      </w:r>
      <w:r>
        <w:t>s</w:t>
      </w:r>
      <w:r w:rsidRPr="00F276EC">
        <w:t>treams and</w:t>
      </w:r>
      <w:r>
        <w:t xml:space="preserve"> for</w:t>
      </w:r>
      <w:r w:rsidRPr="00F276EC">
        <w:t xml:space="preserve"> job seekers with a </w:t>
      </w:r>
      <w:r w:rsidR="00346298">
        <w:t>VI</w:t>
      </w:r>
      <w:r w:rsidRPr="00F276EC">
        <w:t xml:space="preserve"> demonstrate</w:t>
      </w:r>
      <w:r w:rsidR="00FA7E47">
        <w:t>d</w:t>
      </w:r>
      <w:r w:rsidRPr="00F276EC">
        <w:t xml:space="preserve"> that the introduction of the </w:t>
      </w:r>
      <w:r w:rsidR="00346298">
        <w:t>‘</w:t>
      </w:r>
      <w:r w:rsidRPr="003719BA">
        <w:rPr>
          <w:rFonts w:cstheme="minorHAnsi"/>
        </w:rPr>
        <w:t>Strengthening the Job Seeker Compliance Framework</w:t>
      </w:r>
      <w:r w:rsidR="00346298">
        <w:rPr>
          <w:rFonts w:cstheme="minorHAnsi"/>
        </w:rPr>
        <w:t>’</w:t>
      </w:r>
      <w:r w:rsidRPr="003719BA">
        <w:rPr>
          <w:rFonts w:cstheme="minorHAnsi"/>
        </w:rPr>
        <w:t xml:space="preserve"> measure</w:t>
      </w:r>
      <w:r w:rsidRPr="00D42784">
        <w:rPr>
          <w:rFonts w:cstheme="minorHAnsi"/>
        </w:rPr>
        <w:t xml:space="preserve"> </w:t>
      </w:r>
      <w:r w:rsidRPr="00AA794B">
        <w:t>was successful in increasing job seekers</w:t>
      </w:r>
      <w:r w:rsidR="000752E9">
        <w:t>’</w:t>
      </w:r>
      <w:r w:rsidRPr="00AA794B">
        <w:t xml:space="preserve"> compliance. The increase for </w:t>
      </w:r>
      <w:r>
        <w:t>re-engagement</w:t>
      </w:r>
      <w:r w:rsidRPr="00AA794B">
        <w:t xml:space="preserve"> </w:t>
      </w:r>
      <w:r>
        <w:t>appointments</w:t>
      </w:r>
      <w:r w:rsidRPr="00AA794B">
        <w:t xml:space="preserve"> </w:t>
      </w:r>
      <w:r w:rsidR="00FA7E47">
        <w:t>was</w:t>
      </w:r>
      <w:r w:rsidR="00FA7E47" w:rsidRPr="00AA794B">
        <w:t xml:space="preserve"> </w:t>
      </w:r>
      <w:r w:rsidRPr="00AA794B">
        <w:t xml:space="preserve">greatest for Stream 4 job </w:t>
      </w:r>
      <w:r w:rsidR="00492EF3" w:rsidRPr="00AA794B">
        <w:t>seekers</w:t>
      </w:r>
      <w:r w:rsidRPr="00AA794B">
        <w:t xml:space="preserve">, and for all </w:t>
      </w:r>
      <w:r>
        <w:t>appointments</w:t>
      </w:r>
      <w:r w:rsidRPr="00AA794B">
        <w:t>, for Stream 2 job seekers</w:t>
      </w:r>
      <w:r w:rsidRPr="00AA794B">
        <w:rPr>
          <w:rFonts w:cstheme="minorHAnsi"/>
        </w:rPr>
        <w:t>. This is an</w:t>
      </w:r>
      <w:r>
        <w:rPr>
          <w:rFonts w:cstheme="minorHAnsi"/>
        </w:rPr>
        <w:t xml:space="preserve"> indication that incentivising job seekers to attend appointments to ensure there are no impacts to their income support payments has a positive effect on attendance rates</w:t>
      </w:r>
      <w:r w:rsidR="00AA794B">
        <w:rPr>
          <w:rFonts w:cstheme="minorHAnsi"/>
        </w:rPr>
        <w:t>.</w:t>
      </w:r>
    </w:p>
    <w:p w14:paraId="3FF44CA9" w14:textId="77777777" w:rsidR="00130E90" w:rsidRDefault="00130E90">
      <w:pPr>
        <w:rPr>
          <w:rFonts w:ascii="Calibri" w:eastAsia="Times New Roman" w:hAnsi="Calibri" w:cstheme="majorBidi"/>
          <w:b/>
          <w:bCs/>
          <w:color w:val="1E3D6B"/>
          <w:sz w:val="36"/>
          <w:szCs w:val="28"/>
        </w:rPr>
      </w:pPr>
      <w:r>
        <w:rPr>
          <w:rFonts w:eastAsia="Times New Roman"/>
        </w:rPr>
        <w:br w:type="page"/>
      </w:r>
    </w:p>
    <w:p w14:paraId="1A2DB335" w14:textId="77777777" w:rsidR="003E612C" w:rsidRDefault="00B33BCC" w:rsidP="00130E90">
      <w:pPr>
        <w:pStyle w:val="Heading1"/>
      </w:pPr>
      <w:bookmarkStart w:id="459" w:name="_Toc22543124"/>
      <w:r w:rsidRPr="00497065">
        <w:t>8</w:t>
      </w:r>
      <w:r w:rsidR="003E612C" w:rsidRPr="00497065">
        <w:tab/>
        <w:t>Wage subsidies</w:t>
      </w:r>
      <w:r w:rsidR="00CE473F" w:rsidRPr="00497065">
        <w:t xml:space="preserve"> in Job Services Australia</w:t>
      </w:r>
      <w:bookmarkEnd w:id="459"/>
    </w:p>
    <w:p w14:paraId="6640BA7D" w14:textId="77777777" w:rsidR="00130E90" w:rsidRDefault="00130E90" w:rsidP="00CC0846">
      <w:pPr>
        <w:pStyle w:val="Heading2withoutnumbering"/>
        <w:rPr>
          <w:noProof/>
        </w:rPr>
      </w:pPr>
      <w:bookmarkStart w:id="460" w:name="_Toc22543125"/>
      <w:r>
        <w:rPr>
          <w:noProof/>
        </w:rPr>
        <w:t>8.1</w:t>
      </w:r>
      <w:r>
        <w:rPr>
          <w:noProof/>
        </w:rPr>
        <w:tab/>
        <w:t>Introduction</w:t>
      </w:r>
      <w:bookmarkEnd w:id="460"/>
    </w:p>
    <w:p w14:paraId="5C3F3D20" w14:textId="6A79A604" w:rsidR="003E612C" w:rsidRDefault="003E612C" w:rsidP="003E612C">
      <w:pPr>
        <w:rPr>
          <w:noProof/>
        </w:rPr>
      </w:pPr>
      <w:r>
        <w:rPr>
          <w:noProof/>
        </w:rPr>
        <w:t xml:space="preserve">While Australian wage subsidy programmes vary in their targeting and payment particulars, at the time of this </w:t>
      </w:r>
      <w:r w:rsidR="00D64E3F">
        <w:rPr>
          <w:noProof/>
        </w:rPr>
        <w:t xml:space="preserve">analysis </w:t>
      </w:r>
      <w:r>
        <w:rPr>
          <w:noProof/>
        </w:rPr>
        <w:t>all</w:t>
      </w:r>
      <w:r w:rsidR="00294C5C">
        <w:rPr>
          <w:noProof/>
        </w:rPr>
        <w:t xml:space="preserve"> </w:t>
      </w:r>
      <w:r w:rsidR="00A669E6">
        <w:rPr>
          <w:noProof/>
        </w:rPr>
        <w:t xml:space="preserve">were </w:t>
      </w:r>
      <w:r>
        <w:rPr>
          <w:noProof/>
        </w:rPr>
        <w:t>temporary, or hiring, subsidies paid to employers who recruit an unemployed person through an employment service</w:t>
      </w:r>
      <w:r w:rsidR="00E7638D">
        <w:rPr>
          <w:noProof/>
        </w:rPr>
        <w:t>s</w:t>
      </w:r>
      <w:r>
        <w:rPr>
          <w:noProof/>
        </w:rPr>
        <w:t xml:space="preserve"> intermediary. </w:t>
      </w:r>
      <w:r w:rsidR="00D64E3F">
        <w:rPr>
          <w:noProof/>
        </w:rPr>
        <w:t>This analysis is</w:t>
      </w:r>
      <w:r>
        <w:rPr>
          <w:noProof/>
        </w:rPr>
        <w:t xml:space="preserve"> confined to wage subsidies negotiated under JSA.</w:t>
      </w:r>
    </w:p>
    <w:p w14:paraId="0118EE2A" w14:textId="77777777" w:rsidR="003E612C" w:rsidRDefault="00CE473F" w:rsidP="00CC0846">
      <w:pPr>
        <w:pStyle w:val="Heading3"/>
        <w:rPr>
          <w:noProof/>
        </w:rPr>
      </w:pPr>
      <w:bookmarkStart w:id="461" w:name="_Toc22543126"/>
      <w:r>
        <w:rPr>
          <w:noProof/>
        </w:rPr>
        <w:t>8</w:t>
      </w:r>
      <w:r w:rsidR="003E612C">
        <w:rPr>
          <w:noProof/>
        </w:rPr>
        <w:t>.1</w:t>
      </w:r>
      <w:r w:rsidR="00130E90">
        <w:rPr>
          <w:noProof/>
        </w:rPr>
        <w:t>.1</w:t>
      </w:r>
      <w:r w:rsidR="003E612C">
        <w:rPr>
          <w:noProof/>
        </w:rPr>
        <w:tab/>
        <w:t>The role of wage subsidies</w:t>
      </w:r>
      <w:bookmarkEnd w:id="461"/>
    </w:p>
    <w:p w14:paraId="34756633" w14:textId="77777777" w:rsidR="00533BC9" w:rsidRPr="00413BAC" w:rsidRDefault="00533BC9" w:rsidP="00533BC9">
      <w:pPr>
        <w:rPr>
          <w:noProof/>
        </w:rPr>
      </w:pPr>
      <w:r w:rsidRPr="00CE593F">
        <w:rPr>
          <w:noProof/>
        </w:rPr>
        <w:t>Wage subsidies are a feature of active labour market programmes</w:t>
      </w:r>
      <w:r w:rsidR="00224627">
        <w:rPr>
          <w:noProof/>
        </w:rPr>
        <w:t xml:space="preserve"> (ALMPs)</w:t>
      </w:r>
      <w:r>
        <w:rPr>
          <w:noProof/>
        </w:rPr>
        <w:t xml:space="preserve">. Effective activation strategies used in combination have been associated with significantly reduced </w:t>
      </w:r>
      <w:r w:rsidR="00224627">
        <w:rPr>
          <w:noProof/>
        </w:rPr>
        <w:t>rates of income support</w:t>
      </w:r>
      <w:r>
        <w:rPr>
          <w:noProof/>
        </w:rPr>
        <w:t xml:space="preserve"> in a number of </w:t>
      </w:r>
      <w:r w:rsidR="00456F75">
        <w:t>Organisation for Economic Cooperation and Development</w:t>
      </w:r>
      <w:r w:rsidR="00456F75">
        <w:rPr>
          <w:noProof/>
        </w:rPr>
        <w:t xml:space="preserve"> (</w:t>
      </w:r>
      <w:r>
        <w:rPr>
          <w:noProof/>
        </w:rPr>
        <w:t>OECD</w:t>
      </w:r>
      <w:r w:rsidR="00456F75">
        <w:rPr>
          <w:noProof/>
        </w:rPr>
        <w:t>)</w:t>
      </w:r>
      <w:r>
        <w:rPr>
          <w:noProof/>
        </w:rPr>
        <w:t xml:space="preserve"> countries, including Denmark, Ireland, the Netherlands, the United Kingdom, Australia and New Zealand (OECD, 2005).</w:t>
      </w:r>
    </w:p>
    <w:p w14:paraId="16DE7B10" w14:textId="77777777" w:rsidR="002D559A" w:rsidRDefault="00533BC9" w:rsidP="00863C94">
      <w:pPr>
        <w:rPr>
          <w:noProof/>
        </w:rPr>
      </w:pPr>
      <w:r>
        <w:rPr>
          <w:noProof/>
        </w:rPr>
        <w:t>Previous departmental research</w:t>
      </w:r>
      <w:r w:rsidRPr="00791E39">
        <w:rPr>
          <w:noProof/>
        </w:rPr>
        <w:t xml:space="preserve"> </w:t>
      </w:r>
      <w:r w:rsidR="002D559A">
        <w:rPr>
          <w:noProof/>
        </w:rPr>
        <w:t xml:space="preserve">has </w:t>
      </w:r>
      <w:r w:rsidRPr="00791E39">
        <w:rPr>
          <w:noProof/>
        </w:rPr>
        <w:t>reveal</w:t>
      </w:r>
      <w:r>
        <w:rPr>
          <w:noProof/>
        </w:rPr>
        <w:t>ed</w:t>
      </w:r>
      <w:r w:rsidRPr="00791E39">
        <w:rPr>
          <w:noProof/>
        </w:rPr>
        <w:t xml:space="preserve"> </w:t>
      </w:r>
      <w:r w:rsidR="00682D84">
        <w:rPr>
          <w:noProof/>
        </w:rPr>
        <w:t>risk-averse</w:t>
      </w:r>
      <w:r w:rsidR="00682D84" w:rsidRPr="00791E39">
        <w:rPr>
          <w:noProof/>
        </w:rPr>
        <w:t xml:space="preserve"> </w:t>
      </w:r>
      <w:r w:rsidRPr="00791E39">
        <w:rPr>
          <w:noProof/>
        </w:rPr>
        <w:t xml:space="preserve">employer attitudes towards </w:t>
      </w:r>
      <w:r w:rsidR="00682D84">
        <w:rPr>
          <w:noProof/>
        </w:rPr>
        <w:t xml:space="preserve">hiring </w:t>
      </w:r>
      <w:r w:rsidRPr="00791E39">
        <w:rPr>
          <w:noProof/>
        </w:rPr>
        <w:t xml:space="preserve">certain groups, </w:t>
      </w:r>
      <w:r>
        <w:rPr>
          <w:noProof/>
        </w:rPr>
        <w:t>particularly</w:t>
      </w:r>
      <w:r w:rsidRPr="00791E39">
        <w:rPr>
          <w:noProof/>
        </w:rPr>
        <w:t xml:space="preserve"> the long-term unemployed, young people and people with disability</w:t>
      </w:r>
      <w:r>
        <w:rPr>
          <w:noProof/>
        </w:rPr>
        <w:t xml:space="preserve"> (DEEWR, 2011, 2012)</w:t>
      </w:r>
      <w:r w:rsidRPr="00791E39">
        <w:rPr>
          <w:noProof/>
        </w:rPr>
        <w:t>.</w:t>
      </w:r>
      <w:r>
        <w:t xml:space="preserve"> </w:t>
      </w:r>
      <w:r w:rsidRPr="00791E39">
        <w:rPr>
          <w:noProof/>
        </w:rPr>
        <w:t xml:space="preserve">The difficulty for many unemployed people is that employers believe that their </w:t>
      </w:r>
      <w:r>
        <w:rPr>
          <w:noProof/>
        </w:rPr>
        <w:t xml:space="preserve">transformation </w:t>
      </w:r>
      <w:r w:rsidR="002D559A">
        <w:rPr>
          <w:noProof/>
        </w:rPr>
        <w:t>to</w:t>
      </w:r>
      <w:r>
        <w:rPr>
          <w:noProof/>
        </w:rPr>
        <w:t xml:space="preserve"> productive employee </w:t>
      </w:r>
      <w:r w:rsidRPr="00791E39">
        <w:rPr>
          <w:noProof/>
        </w:rPr>
        <w:t xml:space="preserve">will take longer and </w:t>
      </w:r>
      <w:r w:rsidR="002D559A">
        <w:rPr>
          <w:noProof/>
        </w:rPr>
        <w:t xml:space="preserve">be more costly </w:t>
      </w:r>
      <w:r w:rsidR="00130725">
        <w:rPr>
          <w:noProof/>
        </w:rPr>
        <w:t>than</w:t>
      </w:r>
      <w:r w:rsidR="002D559A">
        <w:rPr>
          <w:noProof/>
        </w:rPr>
        <w:t xml:space="preserve"> for</w:t>
      </w:r>
      <w:r w:rsidR="00130725">
        <w:rPr>
          <w:noProof/>
        </w:rPr>
        <w:t xml:space="preserve"> other employees</w:t>
      </w:r>
      <w:r>
        <w:rPr>
          <w:noProof/>
        </w:rPr>
        <w:t>.</w:t>
      </w:r>
    </w:p>
    <w:p w14:paraId="7023CD32" w14:textId="77777777" w:rsidR="00863C94" w:rsidRDefault="00863C94" w:rsidP="00863C94">
      <w:pPr>
        <w:rPr>
          <w:noProof/>
        </w:rPr>
      </w:pPr>
      <w:r w:rsidRPr="00CE593F">
        <w:rPr>
          <w:rFonts w:ascii="Calibri" w:hAnsi="Calibri" w:cs="Calibri"/>
          <w:noProof/>
        </w:rPr>
        <w:t>A</w:t>
      </w:r>
      <w:r w:rsidR="00EE021B">
        <w:rPr>
          <w:rFonts w:ascii="Calibri" w:hAnsi="Calibri" w:cs="Calibri"/>
          <w:noProof/>
        </w:rPr>
        <w:t>n employer</w:t>
      </w:r>
      <w:r w:rsidRPr="00CE593F">
        <w:rPr>
          <w:rFonts w:ascii="Calibri" w:hAnsi="Calibri" w:cs="Calibri"/>
          <w:noProof/>
        </w:rPr>
        <w:t xml:space="preserve"> wage subsidy can be used to overcome </w:t>
      </w:r>
      <w:r w:rsidR="00EE021B">
        <w:rPr>
          <w:rFonts w:ascii="Calibri" w:hAnsi="Calibri" w:cs="Calibri"/>
          <w:noProof/>
        </w:rPr>
        <w:t>their</w:t>
      </w:r>
      <w:r w:rsidRPr="00CE593F">
        <w:rPr>
          <w:rFonts w:ascii="Calibri" w:hAnsi="Calibri" w:cs="Calibri"/>
          <w:noProof/>
        </w:rPr>
        <w:t xml:space="preserve"> initial reluctance, help pay for additional upfront costs</w:t>
      </w:r>
      <w:r>
        <w:rPr>
          <w:rFonts w:ascii="Calibri" w:hAnsi="Calibri" w:cs="Calibri"/>
          <w:noProof/>
        </w:rPr>
        <w:t xml:space="preserve"> (</w:t>
      </w:r>
      <w:r w:rsidR="00EE021B">
        <w:rPr>
          <w:rFonts w:ascii="Calibri" w:hAnsi="Calibri" w:cs="Calibri"/>
          <w:noProof/>
        </w:rPr>
        <w:t>for example</w:t>
      </w:r>
      <w:r>
        <w:rPr>
          <w:rFonts w:ascii="Calibri" w:hAnsi="Calibri" w:cs="Calibri"/>
          <w:noProof/>
        </w:rPr>
        <w:t xml:space="preserve"> training or </w:t>
      </w:r>
      <w:r w:rsidR="00EE021B">
        <w:rPr>
          <w:rFonts w:ascii="Calibri" w:hAnsi="Calibri" w:cs="Calibri"/>
          <w:noProof/>
        </w:rPr>
        <w:t xml:space="preserve">required </w:t>
      </w:r>
      <w:r>
        <w:rPr>
          <w:rFonts w:ascii="Calibri" w:hAnsi="Calibri" w:cs="Calibri"/>
          <w:noProof/>
        </w:rPr>
        <w:t>supervision)</w:t>
      </w:r>
      <w:r w:rsidRPr="00CE593F">
        <w:rPr>
          <w:rFonts w:ascii="Calibri" w:hAnsi="Calibri" w:cs="Calibri"/>
          <w:noProof/>
        </w:rPr>
        <w:t xml:space="preserve">, </w:t>
      </w:r>
      <w:r>
        <w:rPr>
          <w:rFonts w:ascii="Calibri" w:hAnsi="Calibri" w:cs="Calibri"/>
          <w:noProof/>
        </w:rPr>
        <w:t xml:space="preserve">and </w:t>
      </w:r>
      <w:r w:rsidRPr="00CE593F">
        <w:rPr>
          <w:rFonts w:ascii="Calibri" w:hAnsi="Calibri" w:cs="Calibri"/>
          <w:noProof/>
        </w:rPr>
        <w:t xml:space="preserve">give an unemployed person </w:t>
      </w:r>
      <w:r w:rsidR="00EE021B">
        <w:rPr>
          <w:rFonts w:ascii="Calibri" w:hAnsi="Calibri" w:cs="Calibri"/>
          <w:noProof/>
        </w:rPr>
        <w:t>the opportunity</w:t>
      </w:r>
      <w:r w:rsidRPr="00CE593F">
        <w:rPr>
          <w:rFonts w:ascii="Calibri" w:hAnsi="Calibri" w:cs="Calibri"/>
          <w:noProof/>
        </w:rPr>
        <w:t xml:space="preserve"> to demonstrate their suitability for a job</w:t>
      </w:r>
      <w:r>
        <w:rPr>
          <w:rFonts w:ascii="Calibri" w:hAnsi="Calibri" w:cs="Calibri"/>
          <w:noProof/>
        </w:rPr>
        <w:t xml:space="preserve"> and further develop their </w:t>
      </w:r>
      <w:r w:rsidR="00EE021B">
        <w:rPr>
          <w:rFonts w:ascii="Calibri" w:hAnsi="Calibri" w:cs="Calibri"/>
          <w:noProof/>
        </w:rPr>
        <w:t>skills</w:t>
      </w:r>
      <w:r>
        <w:rPr>
          <w:noProof/>
        </w:rPr>
        <w:t>.</w:t>
      </w:r>
      <w:r w:rsidRPr="000166AE">
        <w:rPr>
          <w:noProof/>
        </w:rPr>
        <w:t xml:space="preserve"> </w:t>
      </w:r>
      <w:r w:rsidR="00533BC9">
        <w:rPr>
          <w:noProof/>
        </w:rPr>
        <w:t>Used effectively, wage subsidies help to place unemployed people in jobs and encourage employers to assess each job applicant as an individual, not according to a stereotype.</w:t>
      </w:r>
      <w:r w:rsidR="00130725">
        <w:rPr>
          <w:rStyle w:val="FootnoteReference"/>
          <w:noProof/>
        </w:rPr>
        <w:footnoteReference w:id="71"/>
      </w:r>
    </w:p>
    <w:p w14:paraId="2883D816" w14:textId="77777777" w:rsidR="00863C94" w:rsidRPr="000166AE" w:rsidRDefault="00863C94" w:rsidP="00863C94">
      <w:pPr>
        <w:rPr>
          <w:rFonts w:ascii="Calibri" w:hAnsi="Calibri" w:cs="Calibri"/>
          <w:noProof/>
        </w:rPr>
      </w:pPr>
      <w:r>
        <w:rPr>
          <w:noProof/>
        </w:rPr>
        <w:t xml:space="preserve">Wage subsidies may provide </w:t>
      </w:r>
      <w:r w:rsidR="00AB61D8">
        <w:rPr>
          <w:noProof/>
        </w:rPr>
        <w:t xml:space="preserve">job seekers </w:t>
      </w:r>
      <w:r>
        <w:rPr>
          <w:noProof/>
        </w:rPr>
        <w:t xml:space="preserve">with the primary benefit of getting a job that they would not get otherwise – this may be a new job created by the wage </w:t>
      </w:r>
      <w:r w:rsidRPr="00D42784">
        <w:rPr>
          <w:noProof/>
        </w:rPr>
        <w:t>subsidy (‘</w:t>
      </w:r>
      <w:r w:rsidRPr="00355B5B">
        <w:rPr>
          <w:noProof/>
        </w:rPr>
        <w:t>additionality’</w:t>
      </w:r>
      <w:r w:rsidRPr="00D42784">
        <w:rPr>
          <w:noProof/>
        </w:rPr>
        <w:t>), or the subsidised worker might be taken on instead of an unsubsidised worker (‘</w:t>
      </w:r>
      <w:r w:rsidRPr="00355B5B">
        <w:rPr>
          <w:noProof/>
        </w:rPr>
        <w:t>substitution’</w:t>
      </w:r>
      <w:r w:rsidRPr="00D42784">
        <w:rPr>
          <w:noProof/>
        </w:rPr>
        <w:t>).</w:t>
      </w:r>
      <w:r>
        <w:rPr>
          <w:noProof/>
        </w:rPr>
        <w:t xml:space="preserve"> </w:t>
      </w:r>
      <w:r>
        <w:rPr>
          <w:rFonts w:ascii="Calibri" w:hAnsi="Calibri" w:cs="Calibri"/>
          <w:noProof/>
        </w:rPr>
        <w:t>Wage subsidies may also provide s</w:t>
      </w:r>
      <w:r>
        <w:rPr>
          <w:noProof/>
        </w:rPr>
        <w:t xml:space="preserve">econdary benefits to employees, including more hours of work and extra training and support. Arguably, </w:t>
      </w:r>
      <w:r>
        <w:rPr>
          <w:rFonts w:ascii="Calibri" w:hAnsi="Calibri" w:cs="Calibri"/>
          <w:noProof/>
        </w:rPr>
        <w:t xml:space="preserve">efficient job reallocation, rather than job creation </w:t>
      </w:r>
      <w:r w:rsidRPr="00355B5B">
        <w:rPr>
          <w:rFonts w:ascii="Calibri" w:hAnsi="Calibri" w:cs="Calibri"/>
          <w:noProof/>
        </w:rPr>
        <w:t>per se</w:t>
      </w:r>
      <w:r w:rsidRPr="00D42784">
        <w:rPr>
          <w:rFonts w:ascii="Calibri" w:hAnsi="Calibri" w:cs="Calibri"/>
          <w:noProof/>
        </w:rPr>
        <w:t>,</w:t>
      </w:r>
      <w:r>
        <w:rPr>
          <w:rFonts w:ascii="Calibri" w:hAnsi="Calibri" w:cs="Calibri"/>
          <w:noProof/>
        </w:rPr>
        <w:t xml:space="preserve"> is the main objective of these programmes, particularly in weak labour markets (Immervoll &amp; Scarpetta, 201</w:t>
      </w:r>
      <w:r w:rsidR="002C1F24">
        <w:rPr>
          <w:rFonts w:ascii="Calibri" w:hAnsi="Calibri" w:cs="Calibri"/>
          <w:noProof/>
        </w:rPr>
        <w:t>2</w:t>
      </w:r>
      <w:r>
        <w:rPr>
          <w:rFonts w:ascii="Calibri" w:hAnsi="Calibri" w:cs="Calibri"/>
          <w:noProof/>
        </w:rPr>
        <w:t xml:space="preserve">). </w:t>
      </w:r>
      <w:r>
        <w:rPr>
          <w:noProof/>
        </w:rPr>
        <w:t xml:space="preserve">On the other hand, wage subsidies can result in </w:t>
      </w:r>
      <w:r w:rsidRPr="00D42784">
        <w:rPr>
          <w:noProof/>
        </w:rPr>
        <w:t>‘</w:t>
      </w:r>
      <w:r w:rsidRPr="00355B5B">
        <w:rPr>
          <w:noProof/>
        </w:rPr>
        <w:t>deadweight loss’,</w:t>
      </w:r>
      <w:r>
        <w:rPr>
          <w:i/>
          <w:noProof/>
        </w:rPr>
        <w:t xml:space="preserve"> </w:t>
      </w:r>
      <w:r>
        <w:t>when used to place a job seeker who would have got the job without a subsidy.</w:t>
      </w:r>
    </w:p>
    <w:p w14:paraId="650588D9" w14:textId="65735CC8" w:rsidR="00863C94" w:rsidRDefault="00863C94" w:rsidP="00863C94">
      <w:pPr>
        <w:rPr>
          <w:noProof/>
        </w:rPr>
      </w:pPr>
      <w:r>
        <w:rPr>
          <w:noProof/>
        </w:rPr>
        <w:t xml:space="preserve">Not all </w:t>
      </w:r>
      <w:r w:rsidR="00AB61D8">
        <w:rPr>
          <w:noProof/>
        </w:rPr>
        <w:t xml:space="preserve">job vacancies </w:t>
      </w:r>
      <w:r>
        <w:rPr>
          <w:noProof/>
        </w:rPr>
        <w:t>in employment services are subsidised. Previous literature emphasises careful targeting and design as the key to getting the best return from investment in wage subsidies.</w:t>
      </w:r>
      <w:r w:rsidR="00BE7E40">
        <w:rPr>
          <w:rStyle w:val="FootnoteReference"/>
          <w:noProof/>
        </w:rPr>
        <w:footnoteReference w:id="72"/>
      </w:r>
      <w:r w:rsidRPr="007569C6">
        <w:rPr>
          <w:noProof/>
        </w:rPr>
        <w:t xml:space="preserve"> </w:t>
      </w:r>
      <w:r>
        <w:rPr>
          <w:noProof/>
        </w:rPr>
        <w:t>Targeting of subsidies occurs on two levels: programme guidelines specify the broad target group and payment terms and conditions (targeting policy) and operating within these guidelines employment service</w:t>
      </w:r>
      <w:r w:rsidR="00E7638D">
        <w:rPr>
          <w:noProof/>
        </w:rPr>
        <w:t>s</w:t>
      </w:r>
      <w:r>
        <w:rPr>
          <w:noProof/>
        </w:rPr>
        <w:t xml:space="preserve"> providers make on-the-ground judgements about when to offer a wage subsidy (targeting practice). JSA providers ha</w:t>
      </w:r>
      <w:r w:rsidR="00186978">
        <w:rPr>
          <w:noProof/>
        </w:rPr>
        <w:t>d</w:t>
      </w:r>
      <w:r>
        <w:rPr>
          <w:noProof/>
        </w:rPr>
        <w:t xml:space="preserve"> discretion to offer a subsidy to an employer when negotiating a placement, informed by a range of factors including job seeker characteristics and experience, local labour market conditions, and a sense of an employer’s willingness to hire. More limited targeting practice acts as a means of protecting against deadweight loss, unsuitable placements and separations </w:t>
      </w:r>
      <w:r w:rsidRPr="00D42784">
        <w:rPr>
          <w:noProof/>
        </w:rPr>
        <w:t>(</w:t>
      </w:r>
      <w:r w:rsidR="00A504DB">
        <w:rPr>
          <w:noProof/>
        </w:rPr>
        <w:t>resulting in returns to service/income support</w:t>
      </w:r>
      <w:r w:rsidRPr="00D42784">
        <w:rPr>
          <w:noProof/>
        </w:rPr>
        <w:t>).</w:t>
      </w:r>
      <w:r>
        <w:rPr>
          <w:i/>
          <w:noProof/>
        </w:rPr>
        <w:t xml:space="preserve"> </w:t>
      </w:r>
      <w:r>
        <w:rPr>
          <w:noProof/>
        </w:rPr>
        <w:t>Australia has made good progress on targeting policy, but the evidence points to a need for more effective targeting on the ground.</w:t>
      </w:r>
      <w:r w:rsidR="00130725">
        <w:rPr>
          <w:rStyle w:val="FootnoteReference"/>
          <w:noProof/>
        </w:rPr>
        <w:footnoteReference w:id="73"/>
      </w:r>
    </w:p>
    <w:p w14:paraId="205FEA44" w14:textId="77777777" w:rsidR="003E612C" w:rsidRPr="0079112B" w:rsidRDefault="003E5784" w:rsidP="00CC0846">
      <w:pPr>
        <w:pStyle w:val="Heading3"/>
        <w:rPr>
          <w:noProof/>
        </w:rPr>
      </w:pPr>
      <w:bookmarkStart w:id="462" w:name="_Toc22543127"/>
      <w:r>
        <w:rPr>
          <w:noProof/>
        </w:rPr>
        <w:t>8.</w:t>
      </w:r>
      <w:r w:rsidR="00130E90">
        <w:rPr>
          <w:noProof/>
        </w:rPr>
        <w:t>1.2</w:t>
      </w:r>
      <w:r w:rsidR="00130E90">
        <w:rPr>
          <w:noProof/>
        </w:rPr>
        <w:tab/>
      </w:r>
      <w:r>
        <w:rPr>
          <w:noProof/>
        </w:rPr>
        <w:t>W</w:t>
      </w:r>
      <w:r w:rsidR="003E612C">
        <w:rPr>
          <w:noProof/>
        </w:rPr>
        <w:t>age subsid</w:t>
      </w:r>
      <w:r>
        <w:rPr>
          <w:noProof/>
        </w:rPr>
        <w:t>ies</w:t>
      </w:r>
      <w:r w:rsidR="003E612C">
        <w:rPr>
          <w:noProof/>
        </w:rPr>
        <w:t xml:space="preserve"> in </w:t>
      </w:r>
      <w:r w:rsidR="00A42F7A" w:rsidRPr="00CC0846">
        <w:t>JSA</w:t>
      </w:r>
      <w:bookmarkEnd w:id="462"/>
    </w:p>
    <w:p w14:paraId="1AAAE8BB" w14:textId="77777777" w:rsidR="003E612C" w:rsidRDefault="00CF3D23" w:rsidP="003E612C">
      <w:r>
        <w:t>Table 8.1 shows key aspects about the</w:t>
      </w:r>
      <w:r w:rsidR="00A42F7A">
        <w:t xml:space="preserve"> </w:t>
      </w:r>
      <w:r w:rsidR="00A42F7A" w:rsidRPr="00CF3D23">
        <w:t xml:space="preserve">Employment Pathway Fund (EPF) and Wage Connect </w:t>
      </w:r>
      <w:r w:rsidR="00A42F7A">
        <w:t xml:space="preserve">wage </w:t>
      </w:r>
      <w:r w:rsidR="00A42F7A" w:rsidRPr="00CF3D23">
        <w:t>subsidies</w:t>
      </w:r>
      <w:r w:rsidR="00A42F7A">
        <w:t xml:space="preserve"> </w:t>
      </w:r>
      <w:r w:rsidR="00AB61D8">
        <w:t xml:space="preserve">which </w:t>
      </w:r>
      <w:r w:rsidR="00A42F7A">
        <w:t>operat</w:t>
      </w:r>
      <w:r w:rsidR="00AB61D8">
        <w:t>ed</w:t>
      </w:r>
      <w:r w:rsidR="00A42F7A">
        <w:t xml:space="preserve"> under </w:t>
      </w:r>
      <w:r w:rsidR="00AB61D8">
        <w:t xml:space="preserve">both </w:t>
      </w:r>
      <w:r w:rsidR="00A42F7A">
        <w:t>JSA</w:t>
      </w:r>
      <w:r w:rsidR="00971BA2">
        <w:t xml:space="preserve"> </w:t>
      </w:r>
      <w:r w:rsidR="00AB61D8">
        <w:t>contracts.</w:t>
      </w:r>
    </w:p>
    <w:p w14:paraId="29AEFFFD" w14:textId="77777777" w:rsidR="003E612C" w:rsidRPr="008D1D34" w:rsidRDefault="003E612C" w:rsidP="008D1D34">
      <w:pPr>
        <w:pStyle w:val="Tableforcontents"/>
        <w:rPr>
          <w:rFonts w:eastAsiaTheme="majorEastAsia"/>
        </w:rPr>
      </w:pPr>
      <w:bookmarkStart w:id="463" w:name="_Toc22543998"/>
      <w:bookmarkStart w:id="464" w:name="_Toc436142571"/>
      <w:r w:rsidRPr="008D1D34">
        <w:rPr>
          <w:rFonts w:eastAsiaTheme="majorEastAsia"/>
        </w:rPr>
        <w:t xml:space="preserve">Table </w:t>
      </w:r>
      <w:r w:rsidR="003E5784" w:rsidRPr="008D1D34">
        <w:rPr>
          <w:rFonts w:eastAsiaTheme="majorEastAsia"/>
        </w:rPr>
        <w:t>8.1</w:t>
      </w:r>
      <w:r w:rsidR="00CF00FC">
        <w:rPr>
          <w:rFonts w:eastAsiaTheme="majorEastAsia"/>
        </w:rPr>
        <w:t>:</w:t>
      </w:r>
      <w:r w:rsidR="003C29A5">
        <w:rPr>
          <w:rFonts w:eastAsiaTheme="majorEastAsia"/>
        </w:rPr>
        <w:t xml:space="preserve"> </w:t>
      </w:r>
      <w:r w:rsidR="00BA26E0">
        <w:rPr>
          <w:rFonts w:eastAsiaTheme="majorEastAsia"/>
        </w:rPr>
        <w:t>Rules for E</w:t>
      </w:r>
      <w:r w:rsidR="00793982">
        <w:rPr>
          <w:rFonts w:eastAsiaTheme="majorEastAsia"/>
        </w:rPr>
        <w:t xml:space="preserve">mployment </w:t>
      </w:r>
      <w:r w:rsidR="00BA26E0">
        <w:rPr>
          <w:rFonts w:eastAsiaTheme="majorEastAsia"/>
        </w:rPr>
        <w:t>P</w:t>
      </w:r>
      <w:r w:rsidR="00793982">
        <w:rPr>
          <w:rFonts w:eastAsiaTheme="majorEastAsia"/>
        </w:rPr>
        <w:t xml:space="preserve">athway </w:t>
      </w:r>
      <w:r w:rsidR="00BA26E0">
        <w:rPr>
          <w:rFonts w:eastAsiaTheme="majorEastAsia"/>
        </w:rPr>
        <w:t>F</w:t>
      </w:r>
      <w:r w:rsidR="00793982">
        <w:rPr>
          <w:rFonts w:eastAsiaTheme="majorEastAsia"/>
        </w:rPr>
        <w:t>und (EPF)</w:t>
      </w:r>
      <w:r w:rsidR="00BA26E0">
        <w:rPr>
          <w:rFonts w:eastAsiaTheme="majorEastAsia"/>
        </w:rPr>
        <w:t xml:space="preserve"> and Wage Connect w</w:t>
      </w:r>
      <w:r w:rsidRPr="008D1D34">
        <w:rPr>
          <w:rFonts w:eastAsiaTheme="majorEastAsia"/>
        </w:rPr>
        <w:t>age subsidy programmes</w:t>
      </w:r>
      <w:bookmarkEnd w:id="463"/>
      <w:r w:rsidRPr="008D1D34">
        <w:rPr>
          <w:rFonts w:eastAsiaTheme="majorEastAsia"/>
        </w:rPr>
        <w:t xml:space="preserve"> </w:t>
      </w:r>
      <w:bookmarkEnd w:id="464"/>
    </w:p>
    <w:tbl>
      <w:tblPr>
        <w:tblStyle w:val="DEEWRTable"/>
        <w:tblW w:w="8613" w:type="dxa"/>
        <w:tblLook w:val="0420" w:firstRow="1" w:lastRow="0" w:firstColumn="0" w:lastColumn="0" w:noHBand="0" w:noVBand="1"/>
      </w:tblPr>
      <w:tblGrid>
        <w:gridCol w:w="2376"/>
        <w:gridCol w:w="2977"/>
        <w:gridCol w:w="3260"/>
      </w:tblGrid>
      <w:tr w:rsidR="003E612C" w:rsidRPr="0079112B" w14:paraId="4D75B869" w14:textId="77777777" w:rsidTr="001D1448">
        <w:trPr>
          <w:cnfStyle w:val="100000000000" w:firstRow="1" w:lastRow="0" w:firstColumn="0" w:lastColumn="0" w:oddVBand="0" w:evenVBand="0" w:oddHBand="0" w:evenHBand="0" w:firstRowFirstColumn="0" w:firstRowLastColumn="0" w:lastRowFirstColumn="0" w:lastRowLastColumn="0"/>
        </w:trPr>
        <w:tc>
          <w:tcPr>
            <w:tcW w:w="2376" w:type="dxa"/>
            <w:tcBorders>
              <w:bottom w:val="nil"/>
            </w:tcBorders>
            <w:shd w:val="clear" w:color="auto" w:fill="1E3D6B"/>
          </w:tcPr>
          <w:p w14:paraId="399F4D46" w14:textId="77777777" w:rsidR="003E612C" w:rsidRPr="009F333F" w:rsidRDefault="00492EF3" w:rsidP="007E56EF">
            <w:pPr>
              <w:keepNext/>
              <w:ind w:right="145"/>
              <w:rPr>
                <w:color w:val="1E3D6B"/>
              </w:rPr>
            </w:pPr>
            <w:bookmarkStart w:id="465" w:name="Title_81"/>
            <w:bookmarkEnd w:id="465"/>
            <w:r w:rsidRPr="00355B5B">
              <w:t>Aspect</w:t>
            </w:r>
          </w:p>
        </w:tc>
        <w:tc>
          <w:tcPr>
            <w:tcW w:w="2977" w:type="dxa"/>
            <w:tcBorders>
              <w:bottom w:val="nil"/>
            </w:tcBorders>
            <w:shd w:val="clear" w:color="auto" w:fill="1E3D6B"/>
          </w:tcPr>
          <w:p w14:paraId="2F645165" w14:textId="77777777" w:rsidR="003E612C" w:rsidRPr="0079112B" w:rsidRDefault="001D1448" w:rsidP="00B60926">
            <w:pPr>
              <w:keepNext/>
              <w:jc w:val="center"/>
            </w:pPr>
            <w:r>
              <w:t>EPF</w:t>
            </w:r>
            <w:r w:rsidR="003E612C" w:rsidRPr="0079112B">
              <w:t xml:space="preserve"> wage subsidies</w:t>
            </w:r>
          </w:p>
        </w:tc>
        <w:tc>
          <w:tcPr>
            <w:tcW w:w="3260" w:type="dxa"/>
            <w:tcBorders>
              <w:bottom w:val="nil"/>
            </w:tcBorders>
            <w:shd w:val="clear" w:color="auto" w:fill="1E3D6B"/>
          </w:tcPr>
          <w:p w14:paraId="369356CD" w14:textId="77777777" w:rsidR="003E612C" w:rsidRPr="0079112B" w:rsidRDefault="003E612C" w:rsidP="00B60926">
            <w:pPr>
              <w:keepNext/>
              <w:jc w:val="center"/>
            </w:pPr>
            <w:r w:rsidRPr="0079112B">
              <w:t>Wage Connect</w:t>
            </w:r>
          </w:p>
        </w:tc>
      </w:tr>
      <w:tr w:rsidR="003E612C" w:rsidRPr="001D1448" w14:paraId="33E7314D" w14:textId="77777777" w:rsidTr="001D1448">
        <w:tc>
          <w:tcPr>
            <w:tcW w:w="2376" w:type="dxa"/>
            <w:tcBorders>
              <w:top w:val="nil"/>
              <w:bottom w:val="nil"/>
            </w:tcBorders>
          </w:tcPr>
          <w:p w14:paraId="383067FD" w14:textId="77777777" w:rsidR="007E56EF" w:rsidRPr="001D1448" w:rsidRDefault="003E612C" w:rsidP="007E56EF">
            <w:pPr>
              <w:keepNext/>
              <w:ind w:right="145"/>
            </w:pPr>
            <w:r w:rsidRPr="001D1448">
              <w:t>Programme start date</w:t>
            </w:r>
          </w:p>
        </w:tc>
        <w:tc>
          <w:tcPr>
            <w:tcW w:w="2977" w:type="dxa"/>
            <w:tcBorders>
              <w:top w:val="nil"/>
              <w:bottom w:val="nil"/>
            </w:tcBorders>
            <w:shd w:val="clear" w:color="auto" w:fill="auto"/>
          </w:tcPr>
          <w:p w14:paraId="34123891" w14:textId="77777777" w:rsidR="003E612C" w:rsidRPr="001D1448" w:rsidRDefault="003E612C" w:rsidP="007E56EF">
            <w:pPr>
              <w:keepNext/>
            </w:pPr>
            <w:r w:rsidRPr="001D1448">
              <w:t>1 July 2009</w:t>
            </w:r>
          </w:p>
        </w:tc>
        <w:tc>
          <w:tcPr>
            <w:tcW w:w="3260" w:type="dxa"/>
            <w:tcBorders>
              <w:top w:val="nil"/>
              <w:bottom w:val="nil"/>
            </w:tcBorders>
          </w:tcPr>
          <w:p w14:paraId="3A10DC7B" w14:textId="77777777" w:rsidR="003E612C" w:rsidRPr="001D1448" w:rsidRDefault="00B60926" w:rsidP="00C67A39">
            <w:pPr>
              <w:keepNext/>
              <w:ind w:right="-89"/>
            </w:pPr>
            <w:r w:rsidRPr="001D1448">
              <w:t>1 January </w:t>
            </w:r>
            <w:r w:rsidR="003E612C" w:rsidRPr="001D1448">
              <w:t>2012</w:t>
            </w:r>
            <w:r w:rsidR="00D42784" w:rsidRPr="001D1448">
              <w:rPr>
                <w:vertAlign w:val="superscript"/>
              </w:rPr>
              <w:t>1</w:t>
            </w:r>
          </w:p>
        </w:tc>
      </w:tr>
      <w:tr w:rsidR="003E612C" w:rsidRPr="001D1448" w14:paraId="4CF3ED3B" w14:textId="77777777" w:rsidTr="001D1448">
        <w:tc>
          <w:tcPr>
            <w:tcW w:w="2376" w:type="dxa"/>
            <w:tcBorders>
              <w:top w:val="nil"/>
              <w:bottom w:val="nil"/>
            </w:tcBorders>
            <w:shd w:val="clear" w:color="auto" w:fill="E5E5E5" w:themeFill="background1" w:themeFillTint="33"/>
          </w:tcPr>
          <w:p w14:paraId="475B2FEA" w14:textId="77777777" w:rsidR="007E56EF" w:rsidRPr="001D1448" w:rsidRDefault="003E612C" w:rsidP="007E56EF">
            <w:pPr>
              <w:keepNext/>
              <w:ind w:right="145"/>
            </w:pPr>
            <w:r w:rsidRPr="001D1448">
              <w:t>Structure</w:t>
            </w:r>
          </w:p>
        </w:tc>
        <w:tc>
          <w:tcPr>
            <w:tcW w:w="2977" w:type="dxa"/>
            <w:tcBorders>
              <w:top w:val="nil"/>
              <w:bottom w:val="nil"/>
            </w:tcBorders>
            <w:shd w:val="clear" w:color="auto" w:fill="E5E5E5" w:themeFill="background1" w:themeFillTint="33"/>
          </w:tcPr>
          <w:p w14:paraId="1049EECA" w14:textId="77777777" w:rsidR="003E612C" w:rsidRPr="001D1448" w:rsidRDefault="003E612C" w:rsidP="00C67A39">
            <w:pPr>
              <w:keepNext/>
            </w:pPr>
            <w:r w:rsidRPr="001D1448">
              <w:t>Demand-driven</w:t>
            </w:r>
            <w:r w:rsidR="00D42784" w:rsidRPr="001D1448">
              <w:rPr>
                <w:vertAlign w:val="superscript"/>
              </w:rPr>
              <w:t>2</w:t>
            </w:r>
          </w:p>
        </w:tc>
        <w:tc>
          <w:tcPr>
            <w:tcW w:w="3260" w:type="dxa"/>
            <w:tcBorders>
              <w:top w:val="nil"/>
              <w:bottom w:val="nil"/>
            </w:tcBorders>
            <w:shd w:val="clear" w:color="auto" w:fill="E5E5E5" w:themeFill="background1" w:themeFillTint="33"/>
          </w:tcPr>
          <w:p w14:paraId="7F5A797F" w14:textId="77777777" w:rsidR="003E612C" w:rsidRPr="001D1448" w:rsidRDefault="003E612C" w:rsidP="00C67A39">
            <w:pPr>
              <w:keepNext/>
              <w:ind w:right="-89"/>
            </w:pPr>
            <w:r w:rsidRPr="001D1448">
              <w:t>Capped at 10,000 per annum</w:t>
            </w:r>
            <w:r w:rsidR="00D42784" w:rsidRPr="001D1448">
              <w:rPr>
                <w:vertAlign w:val="superscript"/>
              </w:rPr>
              <w:t>3</w:t>
            </w:r>
          </w:p>
        </w:tc>
      </w:tr>
      <w:tr w:rsidR="003E612C" w:rsidRPr="001D1448" w14:paraId="0BBF4378" w14:textId="77777777" w:rsidTr="001D1448">
        <w:tc>
          <w:tcPr>
            <w:tcW w:w="2376" w:type="dxa"/>
            <w:tcBorders>
              <w:top w:val="nil"/>
              <w:bottom w:val="nil"/>
            </w:tcBorders>
          </w:tcPr>
          <w:p w14:paraId="44E0C015" w14:textId="77777777" w:rsidR="007E56EF" w:rsidRPr="001D1448" w:rsidRDefault="007E56EF" w:rsidP="001D1448">
            <w:pPr>
              <w:keepNext/>
              <w:ind w:right="145"/>
            </w:pPr>
            <w:r w:rsidRPr="001D1448">
              <w:t>Job seeker eligibility</w:t>
            </w:r>
            <w:r w:rsidR="001D1448">
              <w:t xml:space="preserve">: </w:t>
            </w:r>
            <w:r w:rsidR="003E612C" w:rsidRPr="001D1448">
              <w:t>Income support payment type</w:t>
            </w:r>
          </w:p>
        </w:tc>
        <w:tc>
          <w:tcPr>
            <w:tcW w:w="2977" w:type="dxa"/>
            <w:tcBorders>
              <w:top w:val="nil"/>
              <w:bottom w:val="nil"/>
            </w:tcBorders>
            <w:shd w:val="clear" w:color="auto" w:fill="auto"/>
          </w:tcPr>
          <w:p w14:paraId="7D35C2B0" w14:textId="77777777" w:rsidR="003E612C" w:rsidRPr="001D1448" w:rsidRDefault="00D42784" w:rsidP="007E56EF">
            <w:pPr>
              <w:keepNext/>
            </w:pPr>
            <w:r w:rsidRPr="001D1448">
              <w:t>Flexible</w:t>
            </w:r>
          </w:p>
        </w:tc>
        <w:tc>
          <w:tcPr>
            <w:tcW w:w="3260" w:type="dxa"/>
            <w:tcBorders>
              <w:top w:val="nil"/>
              <w:bottom w:val="nil"/>
            </w:tcBorders>
          </w:tcPr>
          <w:p w14:paraId="127ACAB5" w14:textId="77777777" w:rsidR="003E612C" w:rsidRPr="001D1448" w:rsidRDefault="00084E28" w:rsidP="007E56EF">
            <w:pPr>
              <w:keepNext/>
            </w:pPr>
            <w:r w:rsidRPr="001D1448">
              <w:t xml:space="preserve">Very long-term unemployed (VLTU) job seekers - </w:t>
            </w:r>
            <w:r w:rsidR="003E612C" w:rsidRPr="001D1448">
              <w:t xml:space="preserve">Must </w:t>
            </w:r>
            <w:r w:rsidR="00FB7882" w:rsidRPr="001D1448">
              <w:t xml:space="preserve">have </w:t>
            </w:r>
            <w:r w:rsidR="003E612C" w:rsidRPr="001D1448">
              <w:t>be</w:t>
            </w:r>
            <w:r w:rsidR="00FB7882" w:rsidRPr="001D1448">
              <w:t>en</w:t>
            </w:r>
            <w:r w:rsidR="003E612C" w:rsidRPr="001D1448">
              <w:t xml:space="preserve"> receiving income support for at least 24 months</w:t>
            </w:r>
          </w:p>
        </w:tc>
      </w:tr>
      <w:tr w:rsidR="003E612C" w:rsidRPr="001D1448" w14:paraId="5E195920" w14:textId="77777777" w:rsidTr="001D1448">
        <w:tc>
          <w:tcPr>
            <w:tcW w:w="2376" w:type="dxa"/>
            <w:tcBorders>
              <w:top w:val="nil"/>
              <w:bottom w:val="nil"/>
            </w:tcBorders>
            <w:shd w:val="clear" w:color="auto" w:fill="E5E5E5" w:themeFill="background1" w:themeFillTint="33"/>
          </w:tcPr>
          <w:p w14:paraId="438C1189" w14:textId="77777777" w:rsidR="003E612C" w:rsidRPr="001D1448" w:rsidRDefault="007E56EF" w:rsidP="001D1448">
            <w:pPr>
              <w:keepNext/>
              <w:ind w:right="145"/>
            </w:pPr>
            <w:r w:rsidRPr="001D1448">
              <w:t>Job seeker eligibility</w:t>
            </w:r>
            <w:r w:rsidR="001D1448">
              <w:t xml:space="preserve">: </w:t>
            </w:r>
            <w:r w:rsidR="003E612C" w:rsidRPr="001D1448">
              <w:t>Unemployment duration</w:t>
            </w:r>
          </w:p>
        </w:tc>
        <w:tc>
          <w:tcPr>
            <w:tcW w:w="2977" w:type="dxa"/>
            <w:tcBorders>
              <w:top w:val="nil"/>
              <w:bottom w:val="nil"/>
            </w:tcBorders>
            <w:shd w:val="clear" w:color="auto" w:fill="E5E5E5" w:themeFill="background1" w:themeFillTint="33"/>
          </w:tcPr>
          <w:p w14:paraId="6F897E6C" w14:textId="77777777" w:rsidR="003E612C" w:rsidRPr="001D1448" w:rsidRDefault="00136E6B" w:rsidP="007E56EF">
            <w:pPr>
              <w:keepNext/>
            </w:pPr>
            <w:r w:rsidRPr="001D1448">
              <w:t>Flexible</w:t>
            </w:r>
          </w:p>
        </w:tc>
        <w:tc>
          <w:tcPr>
            <w:tcW w:w="3260" w:type="dxa"/>
            <w:tcBorders>
              <w:top w:val="nil"/>
              <w:bottom w:val="nil"/>
            </w:tcBorders>
            <w:shd w:val="clear" w:color="auto" w:fill="E5E5E5" w:themeFill="background1" w:themeFillTint="33"/>
          </w:tcPr>
          <w:p w14:paraId="08C3E448" w14:textId="77777777" w:rsidR="007E56EF" w:rsidRPr="001D1448" w:rsidRDefault="003E612C" w:rsidP="007E56EF">
            <w:pPr>
              <w:keepNext/>
            </w:pPr>
            <w:r w:rsidRPr="001D1448">
              <w:t>No job placements and insufficient income to reduce to nil rate income support over 24 months</w:t>
            </w:r>
          </w:p>
        </w:tc>
      </w:tr>
      <w:tr w:rsidR="003E612C" w:rsidRPr="001D1448" w14:paraId="6EEC42DA" w14:textId="77777777" w:rsidTr="001D1448">
        <w:tc>
          <w:tcPr>
            <w:tcW w:w="2376" w:type="dxa"/>
            <w:tcBorders>
              <w:top w:val="nil"/>
              <w:bottom w:val="nil"/>
            </w:tcBorders>
          </w:tcPr>
          <w:p w14:paraId="0D7CF898" w14:textId="77777777" w:rsidR="003E612C" w:rsidRPr="001D1448" w:rsidRDefault="003E612C" w:rsidP="00C67A39">
            <w:pPr>
              <w:keepNext/>
              <w:ind w:right="145"/>
            </w:pPr>
            <w:r w:rsidRPr="001D1448">
              <w:t>Timing and amount</w:t>
            </w:r>
            <w:r w:rsidR="00AF104F" w:rsidRPr="001D1448">
              <w:rPr>
                <w:vertAlign w:val="superscript"/>
              </w:rPr>
              <w:t>4</w:t>
            </w:r>
          </w:p>
        </w:tc>
        <w:tc>
          <w:tcPr>
            <w:tcW w:w="2977" w:type="dxa"/>
            <w:tcBorders>
              <w:top w:val="nil"/>
              <w:bottom w:val="nil"/>
            </w:tcBorders>
            <w:shd w:val="clear" w:color="auto" w:fill="auto"/>
          </w:tcPr>
          <w:p w14:paraId="0E599C24" w14:textId="77777777" w:rsidR="003E612C" w:rsidRPr="001D1448" w:rsidRDefault="003E612C" w:rsidP="001770E5">
            <w:pPr>
              <w:keepNext/>
            </w:pPr>
            <w:r w:rsidRPr="001D1448">
              <w:t>Negotiable</w:t>
            </w:r>
            <w:r w:rsidR="00FB7882" w:rsidRPr="001D1448">
              <w:t xml:space="preserve"> within guidelines - </w:t>
            </w:r>
            <w:r w:rsidR="00FB7882" w:rsidRPr="001D1448">
              <w:rPr>
                <w:noProof/>
              </w:rPr>
              <w:t xml:space="preserve">subsidy duration should </w:t>
            </w:r>
            <w:r w:rsidR="00913A43">
              <w:rPr>
                <w:noProof/>
              </w:rPr>
              <w:t>have been</w:t>
            </w:r>
            <w:r w:rsidR="00FB7882" w:rsidRPr="001D1448">
              <w:rPr>
                <w:noProof/>
              </w:rPr>
              <w:t xml:space="preserve"> around 26 weeks and must</w:t>
            </w:r>
            <w:r w:rsidR="00913A43">
              <w:rPr>
                <w:noProof/>
              </w:rPr>
              <w:t xml:space="preserve"> have </w:t>
            </w:r>
            <w:r w:rsidR="00FB7882" w:rsidRPr="001D1448">
              <w:rPr>
                <w:noProof/>
              </w:rPr>
              <w:t>be</w:t>
            </w:r>
            <w:r w:rsidR="00913A43">
              <w:rPr>
                <w:noProof/>
              </w:rPr>
              <w:t>en</w:t>
            </w:r>
            <w:r w:rsidR="00FB7882" w:rsidRPr="001D1448">
              <w:rPr>
                <w:noProof/>
              </w:rPr>
              <w:t xml:space="preserve"> paid in arrears</w:t>
            </w:r>
            <w:r w:rsidR="001770E5">
              <w:rPr>
                <w:noProof/>
              </w:rPr>
              <w:t>. The</w:t>
            </w:r>
            <w:r w:rsidR="00FB7882" w:rsidRPr="001D1448">
              <w:rPr>
                <w:noProof/>
              </w:rPr>
              <w:t xml:space="preserve"> subsidy amount should </w:t>
            </w:r>
            <w:r w:rsidR="001770E5">
              <w:rPr>
                <w:noProof/>
              </w:rPr>
              <w:t xml:space="preserve">have </w:t>
            </w:r>
            <w:r w:rsidR="00FB7882" w:rsidRPr="001D1448">
              <w:rPr>
                <w:noProof/>
              </w:rPr>
              <w:t>be</w:t>
            </w:r>
            <w:r w:rsidR="001770E5">
              <w:rPr>
                <w:noProof/>
              </w:rPr>
              <w:t>en</w:t>
            </w:r>
            <w:r w:rsidR="00FB7882" w:rsidRPr="001D1448">
              <w:rPr>
                <w:noProof/>
              </w:rPr>
              <w:t xml:space="preserve"> commensurate with the job seeker’s level of disadvantage and must not </w:t>
            </w:r>
            <w:r w:rsidR="001770E5">
              <w:rPr>
                <w:noProof/>
              </w:rPr>
              <w:t xml:space="preserve">have </w:t>
            </w:r>
            <w:r w:rsidR="00FB7882" w:rsidRPr="001D1448">
              <w:rPr>
                <w:noProof/>
              </w:rPr>
              <w:t>exceed</w:t>
            </w:r>
            <w:r w:rsidR="001770E5">
              <w:rPr>
                <w:noProof/>
              </w:rPr>
              <w:t>ed</w:t>
            </w:r>
            <w:r w:rsidR="00FB7882" w:rsidRPr="001D1448">
              <w:rPr>
                <w:noProof/>
              </w:rPr>
              <w:t xml:space="preserve"> 100 per cent of the wage over the subsidy period. Practical limits to the wage subsidy amount were the provider’s EPF credit balance.</w:t>
            </w:r>
          </w:p>
        </w:tc>
        <w:tc>
          <w:tcPr>
            <w:tcW w:w="3260" w:type="dxa"/>
            <w:tcBorders>
              <w:top w:val="nil"/>
              <w:bottom w:val="nil"/>
            </w:tcBorders>
          </w:tcPr>
          <w:p w14:paraId="1EC7B80B" w14:textId="77777777" w:rsidR="007E56EF" w:rsidRPr="001D1448" w:rsidRDefault="003E612C" w:rsidP="001D1448">
            <w:pPr>
              <w:keepNext/>
            </w:pPr>
            <w:r w:rsidRPr="001D1448">
              <w:t xml:space="preserve">Full rate </w:t>
            </w:r>
            <w:r w:rsidR="008202C8" w:rsidRPr="001D1448">
              <w:t>Newstart Allowance (</w:t>
            </w:r>
            <w:r w:rsidR="00BA26E0" w:rsidRPr="001D1448">
              <w:t>NSA</w:t>
            </w:r>
            <w:r w:rsidR="008202C8" w:rsidRPr="001D1448">
              <w:t>)</w:t>
            </w:r>
            <w:r w:rsidRPr="001D1448">
              <w:t xml:space="preserve"> over</w:t>
            </w:r>
            <w:r w:rsidR="00BA26E0" w:rsidRPr="001D1448">
              <w:t xml:space="preserve"> </w:t>
            </w:r>
            <w:r w:rsidRPr="001D1448">
              <w:t>26 weeks</w:t>
            </w:r>
            <w:r w:rsidR="00FB7882" w:rsidRPr="001D1448">
              <w:t xml:space="preserve"> </w:t>
            </w:r>
          </w:p>
        </w:tc>
      </w:tr>
      <w:tr w:rsidR="003E612C" w:rsidRPr="001D1448" w14:paraId="590342BE" w14:textId="77777777" w:rsidTr="001D1448">
        <w:tc>
          <w:tcPr>
            <w:tcW w:w="2376" w:type="dxa"/>
            <w:tcBorders>
              <w:top w:val="nil"/>
              <w:bottom w:val="single" w:sz="4" w:space="0" w:color="auto"/>
            </w:tcBorders>
            <w:shd w:val="clear" w:color="auto" w:fill="E5E5E5" w:themeFill="background1" w:themeFillTint="33"/>
          </w:tcPr>
          <w:p w14:paraId="78CDA29F" w14:textId="77777777" w:rsidR="003E612C" w:rsidRPr="001D1448" w:rsidRDefault="003E612C" w:rsidP="007E56EF">
            <w:pPr>
              <w:keepNext/>
              <w:ind w:right="145"/>
            </w:pPr>
            <w:r w:rsidRPr="001D1448">
              <w:t>Placement eligibility</w:t>
            </w:r>
          </w:p>
        </w:tc>
        <w:tc>
          <w:tcPr>
            <w:tcW w:w="2977" w:type="dxa"/>
            <w:tcBorders>
              <w:top w:val="nil"/>
              <w:bottom w:val="single" w:sz="4" w:space="0" w:color="auto"/>
            </w:tcBorders>
            <w:shd w:val="clear" w:color="auto" w:fill="E5E5E5" w:themeFill="background1" w:themeFillTint="33"/>
          </w:tcPr>
          <w:p w14:paraId="03E4B0AA" w14:textId="77777777" w:rsidR="003E612C" w:rsidRPr="001D1448" w:rsidRDefault="003E612C" w:rsidP="007E56EF">
            <w:pPr>
              <w:keepNext/>
            </w:pPr>
            <w:r w:rsidRPr="001D1448">
              <w:t>Negotiable</w:t>
            </w:r>
            <w:r w:rsidR="00FB7882" w:rsidRPr="001D1448">
              <w:t xml:space="preserve"> – could be used to extend employment conditions (e</w:t>
            </w:r>
            <w:r w:rsidR="00176D4F">
              <w:t>.</w:t>
            </w:r>
            <w:r w:rsidR="00FB7882" w:rsidRPr="001D1448">
              <w:t>g</w:t>
            </w:r>
            <w:r w:rsidR="00176D4F">
              <w:t>.</w:t>
            </w:r>
            <w:r w:rsidR="00FB7882" w:rsidRPr="001D1448">
              <w:t xml:space="preserve"> provide more hours of work per week)</w:t>
            </w:r>
          </w:p>
        </w:tc>
        <w:tc>
          <w:tcPr>
            <w:tcW w:w="3260" w:type="dxa"/>
            <w:tcBorders>
              <w:top w:val="nil"/>
              <w:bottom w:val="single" w:sz="4" w:space="0" w:color="auto"/>
            </w:tcBorders>
            <w:shd w:val="clear" w:color="auto" w:fill="E5E5E5" w:themeFill="background1" w:themeFillTint="33"/>
          </w:tcPr>
          <w:p w14:paraId="775A29D2" w14:textId="77777777" w:rsidR="007F58AE" w:rsidRPr="001D1448" w:rsidRDefault="003E612C" w:rsidP="001D1448">
            <w:pPr>
              <w:keepNext/>
            </w:pPr>
            <w:r w:rsidRPr="001D1448">
              <w:t>Min</w:t>
            </w:r>
            <w:r w:rsidR="00D42784" w:rsidRPr="001D1448">
              <w:t>imum</w:t>
            </w:r>
            <w:r w:rsidRPr="001D1448">
              <w:t xml:space="preserve"> 15 hours per week</w:t>
            </w:r>
          </w:p>
        </w:tc>
      </w:tr>
    </w:tbl>
    <w:p w14:paraId="6D244AC3" w14:textId="77777777" w:rsidR="00AB61D8" w:rsidRPr="0062186E" w:rsidRDefault="008202C8" w:rsidP="0019430D">
      <w:pPr>
        <w:pStyle w:val="Notes"/>
        <w:rPr>
          <w:noProof/>
        </w:rPr>
      </w:pPr>
      <w:r w:rsidRPr="0019430D">
        <w:rPr>
          <w:b/>
          <w:noProof/>
        </w:rPr>
        <w:t>Notes</w:t>
      </w:r>
      <w:r w:rsidR="0062186E">
        <w:rPr>
          <w:noProof/>
        </w:rPr>
        <w:t>:</w:t>
      </w:r>
    </w:p>
    <w:p w14:paraId="24550F95" w14:textId="77777777" w:rsidR="008338FF" w:rsidRPr="00E5413A" w:rsidRDefault="003E612C" w:rsidP="00E5413A">
      <w:pPr>
        <w:pStyle w:val="Notesnumbered"/>
        <w:numPr>
          <w:ilvl w:val="0"/>
          <w:numId w:val="241"/>
        </w:numPr>
      </w:pPr>
      <w:r w:rsidRPr="00E5413A">
        <w:t>Wage Connect was temporarily paused to new applications from February 2013 until June 2013 and again from December 2013.</w:t>
      </w:r>
    </w:p>
    <w:p w14:paraId="6E437A9A" w14:textId="77777777" w:rsidR="008338FF" w:rsidRPr="00E5413A" w:rsidRDefault="003E612C" w:rsidP="00E5413A">
      <w:pPr>
        <w:pStyle w:val="Notesnumbered"/>
        <w:numPr>
          <w:ilvl w:val="0"/>
          <w:numId w:val="241"/>
        </w:numPr>
      </w:pPr>
      <w:r w:rsidRPr="00E5413A">
        <w:t>Subject to a provider having sufficient EPF credits.</w:t>
      </w:r>
    </w:p>
    <w:p w14:paraId="2DC35DFB" w14:textId="77777777" w:rsidR="008338FF" w:rsidRPr="00E5413A" w:rsidRDefault="003E612C" w:rsidP="00E5413A">
      <w:pPr>
        <w:pStyle w:val="Notesnumbered"/>
        <w:numPr>
          <w:ilvl w:val="0"/>
          <w:numId w:val="241"/>
        </w:numPr>
      </w:pPr>
      <w:r w:rsidRPr="00E5413A">
        <w:t>Allocation across JSA and DES, available on a first come first served basis, capped at 35,000 over four years.</w:t>
      </w:r>
    </w:p>
    <w:p w14:paraId="3AF93FB9" w14:textId="77777777" w:rsidR="003E612C" w:rsidRPr="00AF104F" w:rsidRDefault="003E612C" w:rsidP="00E5413A">
      <w:pPr>
        <w:pStyle w:val="Notesnumbered"/>
        <w:numPr>
          <w:ilvl w:val="0"/>
          <w:numId w:val="241"/>
        </w:numPr>
        <w:rPr>
          <w:noProof/>
        </w:rPr>
      </w:pPr>
      <w:r w:rsidRPr="00E5413A">
        <w:t xml:space="preserve">Amounts exclude GST. Wage subsidy </w:t>
      </w:r>
      <w:r w:rsidR="000752E9">
        <w:t>could</w:t>
      </w:r>
      <w:r w:rsidR="000752E9" w:rsidRPr="00E5413A">
        <w:t xml:space="preserve"> </w:t>
      </w:r>
      <w:r w:rsidRPr="00E5413A">
        <w:t xml:space="preserve">not exceed wages during the subsidised employment period. Pro-rata payments </w:t>
      </w:r>
      <w:r w:rsidR="00B60DE9" w:rsidRPr="00E5413A">
        <w:t>might</w:t>
      </w:r>
      <w:r w:rsidR="000752E9">
        <w:t xml:space="preserve"> have</w:t>
      </w:r>
      <w:r w:rsidR="00B60DE9" w:rsidRPr="00E5413A">
        <w:t xml:space="preserve"> </w:t>
      </w:r>
      <w:r w:rsidRPr="00E5413A">
        <w:t>be</w:t>
      </w:r>
      <w:r w:rsidR="000752E9">
        <w:t>en</w:t>
      </w:r>
      <w:r w:rsidRPr="00E5413A">
        <w:t xml:space="preserve"> available if</w:t>
      </w:r>
      <w:r>
        <w:rPr>
          <w:noProof/>
        </w:rPr>
        <w:t xml:space="preserve"> employment </w:t>
      </w:r>
      <w:r w:rsidR="00B60DE9">
        <w:rPr>
          <w:noProof/>
        </w:rPr>
        <w:t xml:space="preserve">did </w:t>
      </w:r>
      <w:r>
        <w:rPr>
          <w:noProof/>
        </w:rPr>
        <w:t>not last for the duration of the subsidised period.</w:t>
      </w:r>
    </w:p>
    <w:p w14:paraId="070E785F" w14:textId="77777777" w:rsidR="003E612C" w:rsidRPr="0054577F" w:rsidRDefault="003E5784" w:rsidP="008268A7">
      <w:pPr>
        <w:pStyle w:val="Heading2withoutnumbering"/>
      </w:pPr>
      <w:bookmarkStart w:id="466" w:name="_Toc22543128"/>
      <w:bookmarkStart w:id="467" w:name="_Toc405978769"/>
      <w:r>
        <w:rPr>
          <w:rStyle w:val="Heading3Char"/>
          <w:b/>
          <w:bCs/>
        </w:rPr>
        <w:t>8</w:t>
      </w:r>
      <w:r w:rsidR="003E612C" w:rsidRPr="00C07153">
        <w:rPr>
          <w:rStyle w:val="Heading3Char"/>
          <w:b/>
          <w:bCs/>
        </w:rPr>
        <w:t>.</w:t>
      </w:r>
      <w:r w:rsidR="00130E90">
        <w:rPr>
          <w:rStyle w:val="Heading3Char"/>
          <w:b/>
          <w:bCs/>
        </w:rPr>
        <w:t>2</w:t>
      </w:r>
      <w:r w:rsidR="003E612C" w:rsidRPr="00C07153">
        <w:rPr>
          <w:rStyle w:val="Heading3Char"/>
          <w:b/>
          <w:bCs/>
        </w:rPr>
        <w:tab/>
      </w:r>
      <w:r w:rsidR="00130725">
        <w:rPr>
          <w:rStyle w:val="Heading3Char"/>
          <w:b/>
          <w:bCs/>
        </w:rPr>
        <w:t xml:space="preserve">Key </w:t>
      </w:r>
      <w:r w:rsidR="000752E9">
        <w:rPr>
          <w:rStyle w:val="Heading3Char"/>
          <w:b/>
          <w:bCs/>
        </w:rPr>
        <w:t>f</w:t>
      </w:r>
      <w:r w:rsidR="00130725">
        <w:rPr>
          <w:rStyle w:val="Heading3Char"/>
          <w:b/>
          <w:bCs/>
        </w:rPr>
        <w:t>indings</w:t>
      </w:r>
      <w:bookmarkEnd w:id="466"/>
      <w:r w:rsidR="003E612C">
        <w:rPr>
          <w:rStyle w:val="Heading3Char"/>
          <w:b/>
          <w:bCs/>
        </w:rPr>
        <w:t xml:space="preserve"> </w:t>
      </w:r>
      <w:bookmarkEnd w:id="467"/>
    </w:p>
    <w:p w14:paraId="512C9805" w14:textId="77777777" w:rsidR="006510E3" w:rsidRDefault="00B60DE9" w:rsidP="006510E3">
      <w:pPr>
        <w:rPr>
          <w:rFonts w:ascii="Calibri" w:hAnsi="Calibri" w:cs="Calibri"/>
          <w:noProof/>
        </w:rPr>
      </w:pPr>
      <w:bookmarkStart w:id="468" w:name="_Toc400524717"/>
      <w:bookmarkStart w:id="469" w:name="_Toc405978780"/>
      <w:r>
        <w:rPr>
          <w:rFonts w:ascii="Calibri" w:hAnsi="Calibri" w:cs="Calibri"/>
          <w:noProof/>
        </w:rPr>
        <w:t>This</w:t>
      </w:r>
      <w:r w:rsidR="006510E3">
        <w:rPr>
          <w:rFonts w:ascii="Calibri" w:hAnsi="Calibri" w:cs="Calibri"/>
          <w:noProof/>
        </w:rPr>
        <w:t xml:space="preserve"> </w:t>
      </w:r>
      <w:r w:rsidR="00DD369B">
        <w:rPr>
          <w:rFonts w:ascii="Calibri" w:hAnsi="Calibri" w:cs="Calibri"/>
          <w:noProof/>
        </w:rPr>
        <w:t xml:space="preserve">analysis </w:t>
      </w:r>
      <w:r w:rsidR="006510E3">
        <w:rPr>
          <w:rFonts w:ascii="Calibri" w:hAnsi="Calibri" w:cs="Calibri"/>
          <w:noProof/>
        </w:rPr>
        <w:t>aims to answer three questions:</w:t>
      </w:r>
    </w:p>
    <w:p w14:paraId="36D0EAE8" w14:textId="77777777" w:rsidR="006510E3" w:rsidRDefault="00B60DE9" w:rsidP="00961617">
      <w:pPr>
        <w:pStyle w:val="ListParagraph"/>
        <w:numPr>
          <w:ilvl w:val="0"/>
          <w:numId w:val="20"/>
        </w:numPr>
        <w:ind w:left="284" w:hanging="284"/>
      </w:pPr>
      <w:r>
        <w:t xml:space="preserve">Did </w:t>
      </w:r>
      <w:r w:rsidR="006510E3">
        <w:t>a temporary wage subsidy lead to higher off-income support outcomes than unsubsidised job placements?</w:t>
      </w:r>
    </w:p>
    <w:p w14:paraId="07D0A020" w14:textId="77777777" w:rsidR="006510E3" w:rsidRDefault="006510E3" w:rsidP="00961617">
      <w:pPr>
        <w:pStyle w:val="ListParagraph"/>
        <w:numPr>
          <w:ilvl w:val="0"/>
          <w:numId w:val="20"/>
        </w:numPr>
        <w:ind w:left="284" w:hanging="284"/>
      </w:pPr>
      <w:r>
        <w:t xml:space="preserve">How </w:t>
      </w:r>
      <w:r w:rsidR="00DD369B">
        <w:t xml:space="preserve">did </w:t>
      </w:r>
      <w:r>
        <w:t>EPF subsidies and Wage Connect compare?</w:t>
      </w:r>
    </w:p>
    <w:p w14:paraId="699B96EE" w14:textId="77777777" w:rsidR="006510E3" w:rsidRDefault="00DD369B" w:rsidP="00961617">
      <w:pPr>
        <w:pStyle w:val="ListParagraph"/>
        <w:numPr>
          <w:ilvl w:val="0"/>
          <w:numId w:val="20"/>
        </w:numPr>
        <w:ind w:left="284" w:hanging="284"/>
      </w:pPr>
      <w:r>
        <w:t xml:space="preserve">Did </w:t>
      </w:r>
      <w:r w:rsidR="006510E3">
        <w:t xml:space="preserve">the availability of Wage Connect, a targeted wage subsidy for </w:t>
      </w:r>
      <w:r w:rsidR="00084E28">
        <w:t>VLTU job seekers</w:t>
      </w:r>
      <w:r w:rsidR="006510E3">
        <w:t xml:space="preserve"> le</w:t>
      </w:r>
      <w:r>
        <w:t>a</w:t>
      </w:r>
      <w:r w:rsidR="006510E3">
        <w:t>d to more employment opportunities for this group compared with the broadly targeted EPF wage subsidies?</w:t>
      </w:r>
    </w:p>
    <w:p w14:paraId="10FA2838" w14:textId="77777777" w:rsidR="00DD369B" w:rsidRDefault="00273104" w:rsidP="00130725">
      <w:r>
        <w:t xml:space="preserve">When considering the results below it should be noted that the comparability of wage subsidy agreements for Wage Connect and funding commitments for EPF wage subsidies is questionable, which could mean that results for EPF wage subsidies relative to Wage Connect are overstated. Caution should be exercised in making this comparison. </w:t>
      </w:r>
    </w:p>
    <w:p w14:paraId="67E59434" w14:textId="77777777" w:rsidR="006510E3" w:rsidRPr="00332AAF" w:rsidRDefault="006510E3" w:rsidP="006510E3">
      <w:pPr>
        <w:pStyle w:val="Heading3"/>
      </w:pPr>
      <w:bookmarkStart w:id="470" w:name="_Toc22543129"/>
      <w:r>
        <w:t>8.</w:t>
      </w:r>
      <w:r w:rsidR="00130E90">
        <w:t>2</w:t>
      </w:r>
      <w:r>
        <w:t>.1</w:t>
      </w:r>
      <w:r>
        <w:tab/>
      </w:r>
      <w:r w:rsidRPr="00332AAF">
        <w:t>Impact of wage subsidies on employment outcomes and welfare dependency</w:t>
      </w:r>
      <w:bookmarkEnd w:id="470"/>
    </w:p>
    <w:p w14:paraId="6D738101" w14:textId="77777777" w:rsidR="00842DB6" w:rsidRDefault="00842DB6" w:rsidP="006510E3">
      <w:r>
        <w:t xml:space="preserve">Table 8.2 shows </w:t>
      </w:r>
      <w:r w:rsidR="006510E3">
        <w:t xml:space="preserve">the effect of an offer of a wage subsidy, represented by a wage subsidy agreement, on employment outcomes at 26 weeks and income support status at 52 weeks after </w:t>
      </w:r>
      <w:r>
        <w:t xml:space="preserve">job </w:t>
      </w:r>
      <w:r w:rsidR="006510E3">
        <w:t>placement</w:t>
      </w:r>
      <w:r w:rsidR="00626B79">
        <w:t xml:space="preserve"> (whether</w:t>
      </w:r>
      <w:r w:rsidR="00084E28">
        <w:t xml:space="preserve"> off or</w:t>
      </w:r>
      <w:r w:rsidR="00626B79">
        <w:t xml:space="preserve"> on a reduced amount of income support)</w:t>
      </w:r>
      <w:r w:rsidR="006510E3">
        <w:t xml:space="preserve">, with a focus on </w:t>
      </w:r>
      <w:r>
        <w:t>N</w:t>
      </w:r>
      <w:r w:rsidR="00084E28">
        <w:t xml:space="preserve">ewstart </w:t>
      </w:r>
      <w:r>
        <w:t>A</w:t>
      </w:r>
      <w:r w:rsidR="00084E28">
        <w:t>llowance (NSA)</w:t>
      </w:r>
      <w:r>
        <w:t>,</w:t>
      </w:r>
      <w:r w:rsidR="006510E3">
        <w:t xml:space="preserve"> </w:t>
      </w:r>
      <w:r>
        <w:t>Y</w:t>
      </w:r>
      <w:r w:rsidR="00084E28">
        <w:t xml:space="preserve">outh </w:t>
      </w:r>
      <w:r>
        <w:t>A</w:t>
      </w:r>
      <w:r w:rsidR="00084E28">
        <w:t xml:space="preserve">llowance </w:t>
      </w:r>
      <w:r>
        <w:t>(O</w:t>
      </w:r>
      <w:r w:rsidR="00084E28">
        <w:t>ther</w:t>
      </w:r>
      <w:r w:rsidR="006510E3">
        <w:t>)</w:t>
      </w:r>
      <w:r w:rsidR="00084E28">
        <w:t xml:space="preserve"> (YA(O))</w:t>
      </w:r>
      <w:r w:rsidR="006510E3">
        <w:t xml:space="preserve"> and Parenting Payment</w:t>
      </w:r>
      <w:r w:rsidR="00084E28">
        <w:t xml:space="preserve"> (single or partnered) (PPS / PPP)</w:t>
      </w:r>
      <w:r w:rsidR="006510E3">
        <w:t xml:space="preserve"> recipients.</w:t>
      </w:r>
    </w:p>
    <w:p w14:paraId="0328F5B5" w14:textId="77777777" w:rsidR="006510E3" w:rsidRPr="008D1D34" w:rsidRDefault="006510E3" w:rsidP="008D1D34">
      <w:pPr>
        <w:pStyle w:val="Tableforcontents"/>
        <w:rPr>
          <w:rFonts w:eastAsiaTheme="majorEastAsia"/>
        </w:rPr>
      </w:pPr>
      <w:bookmarkStart w:id="471" w:name="_Toc22543999"/>
      <w:r w:rsidRPr="008D1D34">
        <w:rPr>
          <w:rFonts w:eastAsiaTheme="majorEastAsia"/>
        </w:rPr>
        <w:t xml:space="preserve">Table </w:t>
      </w:r>
      <w:r w:rsidR="00DB7AA1" w:rsidRPr="008D1D34">
        <w:rPr>
          <w:rFonts w:eastAsiaTheme="majorEastAsia"/>
        </w:rPr>
        <w:t>8.2</w:t>
      </w:r>
      <w:r w:rsidR="00CF00FC">
        <w:rPr>
          <w:rFonts w:eastAsiaTheme="majorEastAsia"/>
        </w:rPr>
        <w:t>:</w:t>
      </w:r>
      <w:r w:rsidR="003C29A5">
        <w:rPr>
          <w:rFonts w:eastAsiaTheme="majorEastAsia"/>
        </w:rPr>
        <w:t xml:space="preserve"> </w:t>
      </w:r>
      <w:r w:rsidR="000752E9">
        <w:rPr>
          <w:rFonts w:eastAsiaTheme="majorEastAsia"/>
        </w:rPr>
        <w:t>P</w:t>
      </w:r>
      <w:r w:rsidRPr="008D1D34">
        <w:rPr>
          <w:rFonts w:eastAsiaTheme="majorEastAsia"/>
        </w:rPr>
        <w:t>redicted probability of outcome for jobs with and without a wage subsidy agreement, by type of agreement and income support type</w:t>
      </w:r>
      <w:bookmarkEnd w:id="471"/>
    </w:p>
    <w:tbl>
      <w:tblPr>
        <w:tblW w:w="8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34"/>
        <w:gridCol w:w="992"/>
        <w:gridCol w:w="1134"/>
        <w:gridCol w:w="1151"/>
        <w:gridCol w:w="1418"/>
      </w:tblGrid>
      <w:tr w:rsidR="00C027EA" w:rsidRPr="00A25431" w14:paraId="709F071D" w14:textId="77777777" w:rsidTr="00C41AB0">
        <w:trPr>
          <w:trHeight w:val="300"/>
          <w:tblHeader/>
        </w:trPr>
        <w:tc>
          <w:tcPr>
            <w:tcW w:w="2977" w:type="dxa"/>
            <w:tcBorders>
              <w:bottom w:val="nil"/>
              <w:right w:val="nil"/>
            </w:tcBorders>
            <w:shd w:val="clear" w:color="auto" w:fill="1E3D6B"/>
            <w:noWrap/>
            <w:vAlign w:val="center"/>
          </w:tcPr>
          <w:p w14:paraId="5566DB6C" w14:textId="77777777" w:rsidR="00C027EA" w:rsidRPr="00A25431" w:rsidRDefault="00A25431" w:rsidP="006510E3">
            <w:pPr>
              <w:keepNext/>
              <w:spacing w:after="0" w:line="240" w:lineRule="auto"/>
              <w:rPr>
                <w:rFonts w:ascii="Calibri" w:eastAsia="Times New Roman" w:hAnsi="Calibri" w:cs="Calibri"/>
                <w:b/>
                <w:color w:val="000000"/>
                <w:sz w:val="20"/>
                <w:szCs w:val="20"/>
                <w:lang w:eastAsia="en-AU"/>
              </w:rPr>
            </w:pPr>
            <w:bookmarkStart w:id="472" w:name="Title_82"/>
            <w:bookmarkEnd w:id="472"/>
            <w:r w:rsidRPr="00A25431">
              <w:rPr>
                <w:rFonts w:ascii="Calibri" w:eastAsia="Times New Roman" w:hAnsi="Calibri" w:cs="Calibri"/>
                <w:b/>
                <w:color w:val="FFFFFF" w:themeColor="background2"/>
                <w:sz w:val="20"/>
                <w:szCs w:val="20"/>
                <w:lang w:eastAsia="en-AU"/>
              </w:rPr>
              <w:t>Income support type at time of placement</w:t>
            </w:r>
          </w:p>
        </w:tc>
        <w:tc>
          <w:tcPr>
            <w:tcW w:w="1134" w:type="dxa"/>
            <w:tcBorders>
              <w:left w:val="nil"/>
              <w:bottom w:val="nil"/>
              <w:right w:val="nil"/>
            </w:tcBorders>
            <w:shd w:val="clear" w:color="auto" w:fill="1E3D6B"/>
            <w:noWrap/>
          </w:tcPr>
          <w:p w14:paraId="65FCA0B1" w14:textId="77777777" w:rsidR="00C027EA" w:rsidRPr="00A25431" w:rsidRDefault="00C027EA" w:rsidP="001D1448">
            <w:pPr>
              <w:keepNext/>
              <w:spacing w:after="0" w:line="240" w:lineRule="auto"/>
              <w:jc w:val="center"/>
              <w:rPr>
                <w:rFonts w:ascii="Calibri" w:eastAsia="Times New Roman" w:hAnsi="Calibri" w:cs="Calibri"/>
                <w:b/>
                <w:color w:val="FFFFFF" w:themeColor="background2"/>
                <w:sz w:val="20"/>
                <w:szCs w:val="20"/>
                <w:lang w:eastAsia="en-AU"/>
              </w:rPr>
            </w:pPr>
            <w:r w:rsidRPr="00A25431">
              <w:rPr>
                <w:rFonts w:ascii="Calibri" w:eastAsia="Times New Roman" w:hAnsi="Calibri" w:cs="Calibri"/>
                <w:b/>
                <w:color w:val="FFFFFF" w:themeColor="background2"/>
                <w:sz w:val="20"/>
                <w:szCs w:val="20"/>
                <w:lang w:eastAsia="en-AU"/>
              </w:rPr>
              <w:t>ELIGIBLE</w:t>
            </w:r>
            <w:r w:rsidR="00B1425C" w:rsidRPr="00A25431">
              <w:rPr>
                <w:rFonts w:ascii="Calibri" w:eastAsia="Times New Roman" w:hAnsi="Calibri" w:cs="Calibri"/>
                <w:b/>
                <w:color w:val="FFFFFF" w:themeColor="background2"/>
                <w:sz w:val="20"/>
                <w:szCs w:val="20"/>
                <w:lang w:eastAsia="en-AU"/>
              </w:rPr>
              <w:t xml:space="preserve"> </w:t>
            </w:r>
            <w:r w:rsidR="00CE7729">
              <w:rPr>
                <w:rFonts w:ascii="Calibri" w:eastAsia="Times New Roman" w:hAnsi="Calibri" w:cs="Calibri"/>
                <w:b/>
                <w:color w:val="FFFFFF" w:themeColor="background2"/>
                <w:sz w:val="20"/>
                <w:szCs w:val="20"/>
                <w:lang w:eastAsia="en-AU"/>
              </w:rPr>
              <w:t>Wage Connect</w:t>
            </w:r>
            <w:r w:rsidR="00C41AB0">
              <w:rPr>
                <w:rFonts w:ascii="Calibri" w:eastAsia="Times New Roman" w:hAnsi="Calibri" w:cs="Calibri"/>
                <w:b/>
                <w:color w:val="FFFFFF" w:themeColor="background2"/>
                <w:sz w:val="20"/>
                <w:szCs w:val="20"/>
                <w:lang w:eastAsia="en-AU"/>
              </w:rPr>
              <w:br/>
            </w:r>
            <w:r w:rsidR="001D1448">
              <w:rPr>
                <w:rFonts w:ascii="Calibri" w:eastAsia="Times New Roman" w:hAnsi="Calibri" w:cs="Calibri"/>
                <w:b/>
                <w:color w:val="FFFFFF" w:themeColor="background2"/>
                <w:sz w:val="20"/>
                <w:szCs w:val="20"/>
                <w:lang w:eastAsia="en-AU"/>
              </w:rPr>
              <w:br/>
            </w:r>
            <w:r w:rsidRPr="00A25431">
              <w:rPr>
                <w:rFonts w:ascii="Calibri" w:eastAsia="Times New Roman" w:hAnsi="Calibri" w:cs="Calibri"/>
                <w:b/>
                <w:color w:val="FFFFFF" w:themeColor="background2"/>
                <w:sz w:val="20"/>
                <w:szCs w:val="20"/>
                <w:lang w:eastAsia="en-AU"/>
              </w:rPr>
              <w:t>Wage Connect</w:t>
            </w:r>
            <w:r w:rsidR="00B1425C" w:rsidRPr="00A25431">
              <w:rPr>
                <w:rFonts w:ascii="Calibri" w:eastAsia="Times New Roman" w:hAnsi="Calibri" w:cs="Calibri"/>
                <w:b/>
                <w:color w:val="FFFFFF" w:themeColor="background2"/>
                <w:sz w:val="20"/>
                <w:szCs w:val="20"/>
                <w:lang w:eastAsia="en-AU"/>
              </w:rPr>
              <w:t xml:space="preserve"> subsidy</w:t>
            </w:r>
          </w:p>
        </w:tc>
        <w:tc>
          <w:tcPr>
            <w:tcW w:w="992" w:type="dxa"/>
            <w:tcBorders>
              <w:left w:val="nil"/>
              <w:bottom w:val="nil"/>
              <w:right w:val="nil"/>
            </w:tcBorders>
            <w:shd w:val="clear" w:color="auto" w:fill="1E3D6B"/>
            <w:noWrap/>
          </w:tcPr>
          <w:p w14:paraId="27AD8AB5" w14:textId="77777777" w:rsidR="00C027EA" w:rsidRPr="00A25431" w:rsidRDefault="00C027EA" w:rsidP="00C41AB0">
            <w:pPr>
              <w:keepNext/>
              <w:spacing w:after="0" w:line="240" w:lineRule="auto"/>
              <w:ind w:left="-13"/>
              <w:jc w:val="center"/>
              <w:rPr>
                <w:rFonts w:ascii="Calibri" w:eastAsia="Times New Roman" w:hAnsi="Calibri" w:cs="Calibri"/>
                <w:b/>
                <w:color w:val="FFFFFF" w:themeColor="background2"/>
                <w:sz w:val="20"/>
                <w:szCs w:val="20"/>
                <w:lang w:eastAsia="en-AU"/>
              </w:rPr>
            </w:pPr>
            <w:r w:rsidRPr="00A25431">
              <w:rPr>
                <w:rFonts w:ascii="Calibri" w:eastAsia="Times New Roman" w:hAnsi="Calibri" w:cs="Calibri"/>
                <w:b/>
                <w:color w:val="FFFFFF" w:themeColor="background2"/>
                <w:sz w:val="20"/>
                <w:szCs w:val="20"/>
                <w:lang w:eastAsia="en-AU"/>
              </w:rPr>
              <w:t>ELIGIBLE</w:t>
            </w:r>
            <w:r w:rsidR="00B1425C" w:rsidRPr="00A25431">
              <w:rPr>
                <w:rFonts w:ascii="Calibri" w:eastAsia="Times New Roman" w:hAnsi="Calibri" w:cs="Calibri"/>
                <w:b/>
                <w:color w:val="FFFFFF" w:themeColor="background2"/>
                <w:sz w:val="20"/>
                <w:szCs w:val="20"/>
                <w:lang w:eastAsia="en-AU"/>
              </w:rPr>
              <w:t xml:space="preserve"> </w:t>
            </w:r>
            <w:r w:rsidR="00CE7729">
              <w:rPr>
                <w:rFonts w:ascii="Calibri" w:eastAsia="Times New Roman" w:hAnsi="Calibri" w:cs="Calibri"/>
                <w:b/>
                <w:color w:val="FFFFFF" w:themeColor="background2"/>
                <w:sz w:val="20"/>
                <w:szCs w:val="20"/>
                <w:lang w:eastAsia="en-AU"/>
              </w:rPr>
              <w:t>Wage Connect</w:t>
            </w:r>
            <w:r w:rsidR="00C41AB0">
              <w:rPr>
                <w:rFonts w:ascii="Calibri" w:eastAsia="Times New Roman" w:hAnsi="Calibri" w:cs="Calibri"/>
                <w:b/>
                <w:color w:val="FFFFFF" w:themeColor="background2"/>
                <w:sz w:val="20"/>
                <w:szCs w:val="20"/>
                <w:lang w:eastAsia="en-AU"/>
              </w:rPr>
              <w:br/>
            </w:r>
            <w:r w:rsidR="00C41AB0">
              <w:rPr>
                <w:rFonts w:ascii="Calibri" w:eastAsia="Times New Roman" w:hAnsi="Calibri" w:cs="Calibri"/>
                <w:b/>
                <w:color w:val="FFFFFF" w:themeColor="background2"/>
                <w:sz w:val="20"/>
                <w:szCs w:val="20"/>
                <w:lang w:eastAsia="en-AU"/>
              </w:rPr>
              <w:br/>
            </w:r>
            <w:r w:rsidRPr="00A25431">
              <w:rPr>
                <w:rFonts w:ascii="Calibri" w:eastAsia="Times New Roman" w:hAnsi="Calibri" w:cs="Calibri"/>
                <w:b/>
                <w:color w:val="FFFFFF" w:themeColor="background2"/>
                <w:sz w:val="20"/>
                <w:szCs w:val="20"/>
                <w:lang w:eastAsia="en-AU"/>
              </w:rPr>
              <w:t>EPF wage subsidy</w:t>
            </w:r>
          </w:p>
        </w:tc>
        <w:tc>
          <w:tcPr>
            <w:tcW w:w="1134" w:type="dxa"/>
            <w:tcBorders>
              <w:left w:val="nil"/>
              <w:bottom w:val="nil"/>
              <w:right w:val="nil"/>
            </w:tcBorders>
            <w:shd w:val="clear" w:color="auto" w:fill="1E3D6B"/>
          </w:tcPr>
          <w:p w14:paraId="47AF0484" w14:textId="77777777" w:rsidR="00C027EA" w:rsidRPr="00A25431" w:rsidRDefault="00C027EA" w:rsidP="001D1448">
            <w:pPr>
              <w:keepNext/>
              <w:spacing w:after="0" w:line="240" w:lineRule="auto"/>
              <w:jc w:val="center"/>
              <w:rPr>
                <w:rFonts w:ascii="Calibri" w:eastAsia="Times New Roman" w:hAnsi="Calibri" w:cs="Calibri"/>
                <w:b/>
                <w:color w:val="FFFFFF" w:themeColor="background2"/>
                <w:sz w:val="20"/>
                <w:szCs w:val="20"/>
                <w:lang w:eastAsia="en-AU"/>
              </w:rPr>
            </w:pPr>
            <w:r w:rsidRPr="00A25431">
              <w:rPr>
                <w:rFonts w:ascii="Calibri" w:eastAsia="Times New Roman" w:hAnsi="Calibri" w:cs="Calibri"/>
                <w:b/>
                <w:color w:val="FFFFFF" w:themeColor="background2"/>
                <w:sz w:val="20"/>
                <w:szCs w:val="20"/>
                <w:lang w:eastAsia="en-AU"/>
              </w:rPr>
              <w:t>ELIGIBLE</w:t>
            </w:r>
            <w:r w:rsidR="00B1425C" w:rsidRPr="00A25431">
              <w:rPr>
                <w:rFonts w:ascii="Calibri" w:eastAsia="Times New Roman" w:hAnsi="Calibri" w:cs="Calibri"/>
                <w:b/>
                <w:color w:val="FFFFFF" w:themeColor="background2"/>
                <w:sz w:val="20"/>
                <w:szCs w:val="20"/>
                <w:lang w:eastAsia="en-AU"/>
              </w:rPr>
              <w:t xml:space="preserve"> W</w:t>
            </w:r>
            <w:r w:rsidR="00CE7729">
              <w:rPr>
                <w:rFonts w:ascii="Calibri" w:eastAsia="Times New Roman" w:hAnsi="Calibri" w:cs="Calibri"/>
                <w:b/>
                <w:color w:val="FFFFFF" w:themeColor="background2"/>
                <w:sz w:val="20"/>
                <w:szCs w:val="20"/>
                <w:lang w:eastAsia="en-AU"/>
              </w:rPr>
              <w:t>age Connect</w:t>
            </w:r>
            <w:r w:rsidR="00C41AB0">
              <w:rPr>
                <w:rFonts w:ascii="Calibri" w:eastAsia="Times New Roman" w:hAnsi="Calibri" w:cs="Calibri"/>
                <w:b/>
                <w:color w:val="FFFFFF" w:themeColor="background2"/>
                <w:sz w:val="20"/>
                <w:szCs w:val="20"/>
                <w:lang w:eastAsia="en-AU"/>
              </w:rPr>
              <w:br/>
            </w:r>
            <w:r w:rsidR="001D1448">
              <w:rPr>
                <w:rFonts w:ascii="Calibri" w:eastAsia="Times New Roman" w:hAnsi="Calibri" w:cs="Calibri"/>
                <w:b/>
                <w:color w:val="FFFFFF" w:themeColor="background2"/>
                <w:sz w:val="20"/>
                <w:szCs w:val="20"/>
                <w:lang w:eastAsia="en-AU"/>
              </w:rPr>
              <w:br/>
            </w:r>
            <w:r w:rsidRPr="00A25431">
              <w:rPr>
                <w:rFonts w:ascii="Calibri" w:eastAsia="Times New Roman" w:hAnsi="Calibri" w:cs="Calibri"/>
                <w:b/>
                <w:color w:val="FFFFFF" w:themeColor="background2"/>
                <w:sz w:val="20"/>
                <w:szCs w:val="20"/>
                <w:lang w:eastAsia="en-AU"/>
              </w:rPr>
              <w:t>No wage subsidy  agreement</w:t>
            </w:r>
          </w:p>
        </w:tc>
        <w:tc>
          <w:tcPr>
            <w:tcW w:w="1151" w:type="dxa"/>
            <w:tcBorders>
              <w:left w:val="nil"/>
              <w:bottom w:val="nil"/>
              <w:right w:val="nil"/>
            </w:tcBorders>
            <w:shd w:val="clear" w:color="auto" w:fill="1E3D6B"/>
          </w:tcPr>
          <w:p w14:paraId="204D0FBA" w14:textId="77777777" w:rsidR="00C027EA" w:rsidRPr="00A25431" w:rsidRDefault="00C027EA" w:rsidP="00C41AB0">
            <w:pPr>
              <w:keepNext/>
              <w:spacing w:after="0" w:line="240" w:lineRule="auto"/>
              <w:ind w:left="-93" w:right="-89"/>
              <w:jc w:val="center"/>
              <w:rPr>
                <w:rFonts w:ascii="Calibri" w:eastAsia="Times New Roman" w:hAnsi="Calibri" w:cs="Calibri"/>
                <w:b/>
                <w:color w:val="FFFFFF" w:themeColor="background2"/>
                <w:sz w:val="20"/>
                <w:szCs w:val="20"/>
                <w:lang w:eastAsia="en-AU"/>
              </w:rPr>
            </w:pPr>
            <w:r w:rsidRPr="00A25431">
              <w:rPr>
                <w:rFonts w:ascii="Calibri" w:eastAsia="Times New Roman" w:hAnsi="Calibri" w:cs="Calibri"/>
                <w:b/>
                <w:color w:val="FFFFFF" w:themeColor="background2"/>
                <w:sz w:val="20"/>
                <w:szCs w:val="20"/>
                <w:lang w:eastAsia="en-AU"/>
              </w:rPr>
              <w:t>NOT ELIGIBLE</w:t>
            </w:r>
            <w:r w:rsidR="00B1425C" w:rsidRPr="00A25431">
              <w:rPr>
                <w:rFonts w:ascii="Calibri" w:eastAsia="Times New Roman" w:hAnsi="Calibri" w:cs="Calibri"/>
                <w:b/>
                <w:color w:val="FFFFFF" w:themeColor="background2"/>
                <w:sz w:val="20"/>
                <w:szCs w:val="20"/>
                <w:lang w:eastAsia="en-AU"/>
              </w:rPr>
              <w:t xml:space="preserve"> </w:t>
            </w:r>
            <w:r w:rsidR="00CE7729">
              <w:rPr>
                <w:rFonts w:ascii="Calibri" w:eastAsia="Times New Roman" w:hAnsi="Calibri" w:cs="Calibri"/>
                <w:b/>
                <w:color w:val="FFFFFF" w:themeColor="background2"/>
                <w:sz w:val="20"/>
                <w:szCs w:val="20"/>
                <w:lang w:eastAsia="en-AU"/>
              </w:rPr>
              <w:t>Wage Connect</w:t>
            </w:r>
            <w:r w:rsidR="001D1448">
              <w:rPr>
                <w:rFonts w:ascii="Calibri" w:eastAsia="Times New Roman" w:hAnsi="Calibri" w:cs="Calibri"/>
                <w:b/>
                <w:color w:val="FFFFFF" w:themeColor="background2"/>
                <w:sz w:val="20"/>
                <w:szCs w:val="20"/>
                <w:lang w:eastAsia="en-AU"/>
              </w:rPr>
              <w:br/>
            </w:r>
            <w:r w:rsidR="001D1448">
              <w:rPr>
                <w:rFonts w:ascii="Calibri" w:eastAsia="Times New Roman" w:hAnsi="Calibri" w:cs="Calibri"/>
                <w:b/>
                <w:color w:val="FFFFFF" w:themeColor="background2"/>
                <w:sz w:val="20"/>
                <w:szCs w:val="20"/>
                <w:lang w:eastAsia="en-AU"/>
              </w:rPr>
              <w:br/>
            </w:r>
            <w:r w:rsidRPr="00A25431">
              <w:rPr>
                <w:rFonts w:ascii="Calibri" w:eastAsia="Times New Roman" w:hAnsi="Calibri" w:cs="Calibri"/>
                <w:b/>
                <w:color w:val="FFFFFF" w:themeColor="background2"/>
                <w:sz w:val="20"/>
                <w:szCs w:val="20"/>
                <w:lang w:eastAsia="en-AU"/>
              </w:rPr>
              <w:t>EPF wage subsidy</w:t>
            </w:r>
          </w:p>
        </w:tc>
        <w:tc>
          <w:tcPr>
            <w:tcW w:w="1418" w:type="dxa"/>
            <w:tcBorders>
              <w:left w:val="nil"/>
              <w:bottom w:val="nil"/>
              <w:right w:val="nil"/>
            </w:tcBorders>
            <w:shd w:val="clear" w:color="auto" w:fill="1E3D6B"/>
          </w:tcPr>
          <w:p w14:paraId="476108E5" w14:textId="77777777" w:rsidR="00C027EA" w:rsidRPr="00A25431" w:rsidRDefault="00C027EA" w:rsidP="00C41AB0">
            <w:pPr>
              <w:keepNext/>
              <w:spacing w:after="0" w:line="240" w:lineRule="auto"/>
              <w:ind w:left="-89"/>
              <w:jc w:val="center"/>
              <w:rPr>
                <w:rFonts w:ascii="Calibri" w:eastAsia="Times New Roman" w:hAnsi="Calibri" w:cs="Calibri"/>
                <w:b/>
                <w:color w:val="FFFFFF" w:themeColor="background2"/>
                <w:sz w:val="20"/>
                <w:szCs w:val="20"/>
                <w:lang w:eastAsia="en-AU"/>
              </w:rPr>
            </w:pPr>
            <w:r w:rsidRPr="00A25431">
              <w:rPr>
                <w:rFonts w:ascii="Calibri" w:eastAsia="Times New Roman" w:hAnsi="Calibri" w:cs="Calibri"/>
                <w:b/>
                <w:color w:val="FFFFFF" w:themeColor="background2"/>
                <w:sz w:val="20"/>
                <w:szCs w:val="20"/>
                <w:lang w:eastAsia="en-AU"/>
              </w:rPr>
              <w:t>NOT ELIGIBLE</w:t>
            </w:r>
            <w:r w:rsidR="00B1425C" w:rsidRPr="00A25431">
              <w:rPr>
                <w:rFonts w:ascii="Calibri" w:eastAsia="Times New Roman" w:hAnsi="Calibri" w:cs="Calibri"/>
                <w:b/>
                <w:color w:val="FFFFFF" w:themeColor="background2"/>
                <w:sz w:val="20"/>
                <w:szCs w:val="20"/>
                <w:lang w:eastAsia="en-AU"/>
              </w:rPr>
              <w:t xml:space="preserve"> </w:t>
            </w:r>
            <w:r w:rsidR="00C41AB0">
              <w:rPr>
                <w:rFonts w:ascii="Calibri" w:eastAsia="Times New Roman" w:hAnsi="Calibri" w:cs="Calibri"/>
                <w:b/>
                <w:color w:val="FFFFFF" w:themeColor="background2"/>
                <w:sz w:val="20"/>
                <w:szCs w:val="20"/>
                <w:lang w:eastAsia="en-AU"/>
              </w:rPr>
              <w:t>Wage</w:t>
            </w:r>
            <w:r w:rsidR="00C41AB0">
              <w:rPr>
                <w:rFonts w:ascii="Calibri" w:eastAsia="Times New Roman" w:hAnsi="Calibri" w:cs="Calibri"/>
                <w:b/>
                <w:color w:val="FFFFFF" w:themeColor="background2"/>
                <w:sz w:val="20"/>
                <w:szCs w:val="20"/>
                <w:lang w:eastAsia="en-AU"/>
              </w:rPr>
              <w:br/>
            </w:r>
            <w:r w:rsidR="00CE7729">
              <w:rPr>
                <w:rFonts w:ascii="Calibri" w:eastAsia="Times New Roman" w:hAnsi="Calibri" w:cs="Calibri"/>
                <w:b/>
                <w:color w:val="FFFFFF" w:themeColor="background2"/>
                <w:sz w:val="20"/>
                <w:szCs w:val="20"/>
                <w:lang w:eastAsia="en-AU"/>
              </w:rPr>
              <w:t>Connect</w:t>
            </w:r>
            <w:r w:rsidR="00C41AB0">
              <w:rPr>
                <w:rFonts w:ascii="Calibri" w:eastAsia="Times New Roman" w:hAnsi="Calibri" w:cs="Calibri"/>
                <w:b/>
                <w:color w:val="FFFFFF" w:themeColor="background2"/>
                <w:sz w:val="20"/>
                <w:szCs w:val="20"/>
                <w:lang w:eastAsia="en-AU"/>
              </w:rPr>
              <w:br/>
            </w:r>
            <w:r w:rsidR="00C41AB0">
              <w:rPr>
                <w:rFonts w:ascii="Calibri" w:eastAsia="Times New Roman" w:hAnsi="Calibri" w:cs="Calibri"/>
                <w:b/>
                <w:color w:val="FFFFFF" w:themeColor="background2"/>
                <w:sz w:val="20"/>
                <w:szCs w:val="20"/>
                <w:lang w:eastAsia="en-AU"/>
              </w:rPr>
              <w:br/>
            </w:r>
            <w:r w:rsidRPr="00A25431">
              <w:rPr>
                <w:rFonts w:ascii="Calibri" w:eastAsia="Times New Roman" w:hAnsi="Calibri" w:cs="Calibri"/>
                <w:b/>
                <w:color w:val="FFFFFF" w:themeColor="background2"/>
                <w:sz w:val="20"/>
                <w:szCs w:val="20"/>
                <w:lang w:eastAsia="en-AU"/>
              </w:rPr>
              <w:t>No wage subsidy agreement</w:t>
            </w:r>
          </w:p>
        </w:tc>
      </w:tr>
      <w:tr w:rsidR="00C027EA" w:rsidRPr="0019430D" w14:paraId="23861146" w14:textId="77777777" w:rsidTr="001770E5">
        <w:trPr>
          <w:trHeight w:hRule="exact" w:val="510"/>
        </w:trPr>
        <w:tc>
          <w:tcPr>
            <w:tcW w:w="2977" w:type="dxa"/>
            <w:tcBorders>
              <w:top w:val="nil"/>
              <w:left w:val="nil"/>
              <w:bottom w:val="nil"/>
              <w:right w:val="nil"/>
            </w:tcBorders>
            <w:noWrap/>
            <w:vAlign w:val="center"/>
            <w:hideMark/>
          </w:tcPr>
          <w:p w14:paraId="1FE0E025" w14:textId="221F8D95" w:rsidR="00C027EA" w:rsidRPr="0019430D" w:rsidRDefault="00C027EA" w:rsidP="00A254DF">
            <w:pPr>
              <w:keepNext/>
              <w:spacing w:after="0" w:line="240" w:lineRule="auto"/>
              <w:rPr>
                <w:rFonts w:ascii="Calibri" w:eastAsia="Times New Roman" w:hAnsi="Calibri" w:cs="Calibri"/>
                <w:color w:val="000000"/>
                <w:sz w:val="20"/>
                <w:szCs w:val="20"/>
                <w:vertAlign w:val="superscript"/>
                <w:lang w:eastAsia="en-AU"/>
              </w:rPr>
            </w:pPr>
            <w:r w:rsidRPr="0019430D">
              <w:rPr>
                <w:rFonts w:ascii="Calibri" w:eastAsia="Times New Roman" w:hAnsi="Calibri" w:cs="Calibri"/>
                <w:color w:val="000000"/>
                <w:sz w:val="20"/>
                <w:szCs w:val="20"/>
                <w:lang w:eastAsia="en-AU"/>
              </w:rPr>
              <w:t>NSA/YA(O) 26</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week outcome</w:t>
            </w:r>
          </w:p>
        </w:tc>
        <w:tc>
          <w:tcPr>
            <w:tcW w:w="1134" w:type="dxa"/>
            <w:tcBorders>
              <w:top w:val="nil"/>
              <w:left w:val="nil"/>
              <w:bottom w:val="nil"/>
              <w:right w:val="nil"/>
            </w:tcBorders>
            <w:noWrap/>
            <w:vAlign w:val="center"/>
            <w:hideMark/>
          </w:tcPr>
          <w:p w14:paraId="1103A19E"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0.47</w:t>
            </w:r>
          </w:p>
        </w:tc>
        <w:tc>
          <w:tcPr>
            <w:tcW w:w="992" w:type="dxa"/>
            <w:tcBorders>
              <w:top w:val="nil"/>
              <w:left w:val="nil"/>
              <w:bottom w:val="nil"/>
              <w:right w:val="nil"/>
            </w:tcBorders>
            <w:noWrap/>
            <w:vAlign w:val="center"/>
            <w:hideMark/>
          </w:tcPr>
          <w:p w14:paraId="535BEA63" w14:textId="77777777" w:rsidR="00C027EA" w:rsidRPr="0019430D" w:rsidRDefault="00C027EA" w:rsidP="006510E3">
            <w:pPr>
              <w:keepNext/>
              <w:spacing w:after="0" w:line="240" w:lineRule="auto"/>
              <w:ind w:left="-13"/>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0.70</w:t>
            </w:r>
          </w:p>
        </w:tc>
        <w:tc>
          <w:tcPr>
            <w:tcW w:w="1134" w:type="dxa"/>
            <w:tcBorders>
              <w:top w:val="nil"/>
              <w:left w:val="nil"/>
              <w:bottom w:val="nil"/>
              <w:right w:val="nil"/>
            </w:tcBorders>
            <w:vAlign w:val="center"/>
            <w:hideMark/>
          </w:tcPr>
          <w:p w14:paraId="083BB67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0.27</w:t>
            </w:r>
          </w:p>
        </w:tc>
        <w:tc>
          <w:tcPr>
            <w:tcW w:w="1151" w:type="dxa"/>
            <w:tcBorders>
              <w:top w:val="nil"/>
              <w:left w:val="nil"/>
              <w:bottom w:val="nil"/>
              <w:right w:val="nil"/>
            </w:tcBorders>
            <w:vAlign w:val="center"/>
          </w:tcPr>
          <w:p w14:paraId="75D3357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0.71</w:t>
            </w:r>
          </w:p>
        </w:tc>
        <w:tc>
          <w:tcPr>
            <w:tcW w:w="1418" w:type="dxa"/>
            <w:tcBorders>
              <w:top w:val="nil"/>
              <w:left w:val="nil"/>
              <w:bottom w:val="nil"/>
              <w:right w:val="nil"/>
            </w:tcBorders>
            <w:vAlign w:val="center"/>
          </w:tcPr>
          <w:p w14:paraId="42B7E2D6"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0.33</w:t>
            </w:r>
          </w:p>
        </w:tc>
      </w:tr>
      <w:tr w:rsidR="00C027EA" w:rsidRPr="0019430D" w14:paraId="04B4FDB6" w14:textId="77777777" w:rsidTr="001770E5">
        <w:trPr>
          <w:trHeight w:hRule="exact" w:val="510"/>
        </w:trPr>
        <w:tc>
          <w:tcPr>
            <w:tcW w:w="2977" w:type="dxa"/>
            <w:tcBorders>
              <w:top w:val="nil"/>
              <w:left w:val="nil"/>
              <w:bottom w:val="nil"/>
              <w:right w:val="nil"/>
            </w:tcBorders>
            <w:shd w:val="clear" w:color="auto" w:fill="E5E5E5" w:themeFill="background1" w:themeFillTint="33"/>
            <w:noWrap/>
            <w:vAlign w:val="center"/>
            <w:hideMark/>
          </w:tcPr>
          <w:p w14:paraId="695162A0" w14:textId="5F77F6A9" w:rsidR="00C027EA" w:rsidRPr="0019430D" w:rsidRDefault="00C027EA" w:rsidP="00A254DF">
            <w:pPr>
              <w:keepNext/>
              <w:spacing w:after="0" w:line="240" w:lineRule="auto"/>
              <w:rPr>
                <w:rFonts w:ascii="Calibri" w:eastAsia="Times New Roman" w:hAnsi="Calibri" w:cs="Calibri"/>
                <w:color w:val="000000"/>
                <w:sz w:val="20"/>
                <w:szCs w:val="20"/>
                <w:vertAlign w:val="superscript"/>
                <w:lang w:eastAsia="en-AU"/>
              </w:rPr>
            </w:pPr>
            <w:r w:rsidRPr="0019430D">
              <w:rPr>
                <w:rFonts w:ascii="Calibri" w:eastAsia="Times New Roman" w:hAnsi="Calibri" w:cs="Calibri"/>
                <w:color w:val="000000"/>
                <w:sz w:val="20"/>
                <w:szCs w:val="20"/>
                <w:lang w:eastAsia="en-AU"/>
              </w:rPr>
              <w:t>NSA/YA(O)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reduced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shd w:val="clear" w:color="auto" w:fill="E5E5E5" w:themeFill="background1" w:themeFillTint="33"/>
            <w:noWrap/>
            <w:vAlign w:val="center"/>
            <w:hideMark/>
          </w:tcPr>
          <w:p w14:paraId="724176CE"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0.48</w:t>
            </w:r>
          </w:p>
        </w:tc>
        <w:tc>
          <w:tcPr>
            <w:tcW w:w="992" w:type="dxa"/>
            <w:tcBorders>
              <w:top w:val="nil"/>
              <w:left w:val="nil"/>
              <w:bottom w:val="nil"/>
              <w:right w:val="nil"/>
            </w:tcBorders>
            <w:shd w:val="clear" w:color="auto" w:fill="E5E5E5" w:themeFill="background1" w:themeFillTint="33"/>
            <w:noWrap/>
            <w:vAlign w:val="center"/>
            <w:hideMark/>
          </w:tcPr>
          <w:p w14:paraId="54779F2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0.58</w:t>
            </w:r>
          </w:p>
        </w:tc>
        <w:tc>
          <w:tcPr>
            <w:tcW w:w="1134" w:type="dxa"/>
            <w:tcBorders>
              <w:top w:val="nil"/>
              <w:left w:val="nil"/>
              <w:bottom w:val="nil"/>
              <w:right w:val="nil"/>
            </w:tcBorders>
            <w:shd w:val="clear" w:color="auto" w:fill="E5E5E5" w:themeFill="background1" w:themeFillTint="33"/>
            <w:vAlign w:val="center"/>
            <w:hideMark/>
          </w:tcPr>
          <w:p w14:paraId="0C210DE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0.45</w:t>
            </w:r>
          </w:p>
        </w:tc>
        <w:tc>
          <w:tcPr>
            <w:tcW w:w="1151" w:type="dxa"/>
            <w:tcBorders>
              <w:top w:val="nil"/>
              <w:left w:val="nil"/>
              <w:bottom w:val="nil"/>
              <w:right w:val="nil"/>
            </w:tcBorders>
            <w:shd w:val="clear" w:color="auto" w:fill="E5E5E5" w:themeFill="background1" w:themeFillTint="33"/>
            <w:vAlign w:val="center"/>
          </w:tcPr>
          <w:p w14:paraId="6B1F515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0.62</w:t>
            </w:r>
          </w:p>
        </w:tc>
        <w:tc>
          <w:tcPr>
            <w:tcW w:w="1418" w:type="dxa"/>
            <w:tcBorders>
              <w:top w:val="nil"/>
              <w:left w:val="nil"/>
              <w:bottom w:val="nil"/>
              <w:right w:val="nil"/>
            </w:tcBorders>
            <w:shd w:val="clear" w:color="auto" w:fill="E5E5E5" w:themeFill="background1" w:themeFillTint="33"/>
            <w:vAlign w:val="center"/>
          </w:tcPr>
          <w:p w14:paraId="2B80BBE5"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0.53</w:t>
            </w:r>
          </w:p>
        </w:tc>
      </w:tr>
      <w:tr w:rsidR="00C027EA" w:rsidRPr="0019430D" w14:paraId="1D471389" w14:textId="77777777" w:rsidTr="001770E5">
        <w:trPr>
          <w:trHeight w:hRule="exact" w:val="510"/>
        </w:trPr>
        <w:tc>
          <w:tcPr>
            <w:tcW w:w="2977" w:type="dxa"/>
            <w:tcBorders>
              <w:top w:val="nil"/>
              <w:left w:val="nil"/>
              <w:bottom w:val="nil"/>
              <w:right w:val="nil"/>
            </w:tcBorders>
            <w:noWrap/>
            <w:vAlign w:val="center"/>
            <w:hideMark/>
          </w:tcPr>
          <w:p w14:paraId="2E75E777" w14:textId="79B00B3F" w:rsidR="00C027EA" w:rsidRPr="0019430D" w:rsidRDefault="00C027EA" w:rsidP="00A254DF">
            <w:pPr>
              <w:keepNext/>
              <w:spacing w:after="0" w:line="240" w:lineRule="auto"/>
              <w:rPr>
                <w:rFonts w:ascii="Calibri" w:eastAsia="Times New Roman" w:hAnsi="Calibri" w:cs="Calibri"/>
                <w:color w:val="000000"/>
                <w:sz w:val="20"/>
                <w:szCs w:val="20"/>
                <w:vertAlign w:val="superscript"/>
                <w:lang w:eastAsia="en-AU"/>
              </w:rPr>
            </w:pPr>
            <w:r w:rsidRPr="0019430D">
              <w:rPr>
                <w:rFonts w:ascii="Calibri" w:eastAsia="Times New Roman" w:hAnsi="Calibri" w:cs="Calibri"/>
                <w:color w:val="000000"/>
                <w:sz w:val="20"/>
                <w:szCs w:val="20"/>
                <w:lang w:eastAsia="en-AU"/>
              </w:rPr>
              <w:t>NSA/YA(O)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off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noWrap/>
            <w:vAlign w:val="center"/>
            <w:hideMark/>
          </w:tcPr>
          <w:p w14:paraId="7C3D8A7B"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0.36</w:t>
            </w:r>
          </w:p>
        </w:tc>
        <w:tc>
          <w:tcPr>
            <w:tcW w:w="992" w:type="dxa"/>
            <w:tcBorders>
              <w:top w:val="nil"/>
              <w:left w:val="nil"/>
              <w:bottom w:val="nil"/>
              <w:right w:val="nil"/>
            </w:tcBorders>
            <w:noWrap/>
            <w:vAlign w:val="center"/>
            <w:hideMark/>
          </w:tcPr>
          <w:p w14:paraId="5FF6911C"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0.48</w:t>
            </w:r>
          </w:p>
        </w:tc>
        <w:tc>
          <w:tcPr>
            <w:tcW w:w="1134" w:type="dxa"/>
            <w:tcBorders>
              <w:top w:val="nil"/>
              <w:left w:val="nil"/>
              <w:bottom w:val="nil"/>
              <w:right w:val="nil"/>
            </w:tcBorders>
            <w:vAlign w:val="center"/>
            <w:hideMark/>
          </w:tcPr>
          <w:p w14:paraId="1129C5E7"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0.33</w:t>
            </w:r>
          </w:p>
        </w:tc>
        <w:tc>
          <w:tcPr>
            <w:tcW w:w="1151" w:type="dxa"/>
            <w:tcBorders>
              <w:top w:val="nil"/>
              <w:left w:val="nil"/>
              <w:bottom w:val="nil"/>
              <w:right w:val="nil"/>
            </w:tcBorders>
            <w:vAlign w:val="center"/>
          </w:tcPr>
          <w:p w14:paraId="0A99E385"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0.58</w:t>
            </w:r>
          </w:p>
        </w:tc>
        <w:tc>
          <w:tcPr>
            <w:tcW w:w="1418" w:type="dxa"/>
            <w:tcBorders>
              <w:top w:val="nil"/>
              <w:left w:val="nil"/>
              <w:bottom w:val="nil"/>
              <w:right w:val="nil"/>
            </w:tcBorders>
            <w:vAlign w:val="center"/>
          </w:tcPr>
          <w:p w14:paraId="4CBA2C6C"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0.48</w:t>
            </w:r>
          </w:p>
        </w:tc>
      </w:tr>
      <w:tr w:rsidR="00C027EA" w:rsidRPr="0019430D" w14:paraId="56A5D346" w14:textId="77777777" w:rsidTr="001770E5">
        <w:trPr>
          <w:trHeight w:hRule="exact" w:val="510"/>
        </w:trPr>
        <w:tc>
          <w:tcPr>
            <w:tcW w:w="2977" w:type="dxa"/>
            <w:tcBorders>
              <w:top w:val="nil"/>
              <w:left w:val="nil"/>
              <w:bottom w:val="nil"/>
              <w:right w:val="nil"/>
            </w:tcBorders>
            <w:shd w:val="clear" w:color="auto" w:fill="E5E5E5" w:themeFill="background1" w:themeFillTint="33"/>
            <w:noWrap/>
            <w:vAlign w:val="center"/>
            <w:hideMark/>
          </w:tcPr>
          <w:p w14:paraId="4AC5429D" w14:textId="65D4FA19"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PPS/PPP 26</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week outcome</w:t>
            </w:r>
          </w:p>
        </w:tc>
        <w:tc>
          <w:tcPr>
            <w:tcW w:w="1134" w:type="dxa"/>
            <w:tcBorders>
              <w:top w:val="nil"/>
              <w:left w:val="nil"/>
              <w:bottom w:val="nil"/>
              <w:right w:val="nil"/>
            </w:tcBorders>
            <w:shd w:val="clear" w:color="auto" w:fill="E5E5E5" w:themeFill="background1" w:themeFillTint="33"/>
            <w:noWrap/>
            <w:vAlign w:val="center"/>
            <w:hideMark/>
          </w:tcPr>
          <w:p w14:paraId="0C9964B1"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0.60</w:t>
            </w:r>
          </w:p>
        </w:tc>
        <w:tc>
          <w:tcPr>
            <w:tcW w:w="992" w:type="dxa"/>
            <w:tcBorders>
              <w:top w:val="nil"/>
              <w:left w:val="nil"/>
              <w:bottom w:val="nil"/>
              <w:right w:val="nil"/>
            </w:tcBorders>
            <w:shd w:val="clear" w:color="auto" w:fill="E5E5E5" w:themeFill="background1" w:themeFillTint="33"/>
            <w:noWrap/>
            <w:vAlign w:val="center"/>
            <w:hideMark/>
          </w:tcPr>
          <w:p w14:paraId="73B8A41A"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0.78</w:t>
            </w:r>
          </w:p>
        </w:tc>
        <w:tc>
          <w:tcPr>
            <w:tcW w:w="1134" w:type="dxa"/>
            <w:tcBorders>
              <w:top w:val="nil"/>
              <w:left w:val="nil"/>
              <w:bottom w:val="nil"/>
              <w:right w:val="nil"/>
            </w:tcBorders>
            <w:shd w:val="clear" w:color="auto" w:fill="E5E5E5" w:themeFill="background1" w:themeFillTint="33"/>
            <w:vAlign w:val="center"/>
            <w:hideMark/>
          </w:tcPr>
          <w:p w14:paraId="0D7C766E"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0.44</w:t>
            </w:r>
          </w:p>
        </w:tc>
        <w:tc>
          <w:tcPr>
            <w:tcW w:w="1151" w:type="dxa"/>
            <w:tcBorders>
              <w:top w:val="nil"/>
              <w:left w:val="nil"/>
              <w:bottom w:val="nil"/>
              <w:right w:val="nil"/>
            </w:tcBorders>
            <w:shd w:val="clear" w:color="auto" w:fill="E5E5E5" w:themeFill="background1" w:themeFillTint="33"/>
            <w:vAlign w:val="center"/>
          </w:tcPr>
          <w:p w14:paraId="7AD80C8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0.76</w:t>
            </w:r>
          </w:p>
        </w:tc>
        <w:tc>
          <w:tcPr>
            <w:tcW w:w="1418" w:type="dxa"/>
            <w:tcBorders>
              <w:top w:val="nil"/>
              <w:left w:val="nil"/>
              <w:bottom w:val="nil"/>
              <w:right w:val="nil"/>
            </w:tcBorders>
            <w:shd w:val="clear" w:color="auto" w:fill="E5E5E5" w:themeFill="background1" w:themeFillTint="33"/>
            <w:vAlign w:val="center"/>
          </w:tcPr>
          <w:p w14:paraId="4D65D4E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0.43</w:t>
            </w:r>
          </w:p>
        </w:tc>
      </w:tr>
      <w:tr w:rsidR="00C027EA" w:rsidRPr="0019430D" w14:paraId="5F7F9265" w14:textId="77777777" w:rsidTr="001770E5">
        <w:trPr>
          <w:trHeight w:hRule="exact" w:val="510"/>
        </w:trPr>
        <w:tc>
          <w:tcPr>
            <w:tcW w:w="2977" w:type="dxa"/>
            <w:tcBorders>
              <w:top w:val="nil"/>
              <w:left w:val="nil"/>
              <w:bottom w:val="nil"/>
              <w:right w:val="nil"/>
            </w:tcBorders>
            <w:noWrap/>
            <w:vAlign w:val="center"/>
            <w:hideMark/>
          </w:tcPr>
          <w:p w14:paraId="32A6FC19" w14:textId="1D96C459"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PPS/PPP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reduced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noWrap/>
            <w:vAlign w:val="center"/>
          </w:tcPr>
          <w:p w14:paraId="4B22127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0.55</w:t>
            </w:r>
          </w:p>
        </w:tc>
        <w:tc>
          <w:tcPr>
            <w:tcW w:w="992" w:type="dxa"/>
            <w:tcBorders>
              <w:top w:val="nil"/>
              <w:left w:val="nil"/>
              <w:bottom w:val="nil"/>
              <w:right w:val="nil"/>
            </w:tcBorders>
            <w:noWrap/>
            <w:vAlign w:val="center"/>
            <w:hideMark/>
          </w:tcPr>
          <w:p w14:paraId="752C2338"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0.67</w:t>
            </w:r>
          </w:p>
        </w:tc>
        <w:tc>
          <w:tcPr>
            <w:tcW w:w="1134" w:type="dxa"/>
            <w:tcBorders>
              <w:top w:val="nil"/>
              <w:left w:val="nil"/>
              <w:bottom w:val="nil"/>
              <w:right w:val="nil"/>
            </w:tcBorders>
            <w:vAlign w:val="center"/>
            <w:hideMark/>
          </w:tcPr>
          <w:p w14:paraId="39500511"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0.59</w:t>
            </w:r>
          </w:p>
        </w:tc>
        <w:tc>
          <w:tcPr>
            <w:tcW w:w="1151" w:type="dxa"/>
            <w:tcBorders>
              <w:top w:val="nil"/>
              <w:left w:val="nil"/>
              <w:bottom w:val="nil"/>
              <w:right w:val="nil"/>
            </w:tcBorders>
            <w:vAlign w:val="center"/>
          </w:tcPr>
          <w:p w14:paraId="4DDF4267" w14:textId="77777777" w:rsidR="00C027EA" w:rsidRPr="0019430D" w:rsidRDefault="001D1448" w:rsidP="001D1448">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ns</w:t>
            </w:r>
          </w:p>
        </w:tc>
        <w:tc>
          <w:tcPr>
            <w:tcW w:w="1418" w:type="dxa"/>
            <w:tcBorders>
              <w:top w:val="nil"/>
              <w:left w:val="nil"/>
              <w:bottom w:val="nil"/>
              <w:right w:val="nil"/>
            </w:tcBorders>
            <w:vAlign w:val="center"/>
          </w:tcPr>
          <w:p w14:paraId="0903527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0.57</w:t>
            </w:r>
          </w:p>
        </w:tc>
      </w:tr>
      <w:tr w:rsidR="00C027EA" w:rsidRPr="0019430D" w14:paraId="0B73F9E5" w14:textId="77777777" w:rsidTr="001770E5">
        <w:trPr>
          <w:trHeight w:hRule="exact" w:val="510"/>
        </w:trPr>
        <w:tc>
          <w:tcPr>
            <w:tcW w:w="2977" w:type="dxa"/>
            <w:tcBorders>
              <w:top w:val="nil"/>
              <w:left w:val="nil"/>
              <w:bottom w:val="nil"/>
              <w:right w:val="nil"/>
            </w:tcBorders>
            <w:shd w:val="clear" w:color="auto" w:fill="E5E5E5" w:themeFill="background1" w:themeFillTint="33"/>
            <w:noWrap/>
            <w:vAlign w:val="center"/>
            <w:hideMark/>
          </w:tcPr>
          <w:p w14:paraId="3C200D80" w14:textId="63FD8756"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PPS/PPP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off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shd w:val="clear" w:color="auto" w:fill="E5E5E5" w:themeFill="background1" w:themeFillTint="33"/>
            <w:noWrap/>
            <w:vAlign w:val="center"/>
          </w:tcPr>
          <w:p w14:paraId="34B2B50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0.12</w:t>
            </w:r>
          </w:p>
        </w:tc>
        <w:tc>
          <w:tcPr>
            <w:tcW w:w="992" w:type="dxa"/>
            <w:tcBorders>
              <w:top w:val="nil"/>
              <w:left w:val="nil"/>
              <w:bottom w:val="nil"/>
              <w:right w:val="nil"/>
            </w:tcBorders>
            <w:shd w:val="clear" w:color="auto" w:fill="E5E5E5" w:themeFill="background1" w:themeFillTint="33"/>
            <w:noWrap/>
            <w:vAlign w:val="center"/>
            <w:hideMark/>
          </w:tcPr>
          <w:p w14:paraId="46D88D7D" w14:textId="77777777" w:rsidR="00C027EA" w:rsidRPr="0019430D" w:rsidRDefault="001D1448"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ns</w:t>
            </w:r>
          </w:p>
        </w:tc>
        <w:tc>
          <w:tcPr>
            <w:tcW w:w="1134" w:type="dxa"/>
            <w:tcBorders>
              <w:top w:val="nil"/>
              <w:left w:val="nil"/>
              <w:bottom w:val="nil"/>
              <w:right w:val="nil"/>
            </w:tcBorders>
            <w:shd w:val="clear" w:color="auto" w:fill="E5E5E5" w:themeFill="background1" w:themeFillTint="33"/>
            <w:vAlign w:val="center"/>
            <w:hideMark/>
          </w:tcPr>
          <w:p w14:paraId="7CB8BF1C"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0.17</w:t>
            </w:r>
          </w:p>
        </w:tc>
        <w:tc>
          <w:tcPr>
            <w:tcW w:w="1151" w:type="dxa"/>
            <w:tcBorders>
              <w:top w:val="nil"/>
              <w:left w:val="nil"/>
              <w:bottom w:val="nil"/>
              <w:right w:val="nil"/>
            </w:tcBorders>
            <w:shd w:val="clear" w:color="auto" w:fill="E5E5E5" w:themeFill="background1" w:themeFillTint="33"/>
            <w:vAlign w:val="center"/>
          </w:tcPr>
          <w:p w14:paraId="5688990B" w14:textId="77777777" w:rsidR="00C027EA" w:rsidRPr="0019430D" w:rsidRDefault="001D1448"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ns</w:t>
            </w:r>
          </w:p>
        </w:tc>
        <w:tc>
          <w:tcPr>
            <w:tcW w:w="1418" w:type="dxa"/>
            <w:tcBorders>
              <w:top w:val="nil"/>
              <w:left w:val="nil"/>
              <w:bottom w:val="nil"/>
              <w:right w:val="nil"/>
            </w:tcBorders>
            <w:shd w:val="clear" w:color="auto" w:fill="E5E5E5" w:themeFill="background1" w:themeFillTint="33"/>
            <w:vAlign w:val="center"/>
          </w:tcPr>
          <w:p w14:paraId="51642F36"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0.20</w:t>
            </w:r>
          </w:p>
        </w:tc>
      </w:tr>
      <w:tr w:rsidR="00C027EA" w:rsidRPr="0019430D" w14:paraId="37B267D9" w14:textId="77777777" w:rsidTr="001770E5">
        <w:trPr>
          <w:trHeight w:hRule="exact" w:val="510"/>
        </w:trPr>
        <w:tc>
          <w:tcPr>
            <w:tcW w:w="2977" w:type="dxa"/>
            <w:tcBorders>
              <w:top w:val="nil"/>
              <w:left w:val="nil"/>
              <w:bottom w:val="nil"/>
              <w:right w:val="nil"/>
            </w:tcBorders>
            <w:noWrap/>
            <w:vAlign w:val="center"/>
            <w:hideMark/>
          </w:tcPr>
          <w:p w14:paraId="7B468068" w14:textId="4EC67FB1"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Not classified</w:t>
            </w:r>
            <w:r w:rsidR="00127E34">
              <w:rPr>
                <w:rFonts w:ascii="Calibri" w:eastAsia="Times New Roman" w:hAnsi="Calibri" w:cs="Calibri"/>
                <w:b/>
                <w:color w:val="000000"/>
                <w:sz w:val="20"/>
                <w:szCs w:val="20"/>
                <w:vertAlign w:val="superscript"/>
                <w:lang w:eastAsia="en-AU"/>
              </w:rPr>
              <w:t>(5</w:t>
            </w:r>
            <w:r w:rsidRPr="0019430D">
              <w:rPr>
                <w:rFonts w:ascii="Calibri" w:eastAsia="Times New Roman" w:hAnsi="Calibri" w:cs="Calibri"/>
                <w:b/>
                <w:color w:val="000000"/>
                <w:sz w:val="20"/>
                <w:szCs w:val="20"/>
                <w:vertAlign w:val="superscript"/>
                <w:lang w:eastAsia="en-AU"/>
              </w:rPr>
              <w:t>)</w:t>
            </w:r>
            <w:r w:rsidRPr="0019430D">
              <w:rPr>
                <w:rFonts w:ascii="Calibri" w:eastAsia="Times New Roman" w:hAnsi="Calibri" w:cs="Calibri"/>
                <w:color w:val="000000"/>
                <w:sz w:val="20"/>
                <w:szCs w:val="20"/>
                <w:lang w:eastAsia="en-AU"/>
              </w:rPr>
              <w:t xml:space="preserve"> 26</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week outcome</w:t>
            </w:r>
          </w:p>
        </w:tc>
        <w:tc>
          <w:tcPr>
            <w:tcW w:w="1134" w:type="dxa"/>
            <w:tcBorders>
              <w:top w:val="nil"/>
              <w:left w:val="nil"/>
              <w:bottom w:val="nil"/>
              <w:right w:val="nil"/>
            </w:tcBorders>
            <w:noWrap/>
            <w:vAlign w:val="center"/>
          </w:tcPr>
          <w:p w14:paraId="5AB91B27"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992" w:type="dxa"/>
            <w:tcBorders>
              <w:top w:val="nil"/>
              <w:left w:val="nil"/>
              <w:bottom w:val="nil"/>
              <w:right w:val="nil"/>
            </w:tcBorders>
            <w:noWrap/>
            <w:vAlign w:val="center"/>
          </w:tcPr>
          <w:p w14:paraId="0A538D4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34" w:type="dxa"/>
            <w:tcBorders>
              <w:top w:val="nil"/>
              <w:left w:val="nil"/>
              <w:bottom w:val="nil"/>
              <w:right w:val="nil"/>
            </w:tcBorders>
            <w:vAlign w:val="center"/>
          </w:tcPr>
          <w:p w14:paraId="42606630"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51" w:type="dxa"/>
            <w:tcBorders>
              <w:top w:val="nil"/>
              <w:left w:val="nil"/>
              <w:bottom w:val="nil"/>
              <w:right w:val="nil"/>
            </w:tcBorders>
            <w:vAlign w:val="center"/>
          </w:tcPr>
          <w:p w14:paraId="073D278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0.77</w:t>
            </w:r>
          </w:p>
        </w:tc>
        <w:tc>
          <w:tcPr>
            <w:tcW w:w="1418" w:type="dxa"/>
            <w:tcBorders>
              <w:top w:val="nil"/>
              <w:left w:val="nil"/>
              <w:bottom w:val="nil"/>
              <w:right w:val="nil"/>
            </w:tcBorders>
            <w:vAlign w:val="center"/>
          </w:tcPr>
          <w:p w14:paraId="5021B1E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0.52</w:t>
            </w:r>
          </w:p>
        </w:tc>
      </w:tr>
      <w:tr w:rsidR="00C027EA" w:rsidRPr="0019430D" w14:paraId="756496AB" w14:textId="77777777" w:rsidTr="001770E5">
        <w:trPr>
          <w:trHeight w:hRule="exact" w:val="510"/>
        </w:trPr>
        <w:tc>
          <w:tcPr>
            <w:tcW w:w="2977" w:type="dxa"/>
            <w:tcBorders>
              <w:top w:val="nil"/>
              <w:left w:val="nil"/>
              <w:bottom w:val="nil"/>
              <w:right w:val="nil"/>
            </w:tcBorders>
            <w:shd w:val="clear" w:color="auto" w:fill="E5E5E5" w:themeFill="background1" w:themeFillTint="33"/>
            <w:noWrap/>
            <w:vAlign w:val="center"/>
            <w:hideMark/>
          </w:tcPr>
          <w:p w14:paraId="5246B883" w14:textId="52B634D4"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Not classified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reduced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shd w:val="clear" w:color="auto" w:fill="E5E5E5" w:themeFill="background1" w:themeFillTint="33"/>
            <w:noWrap/>
            <w:vAlign w:val="center"/>
          </w:tcPr>
          <w:p w14:paraId="7E215AC5"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992" w:type="dxa"/>
            <w:tcBorders>
              <w:top w:val="nil"/>
              <w:left w:val="nil"/>
              <w:bottom w:val="nil"/>
              <w:right w:val="nil"/>
            </w:tcBorders>
            <w:shd w:val="clear" w:color="auto" w:fill="E5E5E5" w:themeFill="background1" w:themeFillTint="33"/>
            <w:noWrap/>
            <w:vAlign w:val="center"/>
          </w:tcPr>
          <w:p w14:paraId="60A427F5"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34" w:type="dxa"/>
            <w:tcBorders>
              <w:top w:val="nil"/>
              <w:left w:val="nil"/>
              <w:bottom w:val="nil"/>
              <w:right w:val="nil"/>
            </w:tcBorders>
            <w:shd w:val="clear" w:color="auto" w:fill="E5E5E5" w:themeFill="background1" w:themeFillTint="33"/>
            <w:vAlign w:val="center"/>
          </w:tcPr>
          <w:p w14:paraId="149DCD87"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51" w:type="dxa"/>
            <w:tcBorders>
              <w:top w:val="nil"/>
              <w:left w:val="nil"/>
              <w:bottom w:val="nil"/>
              <w:right w:val="nil"/>
            </w:tcBorders>
            <w:shd w:val="clear" w:color="auto" w:fill="E5E5E5" w:themeFill="background1" w:themeFillTint="33"/>
            <w:vAlign w:val="center"/>
          </w:tcPr>
          <w:p w14:paraId="04E280A0"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418" w:type="dxa"/>
            <w:tcBorders>
              <w:top w:val="nil"/>
              <w:left w:val="nil"/>
              <w:bottom w:val="nil"/>
              <w:right w:val="nil"/>
            </w:tcBorders>
            <w:shd w:val="clear" w:color="auto" w:fill="E5E5E5" w:themeFill="background1" w:themeFillTint="33"/>
            <w:vAlign w:val="center"/>
          </w:tcPr>
          <w:p w14:paraId="006D1FAB"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r>
      <w:tr w:rsidR="00C027EA" w:rsidRPr="0019430D" w14:paraId="7423EE60" w14:textId="77777777" w:rsidTr="001770E5">
        <w:trPr>
          <w:trHeight w:hRule="exact" w:val="510"/>
        </w:trPr>
        <w:tc>
          <w:tcPr>
            <w:tcW w:w="2977" w:type="dxa"/>
            <w:tcBorders>
              <w:top w:val="nil"/>
              <w:left w:val="nil"/>
              <w:bottom w:val="nil"/>
              <w:right w:val="nil"/>
            </w:tcBorders>
            <w:noWrap/>
            <w:vAlign w:val="center"/>
            <w:hideMark/>
          </w:tcPr>
          <w:p w14:paraId="2EF51D21" w14:textId="6FAC8908"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Not classified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off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noWrap/>
            <w:vAlign w:val="center"/>
          </w:tcPr>
          <w:p w14:paraId="0C6B3583"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992" w:type="dxa"/>
            <w:tcBorders>
              <w:top w:val="nil"/>
              <w:left w:val="nil"/>
              <w:bottom w:val="nil"/>
              <w:right w:val="nil"/>
            </w:tcBorders>
            <w:noWrap/>
            <w:vAlign w:val="center"/>
          </w:tcPr>
          <w:p w14:paraId="07F090C0"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34" w:type="dxa"/>
            <w:tcBorders>
              <w:top w:val="nil"/>
              <w:left w:val="nil"/>
              <w:bottom w:val="nil"/>
              <w:right w:val="nil"/>
            </w:tcBorders>
            <w:vAlign w:val="center"/>
          </w:tcPr>
          <w:p w14:paraId="32EDC508"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151" w:type="dxa"/>
            <w:tcBorders>
              <w:top w:val="nil"/>
              <w:left w:val="nil"/>
              <w:bottom w:val="nil"/>
              <w:right w:val="nil"/>
            </w:tcBorders>
            <w:vAlign w:val="center"/>
          </w:tcPr>
          <w:p w14:paraId="66AC8EFB"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c>
          <w:tcPr>
            <w:tcW w:w="1418" w:type="dxa"/>
            <w:tcBorders>
              <w:top w:val="nil"/>
              <w:left w:val="nil"/>
              <w:bottom w:val="nil"/>
              <w:right w:val="nil"/>
            </w:tcBorders>
            <w:vAlign w:val="center"/>
          </w:tcPr>
          <w:p w14:paraId="04F6338A"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n.a.</w:t>
            </w:r>
          </w:p>
        </w:tc>
      </w:tr>
      <w:tr w:rsidR="00C027EA" w:rsidRPr="0019430D" w14:paraId="1BC7AC31" w14:textId="77777777" w:rsidTr="001770E5">
        <w:trPr>
          <w:trHeight w:hRule="exact" w:val="510"/>
        </w:trPr>
        <w:tc>
          <w:tcPr>
            <w:tcW w:w="2977" w:type="dxa"/>
            <w:tcBorders>
              <w:top w:val="nil"/>
              <w:left w:val="nil"/>
              <w:bottom w:val="nil"/>
              <w:right w:val="nil"/>
            </w:tcBorders>
            <w:shd w:val="clear" w:color="auto" w:fill="E5E5E5" w:themeFill="background1" w:themeFillTint="33"/>
            <w:noWrap/>
            <w:vAlign w:val="center"/>
            <w:hideMark/>
          </w:tcPr>
          <w:p w14:paraId="217CD063" w14:textId="268FC403"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Total 26</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week outcome</w:t>
            </w:r>
          </w:p>
        </w:tc>
        <w:tc>
          <w:tcPr>
            <w:tcW w:w="1134" w:type="dxa"/>
            <w:tcBorders>
              <w:top w:val="nil"/>
              <w:left w:val="nil"/>
              <w:bottom w:val="nil"/>
              <w:right w:val="nil"/>
            </w:tcBorders>
            <w:shd w:val="clear" w:color="auto" w:fill="E5E5E5" w:themeFill="background1" w:themeFillTint="33"/>
            <w:noWrap/>
            <w:vAlign w:val="center"/>
          </w:tcPr>
          <w:p w14:paraId="4C53350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0.51</w:t>
            </w:r>
          </w:p>
        </w:tc>
        <w:tc>
          <w:tcPr>
            <w:tcW w:w="992" w:type="dxa"/>
            <w:tcBorders>
              <w:top w:val="nil"/>
              <w:left w:val="nil"/>
              <w:bottom w:val="nil"/>
              <w:right w:val="nil"/>
            </w:tcBorders>
            <w:shd w:val="clear" w:color="auto" w:fill="E5E5E5" w:themeFill="background1" w:themeFillTint="33"/>
            <w:noWrap/>
            <w:vAlign w:val="center"/>
          </w:tcPr>
          <w:p w14:paraId="2F25A622"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0.72</w:t>
            </w:r>
          </w:p>
        </w:tc>
        <w:tc>
          <w:tcPr>
            <w:tcW w:w="1134" w:type="dxa"/>
            <w:tcBorders>
              <w:top w:val="nil"/>
              <w:left w:val="nil"/>
              <w:bottom w:val="nil"/>
              <w:right w:val="nil"/>
            </w:tcBorders>
            <w:shd w:val="clear" w:color="auto" w:fill="E5E5E5" w:themeFill="background1" w:themeFillTint="33"/>
            <w:vAlign w:val="center"/>
          </w:tcPr>
          <w:p w14:paraId="52632B5C"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0.33</w:t>
            </w:r>
          </w:p>
        </w:tc>
        <w:tc>
          <w:tcPr>
            <w:tcW w:w="1151" w:type="dxa"/>
            <w:tcBorders>
              <w:top w:val="nil"/>
              <w:left w:val="nil"/>
              <w:bottom w:val="nil"/>
              <w:right w:val="nil"/>
            </w:tcBorders>
            <w:shd w:val="clear" w:color="auto" w:fill="E5E5E5" w:themeFill="background1" w:themeFillTint="33"/>
            <w:vAlign w:val="center"/>
          </w:tcPr>
          <w:p w14:paraId="41834D6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0.72</w:t>
            </w:r>
          </w:p>
        </w:tc>
        <w:tc>
          <w:tcPr>
            <w:tcW w:w="1418" w:type="dxa"/>
            <w:tcBorders>
              <w:top w:val="nil"/>
              <w:left w:val="nil"/>
              <w:bottom w:val="nil"/>
              <w:right w:val="nil"/>
            </w:tcBorders>
            <w:shd w:val="clear" w:color="auto" w:fill="E5E5E5" w:themeFill="background1" w:themeFillTint="33"/>
            <w:vAlign w:val="center"/>
          </w:tcPr>
          <w:p w14:paraId="653E22B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0.36</w:t>
            </w:r>
          </w:p>
        </w:tc>
      </w:tr>
      <w:tr w:rsidR="00C027EA" w:rsidRPr="0019430D" w14:paraId="72E8CA6D" w14:textId="77777777" w:rsidTr="001770E5">
        <w:trPr>
          <w:trHeight w:hRule="exact" w:val="510"/>
        </w:trPr>
        <w:tc>
          <w:tcPr>
            <w:tcW w:w="2977" w:type="dxa"/>
            <w:tcBorders>
              <w:top w:val="nil"/>
              <w:left w:val="nil"/>
              <w:bottom w:val="nil"/>
              <w:right w:val="nil"/>
            </w:tcBorders>
            <w:noWrap/>
            <w:vAlign w:val="center"/>
            <w:hideMark/>
          </w:tcPr>
          <w:p w14:paraId="56258D1F" w14:textId="22F6AD64"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Total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reduced </w:t>
            </w:r>
            <w:r w:rsidR="000752E9">
              <w:rPr>
                <w:rFonts w:ascii="Calibri" w:eastAsia="Times New Roman" w:hAnsi="Calibri" w:cs="Calibri"/>
                <w:color w:val="000000"/>
                <w:sz w:val="20"/>
                <w:szCs w:val="20"/>
                <w:lang w:eastAsia="en-AU"/>
              </w:rPr>
              <w:t>income support</w:t>
            </w:r>
          </w:p>
        </w:tc>
        <w:tc>
          <w:tcPr>
            <w:tcW w:w="1134" w:type="dxa"/>
            <w:tcBorders>
              <w:top w:val="nil"/>
              <w:left w:val="nil"/>
              <w:bottom w:val="nil"/>
              <w:right w:val="nil"/>
            </w:tcBorders>
            <w:shd w:val="clear" w:color="auto" w:fill="auto"/>
            <w:noWrap/>
            <w:vAlign w:val="center"/>
          </w:tcPr>
          <w:p w14:paraId="79A3B660" w14:textId="77777777" w:rsidR="00C027EA" w:rsidRPr="0019430D" w:rsidRDefault="00AF104F" w:rsidP="00AF104F">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ns</w:t>
            </w:r>
          </w:p>
        </w:tc>
        <w:tc>
          <w:tcPr>
            <w:tcW w:w="992" w:type="dxa"/>
            <w:tcBorders>
              <w:top w:val="nil"/>
              <w:left w:val="nil"/>
              <w:bottom w:val="nil"/>
              <w:right w:val="nil"/>
            </w:tcBorders>
            <w:noWrap/>
            <w:vAlign w:val="center"/>
          </w:tcPr>
          <w:p w14:paraId="18987218"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0.60</w:t>
            </w:r>
          </w:p>
        </w:tc>
        <w:tc>
          <w:tcPr>
            <w:tcW w:w="1134" w:type="dxa"/>
            <w:tcBorders>
              <w:top w:val="nil"/>
              <w:left w:val="nil"/>
              <w:bottom w:val="nil"/>
              <w:right w:val="nil"/>
            </w:tcBorders>
            <w:vAlign w:val="center"/>
          </w:tcPr>
          <w:p w14:paraId="2B5DC7E1"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0.48</w:t>
            </w:r>
          </w:p>
        </w:tc>
        <w:tc>
          <w:tcPr>
            <w:tcW w:w="1151" w:type="dxa"/>
            <w:tcBorders>
              <w:top w:val="nil"/>
              <w:left w:val="nil"/>
              <w:bottom w:val="nil"/>
              <w:right w:val="nil"/>
            </w:tcBorders>
            <w:vAlign w:val="center"/>
          </w:tcPr>
          <w:p w14:paraId="47C9CF51"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0.61</w:t>
            </w:r>
          </w:p>
        </w:tc>
        <w:tc>
          <w:tcPr>
            <w:tcW w:w="1418" w:type="dxa"/>
            <w:tcBorders>
              <w:top w:val="nil"/>
              <w:left w:val="nil"/>
              <w:bottom w:val="nil"/>
              <w:right w:val="nil"/>
            </w:tcBorders>
            <w:vAlign w:val="center"/>
          </w:tcPr>
          <w:p w14:paraId="24232255"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0.53</w:t>
            </w:r>
          </w:p>
        </w:tc>
      </w:tr>
      <w:tr w:rsidR="00C027EA" w:rsidRPr="0019430D" w14:paraId="74E343FF" w14:textId="77777777" w:rsidTr="001770E5">
        <w:trPr>
          <w:trHeight w:hRule="exact" w:val="510"/>
        </w:trPr>
        <w:tc>
          <w:tcPr>
            <w:tcW w:w="2977" w:type="dxa"/>
            <w:tcBorders>
              <w:top w:val="nil"/>
              <w:left w:val="nil"/>
              <w:bottom w:val="single" w:sz="4" w:space="0" w:color="auto"/>
              <w:right w:val="nil"/>
            </w:tcBorders>
            <w:shd w:val="clear" w:color="auto" w:fill="E5E5E5" w:themeFill="background1" w:themeFillTint="33"/>
            <w:noWrap/>
            <w:vAlign w:val="center"/>
            <w:hideMark/>
          </w:tcPr>
          <w:p w14:paraId="67AAB699" w14:textId="54EA390A" w:rsidR="00C027EA" w:rsidRPr="0019430D" w:rsidRDefault="00C027EA" w:rsidP="00A254DF">
            <w:pPr>
              <w:keepNext/>
              <w:spacing w:after="0" w:line="240" w:lineRule="auto"/>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Total 52</w:t>
            </w:r>
            <w:r w:rsidR="00A254DF">
              <w:rPr>
                <w:rFonts w:ascii="Calibri" w:eastAsia="Times New Roman" w:hAnsi="Calibri" w:cs="Calibri"/>
                <w:color w:val="000000"/>
                <w:sz w:val="20"/>
                <w:szCs w:val="20"/>
                <w:lang w:eastAsia="en-AU"/>
              </w:rPr>
              <w:t>-</w:t>
            </w:r>
            <w:r w:rsidRPr="0019430D">
              <w:rPr>
                <w:rFonts w:ascii="Calibri" w:eastAsia="Times New Roman" w:hAnsi="Calibri" w:cs="Calibri"/>
                <w:color w:val="000000"/>
                <w:sz w:val="20"/>
                <w:szCs w:val="20"/>
                <w:lang w:eastAsia="en-AU"/>
              </w:rPr>
              <w:t xml:space="preserve">week off </w:t>
            </w:r>
            <w:r w:rsidR="000752E9">
              <w:rPr>
                <w:rFonts w:ascii="Calibri" w:eastAsia="Times New Roman" w:hAnsi="Calibri" w:cs="Calibri"/>
                <w:color w:val="000000"/>
                <w:sz w:val="20"/>
                <w:szCs w:val="20"/>
                <w:lang w:eastAsia="en-AU"/>
              </w:rPr>
              <w:t>income support</w:t>
            </w:r>
          </w:p>
        </w:tc>
        <w:tc>
          <w:tcPr>
            <w:tcW w:w="1134" w:type="dxa"/>
            <w:tcBorders>
              <w:top w:val="nil"/>
              <w:left w:val="nil"/>
              <w:bottom w:val="single" w:sz="4" w:space="0" w:color="auto"/>
              <w:right w:val="nil"/>
            </w:tcBorders>
            <w:shd w:val="clear" w:color="auto" w:fill="E5E5E5" w:themeFill="background1" w:themeFillTint="33"/>
            <w:noWrap/>
            <w:vAlign w:val="center"/>
          </w:tcPr>
          <w:p w14:paraId="1B2C074B" w14:textId="77777777" w:rsidR="00C027EA" w:rsidRPr="0019430D" w:rsidRDefault="00AF104F" w:rsidP="00AF104F">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ns</w:t>
            </w:r>
          </w:p>
        </w:tc>
        <w:tc>
          <w:tcPr>
            <w:tcW w:w="992" w:type="dxa"/>
            <w:tcBorders>
              <w:top w:val="nil"/>
              <w:left w:val="nil"/>
              <w:bottom w:val="single" w:sz="4" w:space="0" w:color="auto"/>
              <w:right w:val="nil"/>
            </w:tcBorders>
            <w:shd w:val="clear" w:color="auto" w:fill="E5E5E5" w:themeFill="background1" w:themeFillTint="33"/>
            <w:noWrap/>
            <w:vAlign w:val="center"/>
          </w:tcPr>
          <w:p w14:paraId="03207774"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0.39</w:t>
            </w:r>
          </w:p>
        </w:tc>
        <w:tc>
          <w:tcPr>
            <w:tcW w:w="1134" w:type="dxa"/>
            <w:tcBorders>
              <w:top w:val="nil"/>
              <w:left w:val="nil"/>
              <w:bottom w:val="single" w:sz="4" w:space="0" w:color="auto"/>
              <w:right w:val="nil"/>
            </w:tcBorders>
            <w:shd w:val="clear" w:color="auto" w:fill="E5E5E5" w:themeFill="background1" w:themeFillTint="33"/>
            <w:vAlign w:val="center"/>
          </w:tcPr>
          <w:p w14:paraId="0F936141"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0.29</w:t>
            </w:r>
          </w:p>
        </w:tc>
        <w:tc>
          <w:tcPr>
            <w:tcW w:w="1151" w:type="dxa"/>
            <w:tcBorders>
              <w:top w:val="nil"/>
              <w:left w:val="nil"/>
              <w:bottom w:val="single" w:sz="4" w:space="0" w:color="auto"/>
              <w:right w:val="nil"/>
            </w:tcBorders>
            <w:shd w:val="clear" w:color="auto" w:fill="E5E5E5" w:themeFill="background1" w:themeFillTint="33"/>
            <w:vAlign w:val="center"/>
          </w:tcPr>
          <w:p w14:paraId="2406B25D"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0.56</w:t>
            </w:r>
          </w:p>
        </w:tc>
        <w:tc>
          <w:tcPr>
            <w:tcW w:w="1418" w:type="dxa"/>
            <w:tcBorders>
              <w:top w:val="nil"/>
              <w:left w:val="nil"/>
              <w:bottom w:val="single" w:sz="4" w:space="0" w:color="auto"/>
              <w:right w:val="nil"/>
            </w:tcBorders>
            <w:shd w:val="clear" w:color="auto" w:fill="E5E5E5" w:themeFill="background1" w:themeFillTint="33"/>
            <w:vAlign w:val="center"/>
          </w:tcPr>
          <w:p w14:paraId="2FF569A9" w14:textId="77777777" w:rsidR="00C027EA" w:rsidRPr="0019430D" w:rsidRDefault="00C027EA" w:rsidP="006510E3">
            <w:pPr>
              <w:keepNext/>
              <w:spacing w:after="0" w:line="240" w:lineRule="auto"/>
              <w:jc w:val="right"/>
              <w:rPr>
                <w:rFonts w:ascii="Calibri" w:eastAsia="Times New Roman" w:hAnsi="Calibri" w:cs="Calibri"/>
                <w:color w:val="000000"/>
                <w:sz w:val="20"/>
                <w:szCs w:val="20"/>
                <w:lang w:eastAsia="en-AU"/>
              </w:rPr>
            </w:pPr>
            <w:r w:rsidRPr="0019430D">
              <w:rPr>
                <w:rFonts w:ascii="Calibri" w:eastAsia="Times New Roman" w:hAnsi="Calibri" w:cs="Calibri"/>
                <w:color w:val="000000"/>
                <w:sz w:val="20"/>
                <w:szCs w:val="20"/>
                <w:lang w:eastAsia="en-AU"/>
              </w:rPr>
              <w:t>0.46</w:t>
            </w:r>
          </w:p>
        </w:tc>
      </w:tr>
    </w:tbl>
    <w:p w14:paraId="4DB4720A" w14:textId="77777777" w:rsidR="007C112F" w:rsidRDefault="007C112F" w:rsidP="007C112F">
      <w:pPr>
        <w:pStyle w:val="Notes"/>
        <w:tabs>
          <w:tab w:val="left" w:pos="709"/>
        </w:tabs>
        <w:rPr>
          <w:noProof/>
        </w:rPr>
      </w:pPr>
      <w:r>
        <w:rPr>
          <w:noProof/>
        </w:rPr>
        <w:t>n.a.</w:t>
      </w:r>
      <w:r>
        <w:rPr>
          <w:noProof/>
        </w:rPr>
        <w:tab/>
        <w:t>not applicable.</w:t>
      </w:r>
      <w:r w:rsidRPr="002E4902">
        <w:rPr>
          <w:noProof/>
        </w:rPr>
        <w:br/>
      </w:r>
      <w:r>
        <w:rPr>
          <w:noProof/>
        </w:rPr>
        <w:t>ns</w:t>
      </w:r>
      <w:r w:rsidRPr="002E4902">
        <w:rPr>
          <w:noProof/>
        </w:rPr>
        <w:t xml:space="preserve"> </w:t>
      </w:r>
      <w:r>
        <w:rPr>
          <w:noProof/>
        </w:rPr>
        <w:tab/>
        <w:t>n</w:t>
      </w:r>
      <w:r w:rsidRPr="002E4902">
        <w:rPr>
          <w:noProof/>
        </w:rPr>
        <w:t>ot significant</w:t>
      </w:r>
      <w:r>
        <w:rPr>
          <w:noProof/>
        </w:rPr>
        <w:t>ly different to ‘No wage subsidy agreement’ (5% level of significance)</w:t>
      </w:r>
      <w:r w:rsidRPr="002E4902">
        <w:rPr>
          <w:noProof/>
        </w:rPr>
        <w:t>.</w:t>
      </w:r>
    </w:p>
    <w:p w14:paraId="1E87D2C2" w14:textId="77777777" w:rsidR="00D247F6" w:rsidRPr="008F1B8A" w:rsidRDefault="002F51E0" w:rsidP="0019430D">
      <w:pPr>
        <w:pStyle w:val="Notes"/>
        <w:rPr>
          <w:noProof/>
        </w:rPr>
      </w:pPr>
      <w:r w:rsidRPr="0019430D">
        <w:rPr>
          <w:b/>
          <w:noProof/>
        </w:rPr>
        <w:t>Notes</w:t>
      </w:r>
      <w:r w:rsidR="00D247F6" w:rsidRPr="008F1B8A">
        <w:rPr>
          <w:noProof/>
        </w:rPr>
        <w:t>:</w:t>
      </w:r>
    </w:p>
    <w:p w14:paraId="5BAD303F" w14:textId="77777777" w:rsidR="008F1B8A" w:rsidRPr="00E5413A" w:rsidRDefault="006510E3" w:rsidP="00AE4704">
      <w:pPr>
        <w:pStyle w:val="Notesnumbered"/>
        <w:numPr>
          <w:ilvl w:val="0"/>
          <w:numId w:val="242"/>
        </w:numPr>
        <w:ind w:left="709" w:hanging="567"/>
      </w:pPr>
      <w:r w:rsidRPr="00E5413A">
        <w:t>Based on job placements between 1 February and 30 November 2012.</w:t>
      </w:r>
    </w:p>
    <w:p w14:paraId="1E20BD93" w14:textId="17BE3014" w:rsidR="008F1B8A" w:rsidRPr="001770E5" w:rsidRDefault="006510E3" w:rsidP="00AE4704">
      <w:pPr>
        <w:pStyle w:val="Notesnumbered"/>
        <w:numPr>
          <w:ilvl w:val="0"/>
          <w:numId w:val="242"/>
        </w:numPr>
        <w:ind w:left="709" w:hanging="567"/>
      </w:pPr>
      <w:r w:rsidRPr="001770E5">
        <w:t xml:space="preserve">Table shows predicted </w:t>
      </w:r>
      <w:r w:rsidR="006669CD" w:rsidRPr="001770E5">
        <w:t>probabilities</w:t>
      </w:r>
      <w:r w:rsidRPr="001770E5">
        <w:t xml:space="preserve"> of outcome for Wage Connect and EPF negotiated placements where the difference between these groups and ‘No wage subsidy’ is statistically significant. Corresponding odds ratios are </w:t>
      </w:r>
      <w:r w:rsidR="001770E5">
        <w:t>available</w:t>
      </w:r>
      <w:r w:rsidRPr="001770E5">
        <w:t xml:space="preserve"> in </w:t>
      </w:r>
      <w:r w:rsidR="001770E5" w:rsidRPr="001770E5">
        <w:t>the original publication</w:t>
      </w:r>
      <w:r w:rsidRPr="001770E5">
        <w:t xml:space="preserve">. </w:t>
      </w:r>
    </w:p>
    <w:p w14:paraId="69157E53" w14:textId="77777777" w:rsidR="008F1B8A" w:rsidRPr="00E5413A" w:rsidRDefault="006510E3" w:rsidP="00AE4704">
      <w:pPr>
        <w:pStyle w:val="Notesnumbered"/>
        <w:numPr>
          <w:ilvl w:val="0"/>
          <w:numId w:val="242"/>
        </w:numPr>
        <w:ind w:left="709" w:hanging="567"/>
      </w:pPr>
      <w:r w:rsidRPr="00E5413A">
        <w:t>Results are for groups with or without a wage subsidy agreement (or EPF funding commitment) regardless of whether a wage subsidy was actually claimed.</w:t>
      </w:r>
    </w:p>
    <w:p w14:paraId="789C32C1" w14:textId="0D2EC1FD" w:rsidR="008F1B8A" w:rsidRPr="00E5413A" w:rsidRDefault="006510E3" w:rsidP="00AE4704">
      <w:pPr>
        <w:pStyle w:val="Notesnumbered"/>
        <w:numPr>
          <w:ilvl w:val="0"/>
          <w:numId w:val="242"/>
        </w:numPr>
        <w:ind w:left="709" w:hanging="567"/>
      </w:pPr>
      <w:r w:rsidRPr="00E5413A">
        <w:t>Base population is job seekers placed in a job. Stream 1 exclu</w:t>
      </w:r>
      <w:r w:rsidR="008F1B8A" w:rsidRPr="00E5413A">
        <w:t>ded from 26</w:t>
      </w:r>
      <w:r w:rsidR="00A254DF">
        <w:t>-</w:t>
      </w:r>
      <w:r w:rsidR="008F1B8A" w:rsidRPr="00E5413A">
        <w:t>week outcome models</w:t>
      </w:r>
      <w:r w:rsidR="00BC72D3">
        <w:t>.</w:t>
      </w:r>
    </w:p>
    <w:p w14:paraId="1B5418F1" w14:textId="77777777" w:rsidR="00273104" w:rsidRPr="008F1B8A" w:rsidRDefault="00273104" w:rsidP="00AE4704">
      <w:pPr>
        <w:pStyle w:val="Notesnumbered"/>
        <w:numPr>
          <w:ilvl w:val="0"/>
          <w:numId w:val="242"/>
        </w:numPr>
        <w:ind w:left="709" w:hanging="567"/>
        <w:rPr>
          <w:noProof/>
        </w:rPr>
      </w:pPr>
      <w:r w:rsidRPr="00E5413A">
        <w:t>Includes fully eligible non-Allowees and other job seekers whose income support payment type at time of job placement could not</w:t>
      </w:r>
      <w:r w:rsidRPr="008F1B8A">
        <w:rPr>
          <w:noProof/>
        </w:rPr>
        <w:t xml:space="preserve"> be determined because of timing issues.</w:t>
      </w:r>
    </w:p>
    <w:p w14:paraId="044D8EBA" w14:textId="77777777" w:rsidR="0019430D" w:rsidRPr="001E1332" w:rsidRDefault="0019430D" w:rsidP="0019430D">
      <w:pPr>
        <w:pStyle w:val="Source"/>
        <w:rPr>
          <w:rFonts w:eastAsia="Times New Roman"/>
          <w:lang w:eastAsia="en-AU"/>
        </w:rPr>
      </w:pPr>
      <w:r w:rsidRPr="001E1332">
        <w:rPr>
          <w:b/>
        </w:rPr>
        <w:t>Source:</w:t>
      </w:r>
      <w:r w:rsidRPr="001E1332">
        <w:rPr>
          <w:rFonts w:eastAsia="Times New Roman"/>
          <w:lang w:eastAsia="en-AU"/>
        </w:rPr>
        <w:t xml:space="preserve"> </w:t>
      </w:r>
      <w:r w:rsidRPr="001E1332">
        <w:rPr>
          <w:rFonts w:eastAsia="Times New Roman"/>
          <w:lang w:eastAsia="en-AU"/>
        </w:rPr>
        <w:tab/>
        <w:t>Department of Employment administrative data.</w:t>
      </w:r>
    </w:p>
    <w:p w14:paraId="2E691963" w14:textId="77777777" w:rsidR="00842DB6" w:rsidRDefault="00842DB6" w:rsidP="00842DB6">
      <w:r>
        <w:t>The analysis shows that:</w:t>
      </w:r>
    </w:p>
    <w:p w14:paraId="48F0B0ED" w14:textId="77777777" w:rsidR="0099598E" w:rsidRDefault="00842DB6" w:rsidP="00842DB6">
      <w:pPr>
        <w:rPr>
          <w:rStyle w:val="Heading4Char"/>
        </w:rPr>
      </w:pPr>
      <w:r w:rsidRPr="005E571D">
        <w:rPr>
          <w:rStyle w:val="Heading4Char"/>
        </w:rPr>
        <w:t>26</w:t>
      </w:r>
      <w:r w:rsidR="00A254DF">
        <w:rPr>
          <w:rStyle w:val="Heading4Char"/>
        </w:rPr>
        <w:t>-</w:t>
      </w:r>
      <w:r w:rsidRPr="005E571D">
        <w:rPr>
          <w:rStyle w:val="Heading4Char"/>
        </w:rPr>
        <w:t>week employment outcomes</w:t>
      </w:r>
    </w:p>
    <w:p w14:paraId="10FFBE10" w14:textId="4B4595B6" w:rsidR="00842DB6" w:rsidRDefault="00842DB6" w:rsidP="00842DB6">
      <w:r>
        <w:t>Job placement with a wage subsidy agreement (EPF or Wage Connect) was associated with significantly higher 26</w:t>
      </w:r>
      <w:r w:rsidR="00A254DF">
        <w:t>-</w:t>
      </w:r>
      <w:r>
        <w:t>week employment outcomes, for both VLTU and non-VLTU employees in receipt of either NSA, YA(O) or PP benefits.</w:t>
      </w:r>
    </w:p>
    <w:p w14:paraId="68E87615" w14:textId="5A5C4F69" w:rsidR="0099598E" w:rsidRDefault="008D35CB" w:rsidP="00842DB6">
      <w:pPr>
        <w:rPr>
          <w:rStyle w:val="Heading4Char"/>
        </w:rPr>
      </w:pPr>
      <w:r w:rsidRPr="005E571D">
        <w:rPr>
          <w:rStyle w:val="Heading4Char"/>
        </w:rPr>
        <w:t>52-week</w:t>
      </w:r>
      <w:r w:rsidR="00842DB6" w:rsidRPr="005E571D">
        <w:rPr>
          <w:rStyle w:val="Heading4Char"/>
        </w:rPr>
        <w:t xml:space="preserve"> income support outcomes</w:t>
      </w:r>
    </w:p>
    <w:p w14:paraId="3E2B3026" w14:textId="7F3A5778" w:rsidR="00842DB6" w:rsidRPr="00842DB6" w:rsidRDefault="00842DB6" w:rsidP="00842DB6">
      <w:pPr>
        <w:rPr>
          <w:rFonts w:ascii="Calibri" w:hAnsi="Calibri" w:cs="Calibri"/>
        </w:rPr>
      </w:pPr>
      <w:r w:rsidRPr="00842DB6">
        <w:rPr>
          <w:rFonts w:ascii="Calibri" w:hAnsi="Calibri" w:cs="Calibri"/>
        </w:rPr>
        <w:t xml:space="preserve">For job seekers (both VLTU and non-VLTU) in receipt of NSA or YA(O), a wage subsidy agreement (either EPF or Wage Connect) was associated with significantly better 52 week off income support outcomes. The estimated probability of being either off income support or at a </w:t>
      </w:r>
      <w:r w:rsidRPr="0099598E">
        <w:rPr>
          <w:rFonts w:ascii="Calibri" w:hAnsi="Calibri" w:cs="Calibri"/>
        </w:rPr>
        <w:t>reduced</w:t>
      </w:r>
      <w:r w:rsidRPr="00842DB6">
        <w:rPr>
          <w:rFonts w:ascii="Calibri" w:hAnsi="Calibri" w:cs="Calibri"/>
        </w:rPr>
        <w:t xml:space="preserve"> rate of income support at 52 weeks was significantly higher for subsidised job seekers than for employees without wage subsidy agreements. </w:t>
      </w:r>
      <w:r>
        <w:rPr>
          <w:rFonts w:ascii="Calibri" w:hAnsi="Calibri" w:cs="Calibri"/>
        </w:rPr>
        <w:t>Predict</w:t>
      </w:r>
      <w:r w:rsidRPr="00842DB6">
        <w:rPr>
          <w:rFonts w:ascii="Calibri" w:hAnsi="Calibri" w:cs="Calibri"/>
        </w:rPr>
        <w:t>ed probabilities were relatively higher for EPF placements compared to Wage Connect placements</w:t>
      </w:r>
      <w:r>
        <w:rPr>
          <w:rFonts w:ascii="Calibri" w:hAnsi="Calibri" w:cs="Calibri"/>
        </w:rPr>
        <w:t>.</w:t>
      </w:r>
    </w:p>
    <w:p w14:paraId="19E2EE75" w14:textId="0049A6C0" w:rsidR="00842DB6" w:rsidRPr="0023772C" w:rsidRDefault="00842DB6" w:rsidP="00842DB6">
      <w:r>
        <w:rPr>
          <w:rFonts w:ascii="Calibri" w:hAnsi="Calibri" w:cs="Calibri"/>
        </w:rPr>
        <w:t>On the other hand, while wage subsidies were associated with significantly higher 26</w:t>
      </w:r>
      <w:r w:rsidR="00A254DF">
        <w:rPr>
          <w:rFonts w:ascii="Calibri" w:hAnsi="Calibri" w:cs="Calibri"/>
        </w:rPr>
        <w:t>-</w:t>
      </w:r>
      <w:r>
        <w:rPr>
          <w:rFonts w:ascii="Calibri" w:hAnsi="Calibri" w:cs="Calibri"/>
        </w:rPr>
        <w:t>week employment outcomes for PP recipients, this did not translate to higher off-income support outcomes at 52 weeks.</w:t>
      </w:r>
    </w:p>
    <w:p w14:paraId="31E2D160" w14:textId="77777777" w:rsidR="00842DB6" w:rsidRPr="001F439F" w:rsidRDefault="00842DB6" w:rsidP="00842DB6">
      <w:pPr>
        <w:rPr>
          <w:rFonts w:ascii="Calibri" w:hAnsi="Calibri" w:cs="Calibri"/>
        </w:rPr>
      </w:pPr>
      <w:r>
        <w:rPr>
          <w:rFonts w:ascii="Calibri" w:hAnsi="Calibri" w:cs="Calibri"/>
        </w:rPr>
        <w:t>For non-VLTU PP recipients, EPF wage subsidy agreements had no significant impact on income support status at 52 weeks.</w:t>
      </w:r>
    </w:p>
    <w:p w14:paraId="658725AA" w14:textId="49A83C05" w:rsidR="00842DB6" w:rsidRPr="00602AAD" w:rsidRDefault="00842DB6" w:rsidP="00842DB6">
      <w:pPr>
        <w:rPr>
          <w:rFonts w:ascii="Calibri" w:hAnsi="Calibri" w:cs="Calibri"/>
        </w:rPr>
      </w:pPr>
      <w:r>
        <w:rPr>
          <w:rFonts w:ascii="Calibri" w:hAnsi="Calibri" w:cs="Calibri"/>
        </w:rPr>
        <w:t>For VLTU PP recipients:</w:t>
      </w:r>
    </w:p>
    <w:p w14:paraId="0CBCEA24" w14:textId="77777777" w:rsidR="00842DB6" w:rsidRDefault="00842DB6" w:rsidP="00FD5414">
      <w:pPr>
        <w:pStyle w:val="ListParagraph"/>
      </w:pPr>
      <w:r w:rsidRPr="00602AAD">
        <w:t xml:space="preserve">a wage subsidy agreement (either EPF or Wage Connect) was associated with a significantly </w:t>
      </w:r>
      <w:r w:rsidRPr="0099598E">
        <w:t xml:space="preserve">lower </w:t>
      </w:r>
      <w:r w:rsidRPr="00602AAD">
        <w:t>probability of being off income support at 52 weeks compared to employees w</w:t>
      </w:r>
      <w:r>
        <w:t>ithout wage subsidy agreements</w:t>
      </w:r>
    </w:p>
    <w:p w14:paraId="466F1276" w14:textId="77777777" w:rsidR="00842DB6" w:rsidRDefault="00842DB6" w:rsidP="00FD5414">
      <w:pPr>
        <w:pStyle w:val="ListParagraph"/>
      </w:pPr>
      <w:r w:rsidRPr="00602AAD">
        <w:t xml:space="preserve">Wage Connect was also associated with a significantly </w:t>
      </w:r>
      <w:r w:rsidRPr="0099598E">
        <w:t>lower</w:t>
      </w:r>
      <w:r w:rsidRPr="00602AAD">
        <w:t xml:space="preserve"> probability of having </w:t>
      </w:r>
      <w:r w:rsidRPr="0099598E">
        <w:t>reduced</w:t>
      </w:r>
      <w:r w:rsidRPr="00602AAD">
        <w:t xml:space="preserve"> inco</w:t>
      </w:r>
      <w:r>
        <w:t>me support payments at 52 weeks</w:t>
      </w:r>
    </w:p>
    <w:p w14:paraId="2E24193A" w14:textId="77777777" w:rsidR="00842DB6" w:rsidRPr="0052131C" w:rsidRDefault="00842DB6" w:rsidP="00FD5414">
      <w:pPr>
        <w:pStyle w:val="ListParagraph"/>
      </w:pPr>
      <w:r>
        <w:t>p</w:t>
      </w:r>
      <w:r w:rsidRPr="00602AAD">
        <w:t xml:space="preserve">ositively, however, </w:t>
      </w:r>
      <w:r>
        <w:t xml:space="preserve">the </w:t>
      </w:r>
      <w:r w:rsidRPr="00602AAD">
        <w:t xml:space="preserve">EPF was associated with a significantly higher probability of </w:t>
      </w:r>
      <w:r w:rsidRPr="0099598E">
        <w:t>reduced</w:t>
      </w:r>
      <w:r w:rsidRPr="00602AAD">
        <w:t xml:space="preserve"> income support payments compared to no subsidy.</w:t>
      </w:r>
    </w:p>
    <w:p w14:paraId="39E8902D" w14:textId="18905123" w:rsidR="00842DB6" w:rsidRPr="00765A75" w:rsidRDefault="00842DB6" w:rsidP="00842DB6">
      <w:r>
        <w:t>The significantly poorer 52 week outcomes for VLTU PP recipients might reflect targeting of Wage Connect in practice by JSA providers towards job seekers who would otherwise not be placed (e.g.</w:t>
      </w:r>
      <w:r w:rsidR="00A669E6">
        <w:t> </w:t>
      </w:r>
      <w:r>
        <w:t>because of their length of unemployment, initial low attachment to the labour market and low skill levels). Results might also reflect a common preference of PP recipients for part-time employment.</w:t>
      </w:r>
      <w:r w:rsidR="00634447">
        <w:t xml:space="preserve"> Lower participation requirements for PP recipients may also have resulted in their being less likely to exit income support. </w:t>
      </w:r>
    </w:p>
    <w:p w14:paraId="29EFDA7A" w14:textId="77777777" w:rsidR="006510E3" w:rsidRDefault="006510E3" w:rsidP="000A7391">
      <w:pPr>
        <w:keepNext/>
      </w:pPr>
      <w:r>
        <w:t xml:space="preserve">Apart from wage subsidies, a number of other </w:t>
      </w:r>
      <w:r w:rsidR="00626B79">
        <w:t xml:space="preserve">factors </w:t>
      </w:r>
      <w:r>
        <w:t>had a significant impact on outcomes</w:t>
      </w:r>
      <w:r w:rsidR="00842DB6">
        <w:t>:</w:t>
      </w:r>
    </w:p>
    <w:p w14:paraId="719D42C6" w14:textId="77777777" w:rsidR="006510E3" w:rsidRPr="00842DB6" w:rsidRDefault="008202C8" w:rsidP="000A7391">
      <w:pPr>
        <w:pStyle w:val="ListParagraph"/>
        <w:keepNext/>
      </w:pPr>
      <w:r>
        <w:t>PP</w:t>
      </w:r>
      <w:r w:rsidR="006510E3" w:rsidRPr="00842DB6">
        <w:t xml:space="preserve"> recipients placed in employment were significantly less likely to be off income support at 52 weeks than </w:t>
      </w:r>
      <w:r w:rsidR="00626B79">
        <w:t>NSA</w:t>
      </w:r>
      <w:r w:rsidR="006510E3" w:rsidRPr="00842DB6">
        <w:t xml:space="preserve"> and </w:t>
      </w:r>
      <w:r w:rsidR="00626B79">
        <w:t>YA(O</w:t>
      </w:r>
      <w:r w:rsidR="006510E3" w:rsidRPr="00842DB6">
        <w:t xml:space="preserve">) recipients, but were more likely to have </w:t>
      </w:r>
      <w:r w:rsidR="006510E3" w:rsidRPr="00C60BD7">
        <w:t xml:space="preserve">reduced </w:t>
      </w:r>
      <w:r w:rsidR="00DB7AA1" w:rsidRPr="00842DB6">
        <w:t>income support</w:t>
      </w:r>
    </w:p>
    <w:p w14:paraId="39179892" w14:textId="77777777" w:rsidR="006510E3" w:rsidRPr="00842DB6" w:rsidRDefault="00DB7AA1" w:rsidP="00FD5414">
      <w:pPr>
        <w:pStyle w:val="ListParagraph"/>
      </w:pPr>
      <w:r w:rsidRPr="00842DB6">
        <w:t>h</w:t>
      </w:r>
      <w:r w:rsidR="006510E3" w:rsidRPr="00842DB6">
        <w:t>igher educational qualifications and higher skilled jobs were associated with significantly higher 52-week off income support outc</w:t>
      </w:r>
      <w:r w:rsidRPr="00842DB6">
        <w:t>omes</w:t>
      </w:r>
    </w:p>
    <w:p w14:paraId="5944EF94" w14:textId="77777777" w:rsidR="006510E3" w:rsidRPr="00842DB6" w:rsidRDefault="00DB7AA1" w:rsidP="00FD5414">
      <w:pPr>
        <w:pStyle w:val="ListParagraph"/>
      </w:pPr>
      <w:r w:rsidRPr="00842DB6">
        <w:t>p</w:t>
      </w:r>
      <w:r w:rsidR="006510E3" w:rsidRPr="00842DB6">
        <w:t>art-time jobs were significantly more likely to result in 52 week off income support outcomes than jobs reco</w:t>
      </w:r>
      <w:r w:rsidRPr="00842DB6">
        <w:t>rded in the system as ‘casual’</w:t>
      </w:r>
    </w:p>
    <w:p w14:paraId="44A7F91A" w14:textId="70E02DCA" w:rsidR="006510E3" w:rsidRPr="00842DB6" w:rsidRDefault="00DB7AA1" w:rsidP="00FD5414">
      <w:pPr>
        <w:pStyle w:val="ListParagraph"/>
      </w:pPr>
      <w:r w:rsidRPr="00842DB6">
        <w:t>w</w:t>
      </w:r>
      <w:r w:rsidR="006510E3" w:rsidRPr="00842DB6">
        <w:t>hile the effects of wage subsidies do not differ significantly by age group, age itself is significantly associated with employment outcome. Job seekers aged 30 to 49 were significantly more likely to be off income support or have reduced income support at 52</w:t>
      </w:r>
      <w:r w:rsidR="00A669E6">
        <w:t> </w:t>
      </w:r>
      <w:r w:rsidR="006510E3" w:rsidRPr="00842DB6">
        <w:t>weeks than job</w:t>
      </w:r>
      <w:r w:rsidRPr="00842DB6">
        <w:t xml:space="preserve"> seekers aged 50 years and over</w:t>
      </w:r>
    </w:p>
    <w:p w14:paraId="7B0C2957" w14:textId="6F23D749" w:rsidR="006510E3" w:rsidRPr="00842DB6" w:rsidRDefault="00DB7AA1" w:rsidP="00FD5414">
      <w:pPr>
        <w:pStyle w:val="ListParagraph"/>
      </w:pPr>
      <w:r w:rsidRPr="00842DB6">
        <w:t>f</w:t>
      </w:r>
      <w:r w:rsidR="006510E3" w:rsidRPr="00842DB6">
        <w:t>emale job seekers were significantly more likely to achieve a 26</w:t>
      </w:r>
      <w:r w:rsidR="00A254DF">
        <w:t>-</w:t>
      </w:r>
      <w:r w:rsidR="006510E3" w:rsidRPr="00842DB6">
        <w:t>week outcome than males, but less likely to have a reduced or off inc</w:t>
      </w:r>
      <w:r w:rsidRPr="00842DB6">
        <w:t>ome support outcome at 52 weeks</w:t>
      </w:r>
    </w:p>
    <w:p w14:paraId="1C9AF913" w14:textId="77777777" w:rsidR="006510E3" w:rsidRPr="00842DB6" w:rsidRDefault="00DB7AA1" w:rsidP="00FD5414">
      <w:pPr>
        <w:pStyle w:val="ListParagraph"/>
      </w:pPr>
      <w:r w:rsidRPr="00842DB6">
        <w:t>b</w:t>
      </w:r>
      <w:r w:rsidR="006510E3" w:rsidRPr="00842DB6">
        <w:t xml:space="preserve">eing </w:t>
      </w:r>
      <w:r w:rsidR="008202C8">
        <w:t>Indigenous</w:t>
      </w:r>
      <w:r w:rsidR="006510E3" w:rsidRPr="00842DB6">
        <w:t xml:space="preserve">, from a non-English speaking background, </w:t>
      </w:r>
      <w:r w:rsidR="00492EF3">
        <w:t>living</w:t>
      </w:r>
      <w:r w:rsidR="006510E3" w:rsidRPr="00842DB6">
        <w:t xml:space="preserve"> outside a major city or having disability were associated with significantly lower probability of all three outcomes examined.</w:t>
      </w:r>
    </w:p>
    <w:p w14:paraId="00521B28" w14:textId="77777777" w:rsidR="006510E3" w:rsidRPr="00435E31" w:rsidRDefault="00626B79" w:rsidP="0099598E">
      <w:pPr>
        <w:pStyle w:val="Heading4"/>
        <w:rPr>
          <w:noProof/>
        </w:rPr>
      </w:pPr>
      <w:r>
        <w:rPr>
          <w:noProof/>
        </w:rPr>
        <w:t>Did</w:t>
      </w:r>
      <w:r w:rsidRPr="00435E31">
        <w:rPr>
          <w:noProof/>
        </w:rPr>
        <w:t xml:space="preserve"> </w:t>
      </w:r>
      <w:r w:rsidR="006510E3" w:rsidRPr="00435E31">
        <w:rPr>
          <w:noProof/>
        </w:rPr>
        <w:t>Wage Connect creat</w:t>
      </w:r>
      <w:r>
        <w:rPr>
          <w:noProof/>
        </w:rPr>
        <w:t>e</w:t>
      </w:r>
      <w:r w:rsidR="006510E3" w:rsidRPr="00435E31">
        <w:rPr>
          <w:noProof/>
        </w:rPr>
        <w:t xml:space="preserve"> more employment opportunities for VLTU?</w:t>
      </w:r>
    </w:p>
    <w:p w14:paraId="68E88B6B" w14:textId="77777777" w:rsidR="006510E3" w:rsidRDefault="006510E3" w:rsidP="006510E3">
      <w:pPr>
        <w:rPr>
          <w:rFonts w:ascii="Calibri" w:hAnsi="Calibri" w:cs="Calibri"/>
        </w:rPr>
      </w:pPr>
      <w:r>
        <w:rPr>
          <w:rFonts w:ascii="Calibri" w:hAnsi="Calibri" w:cs="Calibri"/>
        </w:rPr>
        <w:t xml:space="preserve">This section looks at whether the </w:t>
      </w:r>
      <w:r w:rsidR="006C6EEF">
        <w:rPr>
          <w:rFonts w:ascii="Calibri" w:hAnsi="Calibri" w:cs="Calibri"/>
        </w:rPr>
        <w:t>pausing</w:t>
      </w:r>
      <w:r>
        <w:rPr>
          <w:rFonts w:ascii="Calibri" w:hAnsi="Calibri" w:cs="Calibri"/>
        </w:rPr>
        <w:t xml:space="preserve"> of Wage Connect </w:t>
      </w:r>
      <w:r w:rsidR="00273104">
        <w:rPr>
          <w:rFonts w:ascii="Calibri" w:hAnsi="Calibri" w:cs="Calibri"/>
        </w:rPr>
        <w:t xml:space="preserve">affected </w:t>
      </w:r>
      <w:r>
        <w:rPr>
          <w:rFonts w:ascii="Calibri" w:hAnsi="Calibri" w:cs="Calibri"/>
        </w:rPr>
        <w:t xml:space="preserve">opportunities and outcomes for VLTU job seekers in JSA. </w:t>
      </w:r>
    </w:p>
    <w:p w14:paraId="3C39896D" w14:textId="77777777" w:rsidR="006510E3" w:rsidRDefault="006510E3" w:rsidP="006510E3">
      <w:pPr>
        <w:rPr>
          <w:rFonts w:ascii="Calibri" w:hAnsi="Calibri" w:cs="Calibri"/>
        </w:rPr>
      </w:pPr>
      <w:r>
        <w:t>During the first paused period (February to June 2013), there was a visible shift from Wage Connect to EPF subsidised employment while the VLTU caseload steadily increased.</w:t>
      </w:r>
    </w:p>
    <w:p w14:paraId="0659DEA3" w14:textId="76B9368C" w:rsidR="006510E3" w:rsidRDefault="006510E3" w:rsidP="006510E3">
      <w:pPr>
        <w:rPr>
          <w:rFonts w:ascii="Calibri" w:hAnsi="Calibri" w:cs="Calibri"/>
        </w:rPr>
      </w:pPr>
      <w:r>
        <w:rPr>
          <w:rFonts w:ascii="Calibri" w:hAnsi="Calibri" w:cs="Calibri"/>
        </w:rPr>
        <w:t xml:space="preserve">Across both paused periods, closing Wage Connect to new applications coincided with a 15 per cent drop (0.5 percentage point decrease) in the Wage Connect-eligible job placement rate (Figure </w:t>
      </w:r>
      <w:r w:rsidR="00ED2A92">
        <w:rPr>
          <w:rFonts w:ascii="Calibri" w:hAnsi="Calibri" w:cs="Calibri"/>
        </w:rPr>
        <w:t>8.</w:t>
      </w:r>
      <w:r>
        <w:rPr>
          <w:rFonts w:ascii="Calibri" w:hAnsi="Calibri" w:cs="Calibri"/>
        </w:rPr>
        <w:t xml:space="preserve">1). The shift to EPF-subsidised jobs did not entirely compensate for the decrease apparently associated with the pausing of Wage Connect. </w:t>
      </w:r>
      <w:r>
        <w:t xml:space="preserve">Around </w:t>
      </w:r>
      <w:r w:rsidRPr="00551F97">
        <w:t>114,000</w:t>
      </w:r>
      <w:r>
        <w:t xml:space="preserve"> </w:t>
      </w:r>
      <w:r w:rsidRPr="00551F97">
        <w:t xml:space="preserve">Wage Connect eligible </w:t>
      </w:r>
      <w:r>
        <w:t>j</w:t>
      </w:r>
      <w:r w:rsidRPr="00551F97">
        <w:t xml:space="preserve">ob seekers </w:t>
      </w:r>
      <w:r>
        <w:t>were placed in</w:t>
      </w:r>
      <w:r w:rsidRPr="00551F97">
        <w:t xml:space="preserve"> the</w:t>
      </w:r>
      <w:r>
        <w:t xml:space="preserve"> </w:t>
      </w:r>
      <w:r w:rsidRPr="00551F97">
        <w:t xml:space="preserve">12 months that Wage Connect </w:t>
      </w:r>
      <w:r>
        <w:t>was</w:t>
      </w:r>
      <w:r w:rsidRPr="00551F97">
        <w:t xml:space="preserve"> paused</w:t>
      </w:r>
      <w:r>
        <w:t xml:space="preserve"> to June 2014</w:t>
      </w:r>
      <w:r w:rsidRPr="00551F97">
        <w:t xml:space="preserve">. </w:t>
      </w:r>
      <w:r>
        <w:t>Pausing Wage Connect for 12</w:t>
      </w:r>
      <w:r w:rsidR="00A669E6">
        <w:t> </w:t>
      </w:r>
      <w:r>
        <w:t xml:space="preserve">months appears related to the difference between actual (114,000) and expected (129,000) numbers of placements, </w:t>
      </w:r>
      <w:r w:rsidRPr="00551F97">
        <w:t>around 15,000</w:t>
      </w:r>
      <w:r>
        <w:t xml:space="preserve"> fewer placements for Wage Connect-eligible job seekers</w:t>
      </w:r>
      <w:r w:rsidRPr="00551F97">
        <w:t>.</w:t>
      </w:r>
    </w:p>
    <w:p w14:paraId="40BEC3FE" w14:textId="77777777" w:rsidR="006510E3" w:rsidRDefault="006510E3" w:rsidP="005172B5">
      <w:pPr>
        <w:pStyle w:val="Figureheadingforcontents"/>
      </w:pPr>
      <w:bookmarkStart w:id="473" w:name="_Ref392267639"/>
      <w:bookmarkStart w:id="474" w:name="_Toc436400164"/>
      <w:bookmarkStart w:id="475" w:name="_Toc436400294"/>
      <w:bookmarkStart w:id="476" w:name="_Toc443152036"/>
      <w:bookmarkStart w:id="477" w:name="_Toc22544048"/>
      <w:r w:rsidRPr="00551F97">
        <w:t xml:space="preserve">Figure </w:t>
      </w:r>
      <w:bookmarkEnd w:id="473"/>
      <w:r w:rsidR="00ED2A92">
        <w:t>8.</w:t>
      </w:r>
      <w:r>
        <w:t>1</w:t>
      </w:r>
      <w:r w:rsidR="00CF00FC">
        <w:t>:</w:t>
      </w:r>
      <w:r w:rsidR="003C29A5">
        <w:t xml:space="preserve"> </w:t>
      </w:r>
      <w:r w:rsidRPr="00551F97">
        <w:t>Job placement rate for Wage Connect eligible JSA job seekers, January 2012 to June 2014</w:t>
      </w:r>
      <w:r w:rsidR="00EF5763">
        <w:t xml:space="preserve"> (number)</w:t>
      </w:r>
      <w:bookmarkEnd w:id="474"/>
      <w:bookmarkEnd w:id="475"/>
      <w:bookmarkEnd w:id="476"/>
      <w:bookmarkEnd w:id="477"/>
    </w:p>
    <w:p w14:paraId="7171CAA0" w14:textId="77777777" w:rsidR="006510E3" w:rsidRDefault="00525ED2" w:rsidP="0019430D">
      <w:pPr>
        <w:pStyle w:val="Notes"/>
        <w:rPr>
          <w:noProof/>
        </w:rPr>
      </w:pPr>
      <w:r w:rsidRPr="00525ED2">
        <w:rPr>
          <w:noProof/>
          <w:lang w:val="en-AU" w:eastAsia="en-AU"/>
        </w:rPr>
        <w:drawing>
          <wp:inline distT="0" distB="0" distL="0" distR="0" wp14:anchorId="5DEE66DA" wp14:editId="1DECAD1D">
            <wp:extent cx="5732145" cy="3032848"/>
            <wp:effectExtent l="0" t="0" r="1905" b="0"/>
            <wp:docPr id="8" name="Picture 8" descr="Line chart with month on the horizontal axis (January 2012 to June 2014) and number of job placements on vertical axis (zero to 12,000 per month). &#10;Total job placements are unsubsidised - this line varies from month to month with lows just under 6,000 placements in November 2012 and December 2013 and three peak months, September 2012 (over 10,000), October 2013 and March 2014 (around 11,000 each).&#10;Most are unsubsidised, accounting for between 6,000 and 10,000 of all job placements each month. &#10;EPF accounts for only a few hundred placements each month between January 2012 and February 2013 and becomes more pronounced between February 2013 and June 2013 when Wage Connect disappears from the chart. &#10;Wage Connect placements built in number throughout 2012, accounting for approximately 1500 per month in the middle of the year before dropping to negligible numbers as demand was managed in late 2012 and early 2013. &#10;This pattern repeats from July 2013 to October 2013 after which Wage Connect placements disappear again. &#10;The two periods in which Wage Connect was closed to applications show higher numbers of EPF subsidised placements but in the first paused period total job placements are noticeably lower than the periods either side when Wage Connect was accepting applications. &#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2145" cy="3032848"/>
                    </a:xfrm>
                    <a:prstGeom prst="rect">
                      <a:avLst/>
                    </a:prstGeom>
                    <a:noFill/>
                    <a:ln>
                      <a:noFill/>
                    </a:ln>
                  </pic:spPr>
                </pic:pic>
              </a:graphicData>
            </a:graphic>
          </wp:inline>
        </w:drawing>
      </w:r>
      <w:r w:rsidR="006510E3" w:rsidRPr="00ED2A92">
        <w:rPr>
          <w:b/>
          <w:noProof/>
        </w:rPr>
        <w:t>Note:</w:t>
      </w:r>
      <w:r w:rsidR="006510E3" w:rsidRPr="00551F97">
        <w:rPr>
          <w:noProof/>
        </w:rPr>
        <w:t xml:space="preserve"> </w:t>
      </w:r>
      <w:r w:rsidR="008F1B8A">
        <w:rPr>
          <w:noProof/>
        </w:rPr>
        <w:tab/>
      </w:r>
      <w:r w:rsidR="006510E3" w:rsidRPr="00551F97">
        <w:rPr>
          <w:noProof/>
        </w:rPr>
        <w:t xml:space="preserve">Job placement rate is the count of job placements divided by </w:t>
      </w:r>
      <w:r w:rsidR="006510E3">
        <w:rPr>
          <w:noProof/>
        </w:rPr>
        <w:t>number of job seekers</w:t>
      </w:r>
      <w:r w:rsidR="006510E3" w:rsidRPr="00551F97">
        <w:rPr>
          <w:noProof/>
        </w:rPr>
        <w:t xml:space="preserve">. Some job seekers </w:t>
      </w:r>
      <w:r w:rsidR="00626B79">
        <w:rPr>
          <w:noProof/>
        </w:rPr>
        <w:t>we</w:t>
      </w:r>
      <w:r w:rsidR="006510E3">
        <w:rPr>
          <w:noProof/>
        </w:rPr>
        <w:t>re placed</w:t>
      </w:r>
      <w:r w:rsidR="006510E3" w:rsidRPr="00551F97">
        <w:rPr>
          <w:noProof/>
        </w:rPr>
        <w:t xml:space="preserve"> more</w:t>
      </w:r>
      <w:r w:rsidR="006510E3">
        <w:rPr>
          <w:noProof/>
        </w:rPr>
        <w:t xml:space="preserve"> </w:t>
      </w:r>
      <w:r w:rsidR="006510E3" w:rsidRPr="00551F97">
        <w:rPr>
          <w:noProof/>
        </w:rPr>
        <w:t>than on</w:t>
      </w:r>
      <w:r w:rsidR="006510E3">
        <w:rPr>
          <w:noProof/>
        </w:rPr>
        <w:t>ce</w:t>
      </w:r>
      <w:r w:rsidR="006510E3" w:rsidRPr="00551F97">
        <w:rPr>
          <w:noProof/>
        </w:rPr>
        <w:t>.</w:t>
      </w:r>
    </w:p>
    <w:p w14:paraId="357756C9" w14:textId="77777777" w:rsidR="00370213" w:rsidRPr="00C60BD7" w:rsidRDefault="00370213" w:rsidP="00370213">
      <w:pPr>
        <w:pStyle w:val="Source"/>
      </w:pPr>
      <w:r w:rsidRPr="0030062B">
        <w:rPr>
          <w:b/>
        </w:rPr>
        <w:t>Source:</w:t>
      </w:r>
      <w:r>
        <w:tab/>
      </w:r>
      <w:r w:rsidRPr="001F180A">
        <w:t xml:space="preserve">Department of Employment, 2016. </w:t>
      </w:r>
      <w:r w:rsidRPr="00063D8A">
        <w:rPr>
          <w:i/>
        </w:rPr>
        <w:t xml:space="preserve">The Effectiveness of Wage Subsidies in </w:t>
      </w:r>
      <w:r>
        <w:rPr>
          <w:i/>
        </w:rPr>
        <w:t xml:space="preserve">Australian Government Services, </w:t>
      </w:r>
      <w:r w:rsidRPr="00581520">
        <w:t>Canberra</w:t>
      </w:r>
      <w:r w:rsidRPr="00C60BD7">
        <w:t>.</w:t>
      </w:r>
    </w:p>
    <w:p w14:paraId="3E491DD5" w14:textId="77777777" w:rsidR="006510E3" w:rsidRPr="00435E31" w:rsidRDefault="006510E3" w:rsidP="0099598E">
      <w:pPr>
        <w:pStyle w:val="Heading4"/>
        <w:rPr>
          <w:noProof/>
        </w:rPr>
      </w:pPr>
      <w:r w:rsidRPr="00435E31">
        <w:rPr>
          <w:noProof/>
        </w:rPr>
        <w:t>Did pausing Wage Connect affect employment outcomes for VLTU?</w:t>
      </w:r>
    </w:p>
    <w:p w14:paraId="160A52CB" w14:textId="324219DA" w:rsidR="006510E3" w:rsidRDefault="006510E3" w:rsidP="006510E3">
      <w:pPr>
        <w:rPr>
          <w:rFonts w:ascii="Calibri" w:hAnsi="Calibri" w:cs="Calibri"/>
        </w:rPr>
      </w:pPr>
      <w:r>
        <w:rPr>
          <w:rFonts w:ascii="Calibri" w:hAnsi="Calibri" w:cs="Calibri"/>
        </w:rPr>
        <w:t xml:space="preserve">Job seekers in receipt of </w:t>
      </w:r>
      <w:r w:rsidR="00626B79">
        <w:rPr>
          <w:rFonts w:ascii="Calibri" w:hAnsi="Calibri" w:cs="Calibri"/>
        </w:rPr>
        <w:t>NSA</w:t>
      </w:r>
      <w:r>
        <w:rPr>
          <w:rFonts w:ascii="Calibri" w:hAnsi="Calibri" w:cs="Calibri"/>
        </w:rPr>
        <w:t xml:space="preserve">, </w:t>
      </w:r>
      <w:r w:rsidR="00626B79">
        <w:rPr>
          <w:rFonts w:ascii="Calibri" w:hAnsi="Calibri" w:cs="Calibri"/>
        </w:rPr>
        <w:t>YA(O</w:t>
      </w:r>
      <w:r>
        <w:rPr>
          <w:rFonts w:ascii="Calibri" w:hAnsi="Calibri" w:cs="Calibri"/>
        </w:rPr>
        <w:t>) and PP recorded a significant</w:t>
      </w:r>
      <w:r w:rsidR="006C6EEF">
        <w:rPr>
          <w:rFonts w:ascii="Calibri" w:hAnsi="Calibri" w:cs="Calibri"/>
        </w:rPr>
        <w:t>ly</w:t>
      </w:r>
      <w:r>
        <w:rPr>
          <w:rFonts w:ascii="Calibri" w:hAnsi="Calibri" w:cs="Calibri"/>
        </w:rPr>
        <w:t xml:space="preserve">, </w:t>
      </w:r>
      <w:r w:rsidR="006C6EEF">
        <w:rPr>
          <w:rFonts w:ascii="Calibri" w:hAnsi="Calibri" w:cs="Calibri"/>
        </w:rPr>
        <w:t>(</w:t>
      </w:r>
      <w:r w:rsidR="00D8350F">
        <w:rPr>
          <w:rFonts w:ascii="Calibri" w:hAnsi="Calibri" w:cs="Calibri"/>
        </w:rPr>
        <w:t xml:space="preserve">2 </w:t>
      </w:r>
      <w:r>
        <w:rPr>
          <w:rFonts w:ascii="Calibri" w:hAnsi="Calibri" w:cs="Calibri"/>
        </w:rPr>
        <w:t>percentage point</w:t>
      </w:r>
      <w:r w:rsidR="006C6EEF">
        <w:rPr>
          <w:rFonts w:ascii="Calibri" w:hAnsi="Calibri" w:cs="Calibri"/>
        </w:rPr>
        <w:t>)</w:t>
      </w:r>
      <w:r>
        <w:rPr>
          <w:rFonts w:ascii="Calibri" w:hAnsi="Calibri" w:cs="Calibri"/>
        </w:rPr>
        <w:t xml:space="preserve"> </w:t>
      </w:r>
      <w:r w:rsidRPr="0099598E">
        <w:rPr>
          <w:rFonts w:ascii="Calibri" w:hAnsi="Calibri" w:cs="Calibri"/>
        </w:rPr>
        <w:t>higher</w:t>
      </w:r>
      <w:r>
        <w:rPr>
          <w:rFonts w:ascii="Calibri" w:hAnsi="Calibri" w:cs="Calibri"/>
        </w:rPr>
        <w:t xml:space="preserve"> probability of being off income support at 52 weeks when Wage Connect was available compared to when Wage Connect was not available. However, for PP recipients, this appears more related to policy changes </w:t>
      </w:r>
      <w:r>
        <w:t>which took effect from January 2013</w:t>
      </w:r>
      <w:r w:rsidR="00E7665D">
        <w:rPr>
          <w:rStyle w:val="FootnoteReference"/>
        </w:rPr>
        <w:footnoteReference w:id="74"/>
      </w:r>
      <w:r>
        <w:t xml:space="preserve"> than to Wage Connect. Once individuals impacted by the changes were excluded, </w:t>
      </w:r>
      <w:r>
        <w:rPr>
          <w:rFonts w:ascii="Calibri" w:hAnsi="Calibri" w:cs="Calibri"/>
        </w:rPr>
        <w:t>Wage Connect availability was not significant for either 26</w:t>
      </w:r>
      <w:r w:rsidR="00A669E6">
        <w:rPr>
          <w:rFonts w:ascii="Calibri" w:hAnsi="Calibri" w:cs="Calibri"/>
        </w:rPr>
        <w:noBreakHyphen/>
      </w:r>
      <w:r>
        <w:rPr>
          <w:rFonts w:ascii="Calibri" w:hAnsi="Calibri" w:cs="Calibri"/>
        </w:rPr>
        <w:t xml:space="preserve">week employment or </w:t>
      </w:r>
      <w:r w:rsidR="006669CD">
        <w:rPr>
          <w:rFonts w:ascii="Calibri" w:hAnsi="Calibri" w:cs="Calibri"/>
        </w:rPr>
        <w:t>52-week</w:t>
      </w:r>
      <w:r>
        <w:rPr>
          <w:rFonts w:ascii="Calibri" w:hAnsi="Calibri" w:cs="Calibri"/>
        </w:rPr>
        <w:t xml:space="preserve"> income support outcomes for PP recipients.</w:t>
      </w:r>
    </w:p>
    <w:p w14:paraId="2516E421" w14:textId="77777777" w:rsidR="006510E3" w:rsidRPr="00332AAF" w:rsidRDefault="006510E3" w:rsidP="006510E3">
      <w:pPr>
        <w:pStyle w:val="Heading3"/>
      </w:pPr>
      <w:bookmarkStart w:id="478" w:name="_Toc22543130"/>
      <w:r>
        <w:t>8.</w:t>
      </w:r>
      <w:r w:rsidR="00130E90">
        <w:t>2</w:t>
      </w:r>
      <w:r>
        <w:t>.2</w:t>
      </w:r>
      <w:r>
        <w:tab/>
      </w:r>
      <w:r w:rsidRPr="00332AAF">
        <w:t>The net cost of wage subsidies for Newstart Allowance and Youth Allowance recipients</w:t>
      </w:r>
      <w:bookmarkEnd w:id="478"/>
    </w:p>
    <w:p w14:paraId="7A3A8A2B" w14:textId="690C7943" w:rsidR="006510E3" w:rsidRDefault="006510E3" w:rsidP="006510E3">
      <w:r>
        <w:t xml:space="preserve">Given levels of deadweight loss, substitution and additionality, </w:t>
      </w:r>
      <w:r w:rsidR="00B04197">
        <w:t xml:space="preserve">which to varying extents are unknown, </w:t>
      </w:r>
      <w:r w:rsidR="0022525F">
        <w:t>the analysis</w:t>
      </w:r>
      <w:r>
        <w:t xml:space="preserve"> </w:t>
      </w:r>
      <w:r w:rsidR="0022525F">
        <w:t xml:space="preserve">examines </w:t>
      </w:r>
      <w:r>
        <w:t xml:space="preserve">the </w:t>
      </w:r>
      <w:r w:rsidRPr="00C67A39">
        <w:rPr>
          <w:u w:val="single"/>
        </w:rPr>
        <w:t>net</w:t>
      </w:r>
      <w:r>
        <w:t xml:space="preserve"> cost of subsidised employment in order to give a partial picture of its cost effectiveness. Specifically, the net cost (i.e. the amount paid in subsidies minus corresponding reductions in income support for subsidised employees) </w:t>
      </w:r>
      <w:r w:rsidR="0022525F">
        <w:t xml:space="preserve">is </w:t>
      </w:r>
      <w:r>
        <w:t xml:space="preserve">compared with reductions in income support for unsubsidised employees over the 52 weeks following job placement. Cost analysis </w:t>
      </w:r>
      <w:r w:rsidR="0022525F">
        <w:t xml:space="preserve">is </w:t>
      </w:r>
      <w:r>
        <w:t xml:space="preserve">undertaken only in respect of </w:t>
      </w:r>
      <w:r w:rsidR="0022525F">
        <w:t>NSA</w:t>
      </w:r>
      <w:r>
        <w:t xml:space="preserve"> and </w:t>
      </w:r>
      <w:r w:rsidR="0022525F">
        <w:t>YA(O</w:t>
      </w:r>
      <w:r>
        <w:t xml:space="preserve">) recipients because this was the only group to record significantly and consistently higher </w:t>
      </w:r>
      <w:r w:rsidR="006669CD">
        <w:t>52-week</w:t>
      </w:r>
      <w:r>
        <w:t xml:space="preserve"> outcomes connected with wage subsidies.</w:t>
      </w:r>
    </w:p>
    <w:p w14:paraId="32D39F10" w14:textId="77777777" w:rsidR="006C6EEF" w:rsidRDefault="006510E3" w:rsidP="00E7665D">
      <w:r>
        <w:t xml:space="preserve">During the reference period, unsubsidised job placements saved the government an estimated average of $3,403 per VLTU job seeker and $4,690 per non-VLTU job seeker, via reduced </w:t>
      </w:r>
      <w:r w:rsidR="0022525F">
        <w:t xml:space="preserve">NSA and YA(O) </w:t>
      </w:r>
      <w:r>
        <w:t xml:space="preserve">payments. Savings were less than the full rate </w:t>
      </w:r>
      <w:r w:rsidR="0022525F">
        <w:t xml:space="preserve">NSA and YA(O) </w:t>
      </w:r>
      <w:r>
        <w:t xml:space="preserve">because some </w:t>
      </w:r>
      <w:r w:rsidR="006C6EEF">
        <w:t xml:space="preserve">employees </w:t>
      </w:r>
      <w:r>
        <w:t>did not earn enough to reduce their benefit and/or the job was lost.</w:t>
      </w:r>
    </w:p>
    <w:p w14:paraId="7B8A03FF" w14:textId="77777777" w:rsidR="006510E3" w:rsidRDefault="006510E3" w:rsidP="00E7665D">
      <w:r>
        <w:t>By comparison, net savings associated with subsidised job placements were lower, but positive, averaging:</w:t>
      </w:r>
    </w:p>
    <w:p w14:paraId="78C85002" w14:textId="77777777" w:rsidR="006510E3" w:rsidRDefault="006510E3" w:rsidP="00FD5414">
      <w:pPr>
        <w:pStyle w:val="ListParagraph"/>
      </w:pPr>
      <w:r>
        <w:t>$2,492 per VLTU job seeker placed with an EPF wage subsidy; $562 if placed with Wage Connect</w:t>
      </w:r>
    </w:p>
    <w:p w14:paraId="37B25F07" w14:textId="77777777" w:rsidR="006510E3" w:rsidRDefault="006510E3" w:rsidP="00FD5414">
      <w:pPr>
        <w:pStyle w:val="ListParagraph"/>
      </w:pPr>
      <w:r>
        <w:t>$3,497 per non-VLTU job seeker placed with an EPF wage subsidy.</w:t>
      </w:r>
    </w:p>
    <w:p w14:paraId="50F46496" w14:textId="7FE0A00A" w:rsidR="006510E3" w:rsidRDefault="006510E3" w:rsidP="006510E3">
      <w:r>
        <w:t xml:space="preserve">It is possible that subsidised employment </w:t>
      </w:r>
      <w:r w:rsidR="00A669E6">
        <w:t xml:space="preserve">produced </w:t>
      </w:r>
      <w:r>
        <w:t>benefits over longer timeframes than the 52</w:t>
      </w:r>
      <w:r w:rsidR="00A669E6">
        <w:noBreakHyphen/>
      </w:r>
      <w:r>
        <w:t xml:space="preserve">week period used in this </w:t>
      </w:r>
      <w:r w:rsidR="0022525F">
        <w:t>analysis</w:t>
      </w:r>
      <w:r>
        <w:t xml:space="preserve">. For example, even if a job </w:t>
      </w:r>
      <w:r w:rsidR="0022525F">
        <w:t>wa</w:t>
      </w:r>
      <w:r>
        <w:t xml:space="preserve">s not maintained it might still </w:t>
      </w:r>
      <w:r w:rsidR="0022525F">
        <w:t xml:space="preserve">have </w:t>
      </w:r>
      <w:r>
        <w:t>contribute</w:t>
      </w:r>
      <w:r w:rsidR="0022525F">
        <w:t>d</w:t>
      </w:r>
      <w:r>
        <w:t xml:space="preserve"> to improved long-term prospects by giving the person the experience of work and helping to maintain labour market attachment.</w:t>
      </w:r>
    </w:p>
    <w:p w14:paraId="4AC3AE8D" w14:textId="77777777" w:rsidR="006510E3" w:rsidRPr="00332AAF" w:rsidRDefault="006510E3" w:rsidP="00ED2A92">
      <w:pPr>
        <w:pStyle w:val="Heading3"/>
      </w:pPr>
      <w:bookmarkStart w:id="479" w:name="_Toc22543131"/>
      <w:r>
        <w:t>8.</w:t>
      </w:r>
      <w:r w:rsidR="00130E90">
        <w:t>2</w:t>
      </w:r>
      <w:r>
        <w:t>.3</w:t>
      </w:r>
      <w:r>
        <w:tab/>
      </w:r>
      <w:r w:rsidRPr="00332AAF">
        <w:t>Employer and provider perspectives</w:t>
      </w:r>
      <w:bookmarkEnd w:id="479"/>
    </w:p>
    <w:p w14:paraId="500C2BD1" w14:textId="77777777" w:rsidR="006510E3" w:rsidRDefault="006510E3" w:rsidP="006510E3">
      <w:r>
        <w:t xml:space="preserve">Feedback from providers and employers </w:t>
      </w:r>
      <w:r w:rsidR="00B2212F">
        <w:t xml:space="preserve">about wage subsidies, collected in </w:t>
      </w:r>
      <w:r w:rsidR="005E79D9">
        <w:t>D</w:t>
      </w:r>
      <w:r w:rsidR="00B2212F">
        <w:t xml:space="preserve">epartment-commissioned surveys, was </w:t>
      </w:r>
      <w:r>
        <w:t>generally consistent.</w:t>
      </w:r>
    </w:p>
    <w:p w14:paraId="7DF9CD89" w14:textId="231AF4C8" w:rsidR="006510E3" w:rsidRDefault="006510E3" w:rsidP="006510E3">
      <w:pPr>
        <w:rPr>
          <w:rFonts w:ascii="Calibri" w:hAnsi="Calibri" w:cs="Calibri"/>
        </w:rPr>
      </w:pPr>
      <w:r w:rsidRPr="00E7665D">
        <w:t>The majority (85 per cent) of employers surveyed in 2013 who had used employment services</w:t>
      </w:r>
      <w:r>
        <w:t xml:space="preserve"> were aware that they may be able to access a wage subsidy when recruiting an unemployed job seeker. Of these employers who had used JSA,</w:t>
      </w:r>
      <w:r w:rsidR="004905DB">
        <w:t xml:space="preserve"> </w:t>
      </w:r>
      <w:r w:rsidR="00942EB7">
        <w:rPr>
          <w:rFonts w:ascii="Calibri" w:hAnsi="Calibri" w:cs="Calibri"/>
        </w:rPr>
        <w:t>4</w:t>
      </w:r>
      <w:r w:rsidR="00127E34">
        <w:rPr>
          <w:rFonts w:ascii="Calibri" w:hAnsi="Calibri" w:cs="Calibri"/>
        </w:rPr>
        <w:t>2</w:t>
      </w:r>
      <w:r w:rsidR="00942EB7">
        <w:rPr>
          <w:rFonts w:ascii="Calibri" w:hAnsi="Calibri" w:cs="Calibri"/>
        </w:rPr>
        <w:t xml:space="preserve"> per cent</w:t>
      </w:r>
      <w:r w:rsidR="004905DB">
        <w:t xml:space="preserve"> </w:t>
      </w:r>
      <w:r w:rsidRPr="006B3BFB">
        <w:rPr>
          <w:rFonts w:ascii="Calibri" w:hAnsi="Calibri" w:cs="Calibri"/>
        </w:rPr>
        <w:t>said they had received a wage subsidy</w:t>
      </w:r>
      <w:r>
        <w:rPr>
          <w:rFonts w:ascii="Calibri" w:hAnsi="Calibri" w:cs="Calibri"/>
        </w:rPr>
        <w:t xml:space="preserve"> in the previous 12 months</w:t>
      </w:r>
      <w:r w:rsidRPr="006B3BFB">
        <w:rPr>
          <w:rFonts w:ascii="Calibri" w:hAnsi="Calibri" w:cs="Calibri"/>
        </w:rPr>
        <w:t>, in most cases initiated by an employment service</w:t>
      </w:r>
      <w:r w:rsidR="00E7638D">
        <w:rPr>
          <w:rFonts w:ascii="Calibri" w:hAnsi="Calibri" w:cs="Calibri"/>
        </w:rPr>
        <w:t>s</w:t>
      </w:r>
      <w:r w:rsidRPr="006B3BFB">
        <w:rPr>
          <w:rFonts w:ascii="Calibri" w:hAnsi="Calibri" w:cs="Calibri"/>
        </w:rPr>
        <w:t xml:space="preserve"> provider.</w:t>
      </w:r>
      <w:r w:rsidR="00942EB7">
        <w:rPr>
          <w:rFonts w:ascii="Calibri" w:hAnsi="Calibri" w:cs="Calibri"/>
        </w:rPr>
        <w:t xml:space="preserve"> </w:t>
      </w:r>
      <w:r>
        <w:rPr>
          <w:rFonts w:ascii="Calibri" w:hAnsi="Calibri" w:cs="Calibri"/>
        </w:rPr>
        <w:t>Most (</w:t>
      </w:r>
      <w:r>
        <w:t>94 per cent) employers who had received a subsidy said they would consider recruiting with a wage subsidy again.</w:t>
      </w:r>
      <w:r w:rsidR="00E7665D">
        <w:rPr>
          <w:rStyle w:val="FootnoteReference"/>
        </w:rPr>
        <w:footnoteReference w:id="75"/>
      </w:r>
      <w:r w:rsidR="00942EB7">
        <w:t xml:space="preserve"> </w:t>
      </w:r>
      <w:r w:rsidR="00942EB7">
        <w:rPr>
          <w:rStyle w:val="FootnoteReference"/>
        </w:rPr>
        <w:footnoteReference w:id="76"/>
      </w:r>
    </w:p>
    <w:p w14:paraId="734EEE16" w14:textId="77777777" w:rsidR="006510E3" w:rsidRDefault="006510E3" w:rsidP="006510E3">
      <w:pPr>
        <w:rPr>
          <w:rFonts w:ascii="Calibri" w:hAnsi="Calibri" w:cs="Calibri"/>
        </w:rPr>
      </w:pPr>
      <w:r>
        <w:t>While most employers report</w:t>
      </w:r>
      <w:r w:rsidR="005D018B">
        <w:t>ed</w:t>
      </w:r>
      <w:r>
        <w:t xml:space="preserve"> their primary consideration </w:t>
      </w:r>
      <w:r w:rsidR="005D018B">
        <w:t xml:space="preserve">was </w:t>
      </w:r>
      <w:r>
        <w:t xml:space="preserve">getting the right person for the job, with financial incentives being a secondary consideration, some providers expressed a concern that employers occasionally seek </w:t>
      </w:r>
      <w:r>
        <w:rPr>
          <w:rFonts w:ascii="Calibri" w:hAnsi="Calibri" w:cs="Calibri"/>
        </w:rPr>
        <w:t>job applicants from employment services just to receive a wage subsidy, and suggest that this has increased with employers’ increasing awareness of subsidies.</w:t>
      </w:r>
      <w:r w:rsidR="00E7665D">
        <w:rPr>
          <w:rStyle w:val="FootnoteReference"/>
          <w:rFonts w:ascii="Calibri" w:hAnsi="Calibri" w:cs="Calibri"/>
        </w:rPr>
        <w:footnoteReference w:id="77"/>
      </w:r>
    </w:p>
    <w:p w14:paraId="3610C2CB" w14:textId="77777777" w:rsidR="006510E3" w:rsidRDefault="006510E3" w:rsidP="006510E3">
      <w:r>
        <w:rPr>
          <w:rFonts w:ascii="Calibri" w:hAnsi="Calibri" w:cs="Calibri"/>
        </w:rPr>
        <w:t xml:space="preserve">Most JSA providers consider wage subsidies to be an important </w:t>
      </w:r>
      <w:r>
        <w:t xml:space="preserve">labour market assistance tool and agree that employers are receptive to wage subsidies. In particular, providers consider wage subsidies to be particularly important for VLTU job seekers and job seekers with disability. On the other hand, while most employers reported that the offer of a wage subsidy would make them more inclined to recruit from most groups, most stated that it would have no effect or make them less likely to consider hiring Indigenous job seekers and job seekers with a physical or psychological disability (Figure </w:t>
      </w:r>
      <w:r w:rsidR="00ED2A92">
        <w:t>8.2</w:t>
      </w:r>
      <w:r>
        <w:t>).</w:t>
      </w:r>
      <w:r w:rsidR="00E7665D">
        <w:rPr>
          <w:rStyle w:val="FootnoteReference"/>
        </w:rPr>
        <w:footnoteReference w:id="78"/>
      </w:r>
    </w:p>
    <w:p w14:paraId="3C0DC8E0" w14:textId="77777777" w:rsidR="006510E3" w:rsidRPr="003D58E5" w:rsidRDefault="00ED2A92" w:rsidP="005172B5">
      <w:pPr>
        <w:pStyle w:val="Figureheadingforcontents"/>
      </w:pPr>
      <w:bookmarkStart w:id="480" w:name="_Toc436400165"/>
      <w:bookmarkStart w:id="481" w:name="_Toc436400295"/>
      <w:bookmarkStart w:id="482" w:name="_Toc443152037"/>
      <w:bookmarkStart w:id="483" w:name="_Toc22544049"/>
      <w:r>
        <w:t>Figure 8.2</w:t>
      </w:r>
      <w:r w:rsidR="00CF00FC">
        <w:t>:</w:t>
      </w:r>
      <w:r w:rsidR="003C29A5">
        <w:t xml:space="preserve"> </w:t>
      </w:r>
      <w:r w:rsidR="006510E3" w:rsidRPr="003D58E5">
        <w:t>Employer perceptions of the influence of wage subsidies on hiring decisions for job seeker groups</w:t>
      </w:r>
      <w:r w:rsidR="00EF5763">
        <w:t xml:space="preserve"> (per cent)</w:t>
      </w:r>
      <w:bookmarkEnd w:id="480"/>
      <w:bookmarkEnd w:id="481"/>
      <w:bookmarkEnd w:id="482"/>
      <w:bookmarkEnd w:id="483"/>
    </w:p>
    <w:p w14:paraId="77E01F20" w14:textId="77777777" w:rsidR="006510E3" w:rsidRDefault="002A0F08" w:rsidP="0019430D">
      <w:pPr>
        <w:spacing w:after="0"/>
      </w:pPr>
      <w:r w:rsidRPr="002A0F08">
        <w:rPr>
          <w:noProof/>
          <w:lang w:eastAsia="en-AU"/>
        </w:rPr>
        <w:drawing>
          <wp:inline distT="0" distB="0" distL="0" distR="0" wp14:anchorId="1BB9E4F0" wp14:editId="459095E4">
            <wp:extent cx="5732145" cy="3823760"/>
            <wp:effectExtent l="0" t="0" r="1905" b="5715"/>
            <wp:docPr id="269" name="Picture 269" descr="100 per cent bar chart with one bar each for: job seekers aged 50 and over; under 21 years of age; with psychological disability; with physical disability; Indigenous job seekers; two or more years unemployed; less than two years unemployed. Each bar is divided into portions based on how likely a wage subsidy is to influence the decision to hire a job seeker.&#10;More likely or much more likely account for at least 50 per cent of responses in relation to mature age job seekers, young job seekers, and by duration of employment (both very long term and not very long term unemployed). &#10;The groups for which fewer than 50 per cent of employers would be persuaded by a wage subsidy are job seekers with disability (mental or physical) and Indigenous job seekers.&#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2145" cy="3823760"/>
                    </a:xfrm>
                    <a:prstGeom prst="rect">
                      <a:avLst/>
                    </a:prstGeom>
                    <a:noFill/>
                    <a:ln>
                      <a:noFill/>
                    </a:ln>
                  </pic:spPr>
                </pic:pic>
              </a:graphicData>
            </a:graphic>
          </wp:inline>
        </w:drawing>
      </w:r>
    </w:p>
    <w:p w14:paraId="6C170216" w14:textId="77777777" w:rsidR="006510E3" w:rsidRPr="00C60BD7" w:rsidRDefault="006510E3" w:rsidP="0019430D">
      <w:pPr>
        <w:pStyle w:val="Notes"/>
        <w:rPr>
          <w:noProof/>
        </w:rPr>
      </w:pPr>
      <w:r w:rsidRPr="00C60BD7">
        <w:rPr>
          <w:b/>
          <w:noProof/>
        </w:rPr>
        <w:t>Note:</w:t>
      </w:r>
      <w:r w:rsidR="008F1B8A">
        <w:rPr>
          <w:b/>
          <w:noProof/>
        </w:rPr>
        <w:tab/>
      </w:r>
      <w:r w:rsidRPr="00C60BD7">
        <w:rPr>
          <w:noProof/>
        </w:rPr>
        <w:t>Base</w:t>
      </w:r>
      <w:r w:rsidR="00C67A39">
        <w:rPr>
          <w:noProof/>
        </w:rPr>
        <w:t xml:space="preserve">d on </w:t>
      </w:r>
      <w:r w:rsidR="00C67A39" w:rsidRPr="0019430D">
        <w:t>responses</w:t>
      </w:r>
      <w:r w:rsidR="00C67A39">
        <w:rPr>
          <w:noProof/>
        </w:rPr>
        <w:t xml:space="preserve"> to the question ‘</w:t>
      </w:r>
      <w:r w:rsidRPr="00C60BD7">
        <w:rPr>
          <w:noProof/>
        </w:rPr>
        <w:t>Do you think financial incentives make employers more or less likely to consider hiring...?</w:t>
      </w:r>
      <w:r w:rsidR="00C67A39">
        <w:rPr>
          <w:noProof/>
        </w:rPr>
        <w:t>’</w:t>
      </w:r>
    </w:p>
    <w:p w14:paraId="49B802BF" w14:textId="77777777" w:rsidR="0019430D" w:rsidRPr="00C60BD7" w:rsidRDefault="0019430D" w:rsidP="0019430D">
      <w:pPr>
        <w:pStyle w:val="Source"/>
      </w:pPr>
      <w:r w:rsidRPr="0030062B">
        <w:rPr>
          <w:b/>
        </w:rPr>
        <w:t>Source:</w:t>
      </w:r>
      <w:r>
        <w:tab/>
      </w:r>
      <w:r w:rsidR="00504D4C" w:rsidRPr="001F180A">
        <w:t xml:space="preserve">Department of Employment, 2016. </w:t>
      </w:r>
      <w:r w:rsidR="00504D4C" w:rsidRPr="00063D8A">
        <w:rPr>
          <w:i/>
        </w:rPr>
        <w:t xml:space="preserve">The Effectiveness of Wage Subsidies in </w:t>
      </w:r>
      <w:r w:rsidR="00504D4C">
        <w:rPr>
          <w:i/>
        </w:rPr>
        <w:t>Australian Government Services</w:t>
      </w:r>
      <w:r w:rsidR="00370213">
        <w:rPr>
          <w:i/>
        </w:rPr>
        <w:t xml:space="preserve">, </w:t>
      </w:r>
      <w:r w:rsidR="00370213" w:rsidRPr="001770E5">
        <w:t>Canberra</w:t>
      </w:r>
      <w:r w:rsidRPr="00C60BD7">
        <w:t>.</w:t>
      </w:r>
    </w:p>
    <w:p w14:paraId="334E43DC" w14:textId="77777777" w:rsidR="006510E3" w:rsidRDefault="006510E3" w:rsidP="00C60BD7">
      <w:pPr>
        <w:spacing w:before="120"/>
      </w:pPr>
      <w:r>
        <w:t>Although wage subsidies were more likely used by large</w:t>
      </w:r>
      <w:r w:rsidR="00A36D17">
        <w:t xml:space="preserve"> </w:t>
      </w:r>
      <w:r w:rsidR="00E82FDF">
        <w:t xml:space="preserve">rather </w:t>
      </w:r>
      <w:r>
        <w:t xml:space="preserve">than small and medium employers, </w:t>
      </w:r>
      <w:r w:rsidR="00A36D17">
        <w:t xml:space="preserve">subsidies </w:t>
      </w:r>
      <w:r>
        <w:t>reported</w:t>
      </w:r>
      <w:r w:rsidR="00CC6250">
        <w:t>ly</w:t>
      </w:r>
      <w:r>
        <w:t xml:space="preserve"> ha</w:t>
      </w:r>
      <w:r w:rsidR="00CC6250">
        <w:t>d</w:t>
      </w:r>
      <w:r>
        <w:t xml:space="preserve"> a </w:t>
      </w:r>
      <w:r w:rsidR="00492EF3">
        <w:t>comparatively</w:t>
      </w:r>
      <w:r w:rsidR="00CC6250">
        <w:t xml:space="preserve"> </w:t>
      </w:r>
      <w:r>
        <w:t>stronger influence on recruitment decisions</w:t>
      </w:r>
      <w:r w:rsidR="00CC6250">
        <w:t>,</w:t>
      </w:r>
      <w:r>
        <w:t xml:space="preserve"> and deliver</w:t>
      </w:r>
      <w:r w:rsidR="00CC6250">
        <w:t>ed</w:t>
      </w:r>
      <w:r>
        <w:t xml:space="preserve"> higher </w:t>
      </w:r>
      <w:r w:rsidRPr="00B053B9">
        <w:t>primary benefits and lower deadweight loss</w:t>
      </w:r>
      <w:r w:rsidR="00CC6250">
        <w:t>,</w:t>
      </w:r>
      <w:r>
        <w:t xml:space="preserve"> for small employers.</w:t>
      </w:r>
    </w:p>
    <w:p w14:paraId="5C8E2D08" w14:textId="77777777" w:rsidR="00AE0D53" w:rsidRDefault="006510E3" w:rsidP="006510E3">
      <w:r>
        <w:t xml:space="preserve">Most employers (87 per cent) reported that new recruits typically became fully productive within six months. Where subsidised employment did not continue into unsubsidised employment, it appears that this was most often because the </w:t>
      </w:r>
      <w:r w:rsidR="00AD6EF8">
        <w:t xml:space="preserve">employee </w:t>
      </w:r>
      <w:r>
        <w:t>lacked the ‘soft’ skills—good attitude and work ethic—rather than problem</w:t>
      </w:r>
      <w:r w:rsidR="00BC72D3">
        <w:t>s</w:t>
      </w:r>
      <w:r>
        <w:t xml:space="preserve"> with job-specific skills or business-related factors (Table </w:t>
      </w:r>
      <w:r w:rsidR="00ED2A92">
        <w:t>8.3</w:t>
      </w:r>
      <w:r>
        <w:t>).</w:t>
      </w:r>
    </w:p>
    <w:p w14:paraId="55626B24" w14:textId="77777777" w:rsidR="00AE0D53" w:rsidRPr="008D1D34" w:rsidRDefault="00AE0D53" w:rsidP="00AE0D53">
      <w:pPr>
        <w:pStyle w:val="Tableforcontents"/>
        <w:rPr>
          <w:rFonts w:eastAsiaTheme="majorEastAsia"/>
        </w:rPr>
      </w:pPr>
      <w:bookmarkStart w:id="484" w:name="_Toc22544000"/>
      <w:r w:rsidRPr="008D1D34">
        <w:rPr>
          <w:rFonts w:eastAsiaTheme="majorEastAsia"/>
        </w:rPr>
        <w:t>Table 8.3:</w:t>
      </w:r>
      <w:r>
        <w:rPr>
          <w:rFonts w:eastAsiaTheme="majorEastAsia"/>
        </w:rPr>
        <w:t xml:space="preserve"> </w:t>
      </w:r>
      <w:r w:rsidRPr="008D1D34">
        <w:rPr>
          <w:rFonts w:eastAsiaTheme="majorEastAsia"/>
        </w:rPr>
        <w:t>Employer-stated reasons why E</w:t>
      </w:r>
      <w:r w:rsidR="00793982">
        <w:rPr>
          <w:rFonts w:eastAsiaTheme="majorEastAsia"/>
        </w:rPr>
        <w:t xml:space="preserve">mployment </w:t>
      </w:r>
      <w:r w:rsidRPr="008D1D34">
        <w:rPr>
          <w:rFonts w:eastAsiaTheme="majorEastAsia"/>
        </w:rPr>
        <w:t>P</w:t>
      </w:r>
      <w:r w:rsidR="00793982">
        <w:rPr>
          <w:rFonts w:eastAsiaTheme="majorEastAsia"/>
        </w:rPr>
        <w:t xml:space="preserve">athway </w:t>
      </w:r>
      <w:r w:rsidRPr="008D1D34">
        <w:rPr>
          <w:rFonts w:eastAsiaTheme="majorEastAsia"/>
        </w:rPr>
        <w:t>F</w:t>
      </w:r>
      <w:r w:rsidR="00793982">
        <w:rPr>
          <w:rFonts w:eastAsiaTheme="majorEastAsia"/>
        </w:rPr>
        <w:t>und (EPF)</w:t>
      </w:r>
      <w:r w:rsidRPr="008D1D34">
        <w:rPr>
          <w:rFonts w:eastAsiaTheme="majorEastAsia"/>
        </w:rPr>
        <w:t>-subsidised employee no longer employed</w:t>
      </w:r>
      <w:r>
        <w:rPr>
          <w:rFonts w:eastAsiaTheme="majorEastAsia"/>
        </w:rPr>
        <w:t xml:space="preserve"> (per cent)</w:t>
      </w:r>
      <w:bookmarkEnd w:id="48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1276"/>
      </w:tblGrid>
      <w:tr w:rsidR="00AE0D53" w14:paraId="1E79FEEF" w14:textId="77777777" w:rsidTr="008268A7">
        <w:trPr>
          <w:trHeight w:hRule="exact" w:val="284"/>
          <w:tblHeader/>
        </w:trPr>
        <w:tc>
          <w:tcPr>
            <w:tcW w:w="7196" w:type="dxa"/>
            <w:tcBorders>
              <w:top w:val="single" w:sz="4" w:space="0" w:color="auto"/>
              <w:bottom w:val="nil"/>
            </w:tcBorders>
            <w:shd w:val="clear" w:color="auto" w:fill="1E3D6B"/>
            <w:vAlign w:val="center"/>
          </w:tcPr>
          <w:p w14:paraId="3BB518BF" w14:textId="77777777" w:rsidR="00AE0D53" w:rsidRPr="0084399E" w:rsidRDefault="00AE0D53" w:rsidP="006510E3">
            <w:pPr>
              <w:rPr>
                <w:b/>
                <w:sz w:val="20"/>
                <w:szCs w:val="20"/>
              </w:rPr>
            </w:pPr>
            <w:bookmarkStart w:id="485" w:name="Title_83"/>
            <w:bookmarkEnd w:id="485"/>
            <w:r w:rsidRPr="0084399E">
              <w:rPr>
                <w:b/>
                <w:sz w:val="20"/>
                <w:szCs w:val="20"/>
              </w:rPr>
              <w:t>Reason</w:t>
            </w:r>
          </w:p>
        </w:tc>
        <w:tc>
          <w:tcPr>
            <w:tcW w:w="1276" w:type="dxa"/>
            <w:tcBorders>
              <w:top w:val="single" w:sz="4" w:space="0" w:color="auto"/>
              <w:bottom w:val="nil"/>
            </w:tcBorders>
            <w:shd w:val="clear" w:color="auto" w:fill="1E3D6B"/>
            <w:vAlign w:val="center"/>
          </w:tcPr>
          <w:p w14:paraId="2D833AF8" w14:textId="77777777" w:rsidR="00AE0D53" w:rsidRPr="0084399E" w:rsidRDefault="00AE0D53" w:rsidP="006510E3">
            <w:pPr>
              <w:rPr>
                <w:b/>
                <w:sz w:val="20"/>
                <w:szCs w:val="20"/>
              </w:rPr>
            </w:pPr>
            <w:r w:rsidRPr="0084399E">
              <w:rPr>
                <w:b/>
                <w:sz w:val="20"/>
                <w:szCs w:val="20"/>
              </w:rPr>
              <w:t xml:space="preserve">Per cent </w:t>
            </w:r>
          </w:p>
        </w:tc>
      </w:tr>
      <w:tr w:rsidR="00AE0D53" w:rsidRPr="00C41AB0" w14:paraId="232B3305" w14:textId="77777777" w:rsidTr="008268A7">
        <w:trPr>
          <w:trHeight w:hRule="exact" w:val="284"/>
        </w:trPr>
        <w:tc>
          <w:tcPr>
            <w:tcW w:w="7196" w:type="dxa"/>
            <w:tcBorders>
              <w:top w:val="nil"/>
              <w:bottom w:val="nil"/>
            </w:tcBorders>
            <w:vAlign w:val="center"/>
          </w:tcPr>
          <w:p w14:paraId="4935CB33" w14:textId="77777777" w:rsidR="00AE0D53" w:rsidRPr="00C41AB0" w:rsidRDefault="00AE0D53" w:rsidP="006510E3">
            <w:pPr>
              <w:rPr>
                <w:sz w:val="20"/>
                <w:szCs w:val="20"/>
              </w:rPr>
            </w:pPr>
            <w:r w:rsidRPr="00C41AB0">
              <w:rPr>
                <w:sz w:val="20"/>
                <w:szCs w:val="20"/>
              </w:rPr>
              <w:t>Business-related factors:</w:t>
            </w:r>
            <w:r w:rsidRPr="00C41AB0">
              <w:rPr>
                <w:rFonts w:ascii="Calibri" w:hAnsi="Calibri" w:cs="Calibri"/>
                <w:sz w:val="20"/>
                <w:szCs w:val="20"/>
              </w:rPr>
              <w:t xml:space="preserve"> Financial incentive ran out</w:t>
            </w:r>
          </w:p>
        </w:tc>
        <w:tc>
          <w:tcPr>
            <w:tcW w:w="1276" w:type="dxa"/>
            <w:tcBorders>
              <w:top w:val="nil"/>
              <w:bottom w:val="nil"/>
            </w:tcBorders>
            <w:vAlign w:val="center"/>
          </w:tcPr>
          <w:p w14:paraId="2FC13C18" w14:textId="77777777" w:rsidR="00AE0D53" w:rsidRPr="00C41AB0" w:rsidRDefault="00AE0D53" w:rsidP="00C41AB0">
            <w:pPr>
              <w:tabs>
                <w:tab w:val="left" w:pos="380"/>
              </w:tabs>
              <w:ind w:left="-325" w:right="380"/>
              <w:jc w:val="right"/>
              <w:rPr>
                <w:sz w:val="20"/>
                <w:szCs w:val="20"/>
              </w:rPr>
            </w:pPr>
            <w:r w:rsidRPr="00C41AB0">
              <w:rPr>
                <w:sz w:val="20"/>
                <w:szCs w:val="20"/>
              </w:rPr>
              <w:t>1.5</w:t>
            </w:r>
          </w:p>
        </w:tc>
      </w:tr>
      <w:tr w:rsidR="00AE0D53" w:rsidRPr="00C41AB0" w14:paraId="16D9ED2B" w14:textId="77777777" w:rsidTr="008268A7">
        <w:trPr>
          <w:trHeight w:hRule="exact" w:val="284"/>
        </w:trPr>
        <w:tc>
          <w:tcPr>
            <w:tcW w:w="7196" w:type="dxa"/>
            <w:tcBorders>
              <w:top w:val="nil"/>
              <w:bottom w:val="nil"/>
            </w:tcBorders>
            <w:shd w:val="clear" w:color="auto" w:fill="E5E5E5" w:themeFill="background1" w:themeFillTint="33"/>
            <w:vAlign w:val="center"/>
          </w:tcPr>
          <w:p w14:paraId="4B511989" w14:textId="77777777" w:rsidR="00AE0D53" w:rsidRPr="00C41AB0" w:rsidRDefault="00AE0D53" w:rsidP="006510E3">
            <w:pPr>
              <w:rPr>
                <w:sz w:val="20"/>
                <w:szCs w:val="20"/>
              </w:rPr>
            </w:pPr>
            <w:r w:rsidRPr="00C41AB0">
              <w:rPr>
                <w:sz w:val="20"/>
                <w:szCs w:val="20"/>
              </w:rPr>
              <w:t>Business-related factors:</w:t>
            </w:r>
            <w:r w:rsidRPr="00C41AB0">
              <w:rPr>
                <w:rFonts w:ascii="Calibri" w:hAnsi="Calibri" w:cs="Calibri"/>
                <w:sz w:val="20"/>
                <w:szCs w:val="20"/>
              </w:rPr>
              <w:t xml:space="preserve"> Fixed term position ended</w:t>
            </w:r>
          </w:p>
        </w:tc>
        <w:tc>
          <w:tcPr>
            <w:tcW w:w="1276" w:type="dxa"/>
            <w:tcBorders>
              <w:top w:val="nil"/>
              <w:bottom w:val="nil"/>
            </w:tcBorders>
            <w:shd w:val="clear" w:color="auto" w:fill="E5E5E5" w:themeFill="background1" w:themeFillTint="33"/>
            <w:vAlign w:val="center"/>
          </w:tcPr>
          <w:p w14:paraId="014D8AFE" w14:textId="77777777" w:rsidR="00AE0D53" w:rsidRPr="00C41AB0" w:rsidRDefault="00AE0D53" w:rsidP="00C41AB0">
            <w:pPr>
              <w:tabs>
                <w:tab w:val="left" w:pos="380"/>
              </w:tabs>
              <w:ind w:left="-325" w:right="380"/>
              <w:jc w:val="right"/>
              <w:rPr>
                <w:sz w:val="20"/>
                <w:szCs w:val="20"/>
              </w:rPr>
            </w:pPr>
            <w:r w:rsidRPr="00C41AB0">
              <w:rPr>
                <w:sz w:val="20"/>
                <w:szCs w:val="20"/>
              </w:rPr>
              <w:t>4.9</w:t>
            </w:r>
          </w:p>
        </w:tc>
      </w:tr>
      <w:tr w:rsidR="00AE0D53" w:rsidRPr="00C41AB0" w14:paraId="2968F889" w14:textId="77777777" w:rsidTr="008268A7">
        <w:trPr>
          <w:trHeight w:hRule="exact" w:val="284"/>
        </w:trPr>
        <w:tc>
          <w:tcPr>
            <w:tcW w:w="7196" w:type="dxa"/>
            <w:tcBorders>
              <w:top w:val="nil"/>
              <w:bottom w:val="nil"/>
            </w:tcBorders>
            <w:vAlign w:val="center"/>
          </w:tcPr>
          <w:p w14:paraId="416C5B9F" w14:textId="77777777" w:rsidR="00AE0D53" w:rsidRPr="00C41AB0" w:rsidRDefault="00AE0D53" w:rsidP="006510E3">
            <w:pPr>
              <w:rPr>
                <w:sz w:val="20"/>
                <w:szCs w:val="20"/>
              </w:rPr>
            </w:pPr>
            <w:r w:rsidRPr="00C41AB0">
              <w:rPr>
                <w:sz w:val="20"/>
                <w:szCs w:val="20"/>
              </w:rPr>
              <w:t>Business-related factors:</w:t>
            </w:r>
            <w:r w:rsidRPr="00C41AB0">
              <w:rPr>
                <w:rFonts w:ascii="Calibri" w:hAnsi="Calibri" w:cs="Calibri"/>
                <w:sz w:val="20"/>
                <w:szCs w:val="20"/>
              </w:rPr>
              <w:t xml:space="preserve"> Business restructured/downsized/closure</w:t>
            </w:r>
          </w:p>
        </w:tc>
        <w:tc>
          <w:tcPr>
            <w:tcW w:w="1276" w:type="dxa"/>
            <w:tcBorders>
              <w:top w:val="nil"/>
              <w:bottom w:val="nil"/>
            </w:tcBorders>
            <w:vAlign w:val="center"/>
          </w:tcPr>
          <w:p w14:paraId="7503AF4C" w14:textId="77777777" w:rsidR="00AE0D53" w:rsidRPr="00C41AB0" w:rsidRDefault="00AE0D53" w:rsidP="00C41AB0">
            <w:pPr>
              <w:tabs>
                <w:tab w:val="left" w:pos="380"/>
              </w:tabs>
              <w:ind w:left="-325" w:right="380"/>
              <w:jc w:val="right"/>
              <w:rPr>
                <w:sz w:val="20"/>
                <w:szCs w:val="20"/>
              </w:rPr>
            </w:pPr>
            <w:r w:rsidRPr="00C41AB0">
              <w:rPr>
                <w:sz w:val="20"/>
                <w:szCs w:val="20"/>
              </w:rPr>
              <w:t>6.0</w:t>
            </w:r>
          </w:p>
        </w:tc>
      </w:tr>
      <w:tr w:rsidR="00AE0D53" w:rsidRPr="00C41AB0" w14:paraId="7BE4961B" w14:textId="77777777" w:rsidTr="008268A7">
        <w:trPr>
          <w:trHeight w:hRule="exact" w:val="284"/>
        </w:trPr>
        <w:tc>
          <w:tcPr>
            <w:tcW w:w="7196" w:type="dxa"/>
            <w:tcBorders>
              <w:top w:val="nil"/>
              <w:bottom w:val="nil"/>
            </w:tcBorders>
            <w:shd w:val="clear" w:color="auto" w:fill="E5E5E5" w:themeFill="background1" w:themeFillTint="33"/>
            <w:vAlign w:val="center"/>
          </w:tcPr>
          <w:p w14:paraId="3B137869" w14:textId="77777777" w:rsidR="00AE0D53" w:rsidRPr="00C41AB0" w:rsidRDefault="00AE0D53" w:rsidP="006510E3">
            <w:pPr>
              <w:rPr>
                <w:sz w:val="20"/>
                <w:szCs w:val="20"/>
              </w:rPr>
            </w:pPr>
            <w:r w:rsidRPr="00C41AB0">
              <w:rPr>
                <w:sz w:val="20"/>
                <w:szCs w:val="20"/>
              </w:rPr>
              <w:t>Business-related factors:</w:t>
            </w:r>
            <w:r w:rsidRPr="00C41AB0">
              <w:rPr>
                <w:rFonts w:ascii="Calibri" w:hAnsi="Calibri" w:cs="Calibri"/>
                <w:sz w:val="20"/>
                <w:szCs w:val="20"/>
              </w:rPr>
              <w:t xml:space="preserve"> Insufficient work to retain employee</w:t>
            </w:r>
          </w:p>
        </w:tc>
        <w:tc>
          <w:tcPr>
            <w:tcW w:w="1276" w:type="dxa"/>
            <w:tcBorders>
              <w:top w:val="nil"/>
              <w:bottom w:val="nil"/>
            </w:tcBorders>
            <w:shd w:val="clear" w:color="auto" w:fill="E5E5E5" w:themeFill="background1" w:themeFillTint="33"/>
            <w:vAlign w:val="center"/>
          </w:tcPr>
          <w:p w14:paraId="74FF2969" w14:textId="77777777" w:rsidR="00AE0D53" w:rsidRPr="00C41AB0" w:rsidRDefault="00AE0D53" w:rsidP="00C41AB0">
            <w:pPr>
              <w:tabs>
                <w:tab w:val="left" w:pos="380"/>
              </w:tabs>
              <w:ind w:left="-325" w:right="380"/>
              <w:jc w:val="right"/>
              <w:rPr>
                <w:sz w:val="20"/>
                <w:szCs w:val="20"/>
              </w:rPr>
            </w:pPr>
            <w:r w:rsidRPr="00C41AB0">
              <w:rPr>
                <w:sz w:val="20"/>
                <w:szCs w:val="20"/>
              </w:rPr>
              <w:t>17.5</w:t>
            </w:r>
          </w:p>
        </w:tc>
      </w:tr>
      <w:tr w:rsidR="00AE0D53" w:rsidRPr="00C41AB0" w14:paraId="079F35B0" w14:textId="77777777" w:rsidTr="008268A7">
        <w:trPr>
          <w:trHeight w:hRule="exact" w:val="284"/>
        </w:trPr>
        <w:tc>
          <w:tcPr>
            <w:tcW w:w="7196" w:type="dxa"/>
            <w:tcBorders>
              <w:top w:val="nil"/>
              <w:bottom w:val="nil"/>
            </w:tcBorders>
            <w:vAlign w:val="center"/>
          </w:tcPr>
          <w:p w14:paraId="0B5F787B" w14:textId="77777777" w:rsidR="00AE0D53" w:rsidRPr="00C41AB0" w:rsidRDefault="00AE0D53" w:rsidP="00AE0D53">
            <w:pPr>
              <w:keepNext/>
              <w:keepLines/>
              <w:rPr>
                <w:sz w:val="20"/>
                <w:szCs w:val="20"/>
              </w:rPr>
            </w:pPr>
            <w:r w:rsidRPr="00C41AB0">
              <w:rPr>
                <w:sz w:val="20"/>
                <w:szCs w:val="20"/>
              </w:rPr>
              <w:t>Business-related factors sub total</w:t>
            </w:r>
          </w:p>
        </w:tc>
        <w:tc>
          <w:tcPr>
            <w:tcW w:w="1276" w:type="dxa"/>
            <w:tcBorders>
              <w:top w:val="nil"/>
              <w:bottom w:val="nil"/>
            </w:tcBorders>
            <w:vAlign w:val="center"/>
          </w:tcPr>
          <w:p w14:paraId="689DC519" w14:textId="77777777" w:rsidR="00AE0D53" w:rsidRPr="00C41AB0" w:rsidRDefault="00AE0D53" w:rsidP="00C41AB0">
            <w:pPr>
              <w:tabs>
                <w:tab w:val="left" w:pos="380"/>
              </w:tabs>
              <w:ind w:left="-325" w:right="380"/>
              <w:jc w:val="right"/>
              <w:rPr>
                <w:sz w:val="20"/>
                <w:szCs w:val="20"/>
              </w:rPr>
            </w:pPr>
            <w:r w:rsidRPr="00C41AB0">
              <w:rPr>
                <w:sz w:val="20"/>
                <w:szCs w:val="20"/>
              </w:rPr>
              <w:t>26.7</w:t>
            </w:r>
          </w:p>
        </w:tc>
      </w:tr>
      <w:tr w:rsidR="00AE0D53" w:rsidRPr="00C41AB0" w14:paraId="785A9D0B" w14:textId="77777777" w:rsidTr="008268A7">
        <w:trPr>
          <w:trHeight w:hRule="exact" w:val="284"/>
        </w:trPr>
        <w:tc>
          <w:tcPr>
            <w:tcW w:w="7196" w:type="dxa"/>
            <w:tcBorders>
              <w:top w:val="nil"/>
              <w:bottom w:val="nil"/>
            </w:tcBorders>
            <w:shd w:val="clear" w:color="auto" w:fill="E5E5E5" w:themeFill="background1" w:themeFillTint="33"/>
            <w:vAlign w:val="center"/>
          </w:tcPr>
          <w:p w14:paraId="01DB601B" w14:textId="77777777" w:rsidR="00AE0D53" w:rsidRPr="00C41AB0" w:rsidRDefault="00AE0D53" w:rsidP="006510E3">
            <w:pPr>
              <w:rPr>
                <w:sz w:val="20"/>
                <w:szCs w:val="20"/>
              </w:rPr>
            </w:pPr>
            <w:r w:rsidRPr="00C41AB0">
              <w:rPr>
                <w:sz w:val="20"/>
                <w:szCs w:val="20"/>
              </w:rPr>
              <w:t>Better prospects elsewhere:</w:t>
            </w:r>
            <w:r w:rsidRPr="00C41AB0">
              <w:rPr>
                <w:rFonts w:ascii="Calibri" w:hAnsi="Calibri" w:cs="Calibri"/>
                <w:sz w:val="20"/>
                <w:szCs w:val="20"/>
              </w:rPr>
              <w:t xml:space="preserve"> Wanted different hours or conditions</w:t>
            </w:r>
          </w:p>
        </w:tc>
        <w:tc>
          <w:tcPr>
            <w:tcW w:w="1276" w:type="dxa"/>
            <w:tcBorders>
              <w:top w:val="nil"/>
              <w:bottom w:val="nil"/>
            </w:tcBorders>
            <w:shd w:val="clear" w:color="auto" w:fill="E5E5E5" w:themeFill="background1" w:themeFillTint="33"/>
            <w:vAlign w:val="center"/>
          </w:tcPr>
          <w:p w14:paraId="5802A401" w14:textId="77777777" w:rsidR="00AE0D53" w:rsidRPr="00C41AB0" w:rsidRDefault="00AE0D53" w:rsidP="00C41AB0">
            <w:pPr>
              <w:tabs>
                <w:tab w:val="left" w:pos="380"/>
              </w:tabs>
              <w:ind w:left="-325" w:right="380"/>
              <w:jc w:val="right"/>
              <w:rPr>
                <w:sz w:val="20"/>
                <w:szCs w:val="20"/>
              </w:rPr>
            </w:pPr>
            <w:r w:rsidRPr="00C41AB0">
              <w:rPr>
                <w:sz w:val="20"/>
                <w:szCs w:val="20"/>
              </w:rPr>
              <w:t>4.5</w:t>
            </w:r>
          </w:p>
        </w:tc>
      </w:tr>
      <w:tr w:rsidR="00AE0D53" w:rsidRPr="00C41AB0" w14:paraId="4E3794D9" w14:textId="77777777" w:rsidTr="008268A7">
        <w:trPr>
          <w:trHeight w:hRule="exact" w:val="284"/>
        </w:trPr>
        <w:tc>
          <w:tcPr>
            <w:tcW w:w="7196" w:type="dxa"/>
            <w:tcBorders>
              <w:top w:val="nil"/>
              <w:bottom w:val="nil"/>
            </w:tcBorders>
            <w:vAlign w:val="center"/>
          </w:tcPr>
          <w:p w14:paraId="4747A84E" w14:textId="77777777" w:rsidR="00AE0D53" w:rsidRPr="00C41AB0" w:rsidRDefault="00AE0D53" w:rsidP="006510E3">
            <w:pPr>
              <w:rPr>
                <w:sz w:val="20"/>
                <w:szCs w:val="20"/>
              </w:rPr>
            </w:pPr>
            <w:r w:rsidRPr="00C41AB0">
              <w:rPr>
                <w:sz w:val="20"/>
                <w:szCs w:val="20"/>
              </w:rPr>
              <w:t>Better prospects elsewhere:</w:t>
            </w:r>
            <w:r w:rsidRPr="00C41AB0">
              <w:rPr>
                <w:rFonts w:ascii="Calibri" w:hAnsi="Calibri" w:cs="Calibri"/>
                <w:sz w:val="20"/>
                <w:szCs w:val="20"/>
              </w:rPr>
              <w:t xml:space="preserve"> Employee found another job</w:t>
            </w:r>
          </w:p>
        </w:tc>
        <w:tc>
          <w:tcPr>
            <w:tcW w:w="1276" w:type="dxa"/>
            <w:tcBorders>
              <w:top w:val="nil"/>
              <w:bottom w:val="nil"/>
            </w:tcBorders>
            <w:vAlign w:val="center"/>
          </w:tcPr>
          <w:p w14:paraId="2310952D" w14:textId="77777777" w:rsidR="00AE0D53" w:rsidRPr="00C41AB0" w:rsidRDefault="00AE0D53" w:rsidP="00C41AB0">
            <w:pPr>
              <w:tabs>
                <w:tab w:val="left" w:pos="380"/>
              </w:tabs>
              <w:ind w:left="-325" w:right="380"/>
              <w:jc w:val="right"/>
              <w:rPr>
                <w:sz w:val="20"/>
                <w:szCs w:val="20"/>
              </w:rPr>
            </w:pPr>
            <w:r w:rsidRPr="00C41AB0">
              <w:rPr>
                <w:sz w:val="20"/>
                <w:szCs w:val="20"/>
              </w:rPr>
              <w:t>23.1</w:t>
            </w:r>
          </w:p>
        </w:tc>
      </w:tr>
      <w:tr w:rsidR="00AE0D53" w:rsidRPr="00C41AB0" w14:paraId="08ED6733" w14:textId="77777777" w:rsidTr="008268A7">
        <w:trPr>
          <w:trHeight w:hRule="exact" w:val="284"/>
        </w:trPr>
        <w:tc>
          <w:tcPr>
            <w:tcW w:w="7196" w:type="dxa"/>
            <w:tcBorders>
              <w:top w:val="nil"/>
              <w:bottom w:val="nil"/>
            </w:tcBorders>
            <w:shd w:val="clear" w:color="auto" w:fill="E5E5E5" w:themeFill="background1" w:themeFillTint="33"/>
            <w:vAlign w:val="center"/>
          </w:tcPr>
          <w:p w14:paraId="455616D5" w14:textId="77777777" w:rsidR="00AE0D53" w:rsidRPr="00C41AB0" w:rsidRDefault="00AE0D53" w:rsidP="00AE0D53">
            <w:pPr>
              <w:keepNext/>
              <w:keepLines/>
              <w:rPr>
                <w:sz w:val="20"/>
                <w:szCs w:val="20"/>
              </w:rPr>
            </w:pPr>
            <w:r w:rsidRPr="00C41AB0">
              <w:rPr>
                <w:sz w:val="20"/>
                <w:szCs w:val="20"/>
              </w:rPr>
              <w:t>Better prospects elsewhere sub total</w:t>
            </w:r>
          </w:p>
        </w:tc>
        <w:tc>
          <w:tcPr>
            <w:tcW w:w="1276" w:type="dxa"/>
            <w:tcBorders>
              <w:top w:val="nil"/>
              <w:bottom w:val="nil"/>
            </w:tcBorders>
            <w:shd w:val="clear" w:color="auto" w:fill="E5E5E5" w:themeFill="background1" w:themeFillTint="33"/>
            <w:vAlign w:val="center"/>
          </w:tcPr>
          <w:p w14:paraId="12B6C698" w14:textId="77777777" w:rsidR="00AE0D53" w:rsidRPr="00C41AB0" w:rsidRDefault="00AE0D53" w:rsidP="00C41AB0">
            <w:pPr>
              <w:tabs>
                <w:tab w:val="left" w:pos="380"/>
              </w:tabs>
              <w:ind w:left="-325" w:right="380"/>
              <w:jc w:val="right"/>
              <w:rPr>
                <w:sz w:val="20"/>
                <w:szCs w:val="20"/>
              </w:rPr>
            </w:pPr>
            <w:r w:rsidRPr="00C41AB0">
              <w:rPr>
                <w:sz w:val="20"/>
                <w:szCs w:val="20"/>
              </w:rPr>
              <w:t>25.1</w:t>
            </w:r>
          </w:p>
        </w:tc>
      </w:tr>
      <w:tr w:rsidR="00AE0D53" w:rsidRPr="00C41AB0" w14:paraId="5D5B1305" w14:textId="77777777" w:rsidTr="008268A7">
        <w:trPr>
          <w:trHeight w:hRule="exact" w:val="284"/>
        </w:trPr>
        <w:tc>
          <w:tcPr>
            <w:tcW w:w="7196" w:type="dxa"/>
            <w:tcBorders>
              <w:top w:val="nil"/>
              <w:bottom w:val="nil"/>
            </w:tcBorders>
            <w:vAlign w:val="center"/>
          </w:tcPr>
          <w:p w14:paraId="169CC8ED" w14:textId="77777777" w:rsidR="00AE0D53" w:rsidRPr="00C41AB0" w:rsidRDefault="00AE0D53" w:rsidP="006510E3">
            <w:pPr>
              <w:rPr>
                <w:sz w:val="20"/>
                <w:szCs w:val="20"/>
              </w:rPr>
            </w:pPr>
            <w:r w:rsidRPr="00C41AB0">
              <w:rPr>
                <w:sz w:val="20"/>
                <w:szCs w:val="20"/>
              </w:rPr>
              <w:t>Productivity:</w:t>
            </w:r>
            <w:r w:rsidRPr="00C41AB0">
              <w:rPr>
                <w:rFonts w:ascii="Calibri" w:hAnsi="Calibri" w:cs="Calibri"/>
                <w:sz w:val="20"/>
                <w:szCs w:val="20"/>
              </w:rPr>
              <w:t xml:space="preserve"> Needed too much supervision</w:t>
            </w:r>
          </w:p>
        </w:tc>
        <w:tc>
          <w:tcPr>
            <w:tcW w:w="1276" w:type="dxa"/>
            <w:tcBorders>
              <w:top w:val="nil"/>
              <w:bottom w:val="nil"/>
            </w:tcBorders>
            <w:vAlign w:val="center"/>
          </w:tcPr>
          <w:p w14:paraId="17D4E4D2" w14:textId="77777777" w:rsidR="00AE0D53" w:rsidRPr="00C41AB0" w:rsidRDefault="00AE0D53" w:rsidP="00C41AB0">
            <w:pPr>
              <w:tabs>
                <w:tab w:val="left" w:pos="380"/>
              </w:tabs>
              <w:ind w:left="-325" w:right="380"/>
              <w:jc w:val="right"/>
              <w:rPr>
                <w:sz w:val="20"/>
                <w:szCs w:val="20"/>
              </w:rPr>
            </w:pPr>
            <w:r w:rsidRPr="00C41AB0">
              <w:rPr>
                <w:sz w:val="20"/>
                <w:szCs w:val="20"/>
              </w:rPr>
              <w:t>1.5</w:t>
            </w:r>
          </w:p>
        </w:tc>
      </w:tr>
      <w:tr w:rsidR="00AE0D53" w:rsidRPr="00C41AB0" w14:paraId="0EEDDE8B" w14:textId="77777777" w:rsidTr="008268A7">
        <w:trPr>
          <w:trHeight w:hRule="exact" w:val="284"/>
        </w:trPr>
        <w:tc>
          <w:tcPr>
            <w:tcW w:w="7196" w:type="dxa"/>
            <w:tcBorders>
              <w:top w:val="nil"/>
              <w:bottom w:val="nil"/>
            </w:tcBorders>
            <w:shd w:val="clear" w:color="auto" w:fill="E5E5E5" w:themeFill="background1" w:themeFillTint="33"/>
            <w:vAlign w:val="center"/>
          </w:tcPr>
          <w:p w14:paraId="09F592A4" w14:textId="77777777" w:rsidR="00AE0D53" w:rsidRPr="00C41AB0" w:rsidRDefault="00AE0D53" w:rsidP="006510E3">
            <w:pPr>
              <w:rPr>
                <w:sz w:val="20"/>
                <w:szCs w:val="20"/>
              </w:rPr>
            </w:pPr>
            <w:r w:rsidRPr="00C41AB0">
              <w:rPr>
                <w:sz w:val="20"/>
                <w:szCs w:val="20"/>
              </w:rPr>
              <w:t xml:space="preserve">Productivity: </w:t>
            </w:r>
            <w:r w:rsidRPr="00C41AB0">
              <w:rPr>
                <w:rFonts w:ascii="Calibri" w:hAnsi="Calibri" w:cs="Calibri"/>
                <w:sz w:val="20"/>
                <w:szCs w:val="20"/>
              </w:rPr>
              <w:t>Low productivity</w:t>
            </w:r>
          </w:p>
        </w:tc>
        <w:tc>
          <w:tcPr>
            <w:tcW w:w="1276" w:type="dxa"/>
            <w:tcBorders>
              <w:top w:val="nil"/>
              <w:bottom w:val="nil"/>
            </w:tcBorders>
            <w:shd w:val="clear" w:color="auto" w:fill="E5E5E5" w:themeFill="background1" w:themeFillTint="33"/>
            <w:vAlign w:val="center"/>
          </w:tcPr>
          <w:p w14:paraId="2D075FAB" w14:textId="77777777" w:rsidR="00AE0D53" w:rsidRPr="00C41AB0" w:rsidRDefault="00AE0D53" w:rsidP="00C41AB0">
            <w:pPr>
              <w:tabs>
                <w:tab w:val="left" w:pos="380"/>
              </w:tabs>
              <w:ind w:left="-325" w:right="380"/>
              <w:jc w:val="right"/>
              <w:rPr>
                <w:sz w:val="20"/>
                <w:szCs w:val="20"/>
              </w:rPr>
            </w:pPr>
            <w:r w:rsidRPr="00C41AB0">
              <w:rPr>
                <w:sz w:val="20"/>
                <w:szCs w:val="20"/>
              </w:rPr>
              <w:t>6.0</w:t>
            </w:r>
          </w:p>
        </w:tc>
      </w:tr>
      <w:tr w:rsidR="00AE0D53" w:rsidRPr="00C41AB0" w14:paraId="5A2E2A15" w14:textId="77777777" w:rsidTr="008268A7">
        <w:trPr>
          <w:trHeight w:hRule="exact" w:val="284"/>
        </w:trPr>
        <w:tc>
          <w:tcPr>
            <w:tcW w:w="7196" w:type="dxa"/>
            <w:tcBorders>
              <w:top w:val="nil"/>
              <w:bottom w:val="nil"/>
            </w:tcBorders>
            <w:vAlign w:val="center"/>
          </w:tcPr>
          <w:p w14:paraId="567F2F8B" w14:textId="77777777" w:rsidR="00AE0D53" w:rsidRPr="00C41AB0" w:rsidRDefault="00AE0D53" w:rsidP="006510E3">
            <w:pPr>
              <w:rPr>
                <w:sz w:val="20"/>
                <w:szCs w:val="20"/>
              </w:rPr>
            </w:pPr>
            <w:r w:rsidRPr="00C41AB0">
              <w:rPr>
                <w:sz w:val="20"/>
                <w:szCs w:val="20"/>
              </w:rPr>
              <w:t>Productivity:</w:t>
            </w:r>
            <w:r w:rsidRPr="00C41AB0">
              <w:rPr>
                <w:rFonts w:ascii="Calibri" w:hAnsi="Calibri" w:cs="Calibri"/>
                <w:sz w:val="20"/>
                <w:szCs w:val="20"/>
              </w:rPr>
              <w:t xml:space="preserve"> Consistent underperformance</w:t>
            </w:r>
          </w:p>
        </w:tc>
        <w:tc>
          <w:tcPr>
            <w:tcW w:w="1276" w:type="dxa"/>
            <w:tcBorders>
              <w:top w:val="nil"/>
              <w:bottom w:val="nil"/>
            </w:tcBorders>
            <w:vAlign w:val="center"/>
          </w:tcPr>
          <w:p w14:paraId="684FD869" w14:textId="77777777" w:rsidR="00AE0D53" w:rsidRPr="00C41AB0" w:rsidRDefault="00AE0D53" w:rsidP="00C41AB0">
            <w:pPr>
              <w:tabs>
                <w:tab w:val="left" w:pos="380"/>
              </w:tabs>
              <w:ind w:left="-325" w:right="380"/>
              <w:jc w:val="right"/>
              <w:rPr>
                <w:sz w:val="20"/>
                <w:szCs w:val="20"/>
              </w:rPr>
            </w:pPr>
            <w:r w:rsidRPr="00C41AB0">
              <w:rPr>
                <w:sz w:val="20"/>
                <w:szCs w:val="20"/>
              </w:rPr>
              <w:t>7.5</w:t>
            </w:r>
          </w:p>
        </w:tc>
      </w:tr>
      <w:tr w:rsidR="00AE0D53" w:rsidRPr="00C41AB0" w14:paraId="3F7DDD8F" w14:textId="77777777" w:rsidTr="008268A7">
        <w:trPr>
          <w:trHeight w:hRule="exact" w:val="284"/>
        </w:trPr>
        <w:tc>
          <w:tcPr>
            <w:tcW w:w="7196" w:type="dxa"/>
            <w:tcBorders>
              <w:top w:val="nil"/>
              <w:bottom w:val="nil"/>
            </w:tcBorders>
            <w:shd w:val="clear" w:color="auto" w:fill="E5E5E5" w:themeFill="background1" w:themeFillTint="33"/>
            <w:vAlign w:val="center"/>
          </w:tcPr>
          <w:p w14:paraId="38113DB9" w14:textId="77777777" w:rsidR="00AE0D53" w:rsidRPr="00C41AB0" w:rsidRDefault="00AE0D53" w:rsidP="00AE0D53">
            <w:pPr>
              <w:keepNext/>
              <w:keepLines/>
              <w:rPr>
                <w:sz w:val="20"/>
                <w:szCs w:val="20"/>
              </w:rPr>
            </w:pPr>
            <w:r w:rsidRPr="00C41AB0">
              <w:rPr>
                <w:sz w:val="20"/>
                <w:szCs w:val="20"/>
              </w:rPr>
              <w:t>Productivity sub total</w:t>
            </w:r>
          </w:p>
        </w:tc>
        <w:tc>
          <w:tcPr>
            <w:tcW w:w="1276" w:type="dxa"/>
            <w:tcBorders>
              <w:top w:val="nil"/>
              <w:bottom w:val="nil"/>
            </w:tcBorders>
            <w:shd w:val="clear" w:color="auto" w:fill="E5E5E5" w:themeFill="background1" w:themeFillTint="33"/>
            <w:vAlign w:val="center"/>
          </w:tcPr>
          <w:p w14:paraId="0879B0BC" w14:textId="77777777" w:rsidR="00AE0D53" w:rsidRPr="00C41AB0" w:rsidRDefault="00AE0D53" w:rsidP="00C41AB0">
            <w:pPr>
              <w:tabs>
                <w:tab w:val="left" w:pos="380"/>
              </w:tabs>
              <w:ind w:left="-325" w:right="380"/>
              <w:jc w:val="right"/>
              <w:rPr>
                <w:sz w:val="20"/>
                <w:szCs w:val="20"/>
              </w:rPr>
            </w:pPr>
            <w:r w:rsidRPr="00C41AB0">
              <w:rPr>
                <w:sz w:val="20"/>
                <w:szCs w:val="20"/>
              </w:rPr>
              <w:t>8.4</w:t>
            </w:r>
          </w:p>
        </w:tc>
      </w:tr>
      <w:tr w:rsidR="00AE0D53" w:rsidRPr="00C41AB0" w14:paraId="45009FC7" w14:textId="77777777" w:rsidTr="008268A7">
        <w:trPr>
          <w:trHeight w:hRule="exact" w:val="284"/>
        </w:trPr>
        <w:tc>
          <w:tcPr>
            <w:tcW w:w="7196" w:type="dxa"/>
            <w:tcBorders>
              <w:top w:val="nil"/>
              <w:bottom w:val="nil"/>
            </w:tcBorders>
            <w:vAlign w:val="center"/>
          </w:tcPr>
          <w:p w14:paraId="5AA998CE" w14:textId="77777777" w:rsidR="00AE0D53" w:rsidRPr="00C41AB0" w:rsidRDefault="00AE0D53" w:rsidP="006510E3">
            <w:pPr>
              <w:rPr>
                <w:sz w:val="20"/>
                <w:szCs w:val="20"/>
              </w:rPr>
            </w:pPr>
            <w:r w:rsidRPr="00C41AB0">
              <w:rPr>
                <w:sz w:val="20"/>
                <w:szCs w:val="20"/>
              </w:rPr>
              <w:t xml:space="preserve">Skills or experience deficit: </w:t>
            </w:r>
            <w:r w:rsidRPr="00C41AB0">
              <w:rPr>
                <w:rFonts w:ascii="Calibri" w:hAnsi="Calibri" w:cs="Calibri"/>
                <w:sz w:val="20"/>
                <w:szCs w:val="20"/>
              </w:rPr>
              <w:t>Language difficulties</w:t>
            </w:r>
          </w:p>
        </w:tc>
        <w:tc>
          <w:tcPr>
            <w:tcW w:w="1276" w:type="dxa"/>
            <w:tcBorders>
              <w:top w:val="nil"/>
              <w:bottom w:val="nil"/>
            </w:tcBorders>
            <w:vAlign w:val="center"/>
          </w:tcPr>
          <w:p w14:paraId="3757F938" w14:textId="77777777" w:rsidR="00AE0D53" w:rsidRPr="00C41AB0" w:rsidRDefault="00AE0D53" w:rsidP="00C41AB0">
            <w:pPr>
              <w:tabs>
                <w:tab w:val="left" w:pos="380"/>
              </w:tabs>
              <w:ind w:left="-325" w:right="380"/>
              <w:jc w:val="right"/>
              <w:rPr>
                <w:sz w:val="20"/>
                <w:szCs w:val="20"/>
              </w:rPr>
            </w:pPr>
            <w:r w:rsidRPr="00C41AB0">
              <w:rPr>
                <w:sz w:val="20"/>
                <w:szCs w:val="20"/>
              </w:rPr>
              <w:t>0.4</w:t>
            </w:r>
          </w:p>
        </w:tc>
      </w:tr>
      <w:tr w:rsidR="00AE0D53" w:rsidRPr="00C41AB0" w14:paraId="48B54F00" w14:textId="77777777" w:rsidTr="008268A7">
        <w:trPr>
          <w:trHeight w:hRule="exact" w:val="284"/>
        </w:trPr>
        <w:tc>
          <w:tcPr>
            <w:tcW w:w="7196" w:type="dxa"/>
            <w:tcBorders>
              <w:top w:val="nil"/>
              <w:bottom w:val="nil"/>
            </w:tcBorders>
            <w:shd w:val="clear" w:color="auto" w:fill="E5E5E5" w:themeFill="background1" w:themeFillTint="33"/>
            <w:vAlign w:val="center"/>
          </w:tcPr>
          <w:p w14:paraId="43FE653E" w14:textId="77777777" w:rsidR="00AE0D53" w:rsidRPr="00C41AB0" w:rsidRDefault="00AE0D53" w:rsidP="006510E3">
            <w:pPr>
              <w:rPr>
                <w:sz w:val="20"/>
                <w:szCs w:val="20"/>
              </w:rPr>
            </w:pPr>
            <w:r w:rsidRPr="00C41AB0">
              <w:rPr>
                <w:sz w:val="20"/>
                <w:szCs w:val="20"/>
              </w:rPr>
              <w:t xml:space="preserve">Skills or experience deficit: </w:t>
            </w:r>
            <w:r w:rsidRPr="00C41AB0">
              <w:rPr>
                <w:rFonts w:ascii="Calibri" w:hAnsi="Calibri" w:cs="Calibri"/>
                <w:sz w:val="20"/>
                <w:szCs w:val="20"/>
              </w:rPr>
              <w:t>Insufficient work experience</w:t>
            </w:r>
          </w:p>
        </w:tc>
        <w:tc>
          <w:tcPr>
            <w:tcW w:w="1276" w:type="dxa"/>
            <w:tcBorders>
              <w:top w:val="nil"/>
              <w:bottom w:val="nil"/>
            </w:tcBorders>
            <w:shd w:val="clear" w:color="auto" w:fill="E5E5E5" w:themeFill="background1" w:themeFillTint="33"/>
            <w:vAlign w:val="center"/>
          </w:tcPr>
          <w:p w14:paraId="117ECE19" w14:textId="77777777" w:rsidR="00AE0D53" w:rsidRPr="00C41AB0" w:rsidRDefault="00AE0D53" w:rsidP="00C41AB0">
            <w:pPr>
              <w:tabs>
                <w:tab w:val="left" w:pos="380"/>
              </w:tabs>
              <w:ind w:left="-325" w:right="380"/>
              <w:jc w:val="right"/>
              <w:rPr>
                <w:sz w:val="20"/>
                <w:szCs w:val="20"/>
              </w:rPr>
            </w:pPr>
            <w:r w:rsidRPr="00C41AB0">
              <w:rPr>
                <w:sz w:val="20"/>
                <w:szCs w:val="20"/>
              </w:rPr>
              <w:t>1.9</w:t>
            </w:r>
          </w:p>
        </w:tc>
      </w:tr>
      <w:tr w:rsidR="00AE0D53" w:rsidRPr="00C41AB0" w14:paraId="7FE74FE7" w14:textId="77777777" w:rsidTr="008268A7">
        <w:trPr>
          <w:trHeight w:hRule="exact" w:val="284"/>
        </w:trPr>
        <w:tc>
          <w:tcPr>
            <w:tcW w:w="7196" w:type="dxa"/>
            <w:tcBorders>
              <w:top w:val="nil"/>
              <w:bottom w:val="nil"/>
            </w:tcBorders>
            <w:vAlign w:val="center"/>
          </w:tcPr>
          <w:p w14:paraId="6EA49C7F" w14:textId="77777777" w:rsidR="00AE0D53" w:rsidRPr="00C41AB0" w:rsidRDefault="00AE0D53" w:rsidP="006510E3">
            <w:pPr>
              <w:rPr>
                <w:sz w:val="20"/>
                <w:szCs w:val="20"/>
              </w:rPr>
            </w:pPr>
            <w:r w:rsidRPr="00C41AB0">
              <w:rPr>
                <w:sz w:val="20"/>
                <w:szCs w:val="20"/>
              </w:rPr>
              <w:t xml:space="preserve">Skills or experience deficit: </w:t>
            </w:r>
            <w:r w:rsidRPr="00C41AB0">
              <w:rPr>
                <w:rFonts w:ascii="Calibri" w:hAnsi="Calibri" w:cs="Calibri"/>
                <w:sz w:val="20"/>
                <w:szCs w:val="20"/>
              </w:rPr>
              <w:t>Lacked required education or training</w:t>
            </w:r>
          </w:p>
        </w:tc>
        <w:tc>
          <w:tcPr>
            <w:tcW w:w="1276" w:type="dxa"/>
            <w:tcBorders>
              <w:top w:val="nil"/>
              <w:bottom w:val="nil"/>
            </w:tcBorders>
            <w:vAlign w:val="center"/>
          </w:tcPr>
          <w:p w14:paraId="3C14AAC0" w14:textId="77777777" w:rsidR="00AE0D53" w:rsidRPr="00C41AB0" w:rsidRDefault="00AE0D53" w:rsidP="00C41AB0">
            <w:pPr>
              <w:tabs>
                <w:tab w:val="left" w:pos="380"/>
              </w:tabs>
              <w:ind w:left="-325" w:right="380"/>
              <w:jc w:val="right"/>
              <w:rPr>
                <w:sz w:val="20"/>
                <w:szCs w:val="20"/>
              </w:rPr>
            </w:pPr>
            <w:r w:rsidRPr="00C41AB0">
              <w:rPr>
                <w:sz w:val="20"/>
                <w:szCs w:val="20"/>
              </w:rPr>
              <w:t>1.9</w:t>
            </w:r>
          </w:p>
        </w:tc>
      </w:tr>
      <w:tr w:rsidR="00AE0D53" w:rsidRPr="00C41AB0" w14:paraId="1310EB71" w14:textId="77777777" w:rsidTr="008268A7">
        <w:trPr>
          <w:trHeight w:hRule="exact" w:val="284"/>
        </w:trPr>
        <w:tc>
          <w:tcPr>
            <w:tcW w:w="7196" w:type="dxa"/>
            <w:tcBorders>
              <w:top w:val="nil"/>
              <w:bottom w:val="nil"/>
            </w:tcBorders>
            <w:shd w:val="clear" w:color="auto" w:fill="E5E5E5" w:themeFill="background1" w:themeFillTint="33"/>
            <w:vAlign w:val="center"/>
          </w:tcPr>
          <w:p w14:paraId="67F14E0C" w14:textId="77777777" w:rsidR="00AE0D53" w:rsidRPr="00C41AB0" w:rsidRDefault="00AE0D53" w:rsidP="00AE0D53">
            <w:pPr>
              <w:keepNext/>
              <w:keepLines/>
              <w:rPr>
                <w:sz w:val="20"/>
                <w:szCs w:val="20"/>
              </w:rPr>
            </w:pPr>
            <w:r w:rsidRPr="00C41AB0">
              <w:rPr>
                <w:sz w:val="20"/>
                <w:szCs w:val="20"/>
              </w:rPr>
              <w:t>Skills or experience deficit sub total</w:t>
            </w:r>
          </w:p>
        </w:tc>
        <w:tc>
          <w:tcPr>
            <w:tcW w:w="1276" w:type="dxa"/>
            <w:tcBorders>
              <w:top w:val="nil"/>
              <w:bottom w:val="nil"/>
            </w:tcBorders>
            <w:shd w:val="clear" w:color="auto" w:fill="E5E5E5" w:themeFill="background1" w:themeFillTint="33"/>
            <w:vAlign w:val="center"/>
          </w:tcPr>
          <w:p w14:paraId="2F4C0963" w14:textId="77777777" w:rsidR="00AE0D53" w:rsidRPr="00C41AB0" w:rsidRDefault="00AE0D53" w:rsidP="00C41AB0">
            <w:pPr>
              <w:tabs>
                <w:tab w:val="left" w:pos="380"/>
              </w:tabs>
              <w:ind w:left="-325" w:right="380"/>
              <w:jc w:val="right"/>
              <w:rPr>
                <w:sz w:val="20"/>
                <w:szCs w:val="20"/>
              </w:rPr>
            </w:pPr>
            <w:r w:rsidRPr="00C41AB0">
              <w:rPr>
                <w:sz w:val="20"/>
                <w:szCs w:val="20"/>
              </w:rPr>
              <w:t>1.6</w:t>
            </w:r>
          </w:p>
        </w:tc>
      </w:tr>
      <w:tr w:rsidR="00AE0D53" w:rsidRPr="00C41AB0" w14:paraId="4649CA47" w14:textId="77777777" w:rsidTr="008268A7">
        <w:trPr>
          <w:trHeight w:hRule="exact" w:val="284"/>
        </w:trPr>
        <w:tc>
          <w:tcPr>
            <w:tcW w:w="7196" w:type="dxa"/>
            <w:tcBorders>
              <w:top w:val="nil"/>
              <w:bottom w:val="nil"/>
            </w:tcBorders>
            <w:vAlign w:val="center"/>
          </w:tcPr>
          <w:p w14:paraId="0B2504AD" w14:textId="77777777" w:rsidR="00AE0D53" w:rsidRPr="00C41AB0" w:rsidRDefault="00AE0D53" w:rsidP="006510E3">
            <w:pPr>
              <w:rPr>
                <w:sz w:val="20"/>
                <w:szCs w:val="20"/>
              </w:rPr>
            </w:pPr>
            <w:r w:rsidRPr="00C41AB0">
              <w:rPr>
                <w:sz w:val="20"/>
                <w:szCs w:val="20"/>
              </w:rPr>
              <w:t>‘Soft skills’ deficit:</w:t>
            </w:r>
            <w:r w:rsidRPr="00C41AB0">
              <w:rPr>
                <w:sz w:val="20"/>
                <w:szCs w:val="20"/>
                <w:lang w:eastAsia="en-AU"/>
              </w:rPr>
              <w:t xml:space="preserve"> Personality conflict, didn't get on with others</w:t>
            </w:r>
          </w:p>
        </w:tc>
        <w:tc>
          <w:tcPr>
            <w:tcW w:w="1276" w:type="dxa"/>
            <w:tcBorders>
              <w:top w:val="nil"/>
              <w:bottom w:val="nil"/>
            </w:tcBorders>
            <w:vAlign w:val="center"/>
          </w:tcPr>
          <w:p w14:paraId="26312449" w14:textId="77777777" w:rsidR="00AE0D53" w:rsidRPr="00C41AB0" w:rsidRDefault="00AE0D53" w:rsidP="00C41AB0">
            <w:pPr>
              <w:tabs>
                <w:tab w:val="left" w:pos="380"/>
              </w:tabs>
              <w:ind w:left="-325" w:right="380"/>
              <w:jc w:val="right"/>
              <w:rPr>
                <w:sz w:val="20"/>
                <w:szCs w:val="20"/>
              </w:rPr>
            </w:pPr>
            <w:r w:rsidRPr="00C41AB0">
              <w:rPr>
                <w:sz w:val="20"/>
                <w:szCs w:val="20"/>
              </w:rPr>
              <w:t>4.5</w:t>
            </w:r>
          </w:p>
        </w:tc>
      </w:tr>
      <w:tr w:rsidR="00AE0D53" w:rsidRPr="00C41AB0" w14:paraId="0D467D0F" w14:textId="77777777" w:rsidTr="008268A7">
        <w:trPr>
          <w:trHeight w:hRule="exact" w:val="284"/>
        </w:trPr>
        <w:tc>
          <w:tcPr>
            <w:tcW w:w="7196" w:type="dxa"/>
            <w:tcBorders>
              <w:top w:val="nil"/>
              <w:bottom w:val="nil"/>
            </w:tcBorders>
            <w:shd w:val="clear" w:color="auto" w:fill="E5E5E5" w:themeFill="background1" w:themeFillTint="33"/>
            <w:vAlign w:val="center"/>
          </w:tcPr>
          <w:p w14:paraId="17E1E3C1" w14:textId="77777777" w:rsidR="00AE0D53" w:rsidRPr="00C41AB0" w:rsidRDefault="00AE0D53" w:rsidP="006510E3">
            <w:pPr>
              <w:rPr>
                <w:sz w:val="20"/>
                <w:szCs w:val="20"/>
              </w:rPr>
            </w:pPr>
            <w:r w:rsidRPr="00C41AB0">
              <w:rPr>
                <w:sz w:val="20"/>
                <w:szCs w:val="20"/>
              </w:rPr>
              <w:t>‘Soft skills’ deficit:</w:t>
            </w:r>
            <w:r w:rsidRPr="00C41AB0">
              <w:rPr>
                <w:sz w:val="20"/>
                <w:szCs w:val="20"/>
                <w:lang w:eastAsia="en-AU"/>
              </w:rPr>
              <w:t xml:space="preserve"> Poor attitude</w:t>
            </w:r>
          </w:p>
        </w:tc>
        <w:tc>
          <w:tcPr>
            <w:tcW w:w="1276" w:type="dxa"/>
            <w:tcBorders>
              <w:top w:val="nil"/>
              <w:bottom w:val="nil"/>
            </w:tcBorders>
            <w:shd w:val="clear" w:color="auto" w:fill="E5E5E5" w:themeFill="background1" w:themeFillTint="33"/>
            <w:vAlign w:val="center"/>
          </w:tcPr>
          <w:p w14:paraId="4FEB3469" w14:textId="77777777" w:rsidR="00AE0D53" w:rsidRPr="00C41AB0" w:rsidRDefault="00AE0D53" w:rsidP="00C41AB0">
            <w:pPr>
              <w:tabs>
                <w:tab w:val="left" w:pos="380"/>
              </w:tabs>
              <w:ind w:left="-325" w:right="380"/>
              <w:jc w:val="right"/>
              <w:rPr>
                <w:sz w:val="20"/>
                <w:szCs w:val="20"/>
              </w:rPr>
            </w:pPr>
            <w:r w:rsidRPr="00C41AB0">
              <w:rPr>
                <w:sz w:val="20"/>
                <w:szCs w:val="20"/>
              </w:rPr>
              <w:t>9.0</w:t>
            </w:r>
          </w:p>
        </w:tc>
      </w:tr>
      <w:tr w:rsidR="00AE0D53" w:rsidRPr="00C41AB0" w14:paraId="09C755D7" w14:textId="77777777" w:rsidTr="008268A7">
        <w:trPr>
          <w:trHeight w:hRule="exact" w:val="284"/>
        </w:trPr>
        <w:tc>
          <w:tcPr>
            <w:tcW w:w="7196" w:type="dxa"/>
            <w:tcBorders>
              <w:top w:val="nil"/>
              <w:bottom w:val="nil"/>
            </w:tcBorders>
            <w:vAlign w:val="center"/>
          </w:tcPr>
          <w:p w14:paraId="643864EA" w14:textId="77777777" w:rsidR="00AE0D53" w:rsidRPr="00C41AB0" w:rsidRDefault="00AE0D53" w:rsidP="006510E3">
            <w:pPr>
              <w:rPr>
                <w:sz w:val="20"/>
                <w:szCs w:val="20"/>
              </w:rPr>
            </w:pPr>
            <w:r w:rsidRPr="00C41AB0">
              <w:rPr>
                <w:sz w:val="20"/>
                <w:szCs w:val="20"/>
              </w:rPr>
              <w:t>‘Soft skills’ deficit:</w:t>
            </w:r>
            <w:r w:rsidRPr="00C41AB0">
              <w:rPr>
                <w:sz w:val="20"/>
                <w:szCs w:val="20"/>
                <w:lang w:eastAsia="en-AU"/>
              </w:rPr>
              <w:t xml:space="preserve"> Attendance problems</w:t>
            </w:r>
          </w:p>
        </w:tc>
        <w:tc>
          <w:tcPr>
            <w:tcW w:w="1276" w:type="dxa"/>
            <w:tcBorders>
              <w:top w:val="nil"/>
              <w:bottom w:val="nil"/>
            </w:tcBorders>
            <w:vAlign w:val="center"/>
          </w:tcPr>
          <w:p w14:paraId="62845540" w14:textId="77777777" w:rsidR="00AE0D53" w:rsidRPr="00C41AB0" w:rsidRDefault="00AE0D53" w:rsidP="00C41AB0">
            <w:pPr>
              <w:tabs>
                <w:tab w:val="left" w:pos="380"/>
              </w:tabs>
              <w:ind w:left="-325" w:right="380"/>
              <w:jc w:val="right"/>
              <w:rPr>
                <w:sz w:val="20"/>
                <w:szCs w:val="20"/>
              </w:rPr>
            </w:pPr>
            <w:r w:rsidRPr="00C41AB0">
              <w:rPr>
                <w:sz w:val="20"/>
                <w:szCs w:val="20"/>
              </w:rPr>
              <w:t>11.6</w:t>
            </w:r>
          </w:p>
        </w:tc>
      </w:tr>
      <w:tr w:rsidR="00AE0D53" w:rsidRPr="00C41AB0" w14:paraId="21107831" w14:textId="77777777" w:rsidTr="008268A7">
        <w:trPr>
          <w:trHeight w:hRule="exact" w:val="284"/>
        </w:trPr>
        <w:tc>
          <w:tcPr>
            <w:tcW w:w="7196" w:type="dxa"/>
            <w:tcBorders>
              <w:top w:val="nil"/>
              <w:bottom w:val="nil"/>
            </w:tcBorders>
            <w:shd w:val="clear" w:color="auto" w:fill="E5E5E5" w:themeFill="background1" w:themeFillTint="33"/>
            <w:vAlign w:val="center"/>
          </w:tcPr>
          <w:p w14:paraId="3F34C790" w14:textId="77777777" w:rsidR="00AE0D53" w:rsidRPr="00C41AB0" w:rsidRDefault="00AE0D53" w:rsidP="006510E3">
            <w:pPr>
              <w:rPr>
                <w:sz w:val="20"/>
                <w:szCs w:val="20"/>
              </w:rPr>
            </w:pPr>
            <w:r w:rsidRPr="00C41AB0">
              <w:rPr>
                <w:sz w:val="20"/>
                <w:szCs w:val="20"/>
              </w:rPr>
              <w:t>‘Soft skills’ deficit:</w:t>
            </w:r>
            <w:r w:rsidRPr="00C41AB0">
              <w:rPr>
                <w:sz w:val="20"/>
                <w:szCs w:val="20"/>
                <w:lang w:eastAsia="en-AU"/>
              </w:rPr>
              <w:t xml:space="preserve"> Decided to leave/didn't like it</w:t>
            </w:r>
          </w:p>
        </w:tc>
        <w:tc>
          <w:tcPr>
            <w:tcW w:w="1276" w:type="dxa"/>
            <w:tcBorders>
              <w:top w:val="nil"/>
              <w:bottom w:val="nil"/>
            </w:tcBorders>
            <w:shd w:val="clear" w:color="auto" w:fill="E5E5E5" w:themeFill="background1" w:themeFillTint="33"/>
            <w:vAlign w:val="center"/>
          </w:tcPr>
          <w:p w14:paraId="66D8AA77" w14:textId="77777777" w:rsidR="00AE0D53" w:rsidRPr="00C41AB0" w:rsidRDefault="00AE0D53" w:rsidP="00C41AB0">
            <w:pPr>
              <w:tabs>
                <w:tab w:val="left" w:pos="380"/>
              </w:tabs>
              <w:ind w:left="-325" w:right="380"/>
              <w:jc w:val="right"/>
              <w:rPr>
                <w:sz w:val="20"/>
                <w:szCs w:val="20"/>
              </w:rPr>
            </w:pPr>
            <w:r w:rsidRPr="00C41AB0">
              <w:rPr>
                <w:sz w:val="20"/>
                <w:szCs w:val="20"/>
              </w:rPr>
              <w:t>18.4</w:t>
            </w:r>
          </w:p>
        </w:tc>
      </w:tr>
      <w:tr w:rsidR="00AE0D53" w:rsidRPr="00C41AB0" w14:paraId="16FD4438" w14:textId="77777777" w:rsidTr="008268A7">
        <w:trPr>
          <w:trHeight w:hRule="exact" w:val="284"/>
        </w:trPr>
        <w:tc>
          <w:tcPr>
            <w:tcW w:w="7196" w:type="dxa"/>
            <w:tcBorders>
              <w:top w:val="nil"/>
              <w:bottom w:val="nil"/>
            </w:tcBorders>
            <w:vAlign w:val="center"/>
          </w:tcPr>
          <w:p w14:paraId="0FDFA4EE" w14:textId="77777777" w:rsidR="00AE0D53" w:rsidRPr="00C41AB0" w:rsidRDefault="00AE0D53" w:rsidP="00AE0D53">
            <w:pPr>
              <w:keepNext/>
              <w:keepLines/>
              <w:rPr>
                <w:sz w:val="20"/>
                <w:szCs w:val="20"/>
              </w:rPr>
            </w:pPr>
            <w:r w:rsidRPr="00C41AB0">
              <w:rPr>
                <w:rFonts w:ascii="Calibri" w:hAnsi="Calibri" w:cs="Calibri"/>
                <w:sz w:val="20"/>
                <w:szCs w:val="20"/>
              </w:rPr>
              <w:t xml:space="preserve"> </w:t>
            </w:r>
            <w:r w:rsidRPr="00C41AB0">
              <w:rPr>
                <w:sz w:val="20"/>
                <w:szCs w:val="20"/>
              </w:rPr>
              <w:t>‘Soft skills’ deficit sub total</w:t>
            </w:r>
          </w:p>
        </w:tc>
        <w:tc>
          <w:tcPr>
            <w:tcW w:w="1276" w:type="dxa"/>
            <w:tcBorders>
              <w:top w:val="nil"/>
              <w:bottom w:val="nil"/>
            </w:tcBorders>
            <w:vAlign w:val="center"/>
          </w:tcPr>
          <w:p w14:paraId="11C6E99F" w14:textId="77777777" w:rsidR="00AE0D53" w:rsidRPr="00C41AB0" w:rsidRDefault="00AE0D53" w:rsidP="00C41AB0">
            <w:pPr>
              <w:tabs>
                <w:tab w:val="left" w:pos="380"/>
              </w:tabs>
              <w:ind w:left="-325" w:right="380"/>
              <w:jc w:val="right"/>
              <w:rPr>
                <w:sz w:val="20"/>
                <w:szCs w:val="20"/>
              </w:rPr>
            </w:pPr>
            <w:r w:rsidRPr="00C41AB0">
              <w:rPr>
                <w:sz w:val="20"/>
                <w:szCs w:val="20"/>
              </w:rPr>
              <w:t>38.3</w:t>
            </w:r>
          </w:p>
        </w:tc>
      </w:tr>
      <w:tr w:rsidR="00AE0D53" w:rsidRPr="00C41AB0" w14:paraId="055A01AE" w14:textId="77777777" w:rsidTr="008268A7">
        <w:trPr>
          <w:trHeight w:hRule="exact" w:val="284"/>
        </w:trPr>
        <w:tc>
          <w:tcPr>
            <w:tcW w:w="7196" w:type="dxa"/>
            <w:tcBorders>
              <w:top w:val="nil"/>
              <w:bottom w:val="nil"/>
            </w:tcBorders>
            <w:shd w:val="clear" w:color="auto" w:fill="8EAEDE"/>
            <w:vAlign w:val="center"/>
          </w:tcPr>
          <w:p w14:paraId="0D2EC873" w14:textId="77777777" w:rsidR="00AE0D53" w:rsidRPr="00C41AB0" w:rsidRDefault="00AE0D53" w:rsidP="006510E3">
            <w:pPr>
              <w:rPr>
                <w:sz w:val="20"/>
                <w:szCs w:val="20"/>
              </w:rPr>
            </w:pPr>
            <w:r w:rsidRPr="00C41AB0">
              <w:rPr>
                <w:sz w:val="20"/>
                <w:szCs w:val="20"/>
              </w:rPr>
              <w:t>Total</w:t>
            </w:r>
          </w:p>
        </w:tc>
        <w:tc>
          <w:tcPr>
            <w:tcW w:w="1276" w:type="dxa"/>
            <w:tcBorders>
              <w:top w:val="nil"/>
              <w:bottom w:val="nil"/>
            </w:tcBorders>
            <w:shd w:val="clear" w:color="auto" w:fill="8EAEDE"/>
            <w:vAlign w:val="center"/>
          </w:tcPr>
          <w:p w14:paraId="56CCAEC8" w14:textId="77777777" w:rsidR="00AE0D53" w:rsidRPr="00C41AB0" w:rsidRDefault="00AE0D53" w:rsidP="00C41AB0">
            <w:pPr>
              <w:tabs>
                <w:tab w:val="left" w:pos="380"/>
              </w:tabs>
              <w:ind w:left="-325" w:right="380"/>
              <w:jc w:val="right"/>
              <w:rPr>
                <w:sz w:val="20"/>
                <w:szCs w:val="20"/>
              </w:rPr>
            </w:pPr>
            <w:r w:rsidRPr="00C41AB0">
              <w:rPr>
                <w:sz w:val="20"/>
                <w:szCs w:val="20"/>
              </w:rPr>
              <w:t>100.0</w:t>
            </w:r>
          </w:p>
        </w:tc>
      </w:tr>
    </w:tbl>
    <w:p w14:paraId="68FF2D93" w14:textId="77777777" w:rsidR="006510E3" w:rsidRPr="008F1B8A" w:rsidRDefault="006510E3" w:rsidP="0019430D">
      <w:pPr>
        <w:pStyle w:val="Notes"/>
        <w:rPr>
          <w:noProof/>
        </w:rPr>
      </w:pPr>
      <w:r w:rsidRPr="0019430D">
        <w:rPr>
          <w:b/>
          <w:noProof/>
        </w:rPr>
        <w:t>Notes</w:t>
      </w:r>
      <w:r w:rsidRPr="008F1B8A">
        <w:rPr>
          <w:noProof/>
        </w:rPr>
        <w:t>:</w:t>
      </w:r>
    </w:p>
    <w:p w14:paraId="2084578A" w14:textId="5576167E" w:rsidR="008F1B8A" w:rsidRPr="001770E5" w:rsidRDefault="006510E3" w:rsidP="00AE4704">
      <w:pPr>
        <w:pStyle w:val="Notesnumbered"/>
        <w:numPr>
          <w:ilvl w:val="0"/>
          <w:numId w:val="243"/>
        </w:numPr>
        <w:ind w:left="709" w:hanging="567"/>
      </w:pPr>
      <w:r w:rsidRPr="001770E5">
        <w:t>Two in three employers surveyed were still employing the person recruited with an EPF wage subsidy, when surveyed in 2011. One in three said the person was no longer employed. Table shows data for question “Earlier you said that &lt;NAME&gt; is no longer working for you. Why is that?” (</w:t>
      </w:r>
      <w:r w:rsidR="006669CD" w:rsidRPr="001770E5">
        <w:t>Separated</w:t>
      </w:r>
      <w:r w:rsidRPr="001770E5">
        <w:t xml:space="preserve"> employees).</w:t>
      </w:r>
    </w:p>
    <w:p w14:paraId="101F1BA2" w14:textId="77777777" w:rsidR="008F1B8A" w:rsidRPr="001770E5" w:rsidRDefault="006510E3" w:rsidP="0022164A">
      <w:pPr>
        <w:pStyle w:val="Notesnumbered"/>
        <w:numPr>
          <w:ilvl w:val="0"/>
          <w:numId w:val="243"/>
        </w:numPr>
        <w:ind w:left="851"/>
      </w:pPr>
      <w:r w:rsidRPr="001770E5">
        <w:t>Results exclude answers of “Illness—unable to continue”, “Don’t’ know”, “Other”</w:t>
      </w:r>
      <w:r w:rsidR="008F1B8A" w:rsidRPr="001770E5">
        <w:t>, and refusal to answer.</w:t>
      </w:r>
    </w:p>
    <w:p w14:paraId="1473C8CE" w14:textId="77777777" w:rsidR="008F1B8A" w:rsidRPr="001770E5" w:rsidRDefault="006510E3" w:rsidP="00AE4704">
      <w:pPr>
        <w:pStyle w:val="Notesnumbered"/>
        <w:numPr>
          <w:ilvl w:val="0"/>
          <w:numId w:val="243"/>
        </w:numPr>
        <w:ind w:left="709" w:hanging="578"/>
      </w:pPr>
      <w:r w:rsidRPr="001770E5">
        <w:t>Rows can sum to more than subtotal because multiple responses were possible. For example, if an employer said that a person consistently underperformed and needed too much supervision then they are counted in both rows but only once in the ‘Productivity’ sub</w:t>
      </w:r>
      <w:r w:rsidR="0019430D" w:rsidRPr="001770E5">
        <w:t>-</w:t>
      </w:r>
      <w:r w:rsidRPr="001770E5">
        <w:t>total.</w:t>
      </w:r>
    </w:p>
    <w:p w14:paraId="38EB4E18" w14:textId="791BDAAC" w:rsidR="006510E3" w:rsidRPr="001770E5" w:rsidRDefault="006510E3" w:rsidP="00AE4704">
      <w:pPr>
        <w:pStyle w:val="Notesnumbered"/>
        <w:numPr>
          <w:ilvl w:val="0"/>
          <w:numId w:val="243"/>
        </w:numPr>
        <w:ind w:left="709" w:hanging="578"/>
      </w:pPr>
      <w:r w:rsidRPr="001770E5">
        <w:t>Where an employer listed several categories, they are counted only once</w:t>
      </w:r>
      <w:r w:rsidR="001770E5">
        <w:t xml:space="preserve"> in </w:t>
      </w:r>
      <w:r w:rsidRPr="001770E5">
        <w:t xml:space="preserve">order of categories (i.e. business related factors first, followed by better prospects elsewhere, </w:t>
      </w:r>
      <w:r w:rsidR="006669CD" w:rsidRPr="001770E5">
        <w:t>etc.</w:t>
      </w:r>
      <w:r w:rsidRPr="001770E5">
        <w:t>).</w:t>
      </w:r>
    </w:p>
    <w:p w14:paraId="361FBE98" w14:textId="71DB535E" w:rsidR="00370213" w:rsidRPr="00C60BD7" w:rsidRDefault="00370213" w:rsidP="00FD5414">
      <w:pPr>
        <w:pStyle w:val="Source"/>
      </w:pPr>
      <w:r w:rsidRPr="0030062B">
        <w:rPr>
          <w:b/>
        </w:rPr>
        <w:t>Source:</w:t>
      </w:r>
      <w:r>
        <w:tab/>
      </w:r>
      <w:r w:rsidRPr="001F180A">
        <w:t xml:space="preserve">Department of Employment, 2016. </w:t>
      </w:r>
      <w:r w:rsidRPr="00063D8A">
        <w:t xml:space="preserve">The Effectiveness of Wage Subsidies in </w:t>
      </w:r>
      <w:r>
        <w:t xml:space="preserve">Australian Government Services, </w:t>
      </w:r>
      <w:r w:rsidRPr="00581520">
        <w:t>Canberra</w:t>
      </w:r>
      <w:r w:rsidRPr="00C60BD7">
        <w:t>.</w:t>
      </w:r>
    </w:p>
    <w:p w14:paraId="7ADF98D1" w14:textId="77777777" w:rsidR="006510E3" w:rsidRDefault="006510E3" w:rsidP="006510E3">
      <w:pPr>
        <w:rPr>
          <w:rFonts w:ascii="Calibri" w:hAnsi="Calibri" w:cs="Calibri"/>
        </w:rPr>
      </w:pPr>
      <w:r w:rsidRPr="005927F3">
        <w:rPr>
          <w:rFonts w:ascii="Calibri" w:hAnsi="Calibri" w:cs="Calibri"/>
        </w:rPr>
        <w:t>Providers noted that administrative requirements can reduce the attractiveness of wage subsidies, as expressed in concerns of some employers about paperwork a</w:t>
      </w:r>
      <w:r>
        <w:rPr>
          <w:rFonts w:ascii="Calibri" w:hAnsi="Calibri" w:cs="Calibri"/>
        </w:rPr>
        <w:t>nd waiting periods for payment.</w:t>
      </w:r>
    </w:p>
    <w:p w14:paraId="6EF694B1" w14:textId="77777777" w:rsidR="006510E3" w:rsidRDefault="006510E3" w:rsidP="0019430D">
      <w:pPr>
        <w:keepNext/>
        <w:rPr>
          <w:rFonts w:ascii="Calibri" w:hAnsi="Calibri" w:cs="Calibri"/>
        </w:rPr>
      </w:pPr>
      <w:r w:rsidRPr="005927F3">
        <w:rPr>
          <w:rFonts w:ascii="Calibri" w:hAnsi="Calibri" w:cs="Calibri"/>
        </w:rPr>
        <w:t>Among employers who had used EPF subsidies</w:t>
      </w:r>
      <w:r>
        <w:rPr>
          <w:rFonts w:ascii="Calibri" w:hAnsi="Calibri" w:cs="Calibri"/>
        </w:rPr>
        <w:t xml:space="preserve"> (Table </w:t>
      </w:r>
      <w:r w:rsidR="00ED2A92">
        <w:rPr>
          <w:rFonts w:ascii="Calibri" w:hAnsi="Calibri" w:cs="Calibri"/>
        </w:rPr>
        <w:t>8.4</w:t>
      </w:r>
      <w:r>
        <w:rPr>
          <w:rFonts w:ascii="Calibri" w:hAnsi="Calibri" w:cs="Calibri"/>
        </w:rPr>
        <w:t>):</w:t>
      </w:r>
    </w:p>
    <w:p w14:paraId="04B3336E" w14:textId="305EC9E7" w:rsidR="006510E3" w:rsidRPr="007B55E7" w:rsidRDefault="005B435A" w:rsidP="00FD5414">
      <w:pPr>
        <w:pStyle w:val="ListParagraph"/>
      </w:pPr>
      <w:r>
        <w:t>more than half</w:t>
      </w:r>
      <w:r w:rsidRPr="001C4A86">
        <w:t xml:space="preserve"> </w:t>
      </w:r>
      <w:r w:rsidR="006510E3" w:rsidRPr="001C4A86">
        <w:t>(63 per cent) received payment at 13</w:t>
      </w:r>
      <w:r w:rsidR="005B7636">
        <w:t>-</w:t>
      </w:r>
      <w:r w:rsidR="006510E3" w:rsidRPr="001C4A86">
        <w:t xml:space="preserve"> and 26</w:t>
      </w:r>
      <w:r w:rsidR="005B7636">
        <w:t>-</w:t>
      </w:r>
      <w:r w:rsidR="006510E3" w:rsidRPr="001C4A86">
        <w:t xml:space="preserve">weeks, despite it being </w:t>
      </w:r>
      <w:r w:rsidR="006510E3">
        <w:t xml:space="preserve">among </w:t>
      </w:r>
      <w:r w:rsidR="006510E3" w:rsidRPr="007B55E7">
        <w:t xml:space="preserve">the least preferred payment schedules, presumably because it </w:t>
      </w:r>
      <w:r w:rsidR="002F3405" w:rsidRPr="007B55E7">
        <w:t xml:space="preserve">lacked </w:t>
      </w:r>
      <w:r w:rsidR="006510E3" w:rsidRPr="007B55E7">
        <w:t>an upfront element. The timing of subsidy payments to coincide with 13</w:t>
      </w:r>
      <w:r w:rsidR="005B7636">
        <w:t>-</w:t>
      </w:r>
      <w:r w:rsidR="006510E3" w:rsidRPr="007B55E7">
        <w:t xml:space="preserve"> and 26</w:t>
      </w:r>
      <w:r w:rsidR="005B7636">
        <w:t>-</w:t>
      </w:r>
      <w:r w:rsidR="006510E3" w:rsidRPr="007B55E7">
        <w:t xml:space="preserve">week outcome payments to providers </w:t>
      </w:r>
      <w:r w:rsidR="002F3405" w:rsidRPr="007B55E7">
        <w:t xml:space="preserve">might </w:t>
      </w:r>
      <w:r w:rsidR="006510E3" w:rsidRPr="007B55E7">
        <w:t xml:space="preserve">also </w:t>
      </w:r>
      <w:r w:rsidR="002F3405" w:rsidRPr="007B55E7">
        <w:t xml:space="preserve">have </w:t>
      </w:r>
      <w:r w:rsidR="006510E3" w:rsidRPr="007B55E7">
        <w:t>encourage</w:t>
      </w:r>
      <w:r w:rsidR="002F3405" w:rsidRPr="007B55E7">
        <w:t>d</w:t>
      </w:r>
      <w:r w:rsidR="006510E3" w:rsidRPr="007B55E7">
        <w:t xml:space="preserve"> premature or inappropriate placement, thereby reducing the effectiveness of wage subsidies.</w:t>
      </w:r>
    </w:p>
    <w:p w14:paraId="69C8B071" w14:textId="77777777" w:rsidR="006510E3" w:rsidRPr="007B55E7" w:rsidRDefault="002F3405" w:rsidP="00FD5414">
      <w:pPr>
        <w:pStyle w:val="ListParagraph"/>
      </w:pPr>
      <w:r w:rsidRPr="007B55E7">
        <w:t xml:space="preserve">a </w:t>
      </w:r>
      <w:r w:rsidR="006510E3" w:rsidRPr="007B55E7">
        <w:t>further 27 per cent received full payment in arrears, raising the question of whether guidelines to pay in arrears might place too much risk on employers</w:t>
      </w:r>
    </w:p>
    <w:p w14:paraId="5325C2B4" w14:textId="71E52FC3" w:rsidR="006510E3" w:rsidRDefault="006510E3" w:rsidP="00FD5414">
      <w:pPr>
        <w:pStyle w:val="ListParagraph"/>
      </w:pPr>
      <w:r w:rsidRPr="007B55E7">
        <w:t>most preferred option was part payment upfront and the rest at the end of the subsidy period</w:t>
      </w:r>
      <w:r w:rsidRPr="001C4A86">
        <w:t xml:space="preserve">. On the other hand, employers showed no preference for very frequent (e.g. weekly or fortnightly) payments, perhaps because of the additional accounting and administrative </w:t>
      </w:r>
      <w:r w:rsidR="005B435A">
        <w:t>requirement</w:t>
      </w:r>
      <w:r w:rsidRPr="001C4A86">
        <w:t>.</w:t>
      </w:r>
    </w:p>
    <w:p w14:paraId="6AAB638E" w14:textId="77777777" w:rsidR="006510E3" w:rsidRPr="00D376CF" w:rsidRDefault="006510E3" w:rsidP="006510E3">
      <w:pPr>
        <w:rPr>
          <w:rFonts w:ascii="Calibri" w:hAnsi="Calibri" w:cs="Calibri"/>
        </w:rPr>
      </w:pPr>
      <w:r>
        <w:t>P</w:t>
      </w:r>
      <w:r w:rsidRPr="001D24B7">
        <w:t>roviders correctly perceive</w:t>
      </w:r>
      <w:r w:rsidR="002F3405">
        <w:t>d</w:t>
      </w:r>
      <w:r w:rsidRPr="001D24B7">
        <w:t xml:space="preserve"> that employers prefer some upfront or early payment</w:t>
      </w:r>
      <w:r w:rsidR="005B435A">
        <w:t xml:space="preserve"> for</w:t>
      </w:r>
      <w:r w:rsidR="005B435A" w:rsidRPr="005B435A">
        <w:t xml:space="preserve"> </w:t>
      </w:r>
      <w:r w:rsidR="005B435A" w:rsidRPr="001D24B7">
        <w:t>wag</w:t>
      </w:r>
      <w:r w:rsidR="005B435A">
        <w:t>e subsidies</w:t>
      </w:r>
      <w:r>
        <w:t>,</w:t>
      </w:r>
      <w:r w:rsidRPr="001D24B7">
        <w:t xml:space="preserve"> even though this is rarely the </w:t>
      </w:r>
      <w:r w:rsidR="005B435A">
        <w:t>method of payment</w:t>
      </w:r>
      <w:r>
        <w:t>.</w:t>
      </w:r>
    </w:p>
    <w:p w14:paraId="4C173B91" w14:textId="77777777" w:rsidR="006510E3" w:rsidRPr="008D1D34" w:rsidRDefault="006510E3" w:rsidP="00C41AB0">
      <w:pPr>
        <w:pStyle w:val="Tableforcontents"/>
        <w:keepLines/>
        <w:rPr>
          <w:rFonts w:eastAsiaTheme="majorEastAsia"/>
        </w:rPr>
      </w:pPr>
      <w:bookmarkStart w:id="486" w:name="_Toc22544001"/>
      <w:r w:rsidRPr="008D1D34">
        <w:rPr>
          <w:rFonts w:eastAsiaTheme="majorEastAsia"/>
        </w:rPr>
        <w:t xml:space="preserve">Table </w:t>
      </w:r>
      <w:r w:rsidR="00ED2A92" w:rsidRPr="008D1D34">
        <w:rPr>
          <w:rFonts w:eastAsiaTheme="majorEastAsia"/>
        </w:rPr>
        <w:t>8.4:</w:t>
      </w:r>
      <w:r w:rsidR="003C29A5">
        <w:rPr>
          <w:rFonts w:eastAsiaTheme="majorEastAsia"/>
        </w:rPr>
        <w:t xml:space="preserve"> </w:t>
      </w:r>
      <w:r w:rsidRPr="008D1D34">
        <w:rPr>
          <w:rFonts w:eastAsiaTheme="majorEastAsia"/>
        </w:rPr>
        <w:t xml:space="preserve">Timing of payments to employers for </w:t>
      </w:r>
      <w:r w:rsidR="00793982" w:rsidRPr="008D1D34">
        <w:rPr>
          <w:rFonts w:eastAsiaTheme="majorEastAsia"/>
        </w:rPr>
        <w:t>E</w:t>
      </w:r>
      <w:r w:rsidR="00793982">
        <w:rPr>
          <w:rFonts w:eastAsiaTheme="majorEastAsia"/>
        </w:rPr>
        <w:t xml:space="preserve">mployment </w:t>
      </w:r>
      <w:r w:rsidR="00793982" w:rsidRPr="008D1D34">
        <w:rPr>
          <w:rFonts w:eastAsiaTheme="majorEastAsia"/>
        </w:rPr>
        <w:t>P</w:t>
      </w:r>
      <w:r w:rsidR="00793982">
        <w:rPr>
          <w:rFonts w:eastAsiaTheme="majorEastAsia"/>
        </w:rPr>
        <w:t xml:space="preserve">athway </w:t>
      </w:r>
      <w:r w:rsidR="00793982" w:rsidRPr="008D1D34">
        <w:rPr>
          <w:rFonts w:eastAsiaTheme="majorEastAsia"/>
        </w:rPr>
        <w:t>F</w:t>
      </w:r>
      <w:r w:rsidR="00793982">
        <w:rPr>
          <w:rFonts w:eastAsiaTheme="majorEastAsia"/>
        </w:rPr>
        <w:t xml:space="preserve">und (EPF) </w:t>
      </w:r>
      <w:r w:rsidRPr="008D1D34">
        <w:rPr>
          <w:rFonts w:eastAsiaTheme="majorEastAsia"/>
        </w:rPr>
        <w:t>wage subsidies and employers’ preferred payment schedule (per cent of surveyed employers)</w:t>
      </w:r>
      <w:bookmarkEnd w:id="486"/>
    </w:p>
    <w:tbl>
      <w:tblPr>
        <w:tblStyle w:val="DEEWRTable"/>
        <w:tblW w:w="8472" w:type="dxa"/>
        <w:tblLook w:val="0420" w:firstRow="1" w:lastRow="0" w:firstColumn="0" w:lastColumn="0" w:noHBand="0" w:noVBand="1"/>
      </w:tblPr>
      <w:tblGrid>
        <w:gridCol w:w="4077"/>
        <w:gridCol w:w="2127"/>
        <w:gridCol w:w="2268"/>
      </w:tblGrid>
      <w:tr w:rsidR="006510E3" w:rsidRPr="0011747A" w14:paraId="2ACDAAC0" w14:textId="77777777" w:rsidTr="008268A7">
        <w:trPr>
          <w:cnfStyle w:val="100000000000" w:firstRow="1" w:lastRow="0" w:firstColumn="0" w:lastColumn="0" w:oddVBand="0" w:evenVBand="0" w:oddHBand="0" w:evenHBand="0" w:firstRowFirstColumn="0" w:firstRowLastColumn="0" w:lastRowFirstColumn="0" w:lastRowLastColumn="0"/>
          <w:trHeight w:hRule="exact" w:val="284"/>
        </w:trPr>
        <w:tc>
          <w:tcPr>
            <w:tcW w:w="4077" w:type="dxa"/>
            <w:tcBorders>
              <w:bottom w:val="nil"/>
            </w:tcBorders>
            <w:shd w:val="clear" w:color="auto" w:fill="1E3D6B"/>
            <w:vAlign w:val="center"/>
          </w:tcPr>
          <w:p w14:paraId="3255029E" w14:textId="77777777" w:rsidR="006510E3" w:rsidRPr="0011747A" w:rsidRDefault="006510E3" w:rsidP="00C41AB0">
            <w:pPr>
              <w:keepNext/>
              <w:keepLines/>
            </w:pPr>
            <w:bookmarkStart w:id="487" w:name="Title_84"/>
            <w:bookmarkEnd w:id="487"/>
            <w:r w:rsidRPr="0011747A">
              <w:t>Payment plan</w:t>
            </w:r>
          </w:p>
        </w:tc>
        <w:tc>
          <w:tcPr>
            <w:tcW w:w="2127" w:type="dxa"/>
            <w:tcBorders>
              <w:bottom w:val="nil"/>
            </w:tcBorders>
            <w:shd w:val="clear" w:color="auto" w:fill="1E3D6B"/>
            <w:vAlign w:val="center"/>
          </w:tcPr>
          <w:p w14:paraId="0252322E" w14:textId="77777777" w:rsidR="006510E3" w:rsidRPr="0011747A" w:rsidRDefault="006510E3" w:rsidP="001770E5">
            <w:pPr>
              <w:keepNext/>
              <w:keepLines/>
              <w:jc w:val="right"/>
            </w:pPr>
            <w:r w:rsidRPr="0011747A">
              <w:t xml:space="preserve">Actual </w:t>
            </w:r>
            <w:r w:rsidRPr="0011747A">
              <w:rPr>
                <w:vertAlign w:val="superscript"/>
              </w:rPr>
              <w:t>(</w:t>
            </w:r>
            <w:r w:rsidR="001770E5">
              <w:rPr>
                <w:vertAlign w:val="superscript"/>
              </w:rPr>
              <w:t>2</w:t>
            </w:r>
            <w:r w:rsidRPr="0011747A">
              <w:rPr>
                <w:vertAlign w:val="superscript"/>
              </w:rPr>
              <w:t>)</w:t>
            </w:r>
            <w:r w:rsidRPr="0011747A">
              <w:t xml:space="preserve"> </w:t>
            </w:r>
          </w:p>
        </w:tc>
        <w:tc>
          <w:tcPr>
            <w:tcW w:w="2268" w:type="dxa"/>
            <w:tcBorders>
              <w:bottom w:val="nil"/>
            </w:tcBorders>
            <w:shd w:val="clear" w:color="auto" w:fill="1E3D6B"/>
            <w:vAlign w:val="center"/>
          </w:tcPr>
          <w:p w14:paraId="265BCCD4" w14:textId="77777777" w:rsidR="006510E3" w:rsidRPr="0011747A" w:rsidRDefault="006510E3" w:rsidP="001770E5">
            <w:pPr>
              <w:keepNext/>
              <w:keepLines/>
              <w:jc w:val="right"/>
            </w:pPr>
            <w:r w:rsidRPr="0011747A">
              <w:t xml:space="preserve">Preferred </w:t>
            </w:r>
            <w:r w:rsidRPr="0011747A">
              <w:rPr>
                <w:vertAlign w:val="superscript"/>
              </w:rPr>
              <w:t>(</w:t>
            </w:r>
            <w:r w:rsidR="001770E5">
              <w:rPr>
                <w:vertAlign w:val="superscript"/>
              </w:rPr>
              <w:t>3</w:t>
            </w:r>
            <w:r w:rsidRPr="0011747A">
              <w:rPr>
                <w:vertAlign w:val="superscript"/>
              </w:rPr>
              <w:t>)</w:t>
            </w:r>
            <w:r w:rsidRPr="0011747A">
              <w:t xml:space="preserve"> </w:t>
            </w:r>
          </w:p>
        </w:tc>
      </w:tr>
      <w:tr w:rsidR="006510E3" w:rsidRPr="00C41AB0" w14:paraId="0CC74669" w14:textId="77777777" w:rsidTr="008268A7">
        <w:trPr>
          <w:trHeight w:hRule="exact" w:val="284"/>
        </w:trPr>
        <w:tc>
          <w:tcPr>
            <w:tcW w:w="4077" w:type="dxa"/>
            <w:tcBorders>
              <w:top w:val="nil"/>
              <w:bottom w:val="nil"/>
            </w:tcBorders>
            <w:vAlign w:val="center"/>
          </w:tcPr>
          <w:p w14:paraId="2F1C480A" w14:textId="77777777" w:rsidR="006510E3" w:rsidRPr="00C41AB0" w:rsidRDefault="006510E3" w:rsidP="00C41AB0">
            <w:pPr>
              <w:keepNext/>
              <w:keepLines/>
            </w:pPr>
            <w:r w:rsidRPr="00C41AB0">
              <w:rPr>
                <w:rFonts w:ascii="Calibri" w:hAnsi="Calibri" w:cs="Calibri"/>
                <w:color w:val="000000"/>
                <w:szCs w:val="20"/>
              </w:rPr>
              <w:t>Full amount in arrears</w:t>
            </w:r>
          </w:p>
        </w:tc>
        <w:tc>
          <w:tcPr>
            <w:tcW w:w="2127" w:type="dxa"/>
            <w:tcBorders>
              <w:top w:val="nil"/>
              <w:bottom w:val="nil"/>
            </w:tcBorders>
            <w:vAlign w:val="center"/>
          </w:tcPr>
          <w:p w14:paraId="6B047BA0" w14:textId="77777777" w:rsidR="006510E3" w:rsidRPr="00C41AB0" w:rsidRDefault="006510E3" w:rsidP="00C41AB0">
            <w:pPr>
              <w:keepNext/>
              <w:keepLines/>
              <w:jc w:val="right"/>
              <w:rPr>
                <w:highlight w:val="yellow"/>
              </w:rPr>
            </w:pPr>
            <w:r w:rsidRPr="00C41AB0">
              <w:rPr>
                <w:rFonts w:ascii="Calibri" w:hAnsi="Calibri" w:cs="Calibri"/>
                <w:color w:val="000000"/>
                <w:szCs w:val="20"/>
              </w:rPr>
              <w:t>27</w:t>
            </w:r>
          </w:p>
        </w:tc>
        <w:tc>
          <w:tcPr>
            <w:tcW w:w="2268" w:type="dxa"/>
            <w:tcBorders>
              <w:top w:val="nil"/>
              <w:bottom w:val="nil"/>
            </w:tcBorders>
            <w:vAlign w:val="center"/>
          </w:tcPr>
          <w:p w14:paraId="26079AB8" w14:textId="77777777" w:rsidR="006510E3" w:rsidRPr="00C41AB0" w:rsidRDefault="006510E3" w:rsidP="00C41AB0">
            <w:pPr>
              <w:keepNext/>
              <w:keepLines/>
              <w:jc w:val="right"/>
              <w:rPr>
                <w:highlight w:val="yellow"/>
              </w:rPr>
            </w:pPr>
            <w:r w:rsidRPr="00C41AB0">
              <w:rPr>
                <w:rFonts w:ascii="Calibri" w:hAnsi="Calibri" w:cs="Calibri"/>
                <w:color w:val="000000"/>
                <w:szCs w:val="20"/>
              </w:rPr>
              <w:t>9</w:t>
            </w:r>
          </w:p>
        </w:tc>
      </w:tr>
      <w:tr w:rsidR="006510E3" w:rsidRPr="00C41AB0" w14:paraId="78007103" w14:textId="77777777" w:rsidTr="008268A7">
        <w:trPr>
          <w:trHeight w:hRule="exact" w:val="284"/>
        </w:trPr>
        <w:tc>
          <w:tcPr>
            <w:tcW w:w="4077" w:type="dxa"/>
            <w:tcBorders>
              <w:top w:val="nil"/>
              <w:bottom w:val="nil"/>
            </w:tcBorders>
            <w:shd w:val="clear" w:color="auto" w:fill="E5E5E5" w:themeFill="background1" w:themeFillTint="33"/>
            <w:vAlign w:val="center"/>
          </w:tcPr>
          <w:p w14:paraId="53E4DB26" w14:textId="77777777" w:rsidR="006510E3" w:rsidRPr="00C41AB0" w:rsidRDefault="006510E3" w:rsidP="00C41AB0">
            <w:pPr>
              <w:keepNext/>
              <w:keepLines/>
            </w:pPr>
            <w:r w:rsidRPr="00C41AB0">
              <w:rPr>
                <w:rFonts w:ascii="Calibri" w:hAnsi="Calibri" w:cs="Calibri"/>
                <w:color w:val="000000"/>
                <w:szCs w:val="20"/>
              </w:rPr>
              <w:t>Full amount upfront</w:t>
            </w:r>
          </w:p>
        </w:tc>
        <w:tc>
          <w:tcPr>
            <w:tcW w:w="2127" w:type="dxa"/>
            <w:tcBorders>
              <w:top w:val="nil"/>
              <w:bottom w:val="nil"/>
            </w:tcBorders>
            <w:shd w:val="clear" w:color="auto" w:fill="E5E5E5" w:themeFill="background1" w:themeFillTint="33"/>
            <w:vAlign w:val="center"/>
          </w:tcPr>
          <w:p w14:paraId="0DB812B4" w14:textId="77777777" w:rsidR="006510E3" w:rsidRPr="00C41AB0" w:rsidRDefault="006510E3" w:rsidP="00C41AB0">
            <w:pPr>
              <w:keepNext/>
              <w:keepLines/>
              <w:jc w:val="right"/>
            </w:pPr>
            <w:r w:rsidRPr="00C41AB0">
              <w:rPr>
                <w:rFonts w:ascii="Calibri" w:hAnsi="Calibri" w:cs="Calibri"/>
                <w:color w:val="000000"/>
                <w:szCs w:val="20"/>
              </w:rPr>
              <w:t>1</w:t>
            </w:r>
          </w:p>
        </w:tc>
        <w:tc>
          <w:tcPr>
            <w:tcW w:w="2268" w:type="dxa"/>
            <w:tcBorders>
              <w:top w:val="nil"/>
              <w:bottom w:val="nil"/>
            </w:tcBorders>
            <w:shd w:val="clear" w:color="auto" w:fill="E5E5E5" w:themeFill="background1" w:themeFillTint="33"/>
            <w:vAlign w:val="center"/>
          </w:tcPr>
          <w:p w14:paraId="69B24B52" w14:textId="77777777" w:rsidR="006510E3" w:rsidRPr="00C41AB0" w:rsidRDefault="006510E3" w:rsidP="00C41AB0">
            <w:pPr>
              <w:keepNext/>
              <w:keepLines/>
              <w:jc w:val="right"/>
            </w:pPr>
            <w:r w:rsidRPr="00C41AB0">
              <w:rPr>
                <w:rFonts w:ascii="Calibri" w:hAnsi="Calibri" w:cs="Calibri"/>
                <w:color w:val="000000"/>
                <w:szCs w:val="20"/>
              </w:rPr>
              <w:t>13</w:t>
            </w:r>
          </w:p>
        </w:tc>
      </w:tr>
      <w:tr w:rsidR="006510E3" w:rsidRPr="00C41AB0" w14:paraId="5221F5C4" w14:textId="77777777" w:rsidTr="008268A7">
        <w:trPr>
          <w:trHeight w:hRule="exact" w:val="284"/>
        </w:trPr>
        <w:tc>
          <w:tcPr>
            <w:tcW w:w="4077" w:type="dxa"/>
            <w:tcBorders>
              <w:top w:val="nil"/>
              <w:bottom w:val="nil"/>
            </w:tcBorders>
            <w:vAlign w:val="center"/>
          </w:tcPr>
          <w:p w14:paraId="43FC7354" w14:textId="77777777" w:rsidR="006510E3" w:rsidRPr="00C41AB0" w:rsidRDefault="006510E3" w:rsidP="00C41AB0">
            <w:pPr>
              <w:keepNext/>
              <w:keepLines/>
            </w:pPr>
            <w:r w:rsidRPr="00C41AB0">
              <w:rPr>
                <w:rFonts w:ascii="Calibri" w:hAnsi="Calibri" w:cs="Calibri"/>
                <w:color w:val="000000"/>
                <w:szCs w:val="20"/>
              </w:rPr>
              <w:t>Weekly or fortnightly instalments</w:t>
            </w:r>
          </w:p>
        </w:tc>
        <w:tc>
          <w:tcPr>
            <w:tcW w:w="2127" w:type="dxa"/>
            <w:tcBorders>
              <w:top w:val="nil"/>
              <w:bottom w:val="nil"/>
            </w:tcBorders>
            <w:vAlign w:val="center"/>
          </w:tcPr>
          <w:p w14:paraId="46E14571" w14:textId="77777777" w:rsidR="006510E3" w:rsidRPr="00C41AB0" w:rsidRDefault="006510E3" w:rsidP="00C41AB0">
            <w:pPr>
              <w:keepNext/>
              <w:keepLines/>
              <w:jc w:val="right"/>
            </w:pPr>
            <w:r w:rsidRPr="00C41AB0">
              <w:rPr>
                <w:rFonts w:ascii="Calibri" w:hAnsi="Calibri" w:cs="Calibri"/>
                <w:color w:val="000000"/>
                <w:szCs w:val="20"/>
              </w:rPr>
              <w:t>1</w:t>
            </w:r>
          </w:p>
        </w:tc>
        <w:tc>
          <w:tcPr>
            <w:tcW w:w="2268" w:type="dxa"/>
            <w:tcBorders>
              <w:top w:val="nil"/>
              <w:bottom w:val="nil"/>
            </w:tcBorders>
            <w:vAlign w:val="center"/>
          </w:tcPr>
          <w:p w14:paraId="4B31D76B" w14:textId="77777777" w:rsidR="006510E3" w:rsidRPr="00C41AB0" w:rsidRDefault="006510E3" w:rsidP="00C41AB0">
            <w:pPr>
              <w:keepNext/>
              <w:keepLines/>
              <w:jc w:val="right"/>
            </w:pPr>
            <w:r w:rsidRPr="00C41AB0">
              <w:rPr>
                <w:rFonts w:ascii="Calibri" w:hAnsi="Calibri" w:cs="Calibri"/>
                <w:color w:val="000000"/>
                <w:szCs w:val="20"/>
              </w:rPr>
              <w:t>14</w:t>
            </w:r>
          </w:p>
        </w:tc>
      </w:tr>
      <w:tr w:rsidR="006510E3" w:rsidRPr="00C41AB0" w14:paraId="3E525D0B" w14:textId="77777777" w:rsidTr="008268A7">
        <w:trPr>
          <w:trHeight w:hRule="exact" w:val="284"/>
        </w:trPr>
        <w:tc>
          <w:tcPr>
            <w:tcW w:w="4077" w:type="dxa"/>
            <w:tcBorders>
              <w:top w:val="nil"/>
              <w:bottom w:val="nil"/>
            </w:tcBorders>
            <w:shd w:val="clear" w:color="auto" w:fill="E5E5E5" w:themeFill="background1" w:themeFillTint="33"/>
            <w:vAlign w:val="center"/>
          </w:tcPr>
          <w:p w14:paraId="7BDE4E7F" w14:textId="77777777" w:rsidR="006510E3" w:rsidRPr="00C41AB0" w:rsidRDefault="006510E3" w:rsidP="00C41AB0">
            <w:pPr>
              <w:keepNext/>
              <w:keepLines/>
            </w:pPr>
            <w:r w:rsidRPr="00C41AB0">
              <w:rPr>
                <w:rFonts w:ascii="Calibri" w:hAnsi="Calibri" w:cs="Calibri"/>
                <w:color w:val="000000"/>
                <w:szCs w:val="20"/>
              </w:rPr>
              <w:t>Monthly instalments</w:t>
            </w:r>
          </w:p>
        </w:tc>
        <w:tc>
          <w:tcPr>
            <w:tcW w:w="2127" w:type="dxa"/>
            <w:tcBorders>
              <w:top w:val="nil"/>
              <w:bottom w:val="nil"/>
            </w:tcBorders>
            <w:shd w:val="clear" w:color="auto" w:fill="E5E5E5" w:themeFill="background1" w:themeFillTint="33"/>
            <w:vAlign w:val="center"/>
          </w:tcPr>
          <w:p w14:paraId="1A76465D" w14:textId="77777777" w:rsidR="006510E3" w:rsidRPr="00C41AB0" w:rsidRDefault="006510E3" w:rsidP="00C41AB0">
            <w:pPr>
              <w:keepNext/>
              <w:keepLines/>
              <w:jc w:val="right"/>
            </w:pPr>
            <w:r w:rsidRPr="00C41AB0">
              <w:rPr>
                <w:rFonts w:ascii="Calibri" w:hAnsi="Calibri" w:cs="Calibri"/>
                <w:color w:val="000000"/>
                <w:szCs w:val="20"/>
              </w:rPr>
              <w:t>2</w:t>
            </w:r>
          </w:p>
        </w:tc>
        <w:tc>
          <w:tcPr>
            <w:tcW w:w="2268" w:type="dxa"/>
            <w:tcBorders>
              <w:top w:val="nil"/>
              <w:bottom w:val="nil"/>
            </w:tcBorders>
            <w:shd w:val="clear" w:color="auto" w:fill="E5E5E5" w:themeFill="background1" w:themeFillTint="33"/>
            <w:vAlign w:val="center"/>
          </w:tcPr>
          <w:p w14:paraId="46762ABD" w14:textId="77777777" w:rsidR="006510E3" w:rsidRPr="00C41AB0" w:rsidRDefault="006510E3" w:rsidP="00C41AB0">
            <w:pPr>
              <w:keepNext/>
              <w:keepLines/>
              <w:jc w:val="right"/>
            </w:pPr>
            <w:r w:rsidRPr="00C41AB0">
              <w:rPr>
                <w:rFonts w:ascii="Calibri" w:hAnsi="Calibri" w:cs="Calibri"/>
                <w:color w:val="000000"/>
                <w:szCs w:val="20"/>
              </w:rPr>
              <w:t>18</w:t>
            </w:r>
          </w:p>
        </w:tc>
      </w:tr>
      <w:tr w:rsidR="006510E3" w:rsidRPr="00C41AB0" w14:paraId="33B20039" w14:textId="77777777" w:rsidTr="008268A7">
        <w:trPr>
          <w:trHeight w:hRule="exact" w:val="284"/>
        </w:trPr>
        <w:tc>
          <w:tcPr>
            <w:tcW w:w="4077" w:type="dxa"/>
            <w:tcBorders>
              <w:top w:val="nil"/>
              <w:bottom w:val="nil"/>
            </w:tcBorders>
            <w:vAlign w:val="center"/>
          </w:tcPr>
          <w:p w14:paraId="78C8344D" w14:textId="41B89DF8" w:rsidR="006510E3" w:rsidRPr="00C41AB0" w:rsidRDefault="006510E3" w:rsidP="005B7636">
            <w:pPr>
              <w:keepNext/>
              <w:keepLines/>
            </w:pPr>
            <w:r w:rsidRPr="00C41AB0">
              <w:rPr>
                <w:rFonts w:ascii="Calibri" w:hAnsi="Calibri" w:cs="Calibri"/>
                <w:color w:val="000000"/>
                <w:szCs w:val="20"/>
              </w:rPr>
              <w:t>At 13</w:t>
            </w:r>
            <w:r w:rsidR="005B7636">
              <w:rPr>
                <w:rFonts w:ascii="Calibri" w:hAnsi="Calibri" w:cs="Calibri"/>
                <w:color w:val="000000"/>
                <w:szCs w:val="20"/>
              </w:rPr>
              <w:t>-</w:t>
            </w:r>
            <w:r w:rsidRPr="00C41AB0">
              <w:rPr>
                <w:rFonts w:ascii="Calibri" w:hAnsi="Calibri" w:cs="Calibri"/>
                <w:color w:val="000000"/>
                <w:szCs w:val="20"/>
              </w:rPr>
              <w:t xml:space="preserve"> and 26</w:t>
            </w:r>
            <w:r w:rsidR="005B7636">
              <w:rPr>
                <w:rFonts w:ascii="Calibri" w:hAnsi="Calibri" w:cs="Calibri"/>
                <w:color w:val="000000"/>
                <w:szCs w:val="20"/>
              </w:rPr>
              <w:t>-</w:t>
            </w:r>
            <w:r w:rsidRPr="00C41AB0">
              <w:rPr>
                <w:rFonts w:ascii="Calibri" w:hAnsi="Calibri" w:cs="Calibri"/>
                <w:color w:val="000000"/>
                <w:szCs w:val="20"/>
              </w:rPr>
              <w:t>weeks</w:t>
            </w:r>
            <w:r w:rsidRPr="00C41AB0">
              <w:rPr>
                <w:rFonts w:ascii="Calibri" w:hAnsi="Calibri" w:cs="Calibri"/>
                <w:color w:val="000000"/>
                <w:szCs w:val="20"/>
                <w:vertAlign w:val="superscript"/>
              </w:rPr>
              <w:t>(</w:t>
            </w:r>
            <w:r w:rsidR="001770E5">
              <w:rPr>
                <w:rFonts w:ascii="Calibri" w:hAnsi="Calibri" w:cs="Calibri"/>
                <w:color w:val="000000"/>
                <w:szCs w:val="20"/>
                <w:vertAlign w:val="superscript"/>
              </w:rPr>
              <w:t>1</w:t>
            </w:r>
            <w:r w:rsidRPr="00C41AB0">
              <w:rPr>
                <w:rFonts w:ascii="Calibri" w:hAnsi="Calibri" w:cs="Calibri"/>
                <w:color w:val="000000"/>
                <w:szCs w:val="20"/>
                <w:vertAlign w:val="superscript"/>
              </w:rPr>
              <w:t>)</w:t>
            </w:r>
          </w:p>
        </w:tc>
        <w:tc>
          <w:tcPr>
            <w:tcW w:w="2127" w:type="dxa"/>
            <w:tcBorders>
              <w:top w:val="nil"/>
              <w:bottom w:val="nil"/>
            </w:tcBorders>
            <w:vAlign w:val="center"/>
          </w:tcPr>
          <w:p w14:paraId="338B6EDA" w14:textId="77777777" w:rsidR="006510E3" w:rsidRPr="00C41AB0" w:rsidRDefault="006510E3" w:rsidP="00C41AB0">
            <w:pPr>
              <w:keepNext/>
              <w:keepLines/>
              <w:jc w:val="right"/>
            </w:pPr>
            <w:r w:rsidRPr="00C41AB0">
              <w:rPr>
                <w:rFonts w:ascii="Calibri" w:hAnsi="Calibri" w:cs="Calibri"/>
                <w:color w:val="000000"/>
                <w:szCs w:val="20"/>
              </w:rPr>
              <w:t>63</w:t>
            </w:r>
          </w:p>
        </w:tc>
        <w:tc>
          <w:tcPr>
            <w:tcW w:w="2268" w:type="dxa"/>
            <w:tcBorders>
              <w:top w:val="nil"/>
              <w:bottom w:val="nil"/>
            </w:tcBorders>
            <w:vAlign w:val="center"/>
          </w:tcPr>
          <w:p w14:paraId="072864DC" w14:textId="77777777" w:rsidR="006510E3" w:rsidRPr="00C41AB0" w:rsidRDefault="006510E3" w:rsidP="00C41AB0">
            <w:pPr>
              <w:keepNext/>
              <w:keepLines/>
              <w:jc w:val="right"/>
            </w:pPr>
            <w:r w:rsidRPr="00C41AB0">
              <w:rPr>
                <w:rFonts w:ascii="Calibri" w:hAnsi="Calibri" w:cs="Calibri"/>
                <w:color w:val="000000"/>
                <w:szCs w:val="20"/>
              </w:rPr>
              <w:t>12</w:t>
            </w:r>
          </w:p>
        </w:tc>
      </w:tr>
      <w:tr w:rsidR="006510E3" w:rsidRPr="00C41AB0" w14:paraId="6B111C07" w14:textId="77777777" w:rsidTr="008268A7">
        <w:trPr>
          <w:trHeight w:hRule="exact" w:val="284"/>
        </w:trPr>
        <w:tc>
          <w:tcPr>
            <w:tcW w:w="4077" w:type="dxa"/>
            <w:tcBorders>
              <w:top w:val="nil"/>
              <w:bottom w:val="nil"/>
            </w:tcBorders>
            <w:shd w:val="clear" w:color="auto" w:fill="E5E5E5" w:themeFill="background1" w:themeFillTint="33"/>
            <w:vAlign w:val="center"/>
          </w:tcPr>
          <w:p w14:paraId="4EBF5C4E" w14:textId="77777777" w:rsidR="006510E3" w:rsidRPr="00C41AB0" w:rsidRDefault="006510E3" w:rsidP="00C41AB0">
            <w:pPr>
              <w:keepNext/>
              <w:keepLines/>
            </w:pPr>
            <w:r w:rsidRPr="00C41AB0">
              <w:t>Part upfront, rest in arrears</w:t>
            </w:r>
          </w:p>
        </w:tc>
        <w:tc>
          <w:tcPr>
            <w:tcW w:w="2127" w:type="dxa"/>
            <w:tcBorders>
              <w:top w:val="nil"/>
              <w:bottom w:val="nil"/>
            </w:tcBorders>
            <w:shd w:val="clear" w:color="auto" w:fill="E5E5E5" w:themeFill="background1" w:themeFillTint="33"/>
            <w:vAlign w:val="center"/>
          </w:tcPr>
          <w:p w14:paraId="1E44EEC2" w14:textId="77777777" w:rsidR="006510E3" w:rsidRPr="00C41AB0" w:rsidRDefault="006510E3" w:rsidP="00C41AB0">
            <w:pPr>
              <w:keepNext/>
              <w:keepLines/>
              <w:jc w:val="right"/>
            </w:pPr>
            <w:r w:rsidRPr="00C41AB0">
              <w:t>Not asked</w:t>
            </w:r>
          </w:p>
        </w:tc>
        <w:tc>
          <w:tcPr>
            <w:tcW w:w="2268" w:type="dxa"/>
            <w:tcBorders>
              <w:top w:val="nil"/>
              <w:bottom w:val="nil"/>
            </w:tcBorders>
            <w:shd w:val="clear" w:color="auto" w:fill="E5E5E5" w:themeFill="background1" w:themeFillTint="33"/>
            <w:vAlign w:val="center"/>
          </w:tcPr>
          <w:p w14:paraId="55885AD2" w14:textId="77777777" w:rsidR="006510E3" w:rsidRPr="00C41AB0" w:rsidRDefault="006510E3" w:rsidP="00C41AB0">
            <w:pPr>
              <w:keepNext/>
              <w:keepLines/>
              <w:jc w:val="right"/>
            </w:pPr>
            <w:r w:rsidRPr="00C41AB0">
              <w:rPr>
                <w:rFonts w:ascii="Calibri" w:hAnsi="Calibri" w:cs="Calibri"/>
                <w:color w:val="000000"/>
                <w:szCs w:val="20"/>
              </w:rPr>
              <w:t>27</w:t>
            </w:r>
          </w:p>
        </w:tc>
      </w:tr>
      <w:tr w:rsidR="006510E3" w:rsidRPr="00C41AB0" w14:paraId="3F34BD3D" w14:textId="77777777" w:rsidTr="008268A7">
        <w:trPr>
          <w:trHeight w:hRule="exact" w:val="284"/>
        </w:trPr>
        <w:tc>
          <w:tcPr>
            <w:tcW w:w="4077" w:type="dxa"/>
            <w:tcBorders>
              <w:top w:val="nil"/>
              <w:bottom w:val="nil"/>
            </w:tcBorders>
            <w:vAlign w:val="center"/>
          </w:tcPr>
          <w:p w14:paraId="0A6D2E69" w14:textId="77777777" w:rsidR="006510E3" w:rsidRPr="00C41AB0" w:rsidRDefault="006510E3" w:rsidP="00C41AB0">
            <w:pPr>
              <w:keepNext/>
              <w:keepLines/>
            </w:pPr>
            <w:r w:rsidRPr="00C41AB0">
              <w:rPr>
                <w:rFonts w:ascii="Calibri" w:hAnsi="Calibri" w:cs="Calibri"/>
                <w:color w:val="000000"/>
                <w:szCs w:val="20"/>
              </w:rPr>
              <w:t>Other schedule, not specified</w:t>
            </w:r>
          </w:p>
        </w:tc>
        <w:tc>
          <w:tcPr>
            <w:tcW w:w="2127" w:type="dxa"/>
            <w:tcBorders>
              <w:top w:val="nil"/>
              <w:bottom w:val="nil"/>
            </w:tcBorders>
            <w:vAlign w:val="center"/>
          </w:tcPr>
          <w:p w14:paraId="199A1AFC" w14:textId="77777777" w:rsidR="006510E3" w:rsidRPr="00C41AB0" w:rsidRDefault="006510E3" w:rsidP="00C41AB0">
            <w:pPr>
              <w:keepNext/>
              <w:keepLines/>
              <w:jc w:val="right"/>
            </w:pPr>
            <w:r w:rsidRPr="00C41AB0">
              <w:rPr>
                <w:rFonts w:ascii="Calibri" w:hAnsi="Calibri" w:cs="Calibri"/>
                <w:color w:val="000000"/>
                <w:szCs w:val="20"/>
              </w:rPr>
              <w:t>3</w:t>
            </w:r>
          </w:p>
        </w:tc>
        <w:tc>
          <w:tcPr>
            <w:tcW w:w="2268" w:type="dxa"/>
            <w:tcBorders>
              <w:top w:val="nil"/>
              <w:bottom w:val="nil"/>
            </w:tcBorders>
            <w:vAlign w:val="center"/>
          </w:tcPr>
          <w:p w14:paraId="4809E8CC" w14:textId="77777777" w:rsidR="006510E3" w:rsidRPr="00C41AB0" w:rsidRDefault="006510E3" w:rsidP="00C41AB0">
            <w:pPr>
              <w:keepNext/>
              <w:keepLines/>
              <w:jc w:val="right"/>
            </w:pPr>
            <w:r w:rsidRPr="00C41AB0">
              <w:rPr>
                <w:rFonts w:ascii="Calibri" w:hAnsi="Calibri" w:cs="Calibri"/>
                <w:color w:val="000000"/>
                <w:szCs w:val="20"/>
              </w:rPr>
              <w:t>2</w:t>
            </w:r>
          </w:p>
        </w:tc>
      </w:tr>
      <w:tr w:rsidR="006510E3" w:rsidRPr="00C41AB0" w14:paraId="648A4ED7" w14:textId="77777777" w:rsidTr="008268A7">
        <w:trPr>
          <w:trHeight w:hRule="exact" w:val="284"/>
        </w:trPr>
        <w:tc>
          <w:tcPr>
            <w:tcW w:w="4077" w:type="dxa"/>
            <w:tcBorders>
              <w:top w:val="nil"/>
              <w:bottom w:val="nil"/>
            </w:tcBorders>
            <w:shd w:val="clear" w:color="auto" w:fill="E5E5E5" w:themeFill="background1" w:themeFillTint="33"/>
            <w:vAlign w:val="center"/>
          </w:tcPr>
          <w:p w14:paraId="654CB2E9" w14:textId="77777777" w:rsidR="006510E3" w:rsidRPr="00C41AB0" w:rsidRDefault="006510E3" w:rsidP="00C41AB0">
            <w:pPr>
              <w:keepNext/>
              <w:keepLines/>
            </w:pPr>
            <w:r w:rsidRPr="00C41AB0">
              <w:rPr>
                <w:rFonts w:ascii="Calibri" w:hAnsi="Calibri" w:cs="Calibri"/>
                <w:color w:val="000000"/>
                <w:szCs w:val="20"/>
              </w:rPr>
              <w:t>Not stated</w:t>
            </w:r>
          </w:p>
        </w:tc>
        <w:tc>
          <w:tcPr>
            <w:tcW w:w="2127" w:type="dxa"/>
            <w:tcBorders>
              <w:top w:val="nil"/>
              <w:bottom w:val="nil"/>
            </w:tcBorders>
            <w:shd w:val="clear" w:color="auto" w:fill="E5E5E5" w:themeFill="background1" w:themeFillTint="33"/>
            <w:vAlign w:val="center"/>
          </w:tcPr>
          <w:p w14:paraId="4A78881C" w14:textId="77777777" w:rsidR="006510E3" w:rsidRPr="00C41AB0" w:rsidRDefault="006510E3" w:rsidP="00C41AB0">
            <w:pPr>
              <w:keepNext/>
              <w:keepLines/>
              <w:jc w:val="right"/>
            </w:pPr>
            <w:r w:rsidRPr="00C41AB0">
              <w:rPr>
                <w:rFonts w:ascii="Calibri" w:hAnsi="Calibri" w:cs="Calibri"/>
                <w:color w:val="000000"/>
                <w:szCs w:val="20"/>
              </w:rPr>
              <w:t>4</w:t>
            </w:r>
          </w:p>
        </w:tc>
        <w:tc>
          <w:tcPr>
            <w:tcW w:w="2268" w:type="dxa"/>
            <w:tcBorders>
              <w:top w:val="nil"/>
              <w:bottom w:val="nil"/>
            </w:tcBorders>
            <w:shd w:val="clear" w:color="auto" w:fill="E5E5E5" w:themeFill="background1" w:themeFillTint="33"/>
            <w:vAlign w:val="center"/>
          </w:tcPr>
          <w:p w14:paraId="0D0A707E" w14:textId="77777777" w:rsidR="006510E3" w:rsidRPr="00C41AB0" w:rsidRDefault="006510E3" w:rsidP="00C41AB0">
            <w:pPr>
              <w:keepNext/>
              <w:keepLines/>
              <w:jc w:val="right"/>
            </w:pPr>
            <w:r w:rsidRPr="00C41AB0">
              <w:rPr>
                <w:rFonts w:ascii="Calibri" w:hAnsi="Calibri" w:cs="Calibri"/>
                <w:color w:val="000000"/>
                <w:szCs w:val="20"/>
              </w:rPr>
              <w:t>4</w:t>
            </w:r>
          </w:p>
        </w:tc>
      </w:tr>
      <w:tr w:rsidR="006510E3" w:rsidRPr="00C41AB0" w14:paraId="6F7F472D" w14:textId="77777777" w:rsidTr="008268A7">
        <w:trPr>
          <w:trHeight w:hRule="exact" w:val="284"/>
        </w:trPr>
        <w:tc>
          <w:tcPr>
            <w:tcW w:w="4077" w:type="dxa"/>
            <w:tcBorders>
              <w:top w:val="nil"/>
              <w:bottom w:val="nil"/>
            </w:tcBorders>
            <w:shd w:val="clear" w:color="auto" w:fill="8EAEDE"/>
            <w:vAlign w:val="center"/>
          </w:tcPr>
          <w:p w14:paraId="28FF695F" w14:textId="77777777" w:rsidR="006510E3" w:rsidRPr="00C41AB0" w:rsidRDefault="006510E3" w:rsidP="00C41AB0">
            <w:pPr>
              <w:keepNext/>
              <w:keepLines/>
            </w:pPr>
            <w:r w:rsidRPr="00C41AB0">
              <w:t>Total</w:t>
            </w:r>
          </w:p>
        </w:tc>
        <w:tc>
          <w:tcPr>
            <w:tcW w:w="2127" w:type="dxa"/>
            <w:tcBorders>
              <w:top w:val="nil"/>
              <w:bottom w:val="nil"/>
            </w:tcBorders>
            <w:shd w:val="clear" w:color="auto" w:fill="8EAEDE"/>
            <w:vAlign w:val="center"/>
          </w:tcPr>
          <w:p w14:paraId="697A1E20" w14:textId="77777777" w:rsidR="006510E3" w:rsidRPr="00C41AB0" w:rsidRDefault="006510E3" w:rsidP="00C41AB0">
            <w:pPr>
              <w:keepNext/>
              <w:keepLines/>
              <w:jc w:val="right"/>
            </w:pPr>
            <w:r w:rsidRPr="00C41AB0">
              <w:t>100</w:t>
            </w:r>
          </w:p>
        </w:tc>
        <w:tc>
          <w:tcPr>
            <w:tcW w:w="2268" w:type="dxa"/>
            <w:tcBorders>
              <w:top w:val="nil"/>
              <w:bottom w:val="nil"/>
            </w:tcBorders>
            <w:shd w:val="clear" w:color="auto" w:fill="8EAEDE"/>
            <w:vAlign w:val="center"/>
          </w:tcPr>
          <w:p w14:paraId="0CE2AFCF" w14:textId="77777777" w:rsidR="006510E3" w:rsidRPr="00C41AB0" w:rsidRDefault="006510E3" w:rsidP="00C41AB0">
            <w:pPr>
              <w:keepNext/>
              <w:keepLines/>
              <w:jc w:val="right"/>
            </w:pPr>
            <w:r w:rsidRPr="00C41AB0">
              <w:t>100</w:t>
            </w:r>
          </w:p>
        </w:tc>
      </w:tr>
    </w:tbl>
    <w:p w14:paraId="00DA8549" w14:textId="77777777" w:rsidR="00ED2A92" w:rsidRPr="0062186E" w:rsidRDefault="00ED2A92" w:rsidP="0019430D">
      <w:pPr>
        <w:pStyle w:val="Notes"/>
        <w:rPr>
          <w:noProof/>
        </w:rPr>
      </w:pPr>
      <w:r w:rsidRPr="0019430D">
        <w:rPr>
          <w:b/>
          <w:noProof/>
        </w:rPr>
        <w:t>Notes</w:t>
      </w:r>
      <w:r w:rsidRPr="0062186E">
        <w:rPr>
          <w:noProof/>
        </w:rPr>
        <w:t xml:space="preserve">: </w:t>
      </w:r>
    </w:p>
    <w:p w14:paraId="5A37DF6A" w14:textId="77777777" w:rsidR="008338FF" w:rsidRPr="00E5413A" w:rsidRDefault="006510E3" w:rsidP="00AE4704">
      <w:pPr>
        <w:pStyle w:val="Notesnumbered"/>
        <w:numPr>
          <w:ilvl w:val="0"/>
          <w:numId w:val="244"/>
        </w:numPr>
        <w:ind w:left="709" w:hanging="567"/>
      </w:pPr>
      <w:r w:rsidRPr="00E5413A">
        <w:t>Or quarterly instalments.</w:t>
      </w:r>
    </w:p>
    <w:p w14:paraId="2C82D18F" w14:textId="09B034FE" w:rsidR="008338FF" w:rsidRPr="00E5413A" w:rsidRDefault="006510E3" w:rsidP="00AE4704">
      <w:pPr>
        <w:pStyle w:val="Notesnumbered"/>
        <w:numPr>
          <w:ilvl w:val="0"/>
          <w:numId w:val="244"/>
        </w:numPr>
        <w:ind w:left="709" w:hanging="567"/>
      </w:pPr>
      <w:r w:rsidRPr="00E5413A">
        <w:t xml:space="preserve">Answers to question </w:t>
      </w:r>
      <w:r w:rsidR="0022164A">
        <w:t>‘</w:t>
      </w:r>
      <w:r w:rsidRPr="00E5413A">
        <w:t>How was the financial incentive paid?</w:t>
      </w:r>
      <w:r w:rsidR="0022164A">
        <w:t>’</w:t>
      </w:r>
    </w:p>
    <w:p w14:paraId="31AE170B" w14:textId="60D37D6F" w:rsidR="006510E3" w:rsidRPr="008338FF" w:rsidRDefault="006510E3" w:rsidP="00AE4704">
      <w:pPr>
        <w:pStyle w:val="Notesnumbered"/>
        <w:numPr>
          <w:ilvl w:val="0"/>
          <w:numId w:val="244"/>
        </w:numPr>
        <w:ind w:left="709" w:hanging="567"/>
        <w:rPr>
          <w:noProof/>
        </w:rPr>
      </w:pPr>
      <w:r w:rsidRPr="00E5413A">
        <w:t>Answers to</w:t>
      </w:r>
      <w:r w:rsidRPr="00C60BD7">
        <w:rPr>
          <w:noProof/>
        </w:rPr>
        <w:t xml:space="preserve"> question </w:t>
      </w:r>
      <w:r w:rsidR="0022164A">
        <w:rPr>
          <w:noProof/>
        </w:rPr>
        <w:t>‘</w:t>
      </w:r>
      <w:r w:rsidRPr="00C60BD7">
        <w:rPr>
          <w:noProof/>
        </w:rPr>
        <w:t>What is the best way of paying financial incentives to employers?</w:t>
      </w:r>
      <w:r w:rsidR="0022164A">
        <w:rPr>
          <w:noProof/>
        </w:rPr>
        <w:t>’</w:t>
      </w:r>
    </w:p>
    <w:p w14:paraId="7EB6CE65" w14:textId="77777777" w:rsidR="00370213" w:rsidRPr="00C60BD7" w:rsidRDefault="00370213" w:rsidP="001802E6">
      <w:pPr>
        <w:pStyle w:val="Source"/>
      </w:pPr>
      <w:r w:rsidRPr="0030062B">
        <w:rPr>
          <w:b/>
        </w:rPr>
        <w:t>Source:</w:t>
      </w:r>
      <w:r>
        <w:tab/>
      </w:r>
      <w:r w:rsidRPr="001F180A">
        <w:t xml:space="preserve">Department of Employment, 2016. </w:t>
      </w:r>
      <w:r w:rsidRPr="00063D8A">
        <w:rPr>
          <w:i/>
        </w:rPr>
        <w:t xml:space="preserve">The Effectiveness of Wage Subsidies in </w:t>
      </w:r>
      <w:r>
        <w:rPr>
          <w:i/>
        </w:rPr>
        <w:t xml:space="preserve">Australian Government Services, </w:t>
      </w:r>
      <w:r w:rsidRPr="00581520">
        <w:t>Canberra</w:t>
      </w:r>
      <w:r w:rsidRPr="00C60BD7">
        <w:t>.</w:t>
      </w:r>
    </w:p>
    <w:p w14:paraId="4618EAE2" w14:textId="77777777" w:rsidR="006510E3" w:rsidRPr="008268A7" w:rsidRDefault="006510E3" w:rsidP="008268A7">
      <w:pPr>
        <w:pStyle w:val="Heading2withoutnumbering"/>
        <w:rPr>
          <w:rFonts w:eastAsiaTheme="majorEastAsia"/>
        </w:rPr>
      </w:pPr>
      <w:bookmarkStart w:id="488" w:name="_Toc22543132"/>
      <w:r w:rsidRPr="008268A7">
        <w:rPr>
          <w:rFonts w:eastAsiaTheme="majorEastAsia"/>
        </w:rPr>
        <w:t>8.</w:t>
      </w:r>
      <w:r w:rsidR="00130E90" w:rsidRPr="008268A7">
        <w:rPr>
          <w:rFonts w:eastAsiaTheme="majorEastAsia"/>
        </w:rPr>
        <w:t>3</w:t>
      </w:r>
      <w:r w:rsidR="008268A7" w:rsidRPr="008268A7">
        <w:rPr>
          <w:rFonts w:eastAsiaTheme="majorEastAsia"/>
        </w:rPr>
        <w:tab/>
      </w:r>
      <w:r w:rsidR="00A42F7A" w:rsidRPr="008268A7">
        <w:rPr>
          <w:rFonts w:eastAsiaTheme="majorEastAsia"/>
        </w:rPr>
        <w:t>C</w:t>
      </w:r>
      <w:r w:rsidRPr="008268A7">
        <w:rPr>
          <w:rFonts w:eastAsiaTheme="majorEastAsia"/>
        </w:rPr>
        <w:t>onclusion</w:t>
      </w:r>
      <w:bookmarkEnd w:id="488"/>
    </w:p>
    <w:p w14:paraId="44F7B30C" w14:textId="77777777" w:rsidR="006510E3" w:rsidRDefault="006510E3" w:rsidP="006510E3">
      <w:pPr>
        <w:rPr>
          <w:rFonts w:ascii="Calibri" w:hAnsi="Calibri" w:cs="Calibri"/>
        </w:rPr>
      </w:pPr>
      <w:r>
        <w:rPr>
          <w:rFonts w:ascii="Calibri" w:hAnsi="Calibri" w:cs="Calibri"/>
        </w:rPr>
        <w:t>Assuming that income support status at 52 weeks is employment-related, the</w:t>
      </w:r>
      <w:r w:rsidR="00C60BD7">
        <w:rPr>
          <w:rFonts w:ascii="Calibri" w:hAnsi="Calibri" w:cs="Calibri"/>
        </w:rPr>
        <w:t xml:space="preserve"> </w:t>
      </w:r>
      <w:r w:rsidR="00DF235C">
        <w:rPr>
          <w:rFonts w:ascii="Calibri" w:hAnsi="Calibri" w:cs="Calibri"/>
        </w:rPr>
        <w:t>analysi</w:t>
      </w:r>
      <w:r w:rsidR="00C60BD7">
        <w:rPr>
          <w:rFonts w:ascii="Calibri" w:hAnsi="Calibri" w:cs="Calibri"/>
        </w:rPr>
        <w:t>s</w:t>
      </w:r>
      <w:r w:rsidR="00DF235C">
        <w:rPr>
          <w:rFonts w:ascii="Calibri" w:hAnsi="Calibri" w:cs="Calibri"/>
        </w:rPr>
        <w:t xml:space="preserve"> finds</w:t>
      </w:r>
      <w:r>
        <w:rPr>
          <w:rFonts w:ascii="Calibri" w:hAnsi="Calibri" w:cs="Calibri"/>
        </w:rPr>
        <w:t xml:space="preserve"> that EPF and Wage Connect negotiated job placements </w:t>
      </w:r>
      <w:r w:rsidR="00DF235C">
        <w:rPr>
          <w:rFonts w:ascii="Calibri" w:hAnsi="Calibri" w:cs="Calibri"/>
        </w:rPr>
        <w:t xml:space="preserve">were </w:t>
      </w:r>
      <w:r>
        <w:rPr>
          <w:rFonts w:ascii="Calibri" w:hAnsi="Calibri" w:cs="Calibri"/>
        </w:rPr>
        <w:t xml:space="preserve">significantly more likely to result in sustained employment and reduced welfare dependency than unsubsidised placements for unemployed </w:t>
      </w:r>
      <w:r w:rsidR="00DF235C">
        <w:rPr>
          <w:rFonts w:ascii="Calibri" w:hAnsi="Calibri" w:cs="Calibri"/>
        </w:rPr>
        <w:t>NSA and YA(O)</w:t>
      </w:r>
      <w:r>
        <w:rPr>
          <w:rFonts w:ascii="Calibri" w:hAnsi="Calibri" w:cs="Calibri"/>
        </w:rPr>
        <w:t xml:space="preserve"> recipients. </w:t>
      </w:r>
      <w:r w:rsidR="005B435A">
        <w:t xml:space="preserve">However, </w:t>
      </w:r>
      <w:r>
        <w:t xml:space="preserve">the </w:t>
      </w:r>
      <w:r w:rsidR="00DF235C">
        <w:t>analysis finds</w:t>
      </w:r>
      <w:r>
        <w:t xml:space="preserve"> no evidence that subsidised placement</w:t>
      </w:r>
      <w:r w:rsidR="00DF235C">
        <w:t>s</w:t>
      </w:r>
      <w:r>
        <w:t xml:space="preserve"> assist PP recipients to reduce reliance on income support, wage </w:t>
      </w:r>
      <w:r>
        <w:rPr>
          <w:rFonts w:ascii="Calibri" w:hAnsi="Calibri" w:cs="Calibri"/>
        </w:rPr>
        <w:t>subsidies may still help these individuals maintain labour market attachment and consequently improve long-term employment prospects.</w:t>
      </w:r>
    </w:p>
    <w:p w14:paraId="6D9CB01E" w14:textId="77777777" w:rsidR="006510E3" w:rsidRDefault="006510E3" w:rsidP="006510E3">
      <w:pPr>
        <w:rPr>
          <w:rFonts w:ascii="Calibri" w:hAnsi="Calibri" w:cs="Calibri"/>
        </w:rPr>
      </w:pPr>
      <w:r>
        <w:rPr>
          <w:rFonts w:ascii="Calibri" w:hAnsi="Calibri" w:cs="Calibri"/>
        </w:rPr>
        <w:t xml:space="preserve">Where demand for wage subsidies exceeds supply, as </w:t>
      </w:r>
      <w:r w:rsidR="00DF235C">
        <w:rPr>
          <w:rFonts w:ascii="Calibri" w:hAnsi="Calibri" w:cs="Calibri"/>
        </w:rPr>
        <w:t>was</w:t>
      </w:r>
      <w:r>
        <w:rPr>
          <w:rFonts w:ascii="Calibri" w:hAnsi="Calibri" w:cs="Calibri"/>
        </w:rPr>
        <w:t xml:space="preserve"> the case for Wage Connect, it is recommended to exclusively target eligible job seekers with full-time participation requirements (currently, </w:t>
      </w:r>
      <w:r w:rsidR="00DF235C">
        <w:rPr>
          <w:rFonts w:ascii="Calibri" w:hAnsi="Calibri" w:cs="Calibri"/>
        </w:rPr>
        <w:t>NSA</w:t>
      </w:r>
      <w:r>
        <w:rPr>
          <w:rFonts w:ascii="Calibri" w:hAnsi="Calibri" w:cs="Calibri"/>
        </w:rPr>
        <w:t xml:space="preserve"> and </w:t>
      </w:r>
      <w:r w:rsidR="00DF235C">
        <w:rPr>
          <w:rFonts w:ascii="Calibri" w:hAnsi="Calibri" w:cs="Calibri"/>
        </w:rPr>
        <w:t>YA(O</w:t>
      </w:r>
      <w:r>
        <w:rPr>
          <w:rFonts w:ascii="Calibri" w:hAnsi="Calibri" w:cs="Calibri"/>
        </w:rPr>
        <w:t>) recipients) on the basis of significantly reduced reliance on income support and demonstrated net saving for this group, rather than closing a programme to all applicants.</w:t>
      </w:r>
    </w:p>
    <w:p w14:paraId="2F1D6A28" w14:textId="0A58FC80" w:rsidR="006510E3" w:rsidRDefault="006510E3" w:rsidP="006510E3">
      <w:pPr>
        <w:rPr>
          <w:rFonts w:ascii="Calibri" w:hAnsi="Calibri" w:cs="Calibri"/>
        </w:rPr>
      </w:pPr>
      <w:r>
        <w:t>Subsidised job placements do not always lead to ongoing employment.</w:t>
      </w:r>
      <w:r w:rsidRPr="00E031F9">
        <w:t xml:space="preserve"> </w:t>
      </w:r>
      <w:r>
        <w:t>Employers report that they look for job applicants who possess the ‘soft skills’, willingness to work and reliability, and are often willing to provide on-the-job training to help develop job-specific skills. Employment service</w:t>
      </w:r>
      <w:r w:rsidR="00E7638D">
        <w:t>s</w:t>
      </w:r>
      <w:r>
        <w:t xml:space="preserve"> providers need to use other strategies to help job seekers become work ready before referring to employers, and use wage subsidies only for those who are ready and willing to work.</w:t>
      </w:r>
    </w:p>
    <w:p w14:paraId="167E52BB" w14:textId="77777777" w:rsidR="008F1B8A" w:rsidRDefault="006510E3">
      <w:pPr>
        <w:rPr>
          <w:rFonts w:ascii="Calibri" w:hAnsi="Calibri" w:cs="Calibri"/>
        </w:rPr>
      </w:pPr>
      <w:r>
        <w:rPr>
          <w:rFonts w:ascii="Calibri" w:hAnsi="Calibri" w:cs="Calibri"/>
        </w:rPr>
        <w:t>To encourage better job matching by service providers, it is recommended that pro-rata payments for placements that end prematurely be removed, as they seem to reduce the risk to service providers who place job seekers inappropriately. Payment schedules that reduce the upfront risk to employers (e.g. pay a proportion of the subsidy upfront and the remainder at the end of the subsidy period), and decouple the final claim from provider outcome payments, are recommended. Furthermore, as wage subsidies for small employers deliver higher primary benefits and lower deadweight loss than subsidies paid to large employers, subsidies</w:t>
      </w:r>
      <w:r w:rsidRPr="00B053B9">
        <w:rPr>
          <w:rFonts w:ascii="Calibri" w:hAnsi="Calibri" w:cs="Calibri"/>
        </w:rPr>
        <w:t xml:space="preserve"> </w:t>
      </w:r>
      <w:r>
        <w:rPr>
          <w:rFonts w:ascii="Calibri" w:hAnsi="Calibri" w:cs="Calibri"/>
        </w:rPr>
        <w:t>may be</w:t>
      </w:r>
      <w:r w:rsidRPr="00B053B9">
        <w:rPr>
          <w:rFonts w:ascii="Calibri" w:hAnsi="Calibri" w:cs="Calibri"/>
        </w:rPr>
        <w:t xml:space="preserve"> best targeted at small to medium enterprises</w:t>
      </w:r>
      <w:r>
        <w:rPr>
          <w:rFonts w:ascii="Calibri" w:hAnsi="Calibri" w:cs="Calibri"/>
        </w:rPr>
        <w:t>.</w:t>
      </w:r>
      <w:r w:rsidR="008F1B8A">
        <w:rPr>
          <w:rFonts w:ascii="Calibri" w:hAnsi="Calibri" w:cs="Calibri"/>
        </w:rPr>
        <w:br w:type="page"/>
      </w:r>
    </w:p>
    <w:p w14:paraId="07388D61" w14:textId="77777777" w:rsidR="004541A6" w:rsidRPr="005C0A80" w:rsidRDefault="003F752C" w:rsidP="005C0A80">
      <w:pPr>
        <w:pStyle w:val="Heading1"/>
      </w:pPr>
      <w:bookmarkStart w:id="489" w:name="_Toc402170625"/>
      <w:bookmarkStart w:id="490" w:name="_Toc22543133"/>
      <w:bookmarkEnd w:id="418"/>
      <w:bookmarkEnd w:id="468"/>
      <w:bookmarkEnd w:id="469"/>
      <w:r w:rsidRPr="005C0A80">
        <w:t>9</w:t>
      </w:r>
      <w:r w:rsidR="004541A6" w:rsidRPr="005C0A80">
        <w:tab/>
      </w:r>
      <w:r w:rsidR="005E1B5A" w:rsidRPr="005C0A80">
        <w:t xml:space="preserve">Employer </w:t>
      </w:r>
      <w:r w:rsidR="00F25462" w:rsidRPr="005C0A80">
        <w:t>servicing</w:t>
      </w:r>
      <w:bookmarkEnd w:id="489"/>
      <w:bookmarkEnd w:id="490"/>
    </w:p>
    <w:p w14:paraId="1F94739E" w14:textId="77777777" w:rsidR="001C5622" w:rsidRPr="005C0A80" w:rsidRDefault="001C5622" w:rsidP="005C0A80">
      <w:pPr>
        <w:pStyle w:val="Heading2"/>
      </w:pPr>
      <w:bookmarkStart w:id="491" w:name="_Toc397333917"/>
      <w:bookmarkStart w:id="492" w:name="_Toc450919347"/>
      <w:bookmarkStart w:id="493" w:name="_Toc22543134"/>
      <w:r w:rsidRPr="005C0A80">
        <w:t>9.1</w:t>
      </w:r>
      <w:r w:rsidRPr="005C0A80">
        <w:tab/>
        <w:t>Introduction</w:t>
      </w:r>
      <w:bookmarkEnd w:id="491"/>
      <w:bookmarkEnd w:id="492"/>
      <w:bookmarkEnd w:id="493"/>
    </w:p>
    <w:p w14:paraId="1D2442C7" w14:textId="23CAA3AD" w:rsidR="001C5622" w:rsidRDefault="001C5622" w:rsidP="001C5622">
      <w:pPr>
        <w:rPr>
          <w:vertAlign w:val="superscript"/>
        </w:rPr>
      </w:pPr>
      <w:r w:rsidRPr="005C0A80">
        <w:t xml:space="preserve">Under the Job Services Australia (JSA) service delivery model, providers were required to work with employers to determine their needs and focus on skills development to meet skill </w:t>
      </w:r>
      <w:r w:rsidR="003A717B">
        <w:t>shortages. This chapter</w:t>
      </w:r>
      <w:r w:rsidR="0030062B">
        <w:t xml:space="preserve"> </w:t>
      </w:r>
      <w:r w:rsidR="003A717B">
        <w:t xml:space="preserve">explores changes to </w:t>
      </w:r>
      <w:r w:rsidR="00BC72D3">
        <w:t xml:space="preserve">provider services </w:t>
      </w:r>
      <w:r w:rsidR="001B7EF3">
        <w:t>between the 20</w:t>
      </w:r>
      <w:r w:rsidR="005E18CF">
        <w:t>09</w:t>
      </w:r>
      <w:r w:rsidR="001B7EF3">
        <w:t xml:space="preserve"> and 201</w:t>
      </w:r>
      <w:r w:rsidR="005E18CF">
        <w:t>2</w:t>
      </w:r>
      <w:r w:rsidR="001B7EF3">
        <w:t xml:space="preserve"> contracts,</w:t>
      </w:r>
      <w:r w:rsidRPr="006D42E4">
        <w:t xml:space="preserve"> awareness of the JSA brand, both </w:t>
      </w:r>
      <w:r w:rsidR="001B7EF3" w:rsidRPr="00133C28">
        <w:t>between JSA contracts</w:t>
      </w:r>
      <w:r w:rsidR="001B7EF3" w:rsidRPr="006D42E4">
        <w:t xml:space="preserve"> </w:t>
      </w:r>
      <w:r w:rsidR="001B7EF3">
        <w:t xml:space="preserve">and </w:t>
      </w:r>
      <w:r w:rsidRPr="006D42E4">
        <w:t>compared to its predecessor (Job Network</w:t>
      </w:r>
      <w:r w:rsidR="003E2CAD">
        <w:t xml:space="preserve"> (JN)</w:t>
      </w:r>
      <w:r w:rsidRPr="006D42E4">
        <w:t>)</w:t>
      </w:r>
      <w:r w:rsidRPr="00133C28">
        <w:t xml:space="preserve"> and employer use and perceptions of job seekers and services under the last JSA contract (</w:t>
      </w:r>
      <w:r w:rsidR="00A669E6">
        <w:t>JSA 2012</w:t>
      </w:r>
      <w:r w:rsidRPr="00133C28">
        <w:t>)</w:t>
      </w:r>
      <w:r w:rsidRPr="005C0A80">
        <w:t>.</w:t>
      </w:r>
    </w:p>
    <w:p w14:paraId="13227F9F" w14:textId="77777777" w:rsidR="007728F1" w:rsidRDefault="007728F1" w:rsidP="00B0223F">
      <w:pPr>
        <w:pStyle w:val="Heading2"/>
      </w:pPr>
      <w:bookmarkStart w:id="494" w:name="_Toc450919348"/>
      <w:bookmarkStart w:id="495" w:name="_Toc22543135"/>
      <w:r>
        <w:t>9.2</w:t>
      </w:r>
      <w:r>
        <w:tab/>
        <w:t xml:space="preserve">Key </w:t>
      </w:r>
      <w:bookmarkEnd w:id="494"/>
      <w:r w:rsidR="00BC72D3">
        <w:t>findings</w:t>
      </w:r>
      <w:bookmarkEnd w:id="495"/>
    </w:p>
    <w:p w14:paraId="2D86BA80" w14:textId="77777777" w:rsidR="004021B4" w:rsidRDefault="004021B4" w:rsidP="002F496A">
      <w:pPr>
        <w:pStyle w:val="Heading3"/>
      </w:pPr>
      <w:bookmarkStart w:id="496" w:name="_Toc22543136"/>
      <w:r>
        <w:t>9.2</w:t>
      </w:r>
      <w:r w:rsidR="007728F1">
        <w:t>.1</w:t>
      </w:r>
      <w:r>
        <w:t xml:space="preserve"> </w:t>
      </w:r>
      <w:r w:rsidR="00B0223F">
        <w:tab/>
      </w:r>
      <w:r>
        <w:t xml:space="preserve">Changes to </w:t>
      </w:r>
      <w:r w:rsidR="00BC72D3">
        <w:t xml:space="preserve">provider services </w:t>
      </w:r>
      <w:r>
        <w:t xml:space="preserve">between </w:t>
      </w:r>
      <w:r w:rsidR="00BC72D3">
        <w:t>contracts</w:t>
      </w:r>
      <w:bookmarkEnd w:id="496"/>
    </w:p>
    <w:p w14:paraId="24AD7BC5" w14:textId="77777777" w:rsidR="003B393F" w:rsidRDefault="003B393F" w:rsidP="003B393F">
      <w:r>
        <w:t xml:space="preserve">The services </w:t>
      </w:r>
      <w:r w:rsidR="009F6570">
        <w:t xml:space="preserve">typically </w:t>
      </w:r>
      <w:r>
        <w:t>provided to employers include:</w:t>
      </w:r>
    </w:p>
    <w:p w14:paraId="2E72020B" w14:textId="77777777" w:rsidR="003B393F" w:rsidRDefault="003B393F" w:rsidP="00FD5414">
      <w:pPr>
        <w:pStyle w:val="ListParagraph"/>
      </w:pPr>
      <w:r>
        <w:t>advertising job vacancies</w:t>
      </w:r>
    </w:p>
    <w:p w14:paraId="66C532CA" w14:textId="77777777" w:rsidR="003B393F" w:rsidRDefault="003B393F" w:rsidP="00FD5414">
      <w:pPr>
        <w:pStyle w:val="ListParagraph"/>
      </w:pPr>
      <w:r>
        <w:t>reverse marketing job seekers</w:t>
      </w:r>
      <w:r w:rsidR="00E307E8">
        <w:rPr>
          <w:rStyle w:val="FootnoteReference"/>
        </w:rPr>
        <w:footnoteReference w:id="79"/>
      </w:r>
    </w:p>
    <w:p w14:paraId="363A6492" w14:textId="77777777" w:rsidR="003B393F" w:rsidRDefault="003B393F" w:rsidP="00FD5414">
      <w:pPr>
        <w:pStyle w:val="ListParagraph"/>
      </w:pPr>
      <w:r>
        <w:t>referring job seekers to vacancies</w:t>
      </w:r>
    </w:p>
    <w:p w14:paraId="7931122C" w14:textId="77777777" w:rsidR="003B393F" w:rsidRDefault="003B393F" w:rsidP="00FD5414">
      <w:pPr>
        <w:pStyle w:val="ListParagraph"/>
      </w:pPr>
      <w:r>
        <w:t>screening and shortlisting candidates</w:t>
      </w:r>
    </w:p>
    <w:p w14:paraId="6A9319B8" w14:textId="77777777" w:rsidR="003B393F" w:rsidRDefault="003B393F" w:rsidP="00FD5414">
      <w:pPr>
        <w:pStyle w:val="ListParagraph"/>
      </w:pPr>
      <w:r>
        <w:t>providing post-placement support and follow-up</w:t>
      </w:r>
      <w:r w:rsidR="00E307E8">
        <w:rPr>
          <w:rStyle w:val="FootnoteReference"/>
        </w:rPr>
        <w:footnoteReference w:id="80"/>
      </w:r>
    </w:p>
    <w:p w14:paraId="284E8BE0" w14:textId="48240432" w:rsidR="003B393F" w:rsidRDefault="003B393F" w:rsidP="00FD5414">
      <w:pPr>
        <w:pStyle w:val="ListParagraph"/>
      </w:pPr>
      <w:r>
        <w:t>pre</w:t>
      </w:r>
      <w:r w:rsidR="00024C64">
        <w:t>-</w:t>
      </w:r>
      <w:r>
        <w:t xml:space="preserve"> and post-placement training</w:t>
      </w:r>
      <w:r w:rsidR="00BC72D3">
        <w:t>.</w:t>
      </w:r>
    </w:p>
    <w:p w14:paraId="6858D6A8" w14:textId="77777777" w:rsidR="004021B4" w:rsidRDefault="003A717B" w:rsidP="003B393F">
      <w:r>
        <w:t>C</w:t>
      </w:r>
      <w:r w:rsidR="004021B4">
        <w:t xml:space="preserve">hanges to the way providers reported and were renumerated </w:t>
      </w:r>
      <w:r w:rsidR="00B0223F">
        <w:t xml:space="preserve">for </w:t>
      </w:r>
      <w:r w:rsidR="003B393F">
        <w:t xml:space="preserve">some </w:t>
      </w:r>
      <w:r w:rsidR="004021B4">
        <w:t xml:space="preserve">services relating to </w:t>
      </w:r>
      <w:r w:rsidR="00BC72D3">
        <w:t xml:space="preserve">employer servicing </w:t>
      </w:r>
      <w:r>
        <w:t xml:space="preserve">were implemented </w:t>
      </w:r>
      <w:r w:rsidR="004021B4">
        <w:t>between the two contracts. These are outlined in Table 9.1</w:t>
      </w:r>
    </w:p>
    <w:p w14:paraId="332FD368" w14:textId="2620347A" w:rsidR="004021B4" w:rsidRDefault="004021B4" w:rsidP="00B0223F">
      <w:pPr>
        <w:pStyle w:val="Tableforcontents"/>
      </w:pPr>
      <w:bookmarkStart w:id="497" w:name="_Toc22544002"/>
      <w:r>
        <w:t>Table 9.1</w:t>
      </w:r>
      <w:r w:rsidR="00793982">
        <w:t>: C</w:t>
      </w:r>
      <w:r>
        <w:t>hanges to</w:t>
      </w:r>
      <w:r w:rsidR="00B0223F">
        <w:t xml:space="preserve"> </w:t>
      </w:r>
      <w:r w:rsidR="00290EF7">
        <w:t>p</w:t>
      </w:r>
      <w:r w:rsidR="00B0223F">
        <w:t xml:space="preserve">rovider </w:t>
      </w:r>
      <w:r w:rsidR="00290EF7">
        <w:t>s</w:t>
      </w:r>
      <w:r w:rsidR="00B0223F">
        <w:t>ervices between</w:t>
      </w:r>
      <w:r w:rsidR="00804032">
        <w:t xml:space="preserve"> the JSA</w:t>
      </w:r>
      <w:r w:rsidR="00B0223F">
        <w:t xml:space="preserve"> 2009 and </w:t>
      </w:r>
      <w:r w:rsidR="00804032">
        <w:t xml:space="preserve">JSA </w:t>
      </w:r>
      <w:r w:rsidR="00B0223F">
        <w:t>2012 contracts</w:t>
      </w:r>
      <w:bookmarkEnd w:id="497"/>
      <w: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4021B4" w14:paraId="5F8C134A" w14:textId="77777777" w:rsidTr="00232CF7">
        <w:trPr>
          <w:trHeight w:val="304"/>
          <w:tblHeader/>
        </w:trPr>
        <w:tc>
          <w:tcPr>
            <w:tcW w:w="4621" w:type="dxa"/>
            <w:tcBorders>
              <w:top w:val="single" w:sz="4" w:space="0" w:color="auto"/>
              <w:bottom w:val="nil"/>
            </w:tcBorders>
            <w:shd w:val="clear" w:color="auto" w:fill="1E3D6B"/>
            <w:vAlign w:val="center"/>
          </w:tcPr>
          <w:p w14:paraId="4CCE1798" w14:textId="3B56CD29" w:rsidR="004021B4" w:rsidRPr="0030062B" w:rsidRDefault="004021B4" w:rsidP="00804032">
            <w:pPr>
              <w:jc w:val="center"/>
              <w:rPr>
                <w:b/>
                <w:sz w:val="20"/>
                <w:szCs w:val="20"/>
              </w:rPr>
            </w:pPr>
            <w:bookmarkStart w:id="498" w:name="ColumnTitle_91"/>
            <w:bookmarkEnd w:id="498"/>
            <w:r w:rsidRPr="0030062B">
              <w:rPr>
                <w:b/>
                <w:sz w:val="20"/>
                <w:szCs w:val="20"/>
              </w:rPr>
              <w:t>JSA 2009</w:t>
            </w:r>
          </w:p>
        </w:tc>
        <w:tc>
          <w:tcPr>
            <w:tcW w:w="4622" w:type="dxa"/>
            <w:tcBorders>
              <w:top w:val="single" w:sz="4" w:space="0" w:color="auto"/>
              <w:bottom w:val="nil"/>
            </w:tcBorders>
            <w:shd w:val="clear" w:color="auto" w:fill="1E3D6B"/>
            <w:vAlign w:val="center"/>
          </w:tcPr>
          <w:p w14:paraId="196C01C1" w14:textId="21BE7FFE" w:rsidR="004021B4" w:rsidRPr="0030062B" w:rsidRDefault="004021B4" w:rsidP="00804032">
            <w:pPr>
              <w:jc w:val="center"/>
              <w:rPr>
                <w:b/>
                <w:sz w:val="20"/>
                <w:szCs w:val="20"/>
              </w:rPr>
            </w:pPr>
            <w:r w:rsidRPr="0030062B">
              <w:rPr>
                <w:b/>
                <w:sz w:val="20"/>
                <w:szCs w:val="20"/>
              </w:rPr>
              <w:t>JSA 2012</w:t>
            </w:r>
          </w:p>
        </w:tc>
      </w:tr>
      <w:tr w:rsidR="004021B4" w14:paraId="3D070FFD" w14:textId="77777777" w:rsidTr="00232CF7">
        <w:tc>
          <w:tcPr>
            <w:tcW w:w="4621" w:type="dxa"/>
            <w:tcBorders>
              <w:top w:val="nil"/>
              <w:bottom w:val="nil"/>
            </w:tcBorders>
          </w:tcPr>
          <w:p w14:paraId="1BCCF758" w14:textId="77777777" w:rsidR="004021B4" w:rsidRDefault="004021B4" w:rsidP="00BC72D3">
            <w:r w:rsidRPr="00B0223F">
              <w:rPr>
                <w:sz w:val="20"/>
                <w:szCs w:val="20"/>
              </w:rPr>
              <w:t xml:space="preserve">Batch Commitments allowed for claiming Provider Services sub-categories of </w:t>
            </w:r>
            <w:r w:rsidR="00BC72D3">
              <w:rPr>
                <w:sz w:val="20"/>
                <w:szCs w:val="20"/>
              </w:rPr>
              <w:t>a</w:t>
            </w:r>
            <w:r w:rsidR="00BC72D3" w:rsidRPr="00B0223F">
              <w:rPr>
                <w:sz w:val="20"/>
                <w:szCs w:val="20"/>
              </w:rPr>
              <w:t xml:space="preserve">dditional </w:t>
            </w:r>
            <w:r w:rsidR="00BC72D3">
              <w:rPr>
                <w:sz w:val="20"/>
                <w:szCs w:val="20"/>
              </w:rPr>
              <w:t>c</w:t>
            </w:r>
            <w:r w:rsidR="00BC72D3" w:rsidRPr="00B0223F">
              <w:rPr>
                <w:sz w:val="20"/>
                <w:szCs w:val="20"/>
              </w:rPr>
              <w:t>ontacts</w:t>
            </w:r>
            <w:r w:rsidRPr="00B0223F">
              <w:rPr>
                <w:sz w:val="20"/>
                <w:szCs w:val="20"/>
              </w:rPr>
              <w:t xml:space="preserve">, </w:t>
            </w:r>
            <w:r w:rsidR="0051078B">
              <w:rPr>
                <w:sz w:val="20"/>
                <w:szCs w:val="20"/>
              </w:rPr>
              <w:t>r</w:t>
            </w:r>
            <w:r w:rsidRPr="00B0223F">
              <w:rPr>
                <w:sz w:val="20"/>
                <w:szCs w:val="20"/>
              </w:rPr>
              <w:t xml:space="preserve">everse </w:t>
            </w:r>
            <w:r w:rsidR="0051078B">
              <w:rPr>
                <w:sz w:val="20"/>
                <w:szCs w:val="20"/>
              </w:rPr>
              <w:t>m</w:t>
            </w:r>
            <w:r w:rsidRPr="00B0223F">
              <w:rPr>
                <w:sz w:val="20"/>
                <w:szCs w:val="20"/>
              </w:rPr>
              <w:t xml:space="preserve">arketing, Post-Placement </w:t>
            </w:r>
            <w:r w:rsidR="00BC72D3">
              <w:rPr>
                <w:sz w:val="20"/>
                <w:szCs w:val="20"/>
              </w:rPr>
              <w:t>s</w:t>
            </w:r>
            <w:r w:rsidR="00BC72D3" w:rsidRPr="00B0223F">
              <w:rPr>
                <w:sz w:val="20"/>
                <w:szCs w:val="20"/>
              </w:rPr>
              <w:t xml:space="preserve">upport </w:t>
            </w:r>
            <w:r w:rsidRPr="00B0223F">
              <w:rPr>
                <w:sz w:val="20"/>
                <w:szCs w:val="20"/>
              </w:rPr>
              <w:t xml:space="preserve">and </w:t>
            </w:r>
            <w:r w:rsidR="00BC72D3">
              <w:rPr>
                <w:sz w:val="20"/>
                <w:szCs w:val="20"/>
              </w:rPr>
              <w:t>m</w:t>
            </w:r>
            <w:r w:rsidR="00BC72D3" w:rsidRPr="00B0223F">
              <w:rPr>
                <w:sz w:val="20"/>
                <w:szCs w:val="20"/>
              </w:rPr>
              <w:t>entoring</w:t>
            </w:r>
            <w:r w:rsidRPr="00B0223F">
              <w:rPr>
                <w:sz w:val="20"/>
                <w:szCs w:val="20"/>
              </w:rPr>
              <w:t xml:space="preserve">; and </w:t>
            </w:r>
            <w:r w:rsidR="00BC72D3">
              <w:rPr>
                <w:sz w:val="20"/>
                <w:szCs w:val="20"/>
              </w:rPr>
              <w:t>w</w:t>
            </w:r>
            <w:r w:rsidR="00BC72D3" w:rsidRPr="00B0223F">
              <w:rPr>
                <w:sz w:val="20"/>
                <w:szCs w:val="20"/>
              </w:rPr>
              <w:t xml:space="preserve">age </w:t>
            </w:r>
            <w:r w:rsidR="00BC72D3">
              <w:rPr>
                <w:sz w:val="20"/>
                <w:szCs w:val="20"/>
              </w:rPr>
              <w:t>s</w:t>
            </w:r>
            <w:r w:rsidR="00BC72D3" w:rsidRPr="00B0223F">
              <w:rPr>
                <w:sz w:val="20"/>
                <w:szCs w:val="20"/>
              </w:rPr>
              <w:t>ubsidies</w:t>
            </w:r>
            <w:r w:rsidR="00C67A39">
              <w:rPr>
                <w:sz w:val="20"/>
                <w:szCs w:val="20"/>
              </w:rPr>
              <w:t>.</w:t>
            </w:r>
            <w:r w:rsidR="00C67A39" w:rsidRPr="00B0223F">
              <w:rPr>
                <w:vertAlign w:val="superscript"/>
              </w:rPr>
              <w:t>1</w:t>
            </w:r>
          </w:p>
        </w:tc>
        <w:tc>
          <w:tcPr>
            <w:tcW w:w="4622" w:type="dxa"/>
            <w:tcBorders>
              <w:top w:val="nil"/>
              <w:bottom w:val="nil"/>
            </w:tcBorders>
          </w:tcPr>
          <w:p w14:paraId="2139AF4E" w14:textId="77777777" w:rsidR="004021B4" w:rsidRPr="00B0223F" w:rsidRDefault="004021B4" w:rsidP="00BC72D3">
            <w:pPr>
              <w:rPr>
                <w:sz w:val="20"/>
                <w:szCs w:val="20"/>
              </w:rPr>
            </w:pPr>
            <w:r w:rsidRPr="00B0223F">
              <w:rPr>
                <w:sz w:val="20"/>
                <w:szCs w:val="20"/>
              </w:rPr>
              <w:t xml:space="preserve">Batch </w:t>
            </w:r>
            <w:r w:rsidR="00BC72D3">
              <w:rPr>
                <w:sz w:val="20"/>
                <w:szCs w:val="20"/>
              </w:rPr>
              <w:t>c</w:t>
            </w:r>
            <w:r w:rsidR="00BC72D3" w:rsidRPr="00B0223F">
              <w:rPr>
                <w:sz w:val="20"/>
                <w:szCs w:val="20"/>
              </w:rPr>
              <w:t xml:space="preserve">ommitments </w:t>
            </w:r>
            <w:r w:rsidRPr="00B0223F">
              <w:rPr>
                <w:sz w:val="20"/>
                <w:szCs w:val="20"/>
              </w:rPr>
              <w:t>were removed for these services.</w:t>
            </w:r>
          </w:p>
        </w:tc>
      </w:tr>
      <w:tr w:rsidR="004021B4" w14:paraId="79BBD1CA" w14:textId="77777777" w:rsidTr="00232CF7">
        <w:tc>
          <w:tcPr>
            <w:tcW w:w="4621" w:type="dxa"/>
            <w:tcBorders>
              <w:top w:val="nil"/>
              <w:bottom w:val="nil"/>
            </w:tcBorders>
            <w:shd w:val="clear" w:color="auto" w:fill="E5E5E5" w:themeFill="background1" w:themeFillTint="33"/>
          </w:tcPr>
          <w:p w14:paraId="52FD2FC8" w14:textId="62101E1C" w:rsidR="004021B4" w:rsidRPr="0030062B" w:rsidRDefault="004021B4" w:rsidP="00232CF7">
            <w:pPr>
              <w:rPr>
                <w:sz w:val="20"/>
                <w:szCs w:val="20"/>
              </w:rPr>
            </w:pPr>
            <w:r w:rsidRPr="007728F1">
              <w:rPr>
                <w:sz w:val="20"/>
                <w:szCs w:val="20"/>
              </w:rPr>
              <w:t xml:space="preserve">No requirement for entries to be included in </w:t>
            </w:r>
            <w:r w:rsidRPr="0030062B">
              <w:rPr>
                <w:sz w:val="20"/>
                <w:szCs w:val="20"/>
              </w:rPr>
              <w:t>a job seeker’s E</w:t>
            </w:r>
            <w:r w:rsidR="00024C64">
              <w:rPr>
                <w:sz w:val="20"/>
                <w:szCs w:val="20"/>
              </w:rPr>
              <w:t xml:space="preserve">mployment </w:t>
            </w:r>
            <w:r w:rsidRPr="0030062B">
              <w:rPr>
                <w:sz w:val="20"/>
                <w:szCs w:val="20"/>
              </w:rPr>
              <w:t>P</w:t>
            </w:r>
            <w:r w:rsidR="00024C64">
              <w:rPr>
                <w:sz w:val="20"/>
                <w:szCs w:val="20"/>
              </w:rPr>
              <w:t xml:space="preserve">athway </w:t>
            </w:r>
            <w:r w:rsidRPr="0030062B">
              <w:rPr>
                <w:sz w:val="20"/>
                <w:szCs w:val="20"/>
              </w:rPr>
              <w:t>P</w:t>
            </w:r>
            <w:r w:rsidR="00024C64">
              <w:rPr>
                <w:sz w:val="20"/>
                <w:szCs w:val="20"/>
              </w:rPr>
              <w:t>lan (EPP)</w:t>
            </w:r>
            <w:r w:rsidRPr="0030062B">
              <w:rPr>
                <w:sz w:val="20"/>
                <w:szCs w:val="20"/>
              </w:rPr>
              <w:t xml:space="preserve"> or Barrier Management Tool</w:t>
            </w:r>
            <w:r w:rsidR="00C67A39">
              <w:rPr>
                <w:sz w:val="20"/>
                <w:szCs w:val="20"/>
              </w:rPr>
              <w:t>.</w:t>
            </w:r>
          </w:p>
        </w:tc>
        <w:tc>
          <w:tcPr>
            <w:tcW w:w="4622" w:type="dxa"/>
            <w:tcBorders>
              <w:top w:val="nil"/>
              <w:bottom w:val="nil"/>
            </w:tcBorders>
            <w:shd w:val="clear" w:color="auto" w:fill="E5E5E5" w:themeFill="background1" w:themeFillTint="33"/>
          </w:tcPr>
          <w:p w14:paraId="561EE173" w14:textId="77777777" w:rsidR="004021B4" w:rsidRDefault="004021B4" w:rsidP="00BC72D3">
            <w:r w:rsidRPr="0030062B">
              <w:rPr>
                <w:sz w:val="20"/>
                <w:szCs w:val="20"/>
              </w:rPr>
              <w:t xml:space="preserve">Entries </w:t>
            </w:r>
            <w:r w:rsidR="00BC72D3">
              <w:rPr>
                <w:sz w:val="20"/>
                <w:szCs w:val="20"/>
              </w:rPr>
              <w:t>had to</w:t>
            </w:r>
            <w:r w:rsidR="00BC72D3" w:rsidRPr="0030062B">
              <w:rPr>
                <w:sz w:val="20"/>
                <w:szCs w:val="20"/>
              </w:rPr>
              <w:t xml:space="preserve"> </w:t>
            </w:r>
            <w:r w:rsidRPr="0030062B">
              <w:rPr>
                <w:sz w:val="20"/>
                <w:szCs w:val="20"/>
              </w:rPr>
              <w:t xml:space="preserve">be included in a job seeker’s </w:t>
            </w:r>
            <w:r w:rsidR="003E2CAD">
              <w:rPr>
                <w:sz w:val="20"/>
                <w:szCs w:val="20"/>
              </w:rPr>
              <w:t>Employment Pathway Plan (</w:t>
            </w:r>
            <w:r w:rsidRPr="0030062B">
              <w:rPr>
                <w:sz w:val="20"/>
                <w:szCs w:val="20"/>
              </w:rPr>
              <w:t>EPP</w:t>
            </w:r>
            <w:r w:rsidR="003E2CAD">
              <w:rPr>
                <w:sz w:val="20"/>
                <w:szCs w:val="20"/>
              </w:rPr>
              <w:t>)</w:t>
            </w:r>
            <w:r w:rsidRPr="0030062B">
              <w:rPr>
                <w:sz w:val="20"/>
                <w:szCs w:val="20"/>
              </w:rPr>
              <w:t xml:space="preserve"> or Barrier Management Tool that </w:t>
            </w:r>
            <w:r w:rsidR="00BC72D3" w:rsidRPr="0030062B">
              <w:rPr>
                <w:sz w:val="20"/>
                <w:szCs w:val="20"/>
              </w:rPr>
              <w:t>justif</w:t>
            </w:r>
            <w:r w:rsidR="00BC72D3">
              <w:rPr>
                <w:sz w:val="20"/>
                <w:szCs w:val="20"/>
              </w:rPr>
              <w:t>ied</w:t>
            </w:r>
            <w:r w:rsidR="00BC72D3" w:rsidRPr="0030062B">
              <w:rPr>
                <w:sz w:val="20"/>
                <w:szCs w:val="20"/>
              </w:rPr>
              <w:t xml:space="preserve"> </w:t>
            </w:r>
            <w:r w:rsidR="003E2CAD">
              <w:rPr>
                <w:sz w:val="20"/>
                <w:szCs w:val="20"/>
              </w:rPr>
              <w:t>Employment Pathway Fund (</w:t>
            </w:r>
            <w:r w:rsidRPr="0030062B">
              <w:rPr>
                <w:sz w:val="20"/>
                <w:szCs w:val="20"/>
              </w:rPr>
              <w:t>EPF</w:t>
            </w:r>
            <w:r w:rsidR="003E2CAD">
              <w:rPr>
                <w:sz w:val="20"/>
                <w:szCs w:val="20"/>
              </w:rPr>
              <w:t>)</w:t>
            </w:r>
            <w:r w:rsidRPr="0030062B">
              <w:rPr>
                <w:sz w:val="20"/>
                <w:szCs w:val="20"/>
              </w:rPr>
              <w:t xml:space="preserve"> </w:t>
            </w:r>
            <w:r w:rsidR="00E307E8" w:rsidRPr="0030062B">
              <w:rPr>
                <w:sz w:val="20"/>
                <w:szCs w:val="20"/>
              </w:rPr>
              <w:t>expenditure</w:t>
            </w:r>
            <w:r w:rsidR="00E307E8">
              <w:rPr>
                <w:sz w:val="20"/>
                <w:szCs w:val="20"/>
              </w:rPr>
              <w:t>.</w:t>
            </w:r>
            <w:r w:rsidR="00E307E8" w:rsidRPr="0030062B">
              <w:rPr>
                <w:vertAlign w:val="superscript"/>
              </w:rPr>
              <w:t>2</w:t>
            </w:r>
          </w:p>
        </w:tc>
      </w:tr>
      <w:tr w:rsidR="004021B4" w14:paraId="4F593653" w14:textId="77777777" w:rsidTr="00232CF7">
        <w:tc>
          <w:tcPr>
            <w:tcW w:w="4621" w:type="dxa"/>
            <w:tcBorders>
              <w:top w:val="nil"/>
              <w:bottom w:val="nil"/>
            </w:tcBorders>
          </w:tcPr>
          <w:p w14:paraId="356C2A7E" w14:textId="77777777" w:rsidR="004021B4" w:rsidRDefault="000971AE" w:rsidP="00232CF7">
            <w:r>
              <w:rPr>
                <w:sz w:val="20"/>
                <w:szCs w:val="20"/>
              </w:rPr>
              <w:t xml:space="preserve">Estimates for time spent on cost of Provider Services could be estimated in </w:t>
            </w:r>
            <w:r w:rsidRPr="00FC3546">
              <w:rPr>
                <w:sz w:val="20"/>
                <w:szCs w:val="20"/>
              </w:rPr>
              <w:t>15-minute blocks</w:t>
            </w:r>
            <w:r w:rsidR="00BC72D3">
              <w:rPr>
                <w:sz w:val="20"/>
                <w:szCs w:val="20"/>
              </w:rPr>
              <w:t>.</w:t>
            </w:r>
          </w:p>
        </w:tc>
        <w:tc>
          <w:tcPr>
            <w:tcW w:w="4622" w:type="dxa"/>
            <w:tcBorders>
              <w:top w:val="nil"/>
              <w:bottom w:val="nil"/>
            </w:tcBorders>
          </w:tcPr>
          <w:p w14:paraId="11A70436" w14:textId="1655591B" w:rsidR="000971AE" w:rsidRPr="0030062B" w:rsidRDefault="004021B4" w:rsidP="00024C64">
            <w:pPr>
              <w:rPr>
                <w:sz w:val="20"/>
                <w:szCs w:val="20"/>
              </w:rPr>
            </w:pPr>
            <w:r w:rsidRPr="0030062B">
              <w:rPr>
                <w:sz w:val="20"/>
                <w:szCs w:val="20"/>
              </w:rPr>
              <w:t xml:space="preserve">Standard </w:t>
            </w:r>
            <w:r w:rsidR="00BC72D3">
              <w:rPr>
                <w:sz w:val="20"/>
                <w:szCs w:val="20"/>
              </w:rPr>
              <w:t>r</w:t>
            </w:r>
            <w:r w:rsidR="00BC72D3" w:rsidRPr="0030062B">
              <w:rPr>
                <w:sz w:val="20"/>
                <w:szCs w:val="20"/>
              </w:rPr>
              <w:t xml:space="preserve">ates </w:t>
            </w:r>
            <w:r w:rsidR="00BC72D3">
              <w:rPr>
                <w:sz w:val="20"/>
                <w:szCs w:val="20"/>
              </w:rPr>
              <w:t>we</w:t>
            </w:r>
            <w:r w:rsidR="00BC72D3" w:rsidRPr="0030062B">
              <w:rPr>
                <w:sz w:val="20"/>
                <w:szCs w:val="20"/>
              </w:rPr>
              <w:t xml:space="preserve">re </w:t>
            </w:r>
            <w:r w:rsidRPr="0030062B">
              <w:rPr>
                <w:sz w:val="20"/>
                <w:szCs w:val="20"/>
              </w:rPr>
              <w:t xml:space="preserve">auto-calculated for the </w:t>
            </w:r>
            <w:r w:rsidR="00BC72D3">
              <w:rPr>
                <w:sz w:val="20"/>
                <w:szCs w:val="20"/>
              </w:rPr>
              <w:t>p</w:t>
            </w:r>
            <w:r w:rsidR="00BC72D3" w:rsidRPr="0030062B">
              <w:rPr>
                <w:sz w:val="20"/>
                <w:szCs w:val="20"/>
              </w:rPr>
              <w:t xml:space="preserve">rovider </w:t>
            </w:r>
            <w:r w:rsidR="00BC72D3">
              <w:rPr>
                <w:sz w:val="20"/>
                <w:szCs w:val="20"/>
              </w:rPr>
              <w:t>s</w:t>
            </w:r>
            <w:r w:rsidR="00BC72D3" w:rsidRPr="0030062B">
              <w:rPr>
                <w:sz w:val="20"/>
                <w:szCs w:val="20"/>
              </w:rPr>
              <w:t xml:space="preserve">ervices </w:t>
            </w:r>
            <w:r w:rsidRPr="0030062B">
              <w:rPr>
                <w:sz w:val="20"/>
                <w:szCs w:val="20"/>
              </w:rPr>
              <w:t xml:space="preserve">sub-categories of </w:t>
            </w:r>
            <w:r w:rsidR="00BC72D3">
              <w:rPr>
                <w:sz w:val="20"/>
                <w:szCs w:val="20"/>
              </w:rPr>
              <w:t>a</w:t>
            </w:r>
            <w:r w:rsidR="00BC72D3" w:rsidRPr="0030062B">
              <w:rPr>
                <w:sz w:val="20"/>
                <w:szCs w:val="20"/>
              </w:rPr>
              <w:t xml:space="preserve">dditional </w:t>
            </w:r>
            <w:r w:rsidR="00BC72D3">
              <w:rPr>
                <w:sz w:val="20"/>
                <w:szCs w:val="20"/>
              </w:rPr>
              <w:t>c</w:t>
            </w:r>
            <w:r w:rsidR="00BC72D3" w:rsidRPr="0030062B">
              <w:rPr>
                <w:sz w:val="20"/>
                <w:szCs w:val="20"/>
              </w:rPr>
              <w:t>ontacts</w:t>
            </w:r>
            <w:r w:rsidRPr="0030062B">
              <w:rPr>
                <w:sz w:val="20"/>
                <w:szCs w:val="20"/>
              </w:rPr>
              <w:t xml:space="preserve">, </w:t>
            </w:r>
            <w:r w:rsidR="0051078B">
              <w:rPr>
                <w:sz w:val="20"/>
                <w:szCs w:val="20"/>
              </w:rPr>
              <w:t>r</w:t>
            </w:r>
            <w:r w:rsidRPr="0030062B">
              <w:rPr>
                <w:sz w:val="20"/>
                <w:szCs w:val="20"/>
              </w:rPr>
              <w:t xml:space="preserve">everse </w:t>
            </w:r>
            <w:r w:rsidR="0051078B">
              <w:rPr>
                <w:sz w:val="20"/>
                <w:szCs w:val="20"/>
              </w:rPr>
              <w:t>m</w:t>
            </w:r>
            <w:r w:rsidRPr="0030062B">
              <w:rPr>
                <w:sz w:val="20"/>
                <w:szCs w:val="20"/>
              </w:rPr>
              <w:t xml:space="preserve">arketing, </w:t>
            </w:r>
            <w:r w:rsidR="0051078B">
              <w:rPr>
                <w:sz w:val="20"/>
                <w:szCs w:val="20"/>
              </w:rPr>
              <w:t>p</w:t>
            </w:r>
            <w:r w:rsidRPr="0030062B">
              <w:rPr>
                <w:sz w:val="20"/>
                <w:szCs w:val="20"/>
              </w:rPr>
              <w:t>ost</w:t>
            </w:r>
            <w:r w:rsidR="00024C64">
              <w:rPr>
                <w:sz w:val="20"/>
                <w:szCs w:val="20"/>
              </w:rPr>
              <w:t>-</w:t>
            </w:r>
            <w:r w:rsidR="0051078B">
              <w:rPr>
                <w:sz w:val="20"/>
                <w:szCs w:val="20"/>
              </w:rPr>
              <w:t>p</w:t>
            </w:r>
            <w:r w:rsidRPr="0030062B">
              <w:rPr>
                <w:sz w:val="20"/>
                <w:szCs w:val="20"/>
              </w:rPr>
              <w:t xml:space="preserve">lacement </w:t>
            </w:r>
            <w:r w:rsidR="0051078B">
              <w:rPr>
                <w:sz w:val="20"/>
                <w:szCs w:val="20"/>
              </w:rPr>
              <w:t>s</w:t>
            </w:r>
            <w:r w:rsidRPr="0030062B">
              <w:rPr>
                <w:sz w:val="20"/>
                <w:szCs w:val="20"/>
              </w:rPr>
              <w:t xml:space="preserve">upport and the new </w:t>
            </w:r>
            <w:r w:rsidR="0051078B">
              <w:rPr>
                <w:sz w:val="20"/>
                <w:szCs w:val="20"/>
              </w:rPr>
              <w:t>m</w:t>
            </w:r>
            <w:r w:rsidRPr="0030062B">
              <w:rPr>
                <w:sz w:val="20"/>
                <w:szCs w:val="20"/>
              </w:rPr>
              <w:t>entoring sub-category</w:t>
            </w:r>
            <w:r w:rsidR="00C67A39">
              <w:rPr>
                <w:sz w:val="20"/>
                <w:szCs w:val="20"/>
              </w:rPr>
              <w:t>.</w:t>
            </w:r>
            <w:r w:rsidR="00BC72D3">
              <w:rPr>
                <w:sz w:val="20"/>
                <w:szCs w:val="20"/>
              </w:rPr>
              <w:br/>
            </w:r>
            <w:r w:rsidR="000971AE" w:rsidRPr="0030062B">
              <w:rPr>
                <w:sz w:val="20"/>
                <w:szCs w:val="20"/>
              </w:rPr>
              <w:t>In order to auto-calculate the cost, providers were required to estimate the duration of the service down to the nearest minute</w:t>
            </w:r>
            <w:r w:rsidR="00BC72D3">
              <w:rPr>
                <w:sz w:val="20"/>
                <w:szCs w:val="20"/>
              </w:rPr>
              <w:t>.</w:t>
            </w:r>
          </w:p>
        </w:tc>
      </w:tr>
      <w:tr w:rsidR="004021B4" w14:paraId="3B1D8F59" w14:textId="77777777" w:rsidTr="00290EF7">
        <w:trPr>
          <w:cantSplit/>
        </w:trPr>
        <w:tc>
          <w:tcPr>
            <w:tcW w:w="4621" w:type="dxa"/>
            <w:tcBorders>
              <w:top w:val="nil"/>
              <w:bottom w:val="single" w:sz="4" w:space="0" w:color="auto"/>
            </w:tcBorders>
            <w:shd w:val="clear" w:color="auto" w:fill="E5E5E5" w:themeFill="background1" w:themeFillTint="33"/>
          </w:tcPr>
          <w:p w14:paraId="2C85FC86" w14:textId="77777777" w:rsidR="004021B4" w:rsidRPr="0081240B" w:rsidRDefault="0081240B" w:rsidP="0081240B">
            <w:pPr>
              <w:rPr>
                <w:sz w:val="20"/>
                <w:szCs w:val="20"/>
              </w:rPr>
            </w:pPr>
            <w:r w:rsidRPr="0081240B">
              <w:rPr>
                <w:sz w:val="20"/>
                <w:szCs w:val="20"/>
              </w:rPr>
              <w:t>Reverse marketing could be bulk billed for multiple job seekers based on invoice</w:t>
            </w:r>
          </w:p>
        </w:tc>
        <w:tc>
          <w:tcPr>
            <w:tcW w:w="4622" w:type="dxa"/>
            <w:tcBorders>
              <w:top w:val="nil"/>
              <w:bottom w:val="single" w:sz="4" w:space="0" w:color="auto"/>
            </w:tcBorders>
            <w:shd w:val="clear" w:color="auto" w:fill="E5E5E5" w:themeFill="background1" w:themeFillTint="33"/>
          </w:tcPr>
          <w:p w14:paraId="2B356983" w14:textId="77777777" w:rsidR="004021B4" w:rsidRPr="00B0223F" w:rsidRDefault="008213DD" w:rsidP="00BC72D3">
            <w:pPr>
              <w:rPr>
                <w:sz w:val="20"/>
                <w:szCs w:val="20"/>
              </w:rPr>
            </w:pPr>
            <w:r w:rsidRPr="00B0223F">
              <w:rPr>
                <w:sz w:val="20"/>
                <w:szCs w:val="20"/>
              </w:rPr>
              <w:t xml:space="preserve">For </w:t>
            </w:r>
            <w:r w:rsidR="0051078B">
              <w:rPr>
                <w:sz w:val="20"/>
                <w:szCs w:val="20"/>
              </w:rPr>
              <w:t>r</w:t>
            </w:r>
            <w:r w:rsidRPr="00B0223F">
              <w:rPr>
                <w:sz w:val="20"/>
                <w:szCs w:val="20"/>
              </w:rPr>
              <w:t xml:space="preserve">everse </w:t>
            </w:r>
            <w:r w:rsidR="0051078B">
              <w:rPr>
                <w:sz w:val="20"/>
                <w:szCs w:val="20"/>
              </w:rPr>
              <w:t>m</w:t>
            </w:r>
            <w:r w:rsidRPr="00B0223F">
              <w:rPr>
                <w:sz w:val="20"/>
                <w:szCs w:val="20"/>
              </w:rPr>
              <w:t xml:space="preserve">arketing commitments, the employer’s name and contact details </w:t>
            </w:r>
            <w:r w:rsidR="00BC72D3" w:rsidRPr="00B0223F">
              <w:rPr>
                <w:sz w:val="20"/>
                <w:szCs w:val="20"/>
              </w:rPr>
              <w:t>w</w:t>
            </w:r>
            <w:r w:rsidR="00BC72D3">
              <w:rPr>
                <w:sz w:val="20"/>
                <w:szCs w:val="20"/>
              </w:rPr>
              <w:t>ere</w:t>
            </w:r>
            <w:r w:rsidR="00BC72D3" w:rsidRPr="00B0223F">
              <w:rPr>
                <w:sz w:val="20"/>
                <w:szCs w:val="20"/>
              </w:rPr>
              <w:t xml:space="preserve"> </w:t>
            </w:r>
            <w:r w:rsidRPr="00B0223F">
              <w:rPr>
                <w:sz w:val="20"/>
                <w:szCs w:val="20"/>
              </w:rPr>
              <w:t>required to be recorded in comments in ESS for commitments created from 1 July 2013</w:t>
            </w:r>
          </w:p>
        </w:tc>
      </w:tr>
    </w:tbl>
    <w:p w14:paraId="78110B1E" w14:textId="77777777" w:rsidR="004021B4" w:rsidRPr="0062186E" w:rsidRDefault="004021B4" w:rsidP="0019430D">
      <w:pPr>
        <w:pStyle w:val="Notes"/>
      </w:pPr>
      <w:r w:rsidRPr="0019430D">
        <w:rPr>
          <w:b/>
        </w:rPr>
        <w:t>Notes</w:t>
      </w:r>
      <w:r w:rsidRPr="0062186E">
        <w:t>:</w:t>
      </w:r>
    </w:p>
    <w:p w14:paraId="40E46A2C" w14:textId="77777777" w:rsidR="004021B4" w:rsidRPr="00E5413A" w:rsidRDefault="004021B4" w:rsidP="00E5413A">
      <w:pPr>
        <w:pStyle w:val="Notesnumbered"/>
        <w:numPr>
          <w:ilvl w:val="0"/>
          <w:numId w:val="245"/>
        </w:numPr>
      </w:pPr>
      <w:r w:rsidRPr="0019430D">
        <w:t xml:space="preserve">Batch </w:t>
      </w:r>
      <w:r w:rsidR="00BC72D3">
        <w:t>c</w:t>
      </w:r>
      <w:r w:rsidR="00BC72D3" w:rsidRPr="00E5413A">
        <w:t xml:space="preserve">ommitments </w:t>
      </w:r>
      <w:r w:rsidRPr="00E5413A">
        <w:t>allow</w:t>
      </w:r>
      <w:r w:rsidR="00BC72D3">
        <w:t>ed</w:t>
      </w:r>
      <w:r w:rsidRPr="00E5413A">
        <w:t xml:space="preserve"> </w:t>
      </w:r>
      <w:r w:rsidR="007B23E6" w:rsidRPr="00E5413A">
        <w:t>p</w:t>
      </w:r>
      <w:r w:rsidRPr="00E5413A">
        <w:t>roviders to create an EPF commitment without attributing each amount to individual job seekers</w:t>
      </w:r>
      <w:r w:rsidR="0019430D" w:rsidRPr="00E5413A">
        <w:t>.</w:t>
      </w:r>
    </w:p>
    <w:p w14:paraId="15C9DF98" w14:textId="77777777" w:rsidR="004021B4" w:rsidRPr="004021B4" w:rsidRDefault="0019430D" w:rsidP="00E5413A">
      <w:pPr>
        <w:pStyle w:val="Notesnumbered"/>
        <w:numPr>
          <w:ilvl w:val="0"/>
          <w:numId w:val="245"/>
        </w:numPr>
      </w:pPr>
      <w:r w:rsidRPr="00E5413A">
        <w:t>T</w:t>
      </w:r>
      <w:r w:rsidR="004021B4" w:rsidRPr="00E5413A">
        <w:t>his provision</w:t>
      </w:r>
      <w:r w:rsidR="004021B4">
        <w:t xml:space="preserve"> </w:t>
      </w:r>
      <w:r w:rsidR="004021B4" w:rsidRPr="00F435BE">
        <w:t>was removed in 1 July 2014</w:t>
      </w:r>
      <w:r>
        <w:t>.</w:t>
      </w:r>
    </w:p>
    <w:p w14:paraId="7C939A3D" w14:textId="77777777" w:rsidR="001C5622" w:rsidRPr="0030062B" w:rsidRDefault="002A2846" w:rsidP="00E23CB8">
      <w:pPr>
        <w:pStyle w:val="Heading4"/>
        <w:rPr>
          <w:rStyle w:val="CommentReference"/>
          <w:rFonts w:asciiTheme="minorHAnsi" w:eastAsiaTheme="minorEastAsia" w:hAnsiTheme="minorHAnsi" w:cstheme="minorBidi"/>
          <w:b w:val="0"/>
          <w:sz w:val="22"/>
          <w:szCs w:val="22"/>
        </w:rPr>
      </w:pPr>
      <w:r w:rsidRPr="0030062B">
        <w:rPr>
          <w:rStyle w:val="CommentReference"/>
          <w:sz w:val="22"/>
          <w:szCs w:val="22"/>
        </w:rPr>
        <w:t>Impact of changes on post</w:t>
      </w:r>
      <w:r w:rsidR="00CF06E4">
        <w:rPr>
          <w:rStyle w:val="CommentReference"/>
          <w:sz w:val="22"/>
          <w:szCs w:val="22"/>
        </w:rPr>
        <w:t>-</w:t>
      </w:r>
      <w:r w:rsidRPr="0030062B">
        <w:rPr>
          <w:rStyle w:val="CommentReference"/>
          <w:sz w:val="22"/>
          <w:szCs w:val="22"/>
        </w:rPr>
        <w:t>placement support and reverse marketing</w:t>
      </w:r>
    </w:p>
    <w:p w14:paraId="45911610" w14:textId="0154693B" w:rsidR="001C5622" w:rsidRDefault="001C5622" w:rsidP="00CC3EDC">
      <w:r w:rsidRPr="00CC3EDC">
        <w:t xml:space="preserve">Providers </w:t>
      </w:r>
      <w:r w:rsidR="006467F8">
        <w:t>could</w:t>
      </w:r>
      <w:r w:rsidR="006467F8" w:rsidRPr="00CC3EDC">
        <w:t xml:space="preserve"> </w:t>
      </w:r>
      <w:r w:rsidRPr="00CC3EDC">
        <w:t>access the Employment Pathway Fund</w:t>
      </w:r>
      <w:r w:rsidR="003E2CAD">
        <w:t xml:space="preserve"> (EPF)</w:t>
      </w:r>
      <w:r w:rsidRPr="00CC3EDC">
        <w:t xml:space="preserve"> to provide services to employers, including </w:t>
      </w:r>
      <w:r w:rsidR="00CC3EDC" w:rsidRPr="00CC3EDC">
        <w:t>post</w:t>
      </w:r>
      <w:r w:rsidR="00CF06E4">
        <w:t>-</w:t>
      </w:r>
      <w:r w:rsidR="00CC3EDC" w:rsidRPr="00CC3EDC">
        <w:t xml:space="preserve">placement support </w:t>
      </w:r>
      <w:r w:rsidR="00CC3EDC">
        <w:t>and</w:t>
      </w:r>
      <w:r w:rsidR="00E307E8">
        <w:t xml:space="preserve"> </w:t>
      </w:r>
      <w:r w:rsidRPr="00CC3EDC">
        <w:t>reverse marketing</w:t>
      </w:r>
      <w:r w:rsidR="00CC3EDC">
        <w:t>.</w:t>
      </w:r>
      <w:r w:rsidR="0030062B">
        <w:t xml:space="preserve"> </w:t>
      </w:r>
      <w:r w:rsidR="000D3FD6">
        <w:t>E</w:t>
      </w:r>
      <w:r>
        <w:t xml:space="preserve">xpenditure on provider services, incorporating </w:t>
      </w:r>
      <w:r w:rsidR="00B0223F">
        <w:t>these services, as well as</w:t>
      </w:r>
      <w:r>
        <w:t xml:space="preserve"> additional contacts, mentoring, outreach services, provider transport costs, skills assessment tools and intensive activity, declined significantly under JSA 2012</w:t>
      </w:r>
      <w:r w:rsidR="002A2846">
        <w:t>, particularly for reverse marketing and post-placement support</w:t>
      </w:r>
      <w:r w:rsidR="000D3FD6">
        <w:t xml:space="preserve"> (Table 9.</w:t>
      </w:r>
      <w:r w:rsidR="00A470B8">
        <w:t>2</w:t>
      </w:r>
      <w:r w:rsidR="000D3FD6">
        <w:t>)</w:t>
      </w:r>
      <w:r>
        <w:t>.</w:t>
      </w:r>
    </w:p>
    <w:p w14:paraId="6A08400C" w14:textId="77777777" w:rsidR="001C5622" w:rsidRDefault="001C5622" w:rsidP="00CC3EDC">
      <w:pPr>
        <w:pStyle w:val="Tableforcontents"/>
      </w:pPr>
      <w:bookmarkStart w:id="499" w:name="_Toc22544003"/>
      <w:r>
        <w:t xml:space="preserve">Table </w:t>
      </w:r>
      <w:r w:rsidR="005C0A80">
        <w:t>9.</w:t>
      </w:r>
      <w:r w:rsidR="00A470B8">
        <w:t>2</w:t>
      </w:r>
      <w:r>
        <w:t>: E</w:t>
      </w:r>
      <w:r w:rsidR="003E2CAD">
        <w:t>mployment Pathway Fund (E</w:t>
      </w:r>
      <w:r>
        <w:t>PF</w:t>
      </w:r>
      <w:r w:rsidR="003E2CAD">
        <w:t>)</w:t>
      </w:r>
      <w:r>
        <w:t xml:space="preserve"> </w:t>
      </w:r>
      <w:r w:rsidR="00BC72D3">
        <w:t xml:space="preserve">expenditure </w:t>
      </w:r>
      <w:r w:rsidR="006467F8">
        <w:t xml:space="preserve">overall, </w:t>
      </w:r>
      <w:r w:rsidR="0051078B">
        <w:t>p</w:t>
      </w:r>
      <w:r w:rsidR="006467F8">
        <w:t>ost</w:t>
      </w:r>
      <w:r w:rsidR="00CF06E4">
        <w:t>-</w:t>
      </w:r>
      <w:r w:rsidR="006467F8">
        <w:t xml:space="preserve">placement support and </w:t>
      </w:r>
      <w:r w:rsidR="0051078B">
        <w:t>r</w:t>
      </w:r>
      <w:r w:rsidR="006467F8">
        <w:t>everse marketing</w:t>
      </w:r>
      <w:r>
        <w:t xml:space="preserve"> by JSA contract</w:t>
      </w:r>
      <w:r w:rsidR="006467F8">
        <w:t xml:space="preserve"> ($ value and per cent)</w:t>
      </w:r>
      <w:bookmarkEnd w:id="499"/>
    </w:p>
    <w:p w14:paraId="598DFD33" w14:textId="77777777" w:rsidR="001A1E59" w:rsidRDefault="001A1E59" w:rsidP="001A1E59">
      <w:pPr>
        <w:spacing w:before="120" w:after="0"/>
        <w:rPr>
          <w:b/>
          <w:sz w:val="20"/>
          <w:szCs w:val="20"/>
        </w:rPr>
      </w:pPr>
      <w:r w:rsidRPr="001A1E59">
        <w:rPr>
          <w:b/>
          <w:sz w:val="20"/>
          <w:szCs w:val="20"/>
        </w:rPr>
        <w:t>Provider services</w:t>
      </w:r>
    </w:p>
    <w:tbl>
      <w:tblPr>
        <w:tblW w:w="8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93"/>
        <w:gridCol w:w="2464"/>
        <w:gridCol w:w="2400"/>
        <w:gridCol w:w="93"/>
      </w:tblGrid>
      <w:tr w:rsidR="001C5622" w:rsidRPr="00726D5E" w14:paraId="6F8E099D" w14:textId="77777777" w:rsidTr="001A1E59">
        <w:trPr>
          <w:trHeight w:val="300"/>
          <w:tblHeader/>
        </w:trPr>
        <w:tc>
          <w:tcPr>
            <w:tcW w:w="3099" w:type="dxa"/>
            <w:gridSpan w:val="2"/>
            <w:tcBorders>
              <w:top w:val="nil"/>
              <w:left w:val="nil"/>
              <w:bottom w:val="nil"/>
              <w:right w:val="nil"/>
            </w:tcBorders>
            <w:shd w:val="clear" w:color="auto" w:fill="1E3D6B"/>
            <w:noWrap/>
            <w:vAlign w:val="center"/>
            <w:hideMark/>
          </w:tcPr>
          <w:p w14:paraId="37377C7F" w14:textId="77777777" w:rsidR="001C5622" w:rsidRPr="006D42E4" w:rsidRDefault="001C5622" w:rsidP="004021B4">
            <w:pPr>
              <w:spacing w:after="0" w:line="240" w:lineRule="auto"/>
              <w:rPr>
                <w:rFonts w:ascii="Calibri" w:eastAsia="Times New Roman" w:hAnsi="Calibri" w:cs="Calibri"/>
                <w:b/>
                <w:color w:val="FFFFFF" w:themeColor="background2"/>
                <w:sz w:val="20"/>
                <w:szCs w:val="20"/>
                <w:lang w:eastAsia="en-AU"/>
              </w:rPr>
            </w:pPr>
            <w:r w:rsidRPr="006D42E4">
              <w:rPr>
                <w:rFonts w:ascii="Calibri" w:eastAsia="Times New Roman" w:hAnsi="Calibri" w:cs="Calibri"/>
                <w:b/>
                <w:color w:val="FFFFFF" w:themeColor="background2"/>
                <w:sz w:val="20"/>
                <w:szCs w:val="20"/>
                <w:lang w:eastAsia="en-AU"/>
              </w:rPr>
              <w:t> </w:t>
            </w:r>
            <w:bookmarkStart w:id="500" w:name="Title_92a"/>
            <w:bookmarkEnd w:id="500"/>
            <w:r w:rsidR="006D42E4" w:rsidRPr="006D42E4">
              <w:rPr>
                <w:rFonts w:ascii="Calibri" w:eastAsia="Times New Roman" w:hAnsi="Calibri" w:cs="Calibri"/>
                <w:b/>
                <w:color w:val="FFFFFF" w:themeColor="background2"/>
                <w:sz w:val="20"/>
                <w:szCs w:val="20"/>
                <w:lang w:eastAsia="en-AU"/>
              </w:rPr>
              <w:t>EPF Expenditure Type</w:t>
            </w:r>
          </w:p>
        </w:tc>
        <w:tc>
          <w:tcPr>
            <w:tcW w:w="2464" w:type="dxa"/>
            <w:tcBorders>
              <w:top w:val="nil"/>
              <w:left w:val="nil"/>
              <w:bottom w:val="nil"/>
              <w:right w:val="nil"/>
            </w:tcBorders>
            <w:shd w:val="clear" w:color="auto" w:fill="1E3D6B"/>
            <w:noWrap/>
            <w:vAlign w:val="center"/>
            <w:hideMark/>
          </w:tcPr>
          <w:p w14:paraId="66AFEE59" w14:textId="77777777" w:rsidR="001C5622" w:rsidRPr="006D42E4" w:rsidRDefault="001C5622" w:rsidP="001A1E59">
            <w:pPr>
              <w:spacing w:after="0" w:line="240" w:lineRule="auto"/>
              <w:jc w:val="center"/>
              <w:rPr>
                <w:rFonts w:ascii="Calibri" w:eastAsia="Times New Roman" w:hAnsi="Calibri" w:cs="Calibri"/>
                <w:b/>
                <w:color w:val="FFFFFF" w:themeColor="background2"/>
                <w:sz w:val="20"/>
                <w:szCs w:val="20"/>
                <w:lang w:eastAsia="en-AU"/>
              </w:rPr>
            </w:pPr>
            <w:r w:rsidRPr="006D42E4">
              <w:rPr>
                <w:rFonts w:ascii="Calibri" w:eastAsia="Times New Roman" w:hAnsi="Calibri" w:cs="Calibri"/>
                <w:b/>
                <w:color w:val="FFFFFF" w:themeColor="background2"/>
                <w:sz w:val="20"/>
                <w:szCs w:val="20"/>
                <w:lang w:eastAsia="en-AU"/>
              </w:rPr>
              <w:t xml:space="preserve">JSA </w:t>
            </w:r>
            <w:r w:rsidR="001A1E59">
              <w:rPr>
                <w:rFonts w:ascii="Calibri" w:eastAsia="Times New Roman" w:hAnsi="Calibri" w:cs="Calibri"/>
                <w:b/>
                <w:color w:val="FFFFFF" w:themeColor="background2"/>
                <w:sz w:val="20"/>
                <w:szCs w:val="20"/>
                <w:lang w:eastAsia="en-AU"/>
              </w:rPr>
              <w:t>2009</w:t>
            </w:r>
          </w:p>
        </w:tc>
        <w:tc>
          <w:tcPr>
            <w:tcW w:w="2493" w:type="dxa"/>
            <w:gridSpan w:val="2"/>
            <w:tcBorders>
              <w:top w:val="nil"/>
              <w:left w:val="nil"/>
              <w:bottom w:val="nil"/>
              <w:right w:val="nil"/>
            </w:tcBorders>
            <w:shd w:val="clear" w:color="auto" w:fill="1E3D6B"/>
            <w:noWrap/>
            <w:vAlign w:val="center"/>
            <w:hideMark/>
          </w:tcPr>
          <w:p w14:paraId="0657C0D9" w14:textId="77777777" w:rsidR="001C5622" w:rsidRPr="006D42E4" w:rsidRDefault="001C5622" w:rsidP="001A1E59">
            <w:pPr>
              <w:spacing w:after="0" w:line="240" w:lineRule="auto"/>
              <w:jc w:val="center"/>
              <w:rPr>
                <w:rFonts w:ascii="Calibri" w:eastAsia="Times New Roman" w:hAnsi="Calibri" w:cs="Calibri"/>
                <w:b/>
                <w:color w:val="FFFFFF" w:themeColor="background2"/>
                <w:sz w:val="20"/>
                <w:szCs w:val="20"/>
                <w:lang w:eastAsia="en-AU"/>
              </w:rPr>
            </w:pPr>
            <w:r w:rsidRPr="006D42E4">
              <w:rPr>
                <w:rFonts w:ascii="Calibri" w:eastAsia="Times New Roman" w:hAnsi="Calibri" w:cs="Calibri"/>
                <w:b/>
                <w:color w:val="FFFFFF" w:themeColor="background2"/>
                <w:sz w:val="20"/>
                <w:szCs w:val="20"/>
                <w:lang w:eastAsia="en-AU"/>
              </w:rPr>
              <w:t xml:space="preserve">JSA </w:t>
            </w:r>
            <w:r w:rsidR="001A1E59">
              <w:rPr>
                <w:rFonts w:ascii="Calibri" w:eastAsia="Times New Roman" w:hAnsi="Calibri" w:cs="Calibri"/>
                <w:b/>
                <w:color w:val="FFFFFF" w:themeColor="background2"/>
                <w:sz w:val="20"/>
                <w:szCs w:val="20"/>
                <w:lang w:eastAsia="en-AU"/>
              </w:rPr>
              <w:t>2012</w:t>
            </w:r>
          </w:p>
        </w:tc>
      </w:tr>
      <w:tr w:rsidR="001C5622" w:rsidRPr="006D42E4" w14:paraId="54EC9052" w14:textId="77777777" w:rsidTr="001A1E59">
        <w:trPr>
          <w:gridAfter w:val="1"/>
          <w:wAfter w:w="93" w:type="dxa"/>
          <w:trHeight w:val="300"/>
        </w:trPr>
        <w:tc>
          <w:tcPr>
            <w:tcW w:w="3006" w:type="dxa"/>
            <w:tcBorders>
              <w:top w:val="nil"/>
              <w:left w:val="nil"/>
              <w:bottom w:val="nil"/>
              <w:right w:val="nil"/>
            </w:tcBorders>
            <w:shd w:val="clear" w:color="auto" w:fill="auto"/>
            <w:noWrap/>
            <w:vAlign w:val="center"/>
            <w:hideMark/>
          </w:tcPr>
          <w:p w14:paraId="3713C27F"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Total $</w:t>
            </w:r>
            <w:r w:rsidR="0081240B">
              <w:rPr>
                <w:rFonts w:ascii="Calibri" w:eastAsia="Times New Roman" w:hAnsi="Calibri" w:cs="Calibri"/>
                <w:color w:val="000000"/>
                <w:sz w:val="20"/>
                <w:szCs w:val="20"/>
                <w:lang w:eastAsia="en-AU"/>
              </w:rPr>
              <w:t xml:space="preserve"> (million)</w:t>
            </w:r>
          </w:p>
        </w:tc>
        <w:tc>
          <w:tcPr>
            <w:tcW w:w="2557" w:type="dxa"/>
            <w:gridSpan w:val="2"/>
            <w:tcBorders>
              <w:top w:val="nil"/>
              <w:left w:val="nil"/>
              <w:bottom w:val="nil"/>
              <w:right w:val="nil"/>
            </w:tcBorders>
            <w:shd w:val="clear" w:color="auto" w:fill="auto"/>
            <w:noWrap/>
            <w:vAlign w:val="center"/>
            <w:hideMark/>
          </w:tcPr>
          <w:p w14:paraId="0C1962B9" w14:textId="77777777" w:rsidR="001C5622" w:rsidRPr="00EC79E6" w:rsidRDefault="001C5622" w:rsidP="0081240B">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141</w:t>
            </w:r>
            <w:r w:rsidR="0081240B">
              <w:rPr>
                <w:rFonts w:ascii="Calibri" w:eastAsia="Times New Roman" w:hAnsi="Calibri" w:cs="Calibri"/>
                <w:color w:val="000000"/>
                <w:sz w:val="20"/>
                <w:szCs w:val="20"/>
                <w:lang w:eastAsia="en-AU"/>
              </w:rPr>
              <w:t>.</w:t>
            </w:r>
            <w:r w:rsidRPr="00EC79E6">
              <w:rPr>
                <w:rFonts w:ascii="Calibri" w:eastAsia="Times New Roman" w:hAnsi="Calibri" w:cs="Calibri"/>
                <w:color w:val="000000"/>
                <w:sz w:val="20"/>
                <w:szCs w:val="20"/>
                <w:lang w:eastAsia="en-AU"/>
              </w:rPr>
              <w:t>3</w:t>
            </w:r>
          </w:p>
        </w:tc>
        <w:tc>
          <w:tcPr>
            <w:tcW w:w="2400" w:type="dxa"/>
            <w:tcBorders>
              <w:top w:val="nil"/>
              <w:left w:val="nil"/>
              <w:bottom w:val="nil"/>
              <w:right w:val="nil"/>
            </w:tcBorders>
            <w:shd w:val="clear" w:color="auto" w:fill="auto"/>
            <w:noWrap/>
            <w:vAlign w:val="center"/>
            <w:hideMark/>
          </w:tcPr>
          <w:p w14:paraId="44ED0BDA" w14:textId="77777777" w:rsidR="001C5622" w:rsidRPr="00EC79E6" w:rsidRDefault="001C5622" w:rsidP="0081240B">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77</w:t>
            </w:r>
            <w:r w:rsidR="0081240B">
              <w:rPr>
                <w:rFonts w:ascii="Calibri" w:eastAsia="Times New Roman" w:hAnsi="Calibri" w:cs="Calibri"/>
                <w:color w:val="000000"/>
                <w:sz w:val="20"/>
                <w:szCs w:val="20"/>
                <w:lang w:eastAsia="en-AU"/>
              </w:rPr>
              <w:t>.7</w:t>
            </w:r>
          </w:p>
        </w:tc>
      </w:tr>
      <w:tr w:rsidR="001C5622" w:rsidRPr="00726D5E" w14:paraId="3B35B190" w14:textId="77777777" w:rsidTr="001A1E59">
        <w:trPr>
          <w:gridAfter w:val="1"/>
          <w:wAfter w:w="93" w:type="dxa"/>
          <w:trHeight w:val="300"/>
        </w:trPr>
        <w:tc>
          <w:tcPr>
            <w:tcW w:w="3006" w:type="dxa"/>
            <w:tcBorders>
              <w:top w:val="nil"/>
              <w:left w:val="nil"/>
              <w:bottom w:val="nil"/>
              <w:right w:val="nil"/>
            </w:tcBorders>
            <w:shd w:val="clear" w:color="auto" w:fill="E5E5E5" w:themeFill="background1" w:themeFillTint="33"/>
            <w:noWrap/>
            <w:vAlign w:val="center"/>
            <w:hideMark/>
          </w:tcPr>
          <w:p w14:paraId="126989BC"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Average $ transaction</w:t>
            </w:r>
          </w:p>
        </w:tc>
        <w:tc>
          <w:tcPr>
            <w:tcW w:w="2557" w:type="dxa"/>
            <w:gridSpan w:val="2"/>
            <w:tcBorders>
              <w:top w:val="nil"/>
              <w:left w:val="nil"/>
              <w:bottom w:val="nil"/>
              <w:right w:val="nil"/>
            </w:tcBorders>
            <w:shd w:val="clear" w:color="auto" w:fill="E5E5E5" w:themeFill="background1" w:themeFillTint="33"/>
            <w:noWrap/>
            <w:vAlign w:val="center"/>
            <w:hideMark/>
          </w:tcPr>
          <w:p w14:paraId="75D5B302" w14:textId="77777777" w:rsidR="001C5622" w:rsidRPr="00EC79E6" w:rsidRDefault="001C5622" w:rsidP="001A1E59">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74.6</w:t>
            </w:r>
          </w:p>
        </w:tc>
        <w:tc>
          <w:tcPr>
            <w:tcW w:w="2400" w:type="dxa"/>
            <w:tcBorders>
              <w:top w:val="nil"/>
              <w:left w:val="nil"/>
              <w:bottom w:val="nil"/>
              <w:right w:val="nil"/>
            </w:tcBorders>
            <w:shd w:val="clear" w:color="auto" w:fill="E5E5E5" w:themeFill="background1" w:themeFillTint="33"/>
            <w:noWrap/>
            <w:vAlign w:val="center"/>
            <w:hideMark/>
          </w:tcPr>
          <w:p w14:paraId="22413908"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54.6</w:t>
            </w:r>
          </w:p>
        </w:tc>
      </w:tr>
      <w:tr w:rsidR="001C5622" w:rsidRPr="006D42E4" w14:paraId="7FD59CED" w14:textId="77777777" w:rsidTr="001A1E59">
        <w:trPr>
          <w:gridAfter w:val="1"/>
          <w:wAfter w:w="93" w:type="dxa"/>
          <w:trHeight w:val="300"/>
        </w:trPr>
        <w:tc>
          <w:tcPr>
            <w:tcW w:w="3006" w:type="dxa"/>
            <w:tcBorders>
              <w:top w:val="nil"/>
              <w:left w:val="nil"/>
              <w:bottom w:val="single" w:sz="4" w:space="0" w:color="auto"/>
              <w:right w:val="nil"/>
            </w:tcBorders>
            <w:shd w:val="clear" w:color="auto" w:fill="auto"/>
            <w:noWrap/>
            <w:vAlign w:val="center"/>
            <w:hideMark/>
          </w:tcPr>
          <w:p w14:paraId="15E9A9FF" w14:textId="77777777" w:rsidR="001C5622" w:rsidRPr="00EC79E6" w:rsidRDefault="006D42E4"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Percentage of</w:t>
            </w:r>
            <w:r w:rsidR="001C5622" w:rsidRPr="00EC79E6">
              <w:rPr>
                <w:rFonts w:ascii="Calibri" w:eastAsia="Times New Roman" w:hAnsi="Calibri" w:cs="Calibri"/>
                <w:color w:val="000000"/>
                <w:sz w:val="20"/>
                <w:szCs w:val="20"/>
                <w:lang w:eastAsia="en-AU"/>
              </w:rPr>
              <w:t xml:space="preserve"> </w:t>
            </w:r>
            <w:r w:rsidRPr="00EC79E6">
              <w:rPr>
                <w:rFonts w:ascii="Calibri" w:eastAsia="Times New Roman" w:hAnsi="Calibri" w:cs="Calibri"/>
                <w:color w:val="000000"/>
                <w:sz w:val="20"/>
                <w:szCs w:val="20"/>
                <w:lang w:eastAsia="en-AU"/>
              </w:rPr>
              <w:t>T</w:t>
            </w:r>
            <w:r w:rsidR="001C5622" w:rsidRPr="00EC79E6">
              <w:rPr>
                <w:rFonts w:ascii="Calibri" w:eastAsia="Times New Roman" w:hAnsi="Calibri" w:cs="Calibri"/>
                <w:color w:val="000000"/>
                <w:sz w:val="20"/>
                <w:szCs w:val="20"/>
                <w:lang w:eastAsia="en-AU"/>
              </w:rPr>
              <w:t>otal</w:t>
            </w:r>
          </w:p>
        </w:tc>
        <w:tc>
          <w:tcPr>
            <w:tcW w:w="2557" w:type="dxa"/>
            <w:gridSpan w:val="2"/>
            <w:tcBorders>
              <w:top w:val="nil"/>
              <w:left w:val="nil"/>
              <w:bottom w:val="single" w:sz="4" w:space="0" w:color="auto"/>
              <w:right w:val="nil"/>
            </w:tcBorders>
            <w:shd w:val="clear" w:color="auto" w:fill="auto"/>
            <w:noWrap/>
            <w:vAlign w:val="center"/>
            <w:hideMark/>
          </w:tcPr>
          <w:p w14:paraId="402B5675" w14:textId="77777777" w:rsidR="001C5622" w:rsidRPr="00EC79E6" w:rsidRDefault="001C5622" w:rsidP="001A1E59">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12.9</w:t>
            </w:r>
          </w:p>
        </w:tc>
        <w:tc>
          <w:tcPr>
            <w:tcW w:w="2400" w:type="dxa"/>
            <w:tcBorders>
              <w:top w:val="nil"/>
              <w:left w:val="nil"/>
              <w:bottom w:val="single" w:sz="4" w:space="0" w:color="auto"/>
              <w:right w:val="nil"/>
            </w:tcBorders>
            <w:shd w:val="clear" w:color="auto" w:fill="auto"/>
            <w:noWrap/>
            <w:vAlign w:val="center"/>
            <w:hideMark/>
          </w:tcPr>
          <w:p w14:paraId="59A09088"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6.4</w:t>
            </w:r>
          </w:p>
        </w:tc>
      </w:tr>
    </w:tbl>
    <w:p w14:paraId="40F2230A" w14:textId="4BE23F06" w:rsidR="001A1E59" w:rsidRDefault="001A1E59" w:rsidP="001A1E59">
      <w:pPr>
        <w:spacing w:before="120" w:after="0"/>
        <w:rPr>
          <w:b/>
          <w:sz w:val="20"/>
          <w:szCs w:val="20"/>
        </w:rPr>
      </w:pPr>
      <w:r>
        <w:rPr>
          <w:b/>
          <w:sz w:val="20"/>
          <w:szCs w:val="20"/>
        </w:rPr>
        <w:t>Post</w:t>
      </w:r>
      <w:r w:rsidR="00024C64">
        <w:rPr>
          <w:b/>
          <w:sz w:val="20"/>
          <w:szCs w:val="20"/>
        </w:rPr>
        <w:t>-</w:t>
      </w:r>
      <w:r>
        <w:rPr>
          <w:b/>
          <w:sz w:val="20"/>
          <w:szCs w:val="20"/>
        </w:rPr>
        <w:t>placement support</w:t>
      </w:r>
    </w:p>
    <w:tbl>
      <w:tblPr>
        <w:tblW w:w="79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557"/>
        <w:gridCol w:w="2400"/>
      </w:tblGrid>
      <w:tr w:rsidR="001A1E59" w:rsidRPr="001A1E59" w14:paraId="710070BA" w14:textId="77777777" w:rsidTr="001A1E59">
        <w:trPr>
          <w:trHeight w:val="300"/>
          <w:tblHeader/>
        </w:trPr>
        <w:tc>
          <w:tcPr>
            <w:tcW w:w="3006" w:type="dxa"/>
            <w:tcBorders>
              <w:top w:val="nil"/>
              <w:left w:val="nil"/>
              <w:bottom w:val="nil"/>
              <w:right w:val="nil"/>
            </w:tcBorders>
            <w:shd w:val="clear" w:color="auto" w:fill="1E3D6B"/>
            <w:noWrap/>
            <w:vAlign w:val="center"/>
            <w:hideMark/>
          </w:tcPr>
          <w:p w14:paraId="243702B0" w14:textId="77777777" w:rsidR="001A1E59" w:rsidRPr="001A1E59" w:rsidRDefault="001A1E59" w:rsidP="003B5C56">
            <w:pPr>
              <w:spacing w:after="0" w:line="240" w:lineRule="auto"/>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 </w:t>
            </w:r>
            <w:bookmarkStart w:id="501" w:name="Title_92b"/>
            <w:bookmarkEnd w:id="501"/>
            <w:r w:rsidRPr="001A1E59">
              <w:rPr>
                <w:rFonts w:ascii="Calibri" w:eastAsia="Times New Roman" w:hAnsi="Calibri" w:cs="Calibri"/>
                <w:b/>
                <w:color w:val="FFFFFF" w:themeColor="background2"/>
                <w:sz w:val="20"/>
                <w:szCs w:val="20"/>
                <w:lang w:eastAsia="en-AU"/>
              </w:rPr>
              <w:t>EPF Expenditure Type</w:t>
            </w:r>
          </w:p>
        </w:tc>
        <w:tc>
          <w:tcPr>
            <w:tcW w:w="2557" w:type="dxa"/>
            <w:tcBorders>
              <w:top w:val="nil"/>
              <w:left w:val="nil"/>
              <w:bottom w:val="nil"/>
              <w:right w:val="nil"/>
            </w:tcBorders>
            <w:shd w:val="clear" w:color="auto" w:fill="1E3D6B"/>
            <w:noWrap/>
            <w:vAlign w:val="center"/>
            <w:hideMark/>
          </w:tcPr>
          <w:p w14:paraId="6D6EDB6C" w14:textId="77777777" w:rsidR="001A1E59" w:rsidRPr="001A1E59" w:rsidRDefault="001A1E59" w:rsidP="001A1E59">
            <w:pPr>
              <w:spacing w:after="0" w:line="240" w:lineRule="auto"/>
              <w:ind w:right="514"/>
              <w:jc w:val="right"/>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JSA 2009</w:t>
            </w:r>
          </w:p>
        </w:tc>
        <w:tc>
          <w:tcPr>
            <w:tcW w:w="2400" w:type="dxa"/>
            <w:tcBorders>
              <w:top w:val="nil"/>
              <w:left w:val="nil"/>
              <w:bottom w:val="nil"/>
              <w:right w:val="nil"/>
            </w:tcBorders>
            <w:shd w:val="clear" w:color="auto" w:fill="1E3D6B"/>
            <w:noWrap/>
            <w:vAlign w:val="center"/>
            <w:hideMark/>
          </w:tcPr>
          <w:p w14:paraId="50E4B4FF" w14:textId="77777777" w:rsidR="001A1E59" w:rsidRPr="001A1E59" w:rsidRDefault="001A1E59" w:rsidP="001A1E59">
            <w:pPr>
              <w:spacing w:after="0" w:line="240" w:lineRule="auto"/>
              <w:ind w:right="389"/>
              <w:jc w:val="right"/>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JSA 2012</w:t>
            </w:r>
          </w:p>
        </w:tc>
      </w:tr>
      <w:tr w:rsidR="001C5622" w:rsidRPr="006D42E4" w14:paraId="01666BDB" w14:textId="77777777" w:rsidTr="001A1E59">
        <w:trPr>
          <w:trHeight w:val="300"/>
        </w:trPr>
        <w:tc>
          <w:tcPr>
            <w:tcW w:w="3006" w:type="dxa"/>
            <w:tcBorders>
              <w:top w:val="nil"/>
              <w:left w:val="nil"/>
              <w:bottom w:val="nil"/>
              <w:right w:val="nil"/>
            </w:tcBorders>
            <w:shd w:val="clear" w:color="auto" w:fill="auto"/>
            <w:noWrap/>
            <w:vAlign w:val="center"/>
            <w:hideMark/>
          </w:tcPr>
          <w:p w14:paraId="38F18476"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Total $</w:t>
            </w:r>
            <w:r w:rsidR="0081240B">
              <w:rPr>
                <w:rFonts w:ascii="Calibri" w:eastAsia="Times New Roman" w:hAnsi="Calibri" w:cs="Calibri"/>
                <w:color w:val="000000"/>
                <w:sz w:val="20"/>
                <w:szCs w:val="20"/>
                <w:lang w:eastAsia="en-AU"/>
              </w:rPr>
              <w:t xml:space="preserve"> (million)</w:t>
            </w:r>
          </w:p>
        </w:tc>
        <w:tc>
          <w:tcPr>
            <w:tcW w:w="2557" w:type="dxa"/>
            <w:tcBorders>
              <w:top w:val="nil"/>
              <w:left w:val="nil"/>
              <w:bottom w:val="nil"/>
              <w:right w:val="nil"/>
            </w:tcBorders>
            <w:shd w:val="clear" w:color="auto" w:fill="auto"/>
            <w:noWrap/>
            <w:vAlign w:val="center"/>
            <w:hideMark/>
          </w:tcPr>
          <w:p w14:paraId="24736422" w14:textId="77777777" w:rsidR="001C5622" w:rsidRPr="00EC79E6" w:rsidRDefault="001C5622" w:rsidP="0081240B">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1</w:t>
            </w:r>
            <w:r w:rsidR="0081240B">
              <w:rPr>
                <w:rFonts w:ascii="Calibri" w:eastAsia="Times New Roman" w:hAnsi="Calibri" w:cs="Calibri"/>
                <w:color w:val="000000"/>
                <w:sz w:val="20"/>
                <w:szCs w:val="20"/>
                <w:lang w:eastAsia="en-AU"/>
              </w:rPr>
              <w:t>3.5</w:t>
            </w:r>
          </w:p>
        </w:tc>
        <w:tc>
          <w:tcPr>
            <w:tcW w:w="2400" w:type="dxa"/>
            <w:tcBorders>
              <w:top w:val="nil"/>
              <w:left w:val="nil"/>
              <w:bottom w:val="nil"/>
              <w:right w:val="nil"/>
            </w:tcBorders>
            <w:shd w:val="clear" w:color="auto" w:fill="auto"/>
            <w:noWrap/>
            <w:vAlign w:val="center"/>
            <w:hideMark/>
          </w:tcPr>
          <w:p w14:paraId="79D527D7" w14:textId="77777777" w:rsidR="001C5622" w:rsidRPr="00EC79E6" w:rsidRDefault="001C5622" w:rsidP="0081240B">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3</w:t>
            </w:r>
            <w:r w:rsidR="0081240B">
              <w:rPr>
                <w:rFonts w:ascii="Calibri" w:eastAsia="Times New Roman" w:hAnsi="Calibri" w:cs="Calibri"/>
                <w:color w:val="000000"/>
                <w:sz w:val="20"/>
                <w:szCs w:val="20"/>
                <w:lang w:eastAsia="en-AU"/>
              </w:rPr>
              <w:t>.5</w:t>
            </w:r>
          </w:p>
        </w:tc>
      </w:tr>
      <w:tr w:rsidR="001A1E59" w:rsidRPr="00726D5E" w14:paraId="68E42FAC" w14:textId="77777777" w:rsidTr="001A1E59">
        <w:trPr>
          <w:trHeight w:val="300"/>
        </w:trPr>
        <w:tc>
          <w:tcPr>
            <w:tcW w:w="3006" w:type="dxa"/>
            <w:tcBorders>
              <w:top w:val="nil"/>
              <w:left w:val="nil"/>
              <w:bottom w:val="nil"/>
              <w:right w:val="nil"/>
            </w:tcBorders>
            <w:shd w:val="clear" w:color="auto" w:fill="E5E5E5" w:themeFill="background1" w:themeFillTint="33"/>
            <w:noWrap/>
            <w:vAlign w:val="center"/>
            <w:hideMark/>
          </w:tcPr>
          <w:p w14:paraId="514450B4"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Average $ transaction</w:t>
            </w:r>
          </w:p>
        </w:tc>
        <w:tc>
          <w:tcPr>
            <w:tcW w:w="2557" w:type="dxa"/>
            <w:tcBorders>
              <w:top w:val="nil"/>
              <w:left w:val="nil"/>
              <w:bottom w:val="nil"/>
              <w:right w:val="nil"/>
            </w:tcBorders>
            <w:shd w:val="clear" w:color="auto" w:fill="E5E5E5" w:themeFill="background1" w:themeFillTint="33"/>
            <w:noWrap/>
            <w:vAlign w:val="center"/>
            <w:hideMark/>
          </w:tcPr>
          <w:p w14:paraId="44D8E04F" w14:textId="77777777" w:rsidR="001C5622" w:rsidRPr="00EC79E6" w:rsidRDefault="001C5622" w:rsidP="0081240B">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5</w:t>
            </w:r>
            <w:r w:rsidR="0081240B">
              <w:rPr>
                <w:rFonts w:ascii="Calibri" w:eastAsia="Times New Roman" w:hAnsi="Calibri" w:cs="Calibri"/>
                <w:color w:val="000000"/>
                <w:sz w:val="20"/>
                <w:szCs w:val="20"/>
                <w:lang w:eastAsia="en-AU"/>
              </w:rPr>
              <w:t>7</w:t>
            </w:r>
            <w:r w:rsidRPr="00EC79E6">
              <w:rPr>
                <w:rFonts w:ascii="Calibri" w:eastAsia="Times New Roman" w:hAnsi="Calibri" w:cs="Calibri"/>
                <w:color w:val="000000"/>
                <w:sz w:val="20"/>
                <w:szCs w:val="20"/>
                <w:lang w:eastAsia="en-AU"/>
              </w:rPr>
              <w:t>.</w:t>
            </w:r>
            <w:r w:rsidR="0081240B">
              <w:rPr>
                <w:rFonts w:ascii="Calibri" w:eastAsia="Times New Roman" w:hAnsi="Calibri" w:cs="Calibri"/>
                <w:color w:val="000000"/>
                <w:sz w:val="20"/>
                <w:szCs w:val="20"/>
                <w:lang w:eastAsia="en-AU"/>
              </w:rPr>
              <w:t>0</w:t>
            </w:r>
          </w:p>
        </w:tc>
        <w:tc>
          <w:tcPr>
            <w:tcW w:w="2400" w:type="dxa"/>
            <w:tcBorders>
              <w:top w:val="nil"/>
              <w:left w:val="nil"/>
              <w:bottom w:val="nil"/>
              <w:right w:val="nil"/>
            </w:tcBorders>
            <w:shd w:val="clear" w:color="auto" w:fill="E5E5E5" w:themeFill="background1" w:themeFillTint="33"/>
            <w:noWrap/>
            <w:vAlign w:val="center"/>
            <w:hideMark/>
          </w:tcPr>
          <w:p w14:paraId="4F22109D"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48.9</w:t>
            </w:r>
          </w:p>
        </w:tc>
      </w:tr>
      <w:tr w:rsidR="001C5622" w:rsidRPr="006D42E4" w14:paraId="343CDFAC" w14:textId="77777777" w:rsidTr="001A1E59">
        <w:trPr>
          <w:trHeight w:val="300"/>
        </w:trPr>
        <w:tc>
          <w:tcPr>
            <w:tcW w:w="3006" w:type="dxa"/>
            <w:tcBorders>
              <w:top w:val="nil"/>
              <w:left w:val="nil"/>
              <w:bottom w:val="single" w:sz="4" w:space="0" w:color="auto"/>
              <w:right w:val="nil"/>
            </w:tcBorders>
            <w:shd w:val="clear" w:color="auto" w:fill="auto"/>
            <w:noWrap/>
            <w:vAlign w:val="center"/>
            <w:hideMark/>
          </w:tcPr>
          <w:p w14:paraId="1505D51E" w14:textId="77777777" w:rsidR="001C5622" w:rsidRPr="00EC79E6" w:rsidRDefault="006D42E4"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Percentage of Total</w:t>
            </w:r>
          </w:p>
        </w:tc>
        <w:tc>
          <w:tcPr>
            <w:tcW w:w="2557" w:type="dxa"/>
            <w:tcBorders>
              <w:top w:val="nil"/>
              <w:left w:val="nil"/>
              <w:bottom w:val="single" w:sz="4" w:space="0" w:color="auto"/>
              <w:right w:val="nil"/>
            </w:tcBorders>
            <w:shd w:val="clear" w:color="auto" w:fill="auto"/>
            <w:noWrap/>
            <w:vAlign w:val="center"/>
            <w:hideMark/>
          </w:tcPr>
          <w:p w14:paraId="1BCDAE80" w14:textId="77777777" w:rsidR="001C5622" w:rsidRPr="00EC79E6" w:rsidRDefault="001C5622" w:rsidP="001A1E59">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1.2</w:t>
            </w:r>
          </w:p>
        </w:tc>
        <w:tc>
          <w:tcPr>
            <w:tcW w:w="2400" w:type="dxa"/>
            <w:tcBorders>
              <w:top w:val="nil"/>
              <w:left w:val="nil"/>
              <w:bottom w:val="single" w:sz="4" w:space="0" w:color="auto"/>
              <w:right w:val="nil"/>
            </w:tcBorders>
            <w:shd w:val="clear" w:color="auto" w:fill="auto"/>
            <w:noWrap/>
            <w:vAlign w:val="center"/>
            <w:hideMark/>
          </w:tcPr>
          <w:p w14:paraId="3CAC2CBB"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0.3</w:t>
            </w:r>
          </w:p>
        </w:tc>
      </w:tr>
    </w:tbl>
    <w:p w14:paraId="1E5D85E1" w14:textId="77777777" w:rsidR="001A1E59" w:rsidRPr="001A1E59" w:rsidRDefault="001A1E59" w:rsidP="001A1E59">
      <w:pPr>
        <w:spacing w:before="120" w:after="0"/>
        <w:rPr>
          <w:b/>
          <w:sz w:val="20"/>
          <w:szCs w:val="20"/>
        </w:rPr>
      </w:pPr>
      <w:r>
        <w:rPr>
          <w:b/>
          <w:sz w:val="20"/>
          <w:szCs w:val="20"/>
        </w:rPr>
        <w:t>Reverse marketing</w:t>
      </w:r>
    </w:p>
    <w:tbl>
      <w:tblPr>
        <w:tblW w:w="79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557"/>
        <w:gridCol w:w="2400"/>
      </w:tblGrid>
      <w:tr w:rsidR="001A1E59" w:rsidRPr="001A1E59" w14:paraId="46726A85" w14:textId="77777777" w:rsidTr="001A1E59">
        <w:trPr>
          <w:trHeight w:val="300"/>
          <w:tblHeader/>
        </w:trPr>
        <w:tc>
          <w:tcPr>
            <w:tcW w:w="3006" w:type="dxa"/>
            <w:tcBorders>
              <w:top w:val="nil"/>
              <w:left w:val="nil"/>
              <w:bottom w:val="nil"/>
              <w:right w:val="nil"/>
            </w:tcBorders>
            <w:shd w:val="clear" w:color="auto" w:fill="1E3D6B"/>
            <w:noWrap/>
            <w:vAlign w:val="center"/>
            <w:hideMark/>
          </w:tcPr>
          <w:p w14:paraId="04E5CBA7" w14:textId="77777777" w:rsidR="001A1E59" w:rsidRPr="001A1E59" w:rsidRDefault="001A1E59" w:rsidP="003B5C56">
            <w:pPr>
              <w:spacing w:after="0" w:line="240" w:lineRule="auto"/>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 </w:t>
            </w:r>
            <w:bookmarkStart w:id="502" w:name="Title_92c"/>
            <w:bookmarkEnd w:id="502"/>
            <w:r w:rsidRPr="001A1E59">
              <w:rPr>
                <w:rFonts w:ascii="Calibri" w:eastAsia="Times New Roman" w:hAnsi="Calibri" w:cs="Calibri"/>
                <w:b/>
                <w:color w:val="FFFFFF" w:themeColor="background2"/>
                <w:sz w:val="20"/>
                <w:szCs w:val="20"/>
                <w:lang w:eastAsia="en-AU"/>
              </w:rPr>
              <w:t>EPF Expenditure Type</w:t>
            </w:r>
          </w:p>
        </w:tc>
        <w:tc>
          <w:tcPr>
            <w:tcW w:w="2557" w:type="dxa"/>
            <w:tcBorders>
              <w:top w:val="nil"/>
              <w:left w:val="nil"/>
              <w:bottom w:val="nil"/>
              <w:right w:val="nil"/>
            </w:tcBorders>
            <w:shd w:val="clear" w:color="auto" w:fill="1E3D6B"/>
            <w:noWrap/>
            <w:vAlign w:val="center"/>
            <w:hideMark/>
          </w:tcPr>
          <w:p w14:paraId="7EC28102" w14:textId="77777777" w:rsidR="001A1E59" w:rsidRPr="001A1E59" w:rsidRDefault="001A1E59" w:rsidP="001A1E59">
            <w:pPr>
              <w:spacing w:after="0" w:line="240" w:lineRule="auto"/>
              <w:ind w:right="514"/>
              <w:jc w:val="right"/>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JSA 2009</w:t>
            </w:r>
          </w:p>
        </w:tc>
        <w:tc>
          <w:tcPr>
            <w:tcW w:w="2400" w:type="dxa"/>
            <w:tcBorders>
              <w:top w:val="nil"/>
              <w:left w:val="nil"/>
              <w:bottom w:val="nil"/>
              <w:right w:val="nil"/>
            </w:tcBorders>
            <w:shd w:val="clear" w:color="auto" w:fill="1E3D6B"/>
            <w:noWrap/>
            <w:vAlign w:val="center"/>
            <w:hideMark/>
          </w:tcPr>
          <w:p w14:paraId="06DC248A" w14:textId="77777777" w:rsidR="001A1E59" w:rsidRPr="001A1E59" w:rsidRDefault="001A1E59" w:rsidP="001A1E59">
            <w:pPr>
              <w:spacing w:after="0" w:line="240" w:lineRule="auto"/>
              <w:ind w:right="389"/>
              <w:jc w:val="right"/>
              <w:rPr>
                <w:rFonts w:ascii="Calibri" w:eastAsia="Times New Roman" w:hAnsi="Calibri" w:cs="Calibri"/>
                <w:b/>
                <w:color w:val="FFFFFF" w:themeColor="background2"/>
                <w:sz w:val="20"/>
                <w:szCs w:val="20"/>
                <w:lang w:eastAsia="en-AU"/>
              </w:rPr>
            </w:pPr>
            <w:r w:rsidRPr="001A1E59">
              <w:rPr>
                <w:rFonts w:ascii="Calibri" w:eastAsia="Times New Roman" w:hAnsi="Calibri" w:cs="Calibri"/>
                <w:b/>
                <w:color w:val="FFFFFF" w:themeColor="background2"/>
                <w:sz w:val="20"/>
                <w:szCs w:val="20"/>
                <w:lang w:eastAsia="en-AU"/>
              </w:rPr>
              <w:t>JSA 2012</w:t>
            </w:r>
          </w:p>
        </w:tc>
      </w:tr>
      <w:tr w:rsidR="001C5622" w:rsidRPr="006D42E4" w14:paraId="7D9B9471" w14:textId="77777777" w:rsidTr="001A1E59">
        <w:trPr>
          <w:trHeight w:val="300"/>
        </w:trPr>
        <w:tc>
          <w:tcPr>
            <w:tcW w:w="3006" w:type="dxa"/>
            <w:tcBorders>
              <w:top w:val="nil"/>
              <w:left w:val="nil"/>
              <w:bottom w:val="nil"/>
              <w:right w:val="nil"/>
            </w:tcBorders>
            <w:shd w:val="clear" w:color="auto" w:fill="auto"/>
            <w:noWrap/>
            <w:vAlign w:val="center"/>
            <w:hideMark/>
          </w:tcPr>
          <w:p w14:paraId="2E6D467C"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Total $</w:t>
            </w:r>
            <w:r w:rsidR="0081240B">
              <w:rPr>
                <w:rFonts w:ascii="Calibri" w:eastAsia="Times New Roman" w:hAnsi="Calibri" w:cs="Calibri"/>
                <w:color w:val="000000"/>
                <w:sz w:val="20"/>
                <w:szCs w:val="20"/>
                <w:lang w:eastAsia="en-AU"/>
              </w:rPr>
              <w:t xml:space="preserve"> (million)</w:t>
            </w:r>
          </w:p>
        </w:tc>
        <w:tc>
          <w:tcPr>
            <w:tcW w:w="2557" w:type="dxa"/>
            <w:tcBorders>
              <w:top w:val="nil"/>
              <w:left w:val="nil"/>
              <w:bottom w:val="nil"/>
              <w:right w:val="nil"/>
            </w:tcBorders>
            <w:shd w:val="clear" w:color="auto" w:fill="auto"/>
            <w:noWrap/>
            <w:vAlign w:val="center"/>
            <w:hideMark/>
          </w:tcPr>
          <w:p w14:paraId="3135D88B" w14:textId="77777777" w:rsidR="001C5622" w:rsidRPr="00EC79E6" w:rsidRDefault="001C5622" w:rsidP="0081240B">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82</w:t>
            </w:r>
            <w:r w:rsidR="0081240B">
              <w:rPr>
                <w:rFonts w:ascii="Calibri" w:eastAsia="Times New Roman" w:hAnsi="Calibri" w:cs="Calibri"/>
                <w:color w:val="000000"/>
                <w:sz w:val="20"/>
                <w:szCs w:val="20"/>
                <w:lang w:eastAsia="en-AU"/>
              </w:rPr>
              <w:t>.</w:t>
            </w:r>
            <w:r w:rsidRPr="00EC79E6">
              <w:rPr>
                <w:rFonts w:ascii="Calibri" w:eastAsia="Times New Roman" w:hAnsi="Calibri" w:cs="Calibri"/>
                <w:color w:val="000000"/>
                <w:sz w:val="20"/>
                <w:szCs w:val="20"/>
                <w:lang w:eastAsia="en-AU"/>
              </w:rPr>
              <w:t>7</w:t>
            </w:r>
          </w:p>
        </w:tc>
        <w:tc>
          <w:tcPr>
            <w:tcW w:w="2400" w:type="dxa"/>
            <w:tcBorders>
              <w:top w:val="nil"/>
              <w:left w:val="nil"/>
              <w:bottom w:val="nil"/>
              <w:right w:val="nil"/>
            </w:tcBorders>
            <w:shd w:val="clear" w:color="auto" w:fill="auto"/>
            <w:noWrap/>
            <w:vAlign w:val="center"/>
            <w:hideMark/>
          </w:tcPr>
          <w:p w14:paraId="79C109A2" w14:textId="77777777" w:rsidR="001C5622" w:rsidRPr="00EC79E6" w:rsidRDefault="001C5622" w:rsidP="0081240B">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29</w:t>
            </w:r>
            <w:r w:rsidR="0081240B">
              <w:rPr>
                <w:rFonts w:ascii="Calibri" w:eastAsia="Times New Roman" w:hAnsi="Calibri" w:cs="Calibri"/>
                <w:color w:val="000000"/>
                <w:sz w:val="20"/>
                <w:szCs w:val="20"/>
                <w:lang w:eastAsia="en-AU"/>
              </w:rPr>
              <w:t>.4</w:t>
            </w:r>
          </w:p>
        </w:tc>
      </w:tr>
      <w:tr w:rsidR="001A1E59" w:rsidRPr="00726D5E" w14:paraId="725C3B8C" w14:textId="77777777" w:rsidTr="001A1E59">
        <w:trPr>
          <w:trHeight w:val="300"/>
        </w:trPr>
        <w:tc>
          <w:tcPr>
            <w:tcW w:w="3006" w:type="dxa"/>
            <w:tcBorders>
              <w:top w:val="nil"/>
              <w:left w:val="nil"/>
              <w:bottom w:val="nil"/>
              <w:right w:val="nil"/>
            </w:tcBorders>
            <w:shd w:val="clear" w:color="auto" w:fill="E5E5E5" w:themeFill="background1" w:themeFillTint="33"/>
            <w:noWrap/>
            <w:vAlign w:val="center"/>
            <w:hideMark/>
          </w:tcPr>
          <w:p w14:paraId="549AB859" w14:textId="77777777" w:rsidR="001C5622" w:rsidRPr="00EC79E6" w:rsidRDefault="001C5622"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Average $ transaction</w:t>
            </w:r>
          </w:p>
        </w:tc>
        <w:tc>
          <w:tcPr>
            <w:tcW w:w="2557" w:type="dxa"/>
            <w:tcBorders>
              <w:top w:val="nil"/>
              <w:left w:val="nil"/>
              <w:bottom w:val="nil"/>
              <w:right w:val="nil"/>
            </w:tcBorders>
            <w:shd w:val="clear" w:color="auto" w:fill="E5E5E5" w:themeFill="background1" w:themeFillTint="33"/>
            <w:noWrap/>
            <w:vAlign w:val="center"/>
            <w:hideMark/>
          </w:tcPr>
          <w:p w14:paraId="4E9F0D91" w14:textId="77777777" w:rsidR="001C5622" w:rsidRPr="00EC79E6" w:rsidRDefault="001C5622" w:rsidP="001A1E59">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57.0</w:t>
            </w:r>
          </w:p>
        </w:tc>
        <w:tc>
          <w:tcPr>
            <w:tcW w:w="2400" w:type="dxa"/>
            <w:tcBorders>
              <w:top w:val="nil"/>
              <w:left w:val="nil"/>
              <w:bottom w:val="nil"/>
              <w:right w:val="nil"/>
            </w:tcBorders>
            <w:shd w:val="clear" w:color="auto" w:fill="E5E5E5" w:themeFill="background1" w:themeFillTint="33"/>
            <w:noWrap/>
            <w:vAlign w:val="center"/>
            <w:hideMark/>
          </w:tcPr>
          <w:p w14:paraId="46D84858"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49.0</w:t>
            </w:r>
          </w:p>
        </w:tc>
      </w:tr>
      <w:tr w:rsidR="001C5622" w:rsidRPr="006D42E4" w14:paraId="7CB09FA9" w14:textId="77777777" w:rsidTr="001A1E59">
        <w:trPr>
          <w:trHeight w:val="300"/>
        </w:trPr>
        <w:tc>
          <w:tcPr>
            <w:tcW w:w="3006" w:type="dxa"/>
            <w:tcBorders>
              <w:top w:val="nil"/>
              <w:left w:val="nil"/>
              <w:bottom w:val="single" w:sz="4" w:space="0" w:color="auto"/>
              <w:right w:val="nil"/>
            </w:tcBorders>
            <w:shd w:val="clear" w:color="auto" w:fill="auto"/>
            <w:noWrap/>
            <w:vAlign w:val="center"/>
            <w:hideMark/>
          </w:tcPr>
          <w:p w14:paraId="5765530F" w14:textId="77777777" w:rsidR="001C5622" w:rsidRPr="00EC79E6" w:rsidRDefault="006D42E4" w:rsidP="001A1E59">
            <w:pPr>
              <w:spacing w:after="0" w:line="240" w:lineRule="auto"/>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Percentage of Total</w:t>
            </w:r>
          </w:p>
        </w:tc>
        <w:tc>
          <w:tcPr>
            <w:tcW w:w="2557" w:type="dxa"/>
            <w:tcBorders>
              <w:top w:val="nil"/>
              <w:left w:val="nil"/>
              <w:bottom w:val="single" w:sz="4" w:space="0" w:color="auto"/>
              <w:right w:val="nil"/>
            </w:tcBorders>
            <w:shd w:val="clear" w:color="auto" w:fill="auto"/>
            <w:noWrap/>
            <w:vAlign w:val="center"/>
            <w:hideMark/>
          </w:tcPr>
          <w:p w14:paraId="6530412F" w14:textId="77777777" w:rsidR="001C5622" w:rsidRPr="00EC79E6" w:rsidRDefault="001C5622" w:rsidP="001A1E59">
            <w:pPr>
              <w:spacing w:after="0" w:line="240" w:lineRule="auto"/>
              <w:ind w:right="514"/>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7.5</w:t>
            </w:r>
          </w:p>
        </w:tc>
        <w:tc>
          <w:tcPr>
            <w:tcW w:w="2400" w:type="dxa"/>
            <w:tcBorders>
              <w:top w:val="nil"/>
              <w:left w:val="nil"/>
              <w:bottom w:val="single" w:sz="4" w:space="0" w:color="auto"/>
              <w:right w:val="nil"/>
            </w:tcBorders>
            <w:shd w:val="clear" w:color="auto" w:fill="auto"/>
            <w:noWrap/>
            <w:vAlign w:val="center"/>
            <w:hideMark/>
          </w:tcPr>
          <w:p w14:paraId="0741A702" w14:textId="77777777" w:rsidR="001C5622" w:rsidRPr="00EC79E6" w:rsidRDefault="001C5622" w:rsidP="001A1E59">
            <w:pPr>
              <w:spacing w:after="0" w:line="240" w:lineRule="auto"/>
              <w:ind w:right="389"/>
              <w:jc w:val="right"/>
              <w:rPr>
                <w:rFonts w:ascii="Calibri" w:eastAsia="Times New Roman" w:hAnsi="Calibri" w:cs="Calibri"/>
                <w:color w:val="000000"/>
                <w:sz w:val="20"/>
                <w:szCs w:val="20"/>
                <w:lang w:eastAsia="en-AU"/>
              </w:rPr>
            </w:pPr>
            <w:r w:rsidRPr="00EC79E6">
              <w:rPr>
                <w:rFonts w:ascii="Calibri" w:eastAsia="Times New Roman" w:hAnsi="Calibri" w:cs="Calibri"/>
                <w:color w:val="000000"/>
                <w:sz w:val="20"/>
                <w:szCs w:val="20"/>
                <w:lang w:eastAsia="en-AU"/>
              </w:rPr>
              <w:t>2.4</w:t>
            </w:r>
          </w:p>
        </w:tc>
      </w:tr>
    </w:tbl>
    <w:p w14:paraId="1EEA0F7B" w14:textId="77777777" w:rsidR="001C5622" w:rsidRPr="0062186E" w:rsidRDefault="001C5622" w:rsidP="0019430D">
      <w:pPr>
        <w:pStyle w:val="Source"/>
      </w:pPr>
      <w:r w:rsidRPr="0062186E">
        <w:rPr>
          <w:b/>
        </w:rPr>
        <w:t>Source</w:t>
      </w:r>
      <w:r w:rsidR="006E205D">
        <w:t>:</w:t>
      </w:r>
      <w:r w:rsidR="006E205D">
        <w:tab/>
      </w:r>
      <w:r w:rsidRPr="0062186E">
        <w:t>Department</w:t>
      </w:r>
      <w:r w:rsidR="007E443D">
        <w:t xml:space="preserve"> of </w:t>
      </w:r>
      <w:r w:rsidR="007E443D" w:rsidRPr="0019430D">
        <w:t>Employment</w:t>
      </w:r>
      <w:r w:rsidRPr="0062186E">
        <w:t xml:space="preserve"> </w:t>
      </w:r>
      <w:r w:rsidR="001A1E59">
        <w:t>a</w:t>
      </w:r>
      <w:r w:rsidRPr="0062186E">
        <w:t xml:space="preserve">dministrative </w:t>
      </w:r>
      <w:r w:rsidR="001A1E59">
        <w:t>d</w:t>
      </w:r>
      <w:r w:rsidRPr="0062186E">
        <w:t>ata</w:t>
      </w:r>
      <w:r w:rsidR="001A1E59">
        <w:t>.</w:t>
      </w:r>
    </w:p>
    <w:p w14:paraId="1460A98B" w14:textId="18317A63" w:rsidR="001C5622" w:rsidRDefault="001C5622" w:rsidP="001C5622">
      <w:r>
        <w:t>The decline in expenditure for reverse marketing and post</w:t>
      </w:r>
      <w:r w:rsidR="00CF06E4">
        <w:t>-</w:t>
      </w:r>
      <w:r>
        <w:t xml:space="preserve">placement support </w:t>
      </w:r>
      <w:r w:rsidR="00C04D6F">
        <w:t xml:space="preserve">was </w:t>
      </w:r>
      <w:r>
        <w:t xml:space="preserve">likely due to an increase </w:t>
      </w:r>
      <w:r w:rsidR="005E18CF">
        <w:t xml:space="preserve">in </w:t>
      </w:r>
      <w:r>
        <w:t xml:space="preserve">the level of information required for </w:t>
      </w:r>
      <w:r w:rsidR="0030062B">
        <w:t xml:space="preserve">substantiating </w:t>
      </w:r>
      <w:r>
        <w:t>expenditure when accessing the EPF for provider services</w:t>
      </w:r>
      <w:r w:rsidR="00EC79E6">
        <w:t xml:space="preserve"> (Table 9.1)</w:t>
      </w:r>
      <w:r w:rsidR="003E2CAD">
        <w:t>.</w:t>
      </w:r>
    </w:p>
    <w:p w14:paraId="5B54F463" w14:textId="4BFE6683" w:rsidR="001C5622" w:rsidRDefault="00024C64" w:rsidP="002A2846">
      <w:r>
        <w:t>R</w:t>
      </w:r>
      <w:r w:rsidR="001C5622">
        <w:t xml:space="preserve">educed spending on reverse marketing and post-placement support can have a negative impact on provider’s ability to develop suitable long-lasting relationships with </w:t>
      </w:r>
      <w:r w:rsidR="00EC79E6">
        <w:t xml:space="preserve">employers </w:t>
      </w:r>
      <w:r w:rsidR="001C5622">
        <w:t xml:space="preserve">in their area. As noted by the Australian Chamber of Commerce and </w:t>
      </w:r>
      <w:r w:rsidR="00BC72D3">
        <w:t>Industry</w:t>
      </w:r>
      <w:r w:rsidR="001C5622">
        <w:t>:</w:t>
      </w:r>
    </w:p>
    <w:p w14:paraId="65307153" w14:textId="77777777" w:rsidR="001C5622" w:rsidRPr="00F9555A" w:rsidRDefault="001C5622" w:rsidP="0030062B">
      <w:pPr>
        <w:autoSpaceDE w:val="0"/>
        <w:autoSpaceDN w:val="0"/>
        <w:adjustRightInd w:val="0"/>
        <w:spacing w:line="240" w:lineRule="auto"/>
        <w:ind w:left="567"/>
        <w:rPr>
          <w:rFonts w:ascii="Calibri" w:eastAsia="Times New Roman" w:hAnsi="Calibri" w:cs="Calibri"/>
          <w:lang w:eastAsia="en-AU"/>
        </w:rPr>
      </w:pPr>
      <w:r w:rsidRPr="00117055">
        <w:rPr>
          <w:rStyle w:val="QuoteChar"/>
        </w:rPr>
        <w:t>Industry feedback suggests that some JSA providers do not have sufficient specialist industry knowledge to make a satisfactory placement so opportunities for real employment outcomes in industry are lost. JSAs with strong industry links and understanding enable those JSAs to better understand the needs of employers, the skills and labour requirements for that industry and better link training services for jobseekers to ensure that training is relevant to the needs of the employer</w:t>
      </w:r>
      <w:r w:rsidRPr="00F9555A">
        <w:rPr>
          <w:rFonts w:ascii="Calibri" w:eastAsia="Times New Roman" w:hAnsi="Calibri" w:cs="Calibri"/>
          <w:i/>
          <w:sz w:val="20"/>
          <w:szCs w:val="20"/>
          <w:lang w:eastAsia="en-AU"/>
        </w:rPr>
        <w:t>.</w:t>
      </w:r>
      <w:r>
        <w:rPr>
          <w:rStyle w:val="FootnoteReference"/>
          <w:rFonts w:eastAsia="Times New Roman" w:cs="Calibri"/>
          <w:lang w:eastAsia="en-AU"/>
        </w:rPr>
        <w:footnoteReference w:id="81"/>
      </w:r>
    </w:p>
    <w:p w14:paraId="0E78648F" w14:textId="77777777" w:rsidR="001C5622" w:rsidRDefault="001C5622" w:rsidP="00133C28">
      <w:pPr>
        <w:rPr>
          <w:rFonts w:eastAsia="Times New Roman"/>
          <w:lang w:eastAsia="en-AU"/>
        </w:rPr>
      </w:pPr>
      <w:r>
        <w:rPr>
          <w:rFonts w:eastAsia="Times New Roman"/>
          <w:lang w:eastAsia="en-AU"/>
        </w:rPr>
        <w:t>Reducing the support available to build relationships with providers can further erode their specialist knowledge of the industries and employers in their areas, leading to lower employment opportunities for job seekers.</w:t>
      </w:r>
    </w:p>
    <w:p w14:paraId="3BB6688A" w14:textId="721A6506" w:rsidR="001C5622" w:rsidRDefault="001C5622" w:rsidP="00133C28">
      <w:pPr>
        <w:rPr>
          <w:rFonts w:eastAsia="Times New Roman"/>
          <w:lang w:eastAsia="en-AU"/>
        </w:rPr>
      </w:pPr>
      <w:r>
        <w:rPr>
          <w:rFonts w:eastAsia="Times New Roman"/>
          <w:lang w:eastAsia="en-AU"/>
        </w:rPr>
        <w:t>Survey evidence from providers however suggest</w:t>
      </w:r>
      <w:r w:rsidR="00C04D6F">
        <w:rPr>
          <w:rFonts w:eastAsia="Times New Roman"/>
          <w:lang w:eastAsia="en-AU"/>
        </w:rPr>
        <w:t>s</w:t>
      </w:r>
      <w:r>
        <w:rPr>
          <w:rFonts w:eastAsia="Times New Roman"/>
          <w:lang w:eastAsia="en-AU"/>
        </w:rPr>
        <w:t xml:space="preserve"> that the reduction in EPF expenditure had limited impact on providers engaging in reverse marketing and post-placement support. The 2012 Provider Survey reveals that 81 per cent of providers often or always deliver ongoing support to job seekers as part of </w:t>
      </w:r>
      <w:r w:rsidR="00BC72D3">
        <w:rPr>
          <w:rFonts w:eastAsia="Times New Roman"/>
          <w:lang w:eastAsia="en-AU"/>
        </w:rPr>
        <w:t xml:space="preserve">their </w:t>
      </w:r>
      <w:r>
        <w:rPr>
          <w:rFonts w:eastAsia="Times New Roman"/>
          <w:lang w:eastAsia="en-AU"/>
        </w:rPr>
        <w:t>employer servicing strategies. Th</w:t>
      </w:r>
      <w:r w:rsidR="003A717B">
        <w:rPr>
          <w:rFonts w:eastAsia="Times New Roman"/>
          <w:lang w:eastAsia="en-AU"/>
        </w:rPr>
        <w:t xml:space="preserve">is remained relatively unchanged (80 per cent) in the </w:t>
      </w:r>
      <w:r>
        <w:rPr>
          <w:rFonts w:eastAsia="Times New Roman"/>
          <w:lang w:eastAsia="en-AU"/>
        </w:rPr>
        <w:t xml:space="preserve">2015 </w:t>
      </w:r>
      <w:r w:rsidR="003E2CAD">
        <w:rPr>
          <w:rFonts w:eastAsia="Times New Roman"/>
          <w:lang w:eastAsia="en-AU"/>
        </w:rPr>
        <w:t>s</w:t>
      </w:r>
      <w:r>
        <w:rPr>
          <w:rFonts w:eastAsia="Times New Roman"/>
          <w:lang w:eastAsia="en-AU"/>
        </w:rPr>
        <w:t>urvey. Similar survey results are found for reverse marketing. In 2012, 94 per cent of providers often or always use reverse marketing to facilitate job placements.</w:t>
      </w:r>
      <w:r w:rsidR="007B23E6">
        <w:rPr>
          <w:rFonts w:eastAsia="Times New Roman"/>
          <w:lang w:eastAsia="en-AU"/>
        </w:rPr>
        <w:t xml:space="preserve"> </w:t>
      </w:r>
      <w:r w:rsidR="003A717B">
        <w:rPr>
          <w:rFonts w:eastAsia="Times New Roman"/>
          <w:lang w:eastAsia="en-AU"/>
        </w:rPr>
        <w:t>The figure f</w:t>
      </w:r>
      <w:r>
        <w:rPr>
          <w:rFonts w:eastAsia="Times New Roman"/>
          <w:lang w:eastAsia="en-AU"/>
        </w:rPr>
        <w:t>or 2015</w:t>
      </w:r>
      <w:r w:rsidR="003A717B">
        <w:rPr>
          <w:rFonts w:eastAsia="Times New Roman"/>
          <w:lang w:eastAsia="en-AU"/>
        </w:rPr>
        <w:t xml:space="preserve"> </w:t>
      </w:r>
      <w:r w:rsidR="00024C64">
        <w:rPr>
          <w:rFonts w:eastAsia="Times New Roman"/>
          <w:lang w:eastAsia="en-AU"/>
        </w:rPr>
        <w:t xml:space="preserve">was </w:t>
      </w:r>
      <w:r w:rsidR="003A717B">
        <w:rPr>
          <w:rFonts w:eastAsia="Times New Roman"/>
          <w:lang w:eastAsia="en-AU"/>
        </w:rPr>
        <w:t>slightly lower (</w:t>
      </w:r>
      <w:r>
        <w:rPr>
          <w:rFonts w:eastAsia="Times New Roman"/>
          <w:lang w:eastAsia="en-AU"/>
        </w:rPr>
        <w:t>88 per cent</w:t>
      </w:r>
      <w:r w:rsidR="003A717B">
        <w:rPr>
          <w:rFonts w:eastAsia="Times New Roman"/>
          <w:lang w:eastAsia="en-AU"/>
        </w:rPr>
        <w:t>)</w:t>
      </w:r>
      <w:r>
        <w:rPr>
          <w:rFonts w:eastAsia="Times New Roman"/>
          <w:lang w:eastAsia="en-AU"/>
        </w:rPr>
        <w:t>. This suggests that the tightening</w:t>
      </w:r>
      <w:r w:rsidR="00A579FE">
        <w:rPr>
          <w:rFonts w:eastAsia="Times New Roman"/>
          <w:lang w:eastAsia="en-AU"/>
        </w:rPr>
        <w:t xml:space="preserve"> of evidentiary requirements was</w:t>
      </w:r>
      <w:r>
        <w:rPr>
          <w:rFonts w:eastAsia="Times New Roman"/>
          <w:lang w:eastAsia="en-AU"/>
        </w:rPr>
        <w:t xml:space="preserve"> unlikely to have significantly reduced the level of employer servicing undertaken by providers.</w:t>
      </w:r>
    </w:p>
    <w:p w14:paraId="5FD53E83" w14:textId="77777777" w:rsidR="001C5622" w:rsidRPr="003A717B" w:rsidRDefault="003A717B" w:rsidP="002F496A">
      <w:pPr>
        <w:pStyle w:val="Heading3"/>
      </w:pPr>
      <w:bookmarkStart w:id="503" w:name="_Toc22543137"/>
      <w:r w:rsidRPr="003A717B">
        <w:t>9.</w:t>
      </w:r>
      <w:r w:rsidR="007728F1">
        <w:t>2.2</w:t>
      </w:r>
      <w:r w:rsidR="007728F1" w:rsidRPr="003A717B">
        <w:t xml:space="preserve"> </w:t>
      </w:r>
      <w:r w:rsidRPr="003A717B">
        <w:tab/>
      </w:r>
      <w:r w:rsidR="001C5622" w:rsidRPr="003A717B">
        <w:t>Employer awareness and use of Job Services Australia</w:t>
      </w:r>
      <w:bookmarkEnd w:id="503"/>
    </w:p>
    <w:p w14:paraId="12CC1344" w14:textId="355A96A4" w:rsidR="003A717B" w:rsidRDefault="001B7EF3" w:rsidP="003A717B">
      <w:pPr>
        <w:rPr>
          <w:vertAlign w:val="superscript"/>
        </w:rPr>
      </w:pPr>
      <w:r>
        <w:t>D</w:t>
      </w:r>
      <w:r w:rsidRPr="003A717B">
        <w:t>ata used in th</w:t>
      </w:r>
      <w:r w:rsidR="002052DB">
        <w:t>e following</w:t>
      </w:r>
      <w:r w:rsidRPr="003A717B">
        <w:t xml:space="preserve"> </w:t>
      </w:r>
      <w:r>
        <w:t>section</w:t>
      </w:r>
      <w:r w:rsidR="002052DB">
        <w:t>s</w:t>
      </w:r>
      <w:r>
        <w:t xml:space="preserve"> is</w:t>
      </w:r>
      <w:r w:rsidRPr="003A717B">
        <w:t xml:space="preserve"> from the </w:t>
      </w:r>
      <w:r w:rsidR="0004451E">
        <w:t>201</w:t>
      </w:r>
      <w:r w:rsidR="005657A7">
        <w:t>4-15</w:t>
      </w:r>
      <w:r w:rsidR="0004451E">
        <w:t xml:space="preserve"> </w:t>
      </w:r>
      <w:r w:rsidRPr="003A717B">
        <w:t>Survey of Employers</w:t>
      </w:r>
      <w:r w:rsidR="0004451E">
        <w:t xml:space="preserve">, </w:t>
      </w:r>
      <w:r w:rsidRPr="003A717B">
        <w:t>unless otherwise stated</w:t>
      </w:r>
      <w:r>
        <w:t>.</w:t>
      </w:r>
      <w:r w:rsidRPr="001B7EF3">
        <w:rPr>
          <w:vertAlign w:val="superscript"/>
        </w:rPr>
        <w:t xml:space="preserve"> </w:t>
      </w:r>
      <w:r w:rsidRPr="00117055">
        <w:rPr>
          <w:rStyle w:val="FootnoteReference"/>
        </w:rPr>
        <w:footnoteReference w:id="82"/>
      </w:r>
      <w:r w:rsidRPr="003A717B">
        <w:t xml:space="preserve"> </w:t>
      </w:r>
      <w:r w:rsidR="001C5622" w:rsidRPr="003A717B">
        <w:t xml:space="preserve">The 2014-15 Survey of Employers found that </w:t>
      </w:r>
      <w:r>
        <w:t>three-quarters</w:t>
      </w:r>
      <w:r w:rsidR="001C5622" w:rsidRPr="003A717B">
        <w:t xml:space="preserve"> of employers (77 per cent) were aware that government funded employment services</w:t>
      </w:r>
      <w:r>
        <w:t xml:space="preserve"> exist</w:t>
      </w:r>
      <w:r w:rsidR="001C5622" w:rsidRPr="003A717B">
        <w:t>.</w:t>
      </w:r>
      <w:r w:rsidR="00FD5414">
        <w:rPr>
          <w:rStyle w:val="FootnoteReference"/>
        </w:rPr>
        <w:footnoteReference w:id="83"/>
      </w:r>
      <w:r w:rsidR="001C5622" w:rsidRPr="003A717B">
        <w:t xml:space="preserve"> However, this general awareness </w:t>
      </w:r>
      <w:r w:rsidR="00A579FE">
        <w:t>did</w:t>
      </w:r>
      <w:r w:rsidR="00BC72D3">
        <w:t xml:space="preserve"> </w:t>
      </w:r>
      <w:r w:rsidR="001C5622" w:rsidRPr="003A717B">
        <w:t>n</w:t>
      </w:r>
      <w:r w:rsidR="00BC72D3">
        <w:t>o</w:t>
      </w:r>
      <w:r w:rsidR="001C5622" w:rsidRPr="003A717B">
        <w:t>t follow through into awareness of the JSA brand, with only 33 per cent of employers recognising JSA</w:t>
      </w:r>
      <w:r w:rsidR="00071819">
        <w:t>.</w:t>
      </w:r>
      <w:r w:rsidR="001C5622" w:rsidRPr="003A717B">
        <w:t xml:space="preserve"> Conversely, 70 per cent of employers were aware of </w:t>
      </w:r>
      <w:r w:rsidR="003A14EB">
        <w:t>Job Network (</w:t>
      </w:r>
      <w:r w:rsidR="001C5622" w:rsidRPr="003A717B">
        <w:t>JN</w:t>
      </w:r>
      <w:r w:rsidR="003A14EB">
        <w:t>)</w:t>
      </w:r>
      <w:r w:rsidR="001C5622" w:rsidRPr="003A717B">
        <w:t xml:space="preserve"> in 2007</w:t>
      </w:r>
      <w:r w:rsidR="00146BD8">
        <w:t xml:space="preserve"> (Table</w:t>
      </w:r>
      <w:r w:rsidR="00C04D6F">
        <w:t> </w:t>
      </w:r>
      <w:r w:rsidR="00146BD8">
        <w:t>9.3)</w:t>
      </w:r>
      <w:r w:rsidR="001C5622" w:rsidRPr="003A717B">
        <w:t>.</w:t>
      </w:r>
    </w:p>
    <w:p w14:paraId="3A0BCBDB" w14:textId="77777777" w:rsidR="001C5622" w:rsidRDefault="001C5622" w:rsidP="003A717B">
      <w:pPr>
        <w:pStyle w:val="Tableforcontents"/>
        <w:rPr>
          <w:bCs/>
          <w:iCs/>
        </w:rPr>
      </w:pPr>
      <w:bookmarkStart w:id="504" w:name="_Toc22544004"/>
      <w:r>
        <w:t xml:space="preserve">Table </w:t>
      </w:r>
      <w:r w:rsidR="00146BD8">
        <w:t>9.3</w:t>
      </w:r>
      <w:r w:rsidR="00793982">
        <w:t>:</w:t>
      </w:r>
      <w:r>
        <w:t xml:space="preserve"> Awareness and use of </w:t>
      </w:r>
      <w:r w:rsidR="0022762D">
        <w:t>mainstream government funded employment services</w:t>
      </w:r>
      <w:r w:rsidR="00B34DB1">
        <w:t>,</w:t>
      </w:r>
      <w:r w:rsidR="0022762D">
        <w:t xml:space="preserve"> </w:t>
      </w:r>
      <w:r>
        <w:t>2007 to 2015 (per cent)</w:t>
      </w:r>
      <w:bookmarkEnd w:id="504"/>
    </w:p>
    <w:tbl>
      <w:tblPr>
        <w:tblW w:w="9027" w:type="dxa"/>
        <w:tblLook w:val="04A0" w:firstRow="1" w:lastRow="0" w:firstColumn="1" w:lastColumn="0" w:noHBand="0" w:noVBand="1"/>
      </w:tblPr>
      <w:tblGrid>
        <w:gridCol w:w="1788"/>
        <w:gridCol w:w="1997"/>
        <w:gridCol w:w="1710"/>
        <w:gridCol w:w="1840"/>
        <w:gridCol w:w="1692"/>
      </w:tblGrid>
      <w:tr w:rsidR="00A6000A" w:rsidRPr="003F290E" w14:paraId="11EDD2F7" w14:textId="6D905499" w:rsidTr="00A6000A">
        <w:trPr>
          <w:cantSplit/>
          <w:trHeight w:val="300"/>
          <w:tblHeader/>
        </w:trPr>
        <w:tc>
          <w:tcPr>
            <w:tcW w:w="1788" w:type="dxa"/>
            <w:tcBorders>
              <w:top w:val="nil"/>
              <w:left w:val="nil"/>
              <w:right w:val="nil"/>
            </w:tcBorders>
            <w:shd w:val="clear" w:color="000000" w:fill="1E3D6B"/>
            <w:vAlign w:val="center"/>
            <w:hideMark/>
          </w:tcPr>
          <w:p w14:paraId="71985437" w14:textId="77777777" w:rsidR="00A6000A" w:rsidRPr="003F290E" w:rsidRDefault="00A6000A" w:rsidP="00A6000A">
            <w:pPr>
              <w:spacing w:after="0" w:line="240" w:lineRule="auto"/>
              <w:rPr>
                <w:rFonts w:ascii="Calibri" w:eastAsia="Times New Roman" w:hAnsi="Calibri" w:cs="Calibri"/>
                <w:b/>
                <w:bCs/>
                <w:color w:val="EEECE1"/>
                <w:sz w:val="20"/>
                <w:szCs w:val="20"/>
                <w:lang w:eastAsia="en-AU"/>
              </w:rPr>
            </w:pPr>
            <w:bookmarkStart w:id="505" w:name="Title_93"/>
            <w:bookmarkEnd w:id="505"/>
            <w:r w:rsidRPr="003F290E">
              <w:rPr>
                <w:rFonts w:ascii="Calibri" w:eastAsia="Times New Roman" w:hAnsi="Calibri" w:cs="Calibri"/>
                <w:b/>
                <w:bCs/>
                <w:color w:val="EEECE1"/>
                <w:sz w:val="20"/>
                <w:szCs w:val="20"/>
                <w:lang w:eastAsia="en-AU"/>
              </w:rPr>
              <w:t>Awareness/Use</w:t>
            </w:r>
          </w:p>
        </w:tc>
        <w:tc>
          <w:tcPr>
            <w:tcW w:w="1997" w:type="dxa"/>
            <w:tcBorders>
              <w:top w:val="nil"/>
              <w:left w:val="nil"/>
              <w:right w:val="nil"/>
            </w:tcBorders>
            <w:shd w:val="clear" w:color="000000" w:fill="1E3D6B"/>
            <w:vAlign w:val="center"/>
            <w:hideMark/>
          </w:tcPr>
          <w:p w14:paraId="7BE3C301" w14:textId="77777777" w:rsidR="00A6000A" w:rsidRDefault="00A6000A" w:rsidP="00A6000A">
            <w:pPr>
              <w:spacing w:after="0" w:line="240" w:lineRule="auto"/>
              <w:jc w:val="center"/>
              <w:rPr>
                <w:rFonts w:ascii="Calibri" w:eastAsia="Times New Roman" w:hAnsi="Calibri" w:cs="Calibri"/>
                <w:b/>
                <w:bCs/>
                <w:color w:val="EEECE1"/>
                <w:sz w:val="20"/>
                <w:szCs w:val="20"/>
                <w:lang w:eastAsia="en-AU"/>
              </w:rPr>
            </w:pPr>
            <w:r w:rsidRPr="003F290E">
              <w:rPr>
                <w:rFonts w:ascii="Calibri" w:eastAsia="Times New Roman" w:hAnsi="Calibri" w:cs="Calibri"/>
                <w:b/>
                <w:bCs/>
                <w:color w:val="EEECE1"/>
                <w:sz w:val="20"/>
                <w:szCs w:val="20"/>
                <w:lang w:eastAsia="en-AU"/>
              </w:rPr>
              <w:t>Job Network (2007)</w:t>
            </w:r>
          </w:p>
          <w:p w14:paraId="6BBCF579" w14:textId="77777777" w:rsidR="00A6000A" w:rsidRPr="003F290E" w:rsidRDefault="00A6000A" w:rsidP="00A6000A">
            <w:pPr>
              <w:spacing w:after="0" w:line="240" w:lineRule="auto"/>
              <w:jc w:val="center"/>
              <w:rPr>
                <w:rFonts w:ascii="Calibri" w:eastAsia="Times New Roman" w:hAnsi="Calibri" w:cs="Calibri"/>
                <w:b/>
                <w:bCs/>
                <w:color w:val="EEECE1"/>
                <w:sz w:val="20"/>
                <w:szCs w:val="20"/>
                <w:lang w:eastAsia="en-AU"/>
              </w:rPr>
            </w:pPr>
            <w:r>
              <w:rPr>
                <w:rFonts w:ascii="Calibri" w:eastAsia="Times New Roman" w:hAnsi="Calibri" w:cs="Calibri"/>
                <w:b/>
                <w:bCs/>
                <w:color w:val="EEECE1"/>
                <w:sz w:val="20"/>
                <w:szCs w:val="20"/>
                <w:lang w:eastAsia="en-AU"/>
              </w:rPr>
              <w:t>(%)</w:t>
            </w:r>
          </w:p>
        </w:tc>
        <w:tc>
          <w:tcPr>
            <w:tcW w:w="1710" w:type="dxa"/>
            <w:tcBorders>
              <w:top w:val="nil"/>
              <w:left w:val="nil"/>
              <w:right w:val="nil"/>
            </w:tcBorders>
            <w:shd w:val="clear" w:color="000000" w:fill="1E3D6B"/>
            <w:vAlign w:val="center"/>
            <w:hideMark/>
          </w:tcPr>
          <w:p w14:paraId="4B220364" w14:textId="77777777" w:rsidR="00A6000A" w:rsidRDefault="00A6000A" w:rsidP="00A6000A">
            <w:pPr>
              <w:spacing w:after="0" w:line="240" w:lineRule="auto"/>
              <w:jc w:val="center"/>
              <w:rPr>
                <w:rFonts w:ascii="Calibri" w:eastAsia="Times New Roman" w:hAnsi="Calibri" w:cs="Calibri"/>
                <w:b/>
                <w:bCs/>
                <w:color w:val="EEECE1"/>
                <w:sz w:val="20"/>
                <w:szCs w:val="20"/>
                <w:lang w:eastAsia="en-AU"/>
              </w:rPr>
            </w:pPr>
            <w:r w:rsidRPr="003F290E">
              <w:rPr>
                <w:rFonts w:ascii="Calibri" w:eastAsia="Times New Roman" w:hAnsi="Calibri" w:cs="Calibri"/>
                <w:b/>
                <w:bCs/>
                <w:color w:val="EEECE1"/>
                <w:sz w:val="20"/>
                <w:szCs w:val="20"/>
                <w:lang w:eastAsia="en-AU"/>
              </w:rPr>
              <w:t>JSA (2010</w:t>
            </w:r>
          </w:p>
          <w:p w14:paraId="72E8E479" w14:textId="77777777" w:rsidR="00A6000A" w:rsidRPr="003F290E" w:rsidRDefault="00A6000A" w:rsidP="00A6000A">
            <w:pPr>
              <w:spacing w:after="0" w:line="240" w:lineRule="auto"/>
              <w:jc w:val="center"/>
              <w:rPr>
                <w:rFonts w:ascii="Calibri" w:eastAsia="Times New Roman" w:hAnsi="Calibri" w:cs="Calibri"/>
                <w:b/>
                <w:bCs/>
                <w:color w:val="EEECE1"/>
                <w:sz w:val="20"/>
                <w:szCs w:val="20"/>
                <w:lang w:eastAsia="en-AU"/>
              </w:rPr>
            </w:pPr>
            <w:r>
              <w:rPr>
                <w:rFonts w:ascii="Calibri" w:eastAsia="Times New Roman" w:hAnsi="Calibri" w:cs="Calibri"/>
                <w:b/>
                <w:bCs/>
                <w:color w:val="EEECE1"/>
                <w:sz w:val="20"/>
                <w:szCs w:val="20"/>
                <w:lang w:eastAsia="en-AU"/>
              </w:rPr>
              <w:t>(%</w:t>
            </w:r>
            <w:r w:rsidRPr="003F290E">
              <w:rPr>
                <w:rFonts w:ascii="Calibri" w:eastAsia="Times New Roman" w:hAnsi="Calibri" w:cs="Calibri"/>
                <w:b/>
                <w:bCs/>
                <w:color w:val="EEECE1"/>
                <w:sz w:val="20"/>
                <w:szCs w:val="20"/>
                <w:lang w:eastAsia="en-AU"/>
              </w:rPr>
              <w:t>)</w:t>
            </w:r>
          </w:p>
        </w:tc>
        <w:tc>
          <w:tcPr>
            <w:tcW w:w="1840" w:type="dxa"/>
            <w:tcBorders>
              <w:top w:val="nil"/>
              <w:left w:val="nil"/>
              <w:right w:val="nil"/>
            </w:tcBorders>
            <w:shd w:val="clear" w:color="000000" w:fill="1E3D6B"/>
            <w:vAlign w:val="center"/>
            <w:hideMark/>
          </w:tcPr>
          <w:p w14:paraId="6B91EB4B" w14:textId="77777777" w:rsidR="00A6000A" w:rsidRDefault="00A6000A" w:rsidP="00A6000A">
            <w:pPr>
              <w:spacing w:after="0" w:line="240" w:lineRule="auto"/>
              <w:jc w:val="center"/>
              <w:rPr>
                <w:rFonts w:ascii="Calibri" w:eastAsia="Times New Roman" w:hAnsi="Calibri" w:cs="Calibri"/>
                <w:b/>
                <w:bCs/>
                <w:color w:val="EEECE1"/>
                <w:sz w:val="20"/>
                <w:szCs w:val="20"/>
                <w:lang w:eastAsia="en-AU"/>
              </w:rPr>
            </w:pPr>
            <w:r w:rsidRPr="003F290E">
              <w:rPr>
                <w:rFonts w:ascii="Calibri" w:eastAsia="Times New Roman" w:hAnsi="Calibri" w:cs="Calibri"/>
                <w:b/>
                <w:bCs/>
                <w:color w:val="EEECE1"/>
                <w:sz w:val="20"/>
                <w:szCs w:val="20"/>
                <w:lang w:eastAsia="en-AU"/>
              </w:rPr>
              <w:t>JSA (2012)</w:t>
            </w:r>
          </w:p>
          <w:p w14:paraId="57FC8778" w14:textId="77777777" w:rsidR="00A6000A" w:rsidRPr="003F290E" w:rsidRDefault="00A6000A" w:rsidP="00A6000A">
            <w:pPr>
              <w:spacing w:after="0" w:line="240" w:lineRule="auto"/>
              <w:jc w:val="center"/>
              <w:rPr>
                <w:rFonts w:ascii="Calibri" w:eastAsia="Times New Roman" w:hAnsi="Calibri" w:cs="Calibri"/>
                <w:b/>
                <w:bCs/>
                <w:color w:val="EEECE1"/>
                <w:sz w:val="20"/>
                <w:szCs w:val="20"/>
                <w:lang w:eastAsia="en-AU"/>
              </w:rPr>
            </w:pPr>
            <w:r>
              <w:rPr>
                <w:rFonts w:ascii="Calibri" w:eastAsia="Times New Roman" w:hAnsi="Calibri" w:cs="Calibri"/>
                <w:b/>
                <w:bCs/>
                <w:color w:val="EEECE1"/>
                <w:sz w:val="20"/>
                <w:szCs w:val="20"/>
                <w:lang w:eastAsia="en-AU"/>
              </w:rPr>
              <w:t>(%)</w:t>
            </w:r>
          </w:p>
        </w:tc>
        <w:tc>
          <w:tcPr>
            <w:tcW w:w="1692" w:type="dxa"/>
            <w:tcBorders>
              <w:top w:val="nil"/>
              <w:left w:val="nil"/>
              <w:right w:val="nil"/>
            </w:tcBorders>
            <w:shd w:val="clear" w:color="000000" w:fill="1E3D6B"/>
            <w:vAlign w:val="center"/>
          </w:tcPr>
          <w:p w14:paraId="0323B879" w14:textId="77777777" w:rsidR="00A6000A" w:rsidRDefault="00A6000A" w:rsidP="00A6000A">
            <w:pPr>
              <w:spacing w:after="0" w:line="240" w:lineRule="auto"/>
              <w:jc w:val="center"/>
              <w:rPr>
                <w:rFonts w:ascii="Calibri" w:eastAsia="Times New Roman" w:hAnsi="Calibri" w:cs="Calibri"/>
                <w:b/>
                <w:bCs/>
                <w:color w:val="EEECE1"/>
                <w:sz w:val="20"/>
                <w:szCs w:val="20"/>
                <w:lang w:eastAsia="en-AU"/>
              </w:rPr>
            </w:pPr>
            <w:r w:rsidRPr="003F290E">
              <w:rPr>
                <w:rFonts w:ascii="Calibri" w:eastAsia="Times New Roman" w:hAnsi="Calibri" w:cs="Calibri"/>
                <w:b/>
                <w:bCs/>
                <w:color w:val="EEECE1"/>
                <w:sz w:val="20"/>
                <w:szCs w:val="20"/>
                <w:lang w:eastAsia="en-AU"/>
              </w:rPr>
              <w:t>JSA (2014</w:t>
            </w:r>
            <w:r>
              <w:rPr>
                <w:rFonts w:ascii="Calibri" w:eastAsia="Times New Roman" w:hAnsi="Calibri" w:cs="Calibri"/>
                <w:b/>
                <w:bCs/>
                <w:color w:val="EEECE1"/>
                <w:sz w:val="20"/>
                <w:szCs w:val="20"/>
                <w:lang w:eastAsia="en-AU"/>
              </w:rPr>
              <w:t>-</w:t>
            </w:r>
            <w:r w:rsidRPr="003F290E">
              <w:rPr>
                <w:rFonts w:ascii="Calibri" w:eastAsia="Times New Roman" w:hAnsi="Calibri" w:cs="Calibri"/>
                <w:b/>
                <w:bCs/>
                <w:color w:val="EEECE1"/>
                <w:sz w:val="20"/>
                <w:szCs w:val="20"/>
                <w:lang w:eastAsia="en-AU"/>
              </w:rPr>
              <w:t>15)</w:t>
            </w:r>
          </w:p>
          <w:p w14:paraId="49BE5227" w14:textId="0C68BAC6" w:rsidR="00A6000A" w:rsidRPr="003F290E" w:rsidRDefault="00A6000A" w:rsidP="00A6000A">
            <w:pPr>
              <w:spacing w:after="0" w:line="240" w:lineRule="auto"/>
              <w:jc w:val="center"/>
              <w:rPr>
                <w:rFonts w:ascii="Calibri" w:eastAsia="Times New Roman" w:hAnsi="Calibri" w:cs="Calibri"/>
                <w:b/>
                <w:bCs/>
                <w:color w:val="EEECE1"/>
                <w:sz w:val="20"/>
                <w:szCs w:val="20"/>
                <w:lang w:eastAsia="en-AU"/>
              </w:rPr>
            </w:pPr>
            <w:r>
              <w:rPr>
                <w:rFonts w:ascii="Calibri" w:eastAsia="Times New Roman" w:hAnsi="Calibri" w:cs="Calibri"/>
                <w:b/>
                <w:bCs/>
                <w:color w:val="EEECE1"/>
                <w:sz w:val="20"/>
                <w:szCs w:val="20"/>
                <w:lang w:eastAsia="en-AU"/>
              </w:rPr>
              <w:t>(%)</w:t>
            </w:r>
          </w:p>
        </w:tc>
      </w:tr>
      <w:tr w:rsidR="00A6000A" w:rsidRPr="003F290E" w14:paraId="2ECD91B7" w14:textId="0D5CF687" w:rsidTr="00A6000A">
        <w:trPr>
          <w:cantSplit/>
          <w:trHeight w:val="300"/>
        </w:trPr>
        <w:tc>
          <w:tcPr>
            <w:tcW w:w="1788" w:type="dxa"/>
            <w:tcBorders>
              <w:top w:val="nil"/>
              <w:left w:val="nil"/>
              <w:right w:val="nil"/>
            </w:tcBorders>
            <w:shd w:val="clear" w:color="auto" w:fill="auto"/>
            <w:vAlign w:val="center"/>
            <w:hideMark/>
          </w:tcPr>
          <w:p w14:paraId="6BC30E77" w14:textId="77777777" w:rsidR="00A6000A" w:rsidRPr="003F290E" w:rsidRDefault="00A6000A" w:rsidP="00A6000A">
            <w:pPr>
              <w:spacing w:after="0" w:line="240" w:lineRule="auto"/>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Awareness</w:t>
            </w:r>
            <w:r>
              <w:rPr>
                <w:rFonts w:ascii="Calibri" w:eastAsia="Times New Roman" w:hAnsi="Calibri" w:cs="Calibri"/>
                <w:color w:val="000000"/>
                <w:sz w:val="20"/>
                <w:szCs w:val="20"/>
                <w:lang w:eastAsia="en-AU"/>
              </w:rPr>
              <w:t xml:space="preserve"> </w:t>
            </w:r>
          </w:p>
        </w:tc>
        <w:tc>
          <w:tcPr>
            <w:tcW w:w="1997" w:type="dxa"/>
            <w:tcBorders>
              <w:top w:val="nil"/>
              <w:left w:val="nil"/>
              <w:right w:val="nil"/>
            </w:tcBorders>
            <w:shd w:val="clear" w:color="auto" w:fill="auto"/>
            <w:vAlign w:val="center"/>
            <w:hideMark/>
          </w:tcPr>
          <w:p w14:paraId="350EE909" w14:textId="77777777"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70</w:t>
            </w:r>
          </w:p>
        </w:tc>
        <w:tc>
          <w:tcPr>
            <w:tcW w:w="1710" w:type="dxa"/>
            <w:tcBorders>
              <w:top w:val="nil"/>
              <w:left w:val="nil"/>
              <w:right w:val="nil"/>
            </w:tcBorders>
            <w:shd w:val="clear" w:color="auto" w:fill="auto"/>
            <w:vAlign w:val="center"/>
            <w:hideMark/>
          </w:tcPr>
          <w:p w14:paraId="180ED736" w14:textId="77777777"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39</w:t>
            </w:r>
          </w:p>
        </w:tc>
        <w:tc>
          <w:tcPr>
            <w:tcW w:w="1840" w:type="dxa"/>
            <w:tcBorders>
              <w:top w:val="nil"/>
              <w:left w:val="nil"/>
              <w:right w:val="nil"/>
            </w:tcBorders>
            <w:shd w:val="clear" w:color="auto" w:fill="auto"/>
            <w:vAlign w:val="center"/>
            <w:hideMark/>
          </w:tcPr>
          <w:p w14:paraId="0C62FD66" w14:textId="77777777"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2</w:t>
            </w:r>
            <w:r>
              <w:rPr>
                <w:rFonts w:ascii="Calibri" w:eastAsia="Times New Roman" w:hAnsi="Calibri" w:cs="Calibri"/>
                <w:color w:val="000000"/>
                <w:sz w:val="20"/>
                <w:szCs w:val="20"/>
                <w:lang w:eastAsia="en-AU"/>
              </w:rPr>
              <w:t>8</w:t>
            </w:r>
          </w:p>
        </w:tc>
        <w:tc>
          <w:tcPr>
            <w:tcW w:w="1692" w:type="dxa"/>
            <w:tcBorders>
              <w:top w:val="nil"/>
              <w:left w:val="nil"/>
              <w:right w:val="nil"/>
            </w:tcBorders>
            <w:vAlign w:val="center"/>
          </w:tcPr>
          <w:p w14:paraId="50139530" w14:textId="28D1F5FB"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33</w:t>
            </w:r>
          </w:p>
        </w:tc>
      </w:tr>
      <w:tr w:rsidR="00A6000A" w:rsidRPr="003F290E" w14:paraId="2994E4B8" w14:textId="03E971C7" w:rsidTr="00A6000A">
        <w:trPr>
          <w:cantSplit/>
          <w:trHeight w:val="315"/>
        </w:trPr>
        <w:tc>
          <w:tcPr>
            <w:tcW w:w="1788" w:type="dxa"/>
            <w:tcBorders>
              <w:left w:val="nil"/>
              <w:bottom w:val="single" w:sz="4" w:space="0" w:color="auto"/>
              <w:right w:val="nil"/>
            </w:tcBorders>
            <w:shd w:val="clear" w:color="auto" w:fill="E5E5E5" w:themeFill="background1" w:themeFillTint="33"/>
            <w:vAlign w:val="center"/>
            <w:hideMark/>
          </w:tcPr>
          <w:p w14:paraId="1F5BE922" w14:textId="77777777" w:rsidR="00A6000A" w:rsidRPr="003F290E" w:rsidRDefault="00A6000A" w:rsidP="00A6000A">
            <w:pPr>
              <w:spacing w:after="0" w:line="240" w:lineRule="auto"/>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Use</w:t>
            </w:r>
          </w:p>
        </w:tc>
        <w:tc>
          <w:tcPr>
            <w:tcW w:w="1997" w:type="dxa"/>
            <w:tcBorders>
              <w:left w:val="nil"/>
              <w:bottom w:val="single" w:sz="4" w:space="0" w:color="auto"/>
              <w:right w:val="nil"/>
            </w:tcBorders>
            <w:shd w:val="clear" w:color="auto" w:fill="E5E5E5" w:themeFill="background1" w:themeFillTint="33"/>
            <w:vAlign w:val="center"/>
            <w:hideMark/>
          </w:tcPr>
          <w:p w14:paraId="240B740D" w14:textId="77777777"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sidRPr="003F290E">
              <w:rPr>
                <w:rFonts w:ascii="Calibri" w:eastAsia="Times New Roman" w:hAnsi="Calibri" w:cs="Calibri"/>
                <w:color w:val="000000"/>
                <w:sz w:val="20"/>
                <w:szCs w:val="20"/>
                <w:lang w:eastAsia="en-AU"/>
              </w:rPr>
              <w:t>18</w:t>
            </w:r>
          </w:p>
        </w:tc>
        <w:tc>
          <w:tcPr>
            <w:tcW w:w="1710" w:type="dxa"/>
            <w:tcBorders>
              <w:left w:val="nil"/>
              <w:bottom w:val="single" w:sz="4" w:space="0" w:color="auto"/>
              <w:right w:val="nil"/>
            </w:tcBorders>
            <w:shd w:val="clear" w:color="auto" w:fill="E5E5E5" w:themeFill="background1" w:themeFillTint="33"/>
            <w:vAlign w:val="center"/>
            <w:hideMark/>
          </w:tcPr>
          <w:p w14:paraId="666FE120" w14:textId="72BCA413"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w:t>
            </w:r>
          </w:p>
        </w:tc>
        <w:tc>
          <w:tcPr>
            <w:tcW w:w="1840" w:type="dxa"/>
            <w:tcBorders>
              <w:left w:val="nil"/>
              <w:bottom w:val="single" w:sz="4" w:space="0" w:color="auto"/>
              <w:right w:val="nil"/>
            </w:tcBorders>
            <w:shd w:val="clear" w:color="auto" w:fill="E5E5E5" w:themeFill="background1" w:themeFillTint="33"/>
            <w:vAlign w:val="center"/>
            <w:hideMark/>
          </w:tcPr>
          <w:p w14:paraId="6D1C709F" w14:textId="1B5C2727" w:rsidR="00A6000A" w:rsidRPr="003F290E" w:rsidRDefault="00A6000A" w:rsidP="00A6000A">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w:t>
            </w:r>
          </w:p>
        </w:tc>
        <w:tc>
          <w:tcPr>
            <w:tcW w:w="1692" w:type="dxa"/>
            <w:tcBorders>
              <w:left w:val="nil"/>
              <w:bottom w:val="single" w:sz="4" w:space="0" w:color="auto"/>
              <w:right w:val="nil"/>
            </w:tcBorders>
            <w:shd w:val="clear" w:color="auto" w:fill="E5E5E5" w:themeFill="background1" w:themeFillTint="33"/>
            <w:vAlign w:val="center"/>
          </w:tcPr>
          <w:p w14:paraId="6C8498E4" w14:textId="3171B66E" w:rsidR="00A6000A" w:rsidRDefault="00103067" w:rsidP="00A6000A">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w:t>
            </w:r>
            <w:r w:rsidR="00A6000A">
              <w:rPr>
                <w:rFonts w:ascii="Calibri" w:eastAsia="Times New Roman" w:hAnsi="Calibri" w:cs="Calibri"/>
                <w:color w:val="000000"/>
                <w:sz w:val="20"/>
                <w:szCs w:val="20"/>
                <w:lang w:eastAsia="en-AU"/>
              </w:rPr>
              <w:t>.c.</w:t>
            </w:r>
          </w:p>
        </w:tc>
      </w:tr>
    </w:tbl>
    <w:p w14:paraId="71E2E1E1" w14:textId="77777777" w:rsidR="0004451E" w:rsidRPr="00D72405" w:rsidRDefault="0004451E" w:rsidP="0004451E">
      <w:pPr>
        <w:pStyle w:val="Sourceandnotetextmultiplenotes"/>
        <w:numPr>
          <w:ilvl w:val="0"/>
          <w:numId w:val="0"/>
        </w:numPr>
        <w:ind w:left="357" w:hanging="357"/>
        <w:rPr>
          <w:b/>
        </w:rPr>
      </w:pPr>
      <w:r w:rsidRPr="00D72405">
        <w:rPr>
          <w:b/>
        </w:rPr>
        <w:t xml:space="preserve">Notes: </w:t>
      </w:r>
    </w:p>
    <w:p w14:paraId="28005AF1" w14:textId="77777777" w:rsidR="0004451E" w:rsidRDefault="0004451E" w:rsidP="0004451E">
      <w:pPr>
        <w:pStyle w:val="Sourceandnotetextmultiplenotes"/>
        <w:numPr>
          <w:ilvl w:val="0"/>
          <w:numId w:val="311"/>
        </w:numPr>
        <w:spacing w:before="20" w:line="240" w:lineRule="auto"/>
        <w:contextualSpacing w:val="0"/>
      </w:pPr>
      <w:r>
        <w:t>Usage questions were only asked of those that were aware of the services.</w:t>
      </w:r>
    </w:p>
    <w:p w14:paraId="30ADA01A" w14:textId="1C7ADF4B" w:rsidR="0004451E" w:rsidRDefault="0004451E" w:rsidP="0004451E">
      <w:pPr>
        <w:pStyle w:val="Sourceandnotetextmultiplenotes"/>
        <w:numPr>
          <w:ilvl w:val="0"/>
          <w:numId w:val="311"/>
        </w:numPr>
        <w:spacing w:before="20" w:line="240" w:lineRule="auto"/>
        <w:contextualSpacing w:val="0"/>
      </w:pPr>
      <w:r w:rsidRPr="00E87788">
        <w:t>These results were obtained from random samples of employers who had recruited or tried to recruit in the previous 12 months</w:t>
      </w:r>
    </w:p>
    <w:p w14:paraId="30D4EEB4" w14:textId="3405C2ED" w:rsidR="00A6000A" w:rsidRDefault="00A6000A" w:rsidP="0004451E">
      <w:pPr>
        <w:pStyle w:val="Sourceandnotetextmultiplenotes"/>
        <w:numPr>
          <w:ilvl w:val="0"/>
          <w:numId w:val="311"/>
        </w:numPr>
        <w:spacing w:before="20" w:line="240" w:lineRule="auto"/>
        <w:contextualSpacing w:val="0"/>
      </w:pPr>
      <w:r>
        <w:t>N.c. = Not Comparable</w:t>
      </w:r>
    </w:p>
    <w:p w14:paraId="0570422D" w14:textId="578653F6" w:rsidR="0004451E" w:rsidRDefault="0004451E" w:rsidP="008A0963">
      <w:pPr>
        <w:pStyle w:val="Sourceandnotetext"/>
        <w:ind w:left="709" w:hanging="709"/>
      </w:pPr>
      <w:r w:rsidRPr="00632665">
        <w:rPr>
          <w:b/>
        </w:rPr>
        <w:t>Source</w:t>
      </w:r>
      <w:r>
        <w:rPr>
          <w:b/>
        </w:rPr>
        <w:t>s</w:t>
      </w:r>
      <w:r w:rsidRPr="00632665">
        <w:rPr>
          <w:b/>
        </w:rPr>
        <w:t>:</w:t>
      </w:r>
      <w:r>
        <w:t xml:space="preserve"> </w:t>
      </w:r>
      <w:r>
        <w:tab/>
        <w:t>Department of Employment and Workplace Relations 2007 Survey of Employers,</w:t>
      </w:r>
      <w:r>
        <w:br/>
        <w:t>Department of Education, Employment and Workplace Relations 2010 and 2012 Survey of Employers</w:t>
      </w:r>
      <w:r w:rsidR="008A0963">
        <w:br/>
        <w:t>Department of Employment 2014-15 Survey of Employers</w:t>
      </w:r>
      <w:r>
        <w:t>.</w:t>
      </w:r>
    </w:p>
    <w:p w14:paraId="2586DD5B" w14:textId="624812B8" w:rsidR="001C5622" w:rsidRDefault="001C5622" w:rsidP="001C5622">
      <w:r>
        <w:t>A partial explanation</w:t>
      </w:r>
      <w:r w:rsidRPr="004B10DF">
        <w:t xml:space="preserve"> for low</w:t>
      </w:r>
      <w:r>
        <w:t>er</w:t>
      </w:r>
      <w:r w:rsidRPr="004B10DF">
        <w:t xml:space="preserve"> awareness of JSA </w:t>
      </w:r>
      <w:r>
        <w:t xml:space="preserve">compared to JN </w:t>
      </w:r>
      <w:r w:rsidR="007B04B1">
        <w:t>may be</w:t>
      </w:r>
      <w:r w:rsidR="007B04B1" w:rsidRPr="004B10DF">
        <w:t xml:space="preserve"> </w:t>
      </w:r>
      <w:r w:rsidRPr="004B10DF">
        <w:t>th</w:t>
      </w:r>
      <w:r>
        <w:t>e</w:t>
      </w:r>
      <w:r w:rsidRPr="004B10DF">
        <w:t xml:space="preserve"> </w:t>
      </w:r>
      <w:r>
        <w:t xml:space="preserve">focus of </w:t>
      </w:r>
      <w:r w:rsidRPr="004B10DF">
        <w:t>employer</w:t>
      </w:r>
      <w:r>
        <w:t>s</w:t>
      </w:r>
      <w:r w:rsidRPr="004B10DF">
        <w:t xml:space="preserve"> </w:t>
      </w:r>
      <w:r>
        <w:t>specifically on</w:t>
      </w:r>
      <w:r w:rsidRPr="004B10DF">
        <w:t xml:space="preserve"> employment service</w:t>
      </w:r>
      <w:r w:rsidR="00E7638D">
        <w:t>s</w:t>
      </w:r>
      <w:r w:rsidRPr="004B10DF">
        <w:t xml:space="preserve"> providers rather than the overall JSA </w:t>
      </w:r>
      <w:r>
        <w:t>brand</w:t>
      </w:r>
      <w:r w:rsidRPr="004B10DF">
        <w:t xml:space="preserve">. </w:t>
      </w:r>
      <w:r w:rsidR="0036051B">
        <w:t xml:space="preserve">That the </w:t>
      </w:r>
      <w:r w:rsidR="0036051B" w:rsidRPr="0099598E">
        <w:t>Job Network</w:t>
      </w:r>
      <w:r w:rsidR="0036051B">
        <w:t xml:space="preserve"> brand existed for almost twice as long as the </w:t>
      </w:r>
      <w:r w:rsidR="0036051B" w:rsidRPr="0099598E">
        <w:t>Job Services Australia</w:t>
      </w:r>
      <w:r w:rsidR="0036051B">
        <w:t xml:space="preserve"> brand would also go to explaining the greater brand recognition for JN. </w:t>
      </w:r>
      <w:r>
        <w:t xml:space="preserve">Table </w:t>
      </w:r>
      <w:r w:rsidR="007B04B1">
        <w:t>9.3</w:t>
      </w:r>
      <w:r>
        <w:t xml:space="preserve"> indicates that changing programme branding </w:t>
      </w:r>
      <w:r w:rsidR="007B04B1">
        <w:t>results in</w:t>
      </w:r>
      <w:r>
        <w:t xml:space="preserve"> a </w:t>
      </w:r>
      <w:r w:rsidR="007B04B1">
        <w:t xml:space="preserve">drop </w:t>
      </w:r>
      <w:r>
        <w:t>in awareness and usage of employment services. Consistent branding across contracts (JSA 2009 and JSA 2012) promote</w:t>
      </w:r>
      <w:r w:rsidR="004D74CE">
        <w:t>d</w:t>
      </w:r>
      <w:r>
        <w:t xml:space="preserve"> increased awareness and usage over the longer-term.</w:t>
      </w:r>
    </w:p>
    <w:p w14:paraId="41E6A095" w14:textId="77777777" w:rsidR="001C5622" w:rsidRDefault="007B04B1" w:rsidP="001C5622">
      <w:r>
        <w:t>G</w:t>
      </w:r>
      <w:r w:rsidR="001C5622">
        <w:t xml:space="preserve">reater promotion of employment services in general can also complement the reverse marketing strategies of individual providers. </w:t>
      </w:r>
      <w:r w:rsidR="0022762D">
        <w:t>Survey data indicate</w:t>
      </w:r>
      <w:r w:rsidR="005E18CF">
        <w:t>s</w:t>
      </w:r>
      <w:r w:rsidR="0022762D">
        <w:t xml:space="preserve"> that </w:t>
      </w:r>
      <w:r w:rsidR="005E18CF">
        <w:t xml:space="preserve">the </w:t>
      </w:r>
      <w:r w:rsidR="0022762D">
        <w:t xml:space="preserve">main way employers come to </w:t>
      </w:r>
      <w:r w:rsidR="001C5622">
        <w:t xml:space="preserve">use government-funded employment services </w:t>
      </w:r>
      <w:r w:rsidR="004D74CE">
        <w:t>i</w:t>
      </w:r>
      <w:r w:rsidR="0022762D">
        <w:t xml:space="preserve">s </w:t>
      </w:r>
      <w:r w:rsidR="005E18CF">
        <w:t xml:space="preserve">from being </w:t>
      </w:r>
      <w:r w:rsidR="001C5622">
        <w:t>direct</w:t>
      </w:r>
      <w:r w:rsidR="005E18CF">
        <w:t>ly</w:t>
      </w:r>
      <w:r w:rsidR="001C5622">
        <w:t xml:space="preserve"> approach</w:t>
      </w:r>
      <w:r w:rsidR="005E18CF">
        <w:t>ed</w:t>
      </w:r>
      <w:r w:rsidR="001C5622">
        <w:t xml:space="preserve"> by the provider </w:t>
      </w:r>
      <w:r w:rsidR="001C5622" w:rsidRPr="0022762D">
        <w:t>(34 per cent).</w:t>
      </w:r>
      <w:r w:rsidR="001C5622">
        <w:t xml:space="preserve"> This is likely to have driven higher usage over time despite </w:t>
      </w:r>
      <w:r w:rsidR="005E18CF">
        <w:t>lower</w:t>
      </w:r>
      <w:r w:rsidR="001C5622">
        <w:t xml:space="preserve"> overall awareness of the JSA brand</w:t>
      </w:r>
      <w:r w:rsidR="00092C8A">
        <w:t xml:space="preserve"> relative to </w:t>
      </w:r>
      <w:r w:rsidR="004D74CE">
        <w:t>JN</w:t>
      </w:r>
      <w:r w:rsidR="00092C8A">
        <w:t xml:space="preserve">. Promoting greater </w:t>
      </w:r>
      <w:r w:rsidR="001C5622">
        <w:t xml:space="preserve">awareness of the </w:t>
      </w:r>
      <w:r w:rsidR="00092C8A">
        <w:t xml:space="preserve">brand </w:t>
      </w:r>
      <w:r w:rsidR="001C5622" w:rsidRPr="0022762D">
        <w:t>may mean that an increasing proportion of employers</w:t>
      </w:r>
      <w:r w:rsidR="001C5622">
        <w:t xml:space="preserve"> will also seek out providers on their own initiative. Relying on employer</w:t>
      </w:r>
      <w:r w:rsidR="001D24F6">
        <w:t xml:space="preserve"> </w:t>
      </w:r>
      <w:r w:rsidR="001C5622">
        <w:t>aware</w:t>
      </w:r>
      <w:r w:rsidR="001D24F6">
        <w:t>ness</w:t>
      </w:r>
      <w:r w:rsidR="001C5622">
        <w:t xml:space="preserve"> of JSA through their association with individual providers is not a viable long-term strategy as individual providers are not a constant under the employment services model.</w:t>
      </w:r>
    </w:p>
    <w:p w14:paraId="47AB5AA1" w14:textId="114A85D0" w:rsidR="001C5622" w:rsidRDefault="00092C8A" w:rsidP="001C5622">
      <w:r>
        <w:t xml:space="preserve">Of the employers </w:t>
      </w:r>
      <w:r w:rsidR="00C92F36">
        <w:t xml:space="preserve">who </w:t>
      </w:r>
      <w:r w:rsidR="003719BA">
        <w:t xml:space="preserve">reported </w:t>
      </w:r>
      <w:r w:rsidR="001C5622">
        <w:t>aware</w:t>
      </w:r>
      <w:r w:rsidR="00C92F36">
        <w:t>ness</w:t>
      </w:r>
      <w:r w:rsidR="001C5622">
        <w:t xml:space="preserve"> of government funded employment </w:t>
      </w:r>
      <w:r w:rsidR="00492EF3">
        <w:t>services, typically</w:t>
      </w:r>
      <w:r w:rsidR="001C5622">
        <w:t xml:space="preserve"> </w:t>
      </w:r>
      <w:r>
        <w:t xml:space="preserve">they </w:t>
      </w:r>
      <w:r w:rsidR="001C5622">
        <w:t>did</w:t>
      </w:r>
      <w:r w:rsidR="004D74CE">
        <w:t xml:space="preserve"> </w:t>
      </w:r>
      <w:r w:rsidR="001C5622">
        <w:t>n</w:t>
      </w:r>
      <w:r w:rsidR="004D74CE">
        <w:t>o</w:t>
      </w:r>
      <w:r w:rsidR="001C5622">
        <w:t>t use the service to recruit staff because they did</w:t>
      </w:r>
      <w:r w:rsidR="004D74CE">
        <w:t xml:space="preserve"> </w:t>
      </w:r>
      <w:r w:rsidR="001C5622">
        <w:t>n</w:t>
      </w:r>
      <w:r w:rsidR="004D74CE">
        <w:t>o</w:t>
      </w:r>
      <w:r w:rsidR="001C5622">
        <w:t xml:space="preserve">t think of it (50 per cent). This indicates a need to not only increase awareness of </w:t>
      </w:r>
      <w:r w:rsidR="008D35CB">
        <w:t>government-funded</w:t>
      </w:r>
      <w:r w:rsidR="001C5622">
        <w:t xml:space="preserve"> services, but also to better promote their services and benefits to employers.</w:t>
      </w:r>
    </w:p>
    <w:p w14:paraId="13C0BEEA" w14:textId="77777777" w:rsidR="001C5622" w:rsidRDefault="001C5622" w:rsidP="001C5622">
      <w:r>
        <w:t xml:space="preserve">As part of these services, the relationship built between the provider and employer can allow the provider to better understand the business needs of the employer, allowing for targeted service delivery. This may include better identification of </w:t>
      </w:r>
      <w:r w:rsidR="001D24F6">
        <w:t xml:space="preserve">the most suitable </w:t>
      </w:r>
      <w:r>
        <w:t>job seekers</w:t>
      </w:r>
      <w:r w:rsidR="001D24F6">
        <w:t>,</w:t>
      </w:r>
      <w:r>
        <w:t xml:space="preserve"> and providing training relevant to the position.</w:t>
      </w:r>
    </w:p>
    <w:p w14:paraId="6468C41D" w14:textId="17432D3A" w:rsidR="001C5622" w:rsidRDefault="001C5622" w:rsidP="001C5622">
      <w:r>
        <w:t>Encouragingly, employers positively rate</w:t>
      </w:r>
      <w:r w:rsidR="00375698">
        <w:t>d</w:t>
      </w:r>
      <w:r>
        <w:t xml:space="preserve"> the services delivered by providers. Specifically, employers rated the following services as either good or very good:</w:t>
      </w:r>
    </w:p>
    <w:tbl>
      <w:tblPr>
        <w:tblW w:w="8061" w:type="dxa"/>
        <w:tblInd w:w="510" w:type="dxa"/>
        <w:tblBorders>
          <w:bottom w:val="single" w:sz="2" w:space="0" w:color="CBCBCB" w:themeColor="background1" w:themeTint="66"/>
          <w:insideH w:val="single" w:sz="6" w:space="0" w:color="CBCBCB" w:themeColor="background1" w:themeTint="66"/>
        </w:tblBorders>
        <w:tblLook w:val="04A0" w:firstRow="1" w:lastRow="0" w:firstColumn="1" w:lastColumn="0" w:noHBand="0" w:noVBand="1"/>
      </w:tblPr>
      <w:tblGrid>
        <w:gridCol w:w="6828"/>
        <w:gridCol w:w="1233"/>
      </w:tblGrid>
      <w:tr w:rsidR="001C5622" w:rsidRPr="006371F8" w14:paraId="46476EC9" w14:textId="77777777" w:rsidTr="005B0857">
        <w:trPr>
          <w:trHeight w:val="300"/>
        </w:trPr>
        <w:tc>
          <w:tcPr>
            <w:tcW w:w="6828" w:type="dxa"/>
            <w:shd w:val="clear" w:color="auto" w:fill="auto"/>
            <w:noWrap/>
            <w:vAlign w:val="bottom"/>
            <w:hideMark/>
          </w:tcPr>
          <w:p w14:paraId="223873B7" w14:textId="77777777" w:rsidR="001C5622" w:rsidRPr="006371F8" w:rsidRDefault="001C5622" w:rsidP="004021B4">
            <w:pPr>
              <w:spacing w:after="0" w:line="240" w:lineRule="auto"/>
              <w:rPr>
                <w:sz w:val="20"/>
                <w:szCs w:val="20"/>
              </w:rPr>
            </w:pPr>
            <w:r w:rsidRPr="006371F8">
              <w:rPr>
                <w:sz w:val="20"/>
                <w:szCs w:val="20"/>
              </w:rPr>
              <w:t>Advertising a vacancy for an employer</w:t>
            </w:r>
          </w:p>
        </w:tc>
        <w:tc>
          <w:tcPr>
            <w:tcW w:w="1233" w:type="dxa"/>
            <w:shd w:val="clear" w:color="auto" w:fill="auto"/>
            <w:noWrap/>
            <w:vAlign w:val="bottom"/>
            <w:hideMark/>
          </w:tcPr>
          <w:p w14:paraId="6ABBEB86" w14:textId="77777777" w:rsidR="001C5622" w:rsidRPr="006371F8" w:rsidRDefault="001C5622" w:rsidP="004021B4">
            <w:pPr>
              <w:spacing w:after="0" w:line="240" w:lineRule="auto"/>
              <w:jc w:val="right"/>
              <w:rPr>
                <w:sz w:val="20"/>
                <w:szCs w:val="20"/>
              </w:rPr>
            </w:pPr>
            <w:r w:rsidRPr="006371F8">
              <w:rPr>
                <w:sz w:val="20"/>
                <w:szCs w:val="20"/>
              </w:rPr>
              <w:t>88</w:t>
            </w:r>
            <w:r>
              <w:rPr>
                <w:sz w:val="20"/>
                <w:szCs w:val="20"/>
              </w:rPr>
              <w:t xml:space="preserve"> per cent</w:t>
            </w:r>
          </w:p>
        </w:tc>
      </w:tr>
      <w:tr w:rsidR="001C5622" w:rsidRPr="006371F8" w14:paraId="431BC13A" w14:textId="77777777" w:rsidTr="005B0857">
        <w:trPr>
          <w:trHeight w:val="300"/>
        </w:trPr>
        <w:tc>
          <w:tcPr>
            <w:tcW w:w="6828" w:type="dxa"/>
            <w:shd w:val="clear" w:color="auto" w:fill="auto"/>
            <w:noWrap/>
            <w:vAlign w:val="bottom"/>
            <w:hideMark/>
          </w:tcPr>
          <w:p w14:paraId="3D71FF91" w14:textId="77777777" w:rsidR="001C5622" w:rsidRPr="006371F8" w:rsidRDefault="004D74CE" w:rsidP="004D74CE">
            <w:pPr>
              <w:spacing w:after="0" w:line="240" w:lineRule="auto"/>
              <w:rPr>
                <w:sz w:val="20"/>
                <w:szCs w:val="20"/>
              </w:rPr>
            </w:pPr>
            <w:r w:rsidRPr="006371F8">
              <w:rPr>
                <w:sz w:val="20"/>
                <w:szCs w:val="20"/>
              </w:rPr>
              <w:t>Provid</w:t>
            </w:r>
            <w:r>
              <w:rPr>
                <w:sz w:val="20"/>
                <w:szCs w:val="20"/>
              </w:rPr>
              <w:t xml:space="preserve">ing </w:t>
            </w:r>
            <w:r w:rsidR="001C5622" w:rsidRPr="006371F8">
              <w:rPr>
                <w:sz w:val="20"/>
                <w:szCs w:val="20"/>
              </w:rPr>
              <w:t>support and follow-up to an employer after someone started working</w:t>
            </w:r>
          </w:p>
        </w:tc>
        <w:tc>
          <w:tcPr>
            <w:tcW w:w="1233" w:type="dxa"/>
            <w:shd w:val="clear" w:color="auto" w:fill="auto"/>
            <w:noWrap/>
            <w:vAlign w:val="bottom"/>
            <w:hideMark/>
          </w:tcPr>
          <w:p w14:paraId="596642C1" w14:textId="77777777" w:rsidR="001C5622" w:rsidRPr="006371F8" w:rsidRDefault="001C5622" w:rsidP="004021B4">
            <w:pPr>
              <w:spacing w:after="0" w:line="240" w:lineRule="auto"/>
              <w:jc w:val="right"/>
              <w:rPr>
                <w:sz w:val="20"/>
                <w:szCs w:val="20"/>
              </w:rPr>
            </w:pPr>
            <w:r w:rsidRPr="006371F8">
              <w:rPr>
                <w:sz w:val="20"/>
                <w:szCs w:val="20"/>
              </w:rPr>
              <w:t>84</w:t>
            </w:r>
            <w:r>
              <w:rPr>
                <w:sz w:val="20"/>
                <w:szCs w:val="20"/>
              </w:rPr>
              <w:t xml:space="preserve"> per cent</w:t>
            </w:r>
          </w:p>
        </w:tc>
      </w:tr>
      <w:tr w:rsidR="001C5622" w:rsidRPr="006371F8" w14:paraId="31DBEED0" w14:textId="77777777" w:rsidTr="005B0857">
        <w:trPr>
          <w:trHeight w:val="300"/>
        </w:trPr>
        <w:tc>
          <w:tcPr>
            <w:tcW w:w="6828" w:type="dxa"/>
            <w:shd w:val="clear" w:color="auto" w:fill="auto"/>
            <w:noWrap/>
            <w:vAlign w:val="bottom"/>
            <w:hideMark/>
          </w:tcPr>
          <w:p w14:paraId="1AD0A31E" w14:textId="77777777" w:rsidR="001C5622" w:rsidRPr="006371F8" w:rsidRDefault="001C5622" w:rsidP="004021B4">
            <w:pPr>
              <w:spacing w:after="0" w:line="240" w:lineRule="auto"/>
              <w:rPr>
                <w:sz w:val="20"/>
                <w:szCs w:val="20"/>
              </w:rPr>
            </w:pPr>
            <w:r w:rsidRPr="006371F8">
              <w:rPr>
                <w:sz w:val="20"/>
                <w:szCs w:val="20"/>
              </w:rPr>
              <w:t>Training people before they are employed</w:t>
            </w:r>
          </w:p>
        </w:tc>
        <w:tc>
          <w:tcPr>
            <w:tcW w:w="1233" w:type="dxa"/>
            <w:shd w:val="clear" w:color="auto" w:fill="auto"/>
            <w:noWrap/>
            <w:vAlign w:val="bottom"/>
            <w:hideMark/>
          </w:tcPr>
          <w:p w14:paraId="510E6F98" w14:textId="77777777" w:rsidR="001C5622" w:rsidRPr="006371F8" w:rsidRDefault="001C5622" w:rsidP="004021B4">
            <w:pPr>
              <w:spacing w:after="0" w:line="240" w:lineRule="auto"/>
              <w:jc w:val="right"/>
              <w:rPr>
                <w:sz w:val="20"/>
                <w:szCs w:val="20"/>
              </w:rPr>
            </w:pPr>
            <w:r w:rsidRPr="006371F8">
              <w:rPr>
                <w:sz w:val="20"/>
                <w:szCs w:val="20"/>
              </w:rPr>
              <w:t>79</w:t>
            </w:r>
            <w:r>
              <w:rPr>
                <w:sz w:val="20"/>
                <w:szCs w:val="20"/>
              </w:rPr>
              <w:t xml:space="preserve"> per cent</w:t>
            </w:r>
          </w:p>
        </w:tc>
      </w:tr>
      <w:tr w:rsidR="001C5622" w:rsidRPr="006371F8" w14:paraId="1BA3C9B4" w14:textId="77777777" w:rsidTr="005B0857">
        <w:trPr>
          <w:trHeight w:val="300"/>
        </w:trPr>
        <w:tc>
          <w:tcPr>
            <w:tcW w:w="6828" w:type="dxa"/>
            <w:shd w:val="clear" w:color="auto" w:fill="auto"/>
            <w:noWrap/>
            <w:vAlign w:val="bottom"/>
            <w:hideMark/>
          </w:tcPr>
          <w:p w14:paraId="5D657E2C" w14:textId="77777777" w:rsidR="001C5622" w:rsidRPr="006371F8" w:rsidRDefault="001C5622" w:rsidP="004021B4">
            <w:pPr>
              <w:spacing w:after="0" w:line="240" w:lineRule="auto"/>
              <w:rPr>
                <w:sz w:val="20"/>
                <w:szCs w:val="20"/>
              </w:rPr>
            </w:pPr>
            <w:r w:rsidRPr="006371F8">
              <w:rPr>
                <w:sz w:val="20"/>
                <w:szCs w:val="20"/>
              </w:rPr>
              <w:t>Referring potential employees to an employer</w:t>
            </w:r>
          </w:p>
        </w:tc>
        <w:tc>
          <w:tcPr>
            <w:tcW w:w="1233" w:type="dxa"/>
            <w:shd w:val="clear" w:color="auto" w:fill="auto"/>
            <w:noWrap/>
            <w:vAlign w:val="bottom"/>
            <w:hideMark/>
          </w:tcPr>
          <w:p w14:paraId="19A64B4F" w14:textId="77777777" w:rsidR="001C5622" w:rsidRPr="006371F8" w:rsidRDefault="001C5622" w:rsidP="004021B4">
            <w:pPr>
              <w:spacing w:after="0" w:line="240" w:lineRule="auto"/>
              <w:jc w:val="right"/>
              <w:rPr>
                <w:sz w:val="20"/>
                <w:szCs w:val="20"/>
              </w:rPr>
            </w:pPr>
            <w:r w:rsidRPr="006371F8">
              <w:rPr>
                <w:sz w:val="20"/>
                <w:szCs w:val="20"/>
              </w:rPr>
              <w:t>78</w:t>
            </w:r>
            <w:r>
              <w:rPr>
                <w:sz w:val="20"/>
                <w:szCs w:val="20"/>
              </w:rPr>
              <w:t xml:space="preserve"> per cent</w:t>
            </w:r>
          </w:p>
        </w:tc>
      </w:tr>
      <w:tr w:rsidR="001C5622" w:rsidRPr="006371F8" w14:paraId="58B882E6" w14:textId="77777777" w:rsidTr="005B0857">
        <w:trPr>
          <w:trHeight w:val="300"/>
        </w:trPr>
        <w:tc>
          <w:tcPr>
            <w:tcW w:w="6828" w:type="dxa"/>
            <w:shd w:val="clear" w:color="auto" w:fill="auto"/>
            <w:noWrap/>
            <w:vAlign w:val="bottom"/>
            <w:hideMark/>
          </w:tcPr>
          <w:p w14:paraId="757DB41C" w14:textId="77777777" w:rsidR="001C5622" w:rsidRPr="006371F8" w:rsidRDefault="001C5622" w:rsidP="004021B4">
            <w:pPr>
              <w:spacing w:after="0" w:line="240" w:lineRule="auto"/>
              <w:rPr>
                <w:sz w:val="20"/>
                <w:szCs w:val="20"/>
              </w:rPr>
            </w:pPr>
            <w:r w:rsidRPr="006371F8">
              <w:rPr>
                <w:sz w:val="20"/>
                <w:szCs w:val="20"/>
              </w:rPr>
              <w:t>Keeping employers informed</w:t>
            </w:r>
          </w:p>
        </w:tc>
        <w:tc>
          <w:tcPr>
            <w:tcW w:w="1233" w:type="dxa"/>
            <w:shd w:val="clear" w:color="auto" w:fill="auto"/>
            <w:noWrap/>
            <w:vAlign w:val="bottom"/>
            <w:hideMark/>
          </w:tcPr>
          <w:p w14:paraId="72739F70" w14:textId="77777777" w:rsidR="001C5622" w:rsidRPr="006371F8" w:rsidRDefault="001C5622" w:rsidP="004021B4">
            <w:pPr>
              <w:spacing w:after="0" w:line="240" w:lineRule="auto"/>
              <w:jc w:val="right"/>
              <w:rPr>
                <w:sz w:val="20"/>
                <w:szCs w:val="20"/>
              </w:rPr>
            </w:pPr>
            <w:r w:rsidRPr="006371F8">
              <w:rPr>
                <w:sz w:val="20"/>
                <w:szCs w:val="20"/>
              </w:rPr>
              <w:t>76</w:t>
            </w:r>
            <w:r>
              <w:rPr>
                <w:sz w:val="20"/>
                <w:szCs w:val="20"/>
              </w:rPr>
              <w:t xml:space="preserve"> per cent</w:t>
            </w:r>
          </w:p>
        </w:tc>
      </w:tr>
      <w:tr w:rsidR="001C5622" w:rsidRPr="006371F8" w14:paraId="1E7EE89D" w14:textId="77777777" w:rsidTr="005B0857">
        <w:trPr>
          <w:trHeight w:val="300"/>
        </w:trPr>
        <w:tc>
          <w:tcPr>
            <w:tcW w:w="6828" w:type="dxa"/>
            <w:shd w:val="clear" w:color="auto" w:fill="auto"/>
            <w:noWrap/>
            <w:vAlign w:val="bottom"/>
            <w:hideMark/>
          </w:tcPr>
          <w:p w14:paraId="39828B18" w14:textId="77777777" w:rsidR="001C5622" w:rsidRPr="006371F8" w:rsidRDefault="001C5622" w:rsidP="004021B4">
            <w:pPr>
              <w:spacing w:after="0" w:line="240" w:lineRule="auto"/>
              <w:rPr>
                <w:sz w:val="20"/>
                <w:szCs w:val="20"/>
              </w:rPr>
            </w:pPr>
            <w:r w:rsidRPr="006371F8">
              <w:rPr>
                <w:sz w:val="20"/>
                <w:szCs w:val="20"/>
              </w:rPr>
              <w:t>Understanding employer needs</w:t>
            </w:r>
          </w:p>
        </w:tc>
        <w:tc>
          <w:tcPr>
            <w:tcW w:w="1233" w:type="dxa"/>
            <w:shd w:val="clear" w:color="auto" w:fill="auto"/>
            <w:noWrap/>
            <w:vAlign w:val="bottom"/>
            <w:hideMark/>
          </w:tcPr>
          <w:p w14:paraId="601EF3E1" w14:textId="77777777" w:rsidR="001C5622" w:rsidRPr="006371F8" w:rsidRDefault="001C5622" w:rsidP="004021B4">
            <w:pPr>
              <w:spacing w:after="0" w:line="240" w:lineRule="auto"/>
              <w:jc w:val="right"/>
              <w:rPr>
                <w:sz w:val="20"/>
                <w:szCs w:val="20"/>
              </w:rPr>
            </w:pPr>
            <w:r w:rsidRPr="006371F8">
              <w:rPr>
                <w:sz w:val="20"/>
                <w:szCs w:val="20"/>
              </w:rPr>
              <w:t>76</w:t>
            </w:r>
            <w:r>
              <w:rPr>
                <w:sz w:val="20"/>
                <w:szCs w:val="20"/>
              </w:rPr>
              <w:t xml:space="preserve"> per cent</w:t>
            </w:r>
          </w:p>
        </w:tc>
      </w:tr>
      <w:tr w:rsidR="001C5622" w:rsidRPr="006371F8" w14:paraId="3BA221E2" w14:textId="77777777" w:rsidTr="005B0857">
        <w:trPr>
          <w:trHeight w:val="300"/>
        </w:trPr>
        <w:tc>
          <w:tcPr>
            <w:tcW w:w="6828" w:type="dxa"/>
            <w:shd w:val="clear" w:color="auto" w:fill="auto"/>
            <w:noWrap/>
            <w:vAlign w:val="bottom"/>
            <w:hideMark/>
          </w:tcPr>
          <w:p w14:paraId="05AE9BC4" w14:textId="77777777" w:rsidR="001C5622" w:rsidRPr="006371F8" w:rsidRDefault="001C5622" w:rsidP="004021B4">
            <w:pPr>
              <w:spacing w:after="0" w:line="240" w:lineRule="auto"/>
              <w:rPr>
                <w:sz w:val="20"/>
                <w:szCs w:val="20"/>
              </w:rPr>
            </w:pPr>
            <w:r w:rsidRPr="006371F8">
              <w:rPr>
                <w:sz w:val="20"/>
                <w:szCs w:val="20"/>
              </w:rPr>
              <w:t>Screening and shortlisting job applicants</w:t>
            </w:r>
          </w:p>
        </w:tc>
        <w:tc>
          <w:tcPr>
            <w:tcW w:w="1233" w:type="dxa"/>
            <w:shd w:val="clear" w:color="auto" w:fill="auto"/>
            <w:noWrap/>
            <w:vAlign w:val="bottom"/>
            <w:hideMark/>
          </w:tcPr>
          <w:p w14:paraId="169A61AF" w14:textId="77777777" w:rsidR="001C5622" w:rsidRPr="006371F8" w:rsidRDefault="001C5622" w:rsidP="004021B4">
            <w:pPr>
              <w:spacing w:after="0" w:line="240" w:lineRule="auto"/>
              <w:jc w:val="right"/>
              <w:rPr>
                <w:sz w:val="20"/>
                <w:szCs w:val="20"/>
              </w:rPr>
            </w:pPr>
            <w:r w:rsidRPr="006371F8">
              <w:rPr>
                <w:sz w:val="20"/>
                <w:szCs w:val="20"/>
              </w:rPr>
              <w:t>75</w:t>
            </w:r>
            <w:r>
              <w:rPr>
                <w:sz w:val="20"/>
                <w:szCs w:val="20"/>
              </w:rPr>
              <w:t xml:space="preserve"> per cent</w:t>
            </w:r>
          </w:p>
        </w:tc>
      </w:tr>
      <w:tr w:rsidR="001C5622" w:rsidRPr="006371F8" w14:paraId="0E6B0FC1" w14:textId="77777777" w:rsidTr="005B0857">
        <w:trPr>
          <w:trHeight w:val="300"/>
        </w:trPr>
        <w:tc>
          <w:tcPr>
            <w:tcW w:w="6828" w:type="dxa"/>
            <w:shd w:val="clear" w:color="auto" w:fill="auto"/>
            <w:noWrap/>
            <w:vAlign w:val="bottom"/>
            <w:hideMark/>
          </w:tcPr>
          <w:p w14:paraId="55FAB47D" w14:textId="77777777" w:rsidR="001C5622" w:rsidRPr="006371F8" w:rsidRDefault="001C5622" w:rsidP="004021B4">
            <w:pPr>
              <w:spacing w:after="0" w:line="240" w:lineRule="auto"/>
              <w:rPr>
                <w:sz w:val="20"/>
                <w:szCs w:val="20"/>
              </w:rPr>
            </w:pPr>
            <w:r w:rsidRPr="006371F8">
              <w:rPr>
                <w:sz w:val="20"/>
                <w:szCs w:val="20"/>
              </w:rPr>
              <w:t>Training people after they are employed</w:t>
            </w:r>
          </w:p>
        </w:tc>
        <w:tc>
          <w:tcPr>
            <w:tcW w:w="1233" w:type="dxa"/>
            <w:shd w:val="clear" w:color="auto" w:fill="auto"/>
            <w:noWrap/>
            <w:vAlign w:val="bottom"/>
            <w:hideMark/>
          </w:tcPr>
          <w:p w14:paraId="0DEB1401" w14:textId="77777777" w:rsidR="001C5622" w:rsidRPr="006371F8" w:rsidRDefault="001C5622" w:rsidP="004021B4">
            <w:pPr>
              <w:spacing w:after="0" w:line="240" w:lineRule="auto"/>
              <w:jc w:val="right"/>
              <w:rPr>
                <w:sz w:val="20"/>
                <w:szCs w:val="20"/>
              </w:rPr>
            </w:pPr>
            <w:r w:rsidRPr="006371F8">
              <w:rPr>
                <w:sz w:val="20"/>
                <w:szCs w:val="20"/>
              </w:rPr>
              <w:t>75</w:t>
            </w:r>
            <w:r>
              <w:rPr>
                <w:sz w:val="20"/>
                <w:szCs w:val="20"/>
              </w:rPr>
              <w:t xml:space="preserve"> per cent</w:t>
            </w:r>
          </w:p>
        </w:tc>
      </w:tr>
    </w:tbl>
    <w:p w14:paraId="3C482B17" w14:textId="77777777" w:rsidR="001C5622" w:rsidRDefault="001C5622" w:rsidP="000B228E">
      <w:pPr>
        <w:spacing w:before="240"/>
      </w:pPr>
      <w:r>
        <w:t>This suggests that providers can value add to an employer’s recruitment process. Promoting these benefits to employers would</w:t>
      </w:r>
      <w:r w:rsidR="002052DB">
        <w:t>,</w:t>
      </w:r>
      <w:r>
        <w:t xml:space="preserve"> </w:t>
      </w:r>
      <w:r w:rsidR="002052DB">
        <w:t xml:space="preserve">at the very least, </w:t>
      </w:r>
      <w:r>
        <w:t>encourage employers to consider using government employment</w:t>
      </w:r>
      <w:r w:rsidR="002052DB">
        <w:t xml:space="preserve"> services</w:t>
      </w:r>
      <w:r>
        <w:t xml:space="preserve"> providers before deciding on a recruitment approach.</w:t>
      </w:r>
    </w:p>
    <w:p w14:paraId="37A9F23D" w14:textId="77777777" w:rsidR="00092C8A" w:rsidRDefault="00092C8A" w:rsidP="00092C8A">
      <w:r>
        <w:t>Strategies such as the above to increase emp</w:t>
      </w:r>
      <w:r w:rsidR="00C0685D">
        <w:t>loyer usage over time will have</w:t>
      </w:r>
      <w:r>
        <w:t xml:space="preserve"> two major benefits: </w:t>
      </w:r>
    </w:p>
    <w:p w14:paraId="0DBEE2AF" w14:textId="77777777" w:rsidR="00092C8A" w:rsidRDefault="00092C8A" w:rsidP="00FD5414">
      <w:pPr>
        <w:pStyle w:val="ListParagraph"/>
      </w:pPr>
      <w:r>
        <w:t>provide another avenue for employers to fill vacancies with staff that have the relevant skills sets/experience and/or training or who had the right attitude, motivation and/or presentation</w:t>
      </w:r>
    </w:p>
    <w:p w14:paraId="6F0B02DA" w14:textId="77777777" w:rsidR="00092C8A" w:rsidRDefault="00092C8A" w:rsidP="00FD5414">
      <w:pPr>
        <w:pStyle w:val="ListParagraph"/>
      </w:pPr>
      <w:r>
        <w:t>increase the likelihood of job seekers obtaining employment as they have access to a larger employer network.</w:t>
      </w:r>
    </w:p>
    <w:p w14:paraId="147956A4" w14:textId="7C893C40" w:rsidR="001C5622" w:rsidRDefault="002052DB" w:rsidP="002F496A">
      <w:pPr>
        <w:pStyle w:val="Heading3"/>
      </w:pPr>
      <w:bookmarkStart w:id="506" w:name="_Toc22543138"/>
      <w:r>
        <w:t>9</w:t>
      </w:r>
      <w:r w:rsidR="001C5622">
        <w:t>.</w:t>
      </w:r>
      <w:r w:rsidR="007728F1">
        <w:t>2.3</w:t>
      </w:r>
      <w:r w:rsidR="001C5622">
        <w:t xml:space="preserve"> </w:t>
      </w:r>
      <w:r>
        <w:tab/>
      </w:r>
      <w:r w:rsidR="001C5622">
        <w:t>Employer perceptions and recruitment experiences in JSA 2012</w:t>
      </w:r>
      <w:bookmarkEnd w:id="506"/>
    </w:p>
    <w:p w14:paraId="0DFD855B" w14:textId="207113C2" w:rsidR="001C5622" w:rsidRPr="008A526F" w:rsidRDefault="001C5622" w:rsidP="001C5622">
      <w:r>
        <w:t>Employers consider reliability, willingness to work and motivation the most valued attributes in potential candidates. Relevant work skills/experience and qualifications are also highly valued.</w:t>
      </w:r>
      <w:r>
        <w:rPr>
          <w:rStyle w:val="FootnoteReference"/>
        </w:rPr>
        <w:footnoteReference w:id="84"/>
      </w:r>
      <w:r>
        <w:t xml:space="preserve"> The relative importance between these two types of attributes depends on </w:t>
      </w:r>
      <w:r w:rsidR="003245A2">
        <w:t xml:space="preserve">the degree of </w:t>
      </w:r>
      <w:r>
        <w:t>skill</w:t>
      </w:r>
      <w:r w:rsidR="003245A2">
        <w:t xml:space="preserve"> required for the </w:t>
      </w:r>
      <w:r w:rsidR="008E6DA7">
        <w:t>available position</w:t>
      </w:r>
      <w:r>
        <w:t>. Greater importance is placed on reliability, willingness to work and motivation for lower skilled</w:t>
      </w:r>
      <w:r w:rsidR="008E6DA7">
        <w:t xml:space="preserve"> positions</w:t>
      </w:r>
      <w:r>
        <w:t xml:space="preserve">. For positions in the </w:t>
      </w:r>
      <w:r w:rsidR="00A3560B">
        <w:t xml:space="preserve">services and professional </w:t>
      </w:r>
      <w:r>
        <w:t xml:space="preserve">industry sector, relevant work skills/experience and qualifications were considered more important. One important difference between these two types of attributes is that candidates can more readily develop relevant work skills and experience relative to soft skills. Consequently, employers suggest that they are more willing to hire candidates with a positive attitude and to invest in developing their work related skillset if required. </w:t>
      </w:r>
    </w:p>
    <w:p w14:paraId="51F1BB3D" w14:textId="08D36428" w:rsidR="001C5622" w:rsidRDefault="001C5622" w:rsidP="00EA48CB">
      <w:pPr>
        <w:spacing w:after="0"/>
      </w:pPr>
      <w:r>
        <w:t>Aside from not having considered the option, a significant proportion of employers d</w:t>
      </w:r>
      <w:r w:rsidR="00D62FE6">
        <w:t>id</w:t>
      </w:r>
      <w:r w:rsidR="001C63E3">
        <w:t xml:space="preserve"> </w:t>
      </w:r>
      <w:r>
        <w:t>n</w:t>
      </w:r>
      <w:r w:rsidR="001C63E3">
        <w:t>o</w:t>
      </w:r>
      <w:r>
        <w:t xml:space="preserve">t use government employment services because they perceive the job seekers to (Figure </w:t>
      </w:r>
      <w:r w:rsidR="00DB3C33">
        <w:t>9.1</w:t>
      </w:r>
      <w:r>
        <w:t>):</w:t>
      </w:r>
    </w:p>
    <w:p w14:paraId="41A9026E" w14:textId="77777777" w:rsidR="001C5622" w:rsidRDefault="001C5622" w:rsidP="00FD5414">
      <w:pPr>
        <w:pStyle w:val="ListParagraph"/>
      </w:pPr>
      <w:r>
        <w:t>lack suitable work related skills</w:t>
      </w:r>
    </w:p>
    <w:p w14:paraId="0BCF05B0" w14:textId="77777777" w:rsidR="001C5622" w:rsidRDefault="001C5622" w:rsidP="00FD5414">
      <w:pPr>
        <w:pStyle w:val="ListParagraph"/>
      </w:pPr>
      <w:r>
        <w:t>lack suitable personal traits</w:t>
      </w:r>
    </w:p>
    <w:p w14:paraId="2019EE9B" w14:textId="77777777" w:rsidR="001C5622" w:rsidRDefault="001C5622" w:rsidP="00FD5414">
      <w:pPr>
        <w:pStyle w:val="ListParagraph"/>
      </w:pPr>
      <w:r>
        <w:t>not want to work</w:t>
      </w:r>
    </w:p>
    <w:p w14:paraId="1DE37698" w14:textId="77777777" w:rsidR="001C5622" w:rsidRDefault="001C5622" w:rsidP="00FD5414">
      <w:pPr>
        <w:pStyle w:val="ListParagraph"/>
      </w:pPr>
      <w:r>
        <w:t>be unproductive.</w:t>
      </w:r>
    </w:p>
    <w:p w14:paraId="3A49673B" w14:textId="1D95F5C9" w:rsidR="001C5622" w:rsidRPr="003D4FA2" w:rsidRDefault="001C5622" w:rsidP="003D4FA2">
      <w:pPr>
        <w:pStyle w:val="Figureheadingforcontents"/>
      </w:pPr>
      <w:bookmarkStart w:id="507" w:name="_Toc22544050"/>
      <w:r w:rsidRPr="003D4FA2">
        <w:t xml:space="preserve">Figure </w:t>
      </w:r>
      <w:r w:rsidR="001C63E3" w:rsidRPr="003D4FA2">
        <w:t>9.1</w:t>
      </w:r>
      <w:r w:rsidRPr="003D4FA2">
        <w:t>: Main reasons employers did not use a government-funded employment service</w:t>
      </w:r>
      <w:r w:rsidR="00375698">
        <w:t>s</w:t>
      </w:r>
      <w:r w:rsidRPr="003D4FA2">
        <w:t xml:space="preserve"> provider</w:t>
      </w:r>
      <w:bookmarkEnd w:id="507"/>
    </w:p>
    <w:p w14:paraId="2D0A1D40" w14:textId="77777777" w:rsidR="001C5622" w:rsidRPr="001713D8" w:rsidRDefault="002A0F08" w:rsidP="00C04D6F">
      <w:pPr>
        <w:spacing w:after="0"/>
      </w:pPr>
      <w:r w:rsidRPr="002A0F08">
        <w:rPr>
          <w:noProof/>
          <w:lang w:eastAsia="en-AU"/>
        </w:rPr>
        <w:drawing>
          <wp:inline distT="0" distB="0" distL="0" distR="0" wp14:anchorId="56D32956" wp14:editId="7DE5BC74">
            <wp:extent cx="5732145" cy="3137712"/>
            <wp:effectExtent l="0" t="0" r="1905" b="5715"/>
            <wp:docPr id="270" name="Picture 270" descr="Bar chart showing the main reasons why employers do not use government funded employment services, as discussed in the previous paragraph.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2145" cy="3137712"/>
                    </a:xfrm>
                    <a:prstGeom prst="rect">
                      <a:avLst/>
                    </a:prstGeom>
                    <a:noFill/>
                    <a:ln>
                      <a:noFill/>
                    </a:ln>
                  </pic:spPr>
                </pic:pic>
              </a:graphicData>
            </a:graphic>
          </wp:inline>
        </w:drawing>
      </w:r>
    </w:p>
    <w:p w14:paraId="7810D96B" w14:textId="77777777" w:rsidR="003C1A65" w:rsidRDefault="003C1A65" w:rsidP="003C1A65">
      <w:pPr>
        <w:pStyle w:val="Notes"/>
        <w:rPr>
          <w:b/>
        </w:rPr>
      </w:pPr>
      <w:r>
        <w:rPr>
          <w:b/>
        </w:rPr>
        <w:t>Note:</w:t>
      </w:r>
      <w:r>
        <w:rPr>
          <w:b/>
        </w:rPr>
        <w:tab/>
      </w:r>
      <w:r>
        <w:rPr>
          <w:rStyle w:val="NotesChar"/>
        </w:rPr>
        <w:t xml:space="preserve">Refer </w:t>
      </w:r>
      <w:hyperlink w:anchor="Title_A239" w:history="1">
        <w:r w:rsidRPr="00B15D38">
          <w:rPr>
            <w:rStyle w:val="Hyperlink"/>
          </w:rPr>
          <w:t>Appendix A</w:t>
        </w:r>
        <w:r w:rsidR="00F75BBA" w:rsidRPr="00B15D38">
          <w:rPr>
            <w:rStyle w:val="Hyperlink"/>
          </w:rPr>
          <w:t>2</w:t>
        </w:r>
        <w:r w:rsidRPr="00B15D38">
          <w:rPr>
            <w:rStyle w:val="Hyperlink"/>
          </w:rPr>
          <w:t>, Table A2.39</w:t>
        </w:r>
      </w:hyperlink>
      <w:r w:rsidRPr="001D7748">
        <w:rPr>
          <w:rStyle w:val="NotesChar"/>
        </w:rPr>
        <w:t>.</w:t>
      </w:r>
      <w:bookmarkStart w:id="508" w:name="Place_A239"/>
      <w:bookmarkEnd w:id="508"/>
    </w:p>
    <w:p w14:paraId="3971CE6A" w14:textId="77777777" w:rsidR="001C5622" w:rsidRPr="004C1A58" w:rsidRDefault="001C5622" w:rsidP="0019430D">
      <w:pPr>
        <w:pStyle w:val="Source"/>
        <w:rPr>
          <w:iCs/>
        </w:rPr>
      </w:pPr>
      <w:r w:rsidRPr="005B0857">
        <w:rPr>
          <w:b/>
        </w:rPr>
        <w:t>Source</w:t>
      </w:r>
      <w:r w:rsidR="006E205D">
        <w:t>:</w:t>
      </w:r>
      <w:r w:rsidR="006E205D">
        <w:tab/>
      </w:r>
      <w:r w:rsidR="00EA48CB">
        <w:t xml:space="preserve">Department of Employment, </w:t>
      </w:r>
      <w:r w:rsidR="00EA48CB" w:rsidRPr="0019430D">
        <w:t>2014</w:t>
      </w:r>
      <w:r w:rsidR="00EA48CB" w:rsidRPr="004C1A58">
        <w:t>-</w:t>
      </w:r>
      <w:r w:rsidR="00492EF3" w:rsidRPr="004C1A58">
        <w:t xml:space="preserve">15 </w:t>
      </w:r>
      <w:r w:rsidR="00492EF3">
        <w:t>Survey</w:t>
      </w:r>
      <w:r w:rsidRPr="004C1A58">
        <w:t xml:space="preserve"> of Employers</w:t>
      </w:r>
    </w:p>
    <w:p w14:paraId="5E088BC0" w14:textId="77777777" w:rsidR="001C5622" w:rsidRDefault="001C5622" w:rsidP="001C5622">
      <w:r>
        <w:t>Consequently, employers stated that candidates sourced from government-funded employment services were:</w:t>
      </w:r>
    </w:p>
    <w:p w14:paraId="08E63D63" w14:textId="77777777" w:rsidR="001C5622" w:rsidRDefault="001C5622" w:rsidP="00FD5414">
      <w:pPr>
        <w:pStyle w:val="ListParagraph"/>
      </w:pPr>
      <w:r>
        <w:t>a lower quality or calibre relative to other sources</w:t>
      </w:r>
    </w:p>
    <w:p w14:paraId="03CDC361" w14:textId="77777777" w:rsidR="001C5622" w:rsidRDefault="001C5622" w:rsidP="00FD5414">
      <w:pPr>
        <w:pStyle w:val="ListParagraph"/>
      </w:pPr>
      <w:r>
        <w:t>less likely to stay in the position if hired</w:t>
      </w:r>
      <w:r w:rsidR="00DF27B0">
        <w:t>.</w:t>
      </w:r>
    </w:p>
    <w:p w14:paraId="07CD0D80" w14:textId="79FB97D6" w:rsidR="001C5622" w:rsidRDefault="005B0857" w:rsidP="001C5622">
      <w:r>
        <w:t>A</w:t>
      </w:r>
      <w:r w:rsidR="001C5622">
        <w:t xml:space="preserve">lmost three-quarters of employers (73 per cent) who </w:t>
      </w:r>
      <w:r w:rsidR="004D74CE">
        <w:t xml:space="preserve">had </w:t>
      </w:r>
      <w:r w:rsidR="001C5622">
        <w:t>recruited through employment service</w:t>
      </w:r>
      <w:r w:rsidR="00375698">
        <w:t>s</w:t>
      </w:r>
      <w:r w:rsidR="001C5622">
        <w:t xml:space="preserve"> providers state</w:t>
      </w:r>
      <w:r w:rsidR="004D74CE">
        <w:t>d</w:t>
      </w:r>
      <w:r w:rsidR="001C5622">
        <w:t xml:space="preserve"> they would use one again. This result is similar across tertiary, secondary and primary industries,</w:t>
      </w:r>
      <w:r w:rsidR="00DF27B0">
        <w:t xml:space="preserve"> </w:t>
      </w:r>
      <w:r w:rsidR="001C5622">
        <w:t>and suggests that despite initial perceptions, employers do benefit from using employment services and do receive suitable candidates across all skill levels. Considering that over half of employers who intend to recruit staff state it</w:t>
      </w:r>
      <w:r>
        <w:t xml:space="preserve"> i</w:t>
      </w:r>
      <w:r w:rsidR="001C5622">
        <w:t>s unlikely they would recruit through government-funded employment services</w:t>
      </w:r>
      <w:r w:rsidR="00CF06E4">
        <w:t>,</w:t>
      </w:r>
      <w:r>
        <w:t xml:space="preserve"> </w:t>
      </w:r>
      <w:r w:rsidR="00CF06E4">
        <w:t>o</w:t>
      </w:r>
      <w:r w:rsidR="001C5622">
        <w:t>vercoming these negative perceptions offers a significant opportunity to increase the use of employment services.</w:t>
      </w:r>
    </w:p>
    <w:p w14:paraId="608B8FE2" w14:textId="77777777" w:rsidR="001C5622" w:rsidRDefault="001C5622" w:rsidP="001C5622">
      <w:r>
        <w:t xml:space="preserve">However, managing perceptions does not overcome the </w:t>
      </w:r>
      <w:r w:rsidR="005B0857">
        <w:t xml:space="preserve">issue of </w:t>
      </w:r>
      <w:r>
        <w:t xml:space="preserve">a </w:t>
      </w:r>
      <w:r w:rsidR="00455035">
        <w:t>third</w:t>
      </w:r>
      <w:r>
        <w:t xml:space="preserve"> (32 per cent) of employers </w:t>
      </w:r>
      <w:r w:rsidR="00455035">
        <w:t xml:space="preserve">reporting </w:t>
      </w:r>
      <w:r>
        <w:t xml:space="preserve">that the </w:t>
      </w:r>
      <w:r w:rsidR="003719BA">
        <w:t xml:space="preserve">overall quality of </w:t>
      </w:r>
      <w:r>
        <w:t xml:space="preserve">job seekers referred to them by employment services </w:t>
      </w:r>
      <w:r w:rsidR="003719BA">
        <w:t>was</w:t>
      </w:r>
      <w:r w:rsidR="00971BA2">
        <w:t xml:space="preserve"> poor or very poor</w:t>
      </w:r>
      <w:r>
        <w:t xml:space="preserve">. </w:t>
      </w:r>
      <w:r w:rsidR="00455035">
        <w:t>Providers could be expected to improve these statistics b</w:t>
      </w:r>
      <w:r>
        <w:t>y fulfilling employer expectations about the type of candidates they need, including</w:t>
      </w:r>
      <w:r w:rsidR="00455035">
        <w:t>:</w:t>
      </w:r>
    </w:p>
    <w:p w14:paraId="651BCDA1" w14:textId="77777777" w:rsidR="001C5622" w:rsidRDefault="001C5622" w:rsidP="00FD5414">
      <w:pPr>
        <w:pStyle w:val="ListParagraph"/>
      </w:pPr>
      <w:r>
        <w:t>developing an understanding of employer needs</w:t>
      </w:r>
    </w:p>
    <w:p w14:paraId="76AC9557" w14:textId="77777777" w:rsidR="001C5622" w:rsidRDefault="001C5622" w:rsidP="00FD5414">
      <w:pPr>
        <w:pStyle w:val="ListParagraph"/>
      </w:pPr>
      <w:r>
        <w:t>matching jobs to the skills and interest of the job seekers</w:t>
      </w:r>
    </w:p>
    <w:p w14:paraId="55EA3479" w14:textId="77777777" w:rsidR="001C5622" w:rsidRDefault="004D74CE" w:rsidP="00FD5414">
      <w:pPr>
        <w:pStyle w:val="ListParagraph"/>
      </w:pPr>
      <w:r>
        <w:t xml:space="preserve">providing </w:t>
      </w:r>
      <w:r w:rsidR="001C5622">
        <w:t>training to job seekers relevant to industry needs and the local labour market</w:t>
      </w:r>
    </w:p>
    <w:p w14:paraId="14EBE831" w14:textId="77777777" w:rsidR="001C5622" w:rsidRDefault="001C5622" w:rsidP="00FD5414">
      <w:pPr>
        <w:pStyle w:val="ListParagraph"/>
      </w:pPr>
      <w:r>
        <w:t>negotiating work experience placements or wage subsidies to build a job seeker’s work experience and/or soft skills and reduce the initial cost to the employer</w:t>
      </w:r>
    </w:p>
    <w:p w14:paraId="3937584C" w14:textId="77777777" w:rsidR="001C5622" w:rsidRDefault="001C5622" w:rsidP="00FD5414">
      <w:pPr>
        <w:pStyle w:val="ListParagraph"/>
      </w:pPr>
      <w:r>
        <w:t>providing post-placement support to help retain job seekers in those positions</w:t>
      </w:r>
      <w:r w:rsidR="00C92636">
        <w:t>.</w:t>
      </w:r>
    </w:p>
    <w:p w14:paraId="1B4333CD" w14:textId="22473350" w:rsidR="001C5622" w:rsidRDefault="001C5622" w:rsidP="001C5622">
      <w:r>
        <w:t>By maximising the likelihood that candidates referred to employers are suitable for the position and are given appropriate support, providers build a trusting relationship with the employer. For example, almost three</w:t>
      </w:r>
      <w:r w:rsidR="000130CD">
        <w:t>-</w:t>
      </w:r>
      <w:r>
        <w:t xml:space="preserve">quarters (74 </w:t>
      </w:r>
      <w:r w:rsidR="000130CD">
        <w:t>p</w:t>
      </w:r>
      <w:r>
        <w:t xml:space="preserve">er cent) of employers who used </w:t>
      </w:r>
      <w:r w:rsidR="00092C8A">
        <w:t xml:space="preserve">a </w:t>
      </w:r>
      <w:r w:rsidR="000130CD">
        <w:t>provider</w:t>
      </w:r>
      <w:r w:rsidR="00092C8A">
        <w:t>’</w:t>
      </w:r>
      <w:r w:rsidR="000130CD">
        <w:t xml:space="preserve">s </w:t>
      </w:r>
      <w:r>
        <w:t xml:space="preserve">services were satisfied or very satisfied with the services they received. However, those </w:t>
      </w:r>
      <w:r w:rsidR="0022762D">
        <w:t>employers of job seekers who</w:t>
      </w:r>
      <w:r>
        <w:t xml:space="preserve"> received pre</w:t>
      </w:r>
      <w:r w:rsidR="0045509F">
        <w:t>-</w:t>
      </w:r>
      <w:r>
        <w:t xml:space="preserve"> or post-placement training recorded high levels of satisfaction (86 and 88 per cent, respectively), suggesting that working with employers can improve their satisfaction with the job seekers they receive. </w:t>
      </w:r>
      <w:r w:rsidR="00092C8A">
        <w:t xml:space="preserve">Providing employers with suitable candidates means employers </w:t>
      </w:r>
      <w:r>
        <w:t>may be more likely to use providers in the future to source candidates, in a similar fashion to the way a</w:t>
      </w:r>
      <w:r w:rsidR="001D53EB">
        <w:t xml:space="preserve">lmost half </w:t>
      </w:r>
      <w:r>
        <w:t>of employers (44 per cent) currently rely on word of mouth to find appropriate candidates from a trusted source.</w:t>
      </w:r>
    </w:p>
    <w:p w14:paraId="7C27114A" w14:textId="77777777" w:rsidR="001C5622" w:rsidRPr="00C74C21" w:rsidRDefault="000130CD" w:rsidP="002F496A">
      <w:pPr>
        <w:pStyle w:val="Heading3"/>
      </w:pPr>
      <w:bookmarkStart w:id="509" w:name="_Toc22543139"/>
      <w:r>
        <w:t>9</w:t>
      </w:r>
      <w:r w:rsidR="007728F1">
        <w:t>.2.4</w:t>
      </w:r>
      <w:r w:rsidR="00E719B9">
        <w:tab/>
      </w:r>
      <w:r w:rsidR="001C5622" w:rsidRPr="00C74C21">
        <w:t>Employer attitudes to disadvantaged job seeker groups</w:t>
      </w:r>
      <w:bookmarkEnd w:id="509"/>
    </w:p>
    <w:p w14:paraId="01CF5194" w14:textId="78111A08" w:rsidR="001C5622" w:rsidRDefault="001C5622" w:rsidP="001C5622">
      <w:r>
        <w:t xml:space="preserve">Almost half (43 per cent) of employers who recruited in the </w:t>
      </w:r>
      <w:r w:rsidR="00776731">
        <w:t>previous</w:t>
      </w:r>
      <w:r>
        <w:t xml:space="preserve"> 12 months had difficulty finding good staff, primarily relating to relevant skills sets/experience and/or training or who had the right attitude, motivation and/or presentation. Employers consider</w:t>
      </w:r>
      <w:r w:rsidR="001D0EEC">
        <w:t>ed</w:t>
      </w:r>
      <w:r>
        <w:t xml:space="preserve"> that their ability to source candidates with </w:t>
      </w:r>
      <w:r w:rsidR="00913CC8">
        <w:t xml:space="preserve">required </w:t>
      </w:r>
      <w:r>
        <w:t>work and soft skills differ</w:t>
      </w:r>
      <w:r w:rsidR="001D0EEC">
        <w:t>ed</w:t>
      </w:r>
      <w:r>
        <w:t xml:space="preserve"> across job seeker groups. Mature age job seekers for example</w:t>
      </w:r>
      <w:r w:rsidR="00913CC8">
        <w:t>,</w:t>
      </w:r>
      <w:r>
        <w:t xml:space="preserve"> were viewed positively, particularly in terms of attitudes to work, productivity and level of supervision required. Conversely, attitudes towards the long-term unemployed and Indigenous job seekers were less favourable, particularly regarding attitudes to work and integration into the workplace.</w:t>
      </w:r>
    </w:p>
    <w:p w14:paraId="09793A77" w14:textId="77777777" w:rsidR="001C5622" w:rsidRDefault="001C5622" w:rsidP="001C5622">
      <w:r>
        <w:t>Other perceptions about retaining Indigenous job seekers</w:t>
      </w:r>
      <w:r w:rsidDel="000715C7">
        <w:t xml:space="preserve"> </w:t>
      </w:r>
      <w:r>
        <w:t>included that they were</w:t>
      </w:r>
      <w:r w:rsidR="004E3480">
        <w:t xml:space="preserve"> (</w:t>
      </w:r>
      <w:hyperlink w:anchor="Title_A240a" w:history="1">
        <w:r w:rsidR="004E3480" w:rsidRPr="00B15D38">
          <w:rPr>
            <w:rStyle w:val="Hyperlink"/>
          </w:rPr>
          <w:t>Table A2.</w:t>
        </w:r>
        <w:r w:rsidR="003C1A65" w:rsidRPr="00B15D38">
          <w:rPr>
            <w:rStyle w:val="Hyperlink"/>
          </w:rPr>
          <w:t>40</w:t>
        </w:r>
      </w:hyperlink>
      <w:r w:rsidR="004E3480">
        <w:t>)</w:t>
      </w:r>
      <w:bookmarkStart w:id="510" w:name="Place_A240"/>
      <w:bookmarkEnd w:id="510"/>
      <w:r>
        <w:t>:</w:t>
      </w:r>
    </w:p>
    <w:p w14:paraId="0AC49458" w14:textId="77777777" w:rsidR="001C5622" w:rsidRDefault="001C5622" w:rsidP="00FD5414">
      <w:pPr>
        <w:pStyle w:val="ListParagraph"/>
      </w:pPr>
      <w:r>
        <w:t>less likely to have access to transport (especially in regional areas)</w:t>
      </w:r>
    </w:p>
    <w:p w14:paraId="327BA56A" w14:textId="77777777" w:rsidR="001C5622" w:rsidRDefault="001C5622" w:rsidP="00FD5414">
      <w:pPr>
        <w:pStyle w:val="ListParagraph"/>
      </w:pPr>
      <w:r>
        <w:t>more likely to have issues with phone and internet access affecting their flexibility and availability</w:t>
      </w:r>
    </w:p>
    <w:p w14:paraId="4C859998" w14:textId="77777777" w:rsidR="001C5622" w:rsidRDefault="001C5622" w:rsidP="00FD5414">
      <w:pPr>
        <w:pStyle w:val="ListParagraph"/>
      </w:pPr>
      <w:r>
        <w:t>more likely to have family and community commitments that were an impost on workplace flexibility.</w:t>
      </w:r>
    </w:p>
    <w:p w14:paraId="3C62371B" w14:textId="77777777" w:rsidR="001C5622" w:rsidRDefault="001C5622" w:rsidP="001C5622">
      <w:r>
        <w:t>The ability of young people (aged 18 to 24) to integrate into the workforce, was viewed positively, but employers had negative views on their attitudes towards work and the level of supervision required.</w:t>
      </w:r>
    </w:p>
    <w:p w14:paraId="1EE8ED50" w14:textId="77777777" w:rsidR="001C5622" w:rsidRDefault="001C5622" w:rsidP="001C5622">
      <w:r>
        <w:t xml:space="preserve">Employers had concerns about the level of supervision required for people with disability as well as their </w:t>
      </w:r>
      <w:r w:rsidR="00913CC8">
        <w:t xml:space="preserve">capacity </w:t>
      </w:r>
      <w:r>
        <w:t>to undertake certain roles, though positively viewed their attitude to work. Employers also suggested that people with a mental disability may face issues that impact on their reliability and flexibility.</w:t>
      </w:r>
    </w:p>
    <w:p w14:paraId="68E4DC1E" w14:textId="472762C8" w:rsidR="001C5622" w:rsidRDefault="001C5622" w:rsidP="001C5622">
      <w:r>
        <w:t xml:space="preserve">These attitudes impact the likelihood of these different </w:t>
      </w:r>
      <w:r w:rsidR="00913CC8">
        <w:t xml:space="preserve">in </w:t>
      </w:r>
      <w:r>
        <w:t xml:space="preserve">obtaining employment. Around three-quarters (74 per cent and 71 per cent, respectively) of employers reported currently employing a mature age or young person. In line with this result, only a small proportion (5 per cent) stated they would not consider hiring young people in the future. Conversely, less than a quarter (21 per cent) of employers employed people with disability, the long-term unemployed (20 per cent) and </w:t>
      </w:r>
      <w:r w:rsidR="00C70E25">
        <w:t xml:space="preserve">Indigenous </w:t>
      </w:r>
      <w:r w:rsidR="00913CC8">
        <w:t>job seekers</w:t>
      </w:r>
      <w:r>
        <w:t xml:space="preserve"> (19 per cent). Employers were most likely to state they would</w:t>
      </w:r>
      <w:r w:rsidR="004D74CE">
        <w:t xml:space="preserve"> </w:t>
      </w:r>
      <w:r>
        <w:t>n</w:t>
      </w:r>
      <w:r w:rsidR="004D74CE">
        <w:t>o</w:t>
      </w:r>
      <w:r>
        <w:t xml:space="preserve">t hire a person with disability (26 per cent) </w:t>
      </w:r>
      <w:r w:rsidR="00092C8A">
        <w:t xml:space="preserve">which </w:t>
      </w:r>
      <w:r>
        <w:t>may be due to Workplace Health and Safety requirements. A further</w:t>
      </w:r>
      <w:r w:rsidR="001D0EEC">
        <w:t xml:space="preserve"> </w:t>
      </w:r>
      <w:r>
        <w:t>13</w:t>
      </w:r>
      <w:r w:rsidR="00A579FE">
        <w:t> </w:t>
      </w:r>
      <w:r>
        <w:t>per cent of employers would also not consider hiring a long-term unemployed job seeker, likely reflecting that employers consider</w:t>
      </w:r>
      <w:r w:rsidR="001D0EEC">
        <w:t>ed</w:t>
      </w:r>
      <w:r>
        <w:t xml:space="preserve"> these job seekers to lack appropriate work related and soft skills</w:t>
      </w:r>
      <w:r w:rsidRPr="00F0217A">
        <w:t xml:space="preserve"> </w:t>
      </w:r>
      <w:r>
        <w:t xml:space="preserve">(Table </w:t>
      </w:r>
      <w:r w:rsidR="00BC46B8">
        <w:t>9.4</w:t>
      </w:r>
      <w:r>
        <w:t>)</w:t>
      </w:r>
      <w:r w:rsidR="007B40EA">
        <w:t>.</w:t>
      </w:r>
    </w:p>
    <w:p w14:paraId="2EDD64BC" w14:textId="77777777" w:rsidR="001C5622" w:rsidRDefault="001C5622" w:rsidP="00807B6B">
      <w:pPr>
        <w:pStyle w:val="Tableforcontents"/>
      </w:pPr>
      <w:bookmarkStart w:id="511" w:name="_Toc22544005"/>
      <w:r w:rsidRPr="00807B6B">
        <w:t xml:space="preserve">Table </w:t>
      </w:r>
      <w:r w:rsidR="00BC46B8" w:rsidRPr="00807B6B">
        <w:t>9.4</w:t>
      </w:r>
      <w:r w:rsidR="001D53EB" w:rsidRPr="00807B6B">
        <w:t xml:space="preserve">: </w:t>
      </w:r>
      <w:r w:rsidR="00DF27B0">
        <w:t>E</w:t>
      </w:r>
      <w:r w:rsidR="00DF27B0" w:rsidRPr="00807B6B">
        <w:t>mployers</w:t>
      </w:r>
      <w:r w:rsidR="001D53EB" w:rsidRPr="00807B6B">
        <w:t xml:space="preserve"> who currently employ or would not conside</w:t>
      </w:r>
      <w:r w:rsidR="00B23B83">
        <w:t>r</w:t>
      </w:r>
      <w:r w:rsidR="001D53EB" w:rsidRPr="00807B6B">
        <w:t xml:space="preserve"> hiring particular job seeker groups</w:t>
      </w:r>
      <w:r w:rsidR="00793982">
        <w:t xml:space="preserve"> (per cent)</w:t>
      </w:r>
      <w:bookmarkEnd w:id="511"/>
    </w:p>
    <w:tbl>
      <w:tblPr>
        <w:tblW w:w="9371" w:type="dxa"/>
        <w:tblInd w:w="93" w:type="dxa"/>
        <w:tblLook w:val="04A0" w:firstRow="1" w:lastRow="0" w:firstColumn="1" w:lastColumn="0" w:noHBand="0" w:noVBand="1"/>
      </w:tblPr>
      <w:tblGrid>
        <w:gridCol w:w="3276"/>
        <w:gridCol w:w="2268"/>
        <w:gridCol w:w="3827"/>
      </w:tblGrid>
      <w:tr w:rsidR="001C5622" w:rsidRPr="0010262F" w14:paraId="2608B290" w14:textId="77777777" w:rsidTr="002224D8">
        <w:trPr>
          <w:trHeight w:val="300"/>
          <w:tblHeader/>
        </w:trPr>
        <w:tc>
          <w:tcPr>
            <w:tcW w:w="3276" w:type="dxa"/>
            <w:tcBorders>
              <w:top w:val="single" w:sz="4" w:space="0" w:color="auto"/>
              <w:left w:val="nil"/>
              <w:bottom w:val="single" w:sz="4" w:space="0" w:color="auto"/>
              <w:right w:val="nil"/>
            </w:tcBorders>
            <w:shd w:val="clear" w:color="auto" w:fill="1E3D6B"/>
            <w:noWrap/>
            <w:hideMark/>
          </w:tcPr>
          <w:p w14:paraId="7E6E411B" w14:textId="77777777" w:rsidR="001C5622" w:rsidRPr="0098668D" w:rsidRDefault="001C5622" w:rsidP="004021B4">
            <w:pPr>
              <w:spacing w:after="0" w:line="240" w:lineRule="auto"/>
              <w:rPr>
                <w:rFonts w:ascii="Calibri" w:eastAsia="Times New Roman" w:hAnsi="Calibri" w:cs="Calibri"/>
                <w:b/>
                <w:color w:val="FFFFFF" w:themeColor="background2"/>
                <w:sz w:val="20"/>
                <w:szCs w:val="20"/>
                <w:lang w:eastAsia="en-AU"/>
              </w:rPr>
            </w:pPr>
            <w:bookmarkStart w:id="512" w:name="Title_94"/>
            <w:bookmarkEnd w:id="512"/>
            <w:r w:rsidRPr="0098668D">
              <w:rPr>
                <w:rFonts w:ascii="Calibri" w:eastAsia="Times New Roman" w:hAnsi="Calibri" w:cs="Calibri"/>
                <w:b/>
                <w:color w:val="FFFFFF" w:themeColor="background2"/>
                <w:sz w:val="20"/>
                <w:szCs w:val="20"/>
                <w:lang w:eastAsia="en-AU"/>
              </w:rPr>
              <w:t>Cohort</w:t>
            </w:r>
          </w:p>
        </w:tc>
        <w:tc>
          <w:tcPr>
            <w:tcW w:w="2268" w:type="dxa"/>
            <w:tcBorders>
              <w:top w:val="single" w:sz="4" w:space="0" w:color="auto"/>
              <w:left w:val="nil"/>
              <w:bottom w:val="single" w:sz="4" w:space="0" w:color="auto"/>
              <w:right w:val="nil"/>
            </w:tcBorders>
            <w:shd w:val="clear" w:color="auto" w:fill="1E3D6B"/>
            <w:noWrap/>
            <w:hideMark/>
          </w:tcPr>
          <w:p w14:paraId="66C4AD94" w14:textId="77777777" w:rsidR="001C5622" w:rsidRPr="0098668D" w:rsidRDefault="001C5622" w:rsidP="004D74CE">
            <w:pPr>
              <w:spacing w:after="0" w:line="240" w:lineRule="auto"/>
              <w:jc w:val="center"/>
              <w:rPr>
                <w:rFonts w:ascii="Calibri" w:eastAsia="Times New Roman" w:hAnsi="Calibri" w:cs="Calibri"/>
                <w:b/>
                <w:color w:val="FFFFFF" w:themeColor="background2"/>
                <w:sz w:val="20"/>
                <w:szCs w:val="20"/>
                <w:lang w:eastAsia="en-AU"/>
              </w:rPr>
            </w:pPr>
            <w:r w:rsidRPr="0098668D">
              <w:rPr>
                <w:rFonts w:ascii="Calibri" w:eastAsia="Times New Roman" w:hAnsi="Calibri" w:cs="Calibri"/>
                <w:b/>
                <w:color w:val="FFFFFF" w:themeColor="background2"/>
                <w:sz w:val="20"/>
                <w:szCs w:val="20"/>
                <w:lang w:eastAsia="en-AU"/>
              </w:rPr>
              <w:t>Currently employ</w:t>
            </w:r>
            <w:r w:rsidR="002224D8">
              <w:rPr>
                <w:rFonts w:ascii="Calibri" w:eastAsia="Times New Roman" w:hAnsi="Calibri" w:cs="Calibri"/>
                <w:b/>
                <w:color w:val="FFFFFF" w:themeColor="background2"/>
                <w:sz w:val="20"/>
                <w:szCs w:val="20"/>
                <w:lang w:eastAsia="en-AU"/>
              </w:rPr>
              <w:br/>
            </w:r>
            <w:r w:rsidRPr="0098668D">
              <w:rPr>
                <w:rFonts w:ascii="Calibri" w:eastAsia="Times New Roman" w:hAnsi="Calibri" w:cs="Calibri"/>
                <w:b/>
                <w:color w:val="FFFFFF" w:themeColor="background2"/>
                <w:sz w:val="20"/>
                <w:szCs w:val="20"/>
                <w:lang w:eastAsia="en-AU"/>
              </w:rPr>
              <w:t>(%)</w:t>
            </w:r>
          </w:p>
        </w:tc>
        <w:tc>
          <w:tcPr>
            <w:tcW w:w="3827" w:type="dxa"/>
            <w:tcBorders>
              <w:top w:val="single" w:sz="4" w:space="0" w:color="auto"/>
              <w:left w:val="nil"/>
              <w:bottom w:val="single" w:sz="4" w:space="0" w:color="auto"/>
              <w:right w:val="nil"/>
            </w:tcBorders>
            <w:shd w:val="clear" w:color="auto" w:fill="1E3D6B"/>
            <w:noWrap/>
            <w:hideMark/>
          </w:tcPr>
          <w:p w14:paraId="224401E0" w14:textId="77777777" w:rsidR="001C5622" w:rsidRPr="0098668D" w:rsidRDefault="001C5622" w:rsidP="002224D8">
            <w:pPr>
              <w:spacing w:after="0" w:line="240" w:lineRule="auto"/>
              <w:ind w:right="145"/>
              <w:jc w:val="center"/>
              <w:rPr>
                <w:rFonts w:ascii="Calibri" w:eastAsia="Times New Roman" w:hAnsi="Calibri" w:cs="Calibri"/>
                <w:b/>
                <w:color w:val="FFFFFF" w:themeColor="background2"/>
                <w:sz w:val="20"/>
                <w:szCs w:val="20"/>
                <w:lang w:eastAsia="en-AU"/>
              </w:rPr>
            </w:pPr>
            <w:r w:rsidRPr="0098668D">
              <w:rPr>
                <w:rFonts w:ascii="Calibri" w:eastAsia="Times New Roman" w:hAnsi="Calibri" w:cs="Calibri"/>
                <w:b/>
                <w:color w:val="FFFFFF" w:themeColor="background2"/>
                <w:sz w:val="20"/>
                <w:szCs w:val="20"/>
                <w:lang w:eastAsia="en-AU"/>
              </w:rPr>
              <w:t>Would not consider hiring</w:t>
            </w:r>
            <w:r w:rsidR="002224D8">
              <w:rPr>
                <w:rFonts w:ascii="Calibri" w:eastAsia="Times New Roman" w:hAnsi="Calibri" w:cs="Calibri"/>
                <w:b/>
                <w:color w:val="FFFFFF" w:themeColor="background2"/>
                <w:sz w:val="20"/>
                <w:szCs w:val="20"/>
                <w:lang w:eastAsia="en-AU"/>
              </w:rPr>
              <w:br/>
            </w:r>
            <w:r w:rsidRPr="0098668D">
              <w:rPr>
                <w:rFonts w:ascii="Calibri" w:eastAsia="Times New Roman" w:hAnsi="Calibri" w:cs="Calibri"/>
                <w:b/>
                <w:color w:val="FFFFFF" w:themeColor="background2"/>
                <w:sz w:val="20"/>
                <w:szCs w:val="20"/>
                <w:lang w:eastAsia="en-AU"/>
              </w:rPr>
              <w:t>(%)</w:t>
            </w:r>
          </w:p>
        </w:tc>
      </w:tr>
      <w:tr w:rsidR="001C5622" w:rsidRPr="0010262F" w14:paraId="04DAC2F7" w14:textId="77777777" w:rsidTr="004772B3">
        <w:trPr>
          <w:trHeight w:val="300"/>
        </w:trPr>
        <w:tc>
          <w:tcPr>
            <w:tcW w:w="3276" w:type="dxa"/>
            <w:tcBorders>
              <w:top w:val="nil"/>
              <w:left w:val="nil"/>
              <w:bottom w:val="nil"/>
              <w:right w:val="nil"/>
            </w:tcBorders>
            <w:shd w:val="clear" w:color="auto" w:fill="auto"/>
            <w:noWrap/>
            <w:vAlign w:val="bottom"/>
            <w:hideMark/>
          </w:tcPr>
          <w:p w14:paraId="36B6FD07" w14:textId="77777777" w:rsidR="001C5622" w:rsidRPr="0098668D" w:rsidRDefault="001C5622" w:rsidP="004021B4">
            <w:pPr>
              <w:spacing w:after="0" w:line="240" w:lineRule="auto"/>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People with disability</w:t>
            </w:r>
          </w:p>
        </w:tc>
        <w:tc>
          <w:tcPr>
            <w:tcW w:w="2268" w:type="dxa"/>
            <w:tcBorders>
              <w:top w:val="nil"/>
              <w:left w:val="nil"/>
              <w:bottom w:val="nil"/>
              <w:right w:val="nil"/>
            </w:tcBorders>
            <w:shd w:val="clear" w:color="auto" w:fill="auto"/>
            <w:noWrap/>
            <w:vAlign w:val="bottom"/>
            <w:hideMark/>
          </w:tcPr>
          <w:p w14:paraId="2515D0A8"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21</w:t>
            </w:r>
          </w:p>
        </w:tc>
        <w:tc>
          <w:tcPr>
            <w:tcW w:w="3827" w:type="dxa"/>
            <w:tcBorders>
              <w:top w:val="nil"/>
              <w:left w:val="nil"/>
              <w:bottom w:val="nil"/>
              <w:right w:val="nil"/>
            </w:tcBorders>
            <w:shd w:val="clear" w:color="auto" w:fill="auto"/>
            <w:noWrap/>
            <w:vAlign w:val="bottom"/>
            <w:hideMark/>
          </w:tcPr>
          <w:p w14:paraId="50F29213"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26</w:t>
            </w:r>
          </w:p>
        </w:tc>
      </w:tr>
      <w:tr w:rsidR="001C5622" w:rsidRPr="0010262F" w14:paraId="05BEAB85" w14:textId="77777777" w:rsidTr="002224D8">
        <w:trPr>
          <w:trHeight w:val="300"/>
        </w:trPr>
        <w:tc>
          <w:tcPr>
            <w:tcW w:w="3276" w:type="dxa"/>
            <w:tcBorders>
              <w:top w:val="nil"/>
              <w:left w:val="nil"/>
              <w:bottom w:val="nil"/>
              <w:right w:val="nil"/>
            </w:tcBorders>
            <w:shd w:val="clear" w:color="auto" w:fill="E5E5E5" w:themeFill="background1" w:themeFillTint="33"/>
            <w:noWrap/>
            <w:vAlign w:val="bottom"/>
            <w:hideMark/>
          </w:tcPr>
          <w:p w14:paraId="57762BF6" w14:textId="77777777" w:rsidR="001C5622" w:rsidRPr="0098668D" w:rsidRDefault="001C5622" w:rsidP="00BC46B8">
            <w:pPr>
              <w:spacing w:after="0" w:line="240" w:lineRule="auto"/>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 xml:space="preserve">Mature age </w:t>
            </w:r>
            <w:r w:rsidR="00BC46B8">
              <w:rPr>
                <w:rFonts w:ascii="Calibri" w:eastAsia="Times New Roman" w:hAnsi="Calibri" w:cs="Calibri"/>
                <w:color w:val="000000"/>
                <w:sz w:val="20"/>
                <w:szCs w:val="20"/>
                <w:lang w:eastAsia="en-AU"/>
              </w:rPr>
              <w:t>job seekers</w:t>
            </w:r>
          </w:p>
        </w:tc>
        <w:tc>
          <w:tcPr>
            <w:tcW w:w="2268" w:type="dxa"/>
            <w:tcBorders>
              <w:top w:val="nil"/>
              <w:left w:val="nil"/>
              <w:bottom w:val="nil"/>
              <w:right w:val="nil"/>
            </w:tcBorders>
            <w:shd w:val="clear" w:color="auto" w:fill="E5E5E5" w:themeFill="background1" w:themeFillTint="33"/>
            <w:noWrap/>
            <w:vAlign w:val="bottom"/>
            <w:hideMark/>
          </w:tcPr>
          <w:p w14:paraId="6B8158FA"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74</w:t>
            </w:r>
          </w:p>
        </w:tc>
        <w:tc>
          <w:tcPr>
            <w:tcW w:w="3827" w:type="dxa"/>
            <w:tcBorders>
              <w:top w:val="nil"/>
              <w:left w:val="nil"/>
              <w:bottom w:val="nil"/>
              <w:right w:val="nil"/>
            </w:tcBorders>
            <w:shd w:val="clear" w:color="auto" w:fill="E5E5E5" w:themeFill="background1" w:themeFillTint="33"/>
            <w:noWrap/>
            <w:vAlign w:val="bottom"/>
            <w:hideMark/>
          </w:tcPr>
          <w:p w14:paraId="5C3F5C24"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3</w:t>
            </w:r>
          </w:p>
        </w:tc>
      </w:tr>
      <w:tr w:rsidR="001C5622" w:rsidRPr="0010262F" w14:paraId="17AC0061" w14:textId="77777777" w:rsidTr="004772B3">
        <w:trPr>
          <w:trHeight w:val="300"/>
        </w:trPr>
        <w:tc>
          <w:tcPr>
            <w:tcW w:w="3276" w:type="dxa"/>
            <w:tcBorders>
              <w:top w:val="nil"/>
              <w:left w:val="nil"/>
              <w:bottom w:val="nil"/>
              <w:right w:val="nil"/>
            </w:tcBorders>
            <w:shd w:val="clear" w:color="auto" w:fill="auto"/>
            <w:noWrap/>
            <w:vAlign w:val="bottom"/>
            <w:hideMark/>
          </w:tcPr>
          <w:p w14:paraId="7EC6CA01" w14:textId="77777777" w:rsidR="001C5622" w:rsidRPr="0098668D" w:rsidRDefault="001C5622" w:rsidP="004021B4">
            <w:pPr>
              <w:spacing w:after="0" w:line="240" w:lineRule="auto"/>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Long-term unemployed</w:t>
            </w:r>
            <w:r w:rsidR="00BC46B8">
              <w:rPr>
                <w:rFonts w:ascii="Calibri" w:eastAsia="Times New Roman" w:hAnsi="Calibri" w:cs="Calibri"/>
                <w:color w:val="000000"/>
                <w:sz w:val="20"/>
                <w:szCs w:val="20"/>
                <w:lang w:eastAsia="en-AU"/>
              </w:rPr>
              <w:t xml:space="preserve"> job seekers</w:t>
            </w:r>
          </w:p>
        </w:tc>
        <w:tc>
          <w:tcPr>
            <w:tcW w:w="2268" w:type="dxa"/>
            <w:tcBorders>
              <w:top w:val="nil"/>
              <w:left w:val="nil"/>
              <w:bottom w:val="nil"/>
              <w:right w:val="nil"/>
            </w:tcBorders>
            <w:shd w:val="clear" w:color="auto" w:fill="auto"/>
            <w:noWrap/>
            <w:vAlign w:val="bottom"/>
            <w:hideMark/>
          </w:tcPr>
          <w:p w14:paraId="2B408D83"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20</w:t>
            </w:r>
          </w:p>
        </w:tc>
        <w:tc>
          <w:tcPr>
            <w:tcW w:w="3827" w:type="dxa"/>
            <w:tcBorders>
              <w:top w:val="nil"/>
              <w:left w:val="nil"/>
              <w:bottom w:val="nil"/>
              <w:right w:val="nil"/>
            </w:tcBorders>
            <w:shd w:val="clear" w:color="auto" w:fill="auto"/>
            <w:noWrap/>
            <w:vAlign w:val="bottom"/>
            <w:hideMark/>
          </w:tcPr>
          <w:p w14:paraId="6681ABE3"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13</w:t>
            </w:r>
          </w:p>
        </w:tc>
      </w:tr>
      <w:tr w:rsidR="001C5622" w:rsidRPr="0010262F" w14:paraId="572AFB81" w14:textId="77777777" w:rsidTr="002224D8">
        <w:trPr>
          <w:trHeight w:val="300"/>
        </w:trPr>
        <w:tc>
          <w:tcPr>
            <w:tcW w:w="3276" w:type="dxa"/>
            <w:tcBorders>
              <w:top w:val="nil"/>
              <w:left w:val="nil"/>
              <w:bottom w:val="nil"/>
              <w:right w:val="nil"/>
            </w:tcBorders>
            <w:shd w:val="clear" w:color="auto" w:fill="E5E5E5" w:themeFill="background1" w:themeFillTint="33"/>
            <w:noWrap/>
            <w:vAlign w:val="bottom"/>
            <w:hideMark/>
          </w:tcPr>
          <w:p w14:paraId="3C9745B5" w14:textId="77777777" w:rsidR="001C5622" w:rsidRPr="0098668D" w:rsidRDefault="001C5622" w:rsidP="004021B4">
            <w:pPr>
              <w:spacing w:after="0" w:line="240" w:lineRule="auto"/>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Young people aged 18 to 24</w:t>
            </w:r>
          </w:p>
        </w:tc>
        <w:tc>
          <w:tcPr>
            <w:tcW w:w="2268" w:type="dxa"/>
            <w:tcBorders>
              <w:top w:val="nil"/>
              <w:left w:val="nil"/>
              <w:bottom w:val="nil"/>
              <w:right w:val="nil"/>
            </w:tcBorders>
            <w:shd w:val="clear" w:color="auto" w:fill="E5E5E5" w:themeFill="background1" w:themeFillTint="33"/>
            <w:noWrap/>
            <w:vAlign w:val="bottom"/>
            <w:hideMark/>
          </w:tcPr>
          <w:p w14:paraId="1259FAA3"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71</w:t>
            </w:r>
          </w:p>
        </w:tc>
        <w:tc>
          <w:tcPr>
            <w:tcW w:w="3827" w:type="dxa"/>
            <w:tcBorders>
              <w:top w:val="nil"/>
              <w:left w:val="nil"/>
              <w:bottom w:val="nil"/>
              <w:right w:val="nil"/>
            </w:tcBorders>
            <w:shd w:val="clear" w:color="auto" w:fill="E5E5E5" w:themeFill="background1" w:themeFillTint="33"/>
            <w:noWrap/>
            <w:vAlign w:val="bottom"/>
            <w:hideMark/>
          </w:tcPr>
          <w:p w14:paraId="20F0F670"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5</w:t>
            </w:r>
          </w:p>
        </w:tc>
      </w:tr>
      <w:tr w:rsidR="001C5622" w:rsidRPr="0010262F" w14:paraId="57EDB030" w14:textId="77777777" w:rsidTr="004772B3">
        <w:trPr>
          <w:trHeight w:val="300"/>
        </w:trPr>
        <w:tc>
          <w:tcPr>
            <w:tcW w:w="3276" w:type="dxa"/>
            <w:tcBorders>
              <w:top w:val="nil"/>
              <w:left w:val="nil"/>
              <w:bottom w:val="single" w:sz="4" w:space="0" w:color="auto"/>
              <w:right w:val="nil"/>
            </w:tcBorders>
            <w:shd w:val="clear" w:color="auto" w:fill="auto"/>
            <w:noWrap/>
            <w:vAlign w:val="bottom"/>
            <w:hideMark/>
          </w:tcPr>
          <w:p w14:paraId="26FF7562" w14:textId="77777777" w:rsidR="001C5622" w:rsidRPr="0098668D" w:rsidRDefault="00C70E25" w:rsidP="0098668D">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Indigenous</w:t>
            </w:r>
            <w:r w:rsidR="00BC46B8">
              <w:rPr>
                <w:rFonts w:ascii="Calibri" w:eastAsia="Times New Roman" w:hAnsi="Calibri" w:cs="Calibri"/>
                <w:color w:val="000000"/>
                <w:sz w:val="20"/>
                <w:szCs w:val="20"/>
                <w:lang w:eastAsia="en-AU"/>
              </w:rPr>
              <w:t xml:space="preserve"> job s</w:t>
            </w:r>
            <w:r w:rsidR="0098668D">
              <w:rPr>
                <w:rFonts w:ascii="Calibri" w:eastAsia="Times New Roman" w:hAnsi="Calibri" w:cs="Calibri"/>
                <w:color w:val="000000"/>
                <w:sz w:val="20"/>
                <w:szCs w:val="20"/>
                <w:lang w:eastAsia="en-AU"/>
              </w:rPr>
              <w:t>e</w:t>
            </w:r>
            <w:r w:rsidR="00BC46B8">
              <w:rPr>
                <w:rFonts w:ascii="Calibri" w:eastAsia="Times New Roman" w:hAnsi="Calibri" w:cs="Calibri"/>
                <w:color w:val="000000"/>
                <w:sz w:val="20"/>
                <w:szCs w:val="20"/>
                <w:lang w:eastAsia="en-AU"/>
              </w:rPr>
              <w:t>ekers</w:t>
            </w:r>
          </w:p>
        </w:tc>
        <w:tc>
          <w:tcPr>
            <w:tcW w:w="2268" w:type="dxa"/>
            <w:tcBorders>
              <w:top w:val="nil"/>
              <w:left w:val="nil"/>
              <w:bottom w:val="single" w:sz="4" w:space="0" w:color="auto"/>
              <w:right w:val="nil"/>
            </w:tcBorders>
            <w:shd w:val="clear" w:color="auto" w:fill="auto"/>
            <w:noWrap/>
            <w:vAlign w:val="bottom"/>
            <w:hideMark/>
          </w:tcPr>
          <w:p w14:paraId="3146EB32"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19</w:t>
            </w:r>
          </w:p>
        </w:tc>
        <w:tc>
          <w:tcPr>
            <w:tcW w:w="3827" w:type="dxa"/>
            <w:tcBorders>
              <w:top w:val="nil"/>
              <w:left w:val="nil"/>
              <w:bottom w:val="single" w:sz="4" w:space="0" w:color="auto"/>
              <w:right w:val="nil"/>
            </w:tcBorders>
            <w:shd w:val="clear" w:color="auto" w:fill="auto"/>
            <w:noWrap/>
            <w:vAlign w:val="bottom"/>
            <w:hideMark/>
          </w:tcPr>
          <w:p w14:paraId="08B9B8A8" w14:textId="77777777" w:rsidR="001C5622" w:rsidRPr="0098668D" w:rsidRDefault="001C5622" w:rsidP="004021B4">
            <w:pPr>
              <w:spacing w:after="0" w:line="240" w:lineRule="auto"/>
              <w:jc w:val="center"/>
              <w:rPr>
                <w:rFonts w:ascii="Calibri" w:eastAsia="Times New Roman" w:hAnsi="Calibri" w:cs="Calibri"/>
                <w:color w:val="000000"/>
                <w:sz w:val="20"/>
                <w:szCs w:val="20"/>
                <w:lang w:eastAsia="en-AU"/>
              </w:rPr>
            </w:pPr>
            <w:r w:rsidRPr="0098668D">
              <w:rPr>
                <w:rFonts w:ascii="Calibri" w:eastAsia="Times New Roman" w:hAnsi="Calibri" w:cs="Calibri"/>
                <w:color w:val="000000"/>
                <w:sz w:val="20"/>
                <w:szCs w:val="20"/>
                <w:lang w:eastAsia="en-AU"/>
              </w:rPr>
              <w:t>4</w:t>
            </w:r>
          </w:p>
        </w:tc>
      </w:tr>
    </w:tbl>
    <w:p w14:paraId="548D1341" w14:textId="77777777" w:rsidR="001C5622" w:rsidRPr="0098668D" w:rsidRDefault="001C5622" w:rsidP="0019430D">
      <w:pPr>
        <w:pStyle w:val="Source"/>
      </w:pPr>
      <w:r w:rsidRPr="0098668D">
        <w:rPr>
          <w:b/>
        </w:rPr>
        <w:t>Source</w:t>
      </w:r>
      <w:r w:rsidR="00BC46B8" w:rsidRPr="0098668D">
        <w:rPr>
          <w:b/>
        </w:rPr>
        <w:t>:</w:t>
      </w:r>
      <w:r w:rsidR="006E205D">
        <w:tab/>
      </w:r>
      <w:r w:rsidR="007C112F">
        <w:t xml:space="preserve">Department of Employment </w:t>
      </w:r>
      <w:r w:rsidR="00BC46B8" w:rsidRPr="0098668D">
        <w:t>Survey of Employers, 2014-15</w:t>
      </w:r>
      <w:r w:rsidR="0019430D">
        <w:t>.</w:t>
      </w:r>
    </w:p>
    <w:p w14:paraId="43287B15" w14:textId="77777777" w:rsidR="001C5622" w:rsidRDefault="001C5622" w:rsidP="001C5622">
      <w:r>
        <w:t xml:space="preserve">Differing employer attitudes to these disadvantaged </w:t>
      </w:r>
      <w:r w:rsidR="001D53EB">
        <w:t xml:space="preserve">groups </w:t>
      </w:r>
      <w:r>
        <w:t>require the need for targeted employer servicing strategies to address their specific concerns. For example:</w:t>
      </w:r>
    </w:p>
    <w:p w14:paraId="03069FA3" w14:textId="77777777" w:rsidR="001C5622" w:rsidRDefault="001C5622" w:rsidP="00FD5414">
      <w:pPr>
        <w:pStyle w:val="ListParagraph"/>
      </w:pPr>
      <w:r>
        <w:t>Indigenous employment could be improved by encouraging employers to institute a proactive policy which increases the likelihood of actually employing Indigenous job seekers. Nearly half of all employers stated that instituting such a policy has assisted them</w:t>
      </w:r>
      <w:r w:rsidR="00092C8A" w:rsidRPr="00092C8A">
        <w:t xml:space="preserve"> </w:t>
      </w:r>
      <w:r w:rsidR="00092C8A">
        <w:t>in</w:t>
      </w:r>
      <w:r>
        <w:t xml:space="preserve"> hiring an Indigenous job seeker. Providers can also help ensure that employers have access to cultural awareness training and provide pre and post-placement training to </w:t>
      </w:r>
      <w:r w:rsidR="00C70E25">
        <w:t xml:space="preserve">Indigenous </w:t>
      </w:r>
      <w:r w:rsidR="001D53EB">
        <w:t>job seekers</w:t>
      </w:r>
      <w:r>
        <w:t xml:space="preserve"> to improve their employment related skills.</w:t>
      </w:r>
    </w:p>
    <w:p w14:paraId="3026DCE0" w14:textId="77777777" w:rsidR="001C5622" w:rsidRDefault="001C5622" w:rsidP="00FD5414">
      <w:pPr>
        <w:pStyle w:val="ListParagraph"/>
      </w:pPr>
      <w:r>
        <w:t xml:space="preserve">Providers can assist employers in hiring </w:t>
      </w:r>
      <w:r w:rsidR="001D53EB">
        <w:t xml:space="preserve">people </w:t>
      </w:r>
      <w:r>
        <w:t xml:space="preserve">with disability through the screening process and by providing </w:t>
      </w:r>
      <w:r w:rsidR="001D53EB">
        <w:t xml:space="preserve">effective </w:t>
      </w:r>
      <w:r>
        <w:t>post-placement support.</w:t>
      </w:r>
    </w:p>
    <w:p w14:paraId="5DF43ABE" w14:textId="77777777" w:rsidR="001C5622" w:rsidRDefault="001C5622" w:rsidP="00FD5414">
      <w:pPr>
        <w:pStyle w:val="ListParagraph"/>
      </w:pPr>
      <w:r>
        <w:t>Wage subsidies and work-experience placements can reduce the up-front costs of hiring long-term unemployed job seekers and can help persuade employers to give these job seekers the chance to demonstrate their abilities and build the skills needed to undertake the</w:t>
      </w:r>
      <w:r w:rsidR="00092C8A">
        <w:t>ir</w:t>
      </w:r>
      <w:r>
        <w:t xml:space="preserve"> </w:t>
      </w:r>
      <w:r w:rsidR="004C21FF">
        <w:t>work</w:t>
      </w:r>
      <w:r>
        <w:t>.</w:t>
      </w:r>
    </w:p>
    <w:p w14:paraId="7D7E72CC" w14:textId="77777777" w:rsidR="00265029" w:rsidRDefault="00265029">
      <w:pPr>
        <w:rPr>
          <w:rFonts w:ascii="Calibri" w:eastAsiaTheme="majorEastAsia" w:hAnsi="Calibri" w:cstheme="majorBidi"/>
          <w:b/>
          <w:bCs/>
          <w:sz w:val="28"/>
          <w:szCs w:val="26"/>
        </w:rPr>
      </w:pPr>
      <w:r>
        <w:br w:type="page"/>
      </w:r>
    </w:p>
    <w:p w14:paraId="7706EBE6" w14:textId="77777777" w:rsidR="007728F1" w:rsidRDefault="007728F1" w:rsidP="007728F1">
      <w:pPr>
        <w:pStyle w:val="Heading2"/>
      </w:pPr>
      <w:bookmarkStart w:id="513" w:name="_Toc450919349"/>
      <w:bookmarkStart w:id="514" w:name="_Toc22543140"/>
      <w:r>
        <w:t>9.3</w:t>
      </w:r>
      <w:r>
        <w:tab/>
        <w:t>Conclusion</w:t>
      </w:r>
      <w:bookmarkEnd w:id="513"/>
      <w:bookmarkEnd w:id="514"/>
    </w:p>
    <w:p w14:paraId="5F94D70E" w14:textId="31AA238A" w:rsidR="001C5622" w:rsidRDefault="004C21FF" w:rsidP="00807B6B">
      <w:pPr>
        <w:rPr>
          <w:rFonts w:eastAsia="Times New Roman"/>
          <w:lang w:eastAsia="en-AU"/>
        </w:rPr>
      </w:pPr>
      <w:r>
        <w:t xml:space="preserve">Changes to </w:t>
      </w:r>
      <w:r w:rsidR="00290EF7">
        <w:t>p</w:t>
      </w:r>
      <w:r>
        <w:t xml:space="preserve">rovider </w:t>
      </w:r>
      <w:r w:rsidR="00290EF7">
        <w:t>s</w:t>
      </w:r>
      <w:r>
        <w:t xml:space="preserve">ervices in the </w:t>
      </w:r>
      <w:r w:rsidR="00804032">
        <w:t xml:space="preserve">JSA </w:t>
      </w:r>
      <w:r>
        <w:t xml:space="preserve">2012 contract made it more </w:t>
      </w:r>
      <w:r w:rsidR="00634447">
        <w:t xml:space="preserve">challenging </w:t>
      </w:r>
      <w:r>
        <w:t>for providers to claim for employ</w:t>
      </w:r>
      <w:r w:rsidR="00405606">
        <w:t>er-related</w:t>
      </w:r>
      <w:r>
        <w:t xml:space="preserve"> services, such as post</w:t>
      </w:r>
      <w:r w:rsidR="00405606">
        <w:t>-</w:t>
      </w:r>
      <w:r>
        <w:t xml:space="preserve">placement support and reverse marketing. Significantly less was claimed for these services in the JSA 2012 contract than the JSA 2009 contract. </w:t>
      </w:r>
      <w:r w:rsidR="00092C8A">
        <w:t>However, s</w:t>
      </w:r>
      <w:r w:rsidR="001012F0">
        <w:rPr>
          <w:rFonts w:eastAsia="Times New Roman"/>
          <w:lang w:eastAsia="en-AU"/>
        </w:rPr>
        <w:t>urvey evidence from providers suggests that the reduction in EPF expenditure had limited impact on providers engaging in reverse marketing and post-placement support.</w:t>
      </w:r>
      <w:r w:rsidR="00092C8A" w:rsidRPr="00092C8A">
        <w:rPr>
          <w:rStyle w:val="FootnoteReference"/>
          <w:rFonts w:eastAsia="Times New Roman"/>
          <w:lang w:eastAsia="en-AU"/>
        </w:rPr>
        <w:t xml:space="preserve"> </w:t>
      </w:r>
      <w:r w:rsidR="00092C8A">
        <w:rPr>
          <w:rStyle w:val="FootnoteReference"/>
          <w:rFonts w:eastAsia="Times New Roman"/>
          <w:lang w:eastAsia="en-AU"/>
        </w:rPr>
        <w:footnoteReference w:id="85"/>
      </w:r>
    </w:p>
    <w:p w14:paraId="6C0B21B4" w14:textId="77777777" w:rsidR="00092C8A" w:rsidRDefault="001012F0" w:rsidP="00092C8A">
      <w:r>
        <w:rPr>
          <w:rFonts w:eastAsia="Times New Roman"/>
          <w:lang w:eastAsia="en-AU"/>
        </w:rPr>
        <w:t xml:space="preserve">Awareness of JSA was low at the beginning of the 2009 contract and actually decreased over time, whereas usage increased, supporting </w:t>
      </w:r>
      <w:r w:rsidR="00456C13">
        <w:rPr>
          <w:rFonts w:eastAsia="Times New Roman"/>
          <w:lang w:eastAsia="en-AU"/>
        </w:rPr>
        <w:t xml:space="preserve">indicative data that </w:t>
      </w:r>
      <w:r>
        <w:rPr>
          <w:rFonts w:eastAsia="Times New Roman"/>
          <w:lang w:eastAsia="en-AU"/>
        </w:rPr>
        <w:t>providers</w:t>
      </w:r>
      <w:r w:rsidR="00456C13">
        <w:rPr>
          <w:rFonts w:eastAsia="Times New Roman"/>
          <w:lang w:eastAsia="en-AU"/>
        </w:rPr>
        <w:t xml:space="preserve">, to some extent, </w:t>
      </w:r>
      <w:r>
        <w:rPr>
          <w:rFonts w:eastAsia="Times New Roman"/>
          <w:lang w:eastAsia="en-AU"/>
        </w:rPr>
        <w:t>were generating awareness through connecting with employers.</w:t>
      </w:r>
      <w:r w:rsidR="00456C13">
        <w:rPr>
          <w:rFonts w:eastAsia="Times New Roman"/>
          <w:lang w:eastAsia="en-AU"/>
        </w:rPr>
        <w:t xml:space="preserve"> However, at the end of the JSA 2012 contract usage was still lower than usage of JN.</w:t>
      </w:r>
      <w:r w:rsidR="00092C8A" w:rsidRPr="00092C8A">
        <w:rPr>
          <w:rFonts w:eastAsia="Times New Roman"/>
          <w:lang w:eastAsia="en-AU"/>
        </w:rPr>
        <w:t xml:space="preserve"> </w:t>
      </w:r>
      <w:r w:rsidR="00092C8A">
        <w:rPr>
          <w:rFonts w:eastAsia="Times New Roman"/>
          <w:lang w:eastAsia="en-AU"/>
        </w:rPr>
        <w:t>This shows that changing the brand name of the employment service can have a significantly negative impact on employer usage that takes a long time to recover.</w:t>
      </w:r>
    </w:p>
    <w:p w14:paraId="0218ECA2" w14:textId="77777777" w:rsidR="00456C13" w:rsidRDefault="009555E8">
      <w:r>
        <w:t>Mos</w:t>
      </w:r>
      <w:r w:rsidR="006E06C7">
        <w:t>t</w:t>
      </w:r>
      <w:r>
        <w:t xml:space="preserve"> e</w:t>
      </w:r>
      <w:r w:rsidR="00456C13">
        <w:t xml:space="preserve">mployers who did use JSA </w:t>
      </w:r>
      <w:r w:rsidR="00405606">
        <w:t>rated</w:t>
      </w:r>
      <w:r w:rsidR="00456C13">
        <w:t xml:space="preserve"> a number of services </w:t>
      </w:r>
      <w:r w:rsidR="00405606">
        <w:t>as good or very good including</w:t>
      </w:r>
      <w:r w:rsidR="00456C13" w:rsidRPr="00456C13">
        <w:t xml:space="preserve"> </w:t>
      </w:r>
      <w:r w:rsidR="00405606">
        <w:t>a</w:t>
      </w:r>
      <w:r w:rsidR="00456C13" w:rsidRPr="006371F8">
        <w:t>dvertising a vacancy for an employer</w:t>
      </w:r>
      <w:r w:rsidR="00405606">
        <w:t xml:space="preserve"> and p</w:t>
      </w:r>
      <w:r w:rsidR="00456C13" w:rsidRPr="006371F8">
        <w:t>rovid</w:t>
      </w:r>
      <w:r w:rsidR="00405606">
        <w:t>ing</w:t>
      </w:r>
      <w:r w:rsidR="00456C13" w:rsidRPr="006371F8">
        <w:t xml:space="preserve"> support and follow-up to an employer after someone started working</w:t>
      </w:r>
      <w:r w:rsidR="00405606">
        <w:t>.</w:t>
      </w:r>
    </w:p>
    <w:p w14:paraId="113AA83E" w14:textId="2B894747" w:rsidR="00405606" w:rsidRDefault="00405606" w:rsidP="009555E8">
      <w:bookmarkStart w:id="515" w:name="_Toc402170626"/>
      <w:r>
        <w:t xml:space="preserve">Employers consider reliability, willingness to work and motivation the most valued attributes in potential candidates. </w:t>
      </w:r>
      <w:r w:rsidR="00BB3C08">
        <w:t>About half of e</w:t>
      </w:r>
      <w:r>
        <w:t>mployers who were aware of JSA, but did not use it</w:t>
      </w:r>
      <w:r w:rsidR="004D74CE">
        <w:t>,</w:t>
      </w:r>
      <w:r>
        <w:t xml:space="preserve"> </w:t>
      </w:r>
      <w:r w:rsidR="00A8132E">
        <w:t xml:space="preserve">stated that JSA job seekers </w:t>
      </w:r>
      <w:r>
        <w:t>lack</w:t>
      </w:r>
      <w:r w:rsidR="00A8132E">
        <w:t>ed</w:t>
      </w:r>
      <w:r>
        <w:t xml:space="preserve"> suitable work related </w:t>
      </w:r>
      <w:r w:rsidR="00A8132E">
        <w:t xml:space="preserve">and soft </w:t>
      </w:r>
      <w:r>
        <w:t>skills as their reasons.</w:t>
      </w:r>
      <w:r w:rsidR="00BB3C08">
        <w:t xml:space="preserve"> About a third of employers who used the service indicated that</w:t>
      </w:r>
      <w:r w:rsidR="001D0EEC">
        <w:t xml:space="preserve"> the quality of</w:t>
      </w:r>
      <w:r w:rsidR="00BB3C08">
        <w:t xml:space="preserve"> job seekers </w:t>
      </w:r>
      <w:r w:rsidR="00092C8A">
        <w:t>referred</w:t>
      </w:r>
      <w:r w:rsidR="00BB3C08">
        <w:t xml:space="preserve"> to them w</w:t>
      </w:r>
      <w:r w:rsidR="001D0EEC">
        <w:t>as</w:t>
      </w:r>
      <w:r w:rsidR="00BB3C08">
        <w:t xml:space="preserve"> poor or very poor, but most were happy with the post-placement support they received.</w:t>
      </w:r>
      <w:r w:rsidR="009555E8">
        <w:t xml:space="preserve"> This emphasises the importance of submitting suitable candidates to employers.</w:t>
      </w:r>
    </w:p>
    <w:p w14:paraId="12551E82" w14:textId="2E4F46D3" w:rsidR="00BB3C08" w:rsidRDefault="00BB3C08" w:rsidP="009555E8">
      <w:r>
        <w:t>Employers</w:t>
      </w:r>
      <w:r w:rsidR="00445A28">
        <w:t xml:space="preserve"> who had recruited staff in the last 12 months </w:t>
      </w:r>
      <w:r>
        <w:t>also had perceptions about disadvantaged job seeker groups which may have influenced their willingness to source job seekers from JSA providers</w:t>
      </w:r>
      <w:r w:rsidR="009555E8">
        <w:t xml:space="preserve"> (for those who were aware of such services)</w:t>
      </w:r>
      <w:r w:rsidR="00445A28">
        <w:t>. Providers can influence these perceptions through: working to understand employer needs; effective screening of job seekers</w:t>
      </w:r>
      <w:r w:rsidR="004D74CE">
        <w:t>;</w:t>
      </w:r>
      <w:r w:rsidR="00445A28">
        <w:t xml:space="preserve"> and offering pre</w:t>
      </w:r>
      <w:r w:rsidR="00761594">
        <w:t>-</w:t>
      </w:r>
      <w:r w:rsidR="00445A28">
        <w:t xml:space="preserve"> and post</w:t>
      </w:r>
      <w:r w:rsidR="00761594">
        <w:t>-</w:t>
      </w:r>
      <w:r w:rsidR="00445A28">
        <w:t>placement training and support</w:t>
      </w:r>
      <w:r w:rsidR="004D74CE">
        <w:t>,</w:t>
      </w:r>
      <w:r w:rsidR="00445A28">
        <w:t xml:space="preserve"> as well as wage subsidies to ease the burden of employing disadvantaged job seekers.</w:t>
      </w:r>
    </w:p>
    <w:p w14:paraId="66800C62" w14:textId="77777777" w:rsidR="00467DB4" w:rsidRDefault="00467DB4" w:rsidP="00405606">
      <w:pPr>
        <w:rPr>
          <w:rFonts w:ascii="Calibri" w:eastAsiaTheme="majorEastAsia" w:hAnsi="Calibri" w:cstheme="majorBidi"/>
          <w:b/>
          <w:bCs/>
          <w:color w:val="1E3D6B"/>
          <w:sz w:val="36"/>
          <w:szCs w:val="28"/>
        </w:rPr>
      </w:pPr>
      <w:r>
        <w:br w:type="page"/>
      </w:r>
    </w:p>
    <w:p w14:paraId="5967FD6B" w14:textId="77777777" w:rsidR="0098668D" w:rsidRDefault="005E1B5A" w:rsidP="005E1B5A">
      <w:pPr>
        <w:pStyle w:val="Heading1"/>
      </w:pPr>
      <w:bookmarkStart w:id="516" w:name="_Toc22543141"/>
      <w:r>
        <w:t>10</w:t>
      </w:r>
      <w:r>
        <w:tab/>
      </w:r>
      <w:r w:rsidR="0098668D">
        <w:t>Providers</w:t>
      </w:r>
      <w:bookmarkEnd w:id="516"/>
    </w:p>
    <w:p w14:paraId="0571C858" w14:textId="77777777" w:rsidR="007728F1" w:rsidRDefault="007728F1" w:rsidP="007728F1">
      <w:pPr>
        <w:pStyle w:val="Heading2"/>
      </w:pPr>
      <w:bookmarkStart w:id="517" w:name="_Toc450919350"/>
      <w:bookmarkStart w:id="518" w:name="_Toc22543142"/>
      <w:r>
        <w:t>10.1</w:t>
      </w:r>
      <w:r>
        <w:tab/>
        <w:t>Introduction</w:t>
      </w:r>
      <w:bookmarkEnd w:id="517"/>
      <w:bookmarkEnd w:id="518"/>
    </w:p>
    <w:p w14:paraId="791F7C9B" w14:textId="77777777" w:rsidR="00D92495" w:rsidRDefault="00B4512A" w:rsidP="00D92495">
      <w:r>
        <w:t>As with JSA 2009, there were both ‘for profit’ and ‘not for profit’ p</w:t>
      </w:r>
      <w:r w:rsidR="00D92495">
        <w:t xml:space="preserve">roviders in </w:t>
      </w:r>
      <w:r>
        <w:t xml:space="preserve">the </w:t>
      </w:r>
      <w:r w:rsidR="00D92495">
        <w:t>JSA 2012</w:t>
      </w:r>
      <w:r>
        <w:t xml:space="preserve"> contract, and providers were also contracted to deliver </w:t>
      </w:r>
      <w:r w:rsidR="00D92495">
        <w:t xml:space="preserve">generalist </w:t>
      </w:r>
      <w:r>
        <w:t>and/</w:t>
      </w:r>
      <w:r w:rsidR="00D92495">
        <w:t>or specialist services</w:t>
      </w:r>
      <w:r w:rsidR="00971BA2">
        <w:t>.</w:t>
      </w:r>
      <w:r>
        <w:rPr>
          <w:rStyle w:val="FootnoteReference"/>
        </w:rPr>
        <w:footnoteReference w:id="86"/>
      </w:r>
    </w:p>
    <w:p w14:paraId="47FC3FB1" w14:textId="77777777" w:rsidR="00D92495" w:rsidRDefault="00D92495" w:rsidP="00D92495">
      <w:r>
        <w:rPr>
          <w:rFonts w:eastAsiaTheme="majorEastAsia"/>
        </w:rPr>
        <w:t>At the commencement of the JSA 2012 contract there were around 100 providers in around 2</w:t>
      </w:r>
      <w:r w:rsidR="004D74CE">
        <w:rPr>
          <w:rFonts w:eastAsiaTheme="majorEastAsia"/>
        </w:rPr>
        <w:t>,</w:t>
      </w:r>
      <w:r>
        <w:rPr>
          <w:rFonts w:eastAsiaTheme="majorEastAsia"/>
        </w:rPr>
        <w:t>100 sites. By the end</w:t>
      </w:r>
      <w:r w:rsidR="004251C8">
        <w:rPr>
          <w:rFonts w:eastAsiaTheme="majorEastAsia"/>
        </w:rPr>
        <w:t xml:space="preserve"> of the </w:t>
      </w:r>
      <w:r w:rsidR="00B23B83">
        <w:rPr>
          <w:rFonts w:eastAsiaTheme="majorEastAsia"/>
        </w:rPr>
        <w:t>c</w:t>
      </w:r>
      <w:r w:rsidR="004251C8">
        <w:rPr>
          <w:rFonts w:eastAsiaTheme="majorEastAsia"/>
        </w:rPr>
        <w:t>ontract</w:t>
      </w:r>
      <w:r>
        <w:rPr>
          <w:rFonts w:eastAsiaTheme="majorEastAsia"/>
        </w:rPr>
        <w:t>, in June 2015 the number had dropped to around 80 providers in around 2</w:t>
      </w:r>
      <w:r w:rsidR="004D74CE">
        <w:rPr>
          <w:rFonts w:eastAsiaTheme="majorEastAsia"/>
        </w:rPr>
        <w:t>,</w:t>
      </w:r>
      <w:r>
        <w:rPr>
          <w:rFonts w:eastAsiaTheme="majorEastAsia"/>
        </w:rPr>
        <w:t>000 sites.</w:t>
      </w:r>
      <w:r w:rsidR="00B4512A">
        <w:rPr>
          <w:rFonts w:eastAsiaTheme="majorEastAsia"/>
        </w:rPr>
        <w:t xml:space="preserve"> </w:t>
      </w:r>
      <w:r>
        <w:rPr>
          <w:rFonts w:eastAsiaTheme="majorEastAsia"/>
        </w:rPr>
        <w:t>Of these 80 providers</w:t>
      </w:r>
      <w:r w:rsidR="00B23B83">
        <w:rPr>
          <w:rFonts w:eastAsiaTheme="majorEastAsia"/>
        </w:rPr>
        <w:t xml:space="preserve">, </w:t>
      </w:r>
      <w:r>
        <w:rPr>
          <w:rFonts w:eastAsiaTheme="majorEastAsia"/>
        </w:rPr>
        <w:t xml:space="preserve">50 were </w:t>
      </w:r>
      <w:r w:rsidR="008C6E82">
        <w:rPr>
          <w:rFonts w:eastAsiaTheme="majorEastAsia"/>
        </w:rPr>
        <w:t>‘</w:t>
      </w:r>
      <w:r>
        <w:rPr>
          <w:rFonts w:eastAsiaTheme="majorEastAsia"/>
        </w:rPr>
        <w:t>for profit</w:t>
      </w:r>
      <w:r w:rsidR="008C6E82">
        <w:rPr>
          <w:rFonts w:eastAsiaTheme="majorEastAsia"/>
        </w:rPr>
        <w:t>’</w:t>
      </w:r>
      <w:r>
        <w:rPr>
          <w:rFonts w:eastAsiaTheme="majorEastAsia"/>
        </w:rPr>
        <w:t xml:space="preserve"> and</w:t>
      </w:r>
      <w:r w:rsidR="00B23B83">
        <w:rPr>
          <w:rFonts w:eastAsiaTheme="majorEastAsia"/>
        </w:rPr>
        <w:t xml:space="preserve"> </w:t>
      </w:r>
      <w:r>
        <w:rPr>
          <w:rFonts w:eastAsiaTheme="majorEastAsia"/>
        </w:rPr>
        <w:t xml:space="preserve">30 were </w:t>
      </w:r>
      <w:r w:rsidR="008C6E82">
        <w:rPr>
          <w:rFonts w:eastAsiaTheme="majorEastAsia"/>
        </w:rPr>
        <w:t>‘</w:t>
      </w:r>
      <w:r>
        <w:rPr>
          <w:rFonts w:eastAsiaTheme="majorEastAsia"/>
        </w:rPr>
        <w:t>not for profit</w:t>
      </w:r>
      <w:r w:rsidR="008C6E82">
        <w:rPr>
          <w:rFonts w:eastAsiaTheme="majorEastAsia"/>
        </w:rPr>
        <w:t>’</w:t>
      </w:r>
      <w:r>
        <w:rPr>
          <w:rFonts w:eastAsiaTheme="majorEastAsia"/>
        </w:rPr>
        <w:t xml:space="preserve">. There were 37 providers that provided </w:t>
      </w:r>
      <w:r w:rsidR="008C6E82">
        <w:rPr>
          <w:rFonts w:eastAsiaTheme="majorEastAsia"/>
        </w:rPr>
        <w:t>‘</w:t>
      </w:r>
      <w:r>
        <w:rPr>
          <w:rFonts w:eastAsiaTheme="majorEastAsia"/>
        </w:rPr>
        <w:t>generalist services</w:t>
      </w:r>
      <w:r w:rsidR="008C6E82">
        <w:rPr>
          <w:rFonts w:eastAsiaTheme="majorEastAsia"/>
        </w:rPr>
        <w:t>’ only</w:t>
      </w:r>
      <w:r>
        <w:rPr>
          <w:rFonts w:eastAsiaTheme="majorEastAsia"/>
        </w:rPr>
        <w:t xml:space="preserve">, </w:t>
      </w:r>
      <w:r w:rsidR="00B23B83">
        <w:rPr>
          <w:rFonts w:eastAsiaTheme="majorEastAsia"/>
        </w:rPr>
        <w:t xml:space="preserve">and </w:t>
      </w:r>
      <w:r>
        <w:rPr>
          <w:rFonts w:eastAsiaTheme="majorEastAsia"/>
        </w:rPr>
        <w:t xml:space="preserve">13 that provided </w:t>
      </w:r>
      <w:r w:rsidR="008C6E82">
        <w:rPr>
          <w:rFonts w:eastAsiaTheme="majorEastAsia"/>
        </w:rPr>
        <w:t>‘</w:t>
      </w:r>
      <w:r>
        <w:rPr>
          <w:rFonts w:eastAsiaTheme="majorEastAsia"/>
        </w:rPr>
        <w:t>specialist services</w:t>
      </w:r>
      <w:r w:rsidR="008C6E82">
        <w:rPr>
          <w:rFonts w:eastAsiaTheme="majorEastAsia"/>
        </w:rPr>
        <w:t>’</w:t>
      </w:r>
      <w:r w:rsidR="008C6E82" w:rsidRPr="008C6E82">
        <w:rPr>
          <w:rFonts w:eastAsiaTheme="majorEastAsia"/>
        </w:rPr>
        <w:t xml:space="preserve"> </w:t>
      </w:r>
      <w:r w:rsidR="008C6E82">
        <w:rPr>
          <w:rFonts w:eastAsiaTheme="majorEastAsia"/>
        </w:rPr>
        <w:t>only</w:t>
      </w:r>
      <w:r w:rsidR="00B23B83">
        <w:rPr>
          <w:rFonts w:eastAsiaTheme="majorEastAsia"/>
        </w:rPr>
        <w:t>,</w:t>
      </w:r>
      <w:r>
        <w:rPr>
          <w:rFonts w:eastAsiaTheme="majorEastAsia"/>
        </w:rPr>
        <w:t xml:space="preserve"> </w:t>
      </w:r>
      <w:r w:rsidR="004251C8">
        <w:rPr>
          <w:rFonts w:eastAsiaTheme="majorEastAsia"/>
        </w:rPr>
        <w:t xml:space="preserve">with </w:t>
      </w:r>
      <w:r>
        <w:rPr>
          <w:rFonts w:eastAsiaTheme="majorEastAsia"/>
        </w:rPr>
        <w:t xml:space="preserve">the </w:t>
      </w:r>
      <w:r w:rsidR="004251C8">
        <w:rPr>
          <w:rFonts w:eastAsiaTheme="majorEastAsia"/>
        </w:rPr>
        <w:t>remainder</w:t>
      </w:r>
      <w:r>
        <w:rPr>
          <w:rFonts w:eastAsiaTheme="majorEastAsia"/>
        </w:rPr>
        <w:t xml:space="preserve"> provid</w:t>
      </w:r>
      <w:r w:rsidR="004251C8">
        <w:rPr>
          <w:rFonts w:eastAsiaTheme="majorEastAsia"/>
        </w:rPr>
        <w:t>ing</w:t>
      </w:r>
      <w:r>
        <w:rPr>
          <w:rFonts w:eastAsiaTheme="majorEastAsia"/>
        </w:rPr>
        <w:t xml:space="preserve"> both.</w:t>
      </w:r>
      <w:r w:rsidRPr="00B2068E">
        <w:t xml:space="preserve"> </w:t>
      </w:r>
    </w:p>
    <w:p w14:paraId="33244D08" w14:textId="77777777" w:rsidR="00D92495" w:rsidRDefault="00D92495" w:rsidP="00D92495">
      <w:pPr>
        <w:rPr>
          <w:rFonts w:eastAsiaTheme="majorEastAsia"/>
        </w:rPr>
      </w:pPr>
      <w:r>
        <w:t>U</w:t>
      </w:r>
      <w:r w:rsidRPr="002439FC">
        <w:t xml:space="preserve">nder both </w:t>
      </w:r>
      <w:r w:rsidR="004251C8">
        <w:t xml:space="preserve">JSA </w:t>
      </w:r>
      <w:r w:rsidRPr="002439FC">
        <w:t xml:space="preserve">contract periods the payment structure sought to encourage </w:t>
      </w:r>
      <w:r w:rsidR="004251C8">
        <w:t xml:space="preserve">job seeker </w:t>
      </w:r>
      <w:r w:rsidRPr="002439FC">
        <w:t xml:space="preserve">outcomes in the first year of unemployment </w:t>
      </w:r>
      <w:r w:rsidR="004251C8">
        <w:t xml:space="preserve">to negate </w:t>
      </w:r>
      <w:r>
        <w:t>long</w:t>
      </w:r>
      <w:r w:rsidR="00F15E0C">
        <w:t>-</w:t>
      </w:r>
      <w:r>
        <w:t>term unemployment.</w:t>
      </w:r>
      <w:r w:rsidR="004351A7" w:rsidRPr="004351A7">
        <w:rPr>
          <w:rStyle w:val="FootnoteReference"/>
        </w:rPr>
        <w:t xml:space="preserve"> </w:t>
      </w:r>
      <w:r w:rsidR="004351A7">
        <w:rPr>
          <w:rStyle w:val="FootnoteReference"/>
        </w:rPr>
        <w:footnoteReference w:id="87"/>
      </w:r>
      <w:r>
        <w:t xml:space="preserve"> </w:t>
      </w:r>
      <w:r w:rsidRPr="002439FC">
        <w:t xml:space="preserve">For those job seekers who became </w:t>
      </w:r>
      <w:r w:rsidR="00F15E0C">
        <w:t>long-term unemployed (</w:t>
      </w:r>
      <w:r w:rsidRPr="002439FC">
        <w:t>LTU</w:t>
      </w:r>
      <w:r w:rsidR="00F15E0C">
        <w:t>)</w:t>
      </w:r>
      <w:r w:rsidRPr="002439FC">
        <w:t xml:space="preserve"> the </w:t>
      </w:r>
      <w:r w:rsidR="00B23B83">
        <w:t xml:space="preserve">incentive for </w:t>
      </w:r>
      <w:r w:rsidR="00B23B83" w:rsidRPr="0084399B">
        <w:t>provider</w:t>
      </w:r>
      <w:r w:rsidR="00B23B83">
        <w:t xml:space="preserve">s </w:t>
      </w:r>
      <w:r w:rsidR="00B23B83" w:rsidRPr="0084399B">
        <w:t>to achieve</w:t>
      </w:r>
      <w:r w:rsidR="00B23B83" w:rsidRPr="002439FC">
        <w:t xml:space="preserve"> results </w:t>
      </w:r>
      <w:r w:rsidR="00B23B83">
        <w:t xml:space="preserve">came more from </w:t>
      </w:r>
      <w:r w:rsidRPr="002439FC">
        <w:t xml:space="preserve">outcome fees than service </w:t>
      </w:r>
      <w:r w:rsidRPr="0084399B">
        <w:t>fees</w:t>
      </w:r>
      <w:r>
        <w:t>.</w:t>
      </w:r>
    </w:p>
    <w:p w14:paraId="12ABFCAF" w14:textId="77777777" w:rsidR="00224E34" w:rsidRDefault="00224E34" w:rsidP="00224E34">
      <w:pPr>
        <w:pStyle w:val="Heading3"/>
      </w:pPr>
      <w:bookmarkStart w:id="519" w:name="_Toc22543143"/>
      <w:r>
        <w:t>10.1.1</w:t>
      </w:r>
      <w:r w:rsidR="00265029">
        <w:tab/>
      </w:r>
      <w:r>
        <w:t xml:space="preserve">Service </w:t>
      </w:r>
      <w:r w:rsidR="004D74CE">
        <w:t>f</w:t>
      </w:r>
      <w:r>
        <w:t>ees</w:t>
      </w:r>
      <w:bookmarkEnd w:id="519"/>
    </w:p>
    <w:p w14:paraId="6B0971B4" w14:textId="77777777" w:rsidR="00224E34" w:rsidRDefault="00224E34" w:rsidP="00224E34">
      <w:pPr>
        <w:rPr>
          <w:rFonts w:eastAsiaTheme="majorEastAsia"/>
        </w:rPr>
      </w:pPr>
      <w:r>
        <w:rPr>
          <w:rFonts w:eastAsiaTheme="majorEastAsia"/>
        </w:rPr>
        <w:t>The following table outlines the service fee structure and rationale in the JSA 2012 contract</w:t>
      </w:r>
      <w:r w:rsidR="004D74CE">
        <w:rPr>
          <w:rFonts w:eastAsiaTheme="majorEastAsia"/>
        </w:rPr>
        <w:t>.</w:t>
      </w:r>
    </w:p>
    <w:p w14:paraId="645C0611" w14:textId="629C5BA4" w:rsidR="00224E34" w:rsidRDefault="00224E34" w:rsidP="0067009E">
      <w:pPr>
        <w:pStyle w:val="Tableforcontents"/>
        <w:rPr>
          <w:rFonts w:eastAsiaTheme="majorEastAsia"/>
        </w:rPr>
      </w:pPr>
      <w:bookmarkStart w:id="520" w:name="_Toc22544006"/>
      <w:r>
        <w:rPr>
          <w:rFonts w:eastAsiaTheme="majorEastAsia"/>
        </w:rPr>
        <w:t xml:space="preserve">Table 10.1: Service fee structure and rationale for the JSA 2012 </w:t>
      </w:r>
      <w:r w:rsidR="00804032">
        <w:rPr>
          <w:rFonts w:eastAsiaTheme="majorEastAsia"/>
        </w:rPr>
        <w:t>c</w:t>
      </w:r>
      <w:r>
        <w:rPr>
          <w:rFonts w:eastAsiaTheme="majorEastAsia"/>
        </w:rPr>
        <w:t>ontract</w:t>
      </w:r>
      <w:bookmarkEnd w:id="52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4"/>
      </w:tblGrid>
      <w:tr w:rsidR="00224E34" w:rsidRPr="0067009E" w14:paraId="2951EB27" w14:textId="77777777" w:rsidTr="00176D4F">
        <w:trPr>
          <w:trHeight w:val="421"/>
          <w:tblHeader/>
        </w:trPr>
        <w:tc>
          <w:tcPr>
            <w:tcW w:w="4615" w:type="dxa"/>
            <w:shd w:val="clear" w:color="auto" w:fill="1E3D6B"/>
            <w:vAlign w:val="center"/>
          </w:tcPr>
          <w:p w14:paraId="3961A7CC" w14:textId="77777777" w:rsidR="00224E34" w:rsidRPr="0067009E" w:rsidRDefault="00224E34" w:rsidP="0067009E">
            <w:pPr>
              <w:rPr>
                <w:rFonts w:eastAsiaTheme="majorEastAsia"/>
                <w:b/>
                <w:sz w:val="20"/>
                <w:szCs w:val="20"/>
              </w:rPr>
            </w:pPr>
            <w:bookmarkStart w:id="521" w:name="ColumnTitle_101"/>
            <w:bookmarkEnd w:id="521"/>
            <w:r w:rsidRPr="0067009E">
              <w:rPr>
                <w:rFonts w:eastAsiaTheme="majorEastAsia"/>
                <w:b/>
                <w:sz w:val="20"/>
                <w:szCs w:val="20"/>
              </w:rPr>
              <w:t xml:space="preserve">Service </w:t>
            </w:r>
            <w:r w:rsidR="004D74CE">
              <w:rPr>
                <w:rFonts w:eastAsiaTheme="majorEastAsia"/>
                <w:b/>
                <w:sz w:val="20"/>
                <w:szCs w:val="20"/>
              </w:rPr>
              <w:t>f</w:t>
            </w:r>
            <w:r w:rsidRPr="0067009E">
              <w:rPr>
                <w:rFonts w:eastAsiaTheme="majorEastAsia"/>
                <w:b/>
                <w:sz w:val="20"/>
                <w:szCs w:val="20"/>
              </w:rPr>
              <w:t xml:space="preserve">ee </w:t>
            </w:r>
            <w:r w:rsidR="004D74CE">
              <w:rPr>
                <w:rFonts w:eastAsiaTheme="majorEastAsia"/>
                <w:b/>
                <w:sz w:val="20"/>
                <w:szCs w:val="20"/>
              </w:rPr>
              <w:t>s</w:t>
            </w:r>
            <w:r w:rsidRPr="0067009E">
              <w:rPr>
                <w:rFonts w:eastAsiaTheme="majorEastAsia"/>
                <w:b/>
                <w:sz w:val="20"/>
                <w:szCs w:val="20"/>
              </w:rPr>
              <w:t>tructure</w:t>
            </w:r>
          </w:p>
        </w:tc>
        <w:tc>
          <w:tcPr>
            <w:tcW w:w="4628" w:type="dxa"/>
            <w:shd w:val="clear" w:color="auto" w:fill="1E3D6B"/>
            <w:vAlign w:val="center"/>
          </w:tcPr>
          <w:p w14:paraId="726F0CFB" w14:textId="77777777" w:rsidR="00224E34" w:rsidRPr="0067009E" w:rsidRDefault="00224E34" w:rsidP="00CA7F69">
            <w:pPr>
              <w:rPr>
                <w:rFonts w:eastAsiaTheme="majorEastAsia"/>
                <w:b/>
                <w:sz w:val="20"/>
                <w:szCs w:val="20"/>
              </w:rPr>
            </w:pPr>
            <w:r w:rsidRPr="0067009E">
              <w:rPr>
                <w:rFonts w:eastAsiaTheme="majorEastAsia"/>
                <w:b/>
                <w:sz w:val="20"/>
                <w:szCs w:val="20"/>
              </w:rPr>
              <w:t>Rationale</w:t>
            </w:r>
          </w:p>
        </w:tc>
      </w:tr>
      <w:tr w:rsidR="00224E34" w14:paraId="5BD855E6" w14:textId="77777777" w:rsidTr="00176D4F">
        <w:trPr>
          <w:trHeight w:hRule="exact" w:val="737"/>
        </w:trPr>
        <w:tc>
          <w:tcPr>
            <w:tcW w:w="4615" w:type="dxa"/>
            <w:vAlign w:val="center"/>
          </w:tcPr>
          <w:p w14:paraId="46B6F549" w14:textId="77777777" w:rsidR="00224E34" w:rsidRPr="00DB7636" w:rsidRDefault="00224E34" w:rsidP="00CA7F69">
            <w:pPr>
              <w:rPr>
                <w:rFonts w:eastAsiaTheme="majorEastAsia"/>
                <w:sz w:val="20"/>
                <w:szCs w:val="20"/>
              </w:rPr>
            </w:pPr>
            <w:r>
              <w:rPr>
                <w:sz w:val="20"/>
                <w:szCs w:val="20"/>
              </w:rPr>
              <w:t>H</w:t>
            </w:r>
            <w:r w:rsidRPr="00DB7636">
              <w:rPr>
                <w:sz w:val="20"/>
                <w:szCs w:val="20"/>
              </w:rPr>
              <w:t xml:space="preserve">igher </w:t>
            </w:r>
            <w:r>
              <w:rPr>
                <w:sz w:val="20"/>
                <w:szCs w:val="20"/>
              </w:rPr>
              <w:t xml:space="preserve">payments </w:t>
            </w:r>
            <w:r w:rsidRPr="00DB7636">
              <w:rPr>
                <w:sz w:val="20"/>
                <w:szCs w:val="20"/>
              </w:rPr>
              <w:t>for the higher streams</w:t>
            </w:r>
          </w:p>
        </w:tc>
        <w:tc>
          <w:tcPr>
            <w:tcW w:w="4628" w:type="dxa"/>
            <w:vAlign w:val="center"/>
          </w:tcPr>
          <w:p w14:paraId="73ECBB3F" w14:textId="77777777" w:rsidR="00224E34" w:rsidRPr="00DB7636" w:rsidRDefault="00224E34" w:rsidP="00CA7F69">
            <w:pPr>
              <w:rPr>
                <w:rFonts w:eastAsiaTheme="majorEastAsia"/>
                <w:sz w:val="20"/>
                <w:szCs w:val="20"/>
              </w:rPr>
            </w:pPr>
            <w:r>
              <w:rPr>
                <w:sz w:val="20"/>
                <w:szCs w:val="20"/>
              </w:rPr>
              <w:t>R</w:t>
            </w:r>
            <w:r w:rsidRPr="00DB7636">
              <w:rPr>
                <w:sz w:val="20"/>
                <w:szCs w:val="20"/>
              </w:rPr>
              <w:t>eflecting greater servicing needs of these job seekers</w:t>
            </w:r>
          </w:p>
        </w:tc>
      </w:tr>
      <w:tr w:rsidR="00224E34" w14:paraId="5EDDE87E" w14:textId="77777777" w:rsidTr="00176D4F">
        <w:trPr>
          <w:trHeight w:hRule="exact" w:val="737"/>
        </w:trPr>
        <w:tc>
          <w:tcPr>
            <w:tcW w:w="4615" w:type="dxa"/>
            <w:shd w:val="clear" w:color="auto" w:fill="E5E5E5" w:themeFill="background1" w:themeFillTint="33"/>
            <w:vAlign w:val="center"/>
          </w:tcPr>
          <w:p w14:paraId="156435B2" w14:textId="77777777" w:rsidR="00224E34" w:rsidRPr="00DB7636" w:rsidRDefault="00224E34" w:rsidP="00CA7F69">
            <w:pPr>
              <w:rPr>
                <w:rFonts w:eastAsiaTheme="majorEastAsia"/>
                <w:sz w:val="20"/>
                <w:szCs w:val="20"/>
              </w:rPr>
            </w:pPr>
            <w:r>
              <w:rPr>
                <w:sz w:val="20"/>
                <w:szCs w:val="20"/>
              </w:rPr>
              <w:t>Si</w:t>
            </w:r>
            <w:r w:rsidRPr="00DB7636">
              <w:rPr>
                <w:sz w:val="20"/>
                <w:szCs w:val="20"/>
              </w:rPr>
              <w:t xml:space="preserve">gnificantly higher in the first year of service </w:t>
            </w:r>
          </w:p>
        </w:tc>
        <w:tc>
          <w:tcPr>
            <w:tcW w:w="4628" w:type="dxa"/>
            <w:shd w:val="clear" w:color="auto" w:fill="E5E5E5" w:themeFill="background1" w:themeFillTint="33"/>
            <w:vAlign w:val="center"/>
          </w:tcPr>
          <w:p w14:paraId="406C98AC" w14:textId="77777777" w:rsidR="00224E34" w:rsidRPr="00DB7636" w:rsidRDefault="00224E34" w:rsidP="00CA7F69">
            <w:pPr>
              <w:rPr>
                <w:sz w:val="20"/>
                <w:szCs w:val="20"/>
              </w:rPr>
            </w:pPr>
            <w:r>
              <w:rPr>
                <w:sz w:val="20"/>
                <w:szCs w:val="20"/>
              </w:rPr>
              <w:t xml:space="preserve">Encouraging </w:t>
            </w:r>
            <w:r w:rsidRPr="00DB7636">
              <w:rPr>
                <w:sz w:val="20"/>
                <w:szCs w:val="20"/>
              </w:rPr>
              <w:t>provide</w:t>
            </w:r>
            <w:r>
              <w:rPr>
                <w:sz w:val="20"/>
                <w:szCs w:val="20"/>
              </w:rPr>
              <w:t>r</w:t>
            </w:r>
            <w:r w:rsidRPr="00DB7636">
              <w:rPr>
                <w:sz w:val="20"/>
                <w:szCs w:val="20"/>
              </w:rPr>
              <w:t>s to assist job seekers achieve outcomes in their first year of unemployment</w:t>
            </w:r>
          </w:p>
          <w:p w14:paraId="2129E25E" w14:textId="77777777" w:rsidR="00224E34" w:rsidRPr="00DB7636" w:rsidRDefault="00224E34" w:rsidP="00CA7F69">
            <w:pPr>
              <w:rPr>
                <w:rFonts w:eastAsiaTheme="majorEastAsia"/>
                <w:sz w:val="20"/>
                <w:szCs w:val="20"/>
              </w:rPr>
            </w:pPr>
          </w:p>
        </w:tc>
      </w:tr>
      <w:tr w:rsidR="00224E34" w14:paraId="7D980AE7" w14:textId="77777777" w:rsidTr="00176D4F">
        <w:trPr>
          <w:trHeight w:hRule="exact" w:val="737"/>
        </w:trPr>
        <w:tc>
          <w:tcPr>
            <w:tcW w:w="4615" w:type="dxa"/>
            <w:vAlign w:val="center"/>
          </w:tcPr>
          <w:p w14:paraId="022D1A65" w14:textId="77777777" w:rsidR="00224E34" w:rsidRPr="00DB7636" w:rsidRDefault="00224E34" w:rsidP="00CA7F69">
            <w:pPr>
              <w:rPr>
                <w:rFonts w:eastAsiaTheme="majorEastAsia"/>
                <w:sz w:val="20"/>
                <w:szCs w:val="20"/>
              </w:rPr>
            </w:pPr>
            <w:r>
              <w:rPr>
                <w:sz w:val="20"/>
                <w:szCs w:val="20"/>
              </w:rPr>
              <w:t>L</w:t>
            </w:r>
            <w:r w:rsidRPr="00DB7636">
              <w:rPr>
                <w:sz w:val="20"/>
                <w:szCs w:val="20"/>
              </w:rPr>
              <w:t>ower in the Work Experience Phase (WEPh) (second year of service) and Compulsory Activity Phase (CAP) (third year of service</w:t>
            </w:r>
            <w:r>
              <w:rPr>
                <w:sz w:val="20"/>
                <w:szCs w:val="20"/>
              </w:rPr>
              <w:t>)</w:t>
            </w:r>
            <w:r w:rsidRPr="00621ADF">
              <w:rPr>
                <w:sz w:val="20"/>
                <w:szCs w:val="20"/>
                <w:vertAlign w:val="superscript"/>
              </w:rPr>
              <w:t>1</w:t>
            </w:r>
          </w:p>
        </w:tc>
        <w:tc>
          <w:tcPr>
            <w:tcW w:w="4628" w:type="dxa"/>
            <w:vAlign w:val="center"/>
          </w:tcPr>
          <w:p w14:paraId="175A4865" w14:textId="77777777" w:rsidR="00224E34" w:rsidRPr="00DB7636" w:rsidRDefault="00224E34" w:rsidP="00CA7F69">
            <w:pPr>
              <w:rPr>
                <w:rFonts w:eastAsiaTheme="majorEastAsia"/>
                <w:sz w:val="20"/>
                <w:szCs w:val="20"/>
              </w:rPr>
            </w:pPr>
            <w:r>
              <w:rPr>
                <w:sz w:val="20"/>
                <w:szCs w:val="20"/>
              </w:rPr>
              <w:t>I</w:t>
            </w:r>
            <w:r w:rsidRPr="00DB7636">
              <w:rPr>
                <w:sz w:val="20"/>
                <w:szCs w:val="20"/>
              </w:rPr>
              <w:t>n recognition that these periods require less provider involvement</w:t>
            </w:r>
          </w:p>
        </w:tc>
      </w:tr>
      <w:tr w:rsidR="00F15E0C" w14:paraId="7948E936" w14:textId="77777777" w:rsidTr="00176D4F">
        <w:trPr>
          <w:trHeight w:hRule="exact" w:val="737"/>
        </w:trPr>
        <w:tc>
          <w:tcPr>
            <w:tcW w:w="4615" w:type="dxa"/>
            <w:shd w:val="clear" w:color="auto" w:fill="E5E5E5" w:themeFill="background1" w:themeFillTint="33"/>
            <w:vAlign w:val="center"/>
          </w:tcPr>
          <w:p w14:paraId="4CE74A4F" w14:textId="77777777" w:rsidR="00F15E0C" w:rsidRPr="00DB7636" w:rsidRDefault="00F15E0C" w:rsidP="00CA7F69">
            <w:pPr>
              <w:rPr>
                <w:rFonts w:eastAsiaTheme="majorEastAsia"/>
                <w:sz w:val="20"/>
                <w:szCs w:val="20"/>
              </w:rPr>
            </w:pPr>
            <w:r>
              <w:rPr>
                <w:sz w:val="20"/>
                <w:szCs w:val="20"/>
              </w:rPr>
              <w:t xml:space="preserve">Further reduced for </w:t>
            </w:r>
            <w:r w:rsidRPr="00DB7636">
              <w:rPr>
                <w:sz w:val="20"/>
                <w:szCs w:val="20"/>
              </w:rPr>
              <w:t xml:space="preserve">periods of service beyond </w:t>
            </w:r>
            <w:r>
              <w:rPr>
                <w:sz w:val="20"/>
                <w:szCs w:val="20"/>
              </w:rPr>
              <w:t>the first year of CAP</w:t>
            </w:r>
          </w:p>
        </w:tc>
        <w:tc>
          <w:tcPr>
            <w:tcW w:w="4628" w:type="dxa"/>
            <w:shd w:val="clear" w:color="auto" w:fill="E5E5E5" w:themeFill="background1" w:themeFillTint="33"/>
            <w:vAlign w:val="center"/>
          </w:tcPr>
          <w:p w14:paraId="601AA56B" w14:textId="77777777" w:rsidR="00F15E0C" w:rsidRPr="00DB7636" w:rsidRDefault="00F15E0C" w:rsidP="00CA7F69">
            <w:pPr>
              <w:rPr>
                <w:rFonts w:eastAsiaTheme="majorEastAsia"/>
                <w:sz w:val="20"/>
                <w:szCs w:val="20"/>
              </w:rPr>
            </w:pPr>
            <w:r>
              <w:rPr>
                <w:sz w:val="20"/>
                <w:szCs w:val="20"/>
              </w:rPr>
              <w:t>I</w:t>
            </w:r>
            <w:r w:rsidRPr="00DB7636">
              <w:rPr>
                <w:sz w:val="20"/>
                <w:szCs w:val="20"/>
              </w:rPr>
              <w:t>n recognition that these periods require less provider involvement</w:t>
            </w:r>
          </w:p>
        </w:tc>
      </w:tr>
    </w:tbl>
    <w:p w14:paraId="7D27B9AB" w14:textId="77777777" w:rsidR="00224E34" w:rsidRPr="00474DA1" w:rsidRDefault="00224E34" w:rsidP="0019430D">
      <w:pPr>
        <w:pStyle w:val="Notes"/>
      </w:pPr>
      <w:r w:rsidRPr="00B45E85">
        <w:rPr>
          <w:rStyle w:val="NotesChar"/>
          <w:rFonts w:eastAsiaTheme="majorEastAsia"/>
          <w:b/>
        </w:rPr>
        <w:t>Note</w:t>
      </w:r>
      <w:r w:rsidR="006E205D">
        <w:rPr>
          <w:rStyle w:val="NotesChar"/>
          <w:rFonts w:eastAsiaTheme="majorEastAsia"/>
        </w:rPr>
        <w:t>:</w:t>
      </w:r>
      <w:r w:rsidR="006E205D">
        <w:rPr>
          <w:rStyle w:val="NotesChar"/>
          <w:rFonts w:eastAsiaTheme="majorEastAsia"/>
        </w:rPr>
        <w:tab/>
      </w:r>
      <w:r w:rsidRPr="00B45E85">
        <w:rPr>
          <w:rStyle w:val="NotesChar"/>
          <w:rFonts w:eastAsiaTheme="minorEastAsia"/>
        </w:rPr>
        <w:t>The Employment Pathway Fund (EPF) could be used to arrange work experience projects under the</w:t>
      </w:r>
      <w:r w:rsidRPr="00474DA1">
        <w:t xml:space="preserve"> </w:t>
      </w:r>
      <w:r w:rsidR="0072794D">
        <w:t>w</w:t>
      </w:r>
      <w:r w:rsidRPr="00474DA1">
        <w:t xml:space="preserve">ork </w:t>
      </w:r>
      <w:r w:rsidR="0072794D">
        <w:t>e</w:t>
      </w:r>
      <w:r w:rsidRPr="00474DA1">
        <w:t xml:space="preserve">xperience </w:t>
      </w:r>
      <w:r w:rsidR="0072794D">
        <w:t>g</w:t>
      </w:r>
      <w:r w:rsidRPr="00474DA1">
        <w:t xml:space="preserve">roup </w:t>
      </w:r>
      <w:r w:rsidR="0072794D">
        <w:t>b</w:t>
      </w:r>
      <w:r w:rsidRPr="00474DA1">
        <w:t xml:space="preserve">ased </w:t>
      </w:r>
      <w:r w:rsidR="0072794D">
        <w:t>a</w:t>
      </w:r>
      <w:r w:rsidRPr="00474DA1">
        <w:t>ctivities EPF expenditure category</w:t>
      </w:r>
      <w:r w:rsidR="0019430D">
        <w:t>.</w:t>
      </w:r>
    </w:p>
    <w:p w14:paraId="780ADB77" w14:textId="77777777" w:rsidR="00224E34" w:rsidRDefault="00224E34" w:rsidP="00224E34">
      <w:pPr>
        <w:pStyle w:val="Heading3"/>
      </w:pPr>
      <w:bookmarkStart w:id="522" w:name="_Toc22543144"/>
      <w:r>
        <w:t>10.1.2</w:t>
      </w:r>
      <w:r w:rsidR="00265029">
        <w:tab/>
      </w:r>
      <w:r>
        <w:t xml:space="preserve">Placement </w:t>
      </w:r>
      <w:r w:rsidR="004D74CE">
        <w:t>f</w:t>
      </w:r>
      <w:r>
        <w:t>ees</w:t>
      </w:r>
      <w:bookmarkEnd w:id="522"/>
    </w:p>
    <w:p w14:paraId="5392584B" w14:textId="0422A8D1" w:rsidR="00224E34" w:rsidRPr="0037115B" w:rsidRDefault="00A91CD1" w:rsidP="00224E34">
      <w:pPr>
        <w:rPr>
          <w:rFonts w:eastAsiaTheme="majorEastAsia"/>
        </w:rPr>
      </w:pPr>
      <w:r>
        <w:t>Placement fees were paid at the same monetary rate under both models.</w:t>
      </w:r>
      <w:r>
        <w:rPr>
          <w:rStyle w:val="FootnoteReference"/>
        </w:rPr>
        <w:footnoteReference w:id="88"/>
      </w:r>
      <w:r>
        <w:t xml:space="preserve"> They were however</w:t>
      </w:r>
      <w:r w:rsidR="00761594">
        <w:t>,</w:t>
      </w:r>
      <w:r>
        <w:t xml:space="preserve"> not paid for Stream 1 job seekers in the first 3 months of service under JSA 2009. Under the 2012 model they were payable for </w:t>
      </w:r>
      <w:r w:rsidR="004D74CE">
        <w:t xml:space="preserve">eligible </w:t>
      </w:r>
      <w:r>
        <w:t xml:space="preserve">job seekers </w:t>
      </w:r>
      <w:r w:rsidR="004D74CE">
        <w:t xml:space="preserve">in all four service </w:t>
      </w:r>
      <w:r w:rsidR="00761594">
        <w:t>s</w:t>
      </w:r>
      <w:r w:rsidR="004D74CE">
        <w:t xml:space="preserve">treams </w:t>
      </w:r>
      <w:r>
        <w:t>during the first three months of service</w:t>
      </w:r>
      <w:r w:rsidR="00224E34">
        <w:t>.</w:t>
      </w:r>
    </w:p>
    <w:p w14:paraId="30521D06" w14:textId="77777777" w:rsidR="00224E34" w:rsidRDefault="00224E34" w:rsidP="00224E34">
      <w:pPr>
        <w:pStyle w:val="Heading3"/>
      </w:pPr>
      <w:bookmarkStart w:id="523" w:name="_Toc22543145"/>
      <w:r>
        <w:t>10.1.3</w:t>
      </w:r>
      <w:r w:rsidR="00265029">
        <w:tab/>
      </w:r>
      <w:r>
        <w:t xml:space="preserve">Outcome </w:t>
      </w:r>
      <w:r w:rsidR="00C02EE9">
        <w:t>f</w:t>
      </w:r>
      <w:r>
        <w:t>ees</w:t>
      </w:r>
      <w:bookmarkEnd w:id="523"/>
    </w:p>
    <w:p w14:paraId="5930389C" w14:textId="01F03F9E" w:rsidR="00224E34" w:rsidRDefault="00224E34" w:rsidP="006C1CF0">
      <w:r>
        <w:t>Outcome fees were paid for 13</w:t>
      </w:r>
      <w:r w:rsidR="005B7636">
        <w:t>-</w:t>
      </w:r>
      <w:r>
        <w:t>and</w:t>
      </w:r>
      <w:r w:rsidR="005B7636">
        <w:t>-</w:t>
      </w:r>
      <w:r>
        <w:t>26</w:t>
      </w:r>
      <w:r w:rsidR="00A254DF">
        <w:t>-</w:t>
      </w:r>
      <w:r>
        <w:t xml:space="preserve">week (education </w:t>
      </w:r>
      <w:r w:rsidR="004351A7">
        <w:t xml:space="preserve">or </w:t>
      </w:r>
      <w:r>
        <w:t>employment</w:t>
      </w:r>
      <w:r w:rsidR="004351A7">
        <w:t>)</w:t>
      </w:r>
      <w:r>
        <w:t xml:space="preserve"> outcomes. The level at which they were set depended on:</w:t>
      </w:r>
    </w:p>
    <w:p w14:paraId="29F892D0" w14:textId="77777777" w:rsidR="00224E34" w:rsidRPr="005D2337" w:rsidRDefault="00224E34" w:rsidP="00EC212B">
      <w:pPr>
        <w:pStyle w:val="ListParagraph"/>
        <w:rPr>
          <w:rFonts w:eastAsiaTheme="majorEastAsia"/>
        </w:rPr>
      </w:pPr>
      <w:r>
        <w:t>the job seeker’s stream of service</w:t>
      </w:r>
    </w:p>
    <w:p w14:paraId="4024FCBF" w14:textId="77777777" w:rsidR="002F242D" w:rsidRPr="00621ADF" w:rsidRDefault="002F242D" w:rsidP="00EC212B">
      <w:pPr>
        <w:pStyle w:val="ListParagraph"/>
        <w:rPr>
          <w:rFonts w:eastAsiaTheme="majorEastAsia"/>
        </w:rPr>
      </w:pPr>
      <w:r>
        <w:t>the job seeker’s length of unemployment (less than one year, one to five years or longer)</w:t>
      </w:r>
    </w:p>
    <w:p w14:paraId="6600F44A" w14:textId="77777777" w:rsidR="00224E34" w:rsidRPr="002F242D" w:rsidRDefault="00224E34" w:rsidP="00EC212B">
      <w:pPr>
        <w:pStyle w:val="ListParagraph"/>
        <w:rPr>
          <w:rFonts w:eastAsiaTheme="majorEastAsia"/>
        </w:rPr>
      </w:pPr>
      <w:r>
        <w:t>the type of outcome achieved (</w:t>
      </w:r>
      <w:r w:rsidR="002F242D">
        <w:t>whether</w:t>
      </w:r>
      <w:r>
        <w:t xml:space="preserve"> the job seeker fully left income support or had their income support dependency had been sufficiently reduced</w:t>
      </w:r>
      <w:r w:rsidR="002F242D">
        <w:t xml:space="preserve"> for employment outcomes</w:t>
      </w:r>
      <w:r>
        <w:t>)</w:t>
      </w:r>
      <w:r w:rsidR="002F242D">
        <w:t>.</w:t>
      </w:r>
    </w:p>
    <w:p w14:paraId="4DA8B0F8" w14:textId="77777777" w:rsidR="00224E34" w:rsidRDefault="00224E34" w:rsidP="00224E34">
      <w:pPr>
        <w:pStyle w:val="Heading3"/>
      </w:pPr>
      <w:bookmarkStart w:id="524" w:name="_Toc22543146"/>
      <w:r>
        <w:t>10.1.4</w:t>
      </w:r>
      <w:r w:rsidR="00265029">
        <w:tab/>
      </w:r>
      <w:r>
        <w:t>Changes to the model between contracts</w:t>
      </w:r>
      <w:bookmarkEnd w:id="524"/>
    </w:p>
    <w:p w14:paraId="5B99FE1F" w14:textId="77777777" w:rsidR="00224E34" w:rsidRDefault="00224E34" w:rsidP="00F06D70">
      <w:pPr>
        <w:rPr>
          <w:b/>
          <w:i/>
        </w:rPr>
      </w:pPr>
      <w:r w:rsidRPr="00B2456E">
        <w:t xml:space="preserve">Changes were made to Stream 1 </w:t>
      </w:r>
      <w:r w:rsidR="004D74CE">
        <w:t>s</w:t>
      </w:r>
      <w:r w:rsidR="004D74CE" w:rsidRPr="00B2456E">
        <w:t xml:space="preserve">ervicing </w:t>
      </w:r>
      <w:r w:rsidRPr="00B2456E">
        <w:t>(Chapter 4) which affected how service and placement fees were paid</w:t>
      </w:r>
      <w:r>
        <w:rPr>
          <w:b/>
          <w:i/>
        </w:rPr>
        <w:t>.</w:t>
      </w:r>
    </w:p>
    <w:p w14:paraId="3DB6D7E9" w14:textId="77777777" w:rsidR="00224E34" w:rsidRDefault="00224E34" w:rsidP="00F15E0C">
      <w:pPr>
        <w:pStyle w:val="Tableforcontents"/>
      </w:pPr>
      <w:bookmarkStart w:id="525" w:name="_Toc22544007"/>
      <w:r>
        <w:t>Table 10.2: Changes to service and placement fees for Stream 1 job seekers</w:t>
      </w:r>
      <w:r w:rsidR="00CA1DF5">
        <w:t xml:space="preserve"> between JSA 2009 and JSA 2012</w:t>
      </w:r>
      <w:bookmarkEnd w:id="52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6"/>
      </w:tblGrid>
      <w:tr w:rsidR="00224E34" w:rsidRPr="007D1AA8" w14:paraId="3CFC0801" w14:textId="77777777" w:rsidTr="00176D4F">
        <w:trPr>
          <w:trHeight w:hRule="exact" w:val="454"/>
          <w:tblHeader/>
        </w:trPr>
        <w:tc>
          <w:tcPr>
            <w:tcW w:w="4785" w:type="dxa"/>
            <w:shd w:val="clear" w:color="auto" w:fill="1E3D6B"/>
            <w:vAlign w:val="center"/>
          </w:tcPr>
          <w:p w14:paraId="2A85C7A8" w14:textId="77777777" w:rsidR="00224E34" w:rsidRPr="007D1AA8" w:rsidRDefault="00224E34" w:rsidP="007D1AA8">
            <w:pPr>
              <w:rPr>
                <w:b/>
              </w:rPr>
            </w:pPr>
            <w:bookmarkStart w:id="526" w:name="ColumnTitle_102"/>
            <w:bookmarkStart w:id="527" w:name="_Toc446600792"/>
            <w:bookmarkEnd w:id="526"/>
            <w:r w:rsidRPr="007D1AA8">
              <w:rPr>
                <w:b/>
              </w:rPr>
              <w:t>JSA 2009</w:t>
            </w:r>
            <w:bookmarkEnd w:id="527"/>
          </w:p>
        </w:tc>
        <w:tc>
          <w:tcPr>
            <w:tcW w:w="4785" w:type="dxa"/>
            <w:shd w:val="clear" w:color="auto" w:fill="1E3D6B"/>
            <w:vAlign w:val="center"/>
          </w:tcPr>
          <w:p w14:paraId="694952D8" w14:textId="77777777" w:rsidR="00224E34" w:rsidRPr="007D1AA8" w:rsidRDefault="00224E34" w:rsidP="007D1AA8">
            <w:pPr>
              <w:rPr>
                <w:b/>
              </w:rPr>
            </w:pPr>
            <w:bookmarkStart w:id="528" w:name="_Toc446600793"/>
            <w:r w:rsidRPr="007D1AA8">
              <w:rPr>
                <w:b/>
              </w:rPr>
              <w:t>JSA 2012</w:t>
            </w:r>
            <w:bookmarkEnd w:id="528"/>
          </w:p>
        </w:tc>
      </w:tr>
      <w:tr w:rsidR="00224E34" w14:paraId="7EABCE8D" w14:textId="77777777" w:rsidTr="00176D4F">
        <w:trPr>
          <w:trHeight w:hRule="exact" w:val="567"/>
        </w:trPr>
        <w:tc>
          <w:tcPr>
            <w:tcW w:w="4785" w:type="dxa"/>
            <w:vAlign w:val="center"/>
          </w:tcPr>
          <w:p w14:paraId="2BCBD88B" w14:textId="77777777" w:rsidR="00224E34" w:rsidRPr="00323821" w:rsidRDefault="00F15E0C" w:rsidP="00B2456E">
            <w:pPr>
              <w:pStyle w:val="Tablefirstcolumn"/>
            </w:pPr>
            <w:r>
              <w:t>S</w:t>
            </w:r>
            <w:r w:rsidR="00224E34" w:rsidRPr="00323821">
              <w:t>ervice fees paid in the first year of service for Stream 1 job seekers from $781</w:t>
            </w:r>
          </w:p>
        </w:tc>
        <w:tc>
          <w:tcPr>
            <w:tcW w:w="4785" w:type="dxa"/>
            <w:vAlign w:val="center"/>
          </w:tcPr>
          <w:p w14:paraId="463F1F97" w14:textId="77777777" w:rsidR="00224E34" w:rsidRPr="00323821" w:rsidRDefault="00F15E0C" w:rsidP="00B2456E">
            <w:pPr>
              <w:pStyle w:val="Tablefirstcolumn"/>
            </w:pPr>
            <w:r>
              <w:t>S</w:t>
            </w:r>
            <w:r w:rsidR="00224E34" w:rsidRPr="00323821">
              <w:t>ervice fees paid in the first year of service for Stream 1 job seekers from $581</w:t>
            </w:r>
            <w:r w:rsidR="00224E34" w:rsidRPr="00323821">
              <w:rPr>
                <w:vertAlign w:val="superscript"/>
              </w:rPr>
              <w:t>1</w:t>
            </w:r>
          </w:p>
        </w:tc>
      </w:tr>
      <w:tr w:rsidR="00224E34" w14:paraId="13865D93" w14:textId="77777777" w:rsidTr="00176D4F">
        <w:trPr>
          <w:trHeight w:hRule="exact" w:val="567"/>
        </w:trPr>
        <w:tc>
          <w:tcPr>
            <w:tcW w:w="4785" w:type="dxa"/>
            <w:shd w:val="clear" w:color="auto" w:fill="E5E5E5" w:themeFill="background1" w:themeFillTint="33"/>
            <w:vAlign w:val="center"/>
          </w:tcPr>
          <w:p w14:paraId="201FEA3D" w14:textId="77777777" w:rsidR="00224E34" w:rsidRPr="00323821" w:rsidRDefault="00B23B83" w:rsidP="00A96EDD">
            <w:pPr>
              <w:pStyle w:val="Tablefirstcolumn"/>
            </w:pPr>
            <w:r>
              <w:t>J</w:t>
            </w:r>
            <w:r w:rsidR="00224E34" w:rsidRPr="00323821">
              <w:t xml:space="preserve">ob placement fees became payable after </w:t>
            </w:r>
            <w:r w:rsidR="00A96EDD">
              <w:t>three</w:t>
            </w:r>
            <w:r w:rsidR="00A96EDD" w:rsidRPr="00323821">
              <w:t xml:space="preserve"> </w:t>
            </w:r>
            <w:r w:rsidR="00224E34" w:rsidRPr="00323821">
              <w:t>months of service</w:t>
            </w:r>
          </w:p>
        </w:tc>
        <w:tc>
          <w:tcPr>
            <w:tcW w:w="4785" w:type="dxa"/>
            <w:shd w:val="clear" w:color="auto" w:fill="E5E5E5" w:themeFill="background1" w:themeFillTint="33"/>
            <w:vAlign w:val="center"/>
          </w:tcPr>
          <w:p w14:paraId="0369F91C" w14:textId="77777777" w:rsidR="00224E34" w:rsidRPr="00323821" w:rsidRDefault="00B23B83" w:rsidP="00A96EDD">
            <w:pPr>
              <w:pStyle w:val="Tablefirstcolumn"/>
            </w:pPr>
            <w:r>
              <w:t>J</w:t>
            </w:r>
            <w:r w:rsidR="00224E34" w:rsidRPr="00474DA1">
              <w:t>ob placement fees bec</w:t>
            </w:r>
            <w:r w:rsidR="00224E34" w:rsidRPr="00323821">
              <w:t xml:space="preserve">ame payable </w:t>
            </w:r>
            <w:r w:rsidR="00A96EDD">
              <w:t>from registration</w:t>
            </w:r>
          </w:p>
        </w:tc>
      </w:tr>
    </w:tbl>
    <w:p w14:paraId="24C07EEF" w14:textId="77777777" w:rsidR="00224E34" w:rsidRPr="00F15E0C" w:rsidRDefault="00224E34" w:rsidP="0019430D">
      <w:pPr>
        <w:pStyle w:val="Notes"/>
      </w:pPr>
      <w:r w:rsidRPr="00F15E0C">
        <w:rPr>
          <w:b/>
        </w:rPr>
        <w:t>Note:</w:t>
      </w:r>
      <w:r w:rsidR="00B45E85">
        <w:rPr>
          <w:b/>
        </w:rPr>
        <w:tab/>
      </w:r>
      <w:r w:rsidRPr="00F15E0C">
        <w:t xml:space="preserve">As Stream 1 job seekers represent around 70 per cent of new entrants this reduction would have had a significant effect on </w:t>
      </w:r>
      <w:r w:rsidRPr="0019430D">
        <w:t>total</w:t>
      </w:r>
      <w:r w:rsidRPr="00F15E0C">
        <w:t xml:space="preserve"> service fees paid</w:t>
      </w:r>
      <w:r w:rsidR="00176D4F">
        <w:t>.</w:t>
      </w:r>
    </w:p>
    <w:p w14:paraId="07D268F3" w14:textId="77777777" w:rsidR="00224E34" w:rsidRDefault="00224E34" w:rsidP="0019430D">
      <w:pPr>
        <w:spacing w:before="120"/>
      </w:pPr>
      <w:r>
        <w:t xml:space="preserve">Also, </w:t>
      </w:r>
      <w:r w:rsidR="0043788A">
        <w:t>in the JSA 2012 contract</w:t>
      </w:r>
      <w:r>
        <w:t>, a single tiered outcome payment structure was introduced</w:t>
      </w:r>
      <w:r w:rsidR="0043788A" w:rsidRPr="0043788A">
        <w:t xml:space="preserve"> </w:t>
      </w:r>
      <w:r w:rsidR="0043788A">
        <w:t>for all job seekers</w:t>
      </w:r>
      <w:r>
        <w:t xml:space="preserve">, with lower maximum outcome fees payable for each of the four </w:t>
      </w:r>
      <w:r w:rsidR="006107F3">
        <w:t>s</w:t>
      </w:r>
      <w:r>
        <w:t>treams (when compared to the two tiered outcome fee structure in the JSA 2009 model).</w:t>
      </w:r>
    </w:p>
    <w:p w14:paraId="2E10E8C0" w14:textId="77777777" w:rsidR="007728F1" w:rsidRDefault="007728F1" w:rsidP="007728F1">
      <w:pPr>
        <w:pStyle w:val="Heading2"/>
      </w:pPr>
      <w:bookmarkStart w:id="529" w:name="_Toc450919351"/>
      <w:bookmarkStart w:id="530" w:name="_Toc22543147"/>
      <w:r>
        <w:t>10.2</w:t>
      </w:r>
      <w:r>
        <w:tab/>
        <w:t xml:space="preserve">Key </w:t>
      </w:r>
      <w:r w:rsidR="00C02EE9">
        <w:t>f</w:t>
      </w:r>
      <w:r>
        <w:t>indings</w:t>
      </w:r>
      <w:bookmarkEnd w:id="529"/>
      <w:bookmarkEnd w:id="530"/>
    </w:p>
    <w:p w14:paraId="59BDE99C" w14:textId="77777777" w:rsidR="00224E34" w:rsidRDefault="00224E34" w:rsidP="00224E34">
      <w:pPr>
        <w:pStyle w:val="Heading3"/>
      </w:pPr>
      <w:bookmarkStart w:id="531" w:name="_Toc22543148"/>
      <w:r>
        <w:t>10.2.1</w:t>
      </w:r>
      <w:r w:rsidR="00265029">
        <w:tab/>
      </w:r>
      <w:r w:rsidR="00026CF0">
        <w:t>Provider remuneration</w:t>
      </w:r>
      <w:bookmarkEnd w:id="531"/>
    </w:p>
    <w:p w14:paraId="65B7FA09" w14:textId="77777777" w:rsidR="00224E34" w:rsidRDefault="00224E34" w:rsidP="00224E34">
      <w:r>
        <w:t xml:space="preserve">The JSA model incorporated the use of an incentivised fee structure, coupled with access to an Employment Pathway Fund (EPF) for approved activities. Use of the EPF is addressed in </w:t>
      </w:r>
      <w:r w:rsidR="003649E1">
        <w:t>s</w:t>
      </w:r>
      <w:r w:rsidR="003649E1" w:rsidRPr="00474DA1">
        <w:t xml:space="preserve">ection </w:t>
      </w:r>
      <w:r w:rsidRPr="00474DA1">
        <w:t>10.2.2</w:t>
      </w:r>
      <w:r w:rsidR="004772B3">
        <w:t>.</w:t>
      </w:r>
    </w:p>
    <w:p w14:paraId="5E00087B" w14:textId="2C227F1A" w:rsidR="00224E34" w:rsidRDefault="00224E34" w:rsidP="006C1CF0">
      <w:r>
        <w:t xml:space="preserve">The JSA model had three </w:t>
      </w:r>
      <w:r w:rsidR="00897FBF">
        <w:t xml:space="preserve">types of </w:t>
      </w:r>
      <w:r>
        <w:t>program</w:t>
      </w:r>
      <w:r w:rsidR="004D74CE">
        <w:t>me</w:t>
      </w:r>
      <w:r>
        <w:t xml:space="preserve"> fees:</w:t>
      </w:r>
    </w:p>
    <w:p w14:paraId="42522F06" w14:textId="77777777" w:rsidR="00224E34" w:rsidRDefault="00F15E0C" w:rsidP="00EC212B">
      <w:pPr>
        <w:pStyle w:val="ListParagraph"/>
      </w:pPr>
      <w:r>
        <w:t>p</w:t>
      </w:r>
      <w:r w:rsidR="00224E34">
        <w:t xml:space="preserve">reparing for employment – </w:t>
      </w:r>
      <w:r w:rsidR="00224E34" w:rsidRPr="0099598E">
        <w:t>Service fees</w:t>
      </w:r>
    </w:p>
    <w:p w14:paraId="65E2D8F0" w14:textId="77777777" w:rsidR="00224E34" w:rsidRPr="002A2017" w:rsidRDefault="00224E34" w:rsidP="00EC212B">
      <w:pPr>
        <w:pStyle w:val="ListParagraph"/>
      </w:pPr>
      <w:r>
        <w:t>obtaining employment –</w:t>
      </w:r>
      <w:r w:rsidRPr="0099598E">
        <w:t>Placement fees</w:t>
      </w:r>
    </w:p>
    <w:p w14:paraId="4AA94E45" w14:textId="77777777" w:rsidR="00F15E0C" w:rsidRDefault="00224E34" w:rsidP="00EC212B">
      <w:pPr>
        <w:pStyle w:val="ListParagraph"/>
      </w:pPr>
      <w:r>
        <w:t xml:space="preserve">maintaining employment – </w:t>
      </w:r>
      <w:r w:rsidRPr="0099598E">
        <w:t>Outcome fees</w:t>
      </w:r>
      <w:r>
        <w:t>.</w:t>
      </w:r>
    </w:p>
    <w:p w14:paraId="5C2C9A29" w14:textId="77777777" w:rsidR="00224E34" w:rsidRDefault="00224E34" w:rsidP="00F15E0C">
      <w:r w:rsidRPr="00C64C77">
        <w:t xml:space="preserve">Figure </w:t>
      </w:r>
      <w:r>
        <w:t>10.</w:t>
      </w:r>
      <w:r w:rsidRPr="00FD38E3">
        <w:t>1</w:t>
      </w:r>
      <w:r w:rsidRPr="00C64C77">
        <w:t xml:space="preserve"> shows </w:t>
      </w:r>
      <w:r>
        <w:t>the caseload, service and outcome fees paid between July 2010 and March 2015</w:t>
      </w:r>
      <w:r w:rsidR="00B23B83">
        <w:t>.</w:t>
      </w:r>
      <w:r w:rsidRPr="00AB639B">
        <w:t xml:space="preserve"> </w:t>
      </w:r>
      <w:r>
        <w:t>Outcome payments peaked in mid-2011, preceding a transitional decline between the two models. From early 2013 outcome payment levels plateau at a much lower rate than observed for JSA 2009</w:t>
      </w:r>
      <w:r w:rsidR="004772B3">
        <w:t>.</w:t>
      </w:r>
    </w:p>
    <w:p w14:paraId="362302B8" w14:textId="77777777" w:rsidR="007D1AA8" w:rsidRDefault="00224E34" w:rsidP="009F5A75">
      <w:pPr>
        <w:pStyle w:val="Figureheadingforcontents"/>
        <w:keepLines w:val="0"/>
      </w:pPr>
      <w:bookmarkStart w:id="532" w:name="_Toc22544051"/>
      <w:r>
        <w:t xml:space="preserve">Figure 10.1: </w:t>
      </w:r>
      <w:r w:rsidR="0019349B">
        <w:t xml:space="preserve">Commenced </w:t>
      </w:r>
      <w:r w:rsidR="004D74CE">
        <w:t>c</w:t>
      </w:r>
      <w:r>
        <w:t>aseload, service and outcome fees paid (</w:t>
      </w:r>
      <w:r w:rsidR="00CA1DF5">
        <w:t>$</w:t>
      </w:r>
      <w:r w:rsidR="007C112F">
        <w:t xml:space="preserve"> million</w:t>
      </w:r>
      <w:r>
        <w:t>)</w:t>
      </w:r>
      <w:bookmarkEnd w:id="532"/>
    </w:p>
    <w:p w14:paraId="782C0EED" w14:textId="77777777" w:rsidR="00224E34" w:rsidRDefault="00784425" w:rsidP="0019430D">
      <w:pPr>
        <w:spacing w:after="0"/>
      </w:pPr>
      <w:r w:rsidRPr="007D1AA8">
        <w:rPr>
          <w:noProof/>
          <w:lang w:eastAsia="en-AU"/>
        </w:rPr>
        <w:drawing>
          <wp:inline distT="0" distB="0" distL="0" distR="0" wp14:anchorId="717BA3C6" wp14:editId="2F46EA07">
            <wp:extent cx="5732145" cy="3127451"/>
            <wp:effectExtent l="0" t="0" r="1905" b="0"/>
            <wp:docPr id="271" name="Picture 271" descr="Line chart with four lines, demonstrating what is discussed in the preceding and following text about this data.&#10;1) Outcome fees peak in mid-2011 and then in early 2013 plateau, at a much lower rate than observed for JSA 2009.&#10;2) Service fees – steady decline.&#10;3) Total fees – higher in JSA 2009 than JSA 2012.&#10;4) Commenced caseload – increasing.&#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2145" cy="3127451"/>
                    </a:xfrm>
                    <a:prstGeom prst="rect">
                      <a:avLst/>
                    </a:prstGeom>
                    <a:noFill/>
                    <a:ln>
                      <a:noFill/>
                    </a:ln>
                  </pic:spPr>
                </pic:pic>
              </a:graphicData>
            </a:graphic>
          </wp:inline>
        </w:drawing>
      </w:r>
    </w:p>
    <w:p w14:paraId="4D45A23E" w14:textId="77777777" w:rsidR="003C1A65" w:rsidRDefault="00224E34" w:rsidP="0019430D">
      <w:pPr>
        <w:pStyle w:val="Notes"/>
      </w:pPr>
      <w:r w:rsidRPr="00117055">
        <w:rPr>
          <w:b/>
        </w:rPr>
        <w:t>Note</w:t>
      </w:r>
      <w:r w:rsidR="003C1A65">
        <w:rPr>
          <w:b/>
        </w:rPr>
        <w:t>s</w:t>
      </w:r>
      <w:r w:rsidR="006E205D">
        <w:rPr>
          <w:b/>
        </w:rPr>
        <w:t>:</w:t>
      </w:r>
      <w:r>
        <w:t xml:space="preserve"> </w:t>
      </w:r>
      <w:r w:rsidR="00B45E85">
        <w:tab/>
      </w:r>
    </w:p>
    <w:p w14:paraId="036E0004" w14:textId="77777777" w:rsidR="00224E34" w:rsidRPr="00E5413A" w:rsidRDefault="007C112F" w:rsidP="00AE4704">
      <w:pPr>
        <w:pStyle w:val="Notesnumbered"/>
        <w:numPr>
          <w:ilvl w:val="0"/>
          <w:numId w:val="246"/>
        </w:numPr>
        <w:ind w:left="709" w:hanging="567"/>
      </w:pPr>
      <w:r w:rsidRPr="00E5413A">
        <w:t>Amounts are r</w:t>
      </w:r>
      <w:r w:rsidR="00224E34" w:rsidRPr="00E5413A">
        <w:t>unning averages</w:t>
      </w:r>
      <w:r w:rsidRPr="00E5413A">
        <w:t>,</w:t>
      </w:r>
      <w:r w:rsidR="00224E34" w:rsidRPr="00E5413A">
        <w:t xml:space="preserve"> calculated as the average of the current and previous two months.</w:t>
      </w:r>
    </w:p>
    <w:p w14:paraId="2E03449D" w14:textId="77777777" w:rsidR="003C1A65" w:rsidRPr="003C1A65" w:rsidRDefault="003C1A65" w:rsidP="00AE4704">
      <w:pPr>
        <w:pStyle w:val="Notesnumbered"/>
        <w:numPr>
          <w:ilvl w:val="0"/>
          <w:numId w:val="246"/>
        </w:numPr>
        <w:ind w:left="709" w:hanging="567"/>
        <w:rPr>
          <w:b/>
        </w:rPr>
      </w:pPr>
      <w:r w:rsidRPr="00E5413A">
        <w:t>Refe</w:t>
      </w:r>
      <w:r w:rsidRPr="001D7748">
        <w:rPr>
          <w:rStyle w:val="NotesChar"/>
          <w:rFonts w:eastAsiaTheme="minorEastAsia"/>
        </w:rPr>
        <w:t xml:space="preserve">r </w:t>
      </w:r>
      <w:hyperlink w:anchor="Title_A241" w:history="1">
        <w:r w:rsidRPr="008C50A7">
          <w:rPr>
            <w:rStyle w:val="Hyperlink"/>
            <w:rFonts w:cs="Times New Roman"/>
            <w:szCs w:val="20"/>
            <w:lang w:val="en-US"/>
          </w:rPr>
          <w:t>Appendix A</w:t>
        </w:r>
        <w:r w:rsidR="00F75BBA" w:rsidRPr="008C50A7">
          <w:rPr>
            <w:rStyle w:val="Hyperlink"/>
            <w:rFonts w:cs="Times New Roman"/>
            <w:szCs w:val="20"/>
            <w:lang w:val="en-US"/>
          </w:rPr>
          <w:t>2</w:t>
        </w:r>
        <w:r w:rsidRPr="008C50A7">
          <w:rPr>
            <w:rStyle w:val="Hyperlink"/>
            <w:rFonts w:cs="Times New Roman"/>
            <w:szCs w:val="20"/>
            <w:lang w:val="en-US"/>
          </w:rPr>
          <w:t>, Table A2.41</w:t>
        </w:r>
      </w:hyperlink>
      <w:r w:rsidRPr="001D7748">
        <w:rPr>
          <w:rStyle w:val="NotesChar"/>
          <w:rFonts w:eastAsiaTheme="minorEastAsia"/>
        </w:rPr>
        <w:t>.</w:t>
      </w:r>
      <w:bookmarkStart w:id="533" w:name="Place_A241"/>
      <w:bookmarkEnd w:id="533"/>
    </w:p>
    <w:p w14:paraId="4E6C067D" w14:textId="77777777" w:rsidR="0019430D" w:rsidRDefault="0019430D" w:rsidP="0019430D">
      <w:pPr>
        <w:pStyle w:val="Source"/>
      </w:pPr>
      <w:r w:rsidRPr="00117055">
        <w:rPr>
          <w:b/>
        </w:rPr>
        <w:t>Source:</w:t>
      </w:r>
      <w:r>
        <w:t xml:space="preserve"> </w:t>
      </w:r>
      <w:r>
        <w:tab/>
      </w:r>
      <w:r w:rsidRPr="0019430D">
        <w:t>Department</w:t>
      </w:r>
      <w:r>
        <w:t xml:space="preserve"> of Employment administrative data.</w:t>
      </w:r>
    </w:p>
    <w:p w14:paraId="2141BFE1" w14:textId="08D59804" w:rsidR="00224E34" w:rsidRDefault="00224E34" w:rsidP="00EC212B">
      <w:r>
        <w:t xml:space="preserve">The decline in </w:t>
      </w:r>
      <w:r w:rsidR="001966AE">
        <w:t xml:space="preserve">service </w:t>
      </w:r>
      <w:r>
        <w:t>fee</w:t>
      </w:r>
      <w:r w:rsidR="001966AE">
        <w:t>s</w:t>
      </w:r>
      <w:r>
        <w:t xml:space="preserve"> is</w:t>
      </w:r>
      <w:r>
        <w:rPr>
          <w:b/>
          <w:i/>
        </w:rPr>
        <w:t xml:space="preserve"> </w:t>
      </w:r>
      <w:r w:rsidRPr="00AB639B">
        <w:t>likely the result of a combination</w:t>
      </w:r>
      <w:r>
        <w:t xml:space="preserve"> of factors, including:</w:t>
      </w:r>
    </w:p>
    <w:p w14:paraId="23AB8AE3" w14:textId="77777777" w:rsidR="00A57DE0" w:rsidRDefault="00224E34" w:rsidP="00EC212B">
      <w:pPr>
        <w:pStyle w:val="ListParagraph"/>
      </w:pPr>
      <w:r w:rsidRPr="00FE1522">
        <w:t xml:space="preserve">lower service fees for Stream 1 job seekers </w:t>
      </w:r>
      <w:r w:rsidR="00A57DE0">
        <w:t xml:space="preserve">($581 rather than $781) </w:t>
      </w:r>
      <w:r w:rsidRPr="00FE1522">
        <w:t>(</w:t>
      </w:r>
      <w:r w:rsidR="003649E1">
        <w:t>s</w:t>
      </w:r>
      <w:r w:rsidR="003649E1" w:rsidRPr="00FE1522">
        <w:t xml:space="preserve">ection </w:t>
      </w:r>
      <w:r w:rsidR="00FE1522" w:rsidRPr="00FE1522">
        <w:t>10</w:t>
      </w:r>
      <w:r w:rsidRPr="00FE1522">
        <w:t>.1.4)</w:t>
      </w:r>
      <w:r w:rsidR="004D74CE">
        <w:t>.</w:t>
      </w:r>
      <w:r w:rsidRPr="00FE1522">
        <w:t xml:space="preserve"> </w:t>
      </w:r>
    </w:p>
    <w:p w14:paraId="726AE5BD" w14:textId="33303069" w:rsidR="00224E34" w:rsidRDefault="00224E34" w:rsidP="00EC212B">
      <w:pPr>
        <w:pStyle w:val="ListParagraph"/>
      </w:pPr>
      <w:r w:rsidRPr="00FE1522">
        <w:t>Stream 1 job seekers remain</w:t>
      </w:r>
      <w:r w:rsidR="00A579FE">
        <w:t xml:space="preserve">ing </w:t>
      </w:r>
      <w:r w:rsidRPr="00FE1522">
        <w:t>in service longer</w:t>
      </w:r>
      <w:r w:rsidR="003719BA">
        <w:t xml:space="preserve">, </w:t>
      </w:r>
      <w:r w:rsidR="00A579FE">
        <w:t xml:space="preserve">with analysis showing </w:t>
      </w:r>
      <w:r w:rsidR="003719BA">
        <w:t>few</w:t>
      </w:r>
      <w:r w:rsidR="00A579FE">
        <w:t>er outcomes over a given period</w:t>
      </w:r>
    </w:p>
    <w:p w14:paraId="39B531D3" w14:textId="171872E0" w:rsidR="00A57DE0" w:rsidRPr="00FE1522" w:rsidRDefault="00A57DE0" w:rsidP="00EC212B">
      <w:pPr>
        <w:pStyle w:val="ListParagraph"/>
      </w:pPr>
      <w:r>
        <w:t>a greater proportion of Stream 1 job seekers remain</w:t>
      </w:r>
      <w:r w:rsidR="00A579FE">
        <w:t>ing</w:t>
      </w:r>
      <w:r>
        <w:t xml:space="preserve"> in service for more than 12 months. </w:t>
      </w:r>
      <w:r w:rsidR="00815590">
        <w:t>As service fees were o</w:t>
      </w:r>
      <w:r w:rsidR="00A579FE">
        <w:t>nly paid in the first 12 months this</w:t>
      </w:r>
      <w:r w:rsidR="00815590">
        <w:t xml:space="preserve"> </w:t>
      </w:r>
      <w:r>
        <w:t>reduc</w:t>
      </w:r>
      <w:r w:rsidR="00A579FE">
        <w:t>ed</w:t>
      </w:r>
      <w:r>
        <w:t xml:space="preserve"> the average service fee p</w:t>
      </w:r>
      <w:r w:rsidR="00A579FE">
        <w:t>er job seeker paid to providers</w:t>
      </w:r>
    </w:p>
    <w:p w14:paraId="3655F2BA" w14:textId="631D5025" w:rsidR="001966AE" w:rsidRDefault="00A579FE" w:rsidP="00EC212B">
      <w:pPr>
        <w:pStyle w:val="ListParagraph"/>
      </w:pPr>
      <w:r>
        <w:t xml:space="preserve">the </w:t>
      </w:r>
      <w:r w:rsidR="00224E34" w:rsidRPr="009360FB">
        <w:t>transfer of remotely located job seekers to</w:t>
      </w:r>
      <w:r w:rsidR="00224E34" w:rsidRPr="009360FB" w:rsidDel="009360FB">
        <w:t xml:space="preserve"> </w:t>
      </w:r>
      <w:r w:rsidR="00224E34" w:rsidRPr="009360FB">
        <w:t>the Remote Jobs and Communities Programme (RJCP) (Table 1.2)</w:t>
      </w:r>
      <w:r w:rsidR="00224E34">
        <w:t>, removing a group of job seekers who attracted higher service fees</w:t>
      </w:r>
      <w:r w:rsidR="00224E34" w:rsidRPr="009B55FF">
        <w:rPr>
          <w:rStyle w:val="FootnoteReference"/>
        </w:rPr>
        <w:footnoteReference w:id="89"/>
      </w:r>
      <w:r w:rsidR="00897FBF">
        <w:t>.</w:t>
      </w:r>
    </w:p>
    <w:p w14:paraId="1A4D9A58" w14:textId="77777777" w:rsidR="001966AE" w:rsidRDefault="001966AE" w:rsidP="00EC212B">
      <w:r>
        <w:t>The pattern of change in outcome payments is</w:t>
      </w:r>
      <w:r w:rsidRPr="001966AE">
        <w:rPr>
          <w:b/>
          <w:i/>
        </w:rPr>
        <w:t xml:space="preserve"> </w:t>
      </w:r>
      <w:r w:rsidRPr="00AB639B">
        <w:t>likely the result of a combination</w:t>
      </w:r>
      <w:r>
        <w:t xml:space="preserve"> of the following factors:</w:t>
      </w:r>
    </w:p>
    <w:p w14:paraId="2E26F477" w14:textId="77777777" w:rsidR="00224E34" w:rsidRDefault="00AC0044" w:rsidP="00EC212B">
      <w:pPr>
        <w:pStyle w:val="ListParagraph"/>
      </w:pPr>
      <w:r>
        <w:t>deteriorating labour market conditions</w:t>
      </w:r>
      <w:r w:rsidRPr="002D2C05">
        <w:t xml:space="preserve"> </w:t>
      </w:r>
      <w:r w:rsidR="003719BA">
        <w:t xml:space="preserve">(reflected in </w:t>
      </w:r>
      <w:r w:rsidR="00224E34" w:rsidRPr="002D2C05">
        <w:t>an increase in the unemployment rate</w:t>
      </w:r>
      <w:r w:rsidR="003719BA">
        <w:t>)</w:t>
      </w:r>
      <w:r w:rsidR="00224E34" w:rsidRPr="002D2C05">
        <w:t xml:space="preserve"> during JSA 2012 (Figure 1.2),</w:t>
      </w:r>
      <w:r w:rsidR="00224E34">
        <w:t xml:space="preserve"> </w:t>
      </w:r>
      <w:r w:rsidR="00224E34" w:rsidRPr="002D2C05">
        <w:t xml:space="preserve">leading to a change in the </w:t>
      </w:r>
      <w:r w:rsidR="00224E34" w:rsidRPr="00233AE0">
        <w:t>caseload composition (and level</w:t>
      </w:r>
      <w:r w:rsidR="00224E34">
        <w:t xml:space="preserve"> </w:t>
      </w:r>
      <w:r w:rsidR="00224E34" w:rsidRPr="00233AE0">
        <w:t>and proportion of disadvantage</w:t>
      </w:r>
      <w:r w:rsidR="00224E34" w:rsidRPr="003E72BD">
        <w:t>d job seekers</w:t>
      </w:r>
      <w:r w:rsidR="00224E34" w:rsidRPr="009D5700">
        <w:t>)</w:t>
      </w:r>
      <w:r w:rsidR="00224E34" w:rsidRPr="005860CB">
        <w:t>, and subsequent impact on outcome rates</w:t>
      </w:r>
    </w:p>
    <w:p w14:paraId="277D528C" w14:textId="4C4B9518" w:rsidR="00224E34" w:rsidRPr="002D2C05" w:rsidRDefault="00897FBF" w:rsidP="00EC212B">
      <w:pPr>
        <w:pStyle w:val="ListParagraph"/>
      </w:pPr>
      <w:r>
        <w:t xml:space="preserve">changes in the composition of the caseload, </w:t>
      </w:r>
      <w:r w:rsidR="00224E34" w:rsidRPr="002D2C05">
        <w:t>provider practices and job seeker motivation</w:t>
      </w:r>
      <w:r>
        <w:t xml:space="preserve"> during this period</w:t>
      </w:r>
      <w:r w:rsidR="00A579FE">
        <w:t>, which</w:t>
      </w:r>
      <w:r>
        <w:t xml:space="preserve"> may have</w:t>
      </w:r>
      <w:r w:rsidR="00FE2455">
        <w:t xml:space="preserve"> resulted in more </w:t>
      </w:r>
      <w:r w:rsidR="0043788A">
        <w:t>of</w:t>
      </w:r>
      <w:r w:rsidR="00FE2455">
        <w:t xml:space="preserve"> the caseload </w:t>
      </w:r>
      <w:r>
        <w:t xml:space="preserve">being </w:t>
      </w:r>
      <w:r w:rsidR="00FE2455">
        <w:t>less likely to</w:t>
      </w:r>
      <w:r w:rsidR="001000D1">
        <w:t xml:space="preserve"> generate</w:t>
      </w:r>
      <w:r w:rsidR="00FE2455">
        <w:t xml:space="preserve"> paid outcomes.</w:t>
      </w:r>
    </w:p>
    <w:p w14:paraId="0DD48C1F" w14:textId="77777777" w:rsidR="00224E34" w:rsidRPr="00965F35" w:rsidRDefault="00224E34" w:rsidP="00B2456E">
      <w:r>
        <w:t xml:space="preserve">Overall, </w:t>
      </w:r>
      <w:r w:rsidRPr="00965F35">
        <w:t>total fees (that is income</w:t>
      </w:r>
      <w:r>
        <w:t xml:space="preserve"> per job seeker</w:t>
      </w:r>
      <w:r w:rsidRPr="00965F35">
        <w:t xml:space="preserve"> for providers) were much higher in JSA 2009 than JSA </w:t>
      </w:r>
      <w:r w:rsidR="00AC0044" w:rsidRPr="00965F35">
        <w:t>2012</w:t>
      </w:r>
      <w:r w:rsidRPr="00965F35">
        <w:t>.</w:t>
      </w:r>
      <w:r w:rsidR="001966AE">
        <w:rPr>
          <w:rStyle w:val="FootnoteReference"/>
        </w:rPr>
        <w:footnoteReference w:id="90"/>
      </w:r>
    </w:p>
    <w:p w14:paraId="2E102AC6" w14:textId="77777777" w:rsidR="004C0986" w:rsidRDefault="00224E34" w:rsidP="0067009E">
      <w:pPr>
        <w:pStyle w:val="Figureheadingforcontents"/>
        <w:keepLines w:val="0"/>
      </w:pPr>
      <w:bookmarkStart w:id="534" w:name="_Toc22544052"/>
      <w:r w:rsidRPr="005172B5">
        <w:t xml:space="preserve">Figure </w:t>
      </w:r>
      <w:r w:rsidR="00F03643">
        <w:t>10</w:t>
      </w:r>
      <w:r>
        <w:t>.2: Service and outcome fees paid per job seeker, three month running averages ($)</w:t>
      </w:r>
      <w:bookmarkEnd w:id="534"/>
    </w:p>
    <w:p w14:paraId="3D45B988" w14:textId="77777777" w:rsidR="00224E34" w:rsidRDefault="00784425" w:rsidP="00966545">
      <w:pPr>
        <w:spacing w:after="0"/>
      </w:pPr>
      <w:r w:rsidRPr="004C0986">
        <w:rPr>
          <w:noProof/>
          <w:lang w:eastAsia="en-AU"/>
        </w:rPr>
        <w:drawing>
          <wp:inline distT="0" distB="0" distL="0" distR="0" wp14:anchorId="4E8CD533" wp14:editId="0BDBEA62">
            <wp:extent cx="5732145" cy="3610053"/>
            <wp:effectExtent l="0" t="0" r="1905" b="9525"/>
            <wp:docPr id="272" name="Picture 272" descr="Line chart with three lines, demonstrating what is discussed in the text about this data.&#10;1) Outcome fees per job seeker increased between Jan 2010 and late 2011 then decreases.&#10;2) Service fees per job seeker decreasing over time.&#10;3) Total fees per job seeker much higher in JSA 2009 than JSA 2012.&#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2145" cy="3610053"/>
                    </a:xfrm>
                    <a:prstGeom prst="rect">
                      <a:avLst/>
                    </a:prstGeom>
                    <a:noFill/>
                    <a:ln>
                      <a:noFill/>
                    </a:ln>
                  </pic:spPr>
                </pic:pic>
              </a:graphicData>
            </a:graphic>
          </wp:inline>
        </w:drawing>
      </w:r>
    </w:p>
    <w:p w14:paraId="36EB7AD0" w14:textId="77777777" w:rsidR="00224E34" w:rsidRPr="00F03643" w:rsidRDefault="00224E34" w:rsidP="00966545">
      <w:pPr>
        <w:pStyle w:val="Notes"/>
      </w:pPr>
      <w:r w:rsidRPr="00966545">
        <w:rPr>
          <w:b/>
        </w:rPr>
        <w:t>Notes</w:t>
      </w:r>
      <w:r w:rsidRPr="00F03643">
        <w:t>:</w:t>
      </w:r>
    </w:p>
    <w:p w14:paraId="02D34054" w14:textId="77777777" w:rsidR="00117055" w:rsidRPr="00E5413A" w:rsidRDefault="00224E34" w:rsidP="00AE4704">
      <w:pPr>
        <w:pStyle w:val="Notesnumbered"/>
        <w:numPr>
          <w:ilvl w:val="0"/>
          <w:numId w:val="247"/>
        </w:numPr>
        <w:ind w:left="709" w:hanging="567"/>
      </w:pPr>
      <w:r w:rsidRPr="00BC2802">
        <w:t xml:space="preserve">The number </w:t>
      </w:r>
      <w:r w:rsidRPr="00E5413A">
        <w:t>of job seekers used in the calculations is the caseload at the end of each month</w:t>
      </w:r>
      <w:r w:rsidR="007B55E7" w:rsidRPr="00E5413A">
        <w:t>.</w:t>
      </w:r>
    </w:p>
    <w:p w14:paraId="7D5783EB" w14:textId="77777777" w:rsidR="00224E34" w:rsidRPr="00E5413A" w:rsidRDefault="007C112F" w:rsidP="00AE4704">
      <w:pPr>
        <w:pStyle w:val="Notesnumbered"/>
        <w:numPr>
          <w:ilvl w:val="0"/>
          <w:numId w:val="247"/>
        </w:numPr>
        <w:ind w:left="709" w:hanging="567"/>
      </w:pPr>
      <w:r w:rsidRPr="00E5413A">
        <w:t>Amounts are r</w:t>
      </w:r>
      <w:r w:rsidR="00224E34" w:rsidRPr="00E5413A">
        <w:t>unning averages calculated as the average of the current and previous two months.</w:t>
      </w:r>
    </w:p>
    <w:p w14:paraId="216CD16D" w14:textId="77777777" w:rsidR="003C1A65" w:rsidRPr="00BC2802" w:rsidRDefault="003C1A65" w:rsidP="00AE4704">
      <w:pPr>
        <w:pStyle w:val="Notesnumbered"/>
        <w:numPr>
          <w:ilvl w:val="0"/>
          <w:numId w:val="247"/>
        </w:numPr>
        <w:ind w:left="709" w:hanging="567"/>
      </w:pPr>
      <w:r w:rsidRPr="00E5413A">
        <w:t xml:space="preserve">Refer </w:t>
      </w:r>
      <w:hyperlink w:anchor="Title_A242" w:history="1">
        <w:r w:rsidRPr="008C50A7">
          <w:rPr>
            <w:rStyle w:val="Hyperlink"/>
          </w:rPr>
          <w:t>Appendix A</w:t>
        </w:r>
        <w:r w:rsidR="00F75BBA" w:rsidRPr="008C50A7">
          <w:rPr>
            <w:rStyle w:val="Hyperlink"/>
          </w:rPr>
          <w:t>2</w:t>
        </w:r>
        <w:r w:rsidRPr="008C50A7">
          <w:rPr>
            <w:rStyle w:val="Hyperlink"/>
          </w:rPr>
          <w:t>, Table A2.42</w:t>
        </w:r>
      </w:hyperlink>
      <w:r w:rsidRPr="00BC2802">
        <w:t>.</w:t>
      </w:r>
      <w:bookmarkStart w:id="535" w:name="Place_A242"/>
      <w:bookmarkEnd w:id="535"/>
    </w:p>
    <w:p w14:paraId="66AB0129" w14:textId="3E42F4F4" w:rsidR="00966545" w:rsidRPr="006C1A5A" w:rsidRDefault="00966545" w:rsidP="00966545">
      <w:pPr>
        <w:pStyle w:val="Source"/>
      </w:pPr>
      <w:r w:rsidRPr="00117055">
        <w:rPr>
          <w:b/>
        </w:rPr>
        <w:t>Source</w:t>
      </w:r>
      <w:r w:rsidRPr="006C1A5A">
        <w:t>:</w:t>
      </w:r>
      <w:r w:rsidR="00AE4704">
        <w:tab/>
      </w:r>
      <w:r>
        <w:t xml:space="preserve"> </w:t>
      </w:r>
      <w:r w:rsidRPr="00966545">
        <w:t>Department</w:t>
      </w:r>
      <w:r>
        <w:t xml:space="preserve"> of Employment administrative data.</w:t>
      </w:r>
    </w:p>
    <w:p w14:paraId="4958756F" w14:textId="77777777" w:rsidR="00224E34" w:rsidRPr="00AB639B" w:rsidRDefault="00224E34" w:rsidP="00EC212B">
      <w:pPr>
        <w:rPr>
          <w:b/>
          <w:i/>
        </w:rPr>
      </w:pPr>
      <w:r>
        <w:t>Total fees paid per job seeker</w:t>
      </w:r>
      <w:r w:rsidRPr="00723F08">
        <w:t xml:space="preserve"> increa</w:t>
      </w:r>
      <w:r>
        <w:t>sed</w:t>
      </w:r>
      <w:r w:rsidRPr="00723F08">
        <w:t xml:space="preserve"> during the JSA 2009 period</w:t>
      </w:r>
      <w:r>
        <w:t>, but decreased over the</w:t>
      </w:r>
      <w:r w:rsidRPr="00723F08">
        <w:t xml:space="preserve"> JSA 2012 </w:t>
      </w:r>
      <w:r>
        <w:t>period (Figure</w:t>
      </w:r>
      <w:r w:rsidR="00492EF3">
        <w:t xml:space="preserve"> </w:t>
      </w:r>
      <w:r w:rsidR="00C464CA">
        <w:t>10</w:t>
      </w:r>
      <w:r>
        <w:t>.2)</w:t>
      </w:r>
      <w:r w:rsidRPr="00723F08">
        <w:t>.</w:t>
      </w:r>
      <w:r>
        <w:t xml:space="preserve"> While </w:t>
      </w:r>
      <w:r w:rsidR="00C464CA">
        <w:t xml:space="preserve">not </w:t>
      </w:r>
      <w:r>
        <w:t xml:space="preserve">definitive, the data could suggest that </w:t>
      </w:r>
      <w:r w:rsidR="00A003CE">
        <w:t>the funding model provided a more challenging environment for providers as labour market conditions changed.</w:t>
      </w:r>
    </w:p>
    <w:p w14:paraId="619E009C" w14:textId="77777777" w:rsidR="00224E34" w:rsidRDefault="00224E34" w:rsidP="00224E34">
      <w:pPr>
        <w:rPr>
          <w:b/>
          <w:i/>
        </w:rPr>
      </w:pPr>
      <w:r>
        <w:t xml:space="preserve">A comparison of the income stream to providers between JSA 2009 and JSA 2012 is shown in Table </w:t>
      </w:r>
      <w:r w:rsidR="00F361DE">
        <w:t>10.</w:t>
      </w:r>
      <w:r w:rsidR="00C464CA">
        <w:t>3</w:t>
      </w:r>
      <w:r>
        <w:t xml:space="preserve">. Providers received about </w:t>
      </w:r>
      <w:r w:rsidR="00F361DE">
        <w:t>one</w:t>
      </w:r>
      <w:r>
        <w:t>-third less per job seeker under JSA 2012 than JSA 2009.</w:t>
      </w:r>
    </w:p>
    <w:p w14:paraId="058A3FFC" w14:textId="77777777" w:rsidR="00224E34" w:rsidRPr="00913953" w:rsidRDefault="00224E34" w:rsidP="00C464CA">
      <w:pPr>
        <w:pStyle w:val="Tableforcontents"/>
        <w:keepNext w:val="0"/>
      </w:pPr>
      <w:bookmarkStart w:id="536" w:name="_Toc22544008"/>
      <w:r w:rsidRPr="00940174">
        <w:t xml:space="preserve">Table </w:t>
      </w:r>
      <w:r w:rsidR="00F361DE">
        <w:t>10.</w:t>
      </w:r>
      <w:r w:rsidR="00C464CA">
        <w:t>3</w:t>
      </w:r>
      <w:r>
        <w:t>:</w:t>
      </w:r>
      <w:r w:rsidR="00492EF3">
        <w:t xml:space="preserve"> </w:t>
      </w:r>
      <w:r w:rsidR="0019349B">
        <w:t>Commenced caseload s</w:t>
      </w:r>
      <w:r>
        <w:t xml:space="preserve">ervice and outcome fees paid </w:t>
      </w:r>
      <w:r w:rsidR="00CA1DF5">
        <w:t xml:space="preserve">for </w:t>
      </w:r>
      <w:r>
        <w:t xml:space="preserve">JSA 2009 </w:t>
      </w:r>
      <w:r w:rsidR="00CA1DF5">
        <w:t>and</w:t>
      </w:r>
      <w:r>
        <w:t xml:space="preserve"> JSA 2012</w:t>
      </w:r>
      <w:r w:rsidR="00CA1DF5">
        <w:t xml:space="preserve"> </w:t>
      </w:r>
      <w:r w:rsidR="004D74CE">
        <w:t xml:space="preserve">(average </w:t>
      </w:r>
      <w:r w:rsidR="00CA1DF5">
        <w:t>and percentage difference)</w:t>
      </w:r>
      <w:bookmarkEnd w:id="536"/>
    </w:p>
    <w:tbl>
      <w:tblPr>
        <w:tblStyle w:val="TableGrid"/>
        <w:tblW w:w="8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701"/>
        <w:gridCol w:w="1559"/>
        <w:gridCol w:w="1842"/>
      </w:tblGrid>
      <w:tr w:rsidR="00224E34" w:rsidRPr="00913953" w14:paraId="2E7F6874" w14:textId="77777777" w:rsidTr="00D20CB6">
        <w:trPr>
          <w:tblHeader/>
        </w:trPr>
        <w:tc>
          <w:tcPr>
            <w:tcW w:w="3652" w:type="dxa"/>
            <w:tcBorders>
              <w:top w:val="single" w:sz="4" w:space="0" w:color="auto"/>
              <w:bottom w:val="single" w:sz="4" w:space="0" w:color="auto"/>
            </w:tcBorders>
            <w:shd w:val="clear" w:color="auto" w:fill="1E3D6B"/>
          </w:tcPr>
          <w:p w14:paraId="23C55BD3" w14:textId="77777777" w:rsidR="00224E34" w:rsidRPr="00C464CA" w:rsidRDefault="00224E34" w:rsidP="00F361DE">
            <w:pPr>
              <w:keepNext/>
              <w:keepLines/>
              <w:ind w:right="-89"/>
              <w:rPr>
                <w:b/>
                <w:sz w:val="20"/>
                <w:szCs w:val="20"/>
              </w:rPr>
            </w:pPr>
            <w:bookmarkStart w:id="537" w:name="Title_103"/>
            <w:bookmarkEnd w:id="537"/>
          </w:p>
        </w:tc>
        <w:tc>
          <w:tcPr>
            <w:tcW w:w="1701" w:type="dxa"/>
            <w:tcBorders>
              <w:top w:val="single" w:sz="4" w:space="0" w:color="auto"/>
              <w:bottom w:val="single" w:sz="4" w:space="0" w:color="auto"/>
            </w:tcBorders>
            <w:shd w:val="clear" w:color="auto" w:fill="1E3D6B"/>
          </w:tcPr>
          <w:p w14:paraId="656066BF" w14:textId="77777777" w:rsidR="00224E34" w:rsidRPr="00C464CA" w:rsidRDefault="00224E34" w:rsidP="00F361DE">
            <w:pPr>
              <w:keepNext/>
              <w:keepLines/>
              <w:jc w:val="right"/>
              <w:rPr>
                <w:b/>
                <w:sz w:val="20"/>
                <w:szCs w:val="20"/>
              </w:rPr>
            </w:pPr>
            <w:r w:rsidRPr="00C464CA">
              <w:rPr>
                <w:b/>
                <w:sz w:val="20"/>
                <w:szCs w:val="20"/>
              </w:rPr>
              <w:t>JSA 2009</w:t>
            </w:r>
          </w:p>
        </w:tc>
        <w:tc>
          <w:tcPr>
            <w:tcW w:w="1559" w:type="dxa"/>
            <w:tcBorders>
              <w:top w:val="single" w:sz="4" w:space="0" w:color="auto"/>
              <w:bottom w:val="single" w:sz="4" w:space="0" w:color="auto"/>
            </w:tcBorders>
            <w:shd w:val="clear" w:color="auto" w:fill="1E3D6B"/>
          </w:tcPr>
          <w:p w14:paraId="3E5296F6" w14:textId="77777777" w:rsidR="00224E34" w:rsidRPr="00C464CA" w:rsidRDefault="00224E34" w:rsidP="00F361DE">
            <w:pPr>
              <w:keepNext/>
              <w:keepLines/>
              <w:jc w:val="right"/>
              <w:rPr>
                <w:b/>
                <w:sz w:val="20"/>
                <w:szCs w:val="20"/>
              </w:rPr>
            </w:pPr>
            <w:r w:rsidRPr="00C464CA">
              <w:rPr>
                <w:b/>
                <w:sz w:val="20"/>
                <w:szCs w:val="20"/>
              </w:rPr>
              <w:t>JSA 2012</w:t>
            </w:r>
          </w:p>
        </w:tc>
        <w:tc>
          <w:tcPr>
            <w:tcW w:w="1842" w:type="dxa"/>
            <w:tcBorders>
              <w:top w:val="single" w:sz="4" w:space="0" w:color="auto"/>
              <w:bottom w:val="single" w:sz="4" w:space="0" w:color="auto"/>
            </w:tcBorders>
            <w:shd w:val="clear" w:color="auto" w:fill="1E3D6B"/>
          </w:tcPr>
          <w:p w14:paraId="01763296" w14:textId="77777777" w:rsidR="00224E34" w:rsidRPr="00C464CA" w:rsidRDefault="00224E34" w:rsidP="00F361DE">
            <w:pPr>
              <w:keepNext/>
              <w:keepLines/>
              <w:jc w:val="right"/>
              <w:rPr>
                <w:b/>
                <w:sz w:val="20"/>
                <w:szCs w:val="20"/>
              </w:rPr>
            </w:pPr>
            <w:r w:rsidRPr="00C464CA">
              <w:rPr>
                <w:b/>
                <w:sz w:val="20"/>
                <w:szCs w:val="20"/>
              </w:rPr>
              <w:t>Difference (%)</w:t>
            </w:r>
          </w:p>
        </w:tc>
      </w:tr>
      <w:tr w:rsidR="00224E34" w:rsidRPr="00913953" w14:paraId="59B15116" w14:textId="77777777" w:rsidTr="00CA7F69">
        <w:tc>
          <w:tcPr>
            <w:tcW w:w="3652" w:type="dxa"/>
            <w:tcBorders>
              <w:top w:val="single" w:sz="4" w:space="0" w:color="auto"/>
            </w:tcBorders>
          </w:tcPr>
          <w:p w14:paraId="68D6FA50" w14:textId="77777777" w:rsidR="00224E34" w:rsidRPr="00C464CA" w:rsidRDefault="00224E34" w:rsidP="00F361DE">
            <w:pPr>
              <w:keepNext/>
              <w:keepLines/>
              <w:ind w:right="-89"/>
              <w:rPr>
                <w:sz w:val="20"/>
                <w:szCs w:val="20"/>
              </w:rPr>
            </w:pPr>
            <w:r w:rsidRPr="00C464CA">
              <w:rPr>
                <w:sz w:val="20"/>
                <w:szCs w:val="20"/>
              </w:rPr>
              <w:t>Average monthly caseload</w:t>
            </w:r>
          </w:p>
        </w:tc>
        <w:tc>
          <w:tcPr>
            <w:tcW w:w="1701" w:type="dxa"/>
            <w:tcBorders>
              <w:top w:val="single" w:sz="4" w:space="0" w:color="auto"/>
            </w:tcBorders>
          </w:tcPr>
          <w:p w14:paraId="1A4DC20B" w14:textId="77777777" w:rsidR="00224E34" w:rsidRPr="00C464CA" w:rsidRDefault="00224E34" w:rsidP="00F361DE">
            <w:pPr>
              <w:keepNext/>
              <w:keepLines/>
              <w:jc w:val="right"/>
              <w:rPr>
                <w:sz w:val="20"/>
                <w:szCs w:val="20"/>
              </w:rPr>
            </w:pPr>
            <w:r w:rsidRPr="00C464CA">
              <w:rPr>
                <w:sz w:val="20"/>
                <w:szCs w:val="20"/>
              </w:rPr>
              <w:t>536,200</w:t>
            </w:r>
          </w:p>
        </w:tc>
        <w:tc>
          <w:tcPr>
            <w:tcW w:w="1559" w:type="dxa"/>
            <w:tcBorders>
              <w:top w:val="single" w:sz="4" w:space="0" w:color="auto"/>
            </w:tcBorders>
          </w:tcPr>
          <w:p w14:paraId="3419DC3D" w14:textId="77777777" w:rsidR="00224E34" w:rsidRPr="00C464CA" w:rsidRDefault="00224E34" w:rsidP="00F361DE">
            <w:pPr>
              <w:keepNext/>
              <w:keepLines/>
              <w:jc w:val="right"/>
              <w:rPr>
                <w:sz w:val="20"/>
                <w:szCs w:val="20"/>
              </w:rPr>
            </w:pPr>
            <w:r w:rsidRPr="00C464CA">
              <w:rPr>
                <w:sz w:val="20"/>
                <w:szCs w:val="20"/>
              </w:rPr>
              <w:t>578,310</w:t>
            </w:r>
          </w:p>
        </w:tc>
        <w:tc>
          <w:tcPr>
            <w:tcW w:w="1842" w:type="dxa"/>
            <w:tcBorders>
              <w:top w:val="single" w:sz="4" w:space="0" w:color="auto"/>
            </w:tcBorders>
          </w:tcPr>
          <w:p w14:paraId="5F22EB7F" w14:textId="77777777" w:rsidR="00224E34" w:rsidRPr="00C464CA" w:rsidRDefault="00224E34" w:rsidP="00F361DE">
            <w:pPr>
              <w:keepNext/>
              <w:keepLines/>
              <w:jc w:val="right"/>
              <w:rPr>
                <w:sz w:val="20"/>
                <w:szCs w:val="20"/>
              </w:rPr>
            </w:pPr>
            <w:r w:rsidRPr="00C464CA">
              <w:rPr>
                <w:sz w:val="20"/>
                <w:szCs w:val="20"/>
              </w:rPr>
              <w:t>107.9</w:t>
            </w:r>
          </w:p>
        </w:tc>
      </w:tr>
      <w:tr w:rsidR="00224E34" w:rsidRPr="00913953" w14:paraId="076D5DA3" w14:textId="77777777" w:rsidTr="00CA7F69">
        <w:tc>
          <w:tcPr>
            <w:tcW w:w="3652" w:type="dxa"/>
          </w:tcPr>
          <w:p w14:paraId="02808CB1" w14:textId="77777777" w:rsidR="00224E34" w:rsidRPr="00C464CA" w:rsidRDefault="00224E34" w:rsidP="00F361DE">
            <w:pPr>
              <w:keepNext/>
              <w:keepLines/>
              <w:ind w:right="-89"/>
              <w:rPr>
                <w:sz w:val="20"/>
                <w:szCs w:val="20"/>
              </w:rPr>
            </w:pPr>
            <w:r w:rsidRPr="00C464CA">
              <w:rPr>
                <w:sz w:val="20"/>
                <w:szCs w:val="20"/>
              </w:rPr>
              <w:t>Average outcome fees / job seeker ($)</w:t>
            </w:r>
          </w:p>
        </w:tc>
        <w:tc>
          <w:tcPr>
            <w:tcW w:w="1701" w:type="dxa"/>
          </w:tcPr>
          <w:p w14:paraId="18A211A8" w14:textId="77777777" w:rsidR="00224E34" w:rsidRPr="00C464CA" w:rsidRDefault="00224E34" w:rsidP="00F361DE">
            <w:pPr>
              <w:keepNext/>
              <w:keepLines/>
              <w:jc w:val="right"/>
              <w:rPr>
                <w:sz w:val="20"/>
                <w:szCs w:val="20"/>
              </w:rPr>
            </w:pPr>
            <w:r w:rsidRPr="00C464CA">
              <w:rPr>
                <w:sz w:val="20"/>
                <w:szCs w:val="20"/>
              </w:rPr>
              <w:t>71.38</w:t>
            </w:r>
          </w:p>
        </w:tc>
        <w:tc>
          <w:tcPr>
            <w:tcW w:w="1559" w:type="dxa"/>
          </w:tcPr>
          <w:p w14:paraId="1C8C2C15" w14:textId="77777777" w:rsidR="00224E34" w:rsidRPr="00C464CA" w:rsidRDefault="00224E34" w:rsidP="00F361DE">
            <w:pPr>
              <w:keepNext/>
              <w:keepLines/>
              <w:jc w:val="right"/>
              <w:rPr>
                <w:sz w:val="20"/>
                <w:szCs w:val="20"/>
              </w:rPr>
            </w:pPr>
            <w:r w:rsidRPr="00C464CA">
              <w:rPr>
                <w:sz w:val="20"/>
                <w:szCs w:val="20"/>
              </w:rPr>
              <w:t>43.44</w:t>
            </w:r>
          </w:p>
        </w:tc>
        <w:tc>
          <w:tcPr>
            <w:tcW w:w="1842" w:type="dxa"/>
          </w:tcPr>
          <w:p w14:paraId="4883E823" w14:textId="77777777" w:rsidR="00224E34" w:rsidRPr="00C464CA" w:rsidRDefault="00224E34" w:rsidP="00F361DE">
            <w:pPr>
              <w:keepNext/>
              <w:keepLines/>
              <w:jc w:val="right"/>
              <w:rPr>
                <w:sz w:val="20"/>
                <w:szCs w:val="20"/>
              </w:rPr>
            </w:pPr>
            <w:r w:rsidRPr="00C464CA">
              <w:rPr>
                <w:sz w:val="20"/>
                <w:szCs w:val="20"/>
              </w:rPr>
              <w:t>60.9</w:t>
            </w:r>
          </w:p>
        </w:tc>
      </w:tr>
      <w:tr w:rsidR="00224E34" w:rsidRPr="00913953" w14:paraId="37794EFC" w14:textId="77777777" w:rsidTr="00CA7F69">
        <w:tc>
          <w:tcPr>
            <w:tcW w:w="3652" w:type="dxa"/>
          </w:tcPr>
          <w:p w14:paraId="09ADDE4E" w14:textId="77777777" w:rsidR="00224E34" w:rsidRPr="00C464CA" w:rsidRDefault="00224E34" w:rsidP="00F361DE">
            <w:pPr>
              <w:keepNext/>
              <w:keepLines/>
              <w:ind w:right="-89"/>
              <w:rPr>
                <w:sz w:val="20"/>
                <w:szCs w:val="20"/>
              </w:rPr>
            </w:pPr>
            <w:r w:rsidRPr="00C464CA">
              <w:rPr>
                <w:sz w:val="20"/>
                <w:szCs w:val="20"/>
              </w:rPr>
              <w:t>Average service fees / job seeker ($)</w:t>
            </w:r>
          </w:p>
        </w:tc>
        <w:tc>
          <w:tcPr>
            <w:tcW w:w="1701" w:type="dxa"/>
          </w:tcPr>
          <w:p w14:paraId="6E3610A1" w14:textId="77777777" w:rsidR="00224E34" w:rsidRPr="00C464CA" w:rsidRDefault="00224E34" w:rsidP="00F361DE">
            <w:pPr>
              <w:keepNext/>
              <w:keepLines/>
              <w:jc w:val="right"/>
              <w:rPr>
                <w:sz w:val="20"/>
                <w:szCs w:val="20"/>
              </w:rPr>
            </w:pPr>
            <w:r w:rsidRPr="00C464CA">
              <w:rPr>
                <w:sz w:val="20"/>
                <w:szCs w:val="20"/>
              </w:rPr>
              <w:t>87.46</w:t>
            </w:r>
          </w:p>
        </w:tc>
        <w:tc>
          <w:tcPr>
            <w:tcW w:w="1559" w:type="dxa"/>
          </w:tcPr>
          <w:p w14:paraId="2B28D678" w14:textId="77777777" w:rsidR="00224E34" w:rsidRPr="00C464CA" w:rsidRDefault="00224E34" w:rsidP="00F361DE">
            <w:pPr>
              <w:keepNext/>
              <w:keepLines/>
              <w:jc w:val="right"/>
              <w:rPr>
                <w:sz w:val="20"/>
                <w:szCs w:val="20"/>
              </w:rPr>
            </w:pPr>
            <w:r w:rsidRPr="00C464CA">
              <w:rPr>
                <w:sz w:val="20"/>
                <w:szCs w:val="20"/>
              </w:rPr>
              <w:t>55.58</w:t>
            </w:r>
          </w:p>
        </w:tc>
        <w:tc>
          <w:tcPr>
            <w:tcW w:w="1842" w:type="dxa"/>
          </w:tcPr>
          <w:p w14:paraId="58B8754F" w14:textId="77777777" w:rsidR="00224E34" w:rsidRPr="00C464CA" w:rsidRDefault="00224E34" w:rsidP="00F361DE">
            <w:pPr>
              <w:keepNext/>
              <w:keepLines/>
              <w:jc w:val="right"/>
              <w:rPr>
                <w:sz w:val="20"/>
                <w:szCs w:val="20"/>
              </w:rPr>
            </w:pPr>
            <w:r w:rsidRPr="00C464CA">
              <w:rPr>
                <w:sz w:val="20"/>
                <w:szCs w:val="20"/>
              </w:rPr>
              <w:t>63.5</w:t>
            </w:r>
          </w:p>
        </w:tc>
      </w:tr>
      <w:tr w:rsidR="00224E34" w:rsidRPr="00913953" w14:paraId="13B8DFFF" w14:textId="77777777" w:rsidTr="00CA7F69">
        <w:tc>
          <w:tcPr>
            <w:tcW w:w="3652" w:type="dxa"/>
            <w:tcBorders>
              <w:bottom w:val="single" w:sz="4" w:space="0" w:color="auto"/>
            </w:tcBorders>
          </w:tcPr>
          <w:p w14:paraId="43D7F9FB" w14:textId="77777777" w:rsidR="00224E34" w:rsidRPr="00C464CA" w:rsidRDefault="00224E34" w:rsidP="00F361DE">
            <w:pPr>
              <w:keepNext/>
              <w:keepLines/>
              <w:ind w:right="-89"/>
              <w:rPr>
                <w:sz w:val="20"/>
                <w:szCs w:val="20"/>
              </w:rPr>
            </w:pPr>
            <w:r w:rsidRPr="00C464CA">
              <w:rPr>
                <w:sz w:val="20"/>
                <w:szCs w:val="20"/>
              </w:rPr>
              <w:t>Average total fees / job seeker ($)</w:t>
            </w:r>
          </w:p>
        </w:tc>
        <w:tc>
          <w:tcPr>
            <w:tcW w:w="1701" w:type="dxa"/>
            <w:tcBorders>
              <w:bottom w:val="single" w:sz="4" w:space="0" w:color="auto"/>
            </w:tcBorders>
          </w:tcPr>
          <w:p w14:paraId="4F9DE341" w14:textId="77777777" w:rsidR="00224E34" w:rsidRPr="00C464CA" w:rsidRDefault="00224E34" w:rsidP="00F361DE">
            <w:pPr>
              <w:keepNext/>
              <w:keepLines/>
              <w:jc w:val="right"/>
              <w:rPr>
                <w:sz w:val="20"/>
                <w:szCs w:val="20"/>
              </w:rPr>
            </w:pPr>
            <w:r w:rsidRPr="00C464CA">
              <w:rPr>
                <w:sz w:val="20"/>
                <w:szCs w:val="20"/>
              </w:rPr>
              <w:t>158.84</w:t>
            </w:r>
          </w:p>
        </w:tc>
        <w:tc>
          <w:tcPr>
            <w:tcW w:w="1559" w:type="dxa"/>
            <w:tcBorders>
              <w:bottom w:val="single" w:sz="4" w:space="0" w:color="auto"/>
            </w:tcBorders>
          </w:tcPr>
          <w:p w14:paraId="772422FB" w14:textId="77777777" w:rsidR="00224E34" w:rsidRPr="00C464CA" w:rsidRDefault="00224E34" w:rsidP="00F361DE">
            <w:pPr>
              <w:keepNext/>
              <w:keepLines/>
              <w:jc w:val="right"/>
              <w:rPr>
                <w:sz w:val="20"/>
                <w:szCs w:val="20"/>
              </w:rPr>
            </w:pPr>
            <w:r w:rsidRPr="00C464CA">
              <w:rPr>
                <w:sz w:val="20"/>
                <w:szCs w:val="20"/>
              </w:rPr>
              <w:t>99.02</w:t>
            </w:r>
          </w:p>
        </w:tc>
        <w:tc>
          <w:tcPr>
            <w:tcW w:w="1842" w:type="dxa"/>
            <w:tcBorders>
              <w:bottom w:val="single" w:sz="4" w:space="0" w:color="auto"/>
            </w:tcBorders>
          </w:tcPr>
          <w:p w14:paraId="405EE661" w14:textId="77777777" w:rsidR="00224E34" w:rsidRPr="00C464CA" w:rsidRDefault="00224E34" w:rsidP="00F361DE">
            <w:pPr>
              <w:keepNext/>
              <w:keepLines/>
              <w:jc w:val="right"/>
              <w:rPr>
                <w:sz w:val="20"/>
                <w:szCs w:val="20"/>
              </w:rPr>
            </w:pPr>
            <w:r w:rsidRPr="00C464CA">
              <w:rPr>
                <w:sz w:val="20"/>
                <w:szCs w:val="20"/>
              </w:rPr>
              <w:t>62.3</w:t>
            </w:r>
          </w:p>
        </w:tc>
      </w:tr>
    </w:tbl>
    <w:p w14:paraId="3675FB6D" w14:textId="77777777" w:rsidR="00224E34" w:rsidRDefault="00224E34" w:rsidP="00966545">
      <w:pPr>
        <w:pStyle w:val="Notes"/>
      </w:pPr>
      <w:r w:rsidRPr="00966545">
        <w:rPr>
          <w:b/>
        </w:rPr>
        <w:t>Notes</w:t>
      </w:r>
      <w:r w:rsidRPr="006C1A5A">
        <w:t>:</w:t>
      </w:r>
    </w:p>
    <w:p w14:paraId="673B4A81" w14:textId="2F40DACA" w:rsidR="00117055" w:rsidRPr="00E5413A" w:rsidRDefault="00224E34" w:rsidP="00E5413A">
      <w:pPr>
        <w:pStyle w:val="Notesnumbered"/>
        <w:numPr>
          <w:ilvl w:val="0"/>
          <w:numId w:val="248"/>
        </w:numPr>
      </w:pPr>
      <w:r w:rsidRPr="00E5413A">
        <w:t xml:space="preserve">Averages calculated based on </w:t>
      </w:r>
      <w:r w:rsidR="008D35CB" w:rsidRPr="00E5413A">
        <w:t>two-year</w:t>
      </w:r>
      <w:r w:rsidRPr="00E5413A">
        <w:t xml:space="preserve"> periods: March 2010 to February 2012 for JSA 2009 and March 2013 to February 2015 for JSA 2012.</w:t>
      </w:r>
    </w:p>
    <w:p w14:paraId="68A622C2" w14:textId="77777777" w:rsidR="00224E34" w:rsidRPr="004039ED" w:rsidRDefault="00224E34" w:rsidP="00E5413A">
      <w:pPr>
        <w:pStyle w:val="Notesnumbered"/>
        <w:numPr>
          <w:ilvl w:val="0"/>
          <w:numId w:val="248"/>
        </w:numPr>
        <w:rPr>
          <w:rFonts w:cstheme="minorHAnsi"/>
        </w:rPr>
      </w:pPr>
      <w:r w:rsidRPr="00E5413A">
        <w:t>The number of job seekers used in these calculations is the caseload at the end of each month</w:t>
      </w:r>
      <w:r w:rsidR="00F361DE" w:rsidRPr="00E5413A">
        <w:t>.</w:t>
      </w:r>
      <w:r w:rsidR="00F361DE" w:rsidRPr="00E5413A" w:rsidDel="00F361DE">
        <w:t xml:space="preserve"> </w:t>
      </w:r>
      <w:r w:rsidRPr="00E5413A">
        <w:t>Changes in provider practice</w:t>
      </w:r>
      <w:r w:rsidR="004D74CE">
        <w:t>s</w:t>
      </w:r>
      <w:r w:rsidRPr="00E5413A">
        <w:t xml:space="preserve"> may also account for a decrease in outcome payments. Expenditure on EPF is one area of provider practices that can be examined to assess</w:t>
      </w:r>
      <w:r w:rsidRPr="004039ED">
        <w:rPr>
          <w:rFonts w:cstheme="minorHAnsi"/>
        </w:rPr>
        <w:t xml:space="preserve"> this.</w:t>
      </w:r>
    </w:p>
    <w:p w14:paraId="48905BE5" w14:textId="77777777" w:rsidR="00966545" w:rsidRPr="006C1A5A" w:rsidRDefault="00966545" w:rsidP="00966545">
      <w:pPr>
        <w:pStyle w:val="Source"/>
      </w:pPr>
      <w:r w:rsidRPr="00117055">
        <w:rPr>
          <w:b/>
        </w:rPr>
        <w:t>Source</w:t>
      </w:r>
      <w:r w:rsidRPr="006C1A5A">
        <w:t>:</w:t>
      </w:r>
      <w:r>
        <w:tab/>
        <w:t>Department of Employment administrative data.</w:t>
      </w:r>
    </w:p>
    <w:p w14:paraId="65223DDA" w14:textId="77777777" w:rsidR="00224E34" w:rsidRDefault="00224E34" w:rsidP="00224E34">
      <w:pPr>
        <w:pStyle w:val="Heading3"/>
      </w:pPr>
      <w:bookmarkStart w:id="538" w:name="_Toc22543149"/>
      <w:r>
        <w:t>10.2.2</w:t>
      </w:r>
      <w:r w:rsidR="009F5A75">
        <w:tab/>
      </w:r>
      <w:r w:rsidRPr="00BF6EBE">
        <w:t>E</w:t>
      </w:r>
      <w:r>
        <w:t xml:space="preserve">mployment </w:t>
      </w:r>
      <w:r w:rsidRPr="00BF6EBE">
        <w:t>P</w:t>
      </w:r>
      <w:r>
        <w:t xml:space="preserve">athway </w:t>
      </w:r>
      <w:r w:rsidRPr="00BF6EBE">
        <w:t>F</w:t>
      </w:r>
      <w:r>
        <w:t xml:space="preserve">und </w:t>
      </w:r>
      <w:r w:rsidRPr="00BF6EBE">
        <w:t>assistance</w:t>
      </w:r>
      <w:r w:rsidR="001000D1">
        <w:rPr>
          <w:rStyle w:val="FootnoteReference"/>
        </w:rPr>
        <w:footnoteReference w:id="91"/>
      </w:r>
      <w:bookmarkEnd w:id="538"/>
    </w:p>
    <w:p w14:paraId="6DABAFFB" w14:textId="77777777" w:rsidR="00F361DE" w:rsidRPr="00391D68" w:rsidRDefault="00F361DE" w:rsidP="00F361DE">
      <w:bookmarkStart w:id="539" w:name="_Toc443150738"/>
      <w:r w:rsidRPr="00391D68">
        <w:t xml:space="preserve">The level of EPF credits available </w:t>
      </w:r>
      <w:r w:rsidR="001000D1">
        <w:t>in</w:t>
      </w:r>
      <w:r w:rsidRPr="00391D68">
        <w:t xml:space="preserve"> </w:t>
      </w:r>
      <w:r w:rsidR="001000D1">
        <w:t xml:space="preserve">the </w:t>
      </w:r>
      <w:r w:rsidRPr="00391D68">
        <w:t>JSA 2012</w:t>
      </w:r>
      <w:r w:rsidR="001000D1">
        <w:t xml:space="preserve"> contract</w:t>
      </w:r>
      <w:r w:rsidRPr="00391D68">
        <w:t xml:space="preserve"> was similar to JSA 2009. In addition </w:t>
      </w:r>
      <w:r w:rsidRPr="00734085">
        <w:t>two new credits were introduced under JSA 2012: one for the Compulsory Activity Phase (</w:t>
      </w:r>
      <w:r w:rsidRPr="000E7ABC">
        <w:t>CAP)</w:t>
      </w:r>
      <w:r w:rsidRPr="00391D68">
        <w:t xml:space="preserve"> and another for Early School Leavers (ESL).</w:t>
      </w:r>
    </w:p>
    <w:p w14:paraId="6E8B1D94" w14:textId="77777777" w:rsidR="00F361DE" w:rsidRDefault="00F361DE" w:rsidP="00F361DE">
      <w:r w:rsidRPr="00391D68">
        <w:t xml:space="preserve">Under both </w:t>
      </w:r>
      <w:r>
        <w:t xml:space="preserve">JSA </w:t>
      </w:r>
      <w:r w:rsidR="001000D1">
        <w:t>contracts</w:t>
      </w:r>
      <w:r>
        <w:t xml:space="preserve">, </w:t>
      </w:r>
      <w:r w:rsidRPr="00391D68">
        <w:t xml:space="preserve">the EPF expenditure category against which most EPF funds were spent was </w:t>
      </w:r>
      <w:r w:rsidR="001000D1">
        <w:t>t</w:t>
      </w:r>
      <w:r w:rsidRPr="00391D68">
        <w:t xml:space="preserve">raining </w:t>
      </w:r>
      <w:r>
        <w:t xml:space="preserve">courses </w:t>
      </w:r>
      <w:r w:rsidRPr="00391D68">
        <w:t xml:space="preserve">(increasing to 42.6 per cent of total in JSA 2012 compared with 34.3 per cent in JSA 2009) (Figure </w:t>
      </w:r>
      <w:r w:rsidR="00CA1DF5">
        <w:t>10.</w:t>
      </w:r>
      <w:r w:rsidRPr="00391D68">
        <w:t>3).</w:t>
      </w:r>
    </w:p>
    <w:p w14:paraId="69FA9818" w14:textId="77777777" w:rsidR="00F361DE" w:rsidRPr="0001510E" w:rsidRDefault="00F361DE" w:rsidP="00F361DE">
      <w:r w:rsidRPr="0001510E">
        <w:t xml:space="preserve">The categories </w:t>
      </w:r>
      <w:r w:rsidR="00CA1DF5">
        <w:t xml:space="preserve">with the greatest </w:t>
      </w:r>
      <w:r w:rsidRPr="0001510E">
        <w:t>differe</w:t>
      </w:r>
      <w:r w:rsidR="00CA1DF5">
        <w:t>ntial between contracts were</w:t>
      </w:r>
      <w:r w:rsidRPr="0001510E">
        <w:t xml:space="preserve"> </w:t>
      </w:r>
      <w:r w:rsidR="0094566C">
        <w:t>p</w:t>
      </w:r>
      <w:r w:rsidRPr="0001510E">
        <w:t xml:space="preserve">rovider </w:t>
      </w:r>
      <w:r>
        <w:t>s</w:t>
      </w:r>
      <w:r w:rsidRPr="0001510E">
        <w:t>ervices (</w:t>
      </w:r>
      <w:r w:rsidR="00825D46">
        <w:t xml:space="preserve">down from 12.9 per cent in JSA 2009 </w:t>
      </w:r>
      <w:r w:rsidRPr="0001510E">
        <w:t xml:space="preserve">to 6.3 per cent in JSA 2012) and </w:t>
      </w:r>
      <w:r w:rsidR="0094566C">
        <w:t>w</w:t>
      </w:r>
      <w:r w:rsidRPr="0001510E">
        <w:t xml:space="preserve">ork </w:t>
      </w:r>
      <w:r w:rsidR="0094566C">
        <w:t>e</w:t>
      </w:r>
      <w:r w:rsidRPr="0001510E">
        <w:t>xperience group based activities (</w:t>
      </w:r>
      <w:r w:rsidR="00CA1DF5">
        <w:t>up</w:t>
      </w:r>
      <w:r w:rsidR="00CA1DF5" w:rsidRPr="0001510E">
        <w:t xml:space="preserve"> from 5.6 per cent in JSA 2009</w:t>
      </w:r>
      <w:r w:rsidR="00CA1DF5">
        <w:t xml:space="preserve"> </w:t>
      </w:r>
      <w:r w:rsidRPr="0001510E">
        <w:t>to 9.7 per cent of JSA 2012)</w:t>
      </w:r>
      <w:r>
        <w:t>.</w:t>
      </w:r>
    </w:p>
    <w:p w14:paraId="4DA9CF1F" w14:textId="77777777" w:rsidR="00F361DE" w:rsidRPr="002A49E8" w:rsidRDefault="00F361DE" w:rsidP="00F361DE">
      <w:pPr>
        <w:pStyle w:val="Figureheadingforcontents"/>
      </w:pPr>
      <w:bookmarkStart w:id="540" w:name="_Toc22544053"/>
      <w:r w:rsidRPr="002A49E8">
        <w:t xml:space="preserve">Figure </w:t>
      </w:r>
      <w:r w:rsidR="00CA1DF5">
        <w:t>10.</w:t>
      </w:r>
      <w:r w:rsidRPr="002A49E8">
        <w:t xml:space="preserve">3: EPF expenditure by </w:t>
      </w:r>
      <w:r w:rsidR="00492EF3" w:rsidRPr="002A49E8">
        <w:t>category</w:t>
      </w:r>
      <w:r w:rsidR="00492EF3">
        <w:t>, JSA</w:t>
      </w:r>
      <w:r w:rsidR="00CA1DF5">
        <w:t xml:space="preserve"> 2009 and JSA 2012, and by </w:t>
      </w:r>
      <w:r w:rsidR="004D74CE">
        <w:t xml:space="preserve">financial </w:t>
      </w:r>
      <w:r w:rsidR="00CA1DF5">
        <w:t>year (per cent)</w:t>
      </w:r>
      <w:bookmarkEnd w:id="540"/>
    </w:p>
    <w:p w14:paraId="067BC284" w14:textId="77777777" w:rsidR="00F361DE" w:rsidRPr="00391D68" w:rsidRDefault="00784425" w:rsidP="00966545">
      <w:pPr>
        <w:spacing w:after="0"/>
      </w:pPr>
      <w:r w:rsidRPr="00784425">
        <w:rPr>
          <w:noProof/>
          <w:lang w:eastAsia="en-AU"/>
        </w:rPr>
        <w:drawing>
          <wp:inline distT="0" distB="0" distL="0" distR="0" wp14:anchorId="0EBB77D0" wp14:editId="48F0219B">
            <wp:extent cx="5732145" cy="3342215"/>
            <wp:effectExtent l="0" t="0" r="1905" b="0"/>
            <wp:docPr id="275" name="Picture 275" descr="Bar chart. As discussed in previous paragraphs training was consistently the EPF category against which most EPF funds were spent against (ranging from 33% in 2011-12 to 46% in 2013-14), with wage subsidies the second highest category (ranging from 14% in 2009-10 to 24% in 2014-15). &#10;The categories that varied over time were; provider services (decreasing); and work experience group based activities (increasing). &#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2145" cy="3342215"/>
                    </a:xfrm>
                    <a:prstGeom prst="rect">
                      <a:avLst/>
                    </a:prstGeom>
                    <a:noFill/>
                    <a:ln>
                      <a:noFill/>
                    </a:ln>
                  </pic:spPr>
                </pic:pic>
              </a:graphicData>
            </a:graphic>
          </wp:inline>
        </w:drawing>
      </w:r>
    </w:p>
    <w:p w14:paraId="54E1E4CB" w14:textId="77777777" w:rsidR="00F361DE" w:rsidRPr="00B45E85" w:rsidRDefault="00F361DE" w:rsidP="00966545">
      <w:pPr>
        <w:pStyle w:val="Notes"/>
      </w:pPr>
      <w:r w:rsidRPr="00966545">
        <w:rPr>
          <w:b/>
        </w:rPr>
        <w:t>Notes</w:t>
      </w:r>
      <w:r w:rsidRPr="00B45E85">
        <w:t>:</w:t>
      </w:r>
    </w:p>
    <w:p w14:paraId="79132B57" w14:textId="77777777" w:rsidR="00B45E85" w:rsidRPr="00E5413A" w:rsidRDefault="00B45E85" w:rsidP="00AE4704">
      <w:pPr>
        <w:pStyle w:val="Notesnumbered"/>
        <w:numPr>
          <w:ilvl w:val="0"/>
          <w:numId w:val="249"/>
        </w:numPr>
        <w:ind w:left="709" w:hanging="567"/>
      </w:pPr>
      <w:r w:rsidRPr="00E5413A">
        <w:t>J</w:t>
      </w:r>
      <w:r w:rsidR="00F361DE" w:rsidRPr="00E5413A">
        <w:t>ob seekers may be assisted in more than one category. They may be assisted in more than one financial year, but only once in each three year model.</w:t>
      </w:r>
    </w:p>
    <w:p w14:paraId="6F72A283" w14:textId="77777777" w:rsidR="00B45E85" w:rsidRPr="00E5413A" w:rsidRDefault="00F361DE" w:rsidP="00AE4704">
      <w:pPr>
        <w:pStyle w:val="Notesnumbered"/>
        <w:numPr>
          <w:ilvl w:val="0"/>
          <w:numId w:val="249"/>
        </w:numPr>
        <w:ind w:left="709" w:hanging="567"/>
      </w:pPr>
      <w:r w:rsidRPr="00E5413A">
        <w:t xml:space="preserve">Excludes a small amount of EPF commitments (less than 0.5 per cent of total EPF expenditure) that had not been reimbursed at the time that data was </w:t>
      </w:r>
      <w:r w:rsidR="001000D1" w:rsidRPr="00E5413A">
        <w:t>extracted</w:t>
      </w:r>
      <w:r w:rsidRPr="00E5413A">
        <w:t>.</w:t>
      </w:r>
    </w:p>
    <w:p w14:paraId="1BD169D0" w14:textId="77777777" w:rsidR="003C1A65" w:rsidRPr="00E5413A" w:rsidRDefault="00F361DE" w:rsidP="00AE4704">
      <w:pPr>
        <w:pStyle w:val="Notesnumbered"/>
        <w:numPr>
          <w:ilvl w:val="0"/>
          <w:numId w:val="249"/>
        </w:numPr>
        <w:ind w:left="709" w:hanging="567"/>
      </w:pPr>
      <w:r w:rsidRPr="00E5413A">
        <w:t xml:space="preserve">Excludes funds not allocated to specific job seekers such as assistance provided under </w:t>
      </w:r>
      <w:r w:rsidR="001000D1" w:rsidRPr="00E5413A">
        <w:t>w</w:t>
      </w:r>
      <w:r w:rsidRPr="00E5413A">
        <w:t xml:space="preserve">ork </w:t>
      </w:r>
      <w:r w:rsidR="001000D1" w:rsidRPr="00E5413A">
        <w:t>e</w:t>
      </w:r>
      <w:r w:rsidRPr="00E5413A">
        <w:t>xperience group based activities, labour market assistance packages (LAP) and other batch purchases.</w:t>
      </w:r>
    </w:p>
    <w:p w14:paraId="4BD50B88" w14:textId="77777777" w:rsidR="003C1A65" w:rsidRPr="00E5413A" w:rsidRDefault="003C1A65" w:rsidP="00AE4704">
      <w:pPr>
        <w:pStyle w:val="Notesnumbered"/>
        <w:numPr>
          <w:ilvl w:val="0"/>
          <w:numId w:val="249"/>
        </w:numPr>
        <w:ind w:left="709" w:hanging="567"/>
      </w:pPr>
      <w:r w:rsidRPr="00E5413A">
        <w:t xml:space="preserve">Refer </w:t>
      </w:r>
      <w:hyperlink w:anchor="Title_A243" w:history="1">
        <w:r w:rsidRPr="008C50A7">
          <w:rPr>
            <w:rStyle w:val="Hyperlink"/>
          </w:rPr>
          <w:t>Appendix A</w:t>
        </w:r>
        <w:r w:rsidR="00F75BBA" w:rsidRPr="008C50A7">
          <w:rPr>
            <w:rStyle w:val="Hyperlink"/>
          </w:rPr>
          <w:t>2</w:t>
        </w:r>
        <w:r w:rsidRPr="008C50A7">
          <w:rPr>
            <w:rStyle w:val="Hyperlink"/>
          </w:rPr>
          <w:t>, Table A2.43</w:t>
        </w:r>
      </w:hyperlink>
      <w:r w:rsidRPr="00E5413A">
        <w:t>.</w:t>
      </w:r>
      <w:bookmarkStart w:id="541" w:name="Place_A243"/>
      <w:bookmarkEnd w:id="541"/>
    </w:p>
    <w:p w14:paraId="4728385F" w14:textId="77777777" w:rsidR="00966545" w:rsidRPr="00B45E85" w:rsidRDefault="00966545" w:rsidP="007C51E3">
      <w:pPr>
        <w:pStyle w:val="Notesnumbered"/>
        <w:numPr>
          <w:ilvl w:val="0"/>
          <w:numId w:val="0"/>
        </w:numPr>
      </w:pPr>
      <w:r w:rsidRPr="003C1A65">
        <w:rPr>
          <w:b/>
        </w:rPr>
        <w:t>Source:</w:t>
      </w:r>
      <w:r>
        <w:tab/>
      </w:r>
      <w:r w:rsidRPr="00B45E85">
        <w:t xml:space="preserve">Department of Employment </w:t>
      </w:r>
      <w:r w:rsidRPr="00966545">
        <w:t>administrative</w:t>
      </w:r>
      <w:r w:rsidRPr="00B45E85">
        <w:t xml:space="preserve"> data.</w:t>
      </w:r>
    </w:p>
    <w:p w14:paraId="6D0777CA" w14:textId="77777777" w:rsidR="00F361DE" w:rsidRPr="00CA1DF5" w:rsidRDefault="00F361DE" w:rsidP="00CA1DF5">
      <w:pPr>
        <w:pStyle w:val="Heading4"/>
      </w:pPr>
      <w:r w:rsidRPr="00CA1DF5">
        <w:t xml:space="preserve">Provider </w:t>
      </w:r>
      <w:r w:rsidR="007B23E6">
        <w:t>s</w:t>
      </w:r>
      <w:r w:rsidRPr="00CA1DF5">
        <w:t>ervices</w:t>
      </w:r>
    </w:p>
    <w:p w14:paraId="528B7412" w14:textId="00409638" w:rsidR="00F361DE" w:rsidRPr="00A000FD" w:rsidRDefault="001000D1" w:rsidP="00F361DE">
      <w:r>
        <w:t>P</w:t>
      </w:r>
      <w:r w:rsidR="00F361DE" w:rsidRPr="00A000FD">
        <w:t xml:space="preserve">rovider </w:t>
      </w:r>
      <w:r w:rsidR="00F361DE">
        <w:t>s</w:t>
      </w:r>
      <w:r w:rsidR="00F361DE" w:rsidRPr="00A000FD">
        <w:t xml:space="preserve">ervices expenditure was fairly consistent for each of the three years of the JSA 2009 </w:t>
      </w:r>
      <w:r w:rsidR="00F361DE" w:rsidRPr="00122BFE">
        <w:t>model</w:t>
      </w:r>
      <w:r>
        <w:t xml:space="preserve"> (</w:t>
      </w:r>
      <w:r w:rsidRPr="001000D1">
        <w:t>13.4 per cent in 2009-10, 12.3 per cent in 2010-11 and 13.1 per cent in 2011-12</w:t>
      </w:r>
      <w:r>
        <w:t>).</w:t>
      </w:r>
      <w:r w:rsidR="00F361DE" w:rsidRPr="00A000FD">
        <w:t xml:space="preserve"> The most dramatic change </w:t>
      </w:r>
      <w:r w:rsidR="00492EF3">
        <w:t>occurred</w:t>
      </w:r>
      <w:r w:rsidR="00F361DE" w:rsidRPr="00A000FD">
        <w:t xml:space="preserve"> between 2012-13 and 2013-14 where </w:t>
      </w:r>
      <w:r w:rsidR="00C04D6F">
        <w:t xml:space="preserve">expenditure on </w:t>
      </w:r>
      <w:r w:rsidR="00C50EC5">
        <w:t>p</w:t>
      </w:r>
      <w:r w:rsidR="00F361DE" w:rsidRPr="00A000FD">
        <w:t xml:space="preserve">rovider </w:t>
      </w:r>
      <w:r w:rsidR="00F361DE">
        <w:t>s</w:t>
      </w:r>
      <w:r w:rsidR="00F361DE" w:rsidRPr="00A000FD">
        <w:t xml:space="preserve">ervices fell from 11.0 per cent to 5.5 per </w:t>
      </w:r>
      <w:r w:rsidR="00492EF3" w:rsidRPr="00A000FD">
        <w:t>cent</w:t>
      </w:r>
      <w:r w:rsidR="00492EF3">
        <w:t>, then</w:t>
      </w:r>
      <w:r w:rsidR="00C50EC5">
        <w:t xml:space="preserve"> to </w:t>
      </w:r>
      <w:r w:rsidR="00F361DE" w:rsidRPr="00A000FD">
        <w:t>3.5 per cent in 2014-15.</w:t>
      </w:r>
    </w:p>
    <w:p w14:paraId="4AF0C1C3" w14:textId="77777777" w:rsidR="00F361DE" w:rsidRPr="00A000FD" w:rsidRDefault="00F361DE" w:rsidP="00F361DE">
      <w:r w:rsidRPr="00A000FD">
        <w:t xml:space="preserve">Under both models the </w:t>
      </w:r>
      <w:r w:rsidR="00C50EC5">
        <w:t>p</w:t>
      </w:r>
      <w:r w:rsidRPr="00A000FD">
        <w:t xml:space="preserve">rovider </w:t>
      </w:r>
      <w:r>
        <w:t>s</w:t>
      </w:r>
      <w:r w:rsidRPr="00A000FD">
        <w:t xml:space="preserve">ervices </w:t>
      </w:r>
      <w:r w:rsidR="00C50EC5">
        <w:t xml:space="preserve">sub category that most </w:t>
      </w:r>
      <w:r w:rsidRPr="00A000FD">
        <w:t>expenditure was allocated against</w:t>
      </w:r>
      <w:r w:rsidR="00C50EC5" w:rsidRPr="00C50EC5">
        <w:t xml:space="preserve"> </w:t>
      </w:r>
      <w:r w:rsidR="00C50EC5">
        <w:t>was r</w:t>
      </w:r>
      <w:r w:rsidR="00C50EC5" w:rsidRPr="00A000FD">
        <w:t xml:space="preserve">everse </w:t>
      </w:r>
      <w:r w:rsidR="00C50EC5">
        <w:t>m</w:t>
      </w:r>
      <w:r w:rsidR="00C50EC5" w:rsidRPr="00A000FD">
        <w:t>arketing</w:t>
      </w:r>
      <w:r w:rsidR="00C50EC5">
        <w:t xml:space="preserve">, </w:t>
      </w:r>
      <w:r w:rsidR="00012687">
        <w:t>represent</w:t>
      </w:r>
      <w:r w:rsidR="00C50EC5">
        <w:t>ing</w:t>
      </w:r>
      <w:r w:rsidR="00012687">
        <w:t xml:space="preserve"> 7.5 per cent in JSA 2009 and just 2.5 per cent in JSA 2012</w:t>
      </w:r>
      <w:r w:rsidRPr="00A000FD">
        <w:t>. Th</w:t>
      </w:r>
      <w:r>
        <w:t xml:space="preserve">is </w:t>
      </w:r>
      <w:r w:rsidR="00012687">
        <w:t xml:space="preserve">fall </w:t>
      </w:r>
      <w:r>
        <w:t xml:space="preserve">is a result of a drop in </w:t>
      </w:r>
      <w:r w:rsidR="00A265AC">
        <w:t xml:space="preserve">both </w:t>
      </w:r>
      <w:r>
        <w:t>the</w:t>
      </w:r>
      <w:r w:rsidRPr="00A000FD">
        <w:t xml:space="preserve"> number of job seekers assisted through </w:t>
      </w:r>
      <w:r w:rsidR="00C50EC5">
        <w:t>r</w:t>
      </w:r>
      <w:r w:rsidRPr="00A000FD">
        <w:t xml:space="preserve">everse </w:t>
      </w:r>
      <w:r>
        <w:t>m</w:t>
      </w:r>
      <w:r w:rsidRPr="00A000FD">
        <w:t>arketing (</w:t>
      </w:r>
      <w:r w:rsidR="00C50EC5" w:rsidRPr="00A000FD">
        <w:t xml:space="preserve">325,302 in JSA 2009 </w:t>
      </w:r>
      <w:r w:rsidR="00C50EC5">
        <w:t>down to</w:t>
      </w:r>
      <w:r w:rsidR="00492EF3">
        <w:t xml:space="preserve"> </w:t>
      </w:r>
      <w:r w:rsidRPr="00A000FD">
        <w:t xml:space="preserve">177,164 in JSA </w:t>
      </w:r>
      <w:r w:rsidR="00AC0044" w:rsidRPr="00A000FD">
        <w:t>2012</w:t>
      </w:r>
      <w:r>
        <w:t xml:space="preserve">) and the average </w:t>
      </w:r>
      <w:r w:rsidR="00AC0044">
        <w:t>expenditure</w:t>
      </w:r>
      <w:r w:rsidR="00AC0044" w:rsidRPr="00A000FD">
        <w:t xml:space="preserve"> </w:t>
      </w:r>
      <w:r w:rsidR="00A96EDD">
        <w:t>on reverse marketing per job seeker</w:t>
      </w:r>
      <w:r w:rsidR="00A96EDD" w:rsidRPr="00A000FD">
        <w:t xml:space="preserve"> </w:t>
      </w:r>
      <w:r>
        <w:t>(</w:t>
      </w:r>
      <w:r w:rsidR="00C50EC5" w:rsidRPr="00A000FD">
        <w:t>$254</w:t>
      </w:r>
      <w:r w:rsidR="00C50EC5">
        <w:t xml:space="preserve"> in JSA 2009 down to </w:t>
      </w:r>
      <w:r w:rsidRPr="00A000FD">
        <w:t xml:space="preserve">$166 </w:t>
      </w:r>
      <w:r>
        <w:t>in JSA 2012</w:t>
      </w:r>
      <w:r w:rsidRPr="00A000FD">
        <w:t>).</w:t>
      </w:r>
    </w:p>
    <w:p w14:paraId="11462CE9" w14:textId="77777777" w:rsidR="00F361DE" w:rsidRPr="00A000FD" w:rsidRDefault="00F361DE" w:rsidP="00F361DE">
      <w:r w:rsidRPr="00A000FD">
        <w:t xml:space="preserve">Outreach </w:t>
      </w:r>
      <w:r w:rsidR="00C50EC5">
        <w:t>s</w:t>
      </w:r>
      <w:r w:rsidRPr="00A000FD">
        <w:t xml:space="preserve">ervices </w:t>
      </w:r>
      <w:r w:rsidR="00C50EC5">
        <w:t xml:space="preserve">dropped from </w:t>
      </w:r>
      <w:r w:rsidRPr="00A000FD">
        <w:t xml:space="preserve">for </w:t>
      </w:r>
      <w:r w:rsidR="009D5DE2" w:rsidRPr="00A000FD">
        <w:t xml:space="preserve">2.8 per cent </w:t>
      </w:r>
      <w:r w:rsidR="009D5DE2">
        <w:t xml:space="preserve">in JSA 2009 </w:t>
      </w:r>
      <w:r w:rsidR="00C50EC5">
        <w:t xml:space="preserve">to </w:t>
      </w:r>
      <w:r w:rsidR="009D5DE2">
        <w:t>1.7 per cent in 2012</w:t>
      </w:r>
      <w:r w:rsidR="00A001FA">
        <w:t xml:space="preserve"> (</w:t>
      </w:r>
      <w:r w:rsidR="00A001FA" w:rsidRPr="00A000FD">
        <w:t>59,963</w:t>
      </w:r>
      <w:r w:rsidR="00A001FA">
        <w:t xml:space="preserve"> job seekers to </w:t>
      </w:r>
      <w:r w:rsidR="00A001FA" w:rsidRPr="00A000FD">
        <w:t>49,893</w:t>
      </w:r>
      <w:r w:rsidR="00A001FA">
        <w:t xml:space="preserve"> job seekers) </w:t>
      </w:r>
      <w:r w:rsidR="00A265AC">
        <w:t xml:space="preserve">and </w:t>
      </w:r>
      <w:r w:rsidRPr="00A000FD">
        <w:t xml:space="preserve">average expenditure </w:t>
      </w:r>
      <w:r w:rsidR="009D5DE2">
        <w:t xml:space="preserve">was </w:t>
      </w:r>
      <w:r w:rsidRPr="00A000FD">
        <w:t>also lower</w:t>
      </w:r>
      <w:r w:rsidR="00A001FA">
        <w:t xml:space="preserve"> (</w:t>
      </w:r>
      <w:r w:rsidR="00D01916" w:rsidRPr="00A000FD">
        <w:t>$50</w:t>
      </w:r>
      <w:r w:rsidR="00D01916">
        <w:t>7</w:t>
      </w:r>
      <w:r w:rsidR="00D01916" w:rsidRPr="00A000FD">
        <w:t xml:space="preserve"> in JSA 2009</w:t>
      </w:r>
      <w:r w:rsidR="00D01916" w:rsidRPr="00D01916">
        <w:t xml:space="preserve"> </w:t>
      </w:r>
      <w:r w:rsidR="00D01916" w:rsidRPr="00A000FD">
        <w:t xml:space="preserve">compared with </w:t>
      </w:r>
      <w:r w:rsidR="00D01916">
        <w:t>$</w:t>
      </w:r>
      <w:r w:rsidR="00A001FA" w:rsidRPr="00A000FD">
        <w:t>423 in JSA 2012</w:t>
      </w:r>
      <w:r w:rsidR="00D01916">
        <w:t>)</w:t>
      </w:r>
      <w:r w:rsidRPr="00A000FD">
        <w:t>.</w:t>
      </w:r>
    </w:p>
    <w:p w14:paraId="4C359CAB" w14:textId="1CF5F110" w:rsidR="00F361DE" w:rsidRPr="00A000FD" w:rsidRDefault="00F361DE" w:rsidP="006C1CF0">
      <w:r w:rsidRPr="00A000FD">
        <w:t xml:space="preserve">There was </w:t>
      </w:r>
      <w:r>
        <w:t xml:space="preserve">also </w:t>
      </w:r>
      <w:r w:rsidRPr="00A000FD">
        <w:t xml:space="preserve">a decrease in the number of job seekers assisted through the </w:t>
      </w:r>
      <w:r w:rsidR="00C50EC5">
        <w:t>p</w:t>
      </w:r>
      <w:r w:rsidRPr="00A000FD">
        <w:t>ost</w:t>
      </w:r>
      <w:r w:rsidR="00024C64">
        <w:t>-</w:t>
      </w:r>
      <w:r w:rsidR="00C50EC5">
        <w:t>p</w:t>
      </w:r>
      <w:r w:rsidRPr="00A000FD">
        <w:t xml:space="preserve">lacement </w:t>
      </w:r>
      <w:r w:rsidR="00C50EC5">
        <w:t>s</w:t>
      </w:r>
      <w:r w:rsidRPr="00A000FD">
        <w:t xml:space="preserve">upport sub-category of </w:t>
      </w:r>
      <w:r w:rsidR="00C50EC5">
        <w:t>p</w:t>
      </w:r>
      <w:r w:rsidRPr="00A000FD">
        <w:t xml:space="preserve">rovider </w:t>
      </w:r>
      <w:r>
        <w:t>s</w:t>
      </w:r>
      <w:r w:rsidRPr="00A000FD">
        <w:t>ervices between the two models (91,598 in JSA 2009</w:t>
      </w:r>
      <w:r w:rsidR="00D01916" w:rsidRPr="00D01916">
        <w:t xml:space="preserve"> </w:t>
      </w:r>
      <w:r w:rsidR="00D01916" w:rsidRPr="00A000FD">
        <w:t>compared with 30,061 in JSA 2012</w:t>
      </w:r>
      <w:r w:rsidRPr="00A000FD">
        <w:t>).</w:t>
      </w:r>
    </w:p>
    <w:p w14:paraId="3FC82489" w14:textId="1679C110" w:rsidR="00F361DE" w:rsidRPr="006C1CF0" w:rsidRDefault="00F361DE" w:rsidP="00A36DFE">
      <w:r w:rsidRPr="00A000FD">
        <w:t>These</w:t>
      </w:r>
      <w:r w:rsidR="00C038EC">
        <w:t xml:space="preserve"> changes in spending </w:t>
      </w:r>
      <w:r w:rsidR="00C50EC5">
        <w:t xml:space="preserve">for </w:t>
      </w:r>
      <w:r w:rsidR="00C038EC">
        <w:t xml:space="preserve">the </w:t>
      </w:r>
      <w:r w:rsidR="00C50EC5">
        <w:t xml:space="preserve">provider services </w:t>
      </w:r>
      <w:r w:rsidR="00C038EC">
        <w:t>category</w:t>
      </w:r>
      <w:r w:rsidR="00D01916">
        <w:t xml:space="preserve"> </w:t>
      </w:r>
      <w:r w:rsidR="00C04D6F">
        <w:t xml:space="preserve">were </w:t>
      </w:r>
      <w:r w:rsidR="00C038EC">
        <w:t xml:space="preserve">likely </w:t>
      </w:r>
      <w:r w:rsidR="00D01916">
        <w:t xml:space="preserve">the </w:t>
      </w:r>
      <w:r w:rsidRPr="00A000FD">
        <w:t>result</w:t>
      </w:r>
      <w:r w:rsidR="00C038EC">
        <w:t xml:space="preserve"> </w:t>
      </w:r>
      <w:r w:rsidR="00D01916">
        <w:t>of</w:t>
      </w:r>
      <w:r w:rsidR="00C038EC">
        <w:t xml:space="preserve"> a combination of factors</w:t>
      </w:r>
      <w:r w:rsidR="00C50EC5" w:rsidRPr="006C1CF0">
        <w:t>, including</w:t>
      </w:r>
      <w:r w:rsidRPr="006C1CF0">
        <w:t>:</w:t>
      </w:r>
    </w:p>
    <w:p w14:paraId="7C2E827E" w14:textId="77777777" w:rsidR="00C038EC" w:rsidRPr="00024C64" w:rsidRDefault="00F361DE" w:rsidP="00EC212B">
      <w:pPr>
        <w:pStyle w:val="ListParagraph"/>
      </w:pPr>
      <w:r w:rsidRPr="006C1CF0">
        <w:t xml:space="preserve">From 1 July 2013 providers were unable to make EPF commitments against the </w:t>
      </w:r>
      <w:r w:rsidR="00C50EC5" w:rsidRPr="006C1CF0">
        <w:t>p</w:t>
      </w:r>
      <w:r w:rsidRPr="006C1CF0">
        <w:t xml:space="preserve">rovider </w:t>
      </w:r>
      <w:r w:rsidRPr="00553086">
        <w:t xml:space="preserve">services and the </w:t>
      </w:r>
      <w:r w:rsidR="00C50EC5" w:rsidRPr="00EA214E">
        <w:t>p</w:t>
      </w:r>
      <w:r w:rsidRPr="005C5E60">
        <w:t xml:space="preserve">rofessional services categories using bulk transactions, having to allocate them at the commitment stage to specific job seekers, and in the case of </w:t>
      </w:r>
      <w:r w:rsidR="00C50EC5" w:rsidRPr="005C5E60">
        <w:t>r</w:t>
      </w:r>
      <w:r w:rsidRPr="005C5E60">
        <w:t>everse marketing provide name and contact details of employers approached. It is possible that this admini</w:t>
      </w:r>
      <w:r w:rsidRPr="00735186">
        <w:t>strative change had an impact on provider practices.</w:t>
      </w:r>
      <w:r w:rsidR="00AC0044" w:rsidRPr="00024C64">
        <w:rPr>
          <w:rStyle w:val="FootnoteReference"/>
        </w:rPr>
        <w:t xml:space="preserve"> </w:t>
      </w:r>
      <w:r w:rsidR="00AC0044" w:rsidRPr="00024C64">
        <w:rPr>
          <w:rStyle w:val="FootnoteReference"/>
        </w:rPr>
        <w:footnoteReference w:id="92"/>
      </w:r>
    </w:p>
    <w:p w14:paraId="1F511D1A" w14:textId="77777777" w:rsidR="00C038EC" w:rsidRPr="00761594" w:rsidRDefault="00C038EC" w:rsidP="00EC212B">
      <w:pPr>
        <w:pStyle w:val="ListParagraph"/>
      </w:pPr>
      <w:r w:rsidRPr="003A14EB">
        <w:t xml:space="preserve">The proportion of the caseload </w:t>
      </w:r>
      <w:r w:rsidR="0041306D" w:rsidRPr="003A14EB">
        <w:t xml:space="preserve">in employment services for more than 12 months increased </w:t>
      </w:r>
      <w:r w:rsidRPr="00375698">
        <w:t>under JSA 2012</w:t>
      </w:r>
      <w:r w:rsidR="00312816" w:rsidRPr="00375698">
        <w:t xml:space="preserve"> (Table A1.2)</w:t>
      </w:r>
      <w:r w:rsidRPr="00375698">
        <w:t xml:space="preserve">. This may have resulted in increasing expenditure in categories such as </w:t>
      </w:r>
      <w:r w:rsidR="004A2E79" w:rsidRPr="001D0EEC">
        <w:t>p</w:t>
      </w:r>
      <w:r w:rsidRPr="001D0EEC">
        <w:t xml:space="preserve">rofessional services or </w:t>
      </w:r>
      <w:r w:rsidR="004A2E79" w:rsidRPr="001D0EEC">
        <w:t>t</w:t>
      </w:r>
      <w:r w:rsidRPr="00761594">
        <w:t>raining courses.</w:t>
      </w:r>
    </w:p>
    <w:p w14:paraId="05D635B5" w14:textId="77777777" w:rsidR="00C038EC" w:rsidRPr="00EC212B" w:rsidRDefault="00C038EC" w:rsidP="00EC212B">
      <w:pPr>
        <w:pStyle w:val="ListParagraph"/>
      </w:pPr>
      <w:r w:rsidRPr="00A36DFE">
        <w:t xml:space="preserve">There was a large increase in the number of job seekers assisted through the </w:t>
      </w:r>
      <w:r w:rsidR="004A2E79" w:rsidRPr="00A36DFE">
        <w:t>s</w:t>
      </w:r>
      <w:r w:rsidRPr="00A36DFE">
        <w:t xml:space="preserve">kills </w:t>
      </w:r>
      <w:r w:rsidR="004A2E79" w:rsidRPr="00C02C2E">
        <w:t>a</w:t>
      </w:r>
      <w:r w:rsidRPr="00992CE9">
        <w:t xml:space="preserve">ssessment and </w:t>
      </w:r>
      <w:r w:rsidR="004A2E79" w:rsidRPr="001F0A6B">
        <w:t>i</w:t>
      </w:r>
      <w:r w:rsidRPr="00C40D6E">
        <w:t xml:space="preserve">ntensive </w:t>
      </w:r>
      <w:r w:rsidR="004A2E79" w:rsidRPr="00093440">
        <w:t>a</w:t>
      </w:r>
      <w:r w:rsidRPr="00093440">
        <w:t xml:space="preserve">ctivity </w:t>
      </w:r>
      <w:r w:rsidR="004A2E79" w:rsidRPr="00093440">
        <w:t>p</w:t>
      </w:r>
      <w:r w:rsidRPr="00093440">
        <w:t xml:space="preserve">rovider </w:t>
      </w:r>
      <w:r w:rsidR="004A2E79" w:rsidRPr="00A57DE0">
        <w:t>s</w:t>
      </w:r>
      <w:r w:rsidRPr="00A57DE0">
        <w:t xml:space="preserve">ervices EPF sub-categories as a result of changes made to </w:t>
      </w:r>
      <w:r w:rsidR="004A2E79" w:rsidRPr="00A57DE0">
        <w:t>S</w:t>
      </w:r>
      <w:r w:rsidRPr="00A57DE0">
        <w:t xml:space="preserve">tream 1 </w:t>
      </w:r>
      <w:r w:rsidR="004D74CE" w:rsidRPr="00A57DE0">
        <w:t xml:space="preserve">servicing </w:t>
      </w:r>
      <w:r w:rsidRPr="00A57DE0">
        <w:t>(Table 1.1).</w:t>
      </w:r>
    </w:p>
    <w:p w14:paraId="05D70A45" w14:textId="77777777" w:rsidR="00F361DE" w:rsidRPr="005D2337" w:rsidRDefault="00F361DE" w:rsidP="004A2E79">
      <w:pPr>
        <w:pStyle w:val="Heading4"/>
      </w:pPr>
      <w:r w:rsidRPr="005D2337">
        <w:t xml:space="preserve">Work </w:t>
      </w:r>
      <w:r w:rsidR="0072794D">
        <w:t>e</w:t>
      </w:r>
      <w:r w:rsidRPr="005D2337">
        <w:t xml:space="preserve">xperience </w:t>
      </w:r>
      <w:r w:rsidR="0072794D">
        <w:t>g</w:t>
      </w:r>
      <w:r w:rsidRPr="005D2337">
        <w:t xml:space="preserve">roup </w:t>
      </w:r>
      <w:r w:rsidR="0072794D">
        <w:t>b</w:t>
      </w:r>
      <w:r w:rsidRPr="005D2337">
        <w:t xml:space="preserve">ased </w:t>
      </w:r>
      <w:r w:rsidR="0072794D">
        <w:t>a</w:t>
      </w:r>
      <w:r w:rsidRPr="005D2337">
        <w:t>ctivities</w:t>
      </w:r>
    </w:p>
    <w:p w14:paraId="25B19E4F" w14:textId="77777777" w:rsidR="00F361DE" w:rsidRPr="006405B9" w:rsidRDefault="004A2E79" w:rsidP="006C1CF0">
      <w:pPr>
        <w:rPr>
          <w:color w:val="C2C593" w:themeColor="accent4" w:themeTint="99"/>
        </w:rPr>
      </w:pPr>
      <w:r>
        <w:t xml:space="preserve">EPF </w:t>
      </w:r>
      <w:r w:rsidRPr="006405B9">
        <w:t xml:space="preserve">expenditure </w:t>
      </w:r>
      <w:r>
        <w:t>on w</w:t>
      </w:r>
      <w:r w:rsidR="00F361DE" w:rsidRPr="006405B9">
        <w:t xml:space="preserve">ork </w:t>
      </w:r>
      <w:r>
        <w:t>e</w:t>
      </w:r>
      <w:r w:rsidR="00F361DE" w:rsidRPr="006405B9">
        <w:t xml:space="preserve">xperience group based activities </w:t>
      </w:r>
      <w:r w:rsidR="004D74CE">
        <w:t>reimbursed</w:t>
      </w:r>
      <w:r w:rsidR="004D74CE" w:rsidRPr="006405B9">
        <w:t xml:space="preserve"> </w:t>
      </w:r>
      <w:r w:rsidR="00F361DE" w:rsidRPr="006405B9">
        <w:t xml:space="preserve">providers </w:t>
      </w:r>
      <w:r w:rsidR="00F361DE">
        <w:t>for costs in</w:t>
      </w:r>
      <w:r w:rsidR="00F361DE" w:rsidRPr="006405B9">
        <w:t xml:space="preserve"> establishing projects for work experience activities. </w:t>
      </w:r>
      <w:r w:rsidR="0094566C">
        <w:t>Spending</w:t>
      </w:r>
      <w:r w:rsidR="0094566C" w:rsidRPr="006405B9">
        <w:t xml:space="preserve"> </w:t>
      </w:r>
      <w:r w:rsidR="00F361DE" w:rsidRPr="006405B9">
        <w:t xml:space="preserve">against this </w:t>
      </w:r>
      <w:r w:rsidR="00F361DE">
        <w:t xml:space="preserve">EPF expenditure </w:t>
      </w:r>
      <w:r w:rsidR="00F361DE" w:rsidRPr="006405B9">
        <w:t xml:space="preserve">category increased </w:t>
      </w:r>
      <w:r w:rsidR="00F361DE">
        <w:t>under JSA 2012</w:t>
      </w:r>
      <w:r w:rsidR="00A265AC">
        <w:t xml:space="preserve"> for the following r</w:t>
      </w:r>
      <w:r w:rsidR="00F361DE" w:rsidRPr="006405B9">
        <w:t>easons</w:t>
      </w:r>
      <w:r w:rsidR="00F361DE" w:rsidRPr="00C61A96">
        <w:rPr>
          <w:color w:val="000000" w:themeColor="text1"/>
        </w:rPr>
        <w:t>:</w:t>
      </w:r>
    </w:p>
    <w:p w14:paraId="2A12FABE" w14:textId="77777777" w:rsidR="00F361DE" w:rsidRPr="002A49E8" w:rsidRDefault="00F361DE" w:rsidP="00EC212B">
      <w:pPr>
        <w:pStyle w:val="ListParagraph"/>
      </w:pPr>
      <w:r w:rsidRPr="002A49E8">
        <w:t>funding for Work for the Dole pilot projects</w:t>
      </w:r>
      <w:r>
        <w:t xml:space="preserve"> (in 2014-15)</w:t>
      </w:r>
    </w:p>
    <w:p w14:paraId="352A0DC9" w14:textId="77777777" w:rsidR="00F361DE" w:rsidRPr="002A49E8" w:rsidRDefault="00F361DE" w:rsidP="00EC212B">
      <w:pPr>
        <w:pStyle w:val="ListParagraph"/>
      </w:pPr>
      <w:r w:rsidRPr="002A49E8">
        <w:t xml:space="preserve">the introduction of </w:t>
      </w:r>
      <w:r w:rsidR="0094566C">
        <w:t xml:space="preserve">the </w:t>
      </w:r>
      <w:r w:rsidRPr="002A49E8">
        <w:t>CAP in JSA 2012</w:t>
      </w:r>
      <w:r w:rsidR="00A265AC">
        <w:t xml:space="preserve"> which meant </w:t>
      </w:r>
      <w:r w:rsidRPr="002A49E8">
        <w:t xml:space="preserve">providers </w:t>
      </w:r>
      <w:r w:rsidR="0094566C">
        <w:t xml:space="preserve">were required </w:t>
      </w:r>
      <w:r w:rsidRPr="002A49E8">
        <w:t xml:space="preserve">to set up </w:t>
      </w:r>
      <w:r w:rsidR="00A265AC">
        <w:t xml:space="preserve">more </w:t>
      </w:r>
      <w:r w:rsidRPr="002A49E8">
        <w:t xml:space="preserve">projects </w:t>
      </w:r>
    </w:p>
    <w:p w14:paraId="295FABCB" w14:textId="77777777" w:rsidR="00F361DE" w:rsidRPr="002A49E8" w:rsidRDefault="00F361DE" w:rsidP="00EC212B">
      <w:pPr>
        <w:pStyle w:val="ListParagraph"/>
      </w:pPr>
      <w:r w:rsidRPr="002A49E8">
        <w:t xml:space="preserve">the proportion of the caseload that was </w:t>
      </w:r>
      <w:r w:rsidR="0041306D">
        <w:t xml:space="preserve">in employment services for more than 12 months </w:t>
      </w:r>
      <w:r w:rsidRPr="002A49E8">
        <w:t xml:space="preserve">was greater under JSA 2012 than JSA 2009 </w:t>
      </w:r>
      <w:r w:rsidR="00312816">
        <w:t>(Table A1.2)</w:t>
      </w:r>
      <w:r w:rsidR="00AC0044">
        <w:t>. T</w:t>
      </w:r>
      <w:r w:rsidRPr="002A49E8">
        <w:t>herefore a larger proportion of job seekers would be required to undertake work experience activities.</w:t>
      </w:r>
    </w:p>
    <w:p w14:paraId="564E4111" w14:textId="77777777" w:rsidR="00C02EE9" w:rsidRDefault="00C02EE9" w:rsidP="00EC212B">
      <w:pPr>
        <w:pStyle w:val="ListParagraph"/>
      </w:pPr>
      <w:r>
        <w:t xml:space="preserve">fewer outcome fees under JSA 2012 may have resulted in providers focusing on education in order to secure these outcomes </w:t>
      </w:r>
    </w:p>
    <w:p w14:paraId="13231D78" w14:textId="77777777" w:rsidR="00F361DE" w:rsidRPr="00AF3E0D" w:rsidRDefault="00F361DE" w:rsidP="00EC212B">
      <w:pPr>
        <w:pStyle w:val="ListParagraph"/>
      </w:pPr>
      <w:r>
        <w:t>In summary, c</w:t>
      </w:r>
      <w:r w:rsidRPr="00AF3E0D">
        <w:t xml:space="preserve">hanges in expenditure within EPF categories between the two models may reflect </w:t>
      </w:r>
      <w:r w:rsidR="00AC0044" w:rsidRPr="00AF3E0D">
        <w:t>changes</w:t>
      </w:r>
      <w:r w:rsidRPr="00AF3E0D">
        <w:t>:</w:t>
      </w:r>
    </w:p>
    <w:p w14:paraId="452E3479" w14:textId="77777777" w:rsidR="00735C5B" w:rsidRDefault="00735C5B" w:rsidP="00C02EE9">
      <w:pPr>
        <w:pStyle w:val="bullet"/>
        <w:numPr>
          <w:ilvl w:val="1"/>
          <w:numId w:val="47"/>
        </w:numPr>
      </w:pPr>
      <w:r>
        <w:t>in the evidentiary requirements for reverse marketing and post-placement support between the models (resulting in falls in spending in both these categories)</w:t>
      </w:r>
    </w:p>
    <w:p w14:paraId="189FE26C" w14:textId="77777777" w:rsidR="00F361DE" w:rsidRPr="00AF3E0D" w:rsidRDefault="00F361DE" w:rsidP="00C02EE9">
      <w:pPr>
        <w:pStyle w:val="bullet"/>
        <w:numPr>
          <w:ilvl w:val="1"/>
          <w:numId w:val="47"/>
        </w:numPr>
      </w:pPr>
      <w:r w:rsidRPr="00AF3E0D">
        <w:t xml:space="preserve">in the job seeker caseload mix. </w:t>
      </w:r>
      <w:r w:rsidR="00735C5B">
        <w:t>As shown in Table A1.2, t</w:t>
      </w:r>
      <w:r w:rsidRPr="00AF3E0D">
        <w:t>he JSA 2012 caseload compared to the JSA 2009</w:t>
      </w:r>
      <w:r w:rsidRPr="00AF3E0D">
        <w:rPr>
          <w:rStyle w:val="FootnoteReference"/>
        </w:rPr>
        <w:footnoteReference w:id="93"/>
      </w:r>
      <w:r w:rsidRPr="00AF3E0D">
        <w:t xml:space="preserve"> had more job seekers:</w:t>
      </w:r>
    </w:p>
    <w:p w14:paraId="48BE0241" w14:textId="77777777" w:rsidR="00F361DE" w:rsidRPr="00AF3E0D" w:rsidRDefault="00F361DE" w:rsidP="00C02EE9">
      <w:pPr>
        <w:pStyle w:val="bullet"/>
        <w:numPr>
          <w:ilvl w:val="2"/>
          <w:numId w:val="47"/>
        </w:numPr>
      </w:pPr>
      <w:r w:rsidRPr="00AF3E0D">
        <w:t>in Stream 4 (20.4 per cent compared with 15.3 per cent)</w:t>
      </w:r>
    </w:p>
    <w:p w14:paraId="3C695A38" w14:textId="77777777" w:rsidR="00F361DE" w:rsidRPr="00AF3E0D" w:rsidRDefault="00F361DE" w:rsidP="00C02EE9">
      <w:pPr>
        <w:pStyle w:val="bullet"/>
        <w:numPr>
          <w:ilvl w:val="2"/>
          <w:numId w:val="47"/>
        </w:numPr>
      </w:pPr>
      <w:r w:rsidRPr="00AF3E0D">
        <w:t>unemployed for longer periods (52.6 per cent LTU/VLTU compared with 48.2 per cent)</w:t>
      </w:r>
    </w:p>
    <w:p w14:paraId="30B6F1AF" w14:textId="19E83720" w:rsidR="00F361DE" w:rsidRPr="00AF3E0D" w:rsidRDefault="00F361DE" w:rsidP="00C02EE9">
      <w:pPr>
        <w:pStyle w:val="bullet"/>
        <w:numPr>
          <w:ilvl w:val="2"/>
          <w:numId w:val="47"/>
        </w:numPr>
      </w:pPr>
      <w:r w:rsidRPr="00AF3E0D">
        <w:t xml:space="preserve">receiving either </w:t>
      </w:r>
      <w:r w:rsidR="001D74A6">
        <w:t>Newstart Allowance (</w:t>
      </w:r>
      <w:r w:rsidRPr="00AF3E0D">
        <w:t>NSA</w:t>
      </w:r>
      <w:r w:rsidR="001D74A6">
        <w:t>)</w:t>
      </w:r>
      <w:r w:rsidRPr="00AF3E0D">
        <w:t xml:space="preserve"> and </w:t>
      </w:r>
      <w:r w:rsidR="001D74A6">
        <w:t>Youth Allowance (Other) (</w:t>
      </w:r>
      <w:r w:rsidRPr="00AF3E0D">
        <w:t>YA(O)</w:t>
      </w:r>
      <w:r w:rsidR="001D74A6">
        <w:t>)</w:t>
      </w:r>
      <w:r w:rsidRPr="00AF3E0D">
        <w:t xml:space="preserve"> (83.5 per cent compared with 69.0 per cent</w:t>
      </w:r>
      <w:r w:rsidR="0094566C">
        <w:t xml:space="preserve"> in the 2009 contract</w:t>
      </w:r>
      <w:r w:rsidRPr="00AF3E0D">
        <w:t xml:space="preserve">) and less likely to be on </w:t>
      </w:r>
      <w:r w:rsidR="00162AE1">
        <w:t>Parenting Payment (</w:t>
      </w:r>
      <w:r w:rsidR="001D74A6">
        <w:t>PP</w:t>
      </w:r>
      <w:r w:rsidR="00162AE1">
        <w:t>)</w:t>
      </w:r>
      <w:r w:rsidR="00735C5B">
        <w:t xml:space="preserve"> as a result</w:t>
      </w:r>
      <w:r w:rsidRPr="00AF3E0D">
        <w:t xml:space="preserve"> of changes to grandfathering of </w:t>
      </w:r>
      <w:r w:rsidR="001D74A6">
        <w:t>PP</w:t>
      </w:r>
      <w:r w:rsidRPr="00AF3E0D">
        <w:t xml:space="preserve"> recipients</w:t>
      </w:r>
      <w:r w:rsidR="00735C5B">
        <w:t xml:space="preserve"> </w:t>
      </w:r>
      <w:r w:rsidR="00735C5B" w:rsidRPr="00AF3E0D">
        <w:t>(5.4 per cent compared with 12.1 per cent</w:t>
      </w:r>
      <w:r w:rsidR="0094566C">
        <w:t xml:space="preserve"> in the 2009 contract</w:t>
      </w:r>
      <w:r w:rsidR="00735C5B" w:rsidRPr="00AF3E0D">
        <w:t>)</w:t>
      </w:r>
      <w:r w:rsidRPr="00AF3E0D">
        <w:t>.</w:t>
      </w:r>
    </w:p>
    <w:p w14:paraId="75628A28" w14:textId="77777777" w:rsidR="00A003CE" w:rsidRDefault="00F361DE" w:rsidP="00C02EE9">
      <w:pPr>
        <w:pStyle w:val="bullet"/>
        <w:numPr>
          <w:ilvl w:val="1"/>
          <w:numId w:val="47"/>
        </w:numPr>
      </w:pPr>
      <w:r w:rsidRPr="00AF3E0D">
        <w:t xml:space="preserve">to the model that affect the type of EPF assistance required e.g. introduction of CAP and changes to Stream 1 </w:t>
      </w:r>
      <w:r w:rsidR="004A2E79">
        <w:t>S</w:t>
      </w:r>
      <w:r w:rsidRPr="00AF3E0D">
        <w:t>ervicing</w:t>
      </w:r>
      <w:r w:rsidR="00B04197">
        <w:t>.</w:t>
      </w:r>
    </w:p>
    <w:p w14:paraId="605B1A96" w14:textId="77777777" w:rsidR="00F361DE" w:rsidRPr="00AF3E0D" w:rsidRDefault="00735C5B" w:rsidP="00F361DE">
      <w:r>
        <w:t xml:space="preserve">These changes </w:t>
      </w:r>
      <w:r w:rsidR="00F361DE" w:rsidRPr="00AF3E0D">
        <w:t xml:space="preserve">could also </w:t>
      </w:r>
      <w:r>
        <w:t xml:space="preserve">be reflective of </w:t>
      </w:r>
      <w:r w:rsidR="00F361DE" w:rsidRPr="00AF3E0D">
        <w:t xml:space="preserve">changes in provider practices </w:t>
      </w:r>
      <w:r w:rsidR="00C02EE9">
        <w:t>that</w:t>
      </w:r>
      <w:r>
        <w:t xml:space="preserve"> </w:t>
      </w:r>
      <w:r w:rsidR="00F361DE" w:rsidRPr="00AF3E0D">
        <w:t>may</w:t>
      </w:r>
      <w:r>
        <w:t>,</w:t>
      </w:r>
      <w:r w:rsidR="00F361DE" w:rsidRPr="00AF3E0D">
        <w:t xml:space="preserve"> or may not have</w:t>
      </w:r>
      <w:r>
        <w:t>,</w:t>
      </w:r>
      <w:r w:rsidR="00F361DE" w:rsidRPr="00AF3E0D">
        <w:t xml:space="preserve"> </w:t>
      </w:r>
      <w:r w:rsidR="00C02EE9">
        <w:t>affected</w:t>
      </w:r>
      <w:r w:rsidR="00F361DE" w:rsidRPr="00AF3E0D">
        <w:t xml:space="preserve"> job seeker outcomes.</w:t>
      </w:r>
    </w:p>
    <w:p w14:paraId="2217E8A7" w14:textId="5880A3AA" w:rsidR="00735C5B" w:rsidRDefault="00F361DE" w:rsidP="00F361DE">
      <w:r w:rsidRPr="00DF45D3">
        <w:t xml:space="preserve">Total EPF expenditure under JSA 2012 was around 12 per cent higher than for JSA 2009. The average monthly JSA caseload in JSA 2012 was on average about </w:t>
      </w:r>
      <w:r>
        <w:t>7</w:t>
      </w:r>
      <w:r w:rsidRPr="00DF45D3">
        <w:t xml:space="preserve"> per cent greater than for JSA 2009. The number of job seekers assisted each year and under which categories they received the assistance differed (Figure </w:t>
      </w:r>
      <w:r w:rsidR="0094566C">
        <w:t>10.</w:t>
      </w:r>
      <w:r w:rsidRPr="00DF45D3">
        <w:t xml:space="preserve">4). </w:t>
      </w:r>
      <w:r w:rsidR="0094566C">
        <w:t>Although expenditure was higher in JSA</w:t>
      </w:r>
      <w:r w:rsidR="00971BA2">
        <w:t xml:space="preserve"> </w:t>
      </w:r>
      <w:r w:rsidR="0094566C">
        <w:t>2012, o</w:t>
      </w:r>
      <w:r w:rsidRPr="00AF3E0D">
        <w:t>verall it appears that a larger proportion of the JSA 2009 caseload received EPF assistance than the JSA 2012</w:t>
      </w:r>
      <w:r>
        <w:t xml:space="preserve"> </w:t>
      </w:r>
      <w:r w:rsidR="00AC0044">
        <w:t xml:space="preserve">caseload </w:t>
      </w:r>
      <w:r>
        <w:t>(with almost 50,000 fewer job seekers assisted in JSA 2012)</w:t>
      </w:r>
      <w:r w:rsidRPr="00AF3E0D">
        <w:t xml:space="preserve">. </w:t>
      </w:r>
      <w:r w:rsidR="00FA59A7" w:rsidRPr="00AF3E0D">
        <w:t>However,</w:t>
      </w:r>
      <w:r w:rsidRPr="00AF3E0D">
        <w:t xml:space="preserve"> it should be </w:t>
      </w:r>
      <w:r w:rsidR="00735C5B">
        <w:t>noted</w:t>
      </w:r>
      <w:r w:rsidRPr="00AF3E0D">
        <w:t xml:space="preserve"> that this result does not take in to account the job seekers assisted through the EPF </w:t>
      </w:r>
      <w:r w:rsidR="0094566C">
        <w:t>w</w:t>
      </w:r>
      <w:r w:rsidRPr="00AF3E0D">
        <w:t xml:space="preserve">ork </w:t>
      </w:r>
      <w:r w:rsidR="0094566C">
        <w:t>e</w:t>
      </w:r>
      <w:r w:rsidRPr="00AF3E0D">
        <w:t xml:space="preserve">xperience </w:t>
      </w:r>
      <w:r w:rsidR="0094566C">
        <w:t>g</w:t>
      </w:r>
      <w:r w:rsidRPr="00AF3E0D">
        <w:t xml:space="preserve">roup </w:t>
      </w:r>
      <w:r w:rsidR="0094566C">
        <w:t>b</w:t>
      </w:r>
      <w:r w:rsidRPr="00AF3E0D">
        <w:t xml:space="preserve">ased </w:t>
      </w:r>
      <w:r w:rsidR="0094566C">
        <w:t>a</w:t>
      </w:r>
      <w:r w:rsidRPr="00AF3E0D">
        <w:t>ctivity category.</w:t>
      </w:r>
      <w:r w:rsidR="00735C5B">
        <w:t xml:space="preserve"> Th</w:t>
      </w:r>
      <w:r w:rsidR="00026CF0">
        <w:t>e expenditure for th</w:t>
      </w:r>
      <w:r w:rsidR="00735C5B">
        <w:t>is category was almost double under JSA 2012</w:t>
      </w:r>
      <w:r w:rsidR="00026CF0">
        <w:t xml:space="preserve"> </w:t>
      </w:r>
      <w:r w:rsidR="00735C5B">
        <w:t>(Figure</w:t>
      </w:r>
      <w:r w:rsidR="0094566C">
        <w:t xml:space="preserve"> 10.</w:t>
      </w:r>
      <w:r w:rsidR="00735C5B">
        <w:t>3).</w:t>
      </w:r>
    </w:p>
    <w:p w14:paraId="0A450153" w14:textId="77777777" w:rsidR="00F361DE" w:rsidRPr="00B4512A" w:rsidRDefault="00F361DE" w:rsidP="00B4512A">
      <w:pPr>
        <w:pStyle w:val="Figureheadingforcontents"/>
      </w:pPr>
      <w:bookmarkStart w:id="542" w:name="_Toc22544054"/>
      <w:r w:rsidRPr="00DF45D3">
        <w:t xml:space="preserve">Figure </w:t>
      </w:r>
      <w:r w:rsidR="00B4512A">
        <w:t>10.</w:t>
      </w:r>
      <w:r w:rsidRPr="00DF45D3">
        <w:t xml:space="preserve">4: Number of job seekers assisted, selected </w:t>
      </w:r>
      <w:r w:rsidR="00793982" w:rsidRPr="008D1D34">
        <w:rPr>
          <w:rFonts w:eastAsiaTheme="majorEastAsia"/>
        </w:rPr>
        <w:t>E</w:t>
      </w:r>
      <w:r w:rsidR="00793982">
        <w:rPr>
          <w:rFonts w:eastAsiaTheme="majorEastAsia"/>
        </w:rPr>
        <w:t xml:space="preserve">mployment </w:t>
      </w:r>
      <w:r w:rsidR="00793982" w:rsidRPr="008D1D34">
        <w:rPr>
          <w:rFonts w:eastAsiaTheme="majorEastAsia"/>
        </w:rPr>
        <w:t>P</w:t>
      </w:r>
      <w:r w:rsidR="00793982">
        <w:rPr>
          <w:rFonts w:eastAsiaTheme="majorEastAsia"/>
        </w:rPr>
        <w:t xml:space="preserve">athway </w:t>
      </w:r>
      <w:r w:rsidR="00793982" w:rsidRPr="008D1D34">
        <w:rPr>
          <w:rFonts w:eastAsiaTheme="majorEastAsia"/>
        </w:rPr>
        <w:t>F</w:t>
      </w:r>
      <w:r w:rsidR="00793982">
        <w:rPr>
          <w:rFonts w:eastAsiaTheme="majorEastAsia"/>
        </w:rPr>
        <w:t>und (EPF)</w:t>
      </w:r>
      <w:r w:rsidRPr="00DF45D3">
        <w:t xml:space="preserve"> expenditure categories</w:t>
      </w:r>
      <w:r w:rsidR="00B4512A">
        <w:t xml:space="preserve"> JSA 2009 and JSA 2012 (number)</w:t>
      </w:r>
      <w:bookmarkEnd w:id="542"/>
    </w:p>
    <w:p w14:paraId="1450788A" w14:textId="77777777" w:rsidR="00F361DE" w:rsidRPr="00391D68" w:rsidRDefault="00074985" w:rsidP="00966545">
      <w:pPr>
        <w:spacing w:after="0"/>
        <w:rPr>
          <w:color w:val="C2C593" w:themeColor="accent4" w:themeTint="99"/>
        </w:rPr>
      </w:pPr>
      <w:r w:rsidRPr="00074985">
        <w:rPr>
          <w:noProof/>
          <w:lang w:eastAsia="en-AU"/>
        </w:rPr>
        <w:drawing>
          <wp:inline distT="0" distB="0" distL="0" distR="0" wp14:anchorId="3F46163E" wp14:editId="7ED027AE">
            <wp:extent cx="5732145" cy="3581113"/>
            <wp:effectExtent l="0" t="0" r="1905" b="635"/>
            <wp:docPr id="7" name="Picture 7" descr="Bar chart, showing data as described in previous paragraph, showing a larger proportion of the JSA 2009 caseload received EPF assistance than the JSA 2012.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2145" cy="3581113"/>
                    </a:xfrm>
                    <a:prstGeom prst="rect">
                      <a:avLst/>
                    </a:prstGeom>
                    <a:noFill/>
                    <a:ln>
                      <a:noFill/>
                    </a:ln>
                  </pic:spPr>
                </pic:pic>
              </a:graphicData>
            </a:graphic>
          </wp:inline>
        </w:drawing>
      </w:r>
    </w:p>
    <w:p w14:paraId="6E2D0020" w14:textId="77777777" w:rsidR="00B45E85" w:rsidRPr="006E205D" w:rsidRDefault="00F361DE" w:rsidP="00966545">
      <w:pPr>
        <w:pStyle w:val="Notes"/>
      </w:pPr>
      <w:r w:rsidRPr="00966545">
        <w:rPr>
          <w:b/>
        </w:rPr>
        <w:t>Notes</w:t>
      </w:r>
      <w:r w:rsidRPr="006E205D">
        <w:t>:</w:t>
      </w:r>
    </w:p>
    <w:p w14:paraId="4F6ABC17" w14:textId="77777777" w:rsidR="00B45E85" w:rsidRPr="00E5413A" w:rsidRDefault="00F361DE" w:rsidP="00AE4704">
      <w:pPr>
        <w:pStyle w:val="Notesnumbered"/>
        <w:numPr>
          <w:ilvl w:val="0"/>
          <w:numId w:val="250"/>
        </w:numPr>
        <w:ind w:left="709" w:hanging="567"/>
      </w:pPr>
      <w:r w:rsidRPr="00E5413A">
        <w:t>Job seekers may be assisted in more than one category.</w:t>
      </w:r>
    </w:p>
    <w:p w14:paraId="4CBEB0EC" w14:textId="77777777" w:rsidR="00B45E85" w:rsidRPr="00E5413A" w:rsidRDefault="00F361DE" w:rsidP="00AE4704">
      <w:pPr>
        <w:pStyle w:val="Notesnumbered"/>
        <w:numPr>
          <w:ilvl w:val="0"/>
          <w:numId w:val="250"/>
        </w:numPr>
        <w:ind w:left="709" w:hanging="567"/>
      </w:pPr>
      <w:r w:rsidRPr="00E5413A">
        <w:t>Excludes a small amount of EPF commitments (less than 0.5 per cent of total EPF expenditure) that had not been reimbursed at the time that data was accessed.</w:t>
      </w:r>
    </w:p>
    <w:p w14:paraId="4A961D28" w14:textId="77777777" w:rsidR="003C1A65" w:rsidRPr="00E5413A" w:rsidRDefault="00F361DE" w:rsidP="00AE4704">
      <w:pPr>
        <w:pStyle w:val="Notesnumbered"/>
        <w:numPr>
          <w:ilvl w:val="0"/>
          <w:numId w:val="250"/>
        </w:numPr>
        <w:ind w:left="709" w:hanging="567"/>
      </w:pPr>
      <w:r w:rsidRPr="00E5413A">
        <w:t xml:space="preserve">Excludes funds not allocated to specific job seekers such as assistance provided under </w:t>
      </w:r>
      <w:r w:rsidR="0072794D" w:rsidRPr="00E5413A">
        <w:t>w</w:t>
      </w:r>
      <w:r w:rsidRPr="00E5413A">
        <w:t xml:space="preserve">ork </w:t>
      </w:r>
      <w:r w:rsidR="0072794D" w:rsidRPr="00E5413A">
        <w:t>e</w:t>
      </w:r>
      <w:r w:rsidRPr="00E5413A">
        <w:t>xperience group based activities, labour market assistance packages (LAP) and other batch purchases.</w:t>
      </w:r>
    </w:p>
    <w:p w14:paraId="7BE9760C" w14:textId="77777777" w:rsidR="003C1A65" w:rsidRPr="00E5413A" w:rsidRDefault="003C1A65" w:rsidP="00AE4704">
      <w:pPr>
        <w:pStyle w:val="Notesnumbered"/>
        <w:numPr>
          <w:ilvl w:val="0"/>
          <w:numId w:val="250"/>
        </w:numPr>
        <w:ind w:left="709" w:hanging="567"/>
      </w:pPr>
      <w:r w:rsidRPr="00E5413A">
        <w:t xml:space="preserve">Refer </w:t>
      </w:r>
      <w:hyperlink w:anchor="Title_A244" w:history="1">
        <w:r w:rsidRPr="008C50A7">
          <w:rPr>
            <w:rStyle w:val="Hyperlink"/>
          </w:rPr>
          <w:t>Appendix A</w:t>
        </w:r>
        <w:r w:rsidR="00F75BBA" w:rsidRPr="008C50A7">
          <w:rPr>
            <w:rStyle w:val="Hyperlink"/>
          </w:rPr>
          <w:t>2</w:t>
        </w:r>
        <w:r w:rsidRPr="008C50A7">
          <w:rPr>
            <w:rStyle w:val="Hyperlink"/>
          </w:rPr>
          <w:t>, Table A2.44</w:t>
        </w:r>
      </w:hyperlink>
      <w:r w:rsidRPr="00E5413A">
        <w:t>.</w:t>
      </w:r>
      <w:bookmarkStart w:id="543" w:name="Place_A244"/>
      <w:bookmarkEnd w:id="543"/>
    </w:p>
    <w:p w14:paraId="4662A77D" w14:textId="77777777" w:rsidR="00966545" w:rsidRPr="0019349B" w:rsidRDefault="00966545" w:rsidP="003C1A65">
      <w:pPr>
        <w:pStyle w:val="Source"/>
      </w:pPr>
      <w:r w:rsidRPr="003C1A65">
        <w:rPr>
          <w:b/>
        </w:rPr>
        <w:t>Source</w:t>
      </w:r>
      <w:r w:rsidRPr="009B55FF">
        <w:t>:</w:t>
      </w:r>
      <w:r w:rsidRPr="0019349B">
        <w:tab/>
      </w:r>
      <w:r w:rsidRPr="00966545">
        <w:t>Department</w:t>
      </w:r>
      <w:r w:rsidRPr="0019349B">
        <w:t xml:space="preserve"> of Employment administrative data.</w:t>
      </w:r>
    </w:p>
    <w:p w14:paraId="51C04D70" w14:textId="77777777" w:rsidR="00F361DE" w:rsidRDefault="00026CF0" w:rsidP="00F361DE">
      <w:r>
        <w:t>Average spending f</w:t>
      </w:r>
      <w:r w:rsidR="00F361DE" w:rsidRPr="00093A96">
        <w:t xml:space="preserve">or job seekers assisted </w:t>
      </w:r>
      <w:r w:rsidR="00F361DE">
        <w:t xml:space="preserve">through EPF </w:t>
      </w:r>
      <w:r w:rsidR="00F361DE" w:rsidRPr="00093A96">
        <w:t>was greater under JSA 2012</w:t>
      </w:r>
      <w:r>
        <w:t xml:space="preserve"> ($1</w:t>
      </w:r>
      <w:r w:rsidR="0019349B">
        <w:t>,</w:t>
      </w:r>
      <w:r>
        <w:t>409)</w:t>
      </w:r>
      <w:r w:rsidR="00F361DE" w:rsidRPr="00093A96">
        <w:t xml:space="preserve"> than JSA 2009 (</w:t>
      </w:r>
      <w:r w:rsidR="00F361DE">
        <w:t>$</w:t>
      </w:r>
      <w:r w:rsidR="00F361DE" w:rsidRPr="00093A96">
        <w:t>1,185)</w:t>
      </w:r>
      <w:r>
        <w:t>. W</w:t>
      </w:r>
      <w:r w:rsidR="00F361DE" w:rsidRPr="00093A96">
        <w:t>age</w:t>
      </w:r>
      <w:r w:rsidR="00F361DE">
        <w:t xml:space="preserve"> s</w:t>
      </w:r>
      <w:r w:rsidR="00F361DE" w:rsidRPr="00093A96">
        <w:t xml:space="preserve">ubsidy </w:t>
      </w:r>
      <w:r>
        <w:t xml:space="preserve">spending represented </w:t>
      </w:r>
      <w:r w:rsidR="00F361DE" w:rsidRPr="00093A96">
        <w:t xml:space="preserve">the largest average </w:t>
      </w:r>
      <w:r w:rsidR="00F361DE">
        <w:t xml:space="preserve">job seeker </w:t>
      </w:r>
      <w:r w:rsidR="00F361DE" w:rsidRPr="00093A96">
        <w:t xml:space="preserve">expenditure (Figure </w:t>
      </w:r>
      <w:r w:rsidR="008159BB">
        <w:t>10.</w:t>
      </w:r>
      <w:r w:rsidR="00AC0044" w:rsidRPr="00093A96">
        <w:t>5</w:t>
      </w:r>
      <w:r w:rsidR="00F361DE" w:rsidRPr="00093A96">
        <w:t>).</w:t>
      </w:r>
    </w:p>
    <w:p w14:paraId="59679229" w14:textId="77777777" w:rsidR="00F361DE" w:rsidRPr="00093A96" w:rsidRDefault="00F361DE" w:rsidP="00F361DE">
      <w:pPr>
        <w:pStyle w:val="Figureheadingforcontents"/>
      </w:pPr>
      <w:bookmarkStart w:id="544" w:name="_Toc22544055"/>
      <w:r w:rsidRPr="00093A96">
        <w:t xml:space="preserve">Figure </w:t>
      </w:r>
      <w:r w:rsidR="00B4512A">
        <w:t>10</w:t>
      </w:r>
      <w:r w:rsidR="00B140F2">
        <w:t>.</w:t>
      </w:r>
      <w:r w:rsidRPr="00093A96">
        <w:t xml:space="preserve">5: Average amount of </w:t>
      </w:r>
      <w:r w:rsidR="00793982" w:rsidRPr="008D1D34">
        <w:rPr>
          <w:rFonts w:eastAsiaTheme="majorEastAsia"/>
        </w:rPr>
        <w:t>E</w:t>
      </w:r>
      <w:r w:rsidR="00793982">
        <w:rPr>
          <w:rFonts w:eastAsiaTheme="majorEastAsia"/>
        </w:rPr>
        <w:t xml:space="preserve">mployment </w:t>
      </w:r>
      <w:r w:rsidR="00793982" w:rsidRPr="008D1D34">
        <w:rPr>
          <w:rFonts w:eastAsiaTheme="majorEastAsia"/>
        </w:rPr>
        <w:t>P</w:t>
      </w:r>
      <w:r w:rsidR="00793982">
        <w:rPr>
          <w:rFonts w:eastAsiaTheme="majorEastAsia"/>
        </w:rPr>
        <w:t xml:space="preserve">athway </w:t>
      </w:r>
      <w:r w:rsidR="00793982" w:rsidRPr="008D1D34">
        <w:rPr>
          <w:rFonts w:eastAsiaTheme="majorEastAsia"/>
        </w:rPr>
        <w:t>F</w:t>
      </w:r>
      <w:r w:rsidR="00793982">
        <w:rPr>
          <w:rFonts w:eastAsiaTheme="majorEastAsia"/>
        </w:rPr>
        <w:t xml:space="preserve">und (EPF) </w:t>
      </w:r>
      <w:r w:rsidR="00B4512A">
        <w:t>dollars</w:t>
      </w:r>
      <w:r w:rsidR="00B4512A" w:rsidRPr="00093A96">
        <w:t xml:space="preserve"> </w:t>
      </w:r>
      <w:r w:rsidRPr="00093A96">
        <w:t>allocated to job seekers, selected EPF expenditure categories</w:t>
      </w:r>
      <w:r w:rsidR="00B4512A">
        <w:t xml:space="preserve"> ($)</w:t>
      </w:r>
      <w:bookmarkEnd w:id="544"/>
    </w:p>
    <w:p w14:paraId="755F0BE1" w14:textId="77777777" w:rsidR="00F361DE" w:rsidRPr="00391D68" w:rsidRDefault="00074985" w:rsidP="00966545">
      <w:pPr>
        <w:spacing w:after="0"/>
        <w:rPr>
          <w:color w:val="C2C593" w:themeColor="accent4" w:themeTint="99"/>
        </w:rPr>
      </w:pPr>
      <w:r w:rsidRPr="00074985">
        <w:rPr>
          <w:noProof/>
          <w:lang w:eastAsia="en-AU"/>
        </w:rPr>
        <w:drawing>
          <wp:inline distT="0" distB="0" distL="0" distR="0" wp14:anchorId="128F3247" wp14:editId="1A888F35">
            <wp:extent cx="5732145" cy="3325519"/>
            <wp:effectExtent l="0" t="0" r="1905" b="8255"/>
            <wp:docPr id="9" name="Picture 9" descr="Bar chart, showing average EPF expenditure per job seeker was greater under JSA 2012, with more spent per job seeker on wage subsidies and training assistance. There is a hyperlink to the data provided in the notes for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2145" cy="3325519"/>
                    </a:xfrm>
                    <a:prstGeom prst="rect">
                      <a:avLst/>
                    </a:prstGeom>
                    <a:noFill/>
                    <a:ln>
                      <a:noFill/>
                    </a:ln>
                  </pic:spPr>
                </pic:pic>
              </a:graphicData>
            </a:graphic>
          </wp:inline>
        </w:drawing>
      </w:r>
    </w:p>
    <w:p w14:paraId="5A57A089" w14:textId="77777777" w:rsidR="00B45E85" w:rsidRPr="006E205D" w:rsidRDefault="00F361DE" w:rsidP="00966545">
      <w:pPr>
        <w:pStyle w:val="Notes"/>
      </w:pPr>
      <w:r w:rsidRPr="00966545">
        <w:rPr>
          <w:b/>
        </w:rPr>
        <w:t>Notes</w:t>
      </w:r>
      <w:r w:rsidRPr="006E205D">
        <w:t>:</w:t>
      </w:r>
    </w:p>
    <w:p w14:paraId="6EB693E3" w14:textId="77777777" w:rsidR="00B45E85" w:rsidRPr="00E5413A" w:rsidRDefault="00F361DE" w:rsidP="00AE4704">
      <w:pPr>
        <w:pStyle w:val="Notesnumbered"/>
        <w:numPr>
          <w:ilvl w:val="0"/>
          <w:numId w:val="251"/>
        </w:numPr>
        <w:ind w:left="709" w:hanging="567"/>
      </w:pPr>
      <w:r w:rsidRPr="00E5413A">
        <w:t>Job seekers may be assisted in more than one category.</w:t>
      </w:r>
    </w:p>
    <w:p w14:paraId="6D546FC9" w14:textId="77777777" w:rsidR="00B45E85" w:rsidRPr="00E5413A" w:rsidRDefault="00F361DE" w:rsidP="00AE4704">
      <w:pPr>
        <w:pStyle w:val="Notesnumbered"/>
        <w:numPr>
          <w:ilvl w:val="0"/>
          <w:numId w:val="251"/>
        </w:numPr>
        <w:ind w:left="709" w:hanging="567"/>
      </w:pPr>
      <w:r w:rsidRPr="00E5413A">
        <w:t>Excludes a small amount of EPF commitments (less than 0.5 per cent of total EPF expenditure) that had not been reimbursed at the time that data was accessed.</w:t>
      </w:r>
    </w:p>
    <w:p w14:paraId="5B5169D4" w14:textId="77777777" w:rsidR="00F361DE" w:rsidRPr="00E5413A" w:rsidRDefault="00F361DE" w:rsidP="00AE4704">
      <w:pPr>
        <w:pStyle w:val="Notesnumbered"/>
        <w:numPr>
          <w:ilvl w:val="0"/>
          <w:numId w:val="251"/>
        </w:numPr>
        <w:ind w:left="709" w:hanging="567"/>
      </w:pPr>
      <w:r w:rsidRPr="00E5413A">
        <w:t xml:space="preserve">Excludes funds not allocated to specific job seekers such as assistance provided under </w:t>
      </w:r>
      <w:r w:rsidR="0072794D" w:rsidRPr="00E5413A">
        <w:t>w</w:t>
      </w:r>
      <w:r w:rsidRPr="00E5413A">
        <w:t xml:space="preserve">ork </w:t>
      </w:r>
      <w:r w:rsidR="0072794D" w:rsidRPr="00E5413A">
        <w:t>e</w:t>
      </w:r>
      <w:r w:rsidRPr="00E5413A">
        <w:t>xperience group based activities, labour market assistance packages (LAP) and other batch purchases.</w:t>
      </w:r>
    </w:p>
    <w:p w14:paraId="5D55D4F0" w14:textId="77777777" w:rsidR="003C1A65" w:rsidRPr="00E5413A" w:rsidRDefault="003C1A65" w:rsidP="00AE4704">
      <w:pPr>
        <w:pStyle w:val="Notesnumbered"/>
        <w:numPr>
          <w:ilvl w:val="0"/>
          <w:numId w:val="251"/>
        </w:numPr>
        <w:ind w:left="709" w:hanging="567"/>
      </w:pPr>
      <w:r w:rsidRPr="00E5413A">
        <w:t xml:space="preserve">Refer </w:t>
      </w:r>
      <w:hyperlink w:anchor="Title_A245" w:history="1">
        <w:r w:rsidRPr="008C50A7">
          <w:rPr>
            <w:rStyle w:val="Hyperlink"/>
          </w:rPr>
          <w:t>Appendix A</w:t>
        </w:r>
        <w:r w:rsidR="00F75BBA" w:rsidRPr="008C50A7">
          <w:rPr>
            <w:rStyle w:val="Hyperlink"/>
          </w:rPr>
          <w:t>2</w:t>
        </w:r>
        <w:r w:rsidRPr="008C50A7">
          <w:rPr>
            <w:rStyle w:val="Hyperlink"/>
          </w:rPr>
          <w:t>, Table A2.45</w:t>
        </w:r>
      </w:hyperlink>
      <w:r w:rsidRPr="00E5413A">
        <w:t>.</w:t>
      </w:r>
      <w:bookmarkStart w:id="545" w:name="Place_A245"/>
      <w:bookmarkEnd w:id="545"/>
    </w:p>
    <w:p w14:paraId="40D6DCBF" w14:textId="77777777" w:rsidR="00966545" w:rsidRPr="00AF3E0D" w:rsidRDefault="00966545" w:rsidP="00966545">
      <w:pPr>
        <w:pStyle w:val="Source"/>
      </w:pPr>
      <w:r w:rsidRPr="00AF3E0D">
        <w:rPr>
          <w:b/>
        </w:rPr>
        <w:t>Source:</w:t>
      </w:r>
      <w:r>
        <w:rPr>
          <w:b/>
        </w:rPr>
        <w:tab/>
      </w:r>
      <w:r w:rsidRPr="00AF3E0D">
        <w:t>Department of Employment administrative data.</w:t>
      </w:r>
    </w:p>
    <w:p w14:paraId="0DDF51E6" w14:textId="77777777" w:rsidR="00224E34" w:rsidRDefault="00224E34" w:rsidP="00224E34">
      <w:pPr>
        <w:pStyle w:val="Heading3"/>
      </w:pPr>
      <w:bookmarkStart w:id="546" w:name="_Toc22543150"/>
      <w:r>
        <w:t>10.2.3</w:t>
      </w:r>
      <w:r w:rsidR="00265029">
        <w:tab/>
      </w:r>
      <w:r>
        <w:t>Star Ratings and provider performance</w:t>
      </w:r>
      <w:bookmarkEnd w:id="539"/>
      <w:bookmarkEnd w:id="546"/>
    </w:p>
    <w:p w14:paraId="4B55951C" w14:textId="77777777" w:rsidR="0036051B" w:rsidRDefault="0036051B" w:rsidP="00224E34">
      <w:r>
        <w:t xml:space="preserve">Star Ratings were a key part of the provider performance framework. A discussion of the Star Ratings mechanics is at </w:t>
      </w:r>
      <w:r w:rsidR="003649E1">
        <w:t>s</w:t>
      </w:r>
      <w:r>
        <w:t xml:space="preserve">ection </w:t>
      </w:r>
      <w:r w:rsidR="00F73642">
        <w:t>1.1.1</w:t>
      </w:r>
      <w:r>
        <w:t>.</w:t>
      </w:r>
    </w:p>
    <w:p w14:paraId="2D4621A0" w14:textId="77777777" w:rsidR="006675A3" w:rsidRDefault="00224E34" w:rsidP="00224E34">
      <w:r w:rsidRPr="001F712D">
        <w:t>Over the life of the JSA model</w:t>
      </w:r>
      <w:r>
        <w:t>, there was a tendency for</w:t>
      </w:r>
      <w:r w:rsidRPr="001F712D">
        <w:t xml:space="preserve"> Star Ratings to cluster at the average </w:t>
      </w:r>
      <w:r>
        <w:t>of</w:t>
      </w:r>
      <w:r w:rsidRPr="001F712D">
        <w:t xml:space="preserve"> </w:t>
      </w:r>
      <w:r w:rsidR="00DE208B">
        <w:t>3 S</w:t>
      </w:r>
      <w:r>
        <w:t>tars</w:t>
      </w:r>
      <w:r w:rsidRPr="001F712D">
        <w:t xml:space="preserve">. </w:t>
      </w:r>
      <w:r w:rsidR="006675A3">
        <w:t xml:space="preserve">This resulted in many more providers over time becoming </w:t>
      </w:r>
      <w:r w:rsidR="00DE208B">
        <w:t>3</w:t>
      </w:r>
      <w:r w:rsidR="006675A3">
        <w:t xml:space="preserve"> stars or above (Table </w:t>
      </w:r>
      <w:r w:rsidR="00E9263E">
        <w:t>10.4</w:t>
      </w:r>
      <w:r w:rsidR="006675A3">
        <w:t xml:space="preserve">). This put them out of scope for either business reallocation or </w:t>
      </w:r>
      <w:r w:rsidR="0036051B">
        <w:t xml:space="preserve">automatic </w:t>
      </w:r>
      <w:r w:rsidR="006675A3">
        <w:t>performance management.</w:t>
      </w:r>
      <w:r w:rsidR="007051A7">
        <w:rPr>
          <w:rStyle w:val="FootnoteReference"/>
        </w:rPr>
        <w:footnoteReference w:id="94"/>
      </w:r>
    </w:p>
    <w:p w14:paraId="7684B16B" w14:textId="77777777" w:rsidR="00224E34" w:rsidRDefault="006675A3" w:rsidP="007F3869">
      <w:pPr>
        <w:pStyle w:val="Tableforcontents"/>
      </w:pPr>
      <w:bookmarkStart w:id="547" w:name="_Toc22544009"/>
      <w:r>
        <w:t xml:space="preserve">Table </w:t>
      </w:r>
      <w:r w:rsidR="002E627F">
        <w:t>10.</w:t>
      </w:r>
      <w:r w:rsidR="00E9263E">
        <w:t>4</w:t>
      </w:r>
      <w:r w:rsidR="002E627F">
        <w:t>:</w:t>
      </w:r>
      <w:r w:rsidR="00E9263E">
        <w:t xml:space="preserve"> Site </w:t>
      </w:r>
      <w:r w:rsidR="007F3869">
        <w:t>Star Ratings (3, 4 and 5) as at June 2010 – 2014 (number and per</w:t>
      </w:r>
      <w:r w:rsidR="00793982">
        <w:t xml:space="preserve"> </w:t>
      </w:r>
      <w:r w:rsidR="007F3869">
        <w:t>cent)</w:t>
      </w:r>
      <w:bookmarkEnd w:id="547"/>
    </w:p>
    <w:tbl>
      <w:tblPr>
        <w:tblStyle w:val="TableGrid"/>
        <w:tblW w:w="0" w:type="auto"/>
        <w:tblLayout w:type="fixed"/>
        <w:tblLook w:val="04A0" w:firstRow="1" w:lastRow="0" w:firstColumn="1" w:lastColumn="0" w:noHBand="0" w:noVBand="1"/>
      </w:tblPr>
      <w:tblGrid>
        <w:gridCol w:w="2802"/>
        <w:gridCol w:w="1275"/>
        <w:gridCol w:w="993"/>
        <w:gridCol w:w="850"/>
        <w:gridCol w:w="851"/>
        <w:gridCol w:w="992"/>
        <w:gridCol w:w="986"/>
      </w:tblGrid>
      <w:tr w:rsidR="007F3869" w14:paraId="01106F09" w14:textId="77777777" w:rsidTr="002740F6">
        <w:trPr>
          <w:tblHeader/>
        </w:trPr>
        <w:tc>
          <w:tcPr>
            <w:tcW w:w="2802" w:type="dxa"/>
            <w:tcBorders>
              <w:top w:val="nil"/>
              <w:left w:val="nil"/>
              <w:bottom w:val="nil"/>
              <w:right w:val="nil"/>
            </w:tcBorders>
            <w:shd w:val="clear" w:color="auto" w:fill="1E3D6B"/>
          </w:tcPr>
          <w:p w14:paraId="5B973BD9" w14:textId="77777777" w:rsidR="008272D7" w:rsidRPr="007F3869" w:rsidRDefault="008272D7" w:rsidP="00224E34">
            <w:pPr>
              <w:rPr>
                <w:b/>
                <w:sz w:val="20"/>
                <w:szCs w:val="20"/>
              </w:rPr>
            </w:pPr>
            <w:bookmarkStart w:id="548" w:name="Title_104"/>
            <w:bookmarkEnd w:id="548"/>
          </w:p>
        </w:tc>
        <w:tc>
          <w:tcPr>
            <w:tcW w:w="1275" w:type="dxa"/>
            <w:tcBorders>
              <w:top w:val="nil"/>
              <w:left w:val="nil"/>
              <w:bottom w:val="nil"/>
              <w:right w:val="nil"/>
            </w:tcBorders>
            <w:shd w:val="clear" w:color="auto" w:fill="1E3D6B"/>
          </w:tcPr>
          <w:p w14:paraId="53DFD5EA" w14:textId="77777777" w:rsidR="008272D7" w:rsidRPr="007F3869" w:rsidRDefault="008272D7" w:rsidP="002740F6">
            <w:pPr>
              <w:ind w:right="145"/>
              <w:jc w:val="center"/>
              <w:rPr>
                <w:b/>
                <w:sz w:val="20"/>
                <w:szCs w:val="20"/>
              </w:rPr>
            </w:pPr>
            <w:r w:rsidRPr="007F3869">
              <w:rPr>
                <w:b/>
                <w:sz w:val="20"/>
                <w:szCs w:val="20"/>
              </w:rPr>
              <w:t>As designed</w:t>
            </w:r>
          </w:p>
        </w:tc>
        <w:tc>
          <w:tcPr>
            <w:tcW w:w="993" w:type="dxa"/>
            <w:tcBorders>
              <w:top w:val="nil"/>
              <w:left w:val="nil"/>
              <w:bottom w:val="nil"/>
              <w:right w:val="nil"/>
            </w:tcBorders>
            <w:shd w:val="clear" w:color="auto" w:fill="1E3D6B"/>
          </w:tcPr>
          <w:p w14:paraId="4D1E42EE" w14:textId="77777777" w:rsidR="008272D7" w:rsidRPr="007F3869" w:rsidRDefault="008272D7" w:rsidP="002740F6">
            <w:pPr>
              <w:jc w:val="center"/>
              <w:rPr>
                <w:b/>
                <w:sz w:val="20"/>
                <w:szCs w:val="20"/>
              </w:rPr>
            </w:pPr>
            <w:r w:rsidRPr="007F3869">
              <w:rPr>
                <w:b/>
                <w:sz w:val="20"/>
                <w:szCs w:val="20"/>
              </w:rPr>
              <w:t>June 2010</w:t>
            </w:r>
          </w:p>
        </w:tc>
        <w:tc>
          <w:tcPr>
            <w:tcW w:w="850" w:type="dxa"/>
            <w:tcBorders>
              <w:top w:val="nil"/>
              <w:left w:val="nil"/>
              <w:bottom w:val="nil"/>
              <w:right w:val="nil"/>
            </w:tcBorders>
            <w:shd w:val="clear" w:color="auto" w:fill="1E3D6B"/>
          </w:tcPr>
          <w:p w14:paraId="1CFA84E5" w14:textId="77777777" w:rsidR="008272D7" w:rsidRPr="007F3869" w:rsidRDefault="008272D7" w:rsidP="002740F6">
            <w:pPr>
              <w:jc w:val="center"/>
              <w:rPr>
                <w:b/>
                <w:sz w:val="20"/>
                <w:szCs w:val="20"/>
              </w:rPr>
            </w:pPr>
            <w:r w:rsidRPr="007F3869">
              <w:rPr>
                <w:b/>
                <w:sz w:val="20"/>
                <w:szCs w:val="20"/>
              </w:rPr>
              <w:t>June 2011</w:t>
            </w:r>
          </w:p>
        </w:tc>
        <w:tc>
          <w:tcPr>
            <w:tcW w:w="851" w:type="dxa"/>
            <w:tcBorders>
              <w:top w:val="nil"/>
              <w:left w:val="nil"/>
              <w:bottom w:val="nil"/>
              <w:right w:val="nil"/>
            </w:tcBorders>
            <w:shd w:val="clear" w:color="auto" w:fill="1E3D6B"/>
          </w:tcPr>
          <w:p w14:paraId="51C91643" w14:textId="77777777" w:rsidR="008272D7" w:rsidRPr="007F3869" w:rsidRDefault="008272D7" w:rsidP="002740F6">
            <w:pPr>
              <w:jc w:val="center"/>
              <w:rPr>
                <w:b/>
                <w:sz w:val="20"/>
                <w:szCs w:val="20"/>
              </w:rPr>
            </w:pPr>
            <w:r w:rsidRPr="007F3869">
              <w:rPr>
                <w:b/>
                <w:sz w:val="20"/>
                <w:szCs w:val="20"/>
              </w:rPr>
              <w:t>June 2012</w:t>
            </w:r>
          </w:p>
        </w:tc>
        <w:tc>
          <w:tcPr>
            <w:tcW w:w="992" w:type="dxa"/>
            <w:tcBorders>
              <w:top w:val="nil"/>
              <w:left w:val="nil"/>
              <w:bottom w:val="nil"/>
              <w:right w:val="nil"/>
            </w:tcBorders>
            <w:shd w:val="clear" w:color="auto" w:fill="1E3D6B"/>
          </w:tcPr>
          <w:p w14:paraId="2A67F6B6" w14:textId="77777777" w:rsidR="008272D7" w:rsidRPr="007F3869" w:rsidRDefault="008272D7" w:rsidP="002740F6">
            <w:pPr>
              <w:jc w:val="center"/>
              <w:rPr>
                <w:b/>
                <w:sz w:val="20"/>
                <w:szCs w:val="20"/>
              </w:rPr>
            </w:pPr>
            <w:r w:rsidRPr="007F3869">
              <w:rPr>
                <w:b/>
                <w:sz w:val="20"/>
                <w:szCs w:val="20"/>
              </w:rPr>
              <w:t>June 2013</w:t>
            </w:r>
          </w:p>
        </w:tc>
        <w:tc>
          <w:tcPr>
            <w:tcW w:w="986" w:type="dxa"/>
            <w:tcBorders>
              <w:top w:val="nil"/>
              <w:left w:val="nil"/>
              <w:bottom w:val="nil"/>
              <w:right w:val="nil"/>
            </w:tcBorders>
            <w:shd w:val="clear" w:color="auto" w:fill="1E3D6B"/>
          </w:tcPr>
          <w:p w14:paraId="71706CF2" w14:textId="77777777" w:rsidR="008272D7" w:rsidRPr="007F3869" w:rsidRDefault="008272D7" w:rsidP="002740F6">
            <w:pPr>
              <w:jc w:val="center"/>
              <w:rPr>
                <w:b/>
                <w:sz w:val="20"/>
                <w:szCs w:val="20"/>
              </w:rPr>
            </w:pPr>
            <w:r w:rsidRPr="007F3869">
              <w:rPr>
                <w:b/>
                <w:sz w:val="20"/>
                <w:szCs w:val="20"/>
              </w:rPr>
              <w:t>June 2014</w:t>
            </w:r>
          </w:p>
        </w:tc>
      </w:tr>
      <w:tr w:rsidR="007F3869" w14:paraId="57C9E9E6" w14:textId="77777777" w:rsidTr="00966545">
        <w:trPr>
          <w:trHeight w:hRule="exact" w:val="340"/>
        </w:trPr>
        <w:tc>
          <w:tcPr>
            <w:tcW w:w="2802" w:type="dxa"/>
            <w:tcBorders>
              <w:top w:val="nil"/>
              <w:left w:val="nil"/>
              <w:bottom w:val="nil"/>
              <w:right w:val="nil"/>
            </w:tcBorders>
            <w:vAlign w:val="center"/>
          </w:tcPr>
          <w:p w14:paraId="6E806E21" w14:textId="77777777" w:rsidR="008272D7" w:rsidRPr="007F3869" w:rsidRDefault="008272D7" w:rsidP="00224E34">
            <w:pPr>
              <w:rPr>
                <w:sz w:val="20"/>
                <w:szCs w:val="20"/>
              </w:rPr>
            </w:pPr>
            <w:r w:rsidRPr="007F3869">
              <w:rPr>
                <w:sz w:val="20"/>
                <w:szCs w:val="20"/>
              </w:rPr>
              <w:t xml:space="preserve">Number of </w:t>
            </w:r>
            <w:r w:rsidR="007F3869">
              <w:rPr>
                <w:sz w:val="20"/>
                <w:szCs w:val="20"/>
              </w:rPr>
              <w:t>s</w:t>
            </w:r>
            <w:r w:rsidRPr="007F3869">
              <w:rPr>
                <w:sz w:val="20"/>
                <w:szCs w:val="20"/>
              </w:rPr>
              <w:t>ites 3, 4 or 5 stars</w:t>
            </w:r>
          </w:p>
        </w:tc>
        <w:tc>
          <w:tcPr>
            <w:tcW w:w="1275" w:type="dxa"/>
            <w:tcBorders>
              <w:top w:val="nil"/>
              <w:left w:val="nil"/>
              <w:bottom w:val="nil"/>
              <w:right w:val="nil"/>
            </w:tcBorders>
            <w:vAlign w:val="center"/>
          </w:tcPr>
          <w:p w14:paraId="500DDB3A" w14:textId="77777777" w:rsidR="008272D7" w:rsidRPr="007F3869" w:rsidRDefault="007F3869" w:rsidP="002740F6">
            <w:pPr>
              <w:ind w:left="-207" w:right="263"/>
              <w:jc w:val="right"/>
              <w:rPr>
                <w:sz w:val="20"/>
                <w:szCs w:val="20"/>
              </w:rPr>
            </w:pPr>
            <w:r>
              <w:rPr>
                <w:sz w:val="20"/>
                <w:szCs w:val="20"/>
              </w:rPr>
              <w:t>-</w:t>
            </w:r>
          </w:p>
        </w:tc>
        <w:tc>
          <w:tcPr>
            <w:tcW w:w="993" w:type="dxa"/>
            <w:tcBorders>
              <w:top w:val="nil"/>
              <w:left w:val="nil"/>
              <w:bottom w:val="nil"/>
              <w:right w:val="nil"/>
            </w:tcBorders>
            <w:vAlign w:val="center"/>
          </w:tcPr>
          <w:p w14:paraId="3EA03363" w14:textId="77777777" w:rsidR="008272D7" w:rsidRPr="007F3869" w:rsidRDefault="008272D7" w:rsidP="002740F6">
            <w:pPr>
              <w:ind w:left="-206" w:right="146"/>
              <w:jc w:val="right"/>
              <w:rPr>
                <w:sz w:val="20"/>
                <w:szCs w:val="20"/>
              </w:rPr>
            </w:pPr>
            <w:r w:rsidRPr="007F3869">
              <w:rPr>
                <w:sz w:val="20"/>
                <w:szCs w:val="20"/>
              </w:rPr>
              <w:t>1</w:t>
            </w:r>
            <w:r w:rsidR="002740F6">
              <w:rPr>
                <w:sz w:val="20"/>
                <w:szCs w:val="20"/>
              </w:rPr>
              <w:t>,</w:t>
            </w:r>
            <w:r w:rsidRPr="007F3869">
              <w:rPr>
                <w:sz w:val="20"/>
                <w:szCs w:val="20"/>
              </w:rPr>
              <w:t>638</w:t>
            </w:r>
          </w:p>
        </w:tc>
        <w:tc>
          <w:tcPr>
            <w:tcW w:w="850" w:type="dxa"/>
            <w:tcBorders>
              <w:top w:val="nil"/>
              <w:left w:val="nil"/>
              <w:bottom w:val="nil"/>
              <w:right w:val="nil"/>
            </w:tcBorders>
            <w:vAlign w:val="center"/>
          </w:tcPr>
          <w:p w14:paraId="22E02559" w14:textId="77777777" w:rsidR="008272D7" w:rsidRPr="007F3869" w:rsidRDefault="008272D7" w:rsidP="002740F6">
            <w:pPr>
              <w:ind w:left="-206" w:right="146"/>
              <w:jc w:val="right"/>
              <w:rPr>
                <w:sz w:val="20"/>
                <w:szCs w:val="20"/>
              </w:rPr>
            </w:pPr>
            <w:r w:rsidRPr="007F3869">
              <w:rPr>
                <w:sz w:val="20"/>
                <w:szCs w:val="20"/>
              </w:rPr>
              <w:t>1</w:t>
            </w:r>
            <w:r w:rsidR="002740F6">
              <w:rPr>
                <w:sz w:val="20"/>
                <w:szCs w:val="20"/>
              </w:rPr>
              <w:t>,</w:t>
            </w:r>
            <w:r w:rsidRPr="007F3869">
              <w:rPr>
                <w:sz w:val="20"/>
                <w:szCs w:val="20"/>
              </w:rPr>
              <w:t>767</w:t>
            </w:r>
          </w:p>
        </w:tc>
        <w:tc>
          <w:tcPr>
            <w:tcW w:w="851" w:type="dxa"/>
            <w:tcBorders>
              <w:top w:val="nil"/>
              <w:left w:val="nil"/>
              <w:bottom w:val="nil"/>
              <w:right w:val="nil"/>
            </w:tcBorders>
            <w:vAlign w:val="center"/>
          </w:tcPr>
          <w:p w14:paraId="0C058CA5" w14:textId="77777777" w:rsidR="008272D7" w:rsidRPr="007F3869" w:rsidRDefault="008272D7" w:rsidP="002740F6">
            <w:pPr>
              <w:ind w:left="-206" w:right="146"/>
              <w:jc w:val="right"/>
              <w:rPr>
                <w:sz w:val="20"/>
                <w:szCs w:val="20"/>
              </w:rPr>
            </w:pPr>
            <w:r w:rsidRPr="007F3869">
              <w:rPr>
                <w:sz w:val="20"/>
                <w:szCs w:val="20"/>
              </w:rPr>
              <w:t>1</w:t>
            </w:r>
            <w:r w:rsidR="002740F6">
              <w:rPr>
                <w:sz w:val="20"/>
                <w:szCs w:val="20"/>
              </w:rPr>
              <w:t>,</w:t>
            </w:r>
            <w:r w:rsidRPr="007F3869">
              <w:rPr>
                <w:sz w:val="20"/>
                <w:szCs w:val="20"/>
              </w:rPr>
              <w:t>752</w:t>
            </w:r>
          </w:p>
        </w:tc>
        <w:tc>
          <w:tcPr>
            <w:tcW w:w="992" w:type="dxa"/>
            <w:tcBorders>
              <w:top w:val="nil"/>
              <w:left w:val="nil"/>
              <w:bottom w:val="nil"/>
              <w:right w:val="nil"/>
            </w:tcBorders>
            <w:vAlign w:val="center"/>
          </w:tcPr>
          <w:p w14:paraId="4BF14A17" w14:textId="77777777" w:rsidR="008272D7" w:rsidRPr="007F3869" w:rsidRDefault="006675A3" w:rsidP="002740F6">
            <w:pPr>
              <w:ind w:left="-206" w:right="146"/>
              <w:jc w:val="right"/>
              <w:rPr>
                <w:sz w:val="20"/>
                <w:szCs w:val="20"/>
              </w:rPr>
            </w:pPr>
            <w:r w:rsidRPr="007F3869">
              <w:rPr>
                <w:sz w:val="20"/>
                <w:szCs w:val="20"/>
              </w:rPr>
              <w:t>1</w:t>
            </w:r>
            <w:r w:rsidR="002740F6">
              <w:rPr>
                <w:sz w:val="20"/>
                <w:szCs w:val="20"/>
              </w:rPr>
              <w:t>,</w:t>
            </w:r>
            <w:r w:rsidRPr="007F3869">
              <w:rPr>
                <w:sz w:val="20"/>
                <w:szCs w:val="20"/>
              </w:rPr>
              <w:t>642</w:t>
            </w:r>
          </w:p>
        </w:tc>
        <w:tc>
          <w:tcPr>
            <w:tcW w:w="986" w:type="dxa"/>
            <w:tcBorders>
              <w:top w:val="nil"/>
              <w:left w:val="nil"/>
              <w:bottom w:val="nil"/>
              <w:right w:val="nil"/>
            </w:tcBorders>
            <w:vAlign w:val="center"/>
          </w:tcPr>
          <w:p w14:paraId="02B43E62" w14:textId="77777777" w:rsidR="008272D7" w:rsidRPr="007F3869" w:rsidRDefault="006675A3" w:rsidP="002740F6">
            <w:pPr>
              <w:ind w:left="-206" w:right="146"/>
              <w:jc w:val="right"/>
              <w:rPr>
                <w:sz w:val="20"/>
                <w:szCs w:val="20"/>
              </w:rPr>
            </w:pPr>
            <w:r w:rsidRPr="007F3869">
              <w:rPr>
                <w:sz w:val="20"/>
                <w:szCs w:val="20"/>
              </w:rPr>
              <w:t>1</w:t>
            </w:r>
            <w:r w:rsidR="002740F6">
              <w:rPr>
                <w:sz w:val="20"/>
                <w:szCs w:val="20"/>
              </w:rPr>
              <w:t>,</w:t>
            </w:r>
            <w:r w:rsidRPr="007F3869">
              <w:rPr>
                <w:sz w:val="20"/>
                <w:szCs w:val="20"/>
              </w:rPr>
              <w:t>614</w:t>
            </w:r>
          </w:p>
        </w:tc>
      </w:tr>
      <w:tr w:rsidR="007F3869" w14:paraId="69826C82" w14:textId="77777777" w:rsidTr="00966545">
        <w:trPr>
          <w:trHeight w:hRule="exact" w:val="340"/>
        </w:trPr>
        <w:tc>
          <w:tcPr>
            <w:tcW w:w="2802" w:type="dxa"/>
            <w:tcBorders>
              <w:top w:val="nil"/>
              <w:left w:val="nil"/>
              <w:bottom w:val="nil"/>
              <w:right w:val="nil"/>
            </w:tcBorders>
            <w:shd w:val="clear" w:color="auto" w:fill="E5E5E5" w:themeFill="background1" w:themeFillTint="33"/>
            <w:vAlign w:val="center"/>
          </w:tcPr>
          <w:p w14:paraId="781F1484" w14:textId="77777777" w:rsidR="008272D7" w:rsidRPr="007F3869" w:rsidRDefault="008272D7" w:rsidP="00224E34">
            <w:pPr>
              <w:rPr>
                <w:sz w:val="20"/>
                <w:szCs w:val="20"/>
              </w:rPr>
            </w:pPr>
            <w:r w:rsidRPr="007F3869">
              <w:rPr>
                <w:sz w:val="20"/>
                <w:szCs w:val="20"/>
              </w:rPr>
              <w:t>Total Number of sites</w:t>
            </w:r>
            <w:r w:rsidR="00522703" w:rsidRPr="007F3869">
              <w:rPr>
                <w:sz w:val="20"/>
                <w:szCs w:val="20"/>
              </w:rPr>
              <w:t xml:space="preserve"> (rated)</w:t>
            </w:r>
          </w:p>
        </w:tc>
        <w:tc>
          <w:tcPr>
            <w:tcW w:w="1275" w:type="dxa"/>
            <w:tcBorders>
              <w:top w:val="nil"/>
              <w:left w:val="nil"/>
              <w:bottom w:val="nil"/>
              <w:right w:val="nil"/>
            </w:tcBorders>
            <w:shd w:val="clear" w:color="auto" w:fill="E5E5E5" w:themeFill="background1" w:themeFillTint="33"/>
            <w:vAlign w:val="center"/>
          </w:tcPr>
          <w:p w14:paraId="5B62F560" w14:textId="77777777" w:rsidR="008272D7" w:rsidRPr="007F3869" w:rsidRDefault="007F3869" w:rsidP="002740F6">
            <w:pPr>
              <w:ind w:left="-207" w:right="263"/>
              <w:jc w:val="right"/>
              <w:rPr>
                <w:sz w:val="20"/>
                <w:szCs w:val="20"/>
              </w:rPr>
            </w:pPr>
            <w:r>
              <w:rPr>
                <w:sz w:val="20"/>
                <w:szCs w:val="20"/>
              </w:rPr>
              <w:t>-</w:t>
            </w:r>
          </w:p>
        </w:tc>
        <w:tc>
          <w:tcPr>
            <w:tcW w:w="993" w:type="dxa"/>
            <w:tcBorders>
              <w:top w:val="nil"/>
              <w:left w:val="nil"/>
              <w:bottom w:val="nil"/>
              <w:right w:val="nil"/>
            </w:tcBorders>
            <w:shd w:val="clear" w:color="auto" w:fill="E5E5E5" w:themeFill="background1" w:themeFillTint="33"/>
            <w:vAlign w:val="center"/>
          </w:tcPr>
          <w:p w14:paraId="7E6C5397" w14:textId="77777777" w:rsidR="008272D7" w:rsidRPr="007F3869" w:rsidRDefault="008272D7" w:rsidP="002740F6">
            <w:pPr>
              <w:ind w:left="-206" w:right="146"/>
              <w:jc w:val="right"/>
              <w:rPr>
                <w:sz w:val="20"/>
                <w:szCs w:val="20"/>
              </w:rPr>
            </w:pPr>
            <w:r w:rsidRPr="007F3869">
              <w:rPr>
                <w:sz w:val="20"/>
                <w:szCs w:val="20"/>
              </w:rPr>
              <w:t>2</w:t>
            </w:r>
            <w:r w:rsidR="002740F6">
              <w:rPr>
                <w:sz w:val="20"/>
                <w:szCs w:val="20"/>
              </w:rPr>
              <w:t>,</w:t>
            </w:r>
            <w:r w:rsidRPr="007F3869">
              <w:rPr>
                <w:sz w:val="20"/>
                <w:szCs w:val="20"/>
              </w:rPr>
              <w:t>279</w:t>
            </w:r>
          </w:p>
        </w:tc>
        <w:tc>
          <w:tcPr>
            <w:tcW w:w="850" w:type="dxa"/>
            <w:tcBorders>
              <w:top w:val="nil"/>
              <w:left w:val="nil"/>
              <w:bottom w:val="nil"/>
              <w:right w:val="nil"/>
            </w:tcBorders>
            <w:shd w:val="clear" w:color="auto" w:fill="E5E5E5" w:themeFill="background1" w:themeFillTint="33"/>
            <w:vAlign w:val="center"/>
          </w:tcPr>
          <w:p w14:paraId="1CCFC164" w14:textId="77777777" w:rsidR="008272D7" w:rsidRPr="007F3869" w:rsidRDefault="008272D7" w:rsidP="002740F6">
            <w:pPr>
              <w:ind w:left="-206" w:right="146"/>
              <w:jc w:val="right"/>
              <w:rPr>
                <w:sz w:val="20"/>
                <w:szCs w:val="20"/>
              </w:rPr>
            </w:pPr>
            <w:r w:rsidRPr="007F3869">
              <w:rPr>
                <w:sz w:val="20"/>
                <w:szCs w:val="20"/>
              </w:rPr>
              <w:t>2</w:t>
            </w:r>
            <w:r w:rsidR="002740F6">
              <w:rPr>
                <w:sz w:val="20"/>
                <w:szCs w:val="20"/>
              </w:rPr>
              <w:t>,</w:t>
            </w:r>
            <w:r w:rsidRPr="007F3869">
              <w:rPr>
                <w:sz w:val="20"/>
                <w:szCs w:val="20"/>
              </w:rPr>
              <w:t>247</w:t>
            </w:r>
          </w:p>
        </w:tc>
        <w:tc>
          <w:tcPr>
            <w:tcW w:w="851" w:type="dxa"/>
            <w:tcBorders>
              <w:top w:val="nil"/>
              <w:left w:val="nil"/>
              <w:bottom w:val="nil"/>
              <w:right w:val="nil"/>
            </w:tcBorders>
            <w:shd w:val="clear" w:color="auto" w:fill="E5E5E5" w:themeFill="background1" w:themeFillTint="33"/>
            <w:vAlign w:val="center"/>
          </w:tcPr>
          <w:p w14:paraId="693AE4C7" w14:textId="77777777" w:rsidR="008272D7" w:rsidRPr="007F3869" w:rsidRDefault="008272D7" w:rsidP="002740F6">
            <w:pPr>
              <w:ind w:left="-206" w:right="146"/>
              <w:jc w:val="right"/>
              <w:rPr>
                <w:sz w:val="20"/>
                <w:szCs w:val="20"/>
              </w:rPr>
            </w:pPr>
            <w:r w:rsidRPr="007F3869">
              <w:rPr>
                <w:sz w:val="20"/>
                <w:szCs w:val="20"/>
              </w:rPr>
              <w:t>2</w:t>
            </w:r>
            <w:r w:rsidR="002740F6">
              <w:rPr>
                <w:sz w:val="20"/>
                <w:szCs w:val="20"/>
              </w:rPr>
              <w:t>,</w:t>
            </w:r>
            <w:r w:rsidRPr="007F3869">
              <w:rPr>
                <w:sz w:val="20"/>
                <w:szCs w:val="20"/>
              </w:rPr>
              <w:t>065</w:t>
            </w:r>
          </w:p>
        </w:tc>
        <w:tc>
          <w:tcPr>
            <w:tcW w:w="992" w:type="dxa"/>
            <w:tcBorders>
              <w:top w:val="nil"/>
              <w:left w:val="nil"/>
              <w:bottom w:val="nil"/>
              <w:right w:val="nil"/>
            </w:tcBorders>
            <w:shd w:val="clear" w:color="auto" w:fill="E5E5E5" w:themeFill="background1" w:themeFillTint="33"/>
            <w:vAlign w:val="center"/>
          </w:tcPr>
          <w:p w14:paraId="1367A320" w14:textId="77777777" w:rsidR="008272D7" w:rsidRPr="007F3869" w:rsidRDefault="006675A3" w:rsidP="002740F6">
            <w:pPr>
              <w:ind w:left="-206" w:right="146"/>
              <w:jc w:val="right"/>
              <w:rPr>
                <w:sz w:val="20"/>
                <w:szCs w:val="20"/>
              </w:rPr>
            </w:pPr>
            <w:r w:rsidRPr="007F3869">
              <w:rPr>
                <w:sz w:val="20"/>
                <w:szCs w:val="20"/>
              </w:rPr>
              <w:t>1</w:t>
            </w:r>
            <w:r w:rsidR="002740F6">
              <w:rPr>
                <w:sz w:val="20"/>
                <w:szCs w:val="20"/>
              </w:rPr>
              <w:t>,</w:t>
            </w:r>
            <w:r w:rsidRPr="007F3869">
              <w:rPr>
                <w:sz w:val="20"/>
                <w:szCs w:val="20"/>
              </w:rPr>
              <w:t>920</w:t>
            </w:r>
          </w:p>
        </w:tc>
        <w:tc>
          <w:tcPr>
            <w:tcW w:w="986" w:type="dxa"/>
            <w:tcBorders>
              <w:top w:val="nil"/>
              <w:left w:val="nil"/>
              <w:bottom w:val="nil"/>
              <w:right w:val="nil"/>
            </w:tcBorders>
            <w:shd w:val="clear" w:color="auto" w:fill="E5E5E5" w:themeFill="background1" w:themeFillTint="33"/>
            <w:vAlign w:val="center"/>
          </w:tcPr>
          <w:p w14:paraId="09E9CDA2" w14:textId="77777777" w:rsidR="008272D7" w:rsidRPr="007F3869" w:rsidRDefault="006675A3" w:rsidP="002740F6">
            <w:pPr>
              <w:ind w:left="-206" w:right="146"/>
              <w:jc w:val="right"/>
              <w:rPr>
                <w:sz w:val="20"/>
                <w:szCs w:val="20"/>
              </w:rPr>
            </w:pPr>
            <w:r w:rsidRPr="007F3869">
              <w:rPr>
                <w:sz w:val="20"/>
                <w:szCs w:val="20"/>
              </w:rPr>
              <w:t>1</w:t>
            </w:r>
            <w:r w:rsidR="002740F6">
              <w:rPr>
                <w:sz w:val="20"/>
                <w:szCs w:val="20"/>
              </w:rPr>
              <w:t>,</w:t>
            </w:r>
            <w:r w:rsidRPr="007F3869">
              <w:rPr>
                <w:sz w:val="20"/>
                <w:szCs w:val="20"/>
              </w:rPr>
              <w:t>857</w:t>
            </w:r>
          </w:p>
        </w:tc>
      </w:tr>
      <w:tr w:rsidR="007F3869" w14:paraId="7C33542A" w14:textId="77777777" w:rsidTr="00966545">
        <w:trPr>
          <w:trHeight w:hRule="exact" w:val="340"/>
        </w:trPr>
        <w:tc>
          <w:tcPr>
            <w:tcW w:w="2802" w:type="dxa"/>
            <w:tcBorders>
              <w:top w:val="nil"/>
              <w:left w:val="nil"/>
              <w:right w:val="nil"/>
            </w:tcBorders>
            <w:vAlign w:val="center"/>
          </w:tcPr>
          <w:p w14:paraId="4B899AF5" w14:textId="77777777" w:rsidR="008272D7" w:rsidRPr="007F3869" w:rsidRDefault="008272D7" w:rsidP="007F3869">
            <w:pPr>
              <w:rPr>
                <w:sz w:val="20"/>
                <w:szCs w:val="20"/>
              </w:rPr>
            </w:pPr>
            <w:r w:rsidRPr="007F3869">
              <w:rPr>
                <w:sz w:val="20"/>
                <w:szCs w:val="20"/>
              </w:rPr>
              <w:t>Sites 3, 4 or 5 stars (</w:t>
            </w:r>
            <w:r w:rsidR="007F3869">
              <w:rPr>
                <w:sz w:val="20"/>
                <w:szCs w:val="20"/>
              </w:rPr>
              <w:t>per cent</w:t>
            </w:r>
            <w:r w:rsidRPr="007F3869">
              <w:rPr>
                <w:sz w:val="20"/>
                <w:szCs w:val="20"/>
              </w:rPr>
              <w:t>)</w:t>
            </w:r>
          </w:p>
        </w:tc>
        <w:tc>
          <w:tcPr>
            <w:tcW w:w="1275" w:type="dxa"/>
            <w:tcBorders>
              <w:top w:val="nil"/>
              <w:left w:val="nil"/>
              <w:right w:val="nil"/>
            </w:tcBorders>
            <w:vAlign w:val="center"/>
          </w:tcPr>
          <w:p w14:paraId="790A79C6" w14:textId="77777777" w:rsidR="008272D7" w:rsidRPr="007F3869" w:rsidRDefault="008272D7" w:rsidP="002740F6">
            <w:pPr>
              <w:ind w:left="-207" w:right="263"/>
              <w:jc w:val="right"/>
              <w:rPr>
                <w:sz w:val="20"/>
                <w:szCs w:val="20"/>
              </w:rPr>
            </w:pPr>
            <w:r w:rsidRPr="007F3869">
              <w:rPr>
                <w:sz w:val="20"/>
                <w:szCs w:val="20"/>
              </w:rPr>
              <w:t>70.0</w:t>
            </w:r>
          </w:p>
        </w:tc>
        <w:tc>
          <w:tcPr>
            <w:tcW w:w="993" w:type="dxa"/>
            <w:tcBorders>
              <w:top w:val="nil"/>
              <w:left w:val="nil"/>
              <w:right w:val="nil"/>
            </w:tcBorders>
            <w:vAlign w:val="center"/>
          </w:tcPr>
          <w:p w14:paraId="21EE99CB" w14:textId="77777777" w:rsidR="008272D7" w:rsidRPr="007F3869" w:rsidRDefault="008272D7" w:rsidP="002740F6">
            <w:pPr>
              <w:ind w:left="-206" w:right="146"/>
              <w:jc w:val="right"/>
              <w:rPr>
                <w:sz w:val="20"/>
                <w:szCs w:val="20"/>
              </w:rPr>
            </w:pPr>
            <w:r w:rsidRPr="007F3869">
              <w:rPr>
                <w:sz w:val="20"/>
                <w:szCs w:val="20"/>
              </w:rPr>
              <w:t>71.9</w:t>
            </w:r>
          </w:p>
        </w:tc>
        <w:tc>
          <w:tcPr>
            <w:tcW w:w="850" w:type="dxa"/>
            <w:tcBorders>
              <w:top w:val="nil"/>
              <w:left w:val="nil"/>
              <w:right w:val="nil"/>
            </w:tcBorders>
            <w:vAlign w:val="center"/>
          </w:tcPr>
          <w:p w14:paraId="598EB3C5" w14:textId="77777777" w:rsidR="008272D7" w:rsidRPr="007F3869" w:rsidRDefault="008272D7" w:rsidP="002740F6">
            <w:pPr>
              <w:ind w:left="-206" w:right="146"/>
              <w:jc w:val="right"/>
              <w:rPr>
                <w:sz w:val="20"/>
                <w:szCs w:val="20"/>
              </w:rPr>
            </w:pPr>
            <w:r w:rsidRPr="007F3869">
              <w:rPr>
                <w:sz w:val="20"/>
                <w:szCs w:val="20"/>
              </w:rPr>
              <w:t>78.6</w:t>
            </w:r>
          </w:p>
        </w:tc>
        <w:tc>
          <w:tcPr>
            <w:tcW w:w="851" w:type="dxa"/>
            <w:tcBorders>
              <w:top w:val="nil"/>
              <w:left w:val="nil"/>
              <w:right w:val="nil"/>
            </w:tcBorders>
            <w:vAlign w:val="center"/>
          </w:tcPr>
          <w:p w14:paraId="52938127" w14:textId="77777777" w:rsidR="008272D7" w:rsidRPr="007F3869" w:rsidRDefault="006675A3" w:rsidP="002740F6">
            <w:pPr>
              <w:ind w:left="-206" w:right="146"/>
              <w:jc w:val="right"/>
              <w:rPr>
                <w:sz w:val="20"/>
                <w:szCs w:val="20"/>
              </w:rPr>
            </w:pPr>
            <w:r w:rsidRPr="007F3869">
              <w:rPr>
                <w:sz w:val="20"/>
                <w:szCs w:val="20"/>
              </w:rPr>
              <w:t>84.8</w:t>
            </w:r>
          </w:p>
        </w:tc>
        <w:tc>
          <w:tcPr>
            <w:tcW w:w="992" w:type="dxa"/>
            <w:tcBorders>
              <w:top w:val="nil"/>
              <w:left w:val="nil"/>
              <w:right w:val="nil"/>
            </w:tcBorders>
            <w:vAlign w:val="center"/>
          </w:tcPr>
          <w:p w14:paraId="7FCEA748" w14:textId="77777777" w:rsidR="008272D7" w:rsidRPr="007F3869" w:rsidRDefault="006675A3" w:rsidP="002740F6">
            <w:pPr>
              <w:ind w:left="-206" w:right="146"/>
              <w:jc w:val="right"/>
              <w:rPr>
                <w:sz w:val="20"/>
                <w:szCs w:val="20"/>
              </w:rPr>
            </w:pPr>
            <w:r w:rsidRPr="007F3869">
              <w:rPr>
                <w:sz w:val="20"/>
                <w:szCs w:val="20"/>
              </w:rPr>
              <w:t>85.5</w:t>
            </w:r>
          </w:p>
        </w:tc>
        <w:tc>
          <w:tcPr>
            <w:tcW w:w="986" w:type="dxa"/>
            <w:tcBorders>
              <w:top w:val="nil"/>
              <w:left w:val="nil"/>
              <w:right w:val="nil"/>
            </w:tcBorders>
            <w:vAlign w:val="center"/>
          </w:tcPr>
          <w:p w14:paraId="35F4677F" w14:textId="77777777" w:rsidR="008272D7" w:rsidRPr="007F3869" w:rsidRDefault="006675A3" w:rsidP="002740F6">
            <w:pPr>
              <w:ind w:left="-206" w:right="146"/>
              <w:jc w:val="right"/>
              <w:rPr>
                <w:sz w:val="20"/>
                <w:szCs w:val="20"/>
              </w:rPr>
            </w:pPr>
            <w:r w:rsidRPr="007F3869">
              <w:rPr>
                <w:sz w:val="20"/>
                <w:szCs w:val="20"/>
              </w:rPr>
              <w:t>86.9</w:t>
            </w:r>
          </w:p>
        </w:tc>
      </w:tr>
    </w:tbl>
    <w:p w14:paraId="5830D813" w14:textId="77777777" w:rsidR="007F3869" w:rsidRDefault="00522703" w:rsidP="00966545">
      <w:pPr>
        <w:pStyle w:val="Notes"/>
      </w:pPr>
      <w:r w:rsidRPr="00966545">
        <w:rPr>
          <w:b/>
        </w:rPr>
        <w:t>Note</w:t>
      </w:r>
      <w:r w:rsidR="007F3869" w:rsidRPr="00966545">
        <w:rPr>
          <w:b/>
        </w:rPr>
        <w:t>s</w:t>
      </w:r>
      <w:r>
        <w:t>:</w:t>
      </w:r>
      <w:r>
        <w:tab/>
      </w:r>
    </w:p>
    <w:p w14:paraId="64DE44D1" w14:textId="77777777" w:rsidR="007F3869" w:rsidRPr="00E5413A" w:rsidRDefault="00522703" w:rsidP="00AE4704">
      <w:pPr>
        <w:pStyle w:val="Notesnumbered"/>
        <w:numPr>
          <w:ilvl w:val="0"/>
          <w:numId w:val="252"/>
        </w:numPr>
        <w:ind w:left="709" w:hanging="567"/>
      </w:pPr>
      <w:r w:rsidRPr="00966545">
        <w:t xml:space="preserve">Total </w:t>
      </w:r>
      <w:r w:rsidR="002740F6" w:rsidRPr="00966545">
        <w:t>n</w:t>
      </w:r>
      <w:r w:rsidRPr="00966545">
        <w:t xml:space="preserve">umber of </w:t>
      </w:r>
      <w:r w:rsidRPr="00E5413A">
        <w:t xml:space="preserve">sites = number of sites which had valid </w:t>
      </w:r>
      <w:r w:rsidR="004C3310">
        <w:t>S</w:t>
      </w:r>
      <w:r w:rsidR="004C3310" w:rsidRPr="00E5413A">
        <w:t xml:space="preserve">tar </w:t>
      </w:r>
      <w:r w:rsidR="004C3310">
        <w:t>R</w:t>
      </w:r>
      <w:r w:rsidR="004C3310" w:rsidRPr="00E5413A">
        <w:t>atings</w:t>
      </w:r>
      <w:r w:rsidRPr="00E5413A">
        <w:t>.</w:t>
      </w:r>
    </w:p>
    <w:p w14:paraId="3E02DFB1" w14:textId="77777777" w:rsidR="007F3869" w:rsidRPr="00E5413A" w:rsidRDefault="00522703" w:rsidP="00AE4704">
      <w:pPr>
        <w:pStyle w:val="Notesnumbered"/>
        <w:numPr>
          <w:ilvl w:val="0"/>
          <w:numId w:val="252"/>
        </w:numPr>
        <w:ind w:left="709" w:hanging="567"/>
      </w:pPr>
      <w:r w:rsidRPr="00E5413A">
        <w:t>Provider sites 3</w:t>
      </w:r>
      <w:r w:rsidR="00492EF3" w:rsidRPr="00E5413A">
        <w:t>, 4</w:t>
      </w:r>
      <w:r w:rsidRPr="00E5413A">
        <w:t xml:space="preserve"> or 5 stars = n</w:t>
      </w:r>
      <w:r w:rsidR="002740F6" w:rsidRPr="00E5413A">
        <w:t>umber of sites which had valid S</w:t>
      </w:r>
      <w:r w:rsidRPr="00E5413A">
        <w:t>tar ratings of 3, 4 or 5 stars.</w:t>
      </w:r>
    </w:p>
    <w:p w14:paraId="0F4C5402" w14:textId="77777777" w:rsidR="006675A3" w:rsidRDefault="00522703" w:rsidP="00AE4704">
      <w:pPr>
        <w:pStyle w:val="Notesnumbered"/>
        <w:numPr>
          <w:ilvl w:val="0"/>
          <w:numId w:val="252"/>
        </w:numPr>
        <w:ind w:left="709" w:hanging="567"/>
      </w:pPr>
      <w:r w:rsidRPr="00E5413A">
        <w:t xml:space="preserve">Sites which did not have a valid </w:t>
      </w:r>
      <w:r w:rsidR="004C3310">
        <w:t>S</w:t>
      </w:r>
      <w:r w:rsidR="004C3310" w:rsidRPr="00E5413A">
        <w:t xml:space="preserve">tar </w:t>
      </w:r>
      <w:r w:rsidR="004C3310">
        <w:t>R</w:t>
      </w:r>
      <w:r w:rsidRPr="00E5413A">
        <w:t>ating assigned were omitted from calculations</w:t>
      </w:r>
      <w:r>
        <w:t xml:space="preserve">. </w:t>
      </w:r>
    </w:p>
    <w:p w14:paraId="7E3F87DF" w14:textId="77777777" w:rsidR="00966545" w:rsidRDefault="00966545" w:rsidP="00966545">
      <w:pPr>
        <w:pStyle w:val="Source"/>
      </w:pPr>
      <w:r w:rsidRPr="00966545">
        <w:rPr>
          <w:b/>
        </w:rPr>
        <w:t>Source:</w:t>
      </w:r>
      <w:r>
        <w:tab/>
      </w:r>
      <w:r w:rsidRPr="006E205D">
        <w:t>Calculated from JSA Star Ratings – Department of Employment website</w:t>
      </w:r>
    </w:p>
    <w:p w14:paraId="664C6A39" w14:textId="77777777" w:rsidR="00224E34" w:rsidRDefault="00224E34" w:rsidP="00224E34">
      <w:r>
        <w:t xml:space="preserve">The trend </w:t>
      </w:r>
      <w:r w:rsidR="00522703">
        <w:t xml:space="preserve">of clustering </w:t>
      </w:r>
      <w:r>
        <w:t xml:space="preserve">toward </w:t>
      </w:r>
      <w:r w:rsidR="00DE208B">
        <w:t>3</w:t>
      </w:r>
      <w:r>
        <w:t xml:space="preserve"> </w:t>
      </w:r>
      <w:r w:rsidR="00DE208B">
        <w:t>S</w:t>
      </w:r>
      <w:r>
        <w:t>tar</w:t>
      </w:r>
      <w:r w:rsidR="00DE208B">
        <w:t>s</w:t>
      </w:r>
      <w:r w:rsidR="00522703">
        <w:t xml:space="preserve"> </w:t>
      </w:r>
      <w:r w:rsidRPr="001F712D">
        <w:t xml:space="preserve">may </w:t>
      </w:r>
      <w:r w:rsidR="00522703">
        <w:t xml:space="preserve">have had some impact </w:t>
      </w:r>
      <w:r w:rsidR="007F3869">
        <w:t xml:space="preserve">on </w:t>
      </w:r>
      <w:r w:rsidR="00522703">
        <w:t xml:space="preserve">outcomes over the JSA period. </w:t>
      </w:r>
      <w:r w:rsidR="007F3869">
        <w:t>It is possible that p</w:t>
      </w:r>
      <w:r>
        <w:t xml:space="preserve">roviders </w:t>
      </w:r>
      <w:r w:rsidR="00522703">
        <w:t xml:space="preserve">may have been </w:t>
      </w:r>
      <w:r>
        <w:t xml:space="preserve">content with their Star Rating, and therefore the imperative of </w:t>
      </w:r>
      <w:r w:rsidRPr="001F712D">
        <w:t>striving for business improvements</w:t>
      </w:r>
      <w:r>
        <w:t xml:space="preserve"> </w:t>
      </w:r>
      <w:r w:rsidR="00522703">
        <w:t xml:space="preserve">early in the </w:t>
      </w:r>
      <w:r>
        <w:t xml:space="preserve">first JSA contract became less </w:t>
      </w:r>
      <w:r w:rsidR="007F3869">
        <w:t xml:space="preserve">of an </w:t>
      </w:r>
      <w:r w:rsidR="00EE2E63">
        <w:t>imperative</w:t>
      </w:r>
      <w:r>
        <w:t xml:space="preserve">. As such, </w:t>
      </w:r>
      <w:r w:rsidR="00D17E66">
        <w:t>this</w:t>
      </w:r>
      <w:r>
        <w:t xml:space="preserve"> may be a contributing factor in the overall decrease in outcomes </w:t>
      </w:r>
      <w:r w:rsidR="001F3DCD">
        <w:t xml:space="preserve">between the JSA 2009 and </w:t>
      </w:r>
      <w:r>
        <w:t>JSA 2012 contract</w:t>
      </w:r>
      <w:r w:rsidR="001F3DCD">
        <w:t>s</w:t>
      </w:r>
      <w:r>
        <w:t>.</w:t>
      </w:r>
      <w:r w:rsidR="007051A7">
        <w:t xml:space="preserve"> </w:t>
      </w:r>
    </w:p>
    <w:p w14:paraId="1C94026C" w14:textId="77777777" w:rsidR="00FE054C" w:rsidRDefault="00FE054C" w:rsidP="007565F8">
      <w:pPr>
        <w:pStyle w:val="Heading3"/>
      </w:pPr>
      <w:bookmarkStart w:id="549" w:name="_Toc22543151"/>
      <w:r>
        <w:t>10.2.4</w:t>
      </w:r>
      <w:r>
        <w:tab/>
        <w:t>Provider behaviour</w:t>
      </w:r>
      <w:bookmarkEnd w:id="549"/>
    </w:p>
    <w:p w14:paraId="752DAA6B" w14:textId="77777777" w:rsidR="00FE054C" w:rsidRDefault="00FE054C" w:rsidP="00224E34">
      <w:pPr>
        <w:rPr>
          <w:rFonts w:cstheme="minorHAnsi"/>
        </w:rPr>
      </w:pPr>
      <w:r>
        <w:rPr>
          <w:rFonts w:cstheme="minorHAnsi"/>
        </w:rPr>
        <w:t>Figure 10.6 charts the trends in service and outcome fees, macroeconomic conditions (using the Internet Vacancy Index), against job seeker satisfaction. Service and outcome fees follow a similar trend to the macroeconomic environment. There is an expected drop in fees and outcomes around the transition from JSA 2009 to JSA 2012. While fees and the economic environment level out again, there is a continuous drop in job seeker satisfaction over the second contract. This may be an indication that once providers have begun to adapt business practices in response to lower fees there is little incentive to revert to previous behaviour as macroeconomic conditions improve (and hence fees increase).</w:t>
      </w:r>
    </w:p>
    <w:p w14:paraId="73EFCC1F" w14:textId="77777777" w:rsidR="00FE054C" w:rsidRDefault="00FE054C" w:rsidP="00FE054C">
      <w:pPr>
        <w:pStyle w:val="Figureheadingforcontents"/>
      </w:pPr>
      <w:bookmarkStart w:id="550" w:name="_Toc22544056"/>
      <w:r>
        <w:t xml:space="preserve">Figure 10.6: Service and </w:t>
      </w:r>
      <w:r w:rsidR="004C3310">
        <w:t>o</w:t>
      </w:r>
      <w:r>
        <w:t>utcome fees (</w:t>
      </w:r>
      <w:r w:rsidR="004C3310">
        <w:t xml:space="preserve">$ </w:t>
      </w:r>
      <w:r>
        <w:t>per job seeker), Internet Vacancy Index (quarterly</w:t>
      </w:r>
      <w:r w:rsidR="004C3310">
        <w:t xml:space="preserve"> index</w:t>
      </w:r>
      <w:r>
        <w:t>) and job seeker satisfaction (</w:t>
      </w:r>
      <w:r w:rsidR="004C3310">
        <w:t xml:space="preserve">per cent, </w:t>
      </w:r>
      <w:r>
        <w:t>quarterly), September 2010 – March 2015</w:t>
      </w:r>
      <w:bookmarkEnd w:id="550"/>
      <w:r>
        <w:t xml:space="preserve"> </w:t>
      </w:r>
    </w:p>
    <w:p w14:paraId="5176A7D6" w14:textId="77777777" w:rsidR="00FE054C" w:rsidRDefault="00AF7FEB" w:rsidP="00966545">
      <w:pPr>
        <w:spacing w:after="0"/>
        <w:rPr>
          <w:color w:val="000000" w:themeColor="text1"/>
        </w:rPr>
      </w:pPr>
      <w:r w:rsidRPr="00AF7FEB">
        <w:rPr>
          <w:noProof/>
          <w:lang w:eastAsia="en-AU"/>
        </w:rPr>
        <w:drawing>
          <wp:inline distT="0" distB="0" distL="0" distR="0" wp14:anchorId="03EAADB0" wp14:editId="5D15ECB6">
            <wp:extent cx="5732145" cy="3757165"/>
            <wp:effectExtent l="0" t="0" r="1905" b="0"/>
            <wp:docPr id="6" name="Picture 6" descr="Line chart with four lines, demonstrating what is discussed in the text about this data.&#10;There is a hyperlink to the data provided in the notes for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2145" cy="3757165"/>
                    </a:xfrm>
                    <a:prstGeom prst="rect">
                      <a:avLst/>
                    </a:prstGeom>
                    <a:noFill/>
                    <a:ln>
                      <a:noFill/>
                    </a:ln>
                  </pic:spPr>
                </pic:pic>
              </a:graphicData>
            </a:graphic>
          </wp:inline>
        </w:drawing>
      </w:r>
    </w:p>
    <w:p w14:paraId="5011B035" w14:textId="77777777" w:rsidR="003C1A65" w:rsidRPr="003C1A65" w:rsidRDefault="003C1A65" w:rsidP="007C51E3">
      <w:pPr>
        <w:pStyle w:val="Notesnumbered"/>
        <w:numPr>
          <w:ilvl w:val="0"/>
          <w:numId w:val="0"/>
        </w:numPr>
      </w:pPr>
      <w:r>
        <w:rPr>
          <w:b/>
        </w:rPr>
        <w:t>Note:</w:t>
      </w:r>
      <w:r>
        <w:rPr>
          <w:b/>
        </w:rPr>
        <w:tab/>
      </w:r>
      <w:r w:rsidRPr="003C1A65">
        <w:t xml:space="preserve">Refer </w:t>
      </w:r>
      <w:hyperlink w:anchor="Title_A246" w:history="1">
        <w:r w:rsidRPr="008C50A7">
          <w:rPr>
            <w:rStyle w:val="Hyperlink"/>
          </w:rPr>
          <w:t>Appendix A</w:t>
        </w:r>
        <w:r w:rsidR="00F75BBA" w:rsidRPr="008C50A7">
          <w:rPr>
            <w:rStyle w:val="Hyperlink"/>
          </w:rPr>
          <w:t>2</w:t>
        </w:r>
        <w:r w:rsidRPr="008C50A7">
          <w:rPr>
            <w:rStyle w:val="Hyperlink"/>
          </w:rPr>
          <w:t>, Table A2.46</w:t>
        </w:r>
      </w:hyperlink>
      <w:r w:rsidRPr="003C1A65">
        <w:t>.</w:t>
      </w:r>
      <w:bookmarkStart w:id="551" w:name="Place_A246"/>
      <w:bookmarkEnd w:id="551"/>
    </w:p>
    <w:p w14:paraId="51A1B792" w14:textId="77777777" w:rsidR="00FE054C" w:rsidRDefault="00FE054C" w:rsidP="00966545">
      <w:pPr>
        <w:pStyle w:val="Source"/>
      </w:pPr>
      <w:r w:rsidRPr="000F13F5">
        <w:rPr>
          <w:b/>
        </w:rPr>
        <w:t>Source</w:t>
      </w:r>
      <w:r>
        <w:t xml:space="preserve">: </w:t>
      </w:r>
      <w:r>
        <w:tab/>
        <w:t xml:space="preserve">Department of Employment </w:t>
      </w:r>
      <w:r w:rsidR="00966545">
        <w:t>a</w:t>
      </w:r>
      <w:r>
        <w:t xml:space="preserve">dministrative data, Department of Employment Internet Vacancy Index </w:t>
      </w:r>
      <w:r w:rsidR="00966545">
        <w:t>m</w:t>
      </w:r>
      <w:r>
        <w:t xml:space="preserve">easure and Post Programme Monitoring </w:t>
      </w:r>
      <w:r w:rsidR="00966545">
        <w:t>s</w:t>
      </w:r>
      <w:r w:rsidRPr="00966545">
        <w:t>urvey</w:t>
      </w:r>
      <w:r>
        <w:t xml:space="preserve"> </w:t>
      </w:r>
      <w:r w:rsidR="00966545">
        <w:t>d</w:t>
      </w:r>
      <w:r>
        <w:t>ata.</w:t>
      </w:r>
    </w:p>
    <w:p w14:paraId="440C3F78" w14:textId="77777777" w:rsidR="00FE054C" w:rsidRDefault="007565F8" w:rsidP="00224E34">
      <w:r>
        <w:rPr>
          <w:rFonts w:cstheme="minorHAnsi"/>
        </w:rPr>
        <w:t xml:space="preserve">The extent to which </w:t>
      </w:r>
      <w:r w:rsidRPr="00057713">
        <w:rPr>
          <w:rFonts w:cstheme="minorHAnsi"/>
        </w:rPr>
        <w:t xml:space="preserve">providers </w:t>
      </w:r>
      <w:r>
        <w:rPr>
          <w:rFonts w:cstheme="minorHAnsi"/>
        </w:rPr>
        <w:t>changed their business model</w:t>
      </w:r>
      <w:r w:rsidRPr="00057713">
        <w:rPr>
          <w:rFonts w:cstheme="minorHAnsi"/>
        </w:rPr>
        <w:t xml:space="preserve"> in response to </w:t>
      </w:r>
      <w:r>
        <w:rPr>
          <w:rFonts w:cstheme="minorHAnsi"/>
        </w:rPr>
        <w:t>the changed fee structure</w:t>
      </w:r>
      <w:r w:rsidRPr="00057713">
        <w:rPr>
          <w:rFonts w:cstheme="minorHAnsi"/>
        </w:rPr>
        <w:t xml:space="preserve"> is </w:t>
      </w:r>
      <w:r>
        <w:rPr>
          <w:rFonts w:cstheme="minorHAnsi"/>
        </w:rPr>
        <w:t>un</w:t>
      </w:r>
      <w:r w:rsidRPr="00057713">
        <w:rPr>
          <w:rFonts w:cstheme="minorHAnsi"/>
        </w:rPr>
        <w:t>known</w:t>
      </w:r>
      <w:r>
        <w:rPr>
          <w:rFonts w:cstheme="minorHAnsi"/>
        </w:rPr>
        <w:t>, but the question of whether it resulted in reduced service quality for job seekers is important.</w:t>
      </w:r>
    </w:p>
    <w:p w14:paraId="24EBB9DC" w14:textId="77777777" w:rsidR="00224E34" w:rsidRDefault="00BE7E40" w:rsidP="007B55E7">
      <w:pPr>
        <w:pStyle w:val="Heading2"/>
        <w:keepNext/>
      </w:pPr>
      <w:bookmarkStart w:id="552" w:name="_Toc450919352"/>
      <w:bookmarkStart w:id="553" w:name="_Toc22543152"/>
      <w:r>
        <w:t>10.3</w:t>
      </w:r>
      <w:r>
        <w:tab/>
      </w:r>
      <w:r w:rsidR="00224E34">
        <w:t>Conclusion</w:t>
      </w:r>
      <w:bookmarkEnd w:id="552"/>
      <w:bookmarkEnd w:id="553"/>
    </w:p>
    <w:p w14:paraId="0245E98B" w14:textId="130B1AD9" w:rsidR="00B45E85" w:rsidRDefault="00224E34" w:rsidP="00224E34">
      <w:pPr>
        <w:rPr>
          <w:rFonts w:cstheme="minorHAnsi"/>
        </w:rPr>
      </w:pPr>
      <w:r w:rsidRPr="00057713">
        <w:rPr>
          <w:rFonts w:cstheme="minorHAnsi"/>
        </w:rPr>
        <w:t>Compared to JSA 2009, providers received lower service fees an</w:t>
      </w:r>
      <w:r>
        <w:rPr>
          <w:rFonts w:cstheme="minorHAnsi"/>
        </w:rPr>
        <w:t>d outcome fees, while servicing</w:t>
      </w:r>
      <w:r w:rsidRPr="00057713">
        <w:rPr>
          <w:rFonts w:cstheme="minorHAnsi"/>
        </w:rPr>
        <w:t xml:space="preserve"> a larger caseload</w:t>
      </w:r>
      <w:r w:rsidR="00965537" w:rsidRPr="00965537">
        <w:rPr>
          <w:rFonts w:cstheme="minorHAnsi"/>
        </w:rPr>
        <w:t xml:space="preserve"> </w:t>
      </w:r>
      <w:r w:rsidR="00965537" w:rsidRPr="00057713">
        <w:rPr>
          <w:rFonts w:cstheme="minorHAnsi"/>
        </w:rPr>
        <w:t>during JSA 2012</w:t>
      </w:r>
      <w:r w:rsidRPr="00057713">
        <w:rPr>
          <w:rFonts w:cstheme="minorHAnsi"/>
        </w:rPr>
        <w:t xml:space="preserve">. The JSA 2012 caseload </w:t>
      </w:r>
      <w:r>
        <w:rPr>
          <w:rFonts w:cstheme="minorHAnsi"/>
        </w:rPr>
        <w:t xml:space="preserve">on average </w:t>
      </w:r>
      <w:r w:rsidR="00965537">
        <w:rPr>
          <w:rFonts w:cstheme="minorHAnsi"/>
        </w:rPr>
        <w:t>experienc</w:t>
      </w:r>
      <w:r w:rsidR="00B70376">
        <w:rPr>
          <w:rFonts w:cstheme="minorHAnsi"/>
        </w:rPr>
        <w:t>ed</w:t>
      </w:r>
      <w:r w:rsidR="00965537">
        <w:rPr>
          <w:rFonts w:cstheme="minorHAnsi"/>
        </w:rPr>
        <w:t xml:space="preserve"> longer periods </w:t>
      </w:r>
      <w:r w:rsidR="00897FBF">
        <w:rPr>
          <w:rFonts w:cstheme="minorHAnsi"/>
        </w:rPr>
        <w:t>in employment services</w:t>
      </w:r>
      <w:r>
        <w:rPr>
          <w:rFonts w:cstheme="minorHAnsi"/>
        </w:rPr>
        <w:t xml:space="preserve">, </w:t>
      </w:r>
      <w:r w:rsidR="00965537">
        <w:rPr>
          <w:rFonts w:cstheme="minorHAnsi"/>
        </w:rPr>
        <w:t xml:space="preserve">leading to </w:t>
      </w:r>
      <w:r w:rsidRPr="00057713">
        <w:rPr>
          <w:rFonts w:cstheme="minorHAnsi"/>
        </w:rPr>
        <w:t xml:space="preserve">a larger proportion </w:t>
      </w:r>
      <w:r>
        <w:rPr>
          <w:rFonts w:cstheme="minorHAnsi"/>
        </w:rPr>
        <w:t xml:space="preserve">of the caseload </w:t>
      </w:r>
      <w:r w:rsidRPr="00057713">
        <w:rPr>
          <w:rFonts w:cstheme="minorHAnsi"/>
        </w:rPr>
        <w:t>in the WE</w:t>
      </w:r>
      <w:r w:rsidR="00965537">
        <w:rPr>
          <w:rFonts w:cstheme="minorHAnsi"/>
        </w:rPr>
        <w:t>Ph</w:t>
      </w:r>
      <w:r w:rsidRPr="00057713">
        <w:rPr>
          <w:rFonts w:cstheme="minorHAnsi"/>
        </w:rPr>
        <w:t>,</w:t>
      </w:r>
      <w:r w:rsidR="00B078D7">
        <w:rPr>
          <w:rFonts w:cstheme="minorHAnsi"/>
        </w:rPr>
        <w:t xml:space="preserve"> </w:t>
      </w:r>
      <w:r w:rsidR="00965537">
        <w:rPr>
          <w:rFonts w:cstheme="minorHAnsi"/>
        </w:rPr>
        <w:t xml:space="preserve">or the </w:t>
      </w:r>
      <w:r w:rsidRPr="00057713">
        <w:rPr>
          <w:rFonts w:cstheme="minorHAnsi"/>
        </w:rPr>
        <w:t>CAP</w:t>
      </w:r>
      <w:r>
        <w:rPr>
          <w:rFonts w:cstheme="minorHAnsi"/>
        </w:rPr>
        <w:t>. T</w:t>
      </w:r>
      <w:r w:rsidR="00965537">
        <w:rPr>
          <w:rFonts w:cstheme="minorHAnsi"/>
        </w:rPr>
        <w:t>heoretically t</w:t>
      </w:r>
      <w:r>
        <w:rPr>
          <w:rFonts w:cstheme="minorHAnsi"/>
        </w:rPr>
        <w:t xml:space="preserve">hese job seekers </w:t>
      </w:r>
      <w:r w:rsidRPr="00057713">
        <w:rPr>
          <w:rFonts w:cstheme="minorHAnsi"/>
        </w:rPr>
        <w:t xml:space="preserve">require less </w:t>
      </w:r>
      <w:r w:rsidR="00965537">
        <w:rPr>
          <w:rFonts w:cstheme="minorHAnsi"/>
        </w:rPr>
        <w:t xml:space="preserve">direct provider </w:t>
      </w:r>
      <w:r w:rsidRPr="00057713">
        <w:rPr>
          <w:rFonts w:cstheme="minorHAnsi"/>
        </w:rPr>
        <w:t>servicing</w:t>
      </w:r>
      <w:r>
        <w:rPr>
          <w:rFonts w:cstheme="minorHAnsi"/>
        </w:rPr>
        <w:t xml:space="preserve"> as they </w:t>
      </w:r>
      <w:r w:rsidR="00965537">
        <w:rPr>
          <w:rFonts w:cstheme="minorHAnsi"/>
        </w:rPr>
        <w:t xml:space="preserve">spend increasingly more time </w:t>
      </w:r>
      <w:r>
        <w:rPr>
          <w:rFonts w:cstheme="minorHAnsi"/>
        </w:rPr>
        <w:t>participating in activities</w:t>
      </w:r>
      <w:r w:rsidRPr="00057713">
        <w:rPr>
          <w:rFonts w:cstheme="minorHAnsi"/>
        </w:rPr>
        <w:t xml:space="preserve">. It </w:t>
      </w:r>
      <w:r w:rsidR="00965537">
        <w:rPr>
          <w:rFonts w:cstheme="minorHAnsi"/>
        </w:rPr>
        <w:t xml:space="preserve">may </w:t>
      </w:r>
      <w:r>
        <w:rPr>
          <w:rFonts w:cstheme="minorHAnsi"/>
        </w:rPr>
        <w:t xml:space="preserve">be surmised then, that </w:t>
      </w:r>
      <w:r w:rsidR="00B70376">
        <w:rPr>
          <w:rFonts w:cstheme="minorHAnsi"/>
        </w:rPr>
        <w:t xml:space="preserve">the fall in fees over time was, to </w:t>
      </w:r>
      <w:r>
        <w:rPr>
          <w:rFonts w:cstheme="minorHAnsi"/>
        </w:rPr>
        <w:t>some extent</w:t>
      </w:r>
      <w:r w:rsidR="004C3310">
        <w:rPr>
          <w:rFonts w:cstheme="minorHAnsi"/>
        </w:rPr>
        <w:t>,</w:t>
      </w:r>
      <w:r>
        <w:rPr>
          <w:rFonts w:cstheme="minorHAnsi"/>
        </w:rPr>
        <w:t xml:space="preserve"> </w:t>
      </w:r>
      <w:r w:rsidR="00B70376">
        <w:rPr>
          <w:rFonts w:cstheme="minorHAnsi"/>
        </w:rPr>
        <w:t xml:space="preserve">offset by </w:t>
      </w:r>
      <w:r>
        <w:rPr>
          <w:rFonts w:cstheme="minorHAnsi"/>
        </w:rPr>
        <w:t>th</w:t>
      </w:r>
      <w:r w:rsidR="00B70376">
        <w:rPr>
          <w:rFonts w:cstheme="minorHAnsi"/>
        </w:rPr>
        <w:t xml:space="preserve">e </w:t>
      </w:r>
      <w:r w:rsidR="00965537">
        <w:rPr>
          <w:rFonts w:cstheme="minorHAnsi"/>
        </w:rPr>
        <w:t>decrease</w:t>
      </w:r>
      <w:r w:rsidR="00B70376">
        <w:rPr>
          <w:rFonts w:cstheme="minorHAnsi"/>
        </w:rPr>
        <w:t xml:space="preserve">d necessity to </w:t>
      </w:r>
      <w:r w:rsidR="00965537">
        <w:rPr>
          <w:rFonts w:cstheme="minorHAnsi"/>
        </w:rPr>
        <w:t>direct</w:t>
      </w:r>
      <w:r w:rsidR="00EA77F6">
        <w:rPr>
          <w:rFonts w:cstheme="minorHAnsi"/>
        </w:rPr>
        <w:t>ly</w:t>
      </w:r>
      <w:r w:rsidR="00965537">
        <w:rPr>
          <w:rFonts w:cstheme="minorHAnsi"/>
        </w:rPr>
        <w:t xml:space="preserve"> servic</w:t>
      </w:r>
      <w:r w:rsidR="00B70376">
        <w:rPr>
          <w:rFonts w:cstheme="minorHAnsi"/>
        </w:rPr>
        <w:t>e these job seekers</w:t>
      </w:r>
      <w:r w:rsidR="009E6EC6">
        <w:rPr>
          <w:rFonts w:cstheme="minorHAnsi"/>
        </w:rPr>
        <w:t>.</w:t>
      </w:r>
    </w:p>
    <w:p w14:paraId="4F1D2AF3" w14:textId="77777777" w:rsidR="00026CF0" w:rsidRDefault="00026CF0" w:rsidP="00BC326C">
      <w:r>
        <w:t xml:space="preserve">Fewer job seekers were assisted by EPF funds </w:t>
      </w:r>
      <w:r w:rsidR="002B43F0">
        <w:t xml:space="preserve">in the </w:t>
      </w:r>
      <w:r>
        <w:t>JSA 2012</w:t>
      </w:r>
      <w:r w:rsidR="002B43F0">
        <w:t xml:space="preserve"> model</w:t>
      </w:r>
      <w:r>
        <w:t xml:space="preserve">, however average expenditure </w:t>
      </w:r>
      <w:r w:rsidR="002B43F0">
        <w:t xml:space="preserve">per job seeker </w:t>
      </w:r>
      <w:r>
        <w:t>was</w:t>
      </w:r>
      <w:r w:rsidR="002B43F0">
        <w:t xml:space="preserve"> higher</w:t>
      </w:r>
      <w:r>
        <w:t xml:space="preserve"> (</w:t>
      </w:r>
      <w:r w:rsidR="001F3DCD">
        <w:t xml:space="preserve">largely a result of </w:t>
      </w:r>
      <w:r>
        <w:t xml:space="preserve">higher average expenditure on </w:t>
      </w:r>
      <w:r w:rsidR="002B43F0">
        <w:t>t</w:t>
      </w:r>
      <w:r>
        <w:t xml:space="preserve">raining courses and </w:t>
      </w:r>
      <w:r w:rsidR="002B43F0">
        <w:t>w</w:t>
      </w:r>
      <w:r>
        <w:t xml:space="preserve">age </w:t>
      </w:r>
      <w:r w:rsidR="002B43F0">
        <w:t>s</w:t>
      </w:r>
      <w:r>
        <w:t xml:space="preserve">ubsidies, countering lower expenditure on </w:t>
      </w:r>
      <w:r w:rsidR="002B43F0">
        <w:t>p</w:t>
      </w:r>
      <w:r>
        <w:t xml:space="preserve">rovider services). As the JSA 2012 caseload was larger on average than that of JSA 2009 it would appear that a lesser proportion of job seekers were assisted through EPF. These results do not take into account job seekers who were assisted through the </w:t>
      </w:r>
      <w:r w:rsidR="002B43F0">
        <w:t>w</w:t>
      </w:r>
      <w:r>
        <w:t xml:space="preserve">ork </w:t>
      </w:r>
      <w:r w:rsidR="002B43F0">
        <w:t>e</w:t>
      </w:r>
      <w:r>
        <w:t>xperience group based activity category (expenditure on which doubled between the models).</w:t>
      </w:r>
    </w:p>
    <w:p w14:paraId="2D0581A0" w14:textId="0C59AF20" w:rsidR="00026CF0" w:rsidRDefault="00026CF0" w:rsidP="00BC326C">
      <w:r w:rsidRPr="006B04EE">
        <w:t xml:space="preserve">EPF expenditure patterns </w:t>
      </w:r>
      <w:r w:rsidR="001F3DCD">
        <w:t>differed between the models.</w:t>
      </w:r>
      <w:r w:rsidRPr="006B04EE">
        <w:t xml:space="preserve"> </w:t>
      </w:r>
      <w:r w:rsidR="001F3DCD">
        <w:t>In JSA 2012 m</w:t>
      </w:r>
      <w:r w:rsidRPr="006B04EE">
        <w:t xml:space="preserve">ore was spent on </w:t>
      </w:r>
      <w:r w:rsidR="002B43F0">
        <w:t>w</w:t>
      </w:r>
      <w:r w:rsidRPr="006B04EE">
        <w:t xml:space="preserve">ork </w:t>
      </w:r>
      <w:r w:rsidR="002B43F0">
        <w:t>e</w:t>
      </w:r>
      <w:r w:rsidRPr="006B04EE">
        <w:t xml:space="preserve">xperience </w:t>
      </w:r>
      <w:r>
        <w:t>g</w:t>
      </w:r>
      <w:r w:rsidRPr="006B04EE">
        <w:t xml:space="preserve">roup </w:t>
      </w:r>
      <w:r>
        <w:t>b</w:t>
      </w:r>
      <w:r w:rsidRPr="006B04EE">
        <w:t xml:space="preserve">ased </w:t>
      </w:r>
      <w:r>
        <w:t>a</w:t>
      </w:r>
      <w:r w:rsidRPr="006B04EE">
        <w:t xml:space="preserve">ctivities (which </w:t>
      </w:r>
      <w:r w:rsidR="002B43F0">
        <w:t xml:space="preserve">can be explained by </w:t>
      </w:r>
      <w:r w:rsidRPr="006B04EE">
        <w:t xml:space="preserve">the increased proportion of the JSA 2012 caseload that was </w:t>
      </w:r>
      <w:r w:rsidR="002B43F0">
        <w:t>unemployed for longer periods</w:t>
      </w:r>
      <w:r w:rsidRPr="006B04EE">
        <w:t xml:space="preserve"> and the introduction of CAP and </w:t>
      </w:r>
      <w:r w:rsidR="002B43F0">
        <w:t xml:space="preserve">the </w:t>
      </w:r>
      <w:r w:rsidRPr="006B04EE">
        <w:t>Work for the Dole Pilot). Training was given a high priority by providers</w:t>
      </w:r>
      <w:r>
        <w:t>,</w:t>
      </w:r>
      <w:r w:rsidRPr="006B04EE">
        <w:t xml:space="preserve"> while </w:t>
      </w:r>
      <w:r w:rsidR="002B43F0">
        <w:t>r</w:t>
      </w:r>
      <w:r w:rsidRPr="006B04EE">
        <w:t xml:space="preserve">everse </w:t>
      </w:r>
      <w:r>
        <w:t>m</w:t>
      </w:r>
      <w:r w:rsidRPr="006B04EE">
        <w:t>arketing</w:t>
      </w:r>
      <w:r>
        <w:t xml:space="preserve">, </w:t>
      </w:r>
      <w:r w:rsidR="002B43F0">
        <w:t>o</w:t>
      </w:r>
      <w:r>
        <w:t xml:space="preserve">utreach services and </w:t>
      </w:r>
      <w:r w:rsidR="002B43F0">
        <w:t>p</w:t>
      </w:r>
      <w:r>
        <w:t>ost</w:t>
      </w:r>
      <w:r w:rsidR="00024C64">
        <w:t>-</w:t>
      </w:r>
      <w:r w:rsidR="002B43F0">
        <w:t>p</w:t>
      </w:r>
      <w:r>
        <w:t xml:space="preserve">lacement </w:t>
      </w:r>
      <w:r w:rsidR="002B43F0">
        <w:t>s</w:t>
      </w:r>
      <w:r>
        <w:t>upport</w:t>
      </w:r>
      <w:r w:rsidRPr="006B04EE">
        <w:t xml:space="preserve"> declined under JSA </w:t>
      </w:r>
      <w:r w:rsidR="000804DF" w:rsidRPr="006B04EE">
        <w:t>2012</w:t>
      </w:r>
      <w:r w:rsidRPr="006B04EE">
        <w:t>.</w:t>
      </w:r>
      <w:r w:rsidR="007565F8">
        <w:t xml:space="preserve"> </w:t>
      </w:r>
    </w:p>
    <w:p w14:paraId="474A9D55" w14:textId="77777777" w:rsidR="00026CF0" w:rsidRDefault="00026CF0" w:rsidP="00BC326C">
      <w:r w:rsidRPr="006B04EE">
        <w:t xml:space="preserve">Analysis of EPF expenditure shows that </w:t>
      </w:r>
      <w:r>
        <w:t xml:space="preserve">many </w:t>
      </w:r>
      <w:r w:rsidRPr="006B04EE">
        <w:t xml:space="preserve">changes made to how these funds were spent are within expectations given </w:t>
      </w:r>
      <w:r w:rsidR="002B43F0" w:rsidRPr="006B04EE">
        <w:t xml:space="preserve">changes </w:t>
      </w:r>
      <w:r w:rsidR="002B43F0">
        <w:t xml:space="preserve">to the </w:t>
      </w:r>
      <w:r w:rsidRPr="006B04EE">
        <w:t xml:space="preserve">JSA </w:t>
      </w:r>
      <w:r>
        <w:t xml:space="preserve">model </w:t>
      </w:r>
      <w:r w:rsidRPr="006B04EE">
        <w:t>and caseload composition</w:t>
      </w:r>
      <w:r>
        <w:t xml:space="preserve">s, </w:t>
      </w:r>
      <w:r w:rsidRPr="00AF3E0D">
        <w:t xml:space="preserve">but </w:t>
      </w:r>
      <w:r w:rsidR="002B43F0">
        <w:t>may</w:t>
      </w:r>
      <w:r w:rsidR="002B43F0" w:rsidRPr="00AF3E0D">
        <w:t xml:space="preserve"> </w:t>
      </w:r>
      <w:r w:rsidRPr="00AF3E0D">
        <w:t>also reflect changes in provider practices that may or may not have had an impact on job seeker outcomes.</w:t>
      </w:r>
      <w:r w:rsidR="007565F8">
        <w:t xml:space="preserve"> The focus on education and training for example may reflect an attempt by providers to offset falling employment outcome payments with education outcomes.</w:t>
      </w:r>
    </w:p>
    <w:p w14:paraId="1482A74A" w14:textId="77777777" w:rsidR="009F5A75" w:rsidRDefault="009F5A75" w:rsidP="00BC326C">
      <w:pPr>
        <w:rPr>
          <w:rFonts w:cstheme="minorHAnsi"/>
        </w:rPr>
      </w:pPr>
      <w:r>
        <w:rPr>
          <w:rFonts w:cstheme="minorHAnsi"/>
        </w:rPr>
        <w:t xml:space="preserve">It is clear from other analysis in this report that changes made to the JSA model such as the </w:t>
      </w:r>
      <w:r w:rsidR="002B43F0">
        <w:rPr>
          <w:rFonts w:cstheme="minorHAnsi"/>
        </w:rPr>
        <w:t xml:space="preserve">changes to </w:t>
      </w:r>
      <w:r>
        <w:rPr>
          <w:rFonts w:cstheme="minorHAnsi"/>
        </w:rPr>
        <w:t xml:space="preserve">Stream 1 </w:t>
      </w:r>
      <w:r w:rsidR="004C3310">
        <w:rPr>
          <w:rFonts w:cstheme="minorHAnsi"/>
        </w:rPr>
        <w:t xml:space="preserve">servicing </w:t>
      </w:r>
      <w:r>
        <w:rPr>
          <w:rFonts w:cstheme="minorHAnsi"/>
        </w:rPr>
        <w:t>and the introduction of CAP contributed to a negative impact on outcome rates. Whether lower fees for providers w</w:t>
      </w:r>
      <w:r w:rsidR="00966545">
        <w:rPr>
          <w:rFonts w:cstheme="minorHAnsi"/>
        </w:rPr>
        <w:t>ere</w:t>
      </w:r>
      <w:r>
        <w:rPr>
          <w:rFonts w:cstheme="minorHAnsi"/>
        </w:rPr>
        <w:t xml:space="preserve"> a factor in these results cannot be determined as it is not possible to isolate the programme effects of individual changes.</w:t>
      </w:r>
    </w:p>
    <w:p w14:paraId="73587A73" w14:textId="77777777" w:rsidR="007565F8" w:rsidRDefault="007565F8">
      <w:pPr>
        <w:rPr>
          <w:rFonts w:ascii="Calibri" w:eastAsiaTheme="majorEastAsia" w:hAnsi="Calibri" w:cstheme="majorBidi"/>
          <w:b/>
          <w:bCs/>
          <w:color w:val="1E3D6B"/>
          <w:sz w:val="36"/>
          <w:szCs w:val="28"/>
        </w:rPr>
      </w:pPr>
      <w:r>
        <w:br w:type="page"/>
      </w:r>
    </w:p>
    <w:p w14:paraId="245E934D" w14:textId="77777777" w:rsidR="005E1B5A" w:rsidRDefault="0098668D" w:rsidP="005E1B5A">
      <w:pPr>
        <w:pStyle w:val="Heading1"/>
      </w:pPr>
      <w:bookmarkStart w:id="554" w:name="_Toc22543153"/>
      <w:r>
        <w:t>11</w:t>
      </w:r>
      <w:r w:rsidR="002A4E5C">
        <w:tab/>
      </w:r>
      <w:r w:rsidR="005E1B5A">
        <w:t xml:space="preserve">Conclusions and </w:t>
      </w:r>
      <w:r w:rsidR="00966545">
        <w:t>r</w:t>
      </w:r>
      <w:r w:rsidR="005E1B5A">
        <w:t>ecommendations</w:t>
      </w:r>
      <w:bookmarkEnd w:id="554"/>
    </w:p>
    <w:p w14:paraId="5B45BED2" w14:textId="77777777" w:rsidR="004541A6" w:rsidRDefault="007D3475" w:rsidP="004541A6">
      <w:pPr>
        <w:pStyle w:val="Heading2"/>
      </w:pPr>
      <w:bookmarkStart w:id="555" w:name="_Toc450919353"/>
      <w:bookmarkStart w:id="556" w:name="_Toc22543154"/>
      <w:r>
        <w:t>11</w:t>
      </w:r>
      <w:r w:rsidR="004541A6">
        <w:t>.1</w:t>
      </w:r>
      <w:r w:rsidR="004541A6">
        <w:tab/>
      </w:r>
      <w:r w:rsidR="00BF36BA">
        <w:t xml:space="preserve">Conclusions - </w:t>
      </w:r>
      <w:r w:rsidR="004541A6">
        <w:t>How effective were the programme changes?</w:t>
      </w:r>
      <w:bookmarkEnd w:id="515"/>
      <w:bookmarkEnd w:id="555"/>
      <w:bookmarkEnd w:id="556"/>
    </w:p>
    <w:p w14:paraId="1DB673EE" w14:textId="77777777" w:rsidR="005B6559" w:rsidRPr="005B6559" w:rsidRDefault="005B6559" w:rsidP="006C1CF0">
      <w:r w:rsidRPr="005B6559">
        <w:t>The following changes were implemented between the two JSA contracts</w:t>
      </w:r>
      <w:r w:rsidR="004C3310">
        <w:t>:</w:t>
      </w:r>
    </w:p>
    <w:p w14:paraId="7B8A2BAD" w14:textId="77777777" w:rsidR="007C03AE" w:rsidRDefault="004C3310" w:rsidP="00EC212B">
      <w:pPr>
        <w:pStyle w:val="ListParagraph"/>
      </w:pPr>
      <w:r>
        <w:t>c</w:t>
      </w:r>
      <w:r w:rsidRPr="007C03AE">
        <w:t xml:space="preserve">hanges </w:t>
      </w:r>
      <w:r w:rsidR="005B6559" w:rsidRPr="007C03AE">
        <w:t>to Stream 1 job seeker servicing</w:t>
      </w:r>
    </w:p>
    <w:p w14:paraId="7EBA9137" w14:textId="5A0FB1BA" w:rsidR="005B6559" w:rsidRPr="007C03AE" w:rsidRDefault="004C3310" w:rsidP="00EC212B">
      <w:pPr>
        <w:pStyle w:val="ListParagraph"/>
      </w:pPr>
      <w:r>
        <w:t>c</w:t>
      </w:r>
      <w:r w:rsidRPr="007C03AE">
        <w:t xml:space="preserve">essation </w:t>
      </w:r>
      <w:r w:rsidR="00C70E25" w:rsidRPr="007C03AE">
        <w:t>of the S</w:t>
      </w:r>
      <w:r w:rsidR="005B6559" w:rsidRPr="007C03AE">
        <w:t>tream Service</w:t>
      </w:r>
      <w:r w:rsidR="000B2F4D">
        <w:t>s</w:t>
      </w:r>
      <w:r w:rsidR="005B6559" w:rsidRPr="007C03AE">
        <w:t xml:space="preserve"> Review (SSR)</w:t>
      </w:r>
    </w:p>
    <w:p w14:paraId="5661F778" w14:textId="77777777" w:rsidR="005B6559" w:rsidRPr="004F2858" w:rsidRDefault="004C3310" w:rsidP="00EC212B">
      <w:pPr>
        <w:pStyle w:val="ListParagraph"/>
      </w:pPr>
      <w:r>
        <w:t>i</w:t>
      </w:r>
      <w:r w:rsidRPr="007C03AE">
        <w:t xml:space="preserve">ncreased </w:t>
      </w:r>
      <w:r w:rsidR="005B6559" w:rsidRPr="007C03AE">
        <w:t xml:space="preserve">help for </w:t>
      </w:r>
      <w:r w:rsidR="00C70E25" w:rsidRPr="007C03AE">
        <w:t>Indigenous</w:t>
      </w:r>
      <w:r w:rsidR="005B6559" w:rsidRPr="004F2858">
        <w:t xml:space="preserve"> job seekers</w:t>
      </w:r>
    </w:p>
    <w:p w14:paraId="075FA69E" w14:textId="77777777" w:rsidR="005B6559" w:rsidRPr="007C03AE" w:rsidRDefault="004C3310" w:rsidP="00EC212B">
      <w:pPr>
        <w:pStyle w:val="ListParagraph"/>
      </w:pPr>
      <w:r>
        <w:t>c</w:t>
      </w:r>
      <w:r w:rsidRPr="007C03AE">
        <w:t xml:space="preserve">hanges </w:t>
      </w:r>
      <w:r w:rsidR="005B6559" w:rsidRPr="007C03AE">
        <w:t>to reduce provider red tape</w:t>
      </w:r>
    </w:p>
    <w:p w14:paraId="7B879DB6" w14:textId="77777777" w:rsidR="005B6559" w:rsidRPr="007C03AE" w:rsidRDefault="004C3310" w:rsidP="00EC212B">
      <w:pPr>
        <w:pStyle w:val="ListParagraph"/>
      </w:pPr>
      <w:r>
        <w:t>c</w:t>
      </w:r>
      <w:r w:rsidRPr="007C03AE">
        <w:t xml:space="preserve">hanges </w:t>
      </w:r>
      <w:r w:rsidR="005B6559" w:rsidRPr="007C03AE">
        <w:t>to evidentiary requirements</w:t>
      </w:r>
    </w:p>
    <w:p w14:paraId="1CBA56AA" w14:textId="77777777" w:rsidR="005B6559" w:rsidRPr="007C03AE" w:rsidRDefault="004C3310" w:rsidP="00EC212B">
      <w:pPr>
        <w:pStyle w:val="ListParagraph"/>
      </w:pPr>
      <w:r>
        <w:t>c</w:t>
      </w:r>
      <w:r w:rsidRPr="007C03AE">
        <w:t xml:space="preserve">hanges </w:t>
      </w:r>
      <w:r w:rsidR="005B6559" w:rsidRPr="007C03AE">
        <w:t xml:space="preserve">to the </w:t>
      </w:r>
      <w:r w:rsidR="00D42784">
        <w:rPr>
          <w:rFonts w:cstheme="minorHAnsi"/>
        </w:rPr>
        <w:t xml:space="preserve">job seeker participation and </w:t>
      </w:r>
      <w:r w:rsidR="00D42784" w:rsidRPr="001B7264">
        <w:rPr>
          <w:rFonts w:cstheme="minorHAnsi"/>
        </w:rPr>
        <w:t xml:space="preserve">compliance framework </w:t>
      </w:r>
    </w:p>
    <w:p w14:paraId="339B81DD" w14:textId="77777777" w:rsidR="005B6559" w:rsidRPr="007C03AE" w:rsidRDefault="004C3310" w:rsidP="00EC212B">
      <w:pPr>
        <w:pStyle w:val="ListParagraph"/>
      </w:pPr>
      <w:r>
        <w:t>i</w:t>
      </w:r>
      <w:r w:rsidR="005B6559" w:rsidRPr="007C03AE">
        <w:t xml:space="preserve">ntroduction of new </w:t>
      </w:r>
      <w:r>
        <w:t>w</w:t>
      </w:r>
      <w:r w:rsidRPr="007C03AE">
        <w:t xml:space="preserve">age </w:t>
      </w:r>
      <w:r>
        <w:t>s</w:t>
      </w:r>
      <w:r w:rsidRPr="007C03AE">
        <w:t xml:space="preserve">ubsidies </w:t>
      </w:r>
      <w:r w:rsidR="005B6559" w:rsidRPr="007C03AE">
        <w:t>including Wage Connect</w:t>
      </w:r>
      <w:r>
        <w:t>.</w:t>
      </w:r>
    </w:p>
    <w:p w14:paraId="6FD1C769" w14:textId="327EF560" w:rsidR="00B17748" w:rsidRDefault="00B17748" w:rsidP="005B6559">
      <w:r>
        <w:t xml:space="preserve">Analysis used to assess the overall effectiveness of JSA 2012 is regressed where possible to account for macroeconomic conditions, and is based on constructed </w:t>
      </w:r>
      <w:r w:rsidR="000804DF">
        <w:t>comparable</w:t>
      </w:r>
      <w:r>
        <w:t xml:space="preserve"> populations designed for the purpose of analysis undertaken for </w:t>
      </w:r>
      <w:r w:rsidR="00492EF3">
        <w:t>this report</w:t>
      </w:r>
      <w:r>
        <w:t>.</w:t>
      </w:r>
    </w:p>
    <w:p w14:paraId="5DDBF5F6" w14:textId="77777777" w:rsidR="00B17748" w:rsidRPr="006B38EA" w:rsidRDefault="00BE7E40" w:rsidP="00E90586">
      <w:pPr>
        <w:pStyle w:val="Heading3"/>
      </w:pPr>
      <w:bookmarkStart w:id="557" w:name="_Toc22543155"/>
      <w:r>
        <w:t>11.1.1</w:t>
      </w:r>
      <w:r>
        <w:tab/>
      </w:r>
      <w:r w:rsidR="00B17748" w:rsidRPr="006B38EA">
        <w:t xml:space="preserve">Changes to </w:t>
      </w:r>
      <w:r w:rsidR="00B17748" w:rsidRPr="005F5BAA">
        <w:t>Stream</w:t>
      </w:r>
      <w:r w:rsidR="00B17748" w:rsidRPr="006B38EA">
        <w:t xml:space="preserve"> 1 job seeker servicing</w:t>
      </w:r>
      <w:bookmarkEnd w:id="557"/>
    </w:p>
    <w:p w14:paraId="5A77D115" w14:textId="4FBB74DB" w:rsidR="00B17748" w:rsidRPr="009C3C01" w:rsidRDefault="00E421AC" w:rsidP="00EC212B">
      <w:pPr>
        <w:rPr>
          <w:rFonts w:eastAsiaTheme="majorEastAsia"/>
        </w:rPr>
      </w:pPr>
      <w:r>
        <w:t xml:space="preserve">Compared to JSA 2009, </w:t>
      </w:r>
      <w:r w:rsidR="00B17748" w:rsidRPr="009C3C01">
        <w:rPr>
          <w:rFonts w:eastAsiaTheme="majorEastAsia"/>
        </w:rPr>
        <w:t xml:space="preserve">new entrant Stream 1 job seekers </w:t>
      </w:r>
      <w:r>
        <w:rPr>
          <w:rFonts w:eastAsiaTheme="majorEastAsia"/>
        </w:rPr>
        <w:t xml:space="preserve">in </w:t>
      </w:r>
      <w:r w:rsidR="00B17748" w:rsidRPr="009C3C01">
        <w:rPr>
          <w:rFonts w:eastAsiaTheme="majorEastAsia"/>
        </w:rPr>
        <w:t>JSA 2012:</w:t>
      </w:r>
    </w:p>
    <w:p w14:paraId="419CEFFD" w14:textId="77777777" w:rsidR="00E421AC" w:rsidRPr="007B55E7" w:rsidRDefault="005F5BAA" w:rsidP="00EC212B">
      <w:pPr>
        <w:pStyle w:val="ListParagraph"/>
      </w:pPr>
      <w:r w:rsidRPr="007B55E7">
        <w:t>h</w:t>
      </w:r>
      <w:r w:rsidR="00E421AC" w:rsidRPr="007B55E7">
        <w:t xml:space="preserve">ad a longer </w:t>
      </w:r>
      <w:r w:rsidR="00B17748" w:rsidRPr="007B55E7">
        <w:t xml:space="preserve">median time to exit </w:t>
      </w:r>
      <w:r w:rsidR="00E421AC" w:rsidRPr="007B55E7">
        <w:t>(</w:t>
      </w:r>
      <w:r w:rsidR="00B17748" w:rsidRPr="007B55E7">
        <w:t>21 days</w:t>
      </w:r>
      <w:r w:rsidR="00E421AC" w:rsidRPr="007B55E7">
        <w:t>)</w:t>
      </w:r>
    </w:p>
    <w:p w14:paraId="3CAFA330" w14:textId="77777777" w:rsidR="00B17748" w:rsidRPr="005F5BAA" w:rsidRDefault="00B17748" w:rsidP="00EC212B">
      <w:pPr>
        <w:pStyle w:val="ListParagraph"/>
        <w:rPr>
          <w:rFonts w:eastAsiaTheme="majorEastAsia"/>
        </w:rPr>
      </w:pPr>
      <w:r w:rsidRPr="007B55E7">
        <w:t>were less</w:t>
      </w:r>
      <w:r w:rsidRPr="00E421AC">
        <w:rPr>
          <w:rFonts w:eastAsiaTheme="majorEastAsia"/>
        </w:rPr>
        <w:t xml:space="preserve"> likely to be off income support after 12 months in service</w:t>
      </w:r>
      <w:r w:rsidRPr="005F5BAA">
        <w:rPr>
          <w:rFonts w:eastAsiaTheme="majorEastAsia"/>
        </w:rPr>
        <w:t xml:space="preserve"> (by 10.5 per cent).</w:t>
      </w:r>
    </w:p>
    <w:p w14:paraId="39143FF4" w14:textId="77777777" w:rsidR="00B17748" w:rsidRPr="009C3C01" w:rsidRDefault="00B17748" w:rsidP="00BF36BA">
      <w:r>
        <w:t xml:space="preserve">The Intensive Activity </w:t>
      </w:r>
      <w:r w:rsidR="00BF36BA">
        <w:t>r</w:t>
      </w:r>
      <w:r>
        <w:t xml:space="preserve">egime </w:t>
      </w:r>
      <w:r w:rsidR="00BF36BA">
        <w:t xml:space="preserve">in JSA 2012 </w:t>
      </w:r>
      <w:r>
        <w:t xml:space="preserve">did not </w:t>
      </w:r>
      <w:r w:rsidR="00BF36BA">
        <w:t xml:space="preserve">prompt </w:t>
      </w:r>
      <w:r>
        <w:t xml:space="preserve">a </w:t>
      </w:r>
      <w:r w:rsidR="00BF36BA">
        <w:t xml:space="preserve">referral </w:t>
      </w:r>
      <w:r>
        <w:t>effect</w:t>
      </w:r>
      <w:r w:rsidR="00BF36BA">
        <w:t xml:space="preserve">, which is in </w:t>
      </w:r>
      <w:r w:rsidRPr="009C3C01">
        <w:t xml:space="preserve">contrast </w:t>
      </w:r>
      <w:r>
        <w:t xml:space="preserve">to the </w:t>
      </w:r>
      <w:r w:rsidRPr="009C3C01">
        <w:t>noticeable effect in JSA 2009.</w:t>
      </w:r>
      <w:r w:rsidR="00BF36BA">
        <w:t xml:space="preserve"> </w:t>
      </w:r>
      <w:r w:rsidR="005F5BAA">
        <w:rPr>
          <w:rFonts w:eastAsiaTheme="majorEastAsia"/>
        </w:rPr>
        <w:t>T</w:t>
      </w:r>
      <w:r w:rsidRPr="009C3C01">
        <w:rPr>
          <w:rFonts w:eastAsiaTheme="majorEastAsia"/>
        </w:rPr>
        <w:t xml:space="preserve">he combined effect of all changes made to the service delivery for Stream 1 job seekers </w:t>
      </w:r>
      <w:r w:rsidR="005F5BAA">
        <w:rPr>
          <w:rFonts w:eastAsiaTheme="majorEastAsia"/>
        </w:rPr>
        <w:t xml:space="preserve">appears to have </w:t>
      </w:r>
      <w:r w:rsidRPr="009C3C01">
        <w:rPr>
          <w:rFonts w:eastAsiaTheme="majorEastAsia"/>
        </w:rPr>
        <w:t>resulted in lower short to medium</w:t>
      </w:r>
      <w:r>
        <w:rPr>
          <w:rFonts w:eastAsiaTheme="majorEastAsia"/>
        </w:rPr>
        <w:t>-</w:t>
      </w:r>
      <w:r w:rsidRPr="009C3C01">
        <w:rPr>
          <w:rFonts w:eastAsiaTheme="majorEastAsia"/>
        </w:rPr>
        <w:t>term outcome rates.</w:t>
      </w:r>
      <w:r w:rsidR="00BF36BA">
        <w:rPr>
          <w:rFonts w:eastAsiaTheme="majorEastAsia"/>
        </w:rPr>
        <w:t xml:space="preserve"> </w:t>
      </w:r>
      <w:r w:rsidR="00391A6D">
        <w:t>C</w:t>
      </w:r>
      <w:r w:rsidR="005F5BAA" w:rsidRPr="009C3C01">
        <w:t>ompared with JSA 2009</w:t>
      </w:r>
      <w:r w:rsidR="005F5BAA">
        <w:t xml:space="preserve">, </w:t>
      </w:r>
      <w:r w:rsidRPr="009C3C01">
        <w:t>Stream 1 service costs were lower in the first 12 months of service in JSA 2012</w:t>
      </w:r>
      <w:r w:rsidR="00BF36BA">
        <w:t>. The</w:t>
      </w:r>
      <w:r w:rsidRPr="009C3C01">
        <w:t xml:space="preserve"> overall effect of all service delivery model changes led to</w:t>
      </w:r>
      <w:r>
        <w:t xml:space="preserve"> </w:t>
      </w:r>
      <w:r w:rsidRPr="009C3C01">
        <w:t>a longer median time in service.</w:t>
      </w:r>
    </w:p>
    <w:p w14:paraId="58E65379" w14:textId="24FD89A3" w:rsidR="005F5BAA" w:rsidRPr="006B38EA" w:rsidRDefault="00BE7E40" w:rsidP="00E90586">
      <w:pPr>
        <w:pStyle w:val="Heading3"/>
      </w:pPr>
      <w:bookmarkStart w:id="558" w:name="_Toc22543156"/>
      <w:r>
        <w:t>11.1.2</w:t>
      </w:r>
      <w:r>
        <w:tab/>
      </w:r>
      <w:r w:rsidR="005F5BAA" w:rsidRPr="006B38EA">
        <w:t>Stream Service</w:t>
      </w:r>
      <w:r w:rsidR="000B2F4D">
        <w:t>s</w:t>
      </w:r>
      <w:r w:rsidR="005F5BAA" w:rsidRPr="006B38EA">
        <w:t xml:space="preserve"> Review (SSR) </w:t>
      </w:r>
      <w:r w:rsidR="00C70E25">
        <w:t>c</w:t>
      </w:r>
      <w:r w:rsidR="005F5BAA" w:rsidRPr="006B38EA">
        <w:t>hanges</w:t>
      </w:r>
      <w:bookmarkEnd w:id="558"/>
    </w:p>
    <w:p w14:paraId="171D2F03" w14:textId="20202295" w:rsidR="00391A6D" w:rsidRDefault="00391A6D" w:rsidP="00C70E25">
      <w:pPr>
        <w:rPr>
          <w:rFonts w:eastAsiaTheme="majorEastAsia"/>
        </w:rPr>
      </w:pPr>
      <w:r>
        <w:rPr>
          <w:rFonts w:eastAsiaTheme="majorEastAsia"/>
        </w:rPr>
        <w:t>T</w:t>
      </w:r>
      <w:r w:rsidR="00C70E25" w:rsidRPr="00E94C6E">
        <w:rPr>
          <w:rFonts w:eastAsiaTheme="majorEastAsia"/>
        </w:rPr>
        <w:t>hree-quarters of SSRs conducted for Stream 1 to 3 job seekers</w:t>
      </w:r>
      <w:r w:rsidR="00162AE1">
        <w:rPr>
          <w:rFonts w:eastAsiaTheme="majorEastAsia"/>
        </w:rPr>
        <w:t xml:space="preserve"> in JSA 2009</w:t>
      </w:r>
      <w:r w:rsidR="00C70E25" w:rsidRPr="00E94C6E">
        <w:rPr>
          <w:rFonts w:eastAsiaTheme="majorEastAsia"/>
        </w:rPr>
        <w:t xml:space="preserve"> recommended transition to the </w:t>
      </w:r>
      <w:r w:rsidR="00C70E25">
        <w:rPr>
          <w:rFonts w:eastAsiaTheme="majorEastAsia"/>
        </w:rPr>
        <w:t xml:space="preserve">WEPh </w:t>
      </w:r>
      <w:r w:rsidR="00C70E25" w:rsidRPr="00E94C6E">
        <w:rPr>
          <w:rFonts w:eastAsiaTheme="majorEastAsia"/>
        </w:rPr>
        <w:t>suggest</w:t>
      </w:r>
      <w:r>
        <w:rPr>
          <w:rFonts w:eastAsiaTheme="majorEastAsia"/>
        </w:rPr>
        <w:t>ing</w:t>
      </w:r>
      <w:r w:rsidR="00C70E25" w:rsidRPr="00E94C6E">
        <w:rPr>
          <w:rFonts w:eastAsiaTheme="majorEastAsia"/>
        </w:rPr>
        <w:t xml:space="preserve"> that such a universal approach to determining job seeker readiness for the </w:t>
      </w:r>
      <w:r w:rsidR="00C70E25">
        <w:rPr>
          <w:rFonts w:eastAsiaTheme="majorEastAsia"/>
        </w:rPr>
        <w:t>W</w:t>
      </w:r>
      <w:r w:rsidR="000C2C01">
        <w:rPr>
          <w:rFonts w:eastAsiaTheme="majorEastAsia"/>
        </w:rPr>
        <w:t xml:space="preserve">ork </w:t>
      </w:r>
      <w:r w:rsidR="00C70E25">
        <w:rPr>
          <w:rFonts w:eastAsiaTheme="majorEastAsia"/>
        </w:rPr>
        <w:t>E</w:t>
      </w:r>
      <w:r w:rsidR="000C2C01">
        <w:rPr>
          <w:rFonts w:eastAsiaTheme="majorEastAsia"/>
        </w:rPr>
        <w:t xml:space="preserve">xperience </w:t>
      </w:r>
      <w:r w:rsidR="00C70E25">
        <w:rPr>
          <w:rFonts w:eastAsiaTheme="majorEastAsia"/>
        </w:rPr>
        <w:t>Ph</w:t>
      </w:r>
      <w:r w:rsidR="000C2C01">
        <w:rPr>
          <w:rFonts w:eastAsiaTheme="majorEastAsia"/>
        </w:rPr>
        <w:t>ase (WEPh)</w:t>
      </w:r>
      <w:r w:rsidR="00C70E25">
        <w:rPr>
          <w:rFonts w:eastAsiaTheme="majorEastAsia"/>
        </w:rPr>
        <w:t xml:space="preserve"> </w:t>
      </w:r>
      <w:r w:rsidR="004C3310">
        <w:rPr>
          <w:rFonts w:eastAsiaTheme="majorEastAsia"/>
        </w:rPr>
        <w:t xml:space="preserve">was </w:t>
      </w:r>
      <w:r w:rsidR="000804DF">
        <w:rPr>
          <w:rFonts w:eastAsiaTheme="majorEastAsia"/>
        </w:rPr>
        <w:t>unnecessary</w:t>
      </w:r>
      <w:r w:rsidR="00C70E25" w:rsidRPr="00E94C6E">
        <w:rPr>
          <w:rFonts w:eastAsiaTheme="majorEastAsia"/>
        </w:rPr>
        <w:t>.</w:t>
      </w:r>
    </w:p>
    <w:p w14:paraId="55A148B3" w14:textId="1BE2B791" w:rsidR="00C70E25" w:rsidRPr="00E94C6E" w:rsidRDefault="00C70E25" w:rsidP="00C70E25">
      <w:pPr>
        <w:rPr>
          <w:rFonts w:eastAsiaTheme="majorEastAsia"/>
        </w:rPr>
      </w:pPr>
      <w:r w:rsidRPr="00E94C6E">
        <w:rPr>
          <w:rFonts w:eastAsiaTheme="majorEastAsia"/>
        </w:rPr>
        <w:t xml:space="preserve">The risk of job seekers not ready to transition to the </w:t>
      </w:r>
      <w:r>
        <w:rPr>
          <w:rFonts w:eastAsiaTheme="majorEastAsia"/>
        </w:rPr>
        <w:t>WEPh</w:t>
      </w:r>
      <w:r w:rsidRPr="00E94C6E">
        <w:rPr>
          <w:rFonts w:eastAsiaTheme="majorEastAsia"/>
        </w:rPr>
        <w:t xml:space="preserve"> being ‘missed’ without the ‘safety net’ of the SSR </w:t>
      </w:r>
      <w:r w:rsidR="00AA57FC">
        <w:rPr>
          <w:rFonts w:eastAsiaTheme="majorEastAsia"/>
        </w:rPr>
        <w:t xml:space="preserve">in JSA 2012 </w:t>
      </w:r>
      <w:r w:rsidRPr="00E94C6E">
        <w:rPr>
          <w:rFonts w:eastAsiaTheme="majorEastAsia"/>
        </w:rPr>
        <w:t>was probably low</w:t>
      </w:r>
      <w:r w:rsidR="00377B8E">
        <w:rPr>
          <w:rFonts w:eastAsiaTheme="majorEastAsia"/>
        </w:rPr>
        <w:t>. A</w:t>
      </w:r>
      <w:r w:rsidRPr="00E94C6E">
        <w:rPr>
          <w:rFonts w:eastAsiaTheme="majorEastAsia"/>
        </w:rPr>
        <w:t>round 75 per cent of those who had an assessment recommend</w:t>
      </w:r>
      <w:r w:rsidR="000C2C01">
        <w:rPr>
          <w:rFonts w:eastAsiaTheme="majorEastAsia"/>
        </w:rPr>
        <w:t>ing</w:t>
      </w:r>
      <w:r w:rsidRPr="00E94C6E">
        <w:rPr>
          <w:rFonts w:eastAsiaTheme="majorEastAsia"/>
        </w:rPr>
        <w:t xml:space="preserve"> a change to a higher stream or</w:t>
      </w:r>
      <w:r w:rsidRPr="00DF4856">
        <w:rPr>
          <w:rFonts w:eastAsiaTheme="majorEastAsia"/>
          <w:b/>
        </w:rPr>
        <w:t xml:space="preserve"> </w:t>
      </w:r>
      <w:r w:rsidRPr="00DF4856">
        <w:rPr>
          <w:rFonts w:eastAsiaTheme="majorEastAsia"/>
        </w:rPr>
        <w:t>Disability Employment Services</w:t>
      </w:r>
      <w:r w:rsidRPr="00E94C6E">
        <w:rPr>
          <w:rFonts w:eastAsiaTheme="majorEastAsia"/>
        </w:rPr>
        <w:t xml:space="preserve"> </w:t>
      </w:r>
      <w:r>
        <w:rPr>
          <w:rFonts w:eastAsiaTheme="majorEastAsia"/>
        </w:rPr>
        <w:t>(</w:t>
      </w:r>
      <w:r w:rsidRPr="00E94C6E">
        <w:rPr>
          <w:rFonts w:eastAsiaTheme="majorEastAsia"/>
        </w:rPr>
        <w:t>DES</w:t>
      </w:r>
      <w:r>
        <w:rPr>
          <w:rFonts w:eastAsiaTheme="majorEastAsia"/>
        </w:rPr>
        <w:t>)</w:t>
      </w:r>
      <w:r w:rsidRPr="00E94C6E">
        <w:rPr>
          <w:rFonts w:eastAsiaTheme="majorEastAsia"/>
        </w:rPr>
        <w:t xml:space="preserve"> occurred before 12 months in service.</w:t>
      </w:r>
    </w:p>
    <w:p w14:paraId="276EE73A" w14:textId="77777777" w:rsidR="00C70E25" w:rsidRPr="00403511" w:rsidRDefault="000C2C01" w:rsidP="009B55FF">
      <w:pPr>
        <w:pStyle w:val="Heading4"/>
      </w:pPr>
      <w:r>
        <w:t xml:space="preserve">Effectiveness of identifying </w:t>
      </w:r>
      <w:r w:rsidR="00C70E25" w:rsidRPr="00403511">
        <w:t>job seekers needing to be upstreamed or move</w:t>
      </w:r>
      <w:r>
        <w:t>d</w:t>
      </w:r>
      <w:r w:rsidR="00C70E25" w:rsidRPr="00403511">
        <w:t xml:space="preserve"> to DES</w:t>
      </w:r>
    </w:p>
    <w:p w14:paraId="64A95AA2" w14:textId="77777777" w:rsidR="00C70E25" w:rsidRPr="00E94C6E" w:rsidRDefault="000C2C01" w:rsidP="00C70E25">
      <w:pPr>
        <w:suppressAutoHyphens/>
        <w:autoSpaceDE w:val="0"/>
        <w:autoSpaceDN w:val="0"/>
        <w:adjustRightInd w:val="0"/>
        <w:spacing w:after="120"/>
        <w:ind w:left="11"/>
        <w:textAlignment w:val="center"/>
        <w:rPr>
          <w:rFonts w:eastAsiaTheme="majorEastAsia" w:cs="Garamond"/>
          <w:color w:val="000000"/>
          <w:lang w:val="en-GB"/>
        </w:rPr>
      </w:pPr>
      <w:r>
        <w:rPr>
          <w:rFonts w:eastAsiaTheme="majorEastAsia" w:cs="Garamond"/>
          <w:color w:val="000000"/>
          <w:lang w:val="en-GB"/>
        </w:rPr>
        <w:t xml:space="preserve">In </w:t>
      </w:r>
      <w:r w:rsidRPr="00E94C6E">
        <w:rPr>
          <w:rFonts w:eastAsiaTheme="majorEastAsia" w:cs="Garamond"/>
          <w:color w:val="000000"/>
          <w:lang w:val="en-GB"/>
        </w:rPr>
        <w:t>JSA 2012</w:t>
      </w:r>
      <w:r w:rsidR="00CA7F69">
        <w:rPr>
          <w:rFonts w:eastAsiaTheme="majorEastAsia" w:cs="Garamond"/>
          <w:color w:val="000000"/>
          <w:lang w:val="en-GB"/>
        </w:rPr>
        <w:t>,</w:t>
      </w:r>
      <w:r>
        <w:rPr>
          <w:rFonts w:eastAsiaTheme="majorEastAsia" w:cs="Garamond"/>
          <w:color w:val="000000"/>
          <w:lang w:val="en-GB"/>
        </w:rPr>
        <w:t xml:space="preserve"> for</w:t>
      </w:r>
      <w:r w:rsidRPr="00E94C6E">
        <w:rPr>
          <w:rFonts w:eastAsiaTheme="majorEastAsia" w:cs="Garamond"/>
          <w:color w:val="000000"/>
          <w:lang w:val="en-GB"/>
        </w:rPr>
        <w:t xml:space="preserve"> Stream 1 job seekers </w:t>
      </w:r>
      <w:r>
        <w:rPr>
          <w:rFonts w:eastAsiaTheme="majorEastAsia" w:cs="Garamond"/>
          <w:color w:val="000000"/>
          <w:lang w:val="en-GB"/>
        </w:rPr>
        <w:t>t</w:t>
      </w:r>
      <w:r w:rsidR="00C70E25" w:rsidRPr="00E94C6E">
        <w:rPr>
          <w:rFonts w:eastAsiaTheme="majorEastAsia" w:cs="Garamond"/>
          <w:color w:val="000000"/>
          <w:lang w:val="en-GB"/>
        </w:rPr>
        <w:t>here was evidence of assessment activity recommending higher levels of service around the three, s</w:t>
      </w:r>
      <w:r>
        <w:rPr>
          <w:rFonts w:eastAsiaTheme="majorEastAsia" w:cs="Garamond"/>
          <w:color w:val="000000"/>
          <w:lang w:val="en-GB"/>
        </w:rPr>
        <w:t xml:space="preserve">ix and twelve months in service, </w:t>
      </w:r>
      <w:r w:rsidR="00C70E25" w:rsidRPr="00E94C6E">
        <w:rPr>
          <w:rFonts w:eastAsiaTheme="majorEastAsia" w:cs="Garamond"/>
          <w:color w:val="000000"/>
          <w:lang w:val="en-GB"/>
        </w:rPr>
        <w:t>suggest</w:t>
      </w:r>
      <w:r>
        <w:rPr>
          <w:rFonts w:eastAsiaTheme="majorEastAsia" w:cs="Garamond"/>
          <w:color w:val="000000"/>
          <w:lang w:val="en-GB"/>
        </w:rPr>
        <w:t xml:space="preserve">ing </w:t>
      </w:r>
      <w:r w:rsidR="00C70E25" w:rsidRPr="00E94C6E">
        <w:rPr>
          <w:rFonts w:eastAsiaTheme="majorEastAsia" w:cs="Garamond"/>
          <w:color w:val="000000"/>
          <w:lang w:val="en-GB"/>
        </w:rPr>
        <w:t>that these assessment</w:t>
      </w:r>
      <w:r>
        <w:rPr>
          <w:rFonts w:eastAsiaTheme="majorEastAsia" w:cs="Garamond"/>
          <w:color w:val="000000"/>
          <w:lang w:val="en-GB"/>
        </w:rPr>
        <w:t>s</w:t>
      </w:r>
      <w:r w:rsidR="00C70E25" w:rsidRPr="00E94C6E">
        <w:rPr>
          <w:rFonts w:eastAsiaTheme="majorEastAsia" w:cs="Garamond"/>
          <w:color w:val="000000"/>
          <w:lang w:val="en-GB"/>
        </w:rPr>
        <w:t xml:space="preserve"> occurred </w:t>
      </w:r>
      <w:r w:rsidR="00C70E25" w:rsidRPr="00E94C6E">
        <w:rPr>
          <w:rFonts w:eastAsiaTheme="majorEastAsia" w:cs="Garamond"/>
          <w:color w:val="000000"/>
          <w:u w:val="single"/>
          <w:lang w:val="en-GB"/>
        </w:rPr>
        <w:t>before</w:t>
      </w:r>
      <w:r w:rsidR="00C70E25" w:rsidRPr="00E94C6E">
        <w:rPr>
          <w:rFonts w:eastAsiaTheme="majorEastAsia" w:cs="Garamond"/>
          <w:color w:val="000000"/>
          <w:lang w:val="en-GB"/>
        </w:rPr>
        <w:t xml:space="preserve"> the SSR</w:t>
      </w:r>
      <w:r>
        <w:rPr>
          <w:rFonts w:eastAsiaTheme="majorEastAsia" w:cs="Garamond"/>
          <w:color w:val="000000"/>
          <w:lang w:val="en-GB"/>
        </w:rPr>
        <w:t xml:space="preserve"> was</w:t>
      </w:r>
      <w:r w:rsidR="00C70E25" w:rsidRPr="00E94C6E">
        <w:rPr>
          <w:rFonts w:eastAsiaTheme="majorEastAsia" w:cs="Garamond"/>
          <w:color w:val="000000"/>
          <w:lang w:val="en-GB"/>
        </w:rPr>
        <w:t xml:space="preserve"> required. A similar peak in assessment activity was seen for Stream 2 job seekers after three months in service.</w:t>
      </w:r>
    </w:p>
    <w:p w14:paraId="5006EC64" w14:textId="77777777" w:rsidR="00C70E25" w:rsidRPr="00403511" w:rsidRDefault="000C2C01" w:rsidP="009B55FF">
      <w:pPr>
        <w:pStyle w:val="Heading4"/>
      </w:pPr>
      <w:r>
        <w:t>E</w:t>
      </w:r>
      <w:r w:rsidR="00C70E25" w:rsidRPr="00403511">
        <w:t>fficien</w:t>
      </w:r>
      <w:r>
        <w:t>c</w:t>
      </w:r>
      <w:r w:rsidR="00C70E25" w:rsidRPr="00403511">
        <w:t>y</w:t>
      </w:r>
      <w:r>
        <w:t xml:space="preserve"> of transferring</w:t>
      </w:r>
      <w:r w:rsidR="00C70E25" w:rsidRPr="00403511">
        <w:t xml:space="preserve"> job seekers to </w:t>
      </w:r>
      <w:r w:rsidR="00C70E25">
        <w:t>the WEPh</w:t>
      </w:r>
    </w:p>
    <w:p w14:paraId="34A7959D" w14:textId="77777777" w:rsidR="00CA7F69" w:rsidRPr="00E94C6E" w:rsidRDefault="00CA7F69" w:rsidP="00CA7F69">
      <w:pPr>
        <w:ind w:left="11"/>
      </w:pPr>
      <w:r w:rsidRPr="00E94C6E">
        <w:t xml:space="preserve">Job seekers in JSA 2012 transitioned to the </w:t>
      </w:r>
      <w:r>
        <w:t>WEPh</w:t>
      </w:r>
      <w:r w:rsidRPr="00E94C6E">
        <w:t xml:space="preserve"> more quickly than job seekers under JSA 2009. There is also less upstreaming in the JSA 2012 job seeker SSR study population, so it would be expected that JSA 2012 job seekers would, on average, move to the </w:t>
      </w:r>
      <w:r>
        <w:t>WEPh</w:t>
      </w:r>
      <w:r w:rsidRPr="00E94C6E">
        <w:t xml:space="preserve"> sooner, given they would reach the 12 months in service stream point sooner. The removal of SSRs was likely to be another contributing factor, as delays in having SSRs conducted were not uncommon. </w:t>
      </w:r>
    </w:p>
    <w:p w14:paraId="1C238759" w14:textId="27922587" w:rsidR="00CA7F69" w:rsidRPr="00E94C6E" w:rsidRDefault="00CA7F69" w:rsidP="00CA7F69">
      <w:pPr>
        <w:ind w:left="11"/>
      </w:pPr>
      <w:r w:rsidRPr="00E94C6E">
        <w:t xml:space="preserve">The median time to transition to the </w:t>
      </w:r>
      <w:r>
        <w:t>WEPh</w:t>
      </w:r>
      <w:r w:rsidRPr="00E94C6E">
        <w:t xml:space="preserve"> by Stream 4 job seekers was shorter under the JSA 2012 model. A longer median time would have been expected had providers let all job seekers wait until the</w:t>
      </w:r>
      <w:r w:rsidR="0031184D">
        <w:t xml:space="preserve"> </w:t>
      </w:r>
      <w:r w:rsidR="00FA59A7">
        <w:t>78-week</w:t>
      </w:r>
      <w:r w:rsidR="0031184D">
        <w:t xml:space="preserve"> deadline to transition, </w:t>
      </w:r>
      <w:r w:rsidRPr="00E94C6E">
        <w:t>suggest</w:t>
      </w:r>
      <w:r w:rsidR="0031184D">
        <w:t>ing</w:t>
      </w:r>
      <w:r w:rsidRPr="00E94C6E">
        <w:t xml:space="preserve"> that </w:t>
      </w:r>
      <w:r w:rsidR="00492EF3" w:rsidRPr="00E94C6E">
        <w:t>providers</w:t>
      </w:r>
      <w:r w:rsidRPr="00E94C6E">
        <w:t xml:space="preserve"> more efficiently mov</w:t>
      </w:r>
      <w:r w:rsidR="00682D84">
        <w:t>ed</w:t>
      </w:r>
      <w:r w:rsidRPr="00E94C6E">
        <w:t xml:space="preserve"> job seekers to the </w:t>
      </w:r>
      <w:r>
        <w:t>WEPh</w:t>
      </w:r>
      <w:r w:rsidRPr="00E94C6E">
        <w:t xml:space="preserve"> than was the case when SSRs were a requirement.</w:t>
      </w:r>
    </w:p>
    <w:p w14:paraId="1A0C169C" w14:textId="77777777" w:rsidR="00CA7F69" w:rsidRPr="00E94C6E" w:rsidRDefault="00CA7F69" w:rsidP="00CA7F69">
      <w:r w:rsidRPr="00E94C6E">
        <w:t xml:space="preserve">Given that analysis of the </w:t>
      </w:r>
      <w:r>
        <w:t>WEPh</w:t>
      </w:r>
      <w:r w:rsidRPr="00E94C6E">
        <w:t xml:space="preserve"> reported in the JSA 2009-2012 evaluation indicated that the </w:t>
      </w:r>
      <w:r>
        <w:t>WEPh</w:t>
      </w:r>
      <w:r w:rsidRPr="00E94C6E">
        <w:t xml:space="preserve"> is effective at moving job seekers into employment this is likely to be a good outcome for many job seekers. There are also cost savings as a result of fewer assessments and less upstreaming (resulting in lower service and fewer outcome payments).</w:t>
      </w:r>
    </w:p>
    <w:p w14:paraId="5CCC17C4" w14:textId="77777777" w:rsidR="00C74AD8" w:rsidRPr="00224E34" w:rsidRDefault="00C74AD8" w:rsidP="00C74AD8">
      <w:pPr>
        <w:pStyle w:val="Heading3"/>
      </w:pPr>
      <w:bookmarkStart w:id="559" w:name="_Toc22543157"/>
      <w:r>
        <w:t>11.1.</w:t>
      </w:r>
      <w:r w:rsidR="004817A9">
        <w:t>3</w:t>
      </w:r>
      <w:r w:rsidR="00BE7E40">
        <w:tab/>
      </w:r>
      <w:r>
        <w:t>Introduction of the Compulsory Activity Phase</w:t>
      </w:r>
      <w:bookmarkEnd w:id="559"/>
    </w:p>
    <w:p w14:paraId="1CB8A3C8" w14:textId="57863E68" w:rsidR="00C74AD8" w:rsidRDefault="00C74AD8" w:rsidP="00C74AD8">
      <w:r>
        <w:t xml:space="preserve">One of the likely effects of the </w:t>
      </w:r>
      <w:r w:rsidR="004817A9">
        <w:t>Compulsory Activity Phase (</w:t>
      </w:r>
      <w:r>
        <w:t>CAP</w:t>
      </w:r>
      <w:r w:rsidR="00492EF3">
        <w:t xml:space="preserve">) </w:t>
      </w:r>
      <w:r w:rsidR="00492EF3" w:rsidRPr="0099598E">
        <w:t>is</w:t>
      </w:r>
      <w:r w:rsidRPr="0099598E">
        <w:t xml:space="preserve"> a </w:t>
      </w:r>
      <w:r w:rsidR="004817A9" w:rsidRPr="0099598E">
        <w:t>‘</w:t>
      </w:r>
      <w:r w:rsidRPr="0099598E">
        <w:t>referral effec</w:t>
      </w:r>
      <w:r w:rsidR="004817A9" w:rsidRPr="0099598E">
        <w:t>t’</w:t>
      </w:r>
      <w:r w:rsidRPr="0099598E">
        <w:t>. This</w:t>
      </w:r>
      <w:r>
        <w:t xml:space="preserve"> generally occurs when job seekers faced with onerous obligations either declare previously undeclared work </w:t>
      </w:r>
      <w:r w:rsidRPr="0099598E">
        <w:t>(compliance effect), or increase job search in order to leave income support (threat effect).</w:t>
      </w:r>
      <w:r>
        <w:t xml:space="preserve"> </w:t>
      </w:r>
      <w:r w:rsidR="004875EC">
        <w:t>O</w:t>
      </w:r>
      <w:r>
        <w:t>ther possible effect</w:t>
      </w:r>
      <w:r w:rsidR="004875EC">
        <w:t>s</w:t>
      </w:r>
      <w:r>
        <w:t xml:space="preserve"> of the CAP </w:t>
      </w:r>
      <w:r w:rsidR="004875EC">
        <w:t>are</w:t>
      </w:r>
      <w:r>
        <w:t xml:space="preserve"> the </w:t>
      </w:r>
      <w:r w:rsidR="004817A9">
        <w:rPr>
          <w:i/>
        </w:rPr>
        <w:t>‘</w:t>
      </w:r>
      <w:r w:rsidRPr="002461E0">
        <w:rPr>
          <w:i/>
        </w:rPr>
        <w:t>lock-in effect</w:t>
      </w:r>
      <w:r w:rsidR="004817A9">
        <w:rPr>
          <w:i/>
        </w:rPr>
        <w:t>’</w:t>
      </w:r>
      <w:r w:rsidR="004875EC">
        <w:rPr>
          <w:i/>
        </w:rPr>
        <w:t xml:space="preserve">, </w:t>
      </w:r>
      <w:r>
        <w:t>when job seekers participating in CAP-type programmes do not have time, energy or motivation for job search and therefore tend to remain in the programme</w:t>
      </w:r>
      <w:r w:rsidR="004875EC">
        <w:t xml:space="preserve">, and the </w:t>
      </w:r>
      <w:r w:rsidR="004875EC" w:rsidRPr="004875EC">
        <w:t>‘attachment effect’ whereby job seekers are participating in activities which are developing skills that they value and so they lessen their job search effort while attaining these skills (</w:t>
      </w:r>
      <w:r w:rsidR="008D35CB" w:rsidRPr="004875EC">
        <w:t>particularly</w:t>
      </w:r>
      <w:r w:rsidR="004875EC" w:rsidRPr="004875EC">
        <w:t xml:space="preserve"> while undertaking training).</w:t>
      </w:r>
    </w:p>
    <w:p w14:paraId="726FE082" w14:textId="77777777" w:rsidR="00C74AD8" w:rsidRPr="0099598E" w:rsidRDefault="00C74AD8" w:rsidP="00C74AD8">
      <w:r w:rsidRPr="0099598E">
        <w:t xml:space="preserve">The threat effect for the CAP is negligible (less than 1 percentage point). The assumption underlying the operation of the threat effect is that job seekers are in a position to leave income support by finding employment. Arguably, this assumption is less likely to hold for job seekers who have </w:t>
      </w:r>
      <w:r w:rsidR="00A33792" w:rsidRPr="0099598E">
        <w:t xml:space="preserve">had long periods of </w:t>
      </w:r>
      <w:r w:rsidRPr="0099598E">
        <w:t>unemploy</w:t>
      </w:r>
      <w:r w:rsidR="00A33792" w:rsidRPr="0099598E">
        <w:t>ment</w:t>
      </w:r>
      <w:r w:rsidRPr="0099598E">
        <w:t xml:space="preserve"> (those subject to the CAP).</w:t>
      </w:r>
    </w:p>
    <w:p w14:paraId="4904C58D" w14:textId="52F875B0" w:rsidR="00C74AD8" w:rsidRPr="0099598E" w:rsidRDefault="00312C66" w:rsidP="00C74AD8">
      <w:r w:rsidRPr="0099598E">
        <w:t>The combination of lock-in and attachment effect for job seekers in CAP is up to six percentage points at 18 months</w:t>
      </w:r>
      <w:r w:rsidR="00C74AD8" w:rsidRPr="0099598E">
        <w:t>. While lock-in</w:t>
      </w:r>
      <w:r w:rsidR="004875EC" w:rsidRPr="0099598E">
        <w:t>/attachment</w:t>
      </w:r>
      <w:r w:rsidR="00C74AD8" w:rsidRPr="0099598E">
        <w:t xml:space="preserve"> is often associated with training courses, where job search is to all intents temporarily suspended until the course is completed, it is also common in other activity types where job seekers cannot find the time or motivation to properly engage in job search.</w:t>
      </w:r>
    </w:p>
    <w:p w14:paraId="571B8278" w14:textId="77777777" w:rsidR="00C74AD8" w:rsidRPr="0099598E" w:rsidRDefault="00C74AD8" w:rsidP="00C74AD8">
      <w:r w:rsidRPr="0099598E">
        <w:t>Whether or how this affects job seekers’ longer-term employment prospects is not part of this analysis. The main finding of this analysis is that the identified lock-in effect of the CAP outweighs any negligible threat effect.</w:t>
      </w:r>
    </w:p>
    <w:p w14:paraId="55692409" w14:textId="77777777" w:rsidR="00C70E25" w:rsidRDefault="0031184D" w:rsidP="00E90586">
      <w:pPr>
        <w:pStyle w:val="Heading3"/>
      </w:pPr>
      <w:bookmarkStart w:id="560" w:name="_Toc22543158"/>
      <w:r>
        <w:t>11.1.</w:t>
      </w:r>
      <w:r w:rsidR="004817A9">
        <w:t>4</w:t>
      </w:r>
      <w:r w:rsidR="00BE7E40">
        <w:tab/>
      </w:r>
      <w:r w:rsidR="00C74AD8">
        <w:t xml:space="preserve">Changes to encourage better servicing of </w:t>
      </w:r>
      <w:r w:rsidR="00C70E25">
        <w:t xml:space="preserve">Indigenous </w:t>
      </w:r>
      <w:r w:rsidR="00C74AD8">
        <w:t>job seekers</w:t>
      </w:r>
      <w:bookmarkEnd w:id="560"/>
    </w:p>
    <w:p w14:paraId="3D98636F" w14:textId="77777777" w:rsidR="0031184D" w:rsidRDefault="00C70E25" w:rsidP="009B55FF">
      <w:pPr>
        <w:pStyle w:val="Heading4"/>
      </w:pPr>
      <w:r>
        <w:t>Indigenous Cultural Capability Training</w:t>
      </w:r>
    </w:p>
    <w:p w14:paraId="1A2B5DF6" w14:textId="77777777" w:rsidR="000B7AD8" w:rsidRDefault="000B7AD8" w:rsidP="000B7AD8">
      <w:r>
        <w:t>Just over 50 per cent of</w:t>
      </w:r>
      <w:r w:rsidRPr="00C85C6D">
        <w:t xml:space="preserve"> </w:t>
      </w:r>
      <w:r>
        <w:t>employees at the JSA sites visited had completed all six training modules.</w:t>
      </w:r>
      <w:r w:rsidR="000804DF">
        <w:t xml:space="preserve"> </w:t>
      </w:r>
      <w:r>
        <w:t xml:space="preserve">Qualitative data indicates that staff </w:t>
      </w:r>
      <w:r w:rsidRPr="009D59D1">
        <w:t>remembe</w:t>
      </w:r>
      <w:r w:rsidR="004C3310">
        <w:t xml:space="preserve">red </w:t>
      </w:r>
      <w:r w:rsidRPr="009D59D1">
        <w:t xml:space="preserve">their own company cultural awareness training </w:t>
      </w:r>
      <w:r>
        <w:t xml:space="preserve">where it </w:t>
      </w:r>
      <w:r w:rsidRPr="009D59D1">
        <w:t>included Indigenous group leaders.</w:t>
      </w:r>
      <w:r>
        <w:t xml:space="preserve"> </w:t>
      </w:r>
      <w:r w:rsidRPr="009D59D1">
        <w:t xml:space="preserve">The majority did not recall </w:t>
      </w:r>
      <w:r>
        <w:t>d</w:t>
      </w:r>
      <w:r w:rsidRPr="009D59D1">
        <w:t>epartmental training even if they had done it.</w:t>
      </w:r>
    </w:p>
    <w:p w14:paraId="0CC06888" w14:textId="77777777" w:rsidR="000B7AD8" w:rsidRPr="000B7AD8" w:rsidRDefault="000B7AD8" w:rsidP="000B7AD8">
      <w:r>
        <w:t>There was near-unanimous agreement that for</w:t>
      </w:r>
      <w:r w:rsidRPr="002104FB">
        <w:t xml:space="preserve"> th</w:t>
      </w:r>
      <w:r>
        <w:t>e</w:t>
      </w:r>
      <w:r w:rsidRPr="002104FB">
        <w:t xml:space="preserve"> </w:t>
      </w:r>
      <w:r>
        <w:t xml:space="preserve">training to </w:t>
      </w:r>
      <w:r w:rsidRPr="002104FB">
        <w:t>be use</w:t>
      </w:r>
      <w:r>
        <w:t>ful,</w:t>
      </w:r>
      <w:r w:rsidRPr="002104FB">
        <w:t xml:space="preserve"> it should be used as backup or </w:t>
      </w:r>
      <w:r>
        <w:t>discussion</w:t>
      </w:r>
      <w:r w:rsidRPr="002104FB">
        <w:t xml:space="preserve"> material</w:t>
      </w:r>
      <w:r>
        <w:t>. In the latter case, an</w:t>
      </w:r>
      <w:r w:rsidRPr="002104FB">
        <w:t xml:space="preserve"> Indigenous employment consultant </w:t>
      </w:r>
      <w:r>
        <w:t>or a local Indigenous leader could utilise the training material with groups of staff.</w:t>
      </w:r>
    </w:p>
    <w:p w14:paraId="4C76EBCB" w14:textId="77777777" w:rsidR="007E2992" w:rsidRDefault="007E2992" w:rsidP="009B55FF">
      <w:pPr>
        <w:pStyle w:val="Heading4"/>
      </w:pPr>
      <w:r>
        <w:t>Indigenous Mentoring P</w:t>
      </w:r>
      <w:r w:rsidR="00FB1E03">
        <w:t>ilot</w:t>
      </w:r>
    </w:p>
    <w:p w14:paraId="0940A20B" w14:textId="7DE769E8" w:rsidR="007E2992" w:rsidRDefault="008C71D2" w:rsidP="007E2992">
      <w:r>
        <w:t xml:space="preserve">The Indigenous Mentoring Pilot </w:t>
      </w:r>
      <w:r w:rsidR="00F27331">
        <w:t xml:space="preserve">(IMP) </w:t>
      </w:r>
      <w:r>
        <w:t xml:space="preserve">received positive feedback from providers who participated in the research. </w:t>
      </w:r>
      <w:r w:rsidR="0094537B">
        <w:t xml:space="preserve">There was an acknowledgement, and some anecdotal </w:t>
      </w:r>
      <w:r w:rsidR="00492EF3">
        <w:t>evidence that</w:t>
      </w:r>
      <w:r w:rsidR="0094537B">
        <w:t xml:space="preserve"> providing </w:t>
      </w:r>
      <w:r w:rsidR="000804DF">
        <w:t>intensive</w:t>
      </w:r>
      <w:r w:rsidR="0094537B">
        <w:t xml:space="preserve"> assistance to Indigenous job seekers can have a positive effect on employment outcomes. </w:t>
      </w:r>
    </w:p>
    <w:p w14:paraId="0F952490" w14:textId="074D7953" w:rsidR="007E2992" w:rsidRDefault="007E2992" w:rsidP="007E2992">
      <w:r>
        <w:t xml:space="preserve">The IMP operated as much as a case management programme as a programme to get Indigenous job seekers into work. </w:t>
      </w:r>
      <w:r w:rsidR="008C71D2">
        <w:t>A</w:t>
      </w:r>
      <w:r>
        <w:t>ssisting job seekers with housing, justice issues, Centrelink requirements, health and family issues formed the greater part of the mentors’ role. For many Indigenous job seekers, it was only when those issues were resolved could attention be given to becoming job ready.</w:t>
      </w:r>
    </w:p>
    <w:p w14:paraId="67A8745D" w14:textId="7E10EED2" w:rsidR="008C71D2" w:rsidRDefault="0094537B" w:rsidP="007E2992">
      <w:r>
        <w:t xml:space="preserve">Any </w:t>
      </w:r>
      <w:r w:rsidR="000804DF">
        <w:t>future</w:t>
      </w:r>
      <w:r>
        <w:t xml:space="preserve"> mentoring programme could potentially be managed from</w:t>
      </w:r>
      <w:r w:rsidR="007E2992">
        <w:t xml:space="preserve"> JSA</w:t>
      </w:r>
      <w:r w:rsidR="001F21B2">
        <w:t xml:space="preserve"> provider</w:t>
      </w:r>
      <w:r w:rsidR="007E2992">
        <w:t>s, VTECs, the AES and/or via community organisations.</w:t>
      </w:r>
      <w:r w:rsidR="008C71D2">
        <w:t xml:space="preserve"> </w:t>
      </w:r>
    </w:p>
    <w:p w14:paraId="4484FBA3" w14:textId="77777777" w:rsidR="007E2992" w:rsidRDefault="007E2992" w:rsidP="006C1CF0">
      <w:r>
        <w:t>The success of the IMP</w:t>
      </w:r>
      <w:r w:rsidR="00A33792">
        <w:t xml:space="preserve"> </w:t>
      </w:r>
      <w:r>
        <w:t>appeared dependent on the following aspects:</w:t>
      </w:r>
    </w:p>
    <w:p w14:paraId="3CB66C9D" w14:textId="77777777" w:rsidR="0094537B" w:rsidRPr="007B55E7" w:rsidRDefault="0094537B" w:rsidP="004875EC">
      <w:pPr>
        <w:pStyle w:val="ListParagraph"/>
      </w:pPr>
      <w:r w:rsidRPr="007B55E7">
        <w:t>mentors with experience of work, an understanding of the income support system, with links to support services, employers and the local community</w:t>
      </w:r>
    </w:p>
    <w:p w14:paraId="3D71990E" w14:textId="77777777" w:rsidR="0094537B" w:rsidRDefault="0094537B" w:rsidP="004875EC">
      <w:pPr>
        <w:pStyle w:val="ListParagraph"/>
      </w:pPr>
      <w:r w:rsidRPr="007B55E7">
        <w:t>providers who have a RAP, some form or cultural capability training, adequate support for the mentor</w:t>
      </w:r>
      <w:r>
        <w:t xml:space="preserve"> and continuity of mentoring staff</w:t>
      </w:r>
    </w:p>
    <w:p w14:paraId="4A0975A4" w14:textId="77777777" w:rsidR="0094537B" w:rsidRPr="008C11CB" w:rsidRDefault="0094537B" w:rsidP="004875EC">
      <w:pPr>
        <w:pStyle w:val="ListParagraph"/>
      </w:pPr>
      <w:r>
        <w:t xml:space="preserve">employers who are willing to employ and mentor Indigenous staff. </w:t>
      </w:r>
    </w:p>
    <w:p w14:paraId="67F30053" w14:textId="77777777" w:rsidR="007E2992" w:rsidRDefault="0094537B" w:rsidP="007B55E7">
      <w:pPr>
        <w:pStyle w:val="Heading5"/>
      </w:pPr>
      <w:r>
        <w:t>Indigenous Opportunities Policy</w:t>
      </w:r>
    </w:p>
    <w:p w14:paraId="706051A2" w14:textId="77777777" w:rsidR="0085051A" w:rsidRDefault="0094537B" w:rsidP="00E90586">
      <w:r>
        <w:t>Based on qualitative findings, awareness of the IOP at site level was low</w:t>
      </w:r>
      <w:r w:rsidRPr="00C82A60">
        <w:t>.</w:t>
      </w:r>
      <w:r>
        <w:t xml:space="preserve"> Decisions around these types of policy were based on sound business practices above all else, therefore the IOP was broadly unsuccessful as a policy in terms of changing provider behaviour at the site level. However, providers were </w:t>
      </w:r>
      <w:r w:rsidR="00682D84">
        <w:t>inadvertently</w:t>
      </w:r>
      <w:r>
        <w:t xml:space="preserve"> implementing aspects of the policy. Given the providers core business – getting job seekers into jobs – a shift in focus to encouraging providers to work more closely with other businesses required to implement the IOP may be a more practical approach.</w:t>
      </w:r>
    </w:p>
    <w:p w14:paraId="3A2899C1" w14:textId="77777777" w:rsidR="0085051A" w:rsidRPr="00224E34" w:rsidRDefault="006C0340" w:rsidP="00E90586">
      <w:pPr>
        <w:pStyle w:val="Heading3"/>
      </w:pPr>
      <w:bookmarkStart w:id="561" w:name="_Toc22543159"/>
      <w:r>
        <w:t>11.1.5</w:t>
      </w:r>
      <w:r>
        <w:tab/>
      </w:r>
      <w:r w:rsidR="0085051A" w:rsidRPr="00D92495">
        <w:t xml:space="preserve">Changes to </w:t>
      </w:r>
      <w:r w:rsidR="00F36BBE">
        <w:t>administrative procedures (</w:t>
      </w:r>
      <w:r w:rsidR="0085051A" w:rsidRPr="00D92495">
        <w:t>re</w:t>
      </w:r>
      <w:r w:rsidR="0085051A" w:rsidRPr="00224E34">
        <w:t>d tape</w:t>
      </w:r>
      <w:r w:rsidR="00F36BBE">
        <w:t>)</w:t>
      </w:r>
      <w:bookmarkEnd w:id="561"/>
    </w:p>
    <w:p w14:paraId="429F5C27" w14:textId="77777777" w:rsidR="0061122B" w:rsidRDefault="0061122B" w:rsidP="000804DF">
      <w:r w:rsidRPr="00BB6089">
        <w:t>Despite reductions in red tape over the JSA contract period</w:t>
      </w:r>
      <w:r w:rsidRPr="00BB6089">
        <w:rPr>
          <w:rStyle w:val="FootnoteReference"/>
        </w:rPr>
        <w:footnoteReference w:id="95"/>
      </w:r>
      <w:r w:rsidRPr="00BB6089">
        <w:t>, the level of red tape in employment services remains significant. Und</w:t>
      </w:r>
      <w:r>
        <w:t>er JSA 2012, annual red tape</w:t>
      </w:r>
      <w:r w:rsidRPr="00BB6089">
        <w:t xml:space="preserve"> cost estimates equate to approximately 22.8 per cent of programme funding. Survey results indicate that the majority of staff spend the same or more time on administrative tasks as they do on time servicing clients. </w:t>
      </w:r>
      <w:r w:rsidR="000804DF" w:rsidRPr="00BB6089">
        <w:t xml:space="preserve">These results indicate the need to explore options to reduce red tape in order to maximise </w:t>
      </w:r>
      <w:r w:rsidR="000804DF">
        <w:t>the funding provided for employment services.</w:t>
      </w:r>
    </w:p>
    <w:p w14:paraId="769F123E" w14:textId="77777777" w:rsidR="00187911" w:rsidRPr="00224E34" w:rsidRDefault="00187911" w:rsidP="00E90586">
      <w:pPr>
        <w:pStyle w:val="Heading3"/>
      </w:pPr>
      <w:bookmarkStart w:id="562" w:name="_Toc22543160"/>
      <w:r>
        <w:t>11.1.</w:t>
      </w:r>
      <w:r w:rsidR="006C0340">
        <w:t>6</w:t>
      </w:r>
      <w:r w:rsidR="002952A7">
        <w:tab/>
      </w:r>
      <w:r w:rsidRPr="00224E34">
        <w:t>Changes to evidentiary requirements</w:t>
      </w:r>
      <w:r>
        <w:t xml:space="preserve"> </w:t>
      </w:r>
      <w:r w:rsidR="007847DA">
        <w:t>for Employment Pathway Fund claims</w:t>
      </w:r>
      <w:bookmarkEnd w:id="562"/>
    </w:p>
    <w:p w14:paraId="4F8BB8B4" w14:textId="77777777" w:rsidR="00187911" w:rsidRDefault="00187911" w:rsidP="00187911">
      <w:pPr>
        <w:rPr>
          <w:rFonts w:eastAsia="Times New Roman"/>
          <w:lang w:eastAsia="en-AU"/>
        </w:rPr>
      </w:pPr>
      <w:r>
        <w:t xml:space="preserve">Changes to </w:t>
      </w:r>
      <w:r w:rsidR="007847DA">
        <w:t xml:space="preserve">the evidentiary requirements when providers claimed </w:t>
      </w:r>
      <w:r w:rsidR="00A33792">
        <w:t>Employment Pathway Fund (</w:t>
      </w:r>
      <w:r w:rsidR="007847DA">
        <w:t>EPF under the ‘</w:t>
      </w:r>
      <w:r>
        <w:t>Provider Services</w:t>
      </w:r>
      <w:r w:rsidR="007847DA">
        <w:t>’ category</w:t>
      </w:r>
      <w:r>
        <w:t xml:space="preserve"> in the 2012 JSA contract made it more </w:t>
      </w:r>
      <w:r w:rsidR="00634447">
        <w:t xml:space="preserve">challenging </w:t>
      </w:r>
      <w:r>
        <w:t xml:space="preserve">to claim for employer-related services, such as post-placement support and reverse marketing. Significantly less was claimed for these services in the JSA 2012 contract than the JSA 2009 contract. </w:t>
      </w:r>
      <w:r>
        <w:rPr>
          <w:rFonts w:eastAsia="Times New Roman"/>
          <w:lang w:eastAsia="en-AU"/>
        </w:rPr>
        <w:t xml:space="preserve">Survey evidence from providers, however suggests that the reduction in EPF expenditure had limited impact on providers engaging in reverse marketing and post-placement support. While employers indicated they were happy with follow-up once a job seeker commenced work, there is no other evidence from employers to indicate how they connected with the provider and whether the vacancy was existing or reverse marketed. While survey evidence from providers shows </w:t>
      </w:r>
      <w:r w:rsidR="00492EF3">
        <w:rPr>
          <w:rFonts w:eastAsia="Times New Roman"/>
          <w:lang w:eastAsia="en-AU"/>
        </w:rPr>
        <w:t>that the</w:t>
      </w:r>
      <w:r>
        <w:rPr>
          <w:rFonts w:eastAsia="Times New Roman"/>
          <w:lang w:eastAsia="en-AU"/>
        </w:rPr>
        <w:t xml:space="preserve"> level of reverse marketing did not change much, it is not possible to determine </w:t>
      </w:r>
      <w:r w:rsidR="00751C7B">
        <w:rPr>
          <w:rFonts w:eastAsia="Times New Roman"/>
          <w:lang w:eastAsia="en-AU"/>
        </w:rPr>
        <w:t>the</w:t>
      </w:r>
      <w:r>
        <w:rPr>
          <w:rFonts w:eastAsia="Times New Roman"/>
          <w:lang w:eastAsia="en-AU"/>
        </w:rPr>
        <w:t xml:space="preserve"> effective</w:t>
      </w:r>
      <w:r w:rsidR="00751C7B">
        <w:rPr>
          <w:rFonts w:eastAsia="Times New Roman"/>
          <w:lang w:eastAsia="en-AU"/>
        </w:rPr>
        <w:t>ness of reverse</w:t>
      </w:r>
      <w:r>
        <w:rPr>
          <w:rFonts w:eastAsia="Times New Roman"/>
          <w:lang w:eastAsia="en-AU"/>
        </w:rPr>
        <w:t xml:space="preserve"> marketing between contracts.</w:t>
      </w:r>
    </w:p>
    <w:p w14:paraId="3E39A5AF" w14:textId="77777777" w:rsidR="00751C7B" w:rsidRPr="00224E34" w:rsidRDefault="00751C7B" w:rsidP="00E90586">
      <w:pPr>
        <w:pStyle w:val="Heading3"/>
      </w:pPr>
      <w:bookmarkStart w:id="563" w:name="_Toc22543161"/>
      <w:r>
        <w:t>11.1.</w:t>
      </w:r>
      <w:r w:rsidR="006C0340">
        <w:t>7</w:t>
      </w:r>
      <w:r w:rsidR="00C74AD8">
        <w:tab/>
      </w:r>
      <w:r w:rsidRPr="00224E34">
        <w:t xml:space="preserve">Changes to the </w:t>
      </w:r>
      <w:r w:rsidR="00D42784">
        <w:rPr>
          <w:rFonts w:cstheme="minorHAnsi"/>
        </w:rPr>
        <w:t xml:space="preserve">job seeker participation and </w:t>
      </w:r>
      <w:r w:rsidR="00D42784" w:rsidRPr="001B7264">
        <w:rPr>
          <w:rFonts w:cstheme="minorHAnsi"/>
        </w:rPr>
        <w:t>compliance framework</w:t>
      </w:r>
      <w:bookmarkEnd w:id="563"/>
      <w:r w:rsidR="00D42784" w:rsidRPr="001B7264">
        <w:rPr>
          <w:rFonts w:cstheme="minorHAnsi"/>
        </w:rPr>
        <w:t xml:space="preserve"> </w:t>
      </w:r>
    </w:p>
    <w:p w14:paraId="449611AD" w14:textId="77777777" w:rsidR="00B17748" w:rsidRDefault="007C03AE" w:rsidP="005B6559">
      <w:r w:rsidRPr="00F276EC">
        <w:t xml:space="preserve">An increase in </w:t>
      </w:r>
      <w:r>
        <w:t xml:space="preserve">interview </w:t>
      </w:r>
      <w:r w:rsidRPr="00F276EC">
        <w:t xml:space="preserve">attendance rates, across all </w:t>
      </w:r>
      <w:r w:rsidR="003E50CB">
        <w:t>s</w:t>
      </w:r>
      <w:r w:rsidRPr="00F276EC">
        <w:t>treams and</w:t>
      </w:r>
      <w:r>
        <w:t xml:space="preserve"> for</w:t>
      </w:r>
      <w:r w:rsidRPr="00F276EC">
        <w:t xml:space="preserve"> those job seekers with a vulnerability indicator demonstrate that the introduction of the </w:t>
      </w:r>
      <w:r w:rsidRPr="009B55FF">
        <w:rPr>
          <w:rFonts w:cstheme="minorHAnsi"/>
        </w:rPr>
        <w:t>Strengthening the Job Seeker Compliance Framework measure</w:t>
      </w:r>
      <w:r w:rsidRPr="00D42784">
        <w:rPr>
          <w:rFonts w:cstheme="minorHAnsi"/>
        </w:rPr>
        <w:t xml:space="preserve"> </w:t>
      </w:r>
      <w:r w:rsidRPr="00AA794B">
        <w:t xml:space="preserve">was successful in increasing compliance among job seekers. The increase for reconnection interviews is greatest for Stream 4 job </w:t>
      </w:r>
      <w:r w:rsidR="000804DF" w:rsidRPr="00AA794B">
        <w:t>seekers</w:t>
      </w:r>
      <w:r w:rsidRPr="00AA794B">
        <w:t>, and for all interviews, for Stream 2 job seekers</w:t>
      </w:r>
      <w:r w:rsidRPr="00AA794B">
        <w:rPr>
          <w:rFonts w:cstheme="minorHAnsi"/>
        </w:rPr>
        <w:t>. This is an</w:t>
      </w:r>
      <w:r>
        <w:rPr>
          <w:rFonts w:cstheme="minorHAnsi"/>
        </w:rPr>
        <w:t xml:space="preserve"> indication that incentivising job seekers to attend appointments to ensure there are no impacts to their income support payments has a positive effect on attendance rates.</w:t>
      </w:r>
    </w:p>
    <w:p w14:paraId="4C30F14A" w14:textId="77777777" w:rsidR="007C03AE" w:rsidRPr="00224E34" w:rsidRDefault="006C0340" w:rsidP="00E90586">
      <w:pPr>
        <w:pStyle w:val="Heading3"/>
      </w:pPr>
      <w:bookmarkStart w:id="564" w:name="_Toc22543162"/>
      <w:r>
        <w:t>11.1.8</w:t>
      </w:r>
      <w:r w:rsidR="008101B9">
        <w:tab/>
      </w:r>
      <w:r w:rsidR="007C03AE" w:rsidRPr="00224E34">
        <w:t xml:space="preserve">Introduction of new </w:t>
      </w:r>
      <w:r w:rsidR="003E50CB">
        <w:t>w</w:t>
      </w:r>
      <w:r w:rsidR="007C03AE" w:rsidRPr="00224E34">
        <w:t xml:space="preserve">age </w:t>
      </w:r>
      <w:r w:rsidR="003E50CB">
        <w:t>s</w:t>
      </w:r>
      <w:r w:rsidR="007C03AE" w:rsidRPr="00224E34">
        <w:t>ubsidies including Wage Connect</w:t>
      </w:r>
      <w:bookmarkEnd w:id="564"/>
    </w:p>
    <w:p w14:paraId="0CA57CC0" w14:textId="0D5E4390" w:rsidR="0014596F" w:rsidRDefault="006A5994" w:rsidP="0014596F">
      <w:pPr>
        <w:rPr>
          <w:rFonts w:ascii="Calibri" w:hAnsi="Calibri" w:cs="Calibri"/>
        </w:rPr>
      </w:pPr>
      <w:r>
        <w:t>Job placement with a wage subsidy agreement (EPF or Wage Connect) was associated with significantly higher 26</w:t>
      </w:r>
      <w:r w:rsidR="00A254DF">
        <w:t>-</w:t>
      </w:r>
      <w:r>
        <w:t xml:space="preserve">week employment outcomes, for both VLTU and non-VLTU employees in receipt of either NSA, YA(O) or PP benefits. </w:t>
      </w:r>
      <w:r w:rsidR="0014596F">
        <w:t xml:space="preserve">However, the analysis finds no evidence that subsidised placements assist Parenting Payment (PP) recipients to reduce reliance on income support. Wage </w:t>
      </w:r>
      <w:r w:rsidR="0014596F">
        <w:rPr>
          <w:rFonts w:ascii="Calibri" w:hAnsi="Calibri" w:cs="Calibri"/>
        </w:rPr>
        <w:t xml:space="preserve">subsidies may still help these individuals maintain </w:t>
      </w:r>
      <w:r w:rsidR="00674D84">
        <w:rPr>
          <w:rFonts w:ascii="Calibri" w:hAnsi="Calibri" w:cs="Calibri"/>
        </w:rPr>
        <w:t xml:space="preserve">or initiate </w:t>
      </w:r>
      <w:r w:rsidR="0014596F">
        <w:rPr>
          <w:rFonts w:ascii="Calibri" w:hAnsi="Calibri" w:cs="Calibri"/>
        </w:rPr>
        <w:t>labour market attachment</w:t>
      </w:r>
      <w:r w:rsidR="0045597F">
        <w:rPr>
          <w:rFonts w:ascii="Calibri" w:hAnsi="Calibri" w:cs="Calibri"/>
        </w:rPr>
        <w:t>.</w:t>
      </w:r>
    </w:p>
    <w:p w14:paraId="43AF958F" w14:textId="77777777" w:rsidR="0014596F" w:rsidRDefault="0014596F" w:rsidP="0014596F">
      <w:pPr>
        <w:rPr>
          <w:rFonts w:ascii="Calibri" w:hAnsi="Calibri" w:cs="Calibri"/>
        </w:rPr>
      </w:pPr>
      <w:r>
        <w:t>Subsidised job placements do not always lead to ongoing employment.</w:t>
      </w:r>
      <w:r w:rsidRPr="00E031F9">
        <w:t xml:space="preserve"> </w:t>
      </w:r>
      <w:r>
        <w:t>Employers report that they look for job applicants who possess the ‘soft skills’, willingness to work and reliability, and are often willing to provide on-the-job training to help develop job-specific skills. Providers need to use other strategies to help job seekers become work ready before referring to employers, and use wage subsidies only for those who are ready and willing to work.</w:t>
      </w:r>
    </w:p>
    <w:p w14:paraId="4209778D" w14:textId="77777777" w:rsidR="006637C5" w:rsidRDefault="007D3475" w:rsidP="006637C5">
      <w:pPr>
        <w:pStyle w:val="Heading2"/>
      </w:pPr>
      <w:bookmarkStart w:id="565" w:name="_Toc450919354"/>
      <w:bookmarkStart w:id="566" w:name="_Toc22543163"/>
      <w:r>
        <w:t>11</w:t>
      </w:r>
      <w:r w:rsidR="004541A6">
        <w:t>.</w:t>
      </w:r>
      <w:r w:rsidR="006637C5">
        <w:t>2</w:t>
      </w:r>
      <w:r w:rsidR="00ED2A92">
        <w:tab/>
        <w:t>Unintended c</w:t>
      </w:r>
      <w:r w:rsidR="004541A6">
        <w:t>onsequences</w:t>
      </w:r>
      <w:bookmarkStart w:id="567" w:name="_Toc402170627"/>
      <w:bookmarkStart w:id="568" w:name="_Toc402170628"/>
      <w:bookmarkEnd w:id="565"/>
      <w:bookmarkEnd w:id="566"/>
    </w:p>
    <w:p w14:paraId="003C2595" w14:textId="77777777" w:rsidR="00391A6D" w:rsidRPr="002952A7" w:rsidRDefault="007847DA" w:rsidP="00FD21E8">
      <w:pPr>
        <w:pStyle w:val="Heading3"/>
      </w:pPr>
      <w:bookmarkStart w:id="569" w:name="_Toc22543164"/>
      <w:r>
        <w:t>11.2.1</w:t>
      </w:r>
      <w:r>
        <w:tab/>
      </w:r>
      <w:r w:rsidR="00391A6D" w:rsidRPr="002952A7">
        <w:t>Changes to Stream 1 job seeker servicing</w:t>
      </w:r>
      <w:bookmarkEnd w:id="569"/>
      <w:r w:rsidR="00391A6D" w:rsidRPr="002952A7">
        <w:t xml:space="preserve"> </w:t>
      </w:r>
    </w:p>
    <w:p w14:paraId="1E7A71F0" w14:textId="2A6764EE" w:rsidR="007847DA" w:rsidRDefault="0045597F" w:rsidP="00391A6D">
      <w:r>
        <w:t>Part of the justification for making changes to Stream 1 servicing, particularly changes made to the Intensive Activity phase was to reduce programme costs.</w:t>
      </w:r>
      <w:r w:rsidR="00265E82">
        <w:t xml:space="preserve"> This did have the desired cost effect for the programme. An unintended consequence, however, was the reduction in the threat </w:t>
      </w:r>
      <w:r w:rsidR="00FA59A7">
        <w:t>effect, which</w:t>
      </w:r>
      <w:r w:rsidR="00265E82">
        <w:t xml:space="preserve"> this phase pro</w:t>
      </w:r>
      <w:r w:rsidR="002952A7">
        <w:t>d</w:t>
      </w:r>
      <w:r w:rsidR="00265E82">
        <w:t>u</w:t>
      </w:r>
      <w:r w:rsidR="002952A7">
        <w:t>c</w:t>
      </w:r>
      <w:r w:rsidR="00265E82">
        <w:t xml:space="preserve">ed prior to the changes. This resulted in </w:t>
      </w:r>
      <w:r w:rsidR="00674D84">
        <w:t xml:space="preserve">a </w:t>
      </w:r>
      <w:r w:rsidR="00265E82">
        <w:t xml:space="preserve">longer time on income support </w:t>
      </w:r>
      <w:r w:rsidR="00674D84">
        <w:t xml:space="preserve">on average for </w:t>
      </w:r>
      <w:r w:rsidR="00265E82">
        <w:t>Stream 1 job</w:t>
      </w:r>
      <w:r w:rsidR="00AA57FC">
        <w:t xml:space="preserve"> </w:t>
      </w:r>
      <w:r w:rsidR="00265E82">
        <w:t xml:space="preserve">seekers. The outcome then when measured using a </w:t>
      </w:r>
      <w:r w:rsidR="007847DA">
        <w:t>’</w:t>
      </w:r>
      <w:r w:rsidR="00391A6D" w:rsidRPr="009C3C01">
        <w:t>cost to government</w:t>
      </w:r>
      <w:r w:rsidR="007847DA">
        <w:t xml:space="preserve">‘ </w:t>
      </w:r>
      <w:r w:rsidR="00265E82">
        <w:t xml:space="preserve">approach is that the </w:t>
      </w:r>
      <w:r w:rsidR="00391A6D" w:rsidRPr="009C3C01">
        <w:t>JSA 2012 model is not as cost-effective as the JSA 2009 model for most types of new entrant Stream 1 job seekers.</w:t>
      </w:r>
      <w:r w:rsidR="00265E82">
        <w:t xml:space="preserve"> This resulted in cost-shifting from the JSA programme to the income support system under JSA 2012.</w:t>
      </w:r>
    </w:p>
    <w:p w14:paraId="5A71CF7E" w14:textId="77777777" w:rsidR="007847DA" w:rsidRPr="009C7FDF" w:rsidRDefault="007847DA" w:rsidP="00FD21E8">
      <w:pPr>
        <w:pStyle w:val="Heading3"/>
      </w:pPr>
      <w:bookmarkStart w:id="570" w:name="_Toc22543165"/>
      <w:r>
        <w:t>11.2.2</w:t>
      </w:r>
      <w:r>
        <w:tab/>
        <w:t>Introduction of the Compulsory Activit</w:t>
      </w:r>
      <w:r w:rsidR="00420DA2">
        <w:t>y</w:t>
      </w:r>
      <w:r>
        <w:t xml:space="preserve"> Phase</w:t>
      </w:r>
      <w:bookmarkEnd w:id="570"/>
      <w:r w:rsidRPr="009C7FDF">
        <w:t xml:space="preserve"> </w:t>
      </w:r>
    </w:p>
    <w:p w14:paraId="5B31EBB0" w14:textId="382215C8" w:rsidR="00C74AD8" w:rsidRDefault="007847DA" w:rsidP="00391A6D">
      <w:r>
        <w:t xml:space="preserve">The introduction of the </w:t>
      </w:r>
      <w:r w:rsidR="000804DF">
        <w:t>Compulsory</w:t>
      </w:r>
      <w:r>
        <w:t xml:space="preserve"> Activity Phase (CAP) was designed to further engage very long</w:t>
      </w:r>
      <w:r w:rsidR="00216E41">
        <w:t>-</w:t>
      </w:r>
      <w:r>
        <w:t xml:space="preserve">term job seekers. The fact is though that much of the effect of such ‘activation measures’ is a result of the referral effect. This is a mix of the compliance effect (where job seekers declare previously undeclared work) </w:t>
      </w:r>
      <w:r w:rsidR="00F36BBE">
        <w:t>and</w:t>
      </w:r>
      <w:r>
        <w:t xml:space="preserve"> the </w:t>
      </w:r>
      <w:r w:rsidR="00C74AD8">
        <w:t>‘threat’ effect (where job seekers increase the eff</w:t>
      </w:r>
      <w:r w:rsidR="00F36BBE">
        <w:t>e</w:t>
      </w:r>
      <w:r w:rsidR="00C74AD8">
        <w:t xml:space="preserve">ctiveness or </w:t>
      </w:r>
      <w:r w:rsidR="000804DF">
        <w:t>intensity</w:t>
      </w:r>
      <w:r w:rsidR="00C74AD8">
        <w:t xml:space="preserve"> of job </w:t>
      </w:r>
      <w:r w:rsidR="000804DF">
        <w:t>search</w:t>
      </w:r>
      <w:r w:rsidR="00C74AD8">
        <w:t xml:space="preserve"> in order to </w:t>
      </w:r>
      <w:r w:rsidR="00216E41">
        <w:t>gain employment</w:t>
      </w:r>
      <w:r w:rsidR="00C74AD8">
        <w:t xml:space="preserve"> and thereby avoid the activity.</w:t>
      </w:r>
      <w:r w:rsidR="00F36BBE">
        <w:t xml:space="preserve"> The assumption underlying the operation of the threat effect is that job seekers are in a position to leave income support by finding employment. Arguably, this assumption is less likely to hold for job seekers who have been unemployed for long periods of time (those subject to the CAP). </w:t>
      </w:r>
      <w:r w:rsidR="00216E41">
        <w:t>Due to the continuous nature of the CAP (11 months out of 12), th</w:t>
      </w:r>
      <w:r w:rsidR="00F36BBE">
        <w:t>e lock-in effect is also likely to be exacerbated for these job seekers as they are less likely to be able to find the energy or motivation to job search in combination with the compulsory activity</w:t>
      </w:r>
      <w:r w:rsidR="00216E41">
        <w:t xml:space="preserve"> phase</w:t>
      </w:r>
      <w:r w:rsidR="00F36BBE">
        <w:t>.</w:t>
      </w:r>
    </w:p>
    <w:p w14:paraId="252BB3C1" w14:textId="77777777" w:rsidR="005F10B8" w:rsidRDefault="005F10B8" w:rsidP="00FD21E8">
      <w:pPr>
        <w:pStyle w:val="Heading3"/>
      </w:pPr>
      <w:bookmarkStart w:id="571" w:name="_Toc22543166"/>
      <w:r>
        <w:t>11.2.3</w:t>
      </w:r>
      <w:r>
        <w:tab/>
        <w:t>Provider remuneration</w:t>
      </w:r>
      <w:bookmarkEnd w:id="571"/>
    </w:p>
    <w:p w14:paraId="189BAD69" w14:textId="758B0A17" w:rsidR="00B12353" w:rsidRDefault="005F10B8" w:rsidP="00391A6D">
      <w:r>
        <w:t xml:space="preserve">Many factors affected the remuneration of JSA providers between the models. These largely reflected economic conditions (Figure </w:t>
      </w:r>
      <w:r w:rsidR="00FD21E8">
        <w:t>1.2 and 1.3</w:t>
      </w:r>
      <w:r>
        <w:t xml:space="preserve">). </w:t>
      </w:r>
      <w:r w:rsidR="00FA59A7">
        <w:t>However,</w:t>
      </w:r>
      <w:r>
        <w:t xml:space="preserve"> the </w:t>
      </w:r>
      <w:r w:rsidR="000C7418">
        <w:t>differences in remuneration were</w:t>
      </w:r>
      <w:r>
        <w:t xml:space="preserve"> exacerbated by </w:t>
      </w:r>
      <w:r w:rsidR="00A47A06">
        <w:t>changes such</w:t>
      </w:r>
      <w:r w:rsidR="00B12353">
        <w:t xml:space="preserve"> as:</w:t>
      </w:r>
    </w:p>
    <w:p w14:paraId="275854C3" w14:textId="77777777" w:rsidR="00B12353" w:rsidRDefault="00B12353" w:rsidP="00216E41">
      <w:pPr>
        <w:pStyle w:val="ListParagraph"/>
      </w:pPr>
      <w:bookmarkStart w:id="572" w:name="_Toc446600800"/>
      <w:r w:rsidRPr="009360FB">
        <w:t>transfer of remotely located job seekers to</w:t>
      </w:r>
      <w:r w:rsidRPr="009360FB" w:rsidDel="009360FB">
        <w:t xml:space="preserve"> </w:t>
      </w:r>
      <w:r w:rsidRPr="009360FB">
        <w:t>the Remote Jobs and Communities Programme (RJCP) (Table 1.2)</w:t>
      </w:r>
      <w:r>
        <w:t>, removing a group of job seekers who attracted higher service and outcome fees</w:t>
      </w:r>
      <w:r w:rsidRPr="00026CF0">
        <w:rPr>
          <w:rStyle w:val="FootnoteReference"/>
          <w:b/>
          <w:i/>
        </w:rPr>
        <w:footnoteReference w:id="96"/>
      </w:r>
      <w:bookmarkEnd w:id="572"/>
    </w:p>
    <w:p w14:paraId="02B8787D" w14:textId="371A00FF" w:rsidR="00B12353" w:rsidRPr="00B12353" w:rsidRDefault="000804DF" w:rsidP="00216E41">
      <w:pPr>
        <w:pStyle w:val="ListParagraph"/>
      </w:pPr>
      <w:bookmarkStart w:id="573" w:name="_Toc446600801"/>
      <w:r>
        <w:t>deteriorating labour market conditions</w:t>
      </w:r>
      <w:r w:rsidR="007565F8">
        <w:t xml:space="preserve"> (indicated by higher unemployment rates) </w:t>
      </w:r>
      <w:r w:rsidR="00B12353" w:rsidRPr="002D2C05">
        <w:t>during JSA 2012 (Figure 1.2),</w:t>
      </w:r>
      <w:r w:rsidR="00B12353">
        <w:t xml:space="preserve"> </w:t>
      </w:r>
      <w:r w:rsidR="00B12353" w:rsidRPr="002D2C05">
        <w:t xml:space="preserve">leading to a change in the </w:t>
      </w:r>
      <w:r w:rsidR="00B12353" w:rsidRPr="00233AE0">
        <w:t>caseload composition (and level</w:t>
      </w:r>
      <w:r w:rsidR="00B12353">
        <w:t xml:space="preserve"> </w:t>
      </w:r>
      <w:r w:rsidR="00B12353" w:rsidRPr="00233AE0">
        <w:t>and proportion of disadvantage</w:t>
      </w:r>
      <w:r w:rsidR="00B12353" w:rsidRPr="003E72BD">
        <w:t>d job seekers</w:t>
      </w:r>
      <w:r w:rsidR="00B12353" w:rsidRPr="009D5700">
        <w:t>)</w:t>
      </w:r>
      <w:r w:rsidR="00B12353" w:rsidRPr="005860CB">
        <w:t>, and subsequent impact on outcome rates</w:t>
      </w:r>
      <w:r w:rsidR="00FD21E8">
        <w:t xml:space="preserve"> (Table A</w:t>
      </w:r>
      <w:r w:rsidR="00775184">
        <w:t>1.2</w:t>
      </w:r>
      <w:r w:rsidR="00FD21E8">
        <w:t>)</w:t>
      </w:r>
      <w:bookmarkEnd w:id="573"/>
    </w:p>
    <w:p w14:paraId="79F2F6FF" w14:textId="7CF0F971" w:rsidR="000804DF" w:rsidRDefault="00B12353" w:rsidP="00216E41">
      <w:pPr>
        <w:pStyle w:val="ListParagraph"/>
      </w:pPr>
      <w:r w:rsidRPr="00FD21E8">
        <w:t>welfare system changes, such as ch</w:t>
      </w:r>
      <w:r w:rsidR="00822A77">
        <w:t>anges to the grandfathering of Parenting Payment</w:t>
      </w:r>
      <w:r w:rsidRPr="00FD21E8">
        <w:t xml:space="preserve"> (Table </w:t>
      </w:r>
      <w:r w:rsidR="00A0596B">
        <w:t>1.2</w:t>
      </w:r>
      <w:r w:rsidRPr="00FD21E8">
        <w:t>), provider practices and job seeker motivation</w:t>
      </w:r>
    </w:p>
    <w:p w14:paraId="78FA9F8E" w14:textId="4A19D29B" w:rsidR="00B12353" w:rsidRPr="00FD21E8" w:rsidRDefault="000C7418" w:rsidP="00216E41">
      <w:pPr>
        <w:pStyle w:val="ListParagraph"/>
      </w:pPr>
      <w:r>
        <w:t>a drop in</w:t>
      </w:r>
      <w:r w:rsidR="00B12353">
        <w:t xml:space="preserve"> service fees</w:t>
      </w:r>
      <w:r>
        <w:t xml:space="preserve"> </w:t>
      </w:r>
      <w:r w:rsidR="00FA59A7">
        <w:t>per</w:t>
      </w:r>
      <w:r>
        <w:t xml:space="preserve"> job seeker</w:t>
      </w:r>
      <w:r w:rsidR="00B12353">
        <w:t xml:space="preserve"> as a result of more job seekers being LTU (who attract lower service fee levels)</w:t>
      </w:r>
      <w:r>
        <w:t xml:space="preserve"> as more job seekers moved into the CAP and WEPh Phase</w:t>
      </w:r>
      <w:r w:rsidR="00FD21E8">
        <w:t>.</w:t>
      </w:r>
    </w:p>
    <w:p w14:paraId="41C7F25D" w14:textId="33CAEA2A" w:rsidR="005F10B8" w:rsidRDefault="00A47A06" w:rsidP="00B12353">
      <w:r>
        <w:t xml:space="preserve">It appears that lower remuneration levels </w:t>
      </w:r>
      <w:r w:rsidR="007565F8">
        <w:t xml:space="preserve">may </w:t>
      </w:r>
      <w:r>
        <w:t xml:space="preserve">have prompted some changes in servicing suggested in </w:t>
      </w:r>
      <w:r w:rsidR="007565F8">
        <w:t>Chapter 10</w:t>
      </w:r>
      <w:r>
        <w:t xml:space="preserve"> which</w:t>
      </w:r>
      <w:r w:rsidR="00FA59A7">
        <w:t xml:space="preserve"> may</w:t>
      </w:r>
      <w:r>
        <w:t xml:space="preserve"> have in turn</w:t>
      </w:r>
      <w:r w:rsidR="007565F8">
        <w:t xml:space="preserve"> have</w:t>
      </w:r>
      <w:r>
        <w:t xml:space="preserve"> affected overall job seeker satisfaction with the </w:t>
      </w:r>
      <w:r w:rsidR="000804DF">
        <w:t>programme</w:t>
      </w:r>
      <w:r w:rsidR="000C7418">
        <w:t>. See Figure 10.6</w:t>
      </w:r>
      <w:r>
        <w:t>.</w:t>
      </w:r>
    </w:p>
    <w:p w14:paraId="2EA9A34B" w14:textId="77777777" w:rsidR="00391A6D" w:rsidRDefault="009E79BB" w:rsidP="00377B8E">
      <w:pPr>
        <w:pStyle w:val="Heading2"/>
      </w:pPr>
      <w:bookmarkStart w:id="574" w:name="_Toc450919355"/>
      <w:bookmarkStart w:id="575" w:name="_Toc22543167"/>
      <w:r>
        <w:t>11.3</w:t>
      </w:r>
      <w:r>
        <w:tab/>
      </w:r>
      <w:r w:rsidR="000804DF">
        <w:t>Recommendations</w:t>
      </w:r>
      <w:bookmarkEnd w:id="574"/>
      <w:bookmarkEnd w:id="575"/>
    </w:p>
    <w:p w14:paraId="3CEA2EFE" w14:textId="77777777" w:rsidR="00265E82" w:rsidRDefault="006C0340" w:rsidP="003E50CB">
      <w:pPr>
        <w:pStyle w:val="Heading3"/>
      </w:pPr>
      <w:bookmarkStart w:id="576" w:name="_Toc22543168"/>
      <w:r>
        <w:t>11.3.1</w:t>
      </w:r>
      <w:r>
        <w:tab/>
      </w:r>
      <w:r w:rsidR="00265E82">
        <w:t xml:space="preserve">Stream 1 </w:t>
      </w:r>
      <w:r w:rsidR="004C3310">
        <w:t>changes</w:t>
      </w:r>
      <w:bookmarkEnd w:id="576"/>
    </w:p>
    <w:p w14:paraId="7F198955" w14:textId="77777777" w:rsidR="00BF36BA" w:rsidRDefault="00BF36BA" w:rsidP="002231A4">
      <w:pPr>
        <w:pStyle w:val="ListNumber"/>
        <w:numPr>
          <w:ilvl w:val="0"/>
          <w:numId w:val="284"/>
        </w:numPr>
      </w:pPr>
      <w:r w:rsidRPr="00B64A6C">
        <w:t xml:space="preserve">Initiatives which prompt referral effects are best placed earlier in a job seekers </w:t>
      </w:r>
      <w:r w:rsidR="003E50CB" w:rsidRPr="00B64A6C">
        <w:t xml:space="preserve">period of </w:t>
      </w:r>
      <w:r w:rsidRPr="00B64A6C">
        <w:t xml:space="preserve">service. This is shown by the fact that exits from income support were much stronger for JSA 2009 Intensive Activities (at 17 weeks in service) than for JSA 2012 Intensive Activities (at 30 weeks in service). This is likely because job seekers who are easily able to </w:t>
      </w:r>
      <w:r w:rsidR="003E50CB" w:rsidRPr="00B64A6C">
        <w:t>gain employment</w:t>
      </w:r>
      <w:r w:rsidRPr="00B64A6C">
        <w:t xml:space="preserve"> will have already been out of service by 30 </w:t>
      </w:r>
      <w:r w:rsidRPr="00092C5D">
        <w:t xml:space="preserve">weeks. The effect therefore at 30 weeks is less </w:t>
      </w:r>
      <w:r w:rsidRPr="00B64A6C">
        <w:t>pronounced</w:t>
      </w:r>
      <w:r>
        <w:t>.</w:t>
      </w:r>
    </w:p>
    <w:p w14:paraId="11B67186" w14:textId="20F2EA83" w:rsidR="008101B9" w:rsidRPr="002952A7" w:rsidRDefault="00BF36BA" w:rsidP="002952A7">
      <w:pPr>
        <w:pStyle w:val="ListNumber"/>
      </w:pPr>
      <w:r w:rsidRPr="00B64A6C">
        <w:t xml:space="preserve">Initiatives which prompt referral effects should also be made reasonably intensive. This is </w:t>
      </w:r>
      <w:r w:rsidR="003E50CB" w:rsidRPr="00B64A6C">
        <w:t xml:space="preserve">evident in that </w:t>
      </w:r>
      <w:r w:rsidRPr="00B64A6C">
        <w:t xml:space="preserve">the </w:t>
      </w:r>
      <w:r w:rsidR="008D35CB" w:rsidRPr="00B64A6C">
        <w:t>25-hour</w:t>
      </w:r>
      <w:r w:rsidRPr="00B64A6C">
        <w:t xml:space="preserve"> requirement </w:t>
      </w:r>
      <w:r w:rsidR="00B32B5B">
        <w:t xml:space="preserve">for intensive activities </w:t>
      </w:r>
      <w:r w:rsidRPr="00B64A6C">
        <w:t xml:space="preserve">in JSA 2012 failed to produce a measurable referral effect which was </w:t>
      </w:r>
      <w:r w:rsidR="008566A5" w:rsidRPr="00B64A6C">
        <w:t>observable</w:t>
      </w:r>
      <w:r w:rsidRPr="00B64A6C">
        <w:t xml:space="preserve"> in JSA 2009 (where the requirement was 60 hours). This is likely a result of job seekers with previously undeclared part-time or casual work </w:t>
      </w:r>
      <w:r w:rsidR="008566A5" w:rsidRPr="00B64A6C">
        <w:t xml:space="preserve">being </w:t>
      </w:r>
      <w:r w:rsidRPr="00B64A6C">
        <w:t>less able to continue to work and comply with requirements. Intensive activities, full</w:t>
      </w:r>
      <w:r w:rsidR="008566A5" w:rsidRPr="00B64A6C">
        <w:t>-</w:t>
      </w:r>
      <w:r w:rsidRPr="00B64A6C">
        <w:t>time or near full-time</w:t>
      </w:r>
      <w:r w:rsidR="004C3310">
        <w:t>,</w:t>
      </w:r>
      <w:r w:rsidRPr="00B64A6C">
        <w:t xml:space="preserve"> produce a stronger compliance effect.</w:t>
      </w:r>
    </w:p>
    <w:p w14:paraId="1F2DEE09" w14:textId="41FCFA7A" w:rsidR="00265E82" w:rsidRPr="002231A4" w:rsidRDefault="00265E82" w:rsidP="002952A7">
      <w:pPr>
        <w:pStyle w:val="ListNumber"/>
        <w:rPr>
          <w:rFonts w:eastAsiaTheme="majorEastAsia"/>
        </w:rPr>
      </w:pPr>
      <w:r w:rsidRPr="002231A4">
        <w:t xml:space="preserve">The Department of Finance does not assess whole of government impacts of new policy proposals for programme delivery. The programmes are costed (and funded) in isolation. This analysis shows </w:t>
      </w:r>
      <w:r w:rsidR="00F27331">
        <w:t xml:space="preserve">how </w:t>
      </w:r>
      <w:r w:rsidRPr="002231A4">
        <w:t xml:space="preserve">cost shifting between government programmes can </w:t>
      </w:r>
      <w:r w:rsidR="00F27331">
        <w:t xml:space="preserve">occur and suggests that </w:t>
      </w:r>
      <w:r w:rsidRPr="002231A4">
        <w:t>the possible impacts on related programmes/systems should be considered when savings are proposed.</w:t>
      </w:r>
    </w:p>
    <w:p w14:paraId="40118644" w14:textId="5E5D02DB" w:rsidR="0045597F" w:rsidRDefault="006C0340" w:rsidP="003E50CB">
      <w:pPr>
        <w:pStyle w:val="Heading3"/>
      </w:pPr>
      <w:bookmarkStart w:id="577" w:name="_Toc22543169"/>
      <w:r>
        <w:t>11.3.2</w:t>
      </w:r>
      <w:r>
        <w:tab/>
      </w:r>
      <w:r w:rsidR="000C2C01" w:rsidRPr="0045597F">
        <w:t>S</w:t>
      </w:r>
      <w:r w:rsidR="004A0135">
        <w:t xml:space="preserve">tream </w:t>
      </w:r>
      <w:r w:rsidR="000C2C01" w:rsidRPr="0045597F">
        <w:t>S</w:t>
      </w:r>
      <w:r w:rsidR="004A0135">
        <w:t>ervice</w:t>
      </w:r>
      <w:r w:rsidR="000B2F4D">
        <w:t>s</w:t>
      </w:r>
      <w:r w:rsidR="004A0135">
        <w:t xml:space="preserve"> </w:t>
      </w:r>
      <w:r w:rsidR="000C2C01" w:rsidRPr="0045597F">
        <w:t>R</w:t>
      </w:r>
      <w:r w:rsidR="004A0135">
        <w:t>eviews</w:t>
      </w:r>
      <w:bookmarkEnd w:id="577"/>
    </w:p>
    <w:p w14:paraId="7B58C4FA" w14:textId="77777777" w:rsidR="00377B8E" w:rsidRPr="003E50CB" w:rsidRDefault="00377B8E" w:rsidP="002952A7">
      <w:pPr>
        <w:pStyle w:val="ListNumber"/>
        <w:rPr>
          <w:rFonts w:eastAsiaTheme="majorEastAsia"/>
        </w:rPr>
      </w:pPr>
      <w:r w:rsidRPr="00E90586">
        <w:rPr>
          <w:rFonts w:eastAsiaTheme="majorEastAsia"/>
        </w:rPr>
        <w:t>A more targeted, individualised assessment of job seeker suitability for the WEPh, aligned with the individualised tailored servicing philosophy of the JSA model, would appear to be more appropriate</w:t>
      </w:r>
      <w:r w:rsidR="009E79BB">
        <w:rPr>
          <w:rFonts w:eastAsiaTheme="majorEastAsia"/>
        </w:rPr>
        <w:t xml:space="preserve"> than a blanket ‘time-in-service’ assessment trigger. This is particularly relevant considering the level of deadweight cost for these blanket assessments.</w:t>
      </w:r>
    </w:p>
    <w:p w14:paraId="1789A8B4" w14:textId="77777777" w:rsidR="00F36BBE" w:rsidRDefault="006C0340" w:rsidP="003E50CB">
      <w:pPr>
        <w:pStyle w:val="Heading3"/>
      </w:pPr>
      <w:bookmarkStart w:id="578" w:name="_Toc22543170"/>
      <w:r>
        <w:t>11.3.3</w:t>
      </w:r>
      <w:r>
        <w:tab/>
      </w:r>
      <w:r w:rsidR="00F36BBE">
        <w:t>The Compulsory Activity Phase</w:t>
      </w:r>
      <w:bookmarkEnd w:id="578"/>
    </w:p>
    <w:p w14:paraId="1719BADD" w14:textId="77777777" w:rsidR="00B64A6C" w:rsidRDefault="00F36BBE" w:rsidP="002952A7">
      <w:pPr>
        <w:pStyle w:val="ListNumber"/>
      </w:pPr>
      <w:r>
        <w:t xml:space="preserve">Much of the effect of ‘activation measures’ such as those involved in the CAP is a result of the referral effect. As such they </w:t>
      </w:r>
      <w:r w:rsidR="005D1931">
        <w:t xml:space="preserve">are more likely to be effective for </w:t>
      </w:r>
      <w:r>
        <w:t xml:space="preserve">job seekers who are more </w:t>
      </w:r>
      <w:r w:rsidR="005D1931">
        <w:t xml:space="preserve">able </w:t>
      </w:r>
      <w:r w:rsidR="004C3310">
        <w:t xml:space="preserve">to </w:t>
      </w:r>
      <w:r>
        <w:t xml:space="preserve">exit service by entering employment. </w:t>
      </w:r>
      <w:r w:rsidR="003278E5">
        <w:t>Targeting</w:t>
      </w:r>
      <w:r>
        <w:t xml:space="preserve"> these activities toward more job ready job seekers is likely to produce </w:t>
      </w:r>
      <w:r w:rsidR="00B64A6C">
        <w:t xml:space="preserve">more robust measurable </w:t>
      </w:r>
      <w:r>
        <w:t>effect</w:t>
      </w:r>
      <w:r w:rsidR="00B64A6C">
        <w:t>s</w:t>
      </w:r>
      <w:r>
        <w:t>.</w:t>
      </w:r>
    </w:p>
    <w:p w14:paraId="51226FF9" w14:textId="77777777" w:rsidR="00B64A6C" w:rsidRDefault="003278E5" w:rsidP="002952A7">
      <w:pPr>
        <w:pStyle w:val="ListNumber"/>
      </w:pPr>
      <w:r w:rsidRPr="00B64A6C">
        <w:t>Targeting</w:t>
      </w:r>
      <w:r w:rsidR="005D1931" w:rsidRPr="00B64A6C">
        <w:t xml:space="preserve"> these activities at those who have been unemployed longest (and are often more disadvantaged) </w:t>
      </w:r>
      <w:r w:rsidR="005D1931" w:rsidRPr="00092C5D">
        <w:t xml:space="preserve">is also likely to </w:t>
      </w:r>
      <w:r w:rsidRPr="00092C5D">
        <w:t>exacerbate</w:t>
      </w:r>
      <w:r w:rsidR="005D1931" w:rsidRPr="00092C5D">
        <w:t xml:space="preserve"> the lock-in effect as these less resilient job seekers </w:t>
      </w:r>
      <w:r w:rsidR="005D1931" w:rsidRPr="00B64A6C">
        <w:t>are less likely to be able to combine successful job search activities with compulsory activities.</w:t>
      </w:r>
    </w:p>
    <w:p w14:paraId="312E8C6F" w14:textId="7CDB5DC5" w:rsidR="00F36BBE" w:rsidRDefault="00B64A6C" w:rsidP="002952A7">
      <w:pPr>
        <w:pStyle w:val="ListNumber"/>
      </w:pPr>
      <w:r>
        <w:t>T</w:t>
      </w:r>
      <w:r w:rsidR="005D1931" w:rsidRPr="00B64A6C">
        <w:t xml:space="preserve">he lock-in effect of the CAP was likely to also be </w:t>
      </w:r>
      <w:r w:rsidR="003278E5" w:rsidRPr="00B64A6C">
        <w:t>exacerbated</w:t>
      </w:r>
      <w:r w:rsidR="005D1931" w:rsidRPr="00B64A6C">
        <w:t xml:space="preserve"> </w:t>
      </w:r>
      <w:r>
        <w:t>because</w:t>
      </w:r>
      <w:r w:rsidR="005D1931" w:rsidRPr="00B64A6C">
        <w:t xml:space="preserve"> the phase was 11 out of every 12 months. </w:t>
      </w:r>
      <w:r w:rsidR="00B32B5B">
        <w:t>It is possible that the perpetuity of the CAP</w:t>
      </w:r>
      <w:r w:rsidR="005D1931" w:rsidRPr="00B64A6C">
        <w:t xml:space="preserve"> </w:t>
      </w:r>
      <w:r w:rsidR="00B32B5B">
        <w:t xml:space="preserve">did </w:t>
      </w:r>
      <w:r w:rsidR="005D1931" w:rsidRPr="00B64A6C">
        <w:t xml:space="preserve">not give </w:t>
      </w:r>
      <w:r w:rsidR="00B32B5B">
        <w:t xml:space="preserve">some </w:t>
      </w:r>
      <w:r w:rsidR="005D1931" w:rsidRPr="00B64A6C">
        <w:t xml:space="preserve">job seekers any </w:t>
      </w:r>
      <w:r w:rsidR="00B32B5B">
        <w:t xml:space="preserve">sense </w:t>
      </w:r>
      <w:r w:rsidR="005D1931" w:rsidRPr="00B64A6C">
        <w:t xml:space="preserve">of </w:t>
      </w:r>
      <w:r w:rsidR="00971BA2">
        <w:t xml:space="preserve">having </w:t>
      </w:r>
      <w:r w:rsidR="00971BA2" w:rsidRPr="00B64A6C">
        <w:t>complet</w:t>
      </w:r>
      <w:r w:rsidR="00971BA2">
        <w:t>ed</w:t>
      </w:r>
      <w:r w:rsidR="00971BA2" w:rsidRPr="00B64A6C">
        <w:t xml:space="preserve"> </w:t>
      </w:r>
      <w:r w:rsidR="005D1931" w:rsidRPr="00B64A6C">
        <w:t xml:space="preserve">the </w:t>
      </w:r>
      <w:r w:rsidR="00B32B5B">
        <w:t>phase</w:t>
      </w:r>
      <w:r w:rsidR="00436824">
        <w:t xml:space="preserve"> in order to move forward</w:t>
      </w:r>
      <w:r w:rsidR="005D1931" w:rsidRPr="00B64A6C">
        <w:t>.</w:t>
      </w:r>
      <w:r w:rsidR="00F36BBE" w:rsidRPr="00B64A6C">
        <w:t xml:space="preserve"> </w:t>
      </w:r>
      <w:r w:rsidR="00436824">
        <w:t>It is likely that c</w:t>
      </w:r>
      <w:r w:rsidR="00436824" w:rsidRPr="00B64A6C">
        <w:t xml:space="preserve">ompletion </w:t>
      </w:r>
      <w:r w:rsidR="005D1931" w:rsidRPr="00B64A6C">
        <w:t xml:space="preserve">of a programme or </w:t>
      </w:r>
      <w:r w:rsidR="00436824">
        <w:t>phase</w:t>
      </w:r>
      <w:r w:rsidR="005D1931" w:rsidRPr="00B64A6C">
        <w:t xml:space="preserve"> </w:t>
      </w:r>
      <w:r w:rsidR="00436824">
        <w:t>may</w:t>
      </w:r>
      <w:r w:rsidR="00436824" w:rsidRPr="00B64A6C">
        <w:t xml:space="preserve"> </w:t>
      </w:r>
      <w:r w:rsidR="005D1931" w:rsidRPr="00B64A6C">
        <w:t>result in job seekers finding more energy and enthusiasm for job sea</w:t>
      </w:r>
      <w:r w:rsidR="005D1931" w:rsidRPr="00092C5D">
        <w:t>rch and finding employment</w:t>
      </w:r>
      <w:r w:rsidR="005D1931" w:rsidRPr="00B64A6C">
        <w:t xml:space="preserve">. Such </w:t>
      </w:r>
      <w:r w:rsidR="00436824">
        <w:t>interventions</w:t>
      </w:r>
      <w:r w:rsidR="00436824" w:rsidRPr="00B64A6C">
        <w:t xml:space="preserve"> </w:t>
      </w:r>
      <w:r w:rsidR="005D1931" w:rsidRPr="00B64A6C">
        <w:t xml:space="preserve">in future then </w:t>
      </w:r>
      <w:r w:rsidR="00436824">
        <w:t>may</w:t>
      </w:r>
      <w:r w:rsidR="00436824" w:rsidRPr="00B64A6C">
        <w:t xml:space="preserve"> </w:t>
      </w:r>
      <w:r w:rsidR="005D1931" w:rsidRPr="00B64A6C">
        <w:t xml:space="preserve">be better designed with a shorter duration in order to minimise </w:t>
      </w:r>
      <w:r w:rsidR="00230418" w:rsidRPr="00B64A6C">
        <w:t xml:space="preserve">the duration of </w:t>
      </w:r>
      <w:r w:rsidR="005D1931" w:rsidRPr="00B64A6C">
        <w:t xml:space="preserve">lock-in </w:t>
      </w:r>
      <w:r w:rsidR="00436824">
        <w:t xml:space="preserve">and attachment </w:t>
      </w:r>
      <w:r w:rsidR="005D1931" w:rsidRPr="00B64A6C">
        <w:t>effects</w:t>
      </w:r>
      <w:r w:rsidR="005D1931">
        <w:t>.</w:t>
      </w:r>
    </w:p>
    <w:p w14:paraId="61CE4428" w14:textId="77777777" w:rsidR="0045597F" w:rsidRPr="009E79BB" w:rsidRDefault="006C0340" w:rsidP="003E50CB">
      <w:pPr>
        <w:pStyle w:val="Heading3"/>
      </w:pPr>
      <w:bookmarkStart w:id="579" w:name="_Toc22543171"/>
      <w:r>
        <w:t>11.3.4</w:t>
      </w:r>
      <w:r>
        <w:tab/>
      </w:r>
      <w:r w:rsidR="000B7AD8" w:rsidRPr="0045597F">
        <w:t xml:space="preserve">Indigenous Cultural Capability </w:t>
      </w:r>
      <w:r w:rsidR="004C3310">
        <w:t>t</w:t>
      </w:r>
      <w:r w:rsidR="004C3310" w:rsidRPr="0045597F">
        <w:t>raining</w:t>
      </w:r>
      <w:bookmarkEnd w:id="579"/>
    </w:p>
    <w:p w14:paraId="41199776" w14:textId="2E6A1575" w:rsidR="0045597F" w:rsidRPr="009E79BB" w:rsidRDefault="009E79BB" w:rsidP="002952A7">
      <w:pPr>
        <w:pStyle w:val="ListNumber"/>
      </w:pPr>
      <w:r>
        <w:t xml:space="preserve">The effectiveness of the </w:t>
      </w:r>
      <w:r w:rsidR="00436824">
        <w:t xml:space="preserve">training modules designed by the </w:t>
      </w:r>
      <w:r w:rsidR="005E79D9">
        <w:t>D</w:t>
      </w:r>
      <w:r>
        <w:t>epartment</w:t>
      </w:r>
      <w:r w:rsidR="00E90586" w:rsidRPr="009E79BB">
        <w:t xml:space="preserve"> </w:t>
      </w:r>
      <w:r>
        <w:t xml:space="preserve">could be increased </w:t>
      </w:r>
      <w:r w:rsidR="000B7AD8" w:rsidRPr="009E79BB">
        <w:t xml:space="preserve">if </w:t>
      </w:r>
      <w:r w:rsidR="0067512D">
        <w:t xml:space="preserve">they were </w:t>
      </w:r>
      <w:r w:rsidR="000B7AD8" w:rsidRPr="009E79BB">
        <w:t>conducted in small groups</w:t>
      </w:r>
      <w:r>
        <w:t>,</w:t>
      </w:r>
      <w:r w:rsidR="000B7AD8" w:rsidRPr="009E79BB">
        <w:t xml:space="preserve"> preferably with an Indigenous mentor or community member who can answer specific question</w:t>
      </w:r>
      <w:r w:rsidR="0045597F" w:rsidRPr="009E79BB">
        <w:t>s.</w:t>
      </w:r>
    </w:p>
    <w:p w14:paraId="0DD4570C" w14:textId="602FC50B" w:rsidR="000B7AD8" w:rsidRPr="009E79BB" w:rsidRDefault="009E79BB" w:rsidP="002952A7">
      <w:pPr>
        <w:pStyle w:val="ListNumber"/>
      </w:pPr>
      <w:r>
        <w:t>Retention</w:t>
      </w:r>
      <w:r w:rsidR="0080667F">
        <w:t xml:space="preserve"> of material and take-up</w:t>
      </w:r>
      <w:r>
        <w:t xml:space="preserve"> could also be improved if </w:t>
      </w:r>
      <w:r w:rsidR="000B7AD8" w:rsidRPr="009E79BB">
        <w:t xml:space="preserve">the modules </w:t>
      </w:r>
      <w:r>
        <w:t xml:space="preserve">were </w:t>
      </w:r>
      <w:r w:rsidR="000B7AD8" w:rsidRPr="009E79BB">
        <w:t xml:space="preserve">undertaken over a </w:t>
      </w:r>
      <w:r w:rsidR="00FA59A7" w:rsidRPr="009E79BB">
        <w:t>six-week</w:t>
      </w:r>
      <w:r w:rsidR="000B7AD8" w:rsidRPr="009E79BB">
        <w:t xml:space="preserve"> period </w:t>
      </w:r>
      <w:r>
        <w:t xml:space="preserve">which would </w:t>
      </w:r>
      <w:r w:rsidR="000B7AD8" w:rsidRPr="009E79BB">
        <w:t>allow time for more discussion and also not impact too severely on the work of the office</w:t>
      </w:r>
      <w:r w:rsidR="0080667F">
        <w:t>.</w:t>
      </w:r>
    </w:p>
    <w:p w14:paraId="261C1E49" w14:textId="77777777" w:rsidR="004A0135" w:rsidRDefault="006C0340" w:rsidP="003E50CB">
      <w:pPr>
        <w:pStyle w:val="Heading3"/>
      </w:pPr>
      <w:bookmarkStart w:id="580" w:name="_Toc22543172"/>
      <w:r>
        <w:t>11.3.5</w:t>
      </w:r>
      <w:r>
        <w:tab/>
      </w:r>
      <w:r w:rsidR="004A0135">
        <w:t xml:space="preserve">Indigenous Mentoring </w:t>
      </w:r>
      <w:r w:rsidR="00FB1E03">
        <w:t>Pilot</w:t>
      </w:r>
      <w:bookmarkEnd w:id="580"/>
    </w:p>
    <w:p w14:paraId="1FC28F78" w14:textId="77777777" w:rsidR="004A0135" w:rsidRDefault="004A0135" w:rsidP="002952A7">
      <w:pPr>
        <w:pStyle w:val="ListNumber"/>
      </w:pPr>
      <w:r>
        <w:t xml:space="preserve">The IMP appeared successful based on </w:t>
      </w:r>
      <w:r w:rsidR="003278E5">
        <w:t>qualitative</w:t>
      </w:r>
      <w:r>
        <w:t xml:space="preserve"> research undertaken by the </w:t>
      </w:r>
      <w:r w:rsidR="0061122B">
        <w:t>D</w:t>
      </w:r>
      <w:r>
        <w:t>epartment. Should similar programmes be considered in the future the following success factors for the IMP should be considered:</w:t>
      </w:r>
    </w:p>
    <w:p w14:paraId="0606A3DF" w14:textId="77777777" w:rsidR="004A0135" w:rsidRPr="007B55E7" w:rsidRDefault="004A0135" w:rsidP="000C7418">
      <w:pPr>
        <w:pStyle w:val="ListParagraph"/>
      </w:pPr>
      <w:r w:rsidRPr="007B55E7">
        <w:t>mentors with experience of work, an understanding of the income support system, with links to support services, employers and the local community</w:t>
      </w:r>
    </w:p>
    <w:p w14:paraId="47C95B1B" w14:textId="77777777" w:rsidR="004A0135" w:rsidRPr="007B55E7" w:rsidRDefault="004A0135" w:rsidP="000C7418">
      <w:pPr>
        <w:pStyle w:val="ListParagraph"/>
      </w:pPr>
      <w:r w:rsidRPr="007B55E7">
        <w:t>providers who have a RAP, some form or cultural capability training, adequate support for the mentor and continuity of mentoring staff</w:t>
      </w:r>
    </w:p>
    <w:p w14:paraId="12B90463" w14:textId="77777777" w:rsidR="004A0135" w:rsidRPr="008C11CB" w:rsidRDefault="004A0135" w:rsidP="000C7418">
      <w:pPr>
        <w:pStyle w:val="ListParagraph"/>
      </w:pPr>
      <w:r w:rsidRPr="007B55E7">
        <w:t>employ</w:t>
      </w:r>
      <w:r>
        <w:t xml:space="preserve">ers who are willing to employ and mentor Indigenous staff. </w:t>
      </w:r>
    </w:p>
    <w:p w14:paraId="5EE9FAD1" w14:textId="77777777" w:rsidR="0080667F" w:rsidRDefault="006C0340" w:rsidP="003E50CB">
      <w:pPr>
        <w:pStyle w:val="Heading3"/>
      </w:pPr>
      <w:bookmarkStart w:id="581" w:name="_Toc22543173"/>
      <w:r>
        <w:t>11.3.6</w:t>
      </w:r>
      <w:r>
        <w:tab/>
      </w:r>
      <w:r w:rsidR="0080667F">
        <w:t>Indigenous Opportunity Programme</w:t>
      </w:r>
      <w:bookmarkEnd w:id="581"/>
    </w:p>
    <w:p w14:paraId="51480E40" w14:textId="6C3CD9DD" w:rsidR="0094537B" w:rsidRDefault="0094537B" w:rsidP="00B637BA">
      <w:pPr>
        <w:pStyle w:val="ListNumber"/>
      </w:pPr>
      <w:r>
        <w:t xml:space="preserve">Given the general absence of </w:t>
      </w:r>
      <w:r w:rsidR="00436824">
        <w:t xml:space="preserve">knowledge and implementation of the </w:t>
      </w:r>
      <w:r>
        <w:t>policy</w:t>
      </w:r>
      <w:r w:rsidR="00436824">
        <w:t xml:space="preserve">, </w:t>
      </w:r>
      <w:r>
        <w:t xml:space="preserve">perhaps the focus should be on encouraging providers to </w:t>
      </w:r>
      <w:r w:rsidR="00B637BA">
        <w:t>concentrate</w:t>
      </w:r>
      <w:r>
        <w:t xml:space="preserve"> on their core business: providing</w:t>
      </w:r>
      <w:r w:rsidRPr="00C1106D">
        <w:t xml:space="preserve"> Indigenous job seekers to companies</w:t>
      </w:r>
      <w:r>
        <w:t xml:space="preserve"> and other organisations that must meet the requirements of the IOP.</w:t>
      </w:r>
    </w:p>
    <w:p w14:paraId="54577D6C" w14:textId="77777777" w:rsidR="004A0135" w:rsidRDefault="006C0340" w:rsidP="002952A7">
      <w:pPr>
        <w:pStyle w:val="Heading3"/>
      </w:pPr>
      <w:bookmarkStart w:id="582" w:name="_Toc22543174"/>
      <w:r>
        <w:t>11.3.7</w:t>
      </w:r>
      <w:r>
        <w:tab/>
      </w:r>
      <w:r w:rsidR="004A0135">
        <w:t xml:space="preserve">Changes to reduce </w:t>
      </w:r>
      <w:r w:rsidR="004C3310">
        <w:t xml:space="preserve">red </w:t>
      </w:r>
      <w:r w:rsidR="004A0135">
        <w:t>tape</w:t>
      </w:r>
      <w:bookmarkEnd w:id="582"/>
    </w:p>
    <w:p w14:paraId="3B737FB6" w14:textId="24146621" w:rsidR="00E92693" w:rsidRDefault="00E92693" w:rsidP="00BE19A6">
      <w:pPr>
        <w:pStyle w:val="ListNumber"/>
      </w:pPr>
      <w:r>
        <w:t xml:space="preserve">The majority of red tape costs </w:t>
      </w:r>
      <w:r w:rsidR="00436824">
        <w:t xml:space="preserve">were </w:t>
      </w:r>
      <w:r>
        <w:t xml:space="preserve">linked to ensuring that job seekers are meeting their mutual obligation requirements, which is a cornerstone of the employment and income support framework. Consequently, if the number of requirements placed on job seekers is considered appropriate, alternative options for easing </w:t>
      </w:r>
      <w:r>
        <w:rPr>
          <w:rFonts w:cstheme="minorHAnsi"/>
        </w:rPr>
        <w:t xml:space="preserve">compliance costs </w:t>
      </w:r>
      <w:r>
        <w:t>will require exploration</w:t>
      </w:r>
      <w:r w:rsidR="004C3310">
        <w:t>. O</w:t>
      </w:r>
      <w:r>
        <w:t>ptions could include:</w:t>
      </w:r>
    </w:p>
    <w:p w14:paraId="58F73D09" w14:textId="77777777" w:rsidR="00E92693" w:rsidRPr="007B55E7" w:rsidRDefault="00E92693" w:rsidP="000C7418">
      <w:pPr>
        <w:pStyle w:val="ListParagraph"/>
      </w:pPr>
      <w:r w:rsidRPr="00503D82">
        <w:t xml:space="preserve">simplifying </w:t>
      </w:r>
      <w:r>
        <w:t>and</w:t>
      </w:r>
      <w:r w:rsidRPr="007B55E7">
        <w:t>/or automating information collection processes</w:t>
      </w:r>
    </w:p>
    <w:p w14:paraId="1FED6CE5" w14:textId="77777777" w:rsidR="00E92693" w:rsidRPr="007B55E7" w:rsidRDefault="00E92693" w:rsidP="000C7418">
      <w:pPr>
        <w:pStyle w:val="ListParagraph"/>
      </w:pPr>
      <w:r w:rsidRPr="007B55E7">
        <w:t xml:space="preserve">further </w:t>
      </w:r>
      <w:r w:rsidR="004C3310" w:rsidRPr="007B55E7">
        <w:t>explor</w:t>
      </w:r>
      <w:r w:rsidR="004C3310">
        <w:t>ing</w:t>
      </w:r>
      <w:r w:rsidR="004C3310" w:rsidRPr="007B55E7">
        <w:t xml:space="preserve"> </w:t>
      </w:r>
      <w:r w:rsidRPr="007B55E7">
        <w:t>technological solutions</w:t>
      </w:r>
    </w:p>
    <w:p w14:paraId="727752DF" w14:textId="77777777" w:rsidR="00E92693" w:rsidRPr="007B55E7" w:rsidRDefault="00E92693" w:rsidP="000C7418">
      <w:pPr>
        <w:pStyle w:val="ListParagraph"/>
      </w:pPr>
      <w:r w:rsidRPr="007B55E7">
        <w:t>exploration of behavioural economics principles as an alternative to regulation</w:t>
      </w:r>
    </w:p>
    <w:p w14:paraId="66B3325D" w14:textId="77777777" w:rsidR="00E92693" w:rsidRDefault="00E92693" w:rsidP="000C7418">
      <w:pPr>
        <w:pStyle w:val="ListParagraph"/>
      </w:pPr>
      <w:r w:rsidRPr="007B55E7">
        <w:t>employing risk management to reduce red tape, for example, by placing more of a focus on random auditing</w:t>
      </w:r>
      <w:r>
        <w:t>.</w:t>
      </w:r>
    </w:p>
    <w:p w14:paraId="03A015A5" w14:textId="77777777" w:rsidR="0080667F" w:rsidRDefault="006C0340" w:rsidP="002952A7">
      <w:pPr>
        <w:pStyle w:val="Heading3"/>
      </w:pPr>
      <w:bookmarkStart w:id="583" w:name="_Toc22543175"/>
      <w:r>
        <w:t>11.3.8</w:t>
      </w:r>
      <w:r>
        <w:tab/>
      </w:r>
      <w:r w:rsidR="0080667F">
        <w:t xml:space="preserve">Wage </w:t>
      </w:r>
      <w:r w:rsidR="004C3310">
        <w:t>subsidies</w:t>
      </w:r>
      <w:bookmarkEnd w:id="583"/>
    </w:p>
    <w:p w14:paraId="2F6B1816" w14:textId="6E57E500" w:rsidR="004A0135" w:rsidRDefault="004A0135" w:rsidP="002952A7">
      <w:pPr>
        <w:pStyle w:val="ListNumber"/>
      </w:pPr>
      <w:r>
        <w:t>I</w:t>
      </w:r>
      <w:r w:rsidR="006A5994">
        <w:t xml:space="preserve">t is recommended </w:t>
      </w:r>
      <w:r w:rsidR="000D58B3">
        <w:t xml:space="preserve">that where funds are limited, </w:t>
      </w:r>
      <w:r w:rsidR="006A5994">
        <w:t>to exclusively target eligible job seekers with full-time participation requirements (currently, NSA and YA(O) recipients) on the basis of significantly reduced reliance on income support and demonstrated net saving for this group</w:t>
      </w:r>
      <w:r>
        <w:t>.</w:t>
      </w:r>
      <w:r w:rsidR="000D58B3">
        <w:t xml:space="preserve"> </w:t>
      </w:r>
    </w:p>
    <w:p w14:paraId="3A87BFDC" w14:textId="77777777" w:rsidR="006A5994" w:rsidRDefault="004A0135" w:rsidP="002952A7">
      <w:pPr>
        <w:pStyle w:val="ListNumber"/>
      </w:pPr>
      <w:r>
        <w:t>Closing a programme to all applicants</w:t>
      </w:r>
      <w:r w:rsidR="006A5994">
        <w:t xml:space="preserve"> rather than </w:t>
      </w:r>
      <w:r>
        <w:t>tighter targeting is not as effective. C</w:t>
      </w:r>
      <w:r w:rsidR="006A5994">
        <w:t xml:space="preserve">losing </w:t>
      </w:r>
      <w:r w:rsidR="0080667F">
        <w:t xml:space="preserve">Wage Connect </w:t>
      </w:r>
      <w:r>
        <w:t xml:space="preserve">to all applicants </w:t>
      </w:r>
      <w:r w:rsidR="0080667F">
        <w:t>resulted in lower job placement rates for long</w:t>
      </w:r>
      <w:r w:rsidR="00B637BA">
        <w:t>-</w:t>
      </w:r>
      <w:r w:rsidR="0080667F">
        <w:t>term unemployed people</w:t>
      </w:r>
      <w:r>
        <w:t xml:space="preserve"> overall</w:t>
      </w:r>
      <w:r w:rsidR="0080667F">
        <w:t>.</w:t>
      </w:r>
    </w:p>
    <w:p w14:paraId="04D839C9" w14:textId="77777777" w:rsidR="0080667F" w:rsidRDefault="006A5994" w:rsidP="002952A7">
      <w:pPr>
        <w:pStyle w:val="ListNumber"/>
      </w:pPr>
      <w:r>
        <w:t>To encourage better job matching by service providers, it is recommended that pro-rata payments for placements that end prematurely be removed, as they seem to reduce the risk to service providers who place job seekers inappropriately.</w:t>
      </w:r>
    </w:p>
    <w:p w14:paraId="762D85D8" w14:textId="77777777" w:rsidR="0080667F" w:rsidRDefault="006A5994" w:rsidP="002952A7">
      <w:pPr>
        <w:pStyle w:val="ListNumber"/>
      </w:pPr>
      <w:r>
        <w:t xml:space="preserve">Payment schedules that reduce the upfront risk to employers (e.g. pay a proportion of the subsidy upfront and the remainder at the end of the subsidy period), and decouple the final claim from provider outcome payments, are recommended. </w:t>
      </w:r>
    </w:p>
    <w:p w14:paraId="4B74A7A7" w14:textId="77777777" w:rsidR="006A5994" w:rsidRDefault="0080667F" w:rsidP="002952A7">
      <w:pPr>
        <w:pStyle w:val="ListNumber"/>
      </w:pPr>
      <w:r>
        <w:t>A</w:t>
      </w:r>
      <w:r w:rsidR="006A5994">
        <w:t>s wage subsidies for small employers deliver higher primary benefits and lower deadweight loss than subsidies paid to large employers, subsidies</w:t>
      </w:r>
      <w:r w:rsidR="006A5994" w:rsidRPr="00B053B9">
        <w:t xml:space="preserve"> </w:t>
      </w:r>
      <w:r w:rsidR="006A5994">
        <w:t>may be</w:t>
      </w:r>
      <w:r w:rsidR="006A5994" w:rsidRPr="00B053B9">
        <w:t xml:space="preserve"> best targeted at small to medium enterprises</w:t>
      </w:r>
      <w:r w:rsidR="006A5994">
        <w:t>.</w:t>
      </w:r>
    </w:p>
    <w:bookmarkEnd w:id="567"/>
    <w:p w14:paraId="555098FE" w14:textId="77777777" w:rsidR="006637C5" w:rsidRDefault="006637C5">
      <w:pPr>
        <w:rPr>
          <w:rFonts w:ascii="Calibri" w:eastAsiaTheme="majorEastAsia" w:hAnsi="Calibri" w:cstheme="majorBidi"/>
          <w:b/>
          <w:bCs/>
          <w:color w:val="1E3D6B"/>
          <w:sz w:val="36"/>
          <w:szCs w:val="28"/>
        </w:rPr>
      </w:pPr>
      <w:r>
        <w:br w:type="page"/>
      </w:r>
    </w:p>
    <w:p w14:paraId="100A349F" w14:textId="77777777" w:rsidR="00F9240D" w:rsidRPr="00FB1399" w:rsidRDefault="00F9240D" w:rsidP="00F9240D">
      <w:pPr>
        <w:pStyle w:val="Heading1"/>
      </w:pPr>
      <w:bookmarkStart w:id="584" w:name="_Toc22543176"/>
      <w:r>
        <w:t>Glossary</w:t>
      </w:r>
      <w:bookmarkEnd w:id="584"/>
    </w:p>
    <w:p w14:paraId="72918443" w14:textId="77777777" w:rsidR="00706112" w:rsidRDefault="00706112" w:rsidP="00706112">
      <w:pPr>
        <w:tabs>
          <w:tab w:val="left" w:pos="3369"/>
        </w:tabs>
        <w:ind w:left="3402" w:hanging="3402"/>
      </w:pPr>
      <w:r>
        <w:t>Attachment effect</w:t>
      </w:r>
      <w:r>
        <w:tab/>
        <w:t>This is an effect produce when job seekers are enjoying or seeing some benefit in being involved in an activity. It is very common with training courses where job seekers will suspend job search until completion of the course. Where the effect is associated with other activities it is difficult to differentiate from the lock-in effect.</w:t>
      </w:r>
    </w:p>
    <w:p w14:paraId="538BE9A3" w14:textId="77777777" w:rsidR="00706112" w:rsidRDefault="00706112" w:rsidP="00706112">
      <w:pPr>
        <w:tabs>
          <w:tab w:val="left" w:pos="3369"/>
        </w:tabs>
        <w:ind w:left="3402" w:hanging="3402"/>
      </w:pPr>
      <w:r>
        <w:t>Compliance effect</w:t>
      </w:r>
      <w:r>
        <w:tab/>
        <w:t xml:space="preserve">This is when job seekers who are referred or undertaking a programme or activity declare previously undeclared work. This sometimes results in exit from service or income support. </w:t>
      </w:r>
    </w:p>
    <w:p w14:paraId="398EF040" w14:textId="77777777" w:rsidR="00706112" w:rsidRDefault="00706112" w:rsidP="00706112">
      <w:pPr>
        <w:tabs>
          <w:tab w:val="left" w:pos="3369"/>
        </w:tabs>
        <w:ind w:left="3402" w:hanging="3402"/>
      </w:pPr>
      <w:r>
        <w:t>Employment Pathway Fund</w:t>
      </w:r>
      <w:r>
        <w:tab/>
        <w:t>A funding pool allocated to Job Services Australia provider sites to be drawn down on for specified categories of expenditure to support individual job seekers, including for wage subsidies.</w:t>
      </w:r>
    </w:p>
    <w:p w14:paraId="3BA39F84" w14:textId="77777777" w:rsidR="00706112" w:rsidRDefault="00706112" w:rsidP="00706112">
      <w:pPr>
        <w:tabs>
          <w:tab w:val="left" w:pos="3369"/>
        </w:tabs>
        <w:ind w:left="3402" w:hanging="3402"/>
      </w:pPr>
      <w:r>
        <w:t>Income support</w:t>
      </w:r>
      <w:r>
        <w:tab/>
        <w:t xml:space="preserve">Any government payment that provides financial support to persons who do not engage in substantial paid employment. Includes but is not limited to unemployment benefits.  </w:t>
      </w:r>
    </w:p>
    <w:p w14:paraId="0F2B63BF" w14:textId="77777777" w:rsidR="00706112" w:rsidRDefault="00706112" w:rsidP="00706112">
      <w:pPr>
        <w:tabs>
          <w:tab w:val="left" w:pos="3369"/>
        </w:tabs>
        <w:ind w:left="3402" w:hanging="3402"/>
      </w:pPr>
      <w:r>
        <w:t>Job seeker</w:t>
      </w:r>
      <w:r>
        <w:tab/>
        <w:t>In this study, a person registered in Job Services Australia</w:t>
      </w:r>
      <w:r w:rsidR="000709A5">
        <w:t>.</w:t>
      </w:r>
      <w:r>
        <w:t xml:space="preserve"> </w:t>
      </w:r>
    </w:p>
    <w:p w14:paraId="0E9E533B" w14:textId="77777777" w:rsidR="00706112" w:rsidRDefault="00706112" w:rsidP="00706112">
      <w:pPr>
        <w:tabs>
          <w:tab w:val="left" w:pos="3369"/>
        </w:tabs>
        <w:ind w:left="3402" w:hanging="3402"/>
      </w:pPr>
      <w:r>
        <w:t>Lock-in effect</w:t>
      </w:r>
      <w:r>
        <w:tab/>
        <w:t>This effect is produced when job seekers lack the time, energy or motivation to maintain job search intensity while engaged in a compulsory activity.</w:t>
      </w:r>
    </w:p>
    <w:p w14:paraId="6AEBC4CA" w14:textId="77777777" w:rsidR="00706112" w:rsidRDefault="00706112" w:rsidP="00706112">
      <w:pPr>
        <w:ind w:left="3402" w:hanging="3402"/>
      </w:pPr>
      <w:r>
        <w:t>Pro-rata payment</w:t>
      </w:r>
      <w:r>
        <w:tab/>
        <w:t xml:space="preserve">In this report, ‘pro-rata’ refers to partial payment of a wage subsidy to an employer when a job placement does not continue for the agreed wage subsidy period, pro-rated based on the actual period of employment. </w:t>
      </w:r>
      <w:r>
        <w:br/>
      </w:r>
      <w:r>
        <w:br/>
        <w:t>The term does not refer to proportional payment of wage subsidies for less than full-time hours worked per week.</w:t>
      </w:r>
    </w:p>
    <w:p w14:paraId="71E968B9" w14:textId="77777777" w:rsidR="00706112" w:rsidRDefault="00706112" w:rsidP="00706112">
      <w:pPr>
        <w:tabs>
          <w:tab w:val="left" w:pos="3369"/>
        </w:tabs>
        <w:ind w:left="3402" w:hanging="3402"/>
      </w:pPr>
      <w:r>
        <w:t>Referral effect</w:t>
      </w:r>
      <w:r>
        <w:tab/>
        <w:t>The effect produced by being referred to an activity or programme. This is usually a combination of the threat and compliance effects.</w:t>
      </w:r>
    </w:p>
    <w:p w14:paraId="22637E6A" w14:textId="77777777" w:rsidR="00706112" w:rsidRDefault="00706112" w:rsidP="00706112">
      <w:pPr>
        <w:tabs>
          <w:tab w:val="left" w:pos="3369"/>
        </w:tabs>
        <w:ind w:left="3402" w:hanging="3402"/>
      </w:pPr>
      <w:r>
        <w:t>Threat effect</w:t>
      </w:r>
      <w:r>
        <w:tab/>
        <w:t>This effect is produced when job seekers faced with onerous obligations, such as participation in a compulsory activity, increase the effectiveness and/or intensity of their job search and therefore find employment.</w:t>
      </w:r>
    </w:p>
    <w:p w14:paraId="5DF57010" w14:textId="77777777" w:rsidR="00706112" w:rsidRDefault="00706112" w:rsidP="00706112">
      <w:pPr>
        <w:tabs>
          <w:tab w:val="left" w:pos="3369"/>
        </w:tabs>
        <w:ind w:left="3402" w:hanging="3402"/>
      </w:pPr>
      <w:r>
        <w:t>Unemployment benefit</w:t>
      </w:r>
      <w:r>
        <w:tab/>
        <w:t xml:space="preserve">Financial support to persons because they are not in substantial paid employment. In this report, the term is used to refer to Newstart Allowance and Youth Allowance (Other). </w:t>
      </w:r>
    </w:p>
    <w:p w14:paraId="2BD90190" w14:textId="60AB6970" w:rsidR="00706112" w:rsidRDefault="00706112" w:rsidP="00706112">
      <w:pPr>
        <w:tabs>
          <w:tab w:val="left" w:pos="3369"/>
        </w:tabs>
        <w:ind w:left="3402" w:hanging="3402"/>
      </w:pPr>
      <w:r>
        <w:t>Wage Connect</w:t>
      </w:r>
      <w:r>
        <w:tab/>
        <w:t>A wage subsidy programme that provides a 26</w:t>
      </w:r>
      <w:r w:rsidR="00A254DF">
        <w:t>-</w:t>
      </w:r>
      <w:r>
        <w:t>week wage subsidy to employers who recruit eligible job seekers to fill eligible job placements. Wage Connect operates under Job Services Australia and Disability Employment Services.</w:t>
      </w:r>
    </w:p>
    <w:p w14:paraId="3F1DAC6E" w14:textId="77777777" w:rsidR="000709A5" w:rsidRDefault="00706112" w:rsidP="00706112">
      <w:pPr>
        <w:tabs>
          <w:tab w:val="left" w:pos="3369"/>
        </w:tabs>
        <w:ind w:left="3402" w:hanging="3402"/>
      </w:pPr>
      <w:r>
        <w:t>Wage Connect eligible</w:t>
      </w:r>
      <w:r>
        <w:tab/>
        <w:t xml:space="preserve">In the Employment Services System job seekers are flagged as Wage Connect eligible if they meet the eligibility criteria for the Wage Connect wage subsidy which is broadly equivalent to unemployed for two years or more. </w:t>
      </w:r>
    </w:p>
    <w:p w14:paraId="706CDDDC" w14:textId="77777777" w:rsidR="00706112" w:rsidRDefault="00706112" w:rsidP="00706112">
      <w:pPr>
        <w:tabs>
          <w:tab w:val="left" w:pos="3369"/>
        </w:tabs>
        <w:ind w:left="3402" w:hanging="3402"/>
      </w:pPr>
      <w:r>
        <w:t>Wage Connect ineligible</w:t>
      </w:r>
      <w:r>
        <w:tab/>
        <w:t>Job seekers who are not Wage Connect eligible.</w:t>
      </w:r>
    </w:p>
    <w:p w14:paraId="1B884253" w14:textId="77777777" w:rsidR="00706112" w:rsidRDefault="00706112" w:rsidP="00706112">
      <w:pPr>
        <w:tabs>
          <w:tab w:val="left" w:pos="3369"/>
        </w:tabs>
        <w:ind w:left="3402" w:hanging="3402"/>
      </w:pPr>
      <w:r>
        <w:t>Wage subsidy</w:t>
      </w:r>
      <w:r>
        <w:tab/>
        <w:t>In this report, a wage subsidy is a financial incentive paid to an employer over a defined period of time (typically up to 26 weeks) for hiring an unemployed job seeker.</w:t>
      </w:r>
    </w:p>
    <w:p w14:paraId="5565384D" w14:textId="6F867D22" w:rsidR="00706112" w:rsidRDefault="00706112" w:rsidP="00706112">
      <w:pPr>
        <w:tabs>
          <w:tab w:val="left" w:pos="3369"/>
        </w:tabs>
        <w:ind w:left="3402" w:hanging="3402"/>
      </w:pPr>
      <w:r>
        <w:t>Wage subsidy agreement</w:t>
      </w:r>
      <w:r>
        <w:tab/>
        <w:t>A formal agreement between an employment service</w:t>
      </w:r>
      <w:r w:rsidR="00375698">
        <w:t>s</w:t>
      </w:r>
      <w:r>
        <w:t xml:space="preserve"> provider and an employer that outlines the conditions and financial payments offered to the employer to support the placement of a job seeker in employment.</w:t>
      </w:r>
    </w:p>
    <w:p w14:paraId="272DCD1F" w14:textId="1FFEA517" w:rsidR="00706112" w:rsidRDefault="00706112" w:rsidP="00706112">
      <w:pPr>
        <w:tabs>
          <w:tab w:val="left" w:pos="3369"/>
        </w:tabs>
        <w:ind w:left="3402" w:hanging="3402"/>
      </w:pPr>
      <w:r>
        <w:t>Wage subsidy claim</w:t>
      </w:r>
      <w:r>
        <w:tab/>
        <w:t>A claim by an employment service</w:t>
      </w:r>
      <w:r w:rsidR="00375698">
        <w:t>s</w:t>
      </w:r>
      <w:r>
        <w:t xml:space="preserve"> provider for the Department to reimburse the provider for a wage subsidy amount paid to an employer.</w:t>
      </w:r>
    </w:p>
    <w:p w14:paraId="2322EE5D" w14:textId="77777777" w:rsidR="00467DB4" w:rsidRDefault="00467DB4">
      <w:pPr>
        <w:rPr>
          <w:rFonts w:ascii="Calibri" w:eastAsiaTheme="majorEastAsia" w:hAnsi="Calibri" w:cstheme="majorBidi"/>
          <w:b/>
          <w:bCs/>
          <w:color w:val="1E3D6B"/>
          <w:sz w:val="36"/>
          <w:szCs w:val="28"/>
        </w:rPr>
      </w:pPr>
      <w:bookmarkStart w:id="585" w:name="_Toc410313360"/>
      <w:r>
        <w:br w:type="page"/>
      </w:r>
    </w:p>
    <w:p w14:paraId="0E1F1FEF" w14:textId="77777777" w:rsidR="00DF57FB" w:rsidRDefault="00DF57FB" w:rsidP="00DF57FB">
      <w:pPr>
        <w:pStyle w:val="Heading1"/>
      </w:pPr>
      <w:bookmarkStart w:id="586" w:name="_Toc22543177"/>
      <w:r>
        <w:t>Bibliography</w:t>
      </w:r>
      <w:bookmarkEnd w:id="585"/>
      <w:bookmarkEnd w:id="586"/>
    </w:p>
    <w:p w14:paraId="5B18C580" w14:textId="157DE26B" w:rsidR="00CD5986" w:rsidRPr="0099598E" w:rsidRDefault="00CD5986" w:rsidP="00DF57FB">
      <w:r w:rsidRPr="0099598E">
        <w:t>A</w:t>
      </w:r>
      <w:r w:rsidR="00373C2A" w:rsidRPr="0099598E">
        <w:t>NAO, 2014. Auditor General Report No. 37 2013-24 Performance Audit Management of Services Delivered by Job Services Australia,</w:t>
      </w:r>
      <w:r w:rsidR="0075543B" w:rsidRPr="0099598E">
        <w:t xml:space="preserve"> </w:t>
      </w:r>
      <w:r w:rsidR="00373C2A" w:rsidRPr="0099598E">
        <w:t>Canberra. &lt;www.anao.gov.au&gt;</w:t>
      </w:r>
    </w:p>
    <w:p w14:paraId="605DA9BF" w14:textId="77777777" w:rsidR="001F3009" w:rsidRPr="0099598E" w:rsidRDefault="001F3009" w:rsidP="00DF57FB">
      <w:r w:rsidRPr="0099598E">
        <w:rPr>
          <w:rStyle w:val="FootnoteReference"/>
          <w:vertAlign w:val="baseline"/>
        </w:rPr>
        <w:t>Australian Bureau of Statistics</w:t>
      </w:r>
      <w:r w:rsidRPr="0099598E">
        <w:t>, July 2014. The unemployed and recipients of government unemployment benefits – differences explained. ABS Cat. No. 6105.0. Australian Labour Market Statistics.</w:t>
      </w:r>
    </w:p>
    <w:p w14:paraId="0445F3F5" w14:textId="77777777" w:rsidR="00AD6EFA" w:rsidRPr="0099598E" w:rsidRDefault="00AD6EFA" w:rsidP="00DF57FB">
      <w:pPr>
        <w:rPr>
          <w:rStyle w:val="Hyperlink"/>
        </w:rPr>
      </w:pPr>
      <w:r w:rsidRPr="0099598E">
        <w:rPr>
          <w:rStyle w:val="FootnoteReference"/>
          <w:vertAlign w:val="baseline"/>
        </w:rPr>
        <w:t xml:space="preserve">Australian Bureau of Statistics, </w:t>
      </w:r>
      <w:r w:rsidRPr="0099598E">
        <w:t xml:space="preserve">October 2015, </w:t>
      </w:r>
      <w:r w:rsidRPr="0099598E">
        <w:rPr>
          <w:rStyle w:val="FootnoteReference"/>
          <w:vertAlign w:val="baseline"/>
        </w:rPr>
        <w:t xml:space="preserve">Labour Force Australia, </w:t>
      </w:r>
      <w:r w:rsidRPr="0099598E">
        <w:t xml:space="preserve">'Table 01. Labour force status by sex, Australia - trend, seasonally adjusted and original’, time series spreadsheet, cat. No. 6202.0, viewed 24 November 2015, </w:t>
      </w:r>
      <w:r w:rsidR="00AB3A3F" w:rsidRPr="0099598E">
        <w:t>&lt;</w:t>
      </w:r>
      <w:hyperlink r:id="rId55" w:history="1">
        <w:r w:rsidRPr="0099598E">
          <w:rPr>
            <w:rStyle w:val="Hyperlink"/>
          </w:rPr>
          <w:t>http://www.abs.gov.au/AUSSTATS/abs@.nsf/DetailsPage/6202.0Oct%202015?OpenDocument</w:t>
        </w:r>
      </w:hyperlink>
      <w:r w:rsidR="00AB3A3F" w:rsidRPr="0099598E">
        <w:rPr>
          <w:rStyle w:val="Hyperlink"/>
        </w:rPr>
        <w:t>&gt;</w:t>
      </w:r>
    </w:p>
    <w:p w14:paraId="0AACC33E" w14:textId="77777777" w:rsidR="001F180A" w:rsidRPr="0099598E" w:rsidRDefault="001F180A" w:rsidP="00DF57FB">
      <w:pPr>
        <w:rPr>
          <w:szCs w:val="18"/>
        </w:rPr>
      </w:pPr>
      <w:r w:rsidRPr="0099598E">
        <w:rPr>
          <w:szCs w:val="18"/>
        </w:rPr>
        <w:t>Australian Chamber of Commerce and Industry, 2013. Submission to the Department of Education, Employment and Workplace Relations regarding the ‘Employment services: building on success’ issues paper, March, BCA.</w:t>
      </w:r>
    </w:p>
    <w:p w14:paraId="20CACEB5" w14:textId="77777777" w:rsidR="00DF57FB" w:rsidRPr="0099598E" w:rsidRDefault="00DF57FB" w:rsidP="00DF57FB">
      <w:r w:rsidRPr="0099598E">
        <w:t xml:space="preserve">Better Evaluation, 2014, </w:t>
      </w:r>
      <w:r w:rsidRPr="0099598E">
        <w:rPr>
          <w:rFonts w:cstheme="minorHAnsi"/>
          <w:color w:val="000000" w:themeColor="text1"/>
        </w:rPr>
        <w:t xml:space="preserve">Cost Effectiveness Evaluation, </w:t>
      </w:r>
      <w:r w:rsidRPr="0099598E">
        <w:rPr>
          <w:rFonts w:cstheme="minorHAnsi"/>
          <w:color w:val="000000" w:themeColor="text1"/>
        </w:rPr>
        <w:br/>
      </w:r>
      <w:r w:rsidR="00AB3A3F" w:rsidRPr="0099598E">
        <w:t>&lt;</w:t>
      </w:r>
      <w:hyperlink r:id="rId56" w:history="1">
        <w:r w:rsidRPr="0099598E">
          <w:rPr>
            <w:rStyle w:val="Hyperlink"/>
            <w:rFonts w:cstheme="minorHAnsi"/>
          </w:rPr>
          <w:t>http://betterevaluation.org/evaluation-options/CostEffectivenessAnalysis</w:t>
        </w:r>
      </w:hyperlink>
      <w:r w:rsidR="00AB3A3F" w:rsidRPr="0099598E">
        <w:rPr>
          <w:rStyle w:val="Hyperlink"/>
          <w:rFonts w:cstheme="minorHAnsi"/>
        </w:rPr>
        <w:t>&gt;</w:t>
      </w:r>
      <w:r w:rsidRPr="0099598E">
        <w:rPr>
          <w:rFonts w:cstheme="minorHAnsi"/>
          <w:color w:val="000000" w:themeColor="text1"/>
        </w:rPr>
        <w:t>, accessed 11 November 2014.</w:t>
      </w:r>
    </w:p>
    <w:p w14:paraId="1F68BD8A" w14:textId="77777777" w:rsidR="00076EB4" w:rsidRPr="0099598E" w:rsidRDefault="00076EB4" w:rsidP="00DF57FB">
      <w:pPr>
        <w:pStyle w:val="Default"/>
        <w:spacing w:after="200" w:line="276" w:lineRule="auto"/>
        <w:rPr>
          <w:rFonts w:asciiTheme="minorHAnsi" w:eastAsiaTheme="minorEastAsia" w:hAnsiTheme="minorHAnsi" w:cstheme="minorBidi"/>
          <w:color w:val="auto"/>
          <w:sz w:val="22"/>
          <w:szCs w:val="22"/>
          <w:lang w:eastAsia="en-US"/>
        </w:rPr>
      </w:pPr>
      <w:r w:rsidRPr="0099598E">
        <w:t>Butterworth, R, April 2012. Provider brokered outcomes audit: First stage report, Canberra.</w:t>
      </w:r>
    </w:p>
    <w:p w14:paraId="103C0B10" w14:textId="77777777" w:rsidR="00DF57FB" w:rsidRPr="0099598E" w:rsidRDefault="00DF57FB" w:rsidP="00DF57FB">
      <w:pPr>
        <w:pStyle w:val="Default"/>
        <w:spacing w:after="200" w:line="276" w:lineRule="auto"/>
        <w:rPr>
          <w:rFonts w:asciiTheme="minorHAnsi" w:eastAsiaTheme="minorEastAsia" w:hAnsiTheme="minorHAnsi" w:cstheme="minorBidi"/>
          <w:color w:val="auto"/>
          <w:sz w:val="22"/>
          <w:szCs w:val="22"/>
          <w:lang w:eastAsia="en-US"/>
        </w:rPr>
      </w:pPr>
      <w:r w:rsidRPr="0099598E">
        <w:rPr>
          <w:rFonts w:asciiTheme="minorHAnsi" w:eastAsiaTheme="minorEastAsia" w:hAnsiTheme="minorHAnsi" w:cstheme="minorBidi"/>
          <w:color w:val="auto"/>
          <w:sz w:val="22"/>
          <w:szCs w:val="22"/>
          <w:lang w:eastAsia="en-US"/>
        </w:rPr>
        <w:t>Connolly, G and Trott, D, 2014, A new look at the determinants of the female full-time participation rate in the Australian labour force,  revised version of a contributed paper presented to the Australian Conference of Economists and the Econometric Society Australasian Meeting Hobart, Tasmania, 1-4 July 2014</w:t>
      </w:r>
      <w:r w:rsidR="00AD6EFA" w:rsidRPr="0099598E">
        <w:rPr>
          <w:rFonts w:asciiTheme="minorHAnsi" w:eastAsiaTheme="minorEastAsia" w:hAnsiTheme="minorHAnsi" w:cstheme="minorBidi"/>
          <w:color w:val="auto"/>
          <w:sz w:val="22"/>
          <w:szCs w:val="22"/>
          <w:lang w:eastAsia="en-US"/>
        </w:rPr>
        <w:t>.</w:t>
      </w:r>
    </w:p>
    <w:p w14:paraId="6A811391" w14:textId="77777777" w:rsidR="00AD6EFA" w:rsidRPr="0099598E" w:rsidRDefault="00AD6EFA" w:rsidP="00DF57FB">
      <w:pPr>
        <w:pStyle w:val="Default"/>
        <w:spacing w:after="200" w:line="276" w:lineRule="auto"/>
        <w:rPr>
          <w:rFonts w:asciiTheme="minorHAnsi" w:eastAsiaTheme="minorEastAsia" w:hAnsiTheme="minorHAnsi" w:cstheme="minorBidi"/>
          <w:b/>
          <w:color w:val="auto"/>
          <w:sz w:val="22"/>
          <w:szCs w:val="22"/>
          <w:lang w:eastAsia="en-US"/>
        </w:rPr>
      </w:pPr>
      <w:r w:rsidRPr="0099598E">
        <w:rPr>
          <w:rFonts w:asciiTheme="minorHAnsi" w:eastAsiaTheme="minorEastAsia" w:hAnsiTheme="minorHAnsi" w:cstheme="minorBidi"/>
          <w:b/>
          <w:color w:val="auto"/>
          <w:sz w:val="22"/>
          <w:szCs w:val="22"/>
          <w:lang w:eastAsia="en-US"/>
        </w:rPr>
        <w:t>Department of Education, Employment and Workplace Relations: see DEEWR</w:t>
      </w:r>
    </w:p>
    <w:p w14:paraId="74D888B3" w14:textId="77777777" w:rsidR="001F3009" w:rsidRPr="0099598E" w:rsidRDefault="001F3009" w:rsidP="00AD6EFA">
      <w:r w:rsidRPr="0099598E">
        <w:t xml:space="preserve">DEEWR, 2007. Active Participation Model: Evaluation, June 2003–June 2006, Canberra. </w:t>
      </w:r>
    </w:p>
    <w:p w14:paraId="320131DD" w14:textId="77777777" w:rsidR="00AD6EFA" w:rsidRPr="0099598E" w:rsidRDefault="00AD6EFA" w:rsidP="00AD6EFA">
      <w:r w:rsidRPr="0099598E">
        <w:t>DEEWR 2008, Request for Tender for Employment Services 2009–2012, Canberra</w:t>
      </w:r>
    </w:p>
    <w:p w14:paraId="72E2C86B" w14:textId="77777777" w:rsidR="00CB557F" w:rsidRPr="0099598E" w:rsidRDefault="00CB557F" w:rsidP="00CB557F">
      <w:r w:rsidRPr="0099598E">
        <w:t>DEEWR, March 2011. Access to Mentoring Support for Indigenous Job Seekers Pilot Grant Program Guidelines.</w:t>
      </w:r>
    </w:p>
    <w:p w14:paraId="012FA89C" w14:textId="396E25BE" w:rsidR="00076EB4" w:rsidRPr="0099598E" w:rsidRDefault="00076EB4" w:rsidP="00890C0D">
      <w:pPr>
        <w:rPr>
          <w:highlight w:val="yellow"/>
        </w:rPr>
      </w:pPr>
      <w:r w:rsidRPr="0099598E">
        <w:t>DEEWR, August 2012. Removal of Stream Service</w:t>
      </w:r>
      <w:r w:rsidR="000B2F4D" w:rsidRPr="0099598E">
        <w:t>s</w:t>
      </w:r>
      <w:r w:rsidRPr="0099598E">
        <w:t xml:space="preserve"> Reviews, Project Closure Report, (unpublished).</w:t>
      </w:r>
    </w:p>
    <w:p w14:paraId="491F9DE4" w14:textId="77777777" w:rsidR="00F9381C" w:rsidRPr="0099598E" w:rsidRDefault="00F9381C" w:rsidP="00F9381C">
      <w:pPr>
        <w:pStyle w:val="normalbody"/>
        <w:rPr>
          <w:rStyle w:val="Hyperlink"/>
          <w:szCs w:val="18"/>
        </w:rPr>
      </w:pPr>
      <w:r w:rsidRPr="0099598E">
        <w:rPr>
          <w:iCs/>
        </w:rPr>
        <w:t xml:space="preserve">Department of Employment, 2013. RJCP providers webpage, viewed August </w:t>
      </w:r>
      <w:r w:rsidRPr="0099598E">
        <w:rPr>
          <w:szCs w:val="18"/>
        </w:rPr>
        <w:t xml:space="preserve">: </w:t>
      </w:r>
      <w:r w:rsidR="00AB3A3F" w:rsidRPr="0099598E">
        <w:rPr>
          <w:szCs w:val="18"/>
        </w:rPr>
        <w:t>&lt;</w:t>
      </w:r>
      <w:hyperlink r:id="rId57" w:history="1">
        <w:r w:rsidRPr="0099598E">
          <w:rPr>
            <w:rStyle w:val="Hyperlink"/>
            <w:szCs w:val="18"/>
          </w:rPr>
          <w:t>http://employment.gov.au/remote-jobs-and-communities-program-providers</w:t>
        </w:r>
      </w:hyperlink>
      <w:r w:rsidR="00AB3A3F" w:rsidRPr="0099598E">
        <w:rPr>
          <w:rStyle w:val="Hyperlink"/>
          <w:szCs w:val="18"/>
        </w:rPr>
        <w:t>&gt;</w:t>
      </w:r>
    </w:p>
    <w:p w14:paraId="5CF90157" w14:textId="6607F08A" w:rsidR="00CB557F" w:rsidRPr="0099598E" w:rsidRDefault="00CB557F" w:rsidP="00F9381C">
      <w:pPr>
        <w:pStyle w:val="normalbody"/>
        <w:rPr>
          <w:rStyle w:val="Hyperlink"/>
          <w:szCs w:val="18"/>
        </w:rPr>
      </w:pPr>
      <w:r w:rsidRPr="0099598E">
        <w:t>Department of Employment, 2011. Indigenous Opportunities Policy Guidelines, updated March 2014.</w:t>
      </w:r>
    </w:p>
    <w:p w14:paraId="57B5501A" w14:textId="77777777" w:rsidR="00890C0D" w:rsidRPr="0099598E" w:rsidRDefault="00890C0D" w:rsidP="00F9381C">
      <w:pPr>
        <w:pStyle w:val="normalbody"/>
        <w:rPr>
          <w:rStyle w:val="Hyperlink"/>
          <w:color w:val="auto"/>
          <w:u w:val="none"/>
        </w:rPr>
      </w:pPr>
      <w:r w:rsidRPr="0099598E">
        <w:t>Department of Employment, 2014, Evaluation of Reforms to the Job Capacity Assessment Programme Report, Canberra (unpublished).</w:t>
      </w:r>
    </w:p>
    <w:p w14:paraId="61CEEC0E" w14:textId="77777777" w:rsidR="00AD6EFA" w:rsidRPr="0099598E" w:rsidRDefault="00AD6EFA" w:rsidP="00B12353">
      <w:pPr>
        <w:pStyle w:val="normalbody"/>
      </w:pPr>
      <w:r w:rsidRPr="0099598E">
        <w:t>Department of Employment, 2014. JSA Quality Standards Pilot Evaluation Report, Canberra. &lt;www.employment.gov.au&gt;</w:t>
      </w:r>
    </w:p>
    <w:p w14:paraId="5A42C387" w14:textId="77777777" w:rsidR="00AD6EFA" w:rsidRPr="0099598E" w:rsidRDefault="00F9381C" w:rsidP="00DF57FB">
      <w:pPr>
        <w:rPr>
          <w:b/>
        </w:rPr>
      </w:pPr>
      <w:r w:rsidRPr="0099598E">
        <w:t xml:space="preserve">Department of Employment, 2015. </w:t>
      </w:r>
      <w:r w:rsidRPr="0099598E">
        <w:rPr>
          <w:szCs w:val="18"/>
          <w:lang w:val="en"/>
        </w:rPr>
        <w:t>Evaluation of Work for the Dole 2014-15, Canberra. &lt;www.employment.gov.au&gt;</w:t>
      </w:r>
    </w:p>
    <w:p w14:paraId="4E540834" w14:textId="59358935" w:rsidR="00DF57FB" w:rsidRPr="0099598E" w:rsidRDefault="00DF57FB" w:rsidP="00DF57FB">
      <w:r w:rsidRPr="0099598E">
        <w:t xml:space="preserve">Department of Employment, 2014a, The </w:t>
      </w:r>
      <w:r w:rsidR="0075543B" w:rsidRPr="0099598E">
        <w:t>I</w:t>
      </w:r>
      <w:r w:rsidRPr="0099598E">
        <w:t>mpact of Job Search Training for Stream 2 equivalent job seekers (unpublished).</w:t>
      </w:r>
    </w:p>
    <w:p w14:paraId="08CB9DE4" w14:textId="3C2720A5" w:rsidR="001F180A" w:rsidRPr="0099598E" w:rsidRDefault="001F180A" w:rsidP="00DF57FB">
      <w:r w:rsidRPr="0099598E">
        <w:t xml:space="preserve">Department of Employment, 2016. The </w:t>
      </w:r>
      <w:r w:rsidR="001F21B2" w:rsidRPr="0099598E">
        <w:t>Effectiveness</w:t>
      </w:r>
      <w:r w:rsidRPr="0099598E">
        <w:t xml:space="preserve"> of Wage Subsidies in Job Services Australia</w:t>
      </w:r>
    </w:p>
    <w:p w14:paraId="0674F5FE" w14:textId="77777777" w:rsidR="00DF57FB" w:rsidRPr="0099598E" w:rsidRDefault="00DF57FB" w:rsidP="00DF57FB">
      <w:r w:rsidRPr="0099598E">
        <w:t>Department of Employment and Workplace Relations (DEWR), 2002, Job Network Evaluation Stage Three: Effectiveness Report.</w:t>
      </w:r>
    </w:p>
    <w:p w14:paraId="500DD3A9" w14:textId="77777777" w:rsidR="00DF57FB" w:rsidRPr="0099598E" w:rsidRDefault="00DF57FB" w:rsidP="00DF57FB">
      <w:r w:rsidRPr="0099598E">
        <w:t>Department of Employment and Workplace Relations (DEWR), 2003, Intensive Activity and Job Search Training – A Net Impact Study.</w:t>
      </w:r>
    </w:p>
    <w:p w14:paraId="17C328B2" w14:textId="77777777" w:rsidR="00453FD1" w:rsidRPr="0099598E" w:rsidRDefault="00453FD1" w:rsidP="00453FD1">
      <w:r>
        <w:t>Department of Employment, Skills, Small and Family Business</w:t>
      </w:r>
      <w:r w:rsidRPr="0099598E">
        <w:t>, 201</w:t>
      </w:r>
      <w:r>
        <w:t>9</w:t>
      </w:r>
      <w:r w:rsidRPr="0099598E">
        <w:t>. Evaluation of Job Services Australia 2009 – 2012, Canberra</w:t>
      </w:r>
    </w:p>
    <w:p w14:paraId="3D7DD1B0" w14:textId="77777777" w:rsidR="00EA7DBA" w:rsidRPr="0099598E" w:rsidRDefault="00EA7DBA" w:rsidP="00B12353">
      <w:pPr>
        <w:pStyle w:val="normalbody"/>
      </w:pPr>
      <w:r w:rsidRPr="0099598E">
        <w:t>Department</w:t>
      </w:r>
      <w:r w:rsidRPr="0099598E">
        <w:rPr>
          <w:rStyle w:val="FootnoteReference"/>
          <w:vertAlign w:val="baseline"/>
        </w:rPr>
        <w:t xml:space="preserve"> of Finance 2009, Strategic review of the Job Capacity Assessment Program, </w:t>
      </w:r>
      <w:r w:rsidR="00FA1263" w:rsidRPr="0099598E">
        <w:t>Canberra. &lt;</w:t>
      </w:r>
      <w:hyperlink r:id="rId58" w:history="1">
        <w:r w:rsidRPr="0099598E">
          <w:t>http://www.finance.gov.au/sites/default/files/foi_10-27_strategic_review_job_capacity_assessments.pdf</w:t>
        </w:r>
      </w:hyperlink>
      <w:r w:rsidR="00FA1263" w:rsidRPr="0099598E">
        <w:t>&gt;</w:t>
      </w:r>
    </w:p>
    <w:p w14:paraId="1EE217DE" w14:textId="77777777" w:rsidR="00AB3A3F" w:rsidRPr="0099598E" w:rsidRDefault="00AB3A3F" w:rsidP="00B12353">
      <w:pPr>
        <w:pStyle w:val="normalbody"/>
      </w:pPr>
      <w:r w:rsidRPr="0099598E">
        <w:rPr>
          <w:rFonts w:eastAsia="Times New Roman"/>
          <w:lang w:eastAsia="en-AU"/>
        </w:rPr>
        <w:t>Department of Prime Minister and Cabinet (DPMC), July 2014. Regulatory Burden Measurement Framework. &lt;</w:t>
      </w:r>
      <w:hyperlink r:id="rId59" w:history="1">
        <w:r w:rsidRPr="0099598E">
          <w:rPr>
            <w:rStyle w:val="Hyperlink"/>
            <w:rFonts w:eastAsia="Times New Roman"/>
            <w:lang w:eastAsia="en-AU"/>
          </w:rPr>
          <w:t>https://www.dpmc.gov.au/sites/default/files/publications/005_Regulatory_Burden_Measurement_Framework.pdf</w:t>
        </w:r>
      </w:hyperlink>
      <w:r w:rsidRPr="0099598E">
        <w:rPr>
          <w:rFonts w:eastAsia="Times New Roman"/>
          <w:lang w:eastAsia="en-AU"/>
        </w:rPr>
        <w:t>.&gt;, accessed, September 2015.</w:t>
      </w:r>
    </w:p>
    <w:p w14:paraId="62BA6BB3" w14:textId="77777777" w:rsidR="002C1F24" w:rsidRPr="0099598E" w:rsidRDefault="002C1F24" w:rsidP="00DF57FB">
      <w:r w:rsidRPr="0099598E">
        <w:rPr>
          <w:noProof/>
        </w:rPr>
        <w:t xml:space="preserve">Immervoll, H., Scarpetta, S. (2012). Activation and employment support policies in OECD countries. An overview of current approaches. IZA Journal of Labor Policy 2012 1(9) </w:t>
      </w:r>
      <w:r w:rsidR="00AB3A3F" w:rsidRPr="0099598E">
        <w:rPr>
          <w:noProof/>
        </w:rPr>
        <w:t>&lt;</w:t>
      </w:r>
      <w:hyperlink r:id="rId60" w:history="1">
        <w:r w:rsidRPr="0099598E">
          <w:rPr>
            <w:rStyle w:val="Hyperlink"/>
            <w:noProof/>
          </w:rPr>
          <w:t>http://www.izajolp.com/content/1/1/9</w:t>
        </w:r>
      </w:hyperlink>
      <w:r w:rsidR="00AB3A3F" w:rsidRPr="0099598E">
        <w:rPr>
          <w:rStyle w:val="Hyperlink"/>
          <w:noProof/>
        </w:rPr>
        <w:t>&gt;</w:t>
      </w:r>
      <w:r w:rsidRPr="0099598E">
        <w:rPr>
          <w:noProof/>
        </w:rPr>
        <w:t>.</w:t>
      </w:r>
    </w:p>
    <w:p w14:paraId="24C299E1" w14:textId="695BE60F" w:rsidR="00DF57FB" w:rsidRPr="0099598E" w:rsidRDefault="00DF57FB" w:rsidP="00651830">
      <w:r w:rsidRPr="0099598E">
        <w:t>Ministry of Social Development, New Zealand, (2012), Investment approach refocuses entire welfare system,</w:t>
      </w:r>
      <w:r w:rsidR="0075543B" w:rsidRPr="0099598E">
        <w:t xml:space="preserve"> </w:t>
      </w:r>
      <w:r w:rsidR="00AB3A3F" w:rsidRPr="0099598E">
        <w:t>&lt;</w:t>
      </w:r>
      <w:r w:rsidRPr="0099598E">
        <w:t xml:space="preserve"> </w:t>
      </w:r>
      <w:hyperlink r:id="rId61" w:history="1">
        <w:r w:rsidRPr="0099598E">
          <w:rPr>
            <w:rStyle w:val="Hyperlink"/>
          </w:rPr>
          <w:t>http://www.msd.govt.nz/about-msd-and-our-work/newsroom/media-releases/2012/valuation-report.html</w:t>
        </w:r>
      </w:hyperlink>
      <w:r w:rsidRPr="0099598E">
        <w:t xml:space="preserve"> </w:t>
      </w:r>
      <w:r w:rsidR="00AB3A3F" w:rsidRPr="0099598E">
        <w:t xml:space="preserve">&gt; </w:t>
      </w:r>
      <w:r w:rsidRPr="0099598E">
        <w:t>accessed 19 January 2015</w:t>
      </w:r>
    </w:p>
    <w:p w14:paraId="58961D23" w14:textId="77777777" w:rsidR="00645724" w:rsidRPr="0099598E" w:rsidRDefault="00645724" w:rsidP="00DF57FB">
      <w:pPr>
        <w:rPr>
          <w:color w:val="031E52"/>
          <w:lang w:val="en"/>
        </w:rPr>
      </w:pPr>
      <w:r w:rsidRPr="0099598E">
        <w:rPr>
          <w:color w:val="031E52"/>
          <w:lang w:val="en"/>
        </w:rPr>
        <w:t>Ministry of Education, New Zealand, (2009), Ebbs and flows: participation in post-compulsory education over the economic cycle.</w:t>
      </w:r>
    </w:p>
    <w:p w14:paraId="11E89DBC" w14:textId="77777777" w:rsidR="007B7524" w:rsidRPr="0099598E" w:rsidRDefault="007B7524" w:rsidP="00DF57FB">
      <w:r w:rsidRPr="0099598E">
        <w:t>New Zealand Ministry of Education, 2009. Ebbs and flows: participation in post-compulsory education over the economic cycle</w:t>
      </w:r>
    </w:p>
    <w:p w14:paraId="23F7FCDB" w14:textId="77777777" w:rsidR="007752F6" w:rsidRPr="0099598E" w:rsidRDefault="00DF57FB" w:rsidP="00DF57FB">
      <w:pPr>
        <w:pStyle w:val="Bulletlevel2"/>
        <w:ind w:left="0"/>
      </w:pPr>
      <w:r w:rsidRPr="0099598E">
        <w:t xml:space="preserve">Parliament of Australia, Abolition of ‘saved’ Parenting Payment arrangements, </w:t>
      </w:r>
      <w:r w:rsidR="00AB3A3F" w:rsidRPr="0099598E">
        <w:t>&lt;</w:t>
      </w:r>
      <w:hyperlink r:id="rId62" w:history="1">
        <w:r w:rsidRPr="0099598E">
          <w:rPr>
            <w:rStyle w:val="Hyperlink"/>
          </w:rPr>
          <w:t>http://www.aph.gov.au/About_Parliament/Parliamentary_Departments/Parliamentary_Library/pubs/rp/BudgetReview201213/ParentingPayment</w:t>
        </w:r>
      </w:hyperlink>
      <w:r w:rsidR="00AB3A3F" w:rsidRPr="0099598E">
        <w:rPr>
          <w:rStyle w:val="Hyperlink"/>
        </w:rPr>
        <w:t>&gt;</w:t>
      </w:r>
      <w:r w:rsidRPr="0099598E">
        <w:t>, accessed 9 December 2014.</w:t>
      </w:r>
    </w:p>
    <w:p w14:paraId="7BAC22F0" w14:textId="77777777" w:rsidR="00651830" w:rsidRPr="0099598E" w:rsidRDefault="00651830" w:rsidP="00651830">
      <w:r w:rsidRPr="0099598E">
        <w:t>Social Research Centre, 2015, Work for the Dole Evaluation 2014-15, Canberra &lt;www.employment.gov.au&gt;</w:t>
      </w:r>
    </w:p>
    <w:p w14:paraId="15C55909" w14:textId="77777777" w:rsidR="007752F6" w:rsidRDefault="007752F6">
      <w:pPr>
        <w:rPr>
          <w:rFonts w:cs="Garamond"/>
          <w:color w:val="000000"/>
          <w:lang w:val="en-GB"/>
        </w:rPr>
      </w:pPr>
      <w:r>
        <w:br w:type="page"/>
      </w:r>
    </w:p>
    <w:p w14:paraId="4EF56DE2" w14:textId="77777777" w:rsidR="00961617" w:rsidRPr="002F5864" w:rsidRDefault="00961617" w:rsidP="00961617">
      <w:pPr>
        <w:pStyle w:val="Heading1"/>
        <w:rPr>
          <w:rFonts w:asciiTheme="minorHAnsi" w:hAnsiTheme="minorHAnsi" w:cstheme="minorHAnsi"/>
        </w:rPr>
      </w:pPr>
      <w:bookmarkStart w:id="587" w:name="_Toc22543178"/>
      <w:r w:rsidRPr="002F5864">
        <w:rPr>
          <w:rFonts w:asciiTheme="minorHAnsi" w:hAnsiTheme="minorHAnsi" w:cstheme="minorHAnsi"/>
        </w:rPr>
        <w:t>Appendix A</w:t>
      </w:r>
      <w:r w:rsidRPr="002F5864">
        <w:rPr>
          <w:rFonts w:asciiTheme="minorHAnsi" w:hAnsiTheme="minorHAnsi" w:cstheme="minorHAnsi"/>
        </w:rPr>
        <w:tab/>
        <w:t>Statistical tables</w:t>
      </w:r>
      <w:bookmarkEnd w:id="587"/>
    </w:p>
    <w:p w14:paraId="3885591C" w14:textId="77777777" w:rsidR="00961617" w:rsidRPr="002F5864" w:rsidRDefault="00961617" w:rsidP="00961617">
      <w:pPr>
        <w:pStyle w:val="Heading2"/>
        <w:rPr>
          <w:rFonts w:asciiTheme="minorHAnsi" w:hAnsiTheme="minorHAnsi" w:cstheme="minorHAnsi"/>
        </w:rPr>
      </w:pPr>
      <w:bookmarkStart w:id="588" w:name="_Toc450919356"/>
      <w:bookmarkStart w:id="589" w:name="_Toc22543179"/>
      <w:r w:rsidRPr="002F5864">
        <w:rPr>
          <w:rFonts w:asciiTheme="minorHAnsi" w:hAnsiTheme="minorHAnsi" w:cstheme="minorHAnsi"/>
        </w:rPr>
        <w:t>List of tables</w:t>
      </w:r>
      <w:bookmarkEnd w:id="588"/>
      <w:bookmarkEnd w:id="589"/>
    </w:p>
    <w:p w14:paraId="460CC396" w14:textId="73069D0A" w:rsidR="00EF47FB" w:rsidRDefault="00787397">
      <w:pPr>
        <w:pStyle w:val="TableofFigures"/>
        <w:tabs>
          <w:tab w:val="right" w:leader="dot" w:pos="9017"/>
        </w:tabs>
        <w:rPr>
          <w:rFonts w:cstheme="minorBidi"/>
          <w:noProof/>
          <w:sz w:val="22"/>
          <w:szCs w:val="22"/>
          <w:lang w:eastAsia="en-AU"/>
        </w:rPr>
      </w:pPr>
      <w:r>
        <w:fldChar w:fldCharType="begin"/>
      </w:r>
      <w:r>
        <w:instrText xml:space="preserve"> TOC \h \z \t "Table heading for appendix A1,1" \c "Figure" </w:instrText>
      </w:r>
      <w:r>
        <w:fldChar w:fldCharType="separate"/>
      </w:r>
      <w:hyperlink w:anchor="_Toc513129889" w:history="1">
        <w:r w:rsidR="00EF47FB" w:rsidRPr="00631558">
          <w:rPr>
            <w:rStyle w:val="Hyperlink"/>
            <w:noProof/>
          </w:rPr>
          <w:t>Table A1.1: Characteristics of the new entrant study populations (per cent and ppt difference)</w:t>
        </w:r>
        <w:r w:rsidR="00EF47FB">
          <w:rPr>
            <w:noProof/>
            <w:webHidden/>
          </w:rPr>
          <w:tab/>
        </w:r>
        <w:r w:rsidR="00EF47FB">
          <w:rPr>
            <w:noProof/>
            <w:webHidden/>
          </w:rPr>
          <w:fldChar w:fldCharType="begin"/>
        </w:r>
        <w:r w:rsidR="00EF47FB">
          <w:rPr>
            <w:noProof/>
            <w:webHidden/>
          </w:rPr>
          <w:instrText xml:space="preserve"> PAGEREF _Toc513129889 \h </w:instrText>
        </w:r>
        <w:r w:rsidR="00EF47FB">
          <w:rPr>
            <w:noProof/>
            <w:webHidden/>
          </w:rPr>
        </w:r>
        <w:r w:rsidR="00EF47FB">
          <w:rPr>
            <w:noProof/>
            <w:webHidden/>
          </w:rPr>
          <w:fldChar w:fldCharType="separate"/>
        </w:r>
        <w:r w:rsidR="00D87DBB">
          <w:rPr>
            <w:noProof/>
            <w:webHidden/>
          </w:rPr>
          <w:t>136</w:t>
        </w:r>
        <w:r w:rsidR="00EF47FB">
          <w:rPr>
            <w:noProof/>
            <w:webHidden/>
          </w:rPr>
          <w:fldChar w:fldCharType="end"/>
        </w:r>
      </w:hyperlink>
    </w:p>
    <w:p w14:paraId="72B838D1" w14:textId="69FB1BC8" w:rsidR="00EF47FB" w:rsidRDefault="00864C5E">
      <w:pPr>
        <w:pStyle w:val="TableofFigures"/>
        <w:tabs>
          <w:tab w:val="right" w:leader="dot" w:pos="9017"/>
        </w:tabs>
        <w:rPr>
          <w:rFonts w:cstheme="minorBidi"/>
          <w:noProof/>
          <w:sz w:val="22"/>
          <w:szCs w:val="22"/>
          <w:lang w:eastAsia="en-AU"/>
        </w:rPr>
      </w:pPr>
      <w:hyperlink w:anchor="_Toc513129890" w:history="1">
        <w:r w:rsidR="00EF47FB" w:rsidRPr="00631558">
          <w:rPr>
            <w:rStyle w:val="Hyperlink"/>
            <w:noProof/>
          </w:rPr>
          <w:t>Table A1.2: Characteristics of JSA 2009 and JSA 2012 long-term unemployed study populations and total Active Caseload at snapshot dates (per cent)</w:t>
        </w:r>
        <w:r w:rsidR="00EF47FB">
          <w:rPr>
            <w:noProof/>
            <w:webHidden/>
          </w:rPr>
          <w:tab/>
        </w:r>
        <w:r w:rsidR="00EF47FB">
          <w:rPr>
            <w:noProof/>
            <w:webHidden/>
          </w:rPr>
          <w:fldChar w:fldCharType="begin"/>
        </w:r>
        <w:r w:rsidR="00EF47FB">
          <w:rPr>
            <w:noProof/>
            <w:webHidden/>
          </w:rPr>
          <w:instrText xml:space="preserve"> PAGEREF _Toc513129890 \h </w:instrText>
        </w:r>
        <w:r w:rsidR="00EF47FB">
          <w:rPr>
            <w:noProof/>
            <w:webHidden/>
          </w:rPr>
        </w:r>
        <w:r w:rsidR="00EF47FB">
          <w:rPr>
            <w:noProof/>
            <w:webHidden/>
          </w:rPr>
          <w:fldChar w:fldCharType="separate"/>
        </w:r>
        <w:r w:rsidR="00D87DBB">
          <w:rPr>
            <w:noProof/>
            <w:webHidden/>
          </w:rPr>
          <w:t>138</w:t>
        </w:r>
        <w:r w:rsidR="00EF47FB">
          <w:rPr>
            <w:noProof/>
            <w:webHidden/>
          </w:rPr>
          <w:fldChar w:fldCharType="end"/>
        </w:r>
      </w:hyperlink>
    </w:p>
    <w:p w14:paraId="20689646" w14:textId="16FF0820" w:rsidR="00EF47FB" w:rsidRDefault="00864C5E">
      <w:pPr>
        <w:pStyle w:val="TableofFigures"/>
        <w:tabs>
          <w:tab w:val="right" w:leader="dot" w:pos="9017"/>
        </w:tabs>
        <w:rPr>
          <w:rFonts w:cstheme="minorBidi"/>
          <w:noProof/>
          <w:sz w:val="22"/>
          <w:szCs w:val="22"/>
          <w:lang w:eastAsia="en-AU"/>
        </w:rPr>
      </w:pPr>
      <w:hyperlink w:anchor="_Toc513129891" w:history="1">
        <w:r w:rsidR="00EF47FB" w:rsidRPr="00631558">
          <w:rPr>
            <w:rStyle w:val="Hyperlink"/>
            <w:noProof/>
          </w:rPr>
          <w:t>Table A1.3: The JSA 2012 LTU study population by relationship to the JSA 2009 LTU study population</w:t>
        </w:r>
        <w:r w:rsidR="00EF47FB">
          <w:rPr>
            <w:noProof/>
            <w:webHidden/>
          </w:rPr>
          <w:tab/>
        </w:r>
        <w:r w:rsidR="00EF47FB">
          <w:rPr>
            <w:noProof/>
            <w:webHidden/>
          </w:rPr>
          <w:fldChar w:fldCharType="begin"/>
        </w:r>
        <w:r w:rsidR="00EF47FB">
          <w:rPr>
            <w:noProof/>
            <w:webHidden/>
          </w:rPr>
          <w:instrText xml:space="preserve"> PAGEREF _Toc513129891 \h </w:instrText>
        </w:r>
        <w:r w:rsidR="00EF47FB">
          <w:rPr>
            <w:noProof/>
            <w:webHidden/>
          </w:rPr>
        </w:r>
        <w:r w:rsidR="00EF47FB">
          <w:rPr>
            <w:noProof/>
            <w:webHidden/>
          </w:rPr>
          <w:fldChar w:fldCharType="separate"/>
        </w:r>
        <w:r w:rsidR="00D87DBB">
          <w:rPr>
            <w:noProof/>
            <w:webHidden/>
          </w:rPr>
          <w:t>143</w:t>
        </w:r>
        <w:r w:rsidR="00EF47FB">
          <w:rPr>
            <w:noProof/>
            <w:webHidden/>
          </w:rPr>
          <w:fldChar w:fldCharType="end"/>
        </w:r>
      </w:hyperlink>
    </w:p>
    <w:p w14:paraId="6759C814" w14:textId="599EB447" w:rsidR="00EF47FB" w:rsidRDefault="00864C5E">
      <w:pPr>
        <w:pStyle w:val="TableofFigures"/>
        <w:tabs>
          <w:tab w:val="right" w:leader="dot" w:pos="9017"/>
        </w:tabs>
        <w:rPr>
          <w:rFonts w:cstheme="minorBidi"/>
          <w:noProof/>
          <w:sz w:val="22"/>
          <w:szCs w:val="22"/>
          <w:lang w:eastAsia="en-AU"/>
        </w:rPr>
      </w:pPr>
      <w:hyperlink w:anchor="_Toc513129892" w:history="1">
        <w:r w:rsidR="00EF47FB" w:rsidRPr="00631558">
          <w:rPr>
            <w:rStyle w:val="Hyperlink"/>
            <w:noProof/>
          </w:rPr>
          <w:t>Table A1.4: Profile of job seekers — treatment and comparison group for the Compulsory Activity Phase (CAP) analysis</w:t>
        </w:r>
        <w:r w:rsidR="00EF47FB">
          <w:rPr>
            <w:noProof/>
            <w:webHidden/>
          </w:rPr>
          <w:tab/>
        </w:r>
        <w:r w:rsidR="00EF47FB">
          <w:rPr>
            <w:noProof/>
            <w:webHidden/>
          </w:rPr>
          <w:fldChar w:fldCharType="begin"/>
        </w:r>
        <w:r w:rsidR="00EF47FB">
          <w:rPr>
            <w:noProof/>
            <w:webHidden/>
          </w:rPr>
          <w:instrText xml:space="preserve"> PAGEREF _Toc513129892 \h </w:instrText>
        </w:r>
        <w:r w:rsidR="00EF47FB">
          <w:rPr>
            <w:noProof/>
            <w:webHidden/>
          </w:rPr>
        </w:r>
        <w:r w:rsidR="00EF47FB">
          <w:rPr>
            <w:noProof/>
            <w:webHidden/>
          </w:rPr>
          <w:fldChar w:fldCharType="separate"/>
        </w:r>
        <w:r w:rsidR="00D87DBB">
          <w:rPr>
            <w:noProof/>
            <w:webHidden/>
          </w:rPr>
          <w:t>144</w:t>
        </w:r>
        <w:r w:rsidR="00EF47FB">
          <w:rPr>
            <w:noProof/>
            <w:webHidden/>
          </w:rPr>
          <w:fldChar w:fldCharType="end"/>
        </w:r>
      </w:hyperlink>
    </w:p>
    <w:p w14:paraId="7A5DA07F" w14:textId="469214CE" w:rsidR="00EF47FB" w:rsidRDefault="00864C5E">
      <w:pPr>
        <w:pStyle w:val="TableofFigures"/>
        <w:tabs>
          <w:tab w:val="right" w:leader="dot" w:pos="9017"/>
        </w:tabs>
        <w:rPr>
          <w:rFonts w:cstheme="minorBidi"/>
          <w:noProof/>
          <w:sz w:val="22"/>
          <w:szCs w:val="22"/>
          <w:lang w:eastAsia="en-AU"/>
        </w:rPr>
      </w:pPr>
      <w:hyperlink w:anchor="_Toc513129893" w:history="1">
        <w:r w:rsidR="00EF47FB" w:rsidRPr="00631558">
          <w:rPr>
            <w:rStyle w:val="Hyperlink"/>
            <w:noProof/>
          </w:rPr>
          <w:t>Table A1.5: Profile of job seekers — 1:1 nearest neighbour matching for the Compulsory Activity Phase (CAP) analysis (per cent)</w:t>
        </w:r>
        <w:r w:rsidR="00EF47FB">
          <w:rPr>
            <w:noProof/>
            <w:webHidden/>
          </w:rPr>
          <w:tab/>
        </w:r>
        <w:r w:rsidR="00EF47FB">
          <w:rPr>
            <w:noProof/>
            <w:webHidden/>
          </w:rPr>
          <w:fldChar w:fldCharType="begin"/>
        </w:r>
        <w:r w:rsidR="00EF47FB">
          <w:rPr>
            <w:noProof/>
            <w:webHidden/>
          </w:rPr>
          <w:instrText xml:space="preserve"> PAGEREF _Toc513129893 \h </w:instrText>
        </w:r>
        <w:r w:rsidR="00EF47FB">
          <w:rPr>
            <w:noProof/>
            <w:webHidden/>
          </w:rPr>
        </w:r>
        <w:r w:rsidR="00EF47FB">
          <w:rPr>
            <w:noProof/>
            <w:webHidden/>
          </w:rPr>
          <w:fldChar w:fldCharType="separate"/>
        </w:r>
        <w:r w:rsidR="00D87DBB">
          <w:rPr>
            <w:noProof/>
            <w:webHidden/>
          </w:rPr>
          <w:t>145</w:t>
        </w:r>
        <w:r w:rsidR="00EF47FB">
          <w:rPr>
            <w:noProof/>
            <w:webHidden/>
          </w:rPr>
          <w:fldChar w:fldCharType="end"/>
        </w:r>
      </w:hyperlink>
    </w:p>
    <w:p w14:paraId="74E3244A" w14:textId="23B77711" w:rsidR="00EF47FB" w:rsidRDefault="00864C5E">
      <w:pPr>
        <w:pStyle w:val="TableofFigures"/>
        <w:tabs>
          <w:tab w:val="right" w:leader="dot" w:pos="9017"/>
        </w:tabs>
        <w:rPr>
          <w:rFonts w:cstheme="minorBidi"/>
          <w:noProof/>
          <w:sz w:val="22"/>
          <w:szCs w:val="22"/>
          <w:lang w:eastAsia="en-AU"/>
        </w:rPr>
      </w:pPr>
      <w:hyperlink w:anchor="_Toc513129894" w:history="1">
        <w:r w:rsidR="00EF47FB" w:rsidRPr="00631558">
          <w:rPr>
            <w:rStyle w:val="Hyperlink"/>
            <w:noProof/>
          </w:rPr>
          <w:t>Table A2.1: Active caseload, July 2012 to June 2015 (number)</w:t>
        </w:r>
        <w:r w:rsidR="00EF47FB">
          <w:rPr>
            <w:noProof/>
            <w:webHidden/>
          </w:rPr>
          <w:tab/>
        </w:r>
        <w:r w:rsidR="00EF47FB">
          <w:rPr>
            <w:noProof/>
            <w:webHidden/>
          </w:rPr>
          <w:fldChar w:fldCharType="begin"/>
        </w:r>
        <w:r w:rsidR="00EF47FB">
          <w:rPr>
            <w:noProof/>
            <w:webHidden/>
          </w:rPr>
          <w:instrText xml:space="preserve"> PAGEREF _Toc513129894 \h </w:instrText>
        </w:r>
        <w:r w:rsidR="00EF47FB">
          <w:rPr>
            <w:noProof/>
            <w:webHidden/>
          </w:rPr>
        </w:r>
        <w:r w:rsidR="00EF47FB">
          <w:rPr>
            <w:noProof/>
            <w:webHidden/>
          </w:rPr>
          <w:fldChar w:fldCharType="separate"/>
        </w:r>
        <w:r w:rsidR="00D87DBB">
          <w:rPr>
            <w:noProof/>
            <w:webHidden/>
          </w:rPr>
          <w:t>146</w:t>
        </w:r>
        <w:r w:rsidR="00EF47FB">
          <w:rPr>
            <w:noProof/>
            <w:webHidden/>
          </w:rPr>
          <w:fldChar w:fldCharType="end"/>
        </w:r>
      </w:hyperlink>
    </w:p>
    <w:p w14:paraId="48F42A56" w14:textId="7C4CCF2E" w:rsidR="00EF47FB" w:rsidRDefault="00864C5E">
      <w:pPr>
        <w:pStyle w:val="TableofFigures"/>
        <w:tabs>
          <w:tab w:val="right" w:leader="dot" w:pos="9017"/>
        </w:tabs>
        <w:rPr>
          <w:rFonts w:cstheme="minorBidi"/>
          <w:noProof/>
          <w:sz w:val="22"/>
          <w:szCs w:val="22"/>
          <w:lang w:eastAsia="en-AU"/>
        </w:rPr>
      </w:pPr>
      <w:hyperlink w:anchor="_Toc513129895" w:history="1">
        <w:r w:rsidR="00EF47FB" w:rsidRPr="00631558">
          <w:rPr>
            <w:rStyle w:val="Hyperlink"/>
            <w:noProof/>
          </w:rPr>
          <w:t>Table A2.2: Number of days taken for job seekers to commence after registration (per cent)</w:t>
        </w:r>
        <w:r w:rsidR="00EF47FB">
          <w:rPr>
            <w:noProof/>
            <w:webHidden/>
          </w:rPr>
          <w:tab/>
        </w:r>
        <w:r w:rsidR="00EF47FB">
          <w:rPr>
            <w:noProof/>
            <w:webHidden/>
          </w:rPr>
          <w:fldChar w:fldCharType="begin"/>
        </w:r>
        <w:r w:rsidR="00EF47FB">
          <w:rPr>
            <w:noProof/>
            <w:webHidden/>
          </w:rPr>
          <w:instrText xml:space="preserve"> PAGEREF _Toc513129895 \h </w:instrText>
        </w:r>
        <w:r w:rsidR="00EF47FB">
          <w:rPr>
            <w:noProof/>
            <w:webHidden/>
          </w:rPr>
        </w:r>
        <w:r w:rsidR="00EF47FB">
          <w:rPr>
            <w:noProof/>
            <w:webHidden/>
          </w:rPr>
          <w:fldChar w:fldCharType="separate"/>
        </w:r>
        <w:r w:rsidR="00D87DBB">
          <w:rPr>
            <w:noProof/>
            <w:webHidden/>
          </w:rPr>
          <w:t>148</w:t>
        </w:r>
        <w:r w:rsidR="00EF47FB">
          <w:rPr>
            <w:noProof/>
            <w:webHidden/>
          </w:rPr>
          <w:fldChar w:fldCharType="end"/>
        </w:r>
      </w:hyperlink>
    </w:p>
    <w:p w14:paraId="5A08FE08" w14:textId="201BE385" w:rsidR="00EF47FB" w:rsidRDefault="00864C5E">
      <w:pPr>
        <w:pStyle w:val="TableofFigures"/>
        <w:tabs>
          <w:tab w:val="right" w:leader="dot" w:pos="9017"/>
        </w:tabs>
        <w:rPr>
          <w:rFonts w:cstheme="minorBidi"/>
          <w:noProof/>
          <w:sz w:val="22"/>
          <w:szCs w:val="22"/>
          <w:lang w:eastAsia="en-AU"/>
        </w:rPr>
      </w:pPr>
      <w:hyperlink w:anchor="_Toc513129896" w:history="1">
        <w:r w:rsidR="00EF47FB" w:rsidRPr="00631558">
          <w:rPr>
            <w:rStyle w:val="Hyperlink"/>
            <w:noProof/>
          </w:rPr>
          <w:t>Table A2.3: Employment and education outcomes for new entrants, JSA 2009 (per cent)</w:t>
        </w:r>
        <w:r w:rsidR="00EF47FB">
          <w:rPr>
            <w:noProof/>
            <w:webHidden/>
          </w:rPr>
          <w:tab/>
        </w:r>
        <w:r w:rsidR="00EF47FB">
          <w:rPr>
            <w:noProof/>
            <w:webHidden/>
          </w:rPr>
          <w:fldChar w:fldCharType="begin"/>
        </w:r>
        <w:r w:rsidR="00EF47FB">
          <w:rPr>
            <w:noProof/>
            <w:webHidden/>
          </w:rPr>
          <w:instrText xml:space="preserve"> PAGEREF _Toc513129896 \h </w:instrText>
        </w:r>
        <w:r w:rsidR="00EF47FB">
          <w:rPr>
            <w:noProof/>
            <w:webHidden/>
          </w:rPr>
        </w:r>
        <w:r w:rsidR="00EF47FB">
          <w:rPr>
            <w:noProof/>
            <w:webHidden/>
          </w:rPr>
          <w:fldChar w:fldCharType="separate"/>
        </w:r>
        <w:r w:rsidR="00D87DBB">
          <w:rPr>
            <w:noProof/>
            <w:webHidden/>
          </w:rPr>
          <w:t>156</w:t>
        </w:r>
        <w:r w:rsidR="00EF47FB">
          <w:rPr>
            <w:noProof/>
            <w:webHidden/>
          </w:rPr>
          <w:fldChar w:fldCharType="end"/>
        </w:r>
      </w:hyperlink>
    </w:p>
    <w:p w14:paraId="26065C1D" w14:textId="7A7E71DA" w:rsidR="00EF47FB" w:rsidRDefault="00864C5E">
      <w:pPr>
        <w:pStyle w:val="TableofFigures"/>
        <w:tabs>
          <w:tab w:val="right" w:leader="dot" w:pos="9017"/>
        </w:tabs>
        <w:rPr>
          <w:rFonts w:cstheme="minorBidi"/>
          <w:noProof/>
          <w:sz w:val="22"/>
          <w:szCs w:val="22"/>
          <w:lang w:eastAsia="en-AU"/>
        </w:rPr>
      </w:pPr>
      <w:hyperlink w:anchor="_Toc513129897" w:history="1">
        <w:r w:rsidR="00EF47FB" w:rsidRPr="00631558">
          <w:rPr>
            <w:rStyle w:val="Hyperlink"/>
            <w:noProof/>
          </w:rPr>
          <w:t>Table A2.4: Employment and education outcomes for new entrants, JSA 2012 (per cent)</w:t>
        </w:r>
        <w:r w:rsidR="00EF47FB">
          <w:rPr>
            <w:noProof/>
            <w:webHidden/>
          </w:rPr>
          <w:tab/>
        </w:r>
        <w:r w:rsidR="00EF47FB">
          <w:rPr>
            <w:noProof/>
            <w:webHidden/>
          </w:rPr>
          <w:fldChar w:fldCharType="begin"/>
        </w:r>
        <w:r w:rsidR="00EF47FB">
          <w:rPr>
            <w:noProof/>
            <w:webHidden/>
          </w:rPr>
          <w:instrText xml:space="preserve"> PAGEREF _Toc513129897 \h </w:instrText>
        </w:r>
        <w:r w:rsidR="00EF47FB">
          <w:rPr>
            <w:noProof/>
            <w:webHidden/>
          </w:rPr>
        </w:r>
        <w:r w:rsidR="00EF47FB">
          <w:rPr>
            <w:noProof/>
            <w:webHidden/>
          </w:rPr>
          <w:fldChar w:fldCharType="separate"/>
        </w:r>
        <w:r w:rsidR="00D87DBB">
          <w:rPr>
            <w:noProof/>
            <w:webHidden/>
          </w:rPr>
          <w:t>158</w:t>
        </w:r>
        <w:r w:rsidR="00EF47FB">
          <w:rPr>
            <w:noProof/>
            <w:webHidden/>
          </w:rPr>
          <w:fldChar w:fldCharType="end"/>
        </w:r>
      </w:hyperlink>
    </w:p>
    <w:p w14:paraId="5D088AE4" w14:textId="149B7754" w:rsidR="00EF47FB" w:rsidRDefault="00864C5E">
      <w:pPr>
        <w:pStyle w:val="TableofFigures"/>
        <w:tabs>
          <w:tab w:val="right" w:leader="dot" w:pos="9017"/>
        </w:tabs>
        <w:rPr>
          <w:rFonts w:cstheme="minorBidi"/>
          <w:noProof/>
          <w:sz w:val="22"/>
          <w:szCs w:val="22"/>
          <w:lang w:eastAsia="en-AU"/>
        </w:rPr>
      </w:pPr>
      <w:hyperlink w:anchor="_Toc513129898" w:history="1">
        <w:r w:rsidR="00EF47FB" w:rsidRPr="00631558">
          <w:rPr>
            <w:rStyle w:val="Hyperlink"/>
            <w:noProof/>
          </w:rPr>
          <w:t>Table A2.5: Comparison of employment and education outcomes for new entrants, JSA 2009 and JSA 2012 (percentage point difference)</w:t>
        </w:r>
        <w:r w:rsidR="00EF47FB">
          <w:rPr>
            <w:noProof/>
            <w:webHidden/>
          </w:rPr>
          <w:tab/>
        </w:r>
        <w:r w:rsidR="00EF47FB">
          <w:rPr>
            <w:noProof/>
            <w:webHidden/>
          </w:rPr>
          <w:fldChar w:fldCharType="begin"/>
        </w:r>
        <w:r w:rsidR="00EF47FB">
          <w:rPr>
            <w:noProof/>
            <w:webHidden/>
          </w:rPr>
          <w:instrText xml:space="preserve"> PAGEREF _Toc513129898 \h </w:instrText>
        </w:r>
        <w:r w:rsidR="00EF47FB">
          <w:rPr>
            <w:noProof/>
            <w:webHidden/>
          </w:rPr>
        </w:r>
        <w:r w:rsidR="00EF47FB">
          <w:rPr>
            <w:noProof/>
            <w:webHidden/>
          </w:rPr>
          <w:fldChar w:fldCharType="separate"/>
        </w:r>
        <w:r w:rsidR="00D87DBB">
          <w:rPr>
            <w:noProof/>
            <w:webHidden/>
          </w:rPr>
          <w:t>160</w:t>
        </w:r>
        <w:r w:rsidR="00EF47FB">
          <w:rPr>
            <w:noProof/>
            <w:webHidden/>
          </w:rPr>
          <w:fldChar w:fldCharType="end"/>
        </w:r>
      </w:hyperlink>
    </w:p>
    <w:p w14:paraId="2BC53C2C" w14:textId="745FDC35" w:rsidR="00EF47FB" w:rsidRDefault="00864C5E">
      <w:pPr>
        <w:pStyle w:val="TableofFigures"/>
        <w:tabs>
          <w:tab w:val="right" w:leader="dot" w:pos="9017"/>
        </w:tabs>
        <w:rPr>
          <w:rFonts w:cstheme="minorBidi"/>
          <w:noProof/>
          <w:sz w:val="22"/>
          <w:szCs w:val="22"/>
          <w:lang w:eastAsia="en-AU"/>
        </w:rPr>
      </w:pPr>
      <w:hyperlink w:anchor="_Toc513129899" w:history="1">
        <w:r w:rsidR="00EF47FB" w:rsidRPr="00631558">
          <w:rPr>
            <w:rStyle w:val="Hyperlink"/>
            <w:noProof/>
          </w:rPr>
          <w:t>Table A2.6: Income support status rates and average marginal effect (AME) estimates for the predicted probability of income support status 12 months after registration date, JSA 2012 compared with JSA 2009</w:t>
        </w:r>
        <w:r w:rsidR="00EF47FB">
          <w:rPr>
            <w:noProof/>
            <w:webHidden/>
          </w:rPr>
          <w:tab/>
        </w:r>
        <w:r w:rsidR="00EF47FB">
          <w:rPr>
            <w:noProof/>
            <w:webHidden/>
          </w:rPr>
          <w:fldChar w:fldCharType="begin"/>
        </w:r>
        <w:r w:rsidR="00EF47FB">
          <w:rPr>
            <w:noProof/>
            <w:webHidden/>
          </w:rPr>
          <w:instrText xml:space="preserve"> PAGEREF _Toc513129899 \h </w:instrText>
        </w:r>
        <w:r w:rsidR="00EF47FB">
          <w:rPr>
            <w:noProof/>
            <w:webHidden/>
          </w:rPr>
        </w:r>
        <w:r w:rsidR="00EF47FB">
          <w:rPr>
            <w:noProof/>
            <w:webHidden/>
          </w:rPr>
          <w:fldChar w:fldCharType="separate"/>
        </w:r>
        <w:r w:rsidR="00D87DBB">
          <w:rPr>
            <w:noProof/>
            <w:webHidden/>
          </w:rPr>
          <w:t>162</w:t>
        </w:r>
        <w:r w:rsidR="00EF47FB">
          <w:rPr>
            <w:noProof/>
            <w:webHidden/>
          </w:rPr>
          <w:fldChar w:fldCharType="end"/>
        </w:r>
      </w:hyperlink>
    </w:p>
    <w:p w14:paraId="48A23AAD" w14:textId="53F39CE9" w:rsidR="00EF47FB" w:rsidRDefault="00864C5E">
      <w:pPr>
        <w:pStyle w:val="TableofFigures"/>
        <w:tabs>
          <w:tab w:val="right" w:leader="dot" w:pos="9017"/>
        </w:tabs>
        <w:rPr>
          <w:rFonts w:cstheme="minorBidi"/>
          <w:noProof/>
          <w:sz w:val="22"/>
          <w:szCs w:val="22"/>
          <w:lang w:eastAsia="en-AU"/>
        </w:rPr>
      </w:pPr>
      <w:hyperlink w:anchor="_Toc513129900" w:history="1">
        <w:r w:rsidR="00EF47FB" w:rsidRPr="00631558">
          <w:rPr>
            <w:rStyle w:val="Hyperlink"/>
            <w:noProof/>
          </w:rPr>
          <w:t>Table A2.7: Estimated length of time job seekers were on income support by year of registration in JSA (per cent)</w:t>
        </w:r>
        <w:r w:rsidR="00EF47FB">
          <w:rPr>
            <w:noProof/>
            <w:webHidden/>
          </w:rPr>
          <w:tab/>
        </w:r>
        <w:r w:rsidR="00EF47FB">
          <w:rPr>
            <w:noProof/>
            <w:webHidden/>
          </w:rPr>
          <w:fldChar w:fldCharType="begin"/>
        </w:r>
        <w:r w:rsidR="00EF47FB">
          <w:rPr>
            <w:noProof/>
            <w:webHidden/>
          </w:rPr>
          <w:instrText xml:space="preserve"> PAGEREF _Toc513129900 \h </w:instrText>
        </w:r>
        <w:r w:rsidR="00EF47FB">
          <w:rPr>
            <w:noProof/>
            <w:webHidden/>
          </w:rPr>
        </w:r>
        <w:r w:rsidR="00EF47FB">
          <w:rPr>
            <w:noProof/>
            <w:webHidden/>
          </w:rPr>
          <w:fldChar w:fldCharType="separate"/>
        </w:r>
        <w:r w:rsidR="00D87DBB">
          <w:rPr>
            <w:noProof/>
            <w:webHidden/>
          </w:rPr>
          <w:t>166</w:t>
        </w:r>
        <w:r w:rsidR="00EF47FB">
          <w:rPr>
            <w:noProof/>
            <w:webHidden/>
          </w:rPr>
          <w:fldChar w:fldCharType="end"/>
        </w:r>
      </w:hyperlink>
    </w:p>
    <w:p w14:paraId="12B1DEC2" w14:textId="3D1C9E89" w:rsidR="00EF47FB" w:rsidRDefault="00864C5E">
      <w:pPr>
        <w:pStyle w:val="TableofFigures"/>
        <w:tabs>
          <w:tab w:val="right" w:leader="dot" w:pos="9017"/>
        </w:tabs>
        <w:rPr>
          <w:rFonts w:cstheme="minorBidi"/>
          <w:noProof/>
          <w:sz w:val="22"/>
          <w:szCs w:val="22"/>
          <w:lang w:eastAsia="en-AU"/>
        </w:rPr>
      </w:pPr>
      <w:hyperlink w:anchor="_Toc513129901" w:history="1">
        <w:r w:rsidR="00EF47FB" w:rsidRPr="00631558">
          <w:rPr>
            <w:rStyle w:val="Hyperlink"/>
            <w:noProof/>
          </w:rPr>
          <w:t>Table A2.8: Income support status 12 months after exiting income support, new entrant job seekers (per cent and percentage point)</w:t>
        </w:r>
        <w:r w:rsidR="00EF47FB">
          <w:rPr>
            <w:noProof/>
            <w:webHidden/>
          </w:rPr>
          <w:tab/>
        </w:r>
        <w:r w:rsidR="00EF47FB">
          <w:rPr>
            <w:noProof/>
            <w:webHidden/>
          </w:rPr>
          <w:fldChar w:fldCharType="begin"/>
        </w:r>
        <w:r w:rsidR="00EF47FB">
          <w:rPr>
            <w:noProof/>
            <w:webHidden/>
          </w:rPr>
          <w:instrText xml:space="preserve"> PAGEREF _Toc513129901 \h </w:instrText>
        </w:r>
        <w:r w:rsidR="00EF47FB">
          <w:rPr>
            <w:noProof/>
            <w:webHidden/>
          </w:rPr>
        </w:r>
        <w:r w:rsidR="00EF47FB">
          <w:rPr>
            <w:noProof/>
            <w:webHidden/>
          </w:rPr>
          <w:fldChar w:fldCharType="separate"/>
        </w:r>
        <w:r w:rsidR="00D87DBB">
          <w:rPr>
            <w:noProof/>
            <w:webHidden/>
          </w:rPr>
          <w:t>167</w:t>
        </w:r>
        <w:r w:rsidR="00EF47FB">
          <w:rPr>
            <w:noProof/>
            <w:webHidden/>
          </w:rPr>
          <w:fldChar w:fldCharType="end"/>
        </w:r>
      </w:hyperlink>
    </w:p>
    <w:p w14:paraId="4CBB7F22" w14:textId="6835E3F0" w:rsidR="00EF47FB" w:rsidRDefault="00864C5E">
      <w:pPr>
        <w:pStyle w:val="TableofFigures"/>
        <w:tabs>
          <w:tab w:val="right" w:leader="dot" w:pos="9017"/>
        </w:tabs>
        <w:rPr>
          <w:rFonts w:cstheme="minorBidi"/>
          <w:noProof/>
          <w:sz w:val="22"/>
          <w:szCs w:val="22"/>
          <w:lang w:eastAsia="en-AU"/>
        </w:rPr>
      </w:pPr>
      <w:hyperlink w:anchor="_Toc513129902" w:history="1">
        <w:r w:rsidR="00EF47FB" w:rsidRPr="00631558">
          <w:rPr>
            <w:rStyle w:val="Hyperlink"/>
            <w:noProof/>
          </w:rPr>
          <w:t>Table A2.9: Exits from employment services due to disability, selected long-term unemployed (LTU) job seeker groups (per cent of jobseekers who exited)</w:t>
        </w:r>
        <w:r w:rsidR="00EF47FB">
          <w:rPr>
            <w:noProof/>
            <w:webHidden/>
          </w:rPr>
          <w:tab/>
        </w:r>
        <w:r w:rsidR="00EF47FB">
          <w:rPr>
            <w:noProof/>
            <w:webHidden/>
          </w:rPr>
          <w:fldChar w:fldCharType="begin"/>
        </w:r>
        <w:r w:rsidR="00EF47FB">
          <w:rPr>
            <w:noProof/>
            <w:webHidden/>
          </w:rPr>
          <w:instrText xml:space="preserve"> PAGEREF _Toc513129902 \h </w:instrText>
        </w:r>
        <w:r w:rsidR="00EF47FB">
          <w:rPr>
            <w:noProof/>
            <w:webHidden/>
          </w:rPr>
        </w:r>
        <w:r w:rsidR="00EF47FB">
          <w:rPr>
            <w:noProof/>
            <w:webHidden/>
          </w:rPr>
          <w:fldChar w:fldCharType="separate"/>
        </w:r>
        <w:r w:rsidR="00D87DBB">
          <w:rPr>
            <w:noProof/>
            <w:webHidden/>
          </w:rPr>
          <w:t>168</w:t>
        </w:r>
        <w:r w:rsidR="00EF47FB">
          <w:rPr>
            <w:noProof/>
            <w:webHidden/>
          </w:rPr>
          <w:fldChar w:fldCharType="end"/>
        </w:r>
      </w:hyperlink>
    </w:p>
    <w:p w14:paraId="50092034" w14:textId="3565074F" w:rsidR="00EF47FB" w:rsidRDefault="00864C5E">
      <w:pPr>
        <w:pStyle w:val="TableofFigures"/>
        <w:tabs>
          <w:tab w:val="right" w:leader="dot" w:pos="9017"/>
        </w:tabs>
        <w:rPr>
          <w:rFonts w:cstheme="minorBidi"/>
          <w:noProof/>
          <w:sz w:val="22"/>
          <w:szCs w:val="22"/>
          <w:lang w:eastAsia="en-AU"/>
        </w:rPr>
      </w:pPr>
      <w:hyperlink w:anchor="_Toc513129903" w:history="1">
        <w:r w:rsidR="00EF47FB" w:rsidRPr="00631558">
          <w:rPr>
            <w:rStyle w:val="Hyperlink"/>
            <w:noProof/>
          </w:rPr>
          <w:t>Table A2.10: Estimated odds ratios of exits from employment services for variables in the predicted exits from services regression models, by stream, for the JSA 2012 LTU study populations</w:t>
        </w:r>
        <w:r w:rsidR="00EF47FB">
          <w:rPr>
            <w:noProof/>
            <w:webHidden/>
          </w:rPr>
          <w:tab/>
        </w:r>
        <w:r w:rsidR="00EF47FB">
          <w:rPr>
            <w:noProof/>
            <w:webHidden/>
          </w:rPr>
          <w:fldChar w:fldCharType="begin"/>
        </w:r>
        <w:r w:rsidR="00EF47FB">
          <w:rPr>
            <w:noProof/>
            <w:webHidden/>
          </w:rPr>
          <w:instrText xml:space="preserve"> PAGEREF _Toc513129903 \h </w:instrText>
        </w:r>
        <w:r w:rsidR="00EF47FB">
          <w:rPr>
            <w:noProof/>
            <w:webHidden/>
          </w:rPr>
        </w:r>
        <w:r w:rsidR="00EF47FB">
          <w:rPr>
            <w:noProof/>
            <w:webHidden/>
          </w:rPr>
          <w:fldChar w:fldCharType="separate"/>
        </w:r>
        <w:r w:rsidR="00D87DBB">
          <w:rPr>
            <w:noProof/>
            <w:webHidden/>
          </w:rPr>
          <w:t>169</w:t>
        </w:r>
        <w:r w:rsidR="00EF47FB">
          <w:rPr>
            <w:noProof/>
            <w:webHidden/>
          </w:rPr>
          <w:fldChar w:fldCharType="end"/>
        </w:r>
      </w:hyperlink>
    </w:p>
    <w:p w14:paraId="09255777" w14:textId="54C8DC11" w:rsidR="00EF47FB" w:rsidRDefault="00864C5E">
      <w:pPr>
        <w:pStyle w:val="TableofFigures"/>
        <w:tabs>
          <w:tab w:val="right" w:leader="dot" w:pos="9017"/>
        </w:tabs>
        <w:rPr>
          <w:rFonts w:cstheme="minorBidi"/>
          <w:noProof/>
          <w:sz w:val="22"/>
          <w:szCs w:val="22"/>
          <w:lang w:eastAsia="en-AU"/>
        </w:rPr>
      </w:pPr>
      <w:hyperlink w:anchor="_Toc513129904" w:history="1">
        <w:r w:rsidR="00EF47FB" w:rsidRPr="00631558">
          <w:rPr>
            <w:rStyle w:val="Hyperlink"/>
            <w:noProof/>
          </w:rPr>
          <w:t>Table A2.11: Sustainability of outcomes: income support status rates and average marginal effect (AME) estimates for the predicted probability of income support status 12 months after exiting from services, JSA 2012 compared with JSA 2009 (per  cent and percentage point)</w:t>
        </w:r>
        <w:r w:rsidR="00EF47FB">
          <w:rPr>
            <w:noProof/>
            <w:webHidden/>
          </w:rPr>
          <w:tab/>
        </w:r>
        <w:r w:rsidR="00EF47FB">
          <w:rPr>
            <w:noProof/>
            <w:webHidden/>
          </w:rPr>
          <w:fldChar w:fldCharType="begin"/>
        </w:r>
        <w:r w:rsidR="00EF47FB">
          <w:rPr>
            <w:noProof/>
            <w:webHidden/>
          </w:rPr>
          <w:instrText xml:space="preserve"> PAGEREF _Toc513129904 \h </w:instrText>
        </w:r>
        <w:r w:rsidR="00EF47FB">
          <w:rPr>
            <w:noProof/>
            <w:webHidden/>
          </w:rPr>
        </w:r>
        <w:r w:rsidR="00EF47FB">
          <w:rPr>
            <w:noProof/>
            <w:webHidden/>
          </w:rPr>
          <w:fldChar w:fldCharType="separate"/>
        </w:r>
        <w:r w:rsidR="00D87DBB">
          <w:rPr>
            <w:noProof/>
            <w:webHidden/>
          </w:rPr>
          <w:t>171</w:t>
        </w:r>
        <w:r w:rsidR="00EF47FB">
          <w:rPr>
            <w:noProof/>
            <w:webHidden/>
          </w:rPr>
          <w:fldChar w:fldCharType="end"/>
        </w:r>
      </w:hyperlink>
    </w:p>
    <w:p w14:paraId="78992B45" w14:textId="3C488E54" w:rsidR="00EF47FB" w:rsidRDefault="00864C5E">
      <w:pPr>
        <w:pStyle w:val="TableofFigures"/>
        <w:tabs>
          <w:tab w:val="right" w:leader="dot" w:pos="9017"/>
        </w:tabs>
        <w:rPr>
          <w:rFonts w:cstheme="minorBidi"/>
          <w:noProof/>
          <w:sz w:val="22"/>
          <w:szCs w:val="22"/>
          <w:lang w:eastAsia="en-AU"/>
        </w:rPr>
      </w:pPr>
      <w:hyperlink w:anchor="_Toc513129905" w:history="1">
        <w:r w:rsidR="00EF47FB" w:rsidRPr="00631558">
          <w:rPr>
            <w:rStyle w:val="Hyperlink"/>
            <w:noProof/>
          </w:rPr>
          <w:t>Table A2.12: Income support status rates and average marginal effect (AME) estimates for the predicted probability of income support status 12 months after snapshot date, JSA 2015 compared with JSA 2009, long-term unemployed (LTU) job seekers</w:t>
        </w:r>
        <w:r w:rsidR="00EF47FB">
          <w:rPr>
            <w:noProof/>
            <w:webHidden/>
          </w:rPr>
          <w:tab/>
        </w:r>
        <w:r w:rsidR="00EF47FB">
          <w:rPr>
            <w:noProof/>
            <w:webHidden/>
          </w:rPr>
          <w:fldChar w:fldCharType="begin"/>
        </w:r>
        <w:r w:rsidR="00EF47FB">
          <w:rPr>
            <w:noProof/>
            <w:webHidden/>
          </w:rPr>
          <w:instrText xml:space="preserve"> PAGEREF _Toc513129905 \h </w:instrText>
        </w:r>
        <w:r w:rsidR="00EF47FB">
          <w:rPr>
            <w:noProof/>
            <w:webHidden/>
          </w:rPr>
        </w:r>
        <w:r w:rsidR="00EF47FB">
          <w:rPr>
            <w:noProof/>
            <w:webHidden/>
          </w:rPr>
          <w:fldChar w:fldCharType="separate"/>
        </w:r>
        <w:r w:rsidR="00D87DBB">
          <w:rPr>
            <w:noProof/>
            <w:webHidden/>
          </w:rPr>
          <w:t>172</w:t>
        </w:r>
        <w:r w:rsidR="00EF47FB">
          <w:rPr>
            <w:noProof/>
            <w:webHidden/>
          </w:rPr>
          <w:fldChar w:fldCharType="end"/>
        </w:r>
      </w:hyperlink>
    </w:p>
    <w:p w14:paraId="271DFB5E" w14:textId="1066F283" w:rsidR="00EF47FB" w:rsidRDefault="00864C5E">
      <w:pPr>
        <w:pStyle w:val="TableofFigures"/>
        <w:tabs>
          <w:tab w:val="right" w:leader="dot" w:pos="9017"/>
        </w:tabs>
        <w:rPr>
          <w:rFonts w:cstheme="minorBidi"/>
          <w:noProof/>
          <w:sz w:val="22"/>
          <w:szCs w:val="22"/>
          <w:lang w:eastAsia="en-AU"/>
        </w:rPr>
      </w:pPr>
      <w:hyperlink w:anchor="_Toc513129906" w:history="1">
        <w:r w:rsidR="00EF47FB" w:rsidRPr="00631558">
          <w:rPr>
            <w:rStyle w:val="Hyperlink"/>
            <w:noProof/>
          </w:rPr>
          <w:t>Table A2.13: Employment, education and positive outcomes for job seekers between JSA 2009, LTU (per cent)</w:t>
        </w:r>
        <w:r w:rsidR="00EF47FB">
          <w:rPr>
            <w:noProof/>
            <w:webHidden/>
          </w:rPr>
          <w:tab/>
        </w:r>
        <w:r w:rsidR="00EF47FB">
          <w:rPr>
            <w:noProof/>
            <w:webHidden/>
          </w:rPr>
          <w:fldChar w:fldCharType="begin"/>
        </w:r>
        <w:r w:rsidR="00EF47FB">
          <w:rPr>
            <w:noProof/>
            <w:webHidden/>
          </w:rPr>
          <w:instrText xml:space="preserve"> PAGEREF _Toc513129906 \h </w:instrText>
        </w:r>
        <w:r w:rsidR="00EF47FB">
          <w:rPr>
            <w:noProof/>
            <w:webHidden/>
          </w:rPr>
        </w:r>
        <w:r w:rsidR="00EF47FB">
          <w:rPr>
            <w:noProof/>
            <w:webHidden/>
          </w:rPr>
          <w:fldChar w:fldCharType="separate"/>
        </w:r>
        <w:r w:rsidR="00D87DBB">
          <w:rPr>
            <w:noProof/>
            <w:webHidden/>
          </w:rPr>
          <w:t>173</w:t>
        </w:r>
        <w:r w:rsidR="00EF47FB">
          <w:rPr>
            <w:noProof/>
            <w:webHidden/>
          </w:rPr>
          <w:fldChar w:fldCharType="end"/>
        </w:r>
      </w:hyperlink>
    </w:p>
    <w:p w14:paraId="4440FE05" w14:textId="32743AA4" w:rsidR="00EF47FB" w:rsidRDefault="00864C5E">
      <w:pPr>
        <w:pStyle w:val="TableofFigures"/>
        <w:tabs>
          <w:tab w:val="right" w:leader="dot" w:pos="9017"/>
        </w:tabs>
        <w:rPr>
          <w:rFonts w:cstheme="minorBidi"/>
          <w:noProof/>
          <w:sz w:val="22"/>
          <w:szCs w:val="22"/>
          <w:lang w:eastAsia="en-AU"/>
        </w:rPr>
      </w:pPr>
      <w:hyperlink w:anchor="_Toc513129907" w:history="1">
        <w:r w:rsidR="00EF47FB" w:rsidRPr="00631558">
          <w:rPr>
            <w:rStyle w:val="Hyperlink"/>
            <w:noProof/>
          </w:rPr>
          <w:t>Table A2.14: Employment, education and positive outcomes for job seekers between JSA 2012, LTU (per cent)</w:t>
        </w:r>
        <w:r w:rsidR="00EF47FB">
          <w:rPr>
            <w:noProof/>
            <w:webHidden/>
          </w:rPr>
          <w:tab/>
        </w:r>
        <w:r w:rsidR="00EF47FB">
          <w:rPr>
            <w:noProof/>
            <w:webHidden/>
          </w:rPr>
          <w:fldChar w:fldCharType="begin"/>
        </w:r>
        <w:r w:rsidR="00EF47FB">
          <w:rPr>
            <w:noProof/>
            <w:webHidden/>
          </w:rPr>
          <w:instrText xml:space="preserve"> PAGEREF _Toc513129907 \h </w:instrText>
        </w:r>
        <w:r w:rsidR="00EF47FB">
          <w:rPr>
            <w:noProof/>
            <w:webHidden/>
          </w:rPr>
        </w:r>
        <w:r w:rsidR="00EF47FB">
          <w:rPr>
            <w:noProof/>
            <w:webHidden/>
          </w:rPr>
          <w:fldChar w:fldCharType="separate"/>
        </w:r>
        <w:r w:rsidR="00D87DBB">
          <w:rPr>
            <w:noProof/>
            <w:webHidden/>
          </w:rPr>
          <w:t>175</w:t>
        </w:r>
        <w:r w:rsidR="00EF47FB">
          <w:rPr>
            <w:noProof/>
            <w:webHidden/>
          </w:rPr>
          <w:fldChar w:fldCharType="end"/>
        </w:r>
      </w:hyperlink>
    </w:p>
    <w:p w14:paraId="0C5DDA7D" w14:textId="36FFC8AA" w:rsidR="00EF47FB" w:rsidRDefault="00864C5E">
      <w:pPr>
        <w:pStyle w:val="TableofFigures"/>
        <w:tabs>
          <w:tab w:val="right" w:leader="dot" w:pos="9017"/>
        </w:tabs>
        <w:rPr>
          <w:rFonts w:cstheme="minorBidi"/>
          <w:noProof/>
          <w:sz w:val="22"/>
          <w:szCs w:val="22"/>
          <w:lang w:eastAsia="en-AU"/>
        </w:rPr>
      </w:pPr>
      <w:hyperlink w:anchor="_Toc513129908" w:history="1">
        <w:r w:rsidR="00EF47FB" w:rsidRPr="00631558">
          <w:rPr>
            <w:rStyle w:val="Hyperlink"/>
            <w:noProof/>
          </w:rPr>
          <w:t>Table A2.15: Comparison of employment, education and positive outcomes for job seekers between JSA 2009 and 2012, LTU (percentage point difference)</w:t>
        </w:r>
        <w:r w:rsidR="00EF47FB">
          <w:rPr>
            <w:noProof/>
            <w:webHidden/>
          </w:rPr>
          <w:tab/>
        </w:r>
        <w:r w:rsidR="00EF47FB">
          <w:rPr>
            <w:noProof/>
            <w:webHidden/>
          </w:rPr>
          <w:fldChar w:fldCharType="begin"/>
        </w:r>
        <w:r w:rsidR="00EF47FB">
          <w:rPr>
            <w:noProof/>
            <w:webHidden/>
          </w:rPr>
          <w:instrText xml:space="preserve"> PAGEREF _Toc513129908 \h </w:instrText>
        </w:r>
        <w:r w:rsidR="00EF47FB">
          <w:rPr>
            <w:noProof/>
            <w:webHidden/>
          </w:rPr>
        </w:r>
        <w:r w:rsidR="00EF47FB">
          <w:rPr>
            <w:noProof/>
            <w:webHidden/>
          </w:rPr>
          <w:fldChar w:fldCharType="separate"/>
        </w:r>
        <w:r w:rsidR="00D87DBB">
          <w:rPr>
            <w:noProof/>
            <w:webHidden/>
          </w:rPr>
          <w:t>177</w:t>
        </w:r>
        <w:r w:rsidR="00EF47FB">
          <w:rPr>
            <w:noProof/>
            <w:webHidden/>
          </w:rPr>
          <w:fldChar w:fldCharType="end"/>
        </w:r>
      </w:hyperlink>
    </w:p>
    <w:p w14:paraId="0793AAA1" w14:textId="672B5F40" w:rsidR="00EF47FB" w:rsidRDefault="00864C5E">
      <w:pPr>
        <w:pStyle w:val="TableofFigures"/>
        <w:tabs>
          <w:tab w:val="right" w:leader="dot" w:pos="9017"/>
        </w:tabs>
        <w:rPr>
          <w:rFonts w:cstheme="minorBidi"/>
          <w:noProof/>
          <w:sz w:val="22"/>
          <w:szCs w:val="22"/>
          <w:lang w:eastAsia="en-AU"/>
        </w:rPr>
      </w:pPr>
      <w:hyperlink w:anchor="_Toc513129909" w:history="1">
        <w:r w:rsidR="00EF47FB" w:rsidRPr="00631558">
          <w:rPr>
            <w:rStyle w:val="Hyperlink"/>
            <w:noProof/>
          </w:rPr>
          <w:t>Table A2.16: Intensive activity type, 2009 and 2012 Steam 1 servicing study population (per cent)</w:t>
        </w:r>
        <w:r w:rsidR="00EF47FB">
          <w:rPr>
            <w:noProof/>
            <w:webHidden/>
          </w:rPr>
          <w:tab/>
        </w:r>
        <w:r w:rsidR="00EF47FB">
          <w:rPr>
            <w:noProof/>
            <w:webHidden/>
          </w:rPr>
          <w:fldChar w:fldCharType="begin"/>
        </w:r>
        <w:r w:rsidR="00EF47FB">
          <w:rPr>
            <w:noProof/>
            <w:webHidden/>
          </w:rPr>
          <w:instrText xml:space="preserve"> PAGEREF _Toc513129909 \h </w:instrText>
        </w:r>
        <w:r w:rsidR="00EF47FB">
          <w:rPr>
            <w:noProof/>
            <w:webHidden/>
          </w:rPr>
        </w:r>
        <w:r w:rsidR="00EF47FB">
          <w:rPr>
            <w:noProof/>
            <w:webHidden/>
          </w:rPr>
          <w:fldChar w:fldCharType="separate"/>
        </w:r>
        <w:r w:rsidR="00D87DBB">
          <w:rPr>
            <w:noProof/>
            <w:webHidden/>
          </w:rPr>
          <w:t>179</w:t>
        </w:r>
        <w:r w:rsidR="00EF47FB">
          <w:rPr>
            <w:noProof/>
            <w:webHidden/>
          </w:rPr>
          <w:fldChar w:fldCharType="end"/>
        </w:r>
      </w:hyperlink>
    </w:p>
    <w:p w14:paraId="4705A553" w14:textId="3136051C" w:rsidR="00EF47FB" w:rsidRDefault="00864C5E">
      <w:pPr>
        <w:pStyle w:val="TableofFigures"/>
        <w:tabs>
          <w:tab w:val="right" w:leader="dot" w:pos="9017"/>
        </w:tabs>
        <w:rPr>
          <w:rFonts w:cstheme="minorBidi"/>
          <w:noProof/>
          <w:sz w:val="22"/>
          <w:szCs w:val="22"/>
          <w:lang w:eastAsia="en-AU"/>
        </w:rPr>
      </w:pPr>
      <w:hyperlink w:anchor="_Toc513129910" w:history="1">
        <w:r w:rsidR="00EF47FB" w:rsidRPr="00631558">
          <w:rPr>
            <w:rStyle w:val="Hyperlink"/>
            <w:noProof/>
          </w:rPr>
          <w:t>Table A2.17: Number of weeks in service to start of Intensive Activity, 2009 and 2012 Steam 1 servicing study population (per cent)</w:t>
        </w:r>
        <w:r w:rsidR="00EF47FB">
          <w:rPr>
            <w:noProof/>
            <w:webHidden/>
          </w:rPr>
          <w:tab/>
        </w:r>
        <w:r w:rsidR="00EF47FB">
          <w:rPr>
            <w:noProof/>
            <w:webHidden/>
          </w:rPr>
          <w:fldChar w:fldCharType="begin"/>
        </w:r>
        <w:r w:rsidR="00EF47FB">
          <w:rPr>
            <w:noProof/>
            <w:webHidden/>
          </w:rPr>
          <w:instrText xml:space="preserve"> PAGEREF _Toc513129910 \h </w:instrText>
        </w:r>
        <w:r w:rsidR="00EF47FB">
          <w:rPr>
            <w:noProof/>
            <w:webHidden/>
          </w:rPr>
        </w:r>
        <w:r w:rsidR="00EF47FB">
          <w:rPr>
            <w:noProof/>
            <w:webHidden/>
          </w:rPr>
          <w:fldChar w:fldCharType="separate"/>
        </w:r>
        <w:r w:rsidR="00D87DBB">
          <w:rPr>
            <w:noProof/>
            <w:webHidden/>
          </w:rPr>
          <w:t>180</w:t>
        </w:r>
        <w:r w:rsidR="00EF47FB">
          <w:rPr>
            <w:noProof/>
            <w:webHidden/>
          </w:rPr>
          <w:fldChar w:fldCharType="end"/>
        </w:r>
      </w:hyperlink>
    </w:p>
    <w:p w14:paraId="3EA43BE4" w14:textId="380A8ECC" w:rsidR="00EF47FB" w:rsidRDefault="00864C5E">
      <w:pPr>
        <w:pStyle w:val="TableofFigures"/>
        <w:tabs>
          <w:tab w:val="right" w:leader="dot" w:pos="9017"/>
        </w:tabs>
        <w:rPr>
          <w:rFonts w:cstheme="minorBidi"/>
          <w:noProof/>
          <w:sz w:val="22"/>
          <w:szCs w:val="22"/>
          <w:lang w:eastAsia="en-AU"/>
        </w:rPr>
      </w:pPr>
      <w:hyperlink w:anchor="_Toc513129911" w:history="1">
        <w:r w:rsidR="00EF47FB" w:rsidRPr="00631558">
          <w:rPr>
            <w:rStyle w:val="Hyperlink"/>
            <w:noProof/>
          </w:rPr>
          <w:t>Table A2.18: Number of weeks in service to conduct Skills Assessment, 2009 and 2012 Steam 1 servicing study population (per cent)</w:t>
        </w:r>
        <w:r w:rsidR="00EF47FB">
          <w:rPr>
            <w:noProof/>
            <w:webHidden/>
          </w:rPr>
          <w:tab/>
        </w:r>
        <w:r w:rsidR="00EF47FB">
          <w:rPr>
            <w:noProof/>
            <w:webHidden/>
          </w:rPr>
          <w:fldChar w:fldCharType="begin"/>
        </w:r>
        <w:r w:rsidR="00EF47FB">
          <w:rPr>
            <w:noProof/>
            <w:webHidden/>
          </w:rPr>
          <w:instrText xml:space="preserve"> PAGEREF _Toc513129911 \h </w:instrText>
        </w:r>
        <w:r w:rsidR="00EF47FB">
          <w:rPr>
            <w:noProof/>
            <w:webHidden/>
          </w:rPr>
        </w:r>
        <w:r w:rsidR="00EF47FB">
          <w:rPr>
            <w:noProof/>
            <w:webHidden/>
          </w:rPr>
          <w:fldChar w:fldCharType="separate"/>
        </w:r>
        <w:r w:rsidR="00D87DBB">
          <w:rPr>
            <w:noProof/>
            <w:webHidden/>
          </w:rPr>
          <w:t>182</w:t>
        </w:r>
        <w:r w:rsidR="00EF47FB">
          <w:rPr>
            <w:noProof/>
            <w:webHidden/>
          </w:rPr>
          <w:fldChar w:fldCharType="end"/>
        </w:r>
      </w:hyperlink>
    </w:p>
    <w:p w14:paraId="3D9A7265" w14:textId="28186E81" w:rsidR="00EF47FB" w:rsidRDefault="00864C5E">
      <w:pPr>
        <w:pStyle w:val="TableofFigures"/>
        <w:tabs>
          <w:tab w:val="right" w:leader="dot" w:pos="9017"/>
        </w:tabs>
        <w:rPr>
          <w:rFonts w:cstheme="minorBidi"/>
          <w:noProof/>
          <w:sz w:val="22"/>
          <w:szCs w:val="22"/>
          <w:lang w:eastAsia="en-AU"/>
        </w:rPr>
      </w:pPr>
      <w:hyperlink w:anchor="_Toc513129912" w:history="1">
        <w:r w:rsidR="00EF47FB" w:rsidRPr="00631558">
          <w:rPr>
            <w:rStyle w:val="Hyperlink"/>
            <w:noProof/>
          </w:rPr>
          <w:t>Table A2.19: Comparison of employment, education and positive outcomes for the two Stream 1 servicing study populations (per cent)</w:t>
        </w:r>
        <w:r w:rsidR="00EF47FB">
          <w:rPr>
            <w:noProof/>
            <w:webHidden/>
          </w:rPr>
          <w:tab/>
        </w:r>
        <w:r w:rsidR="00EF47FB">
          <w:rPr>
            <w:noProof/>
            <w:webHidden/>
          </w:rPr>
          <w:fldChar w:fldCharType="begin"/>
        </w:r>
        <w:r w:rsidR="00EF47FB">
          <w:rPr>
            <w:noProof/>
            <w:webHidden/>
          </w:rPr>
          <w:instrText xml:space="preserve"> PAGEREF _Toc513129912 \h </w:instrText>
        </w:r>
        <w:r w:rsidR="00EF47FB">
          <w:rPr>
            <w:noProof/>
            <w:webHidden/>
          </w:rPr>
        </w:r>
        <w:r w:rsidR="00EF47FB">
          <w:rPr>
            <w:noProof/>
            <w:webHidden/>
          </w:rPr>
          <w:fldChar w:fldCharType="separate"/>
        </w:r>
        <w:r w:rsidR="00D87DBB">
          <w:rPr>
            <w:noProof/>
            <w:webHidden/>
          </w:rPr>
          <w:t>184</w:t>
        </w:r>
        <w:r w:rsidR="00EF47FB">
          <w:rPr>
            <w:noProof/>
            <w:webHidden/>
          </w:rPr>
          <w:fldChar w:fldCharType="end"/>
        </w:r>
      </w:hyperlink>
    </w:p>
    <w:p w14:paraId="69235AFD" w14:textId="4E39F6CD" w:rsidR="00EF47FB" w:rsidRDefault="00864C5E">
      <w:pPr>
        <w:pStyle w:val="TableofFigures"/>
        <w:tabs>
          <w:tab w:val="right" w:leader="dot" w:pos="9017"/>
        </w:tabs>
        <w:rPr>
          <w:rFonts w:cstheme="minorBidi"/>
          <w:noProof/>
          <w:sz w:val="22"/>
          <w:szCs w:val="22"/>
          <w:lang w:eastAsia="en-AU"/>
        </w:rPr>
      </w:pPr>
      <w:hyperlink w:anchor="_Toc513129913" w:history="1">
        <w:r w:rsidR="00EF47FB" w:rsidRPr="00631558">
          <w:rPr>
            <w:rStyle w:val="Hyperlink"/>
            <w:noProof/>
          </w:rPr>
          <w:t>Table A2.20: Number of weeks to  exit service, 2009 and 2012 Stream 1 servicing study populations (per cent)</w:t>
        </w:r>
        <w:r w:rsidR="00EF47FB">
          <w:rPr>
            <w:noProof/>
            <w:webHidden/>
          </w:rPr>
          <w:tab/>
        </w:r>
        <w:r w:rsidR="00EF47FB">
          <w:rPr>
            <w:noProof/>
            <w:webHidden/>
          </w:rPr>
          <w:fldChar w:fldCharType="begin"/>
        </w:r>
        <w:r w:rsidR="00EF47FB">
          <w:rPr>
            <w:noProof/>
            <w:webHidden/>
          </w:rPr>
          <w:instrText xml:space="preserve"> PAGEREF _Toc513129913 \h </w:instrText>
        </w:r>
        <w:r w:rsidR="00EF47FB">
          <w:rPr>
            <w:noProof/>
            <w:webHidden/>
          </w:rPr>
        </w:r>
        <w:r w:rsidR="00EF47FB">
          <w:rPr>
            <w:noProof/>
            <w:webHidden/>
          </w:rPr>
          <w:fldChar w:fldCharType="separate"/>
        </w:r>
        <w:r w:rsidR="00D87DBB">
          <w:rPr>
            <w:noProof/>
            <w:webHidden/>
          </w:rPr>
          <w:t>187</w:t>
        </w:r>
        <w:r w:rsidR="00EF47FB">
          <w:rPr>
            <w:noProof/>
            <w:webHidden/>
          </w:rPr>
          <w:fldChar w:fldCharType="end"/>
        </w:r>
      </w:hyperlink>
    </w:p>
    <w:p w14:paraId="0C6694FF" w14:textId="335F8BB9" w:rsidR="00EF47FB" w:rsidRDefault="00864C5E">
      <w:pPr>
        <w:pStyle w:val="TableofFigures"/>
        <w:tabs>
          <w:tab w:val="right" w:leader="dot" w:pos="9017"/>
        </w:tabs>
        <w:rPr>
          <w:rFonts w:cstheme="minorBidi"/>
          <w:noProof/>
          <w:sz w:val="22"/>
          <w:szCs w:val="22"/>
          <w:lang w:eastAsia="en-AU"/>
        </w:rPr>
      </w:pPr>
      <w:hyperlink w:anchor="_Toc513129914" w:history="1">
        <w:r w:rsidR="00EF47FB" w:rsidRPr="00631558">
          <w:rPr>
            <w:rStyle w:val="Hyperlink"/>
            <w:noProof/>
          </w:rPr>
          <w:t>Table A2.21: Conditional probability of leaving service in a given week, 2009 and 2012 Stream 1 servicing study populations</w:t>
        </w:r>
        <w:r w:rsidR="00EF47FB">
          <w:rPr>
            <w:noProof/>
            <w:webHidden/>
          </w:rPr>
          <w:tab/>
        </w:r>
        <w:r w:rsidR="00EF47FB">
          <w:rPr>
            <w:noProof/>
            <w:webHidden/>
          </w:rPr>
          <w:fldChar w:fldCharType="begin"/>
        </w:r>
        <w:r w:rsidR="00EF47FB">
          <w:rPr>
            <w:noProof/>
            <w:webHidden/>
          </w:rPr>
          <w:instrText xml:space="preserve"> PAGEREF _Toc513129914 \h </w:instrText>
        </w:r>
        <w:r w:rsidR="00EF47FB">
          <w:rPr>
            <w:noProof/>
            <w:webHidden/>
          </w:rPr>
        </w:r>
        <w:r w:rsidR="00EF47FB">
          <w:rPr>
            <w:noProof/>
            <w:webHidden/>
          </w:rPr>
          <w:fldChar w:fldCharType="separate"/>
        </w:r>
        <w:r w:rsidR="00D87DBB">
          <w:rPr>
            <w:noProof/>
            <w:webHidden/>
          </w:rPr>
          <w:t>189</w:t>
        </w:r>
        <w:r w:rsidR="00EF47FB">
          <w:rPr>
            <w:noProof/>
            <w:webHidden/>
          </w:rPr>
          <w:fldChar w:fldCharType="end"/>
        </w:r>
      </w:hyperlink>
    </w:p>
    <w:p w14:paraId="566EC27E" w14:textId="14637AF9" w:rsidR="00EF47FB" w:rsidRDefault="00864C5E">
      <w:pPr>
        <w:pStyle w:val="TableofFigures"/>
        <w:tabs>
          <w:tab w:val="right" w:leader="dot" w:pos="9017"/>
        </w:tabs>
        <w:rPr>
          <w:rFonts w:cstheme="minorBidi"/>
          <w:noProof/>
          <w:sz w:val="22"/>
          <w:szCs w:val="22"/>
          <w:lang w:eastAsia="en-AU"/>
        </w:rPr>
      </w:pPr>
      <w:hyperlink w:anchor="_Toc513129915" w:history="1">
        <w:r w:rsidR="00EF47FB" w:rsidRPr="00631558">
          <w:rPr>
            <w:rStyle w:val="Hyperlink"/>
            <w:noProof/>
          </w:rPr>
          <w:t>Table A2.22: Median time in employment services, 2009 and 2012 Stream 1 servicing study populations (days)</w:t>
        </w:r>
        <w:r w:rsidR="00EF47FB">
          <w:rPr>
            <w:noProof/>
            <w:webHidden/>
          </w:rPr>
          <w:tab/>
        </w:r>
        <w:r w:rsidR="00EF47FB">
          <w:rPr>
            <w:noProof/>
            <w:webHidden/>
          </w:rPr>
          <w:fldChar w:fldCharType="begin"/>
        </w:r>
        <w:r w:rsidR="00EF47FB">
          <w:rPr>
            <w:noProof/>
            <w:webHidden/>
          </w:rPr>
          <w:instrText xml:space="preserve"> PAGEREF _Toc513129915 \h </w:instrText>
        </w:r>
        <w:r w:rsidR="00EF47FB">
          <w:rPr>
            <w:noProof/>
            <w:webHidden/>
          </w:rPr>
        </w:r>
        <w:r w:rsidR="00EF47FB">
          <w:rPr>
            <w:noProof/>
            <w:webHidden/>
          </w:rPr>
          <w:fldChar w:fldCharType="separate"/>
        </w:r>
        <w:r w:rsidR="00D87DBB">
          <w:rPr>
            <w:noProof/>
            <w:webHidden/>
          </w:rPr>
          <w:t>191</w:t>
        </w:r>
        <w:r w:rsidR="00EF47FB">
          <w:rPr>
            <w:noProof/>
            <w:webHidden/>
          </w:rPr>
          <w:fldChar w:fldCharType="end"/>
        </w:r>
      </w:hyperlink>
    </w:p>
    <w:p w14:paraId="72283D07" w14:textId="62C97A2F" w:rsidR="00EF47FB" w:rsidRDefault="00864C5E">
      <w:pPr>
        <w:pStyle w:val="TableofFigures"/>
        <w:tabs>
          <w:tab w:val="right" w:leader="dot" w:pos="9017"/>
        </w:tabs>
        <w:rPr>
          <w:rFonts w:cstheme="minorBidi"/>
          <w:noProof/>
          <w:sz w:val="22"/>
          <w:szCs w:val="22"/>
          <w:lang w:eastAsia="en-AU"/>
        </w:rPr>
      </w:pPr>
      <w:hyperlink w:anchor="_Toc513129916" w:history="1">
        <w:r w:rsidR="00EF47FB" w:rsidRPr="00631558">
          <w:rPr>
            <w:rStyle w:val="Hyperlink"/>
            <w:noProof/>
          </w:rPr>
          <w:t>Table A2.23: Probability of being off income support 12 months after commencing in service, 2009 and 2012 Stream 1 servicing study populations (probability and percentage point)</w:t>
        </w:r>
        <w:r w:rsidR="00EF47FB">
          <w:rPr>
            <w:noProof/>
            <w:webHidden/>
          </w:rPr>
          <w:tab/>
        </w:r>
        <w:r w:rsidR="00EF47FB">
          <w:rPr>
            <w:noProof/>
            <w:webHidden/>
          </w:rPr>
          <w:fldChar w:fldCharType="begin"/>
        </w:r>
        <w:r w:rsidR="00EF47FB">
          <w:rPr>
            <w:noProof/>
            <w:webHidden/>
          </w:rPr>
          <w:instrText xml:space="preserve"> PAGEREF _Toc513129916 \h </w:instrText>
        </w:r>
        <w:r w:rsidR="00EF47FB">
          <w:rPr>
            <w:noProof/>
            <w:webHidden/>
          </w:rPr>
        </w:r>
        <w:r w:rsidR="00EF47FB">
          <w:rPr>
            <w:noProof/>
            <w:webHidden/>
          </w:rPr>
          <w:fldChar w:fldCharType="separate"/>
        </w:r>
        <w:r w:rsidR="00D87DBB">
          <w:rPr>
            <w:noProof/>
            <w:webHidden/>
          </w:rPr>
          <w:t>193</w:t>
        </w:r>
        <w:r w:rsidR="00EF47FB">
          <w:rPr>
            <w:noProof/>
            <w:webHidden/>
          </w:rPr>
          <w:fldChar w:fldCharType="end"/>
        </w:r>
      </w:hyperlink>
    </w:p>
    <w:p w14:paraId="0CBA2CE8" w14:textId="3BFA2FDE" w:rsidR="00EF47FB" w:rsidRDefault="00864C5E">
      <w:pPr>
        <w:pStyle w:val="TableofFigures"/>
        <w:tabs>
          <w:tab w:val="right" w:leader="dot" w:pos="9017"/>
        </w:tabs>
        <w:rPr>
          <w:rFonts w:cstheme="minorBidi"/>
          <w:noProof/>
          <w:sz w:val="22"/>
          <w:szCs w:val="22"/>
          <w:lang w:eastAsia="en-AU"/>
        </w:rPr>
      </w:pPr>
      <w:hyperlink w:anchor="_Toc513129917" w:history="1">
        <w:r w:rsidR="00EF47FB" w:rsidRPr="00631558">
          <w:rPr>
            <w:rStyle w:val="Hyperlink"/>
            <w:noProof/>
          </w:rPr>
          <w:t>Table A2.24: Cost effectiveness ratios, 2009 and 2012 Stream 1 servicing study populations</w:t>
        </w:r>
        <w:r w:rsidR="00EF47FB">
          <w:rPr>
            <w:noProof/>
            <w:webHidden/>
          </w:rPr>
          <w:tab/>
        </w:r>
        <w:r w:rsidR="00EF47FB">
          <w:rPr>
            <w:noProof/>
            <w:webHidden/>
          </w:rPr>
          <w:fldChar w:fldCharType="begin"/>
        </w:r>
        <w:r w:rsidR="00EF47FB">
          <w:rPr>
            <w:noProof/>
            <w:webHidden/>
          </w:rPr>
          <w:instrText xml:space="preserve"> PAGEREF _Toc513129917 \h </w:instrText>
        </w:r>
        <w:r w:rsidR="00EF47FB">
          <w:rPr>
            <w:noProof/>
            <w:webHidden/>
          </w:rPr>
        </w:r>
        <w:r w:rsidR="00EF47FB">
          <w:rPr>
            <w:noProof/>
            <w:webHidden/>
          </w:rPr>
          <w:fldChar w:fldCharType="separate"/>
        </w:r>
        <w:r w:rsidR="00D87DBB">
          <w:rPr>
            <w:noProof/>
            <w:webHidden/>
          </w:rPr>
          <w:t>194</w:t>
        </w:r>
        <w:r w:rsidR="00EF47FB">
          <w:rPr>
            <w:noProof/>
            <w:webHidden/>
          </w:rPr>
          <w:fldChar w:fldCharType="end"/>
        </w:r>
      </w:hyperlink>
    </w:p>
    <w:p w14:paraId="5D598164" w14:textId="3098D888" w:rsidR="00EF47FB" w:rsidRDefault="00864C5E">
      <w:pPr>
        <w:pStyle w:val="TableofFigures"/>
        <w:tabs>
          <w:tab w:val="right" w:leader="dot" w:pos="9017"/>
        </w:tabs>
        <w:rPr>
          <w:rFonts w:cstheme="minorBidi"/>
          <w:noProof/>
          <w:sz w:val="22"/>
          <w:szCs w:val="22"/>
          <w:lang w:eastAsia="en-AU"/>
        </w:rPr>
      </w:pPr>
      <w:hyperlink w:anchor="_Toc513129918" w:history="1">
        <w:r w:rsidR="00EF47FB" w:rsidRPr="00631558">
          <w:rPr>
            <w:rStyle w:val="Hyperlink"/>
            <w:noProof/>
          </w:rPr>
          <w:t>Table A2.25: Number of days from registration to the conduct of a Stream Services Review (per cent)</w:t>
        </w:r>
        <w:r w:rsidR="00EF47FB">
          <w:rPr>
            <w:noProof/>
            <w:webHidden/>
          </w:rPr>
          <w:tab/>
        </w:r>
        <w:r w:rsidR="00EF47FB">
          <w:rPr>
            <w:noProof/>
            <w:webHidden/>
          </w:rPr>
          <w:fldChar w:fldCharType="begin"/>
        </w:r>
        <w:r w:rsidR="00EF47FB">
          <w:rPr>
            <w:noProof/>
            <w:webHidden/>
          </w:rPr>
          <w:instrText xml:space="preserve"> PAGEREF _Toc513129918 \h </w:instrText>
        </w:r>
        <w:r w:rsidR="00EF47FB">
          <w:rPr>
            <w:noProof/>
            <w:webHidden/>
          </w:rPr>
        </w:r>
        <w:r w:rsidR="00EF47FB">
          <w:rPr>
            <w:noProof/>
            <w:webHidden/>
          </w:rPr>
          <w:fldChar w:fldCharType="separate"/>
        </w:r>
        <w:r w:rsidR="00D87DBB">
          <w:rPr>
            <w:noProof/>
            <w:webHidden/>
          </w:rPr>
          <w:t>195</w:t>
        </w:r>
        <w:r w:rsidR="00EF47FB">
          <w:rPr>
            <w:noProof/>
            <w:webHidden/>
          </w:rPr>
          <w:fldChar w:fldCharType="end"/>
        </w:r>
      </w:hyperlink>
    </w:p>
    <w:p w14:paraId="4DC5D39C" w14:textId="0AA99D7A" w:rsidR="00EF47FB" w:rsidRDefault="00864C5E">
      <w:pPr>
        <w:pStyle w:val="TableofFigures"/>
        <w:tabs>
          <w:tab w:val="right" w:leader="dot" w:pos="9017"/>
        </w:tabs>
        <w:rPr>
          <w:rFonts w:cstheme="minorBidi"/>
          <w:noProof/>
          <w:sz w:val="22"/>
          <w:szCs w:val="22"/>
          <w:lang w:eastAsia="en-AU"/>
        </w:rPr>
      </w:pPr>
      <w:hyperlink w:anchor="_Toc513129919" w:history="1">
        <w:r w:rsidR="00EF47FB" w:rsidRPr="00631558">
          <w:rPr>
            <w:rStyle w:val="Hyperlink"/>
            <w:rFonts w:eastAsiaTheme="majorEastAsia"/>
            <w:noProof/>
          </w:rPr>
          <w:t>Table A2.26: Time in service to the first assessment that recommended the job seeker move to a higher stream or to DES by commencement stream (days and ppt)</w:t>
        </w:r>
        <w:r w:rsidR="00EF47FB">
          <w:rPr>
            <w:noProof/>
            <w:webHidden/>
          </w:rPr>
          <w:tab/>
        </w:r>
        <w:r w:rsidR="00EF47FB">
          <w:rPr>
            <w:noProof/>
            <w:webHidden/>
          </w:rPr>
          <w:fldChar w:fldCharType="begin"/>
        </w:r>
        <w:r w:rsidR="00EF47FB">
          <w:rPr>
            <w:noProof/>
            <w:webHidden/>
          </w:rPr>
          <w:instrText xml:space="preserve"> PAGEREF _Toc513129919 \h </w:instrText>
        </w:r>
        <w:r w:rsidR="00EF47FB">
          <w:rPr>
            <w:noProof/>
            <w:webHidden/>
          </w:rPr>
        </w:r>
        <w:r w:rsidR="00EF47FB">
          <w:rPr>
            <w:noProof/>
            <w:webHidden/>
          </w:rPr>
          <w:fldChar w:fldCharType="separate"/>
        </w:r>
        <w:r w:rsidR="00D87DBB">
          <w:rPr>
            <w:noProof/>
            <w:webHidden/>
          </w:rPr>
          <w:t>198</w:t>
        </w:r>
        <w:r w:rsidR="00EF47FB">
          <w:rPr>
            <w:noProof/>
            <w:webHidden/>
          </w:rPr>
          <w:fldChar w:fldCharType="end"/>
        </w:r>
      </w:hyperlink>
    </w:p>
    <w:p w14:paraId="3953F24C" w14:textId="4CD1B49B" w:rsidR="00EF47FB" w:rsidRDefault="00864C5E">
      <w:pPr>
        <w:pStyle w:val="TableofFigures"/>
        <w:tabs>
          <w:tab w:val="right" w:leader="dot" w:pos="9017"/>
        </w:tabs>
        <w:rPr>
          <w:rFonts w:cstheme="minorBidi"/>
          <w:noProof/>
          <w:sz w:val="22"/>
          <w:szCs w:val="22"/>
          <w:lang w:eastAsia="en-AU"/>
        </w:rPr>
      </w:pPr>
      <w:hyperlink w:anchor="_Toc513129920" w:history="1">
        <w:r w:rsidR="00EF47FB" w:rsidRPr="00631558">
          <w:rPr>
            <w:rStyle w:val="Hyperlink"/>
            <w:noProof/>
          </w:rPr>
          <w:t>Table A2.27: Number of days in service from commencement in Stream 1 to the first assessment that recommended higher servicing (per cent)</w:t>
        </w:r>
        <w:r w:rsidR="00EF47FB">
          <w:rPr>
            <w:noProof/>
            <w:webHidden/>
          </w:rPr>
          <w:tab/>
        </w:r>
        <w:r w:rsidR="00EF47FB">
          <w:rPr>
            <w:noProof/>
            <w:webHidden/>
          </w:rPr>
          <w:fldChar w:fldCharType="begin"/>
        </w:r>
        <w:r w:rsidR="00EF47FB">
          <w:rPr>
            <w:noProof/>
            <w:webHidden/>
          </w:rPr>
          <w:instrText xml:space="preserve"> PAGEREF _Toc513129920 \h </w:instrText>
        </w:r>
        <w:r w:rsidR="00EF47FB">
          <w:rPr>
            <w:noProof/>
            <w:webHidden/>
          </w:rPr>
        </w:r>
        <w:r w:rsidR="00EF47FB">
          <w:rPr>
            <w:noProof/>
            <w:webHidden/>
          </w:rPr>
          <w:fldChar w:fldCharType="separate"/>
        </w:r>
        <w:r w:rsidR="00D87DBB">
          <w:rPr>
            <w:noProof/>
            <w:webHidden/>
          </w:rPr>
          <w:t>199</w:t>
        </w:r>
        <w:r w:rsidR="00EF47FB">
          <w:rPr>
            <w:noProof/>
            <w:webHidden/>
          </w:rPr>
          <w:fldChar w:fldCharType="end"/>
        </w:r>
      </w:hyperlink>
    </w:p>
    <w:p w14:paraId="6483134A" w14:textId="3F5CEABD" w:rsidR="00EF47FB" w:rsidRDefault="00864C5E">
      <w:pPr>
        <w:pStyle w:val="TableofFigures"/>
        <w:tabs>
          <w:tab w:val="right" w:leader="dot" w:pos="9017"/>
        </w:tabs>
        <w:rPr>
          <w:rFonts w:cstheme="minorBidi"/>
          <w:noProof/>
          <w:sz w:val="22"/>
          <w:szCs w:val="22"/>
          <w:lang w:eastAsia="en-AU"/>
        </w:rPr>
      </w:pPr>
      <w:hyperlink w:anchor="_Toc513129921" w:history="1">
        <w:r w:rsidR="00EF47FB" w:rsidRPr="00631558">
          <w:rPr>
            <w:rStyle w:val="Hyperlink"/>
            <w:noProof/>
          </w:rPr>
          <w:t>Table A2.28: Number of days from registration to transition to the Work Experience Phase (per cent)</w:t>
        </w:r>
        <w:r w:rsidR="00EF47FB">
          <w:rPr>
            <w:noProof/>
            <w:webHidden/>
          </w:rPr>
          <w:tab/>
        </w:r>
        <w:r w:rsidR="00EF47FB">
          <w:rPr>
            <w:noProof/>
            <w:webHidden/>
          </w:rPr>
          <w:fldChar w:fldCharType="begin"/>
        </w:r>
        <w:r w:rsidR="00EF47FB">
          <w:rPr>
            <w:noProof/>
            <w:webHidden/>
          </w:rPr>
          <w:instrText xml:space="preserve"> PAGEREF _Toc513129921 \h </w:instrText>
        </w:r>
        <w:r w:rsidR="00EF47FB">
          <w:rPr>
            <w:noProof/>
            <w:webHidden/>
          </w:rPr>
        </w:r>
        <w:r w:rsidR="00EF47FB">
          <w:rPr>
            <w:noProof/>
            <w:webHidden/>
          </w:rPr>
          <w:fldChar w:fldCharType="separate"/>
        </w:r>
        <w:r w:rsidR="00D87DBB">
          <w:rPr>
            <w:noProof/>
            <w:webHidden/>
          </w:rPr>
          <w:t>201</w:t>
        </w:r>
        <w:r w:rsidR="00EF47FB">
          <w:rPr>
            <w:noProof/>
            <w:webHidden/>
          </w:rPr>
          <w:fldChar w:fldCharType="end"/>
        </w:r>
      </w:hyperlink>
    </w:p>
    <w:p w14:paraId="1387FB3E" w14:textId="02644C6C" w:rsidR="00EF47FB" w:rsidRDefault="00864C5E">
      <w:pPr>
        <w:pStyle w:val="TableofFigures"/>
        <w:tabs>
          <w:tab w:val="right" w:leader="dot" w:pos="9017"/>
        </w:tabs>
        <w:rPr>
          <w:rFonts w:cstheme="minorBidi"/>
          <w:noProof/>
          <w:sz w:val="22"/>
          <w:szCs w:val="22"/>
          <w:lang w:eastAsia="en-AU"/>
        </w:rPr>
      </w:pPr>
      <w:hyperlink w:anchor="_Toc513129922" w:history="1">
        <w:r w:rsidR="00EF47FB" w:rsidRPr="00631558">
          <w:rPr>
            <w:rStyle w:val="Hyperlink"/>
            <w:noProof/>
          </w:rPr>
          <w:t>Table A2.29: Weekly rates of starting the Compulsory Activity Phase (CAP) and exiting income support for the treatment group (per cent)</w:t>
        </w:r>
        <w:r w:rsidR="00EF47FB">
          <w:rPr>
            <w:noProof/>
            <w:webHidden/>
          </w:rPr>
          <w:tab/>
        </w:r>
        <w:r w:rsidR="00EF47FB">
          <w:rPr>
            <w:noProof/>
            <w:webHidden/>
          </w:rPr>
          <w:fldChar w:fldCharType="begin"/>
        </w:r>
        <w:r w:rsidR="00EF47FB">
          <w:rPr>
            <w:noProof/>
            <w:webHidden/>
          </w:rPr>
          <w:instrText xml:space="preserve"> PAGEREF _Toc513129922 \h </w:instrText>
        </w:r>
        <w:r w:rsidR="00EF47FB">
          <w:rPr>
            <w:noProof/>
            <w:webHidden/>
          </w:rPr>
        </w:r>
        <w:r w:rsidR="00EF47FB">
          <w:rPr>
            <w:noProof/>
            <w:webHidden/>
          </w:rPr>
          <w:fldChar w:fldCharType="separate"/>
        </w:r>
        <w:r w:rsidR="00D87DBB">
          <w:rPr>
            <w:noProof/>
            <w:webHidden/>
          </w:rPr>
          <w:t>203</w:t>
        </w:r>
        <w:r w:rsidR="00EF47FB">
          <w:rPr>
            <w:noProof/>
            <w:webHidden/>
          </w:rPr>
          <w:fldChar w:fldCharType="end"/>
        </w:r>
      </w:hyperlink>
    </w:p>
    <w:p w14:paraId="62BE2894" w14:textId="5BFA413A" w:rsidR="00EF47FB" w:rsidRDefault="00864C5E">
      <w:pPr>
        <w:pStyle w:val="TableofFigures"/>
        <w:tabs>
          <w:tab w:val="right" w:leader="dot" w:pos="9017"/>
        </w:tabs>
        <w:rPr>
          <w:rFonts w:cstheme="minorBidi"/>
          <w:noProof/>
          <w:sz w:val="22"/>
          <w:szCs w:val="22"/>
          <w:lang w:eastAsia="en-AU"/>
        </w:rPr>
      </w:pPr>
      <w:hyperlink w:anchor="_Toc513129923" w:history="1">
        <w:r w:rsidR="00EF47FB" w:rsidRPr="00631558">
          <w:rPr>
            <w:rStyle w:val="Hyperlink"/>
            <w:noProof/>
          </w:rPr>
          <w:t>Table A2.30: Number and distribution of first exemption reason in the follow-up period (number and per cent)</w:t>
        </w:r>
        <w:r w:rsidR="00EF47FB">
          <w:rPr>
            <w:noProof/>
            <w:webHidden/>
          </w:rPr>
          <w:tab/>
        </w:r>
        <w:r w:rsidR="00EF47FB">
          <w:rPr>
            <w:noProof/>
            <w:webHidden/>
          </w:rPr>
          <w:fldChar w:fldCharType="begin"/>
        </w:r>
        <w:r w:rsidR="00EF47FB">
          <w:rPr>
            <w:noProof/>
            <w:webHidden/>
          </w:rPr>
          <w:instrText xml:space="preserve"> PAGEREF _Toc513129923 \h </w:instrText>
        </w:r>
        <w:r w:rsidR="00EF47FB">
          <w:rPr>
            <w:noProof/>
            <w:webHidden/>
          </w:rPr>
        </w:r>
        <w:r w:rsidR="00EF47FB">
          <w:rPr>
            <w:noProof/>
            <w:webHidden/>
          </w:rPr>
          <w:fldChar w:fldCharType="separate"/>
        </w:r>
        <w:r w:rsidR="00D87DBB">
          <w:rPr>
            <w:noProof/>
            <w:webHidden/>
          </w:rPr>
          <w:t>205</w:t>
        </w:r>
        <w:r w:rsidR="00EF47FB">
          <w:rPr>
            <w:noProof/>
            <w:webHidden/>
          </w:rPr>
          <w:fldChar w:fldCharType="end"/>
        </w:r>
      </w:hyperlink>
    </w:p>
    <w:p w14:paraId="3427924E" w14:textId="1D1885E5" w:rsidR="00EF47FB" w:rsidRDefault="00864C5E">
      <w:pPr>
        <w:pStyle w:val="TableofFigures"/>
        <w:tabs>
          <w:tab w:val="right" w:leader="dot" w:pos="9017"/>
        </w:tabs>
        <w:rPr>
          <w:rFonts w:cstheme="minorBidi"/>
          <w:noProof/>
          <w:sz w:val="22"/>
          <w:szCs w:val="22"/>
          <w:lang w:eastAsia="en-AU"/>
        </w:rPr>
      </w:pPr>
      <w:hyperlink w:anchor="_Toc513129924" w:history="1">
        <w:r w:rsidR="00EF47FB" w:rsidRPr="00631558">
          <w:rPr>
            <w:rStyle w:val="Hyperlink"/>
            <w:noProof/>
          </w:rPr>
          <w:t>Table A2.31: Weekly rates of starting the Compulsory Activity Phase (CAP) and starting exemption for the treatment group (per cent)</w:t>
        </w:r>
        <w:r w:rsidR="00EF47FB">
          <w:rPr>
            <w:noProof/>
            <w:webHidden/>
          </w:rPr>
          <w:tab/>
        </w:r>
        <w:r w:rsidR="00EF47FB">
          <w:rPr>
            <w:noProof/>
            <w:webHidden/>
          </w:rPr>
          <w:fldChar w:fldCharType="begin"/>
        </w:r>
        <w:r w:rsidR="00EF47FB">
          <w:rPr>
            <w:noProof/>
            <w:webHidden/>
          </w:rPr>
          <w:instrText xml:space="preserve"> PAGEREF _Toc513129924 \h </w:instrText>
        </w:r>
        <w:r w:rsidR="00EF47FB">
          <w:rPr>
            <w:noProof/>
            <w:webHidden/>
          </w:rPr>
        </w:r>
        <w:r w:rsidR="00EF47FB">
          <w:rPr>
            <w:noProof/>
            <w:webHidden/>
          </w:rPr>
          <w:fldChar w:fldCharType="separate"/>
        </w:r>
        <w:r w:rsidR="00D87DBB">
          <w:rPr>
            <w:noProof/>
            <w:webHidden/>
          </w:rPr>
          <w:t>206</w:t>
        </w:r>
        <w:r w:rsidR="00EF47FB">
          <w:rPr>
            <w:noProof/>
            <w:webHidden/>
          </w:rPr>
          <w:fldChar w:fldCharType="end"/>
        </w:r>
      </w:hyperlink>
    </w:p>
    <w:p w14:paraId="6D247A53" w14:textId="27E77D62" w:rsidR="00EF47FB" w:rsidRDefault="00864C5E">
      <w:pPr>
        <w:pStyle w:val="TableofFigures"/>
        <w:tabs>
          <w:tab w:val="right" w:leader="dot" w:pos="9017"/>
        </w:tabs>
        <w:rPr>
          <w:rFonts w:cstheme="minorBidi"/>
          <w:noProof/>
          <w:sz w:val="22"/>
          <w:szCs w:val="22"/>
          <w:lang w:eastAsia="en-AU"/>
        </w:rPr>
      </w:pPr>
      <w:hyperlink w:anchor="_Toc513129925" w:history="1">
        <w:r w:rsidR="00EF47FB" w:rsidRPr="00631558">
          <w:rPr>
            <w:rStyle w:val="Hyperlink"/>
            <w:noProof/>
          </w:rPr>
          <w:t>Table A2.32: Weekly rates of starting the Compulsory Activity Phase (CAP) and exiting JSA for the treatment group (per cent)</w:t>
        </w:r>
        <w:r w:rsidR="00EF47FB">
          <w:rPr>
            <w:noProof/>
            <w:webHidden/>
          </w:rPr>
          <w:tab/>
        </w:r>
        <w:r w:rsidR="00EF47FB">
          <w:rPr>
            <w:noProof/>
            <w:webHidden/>
          </w:rPr>
          <w:fldChar w:fldCharType="begin"/>
        </w:r>
        <w:r w:rsidR="00EF47FB">
          <w:rPr>
            <w:noProof/>
            <w:webHidden/>
          </w:rPr>
          <w:instrText xml:space="preserve"> PAGEREF _Toc513129925 \h </w:instrText>
        </w:r>
        <w:r w:rsidR="00EF47FB">
          <w:rPr>
            <w:noProof/>
            <w:webHidden/>
          </w:rPr>
        </w:r>
        <w:r w:rsidR="00EF47FB">
          <w:rPr>
            <w:noProof/>
            <w:webHidden/>
          </w:rPr>
          <w:fldChar w:fldCharType="separate"/>
        </w:r>
        <w:r w:rsidR="00D87DBB">
          <w:rPr>
            <w:noProof/>
            <w:webHidden/>
          </w:rPr>
          <w:t>208</w:t>
        </w:r>
        <w:r w:rsidR="00EF47FB">
          <w:rPr>
            <w:noProof/>
            <w:webHidden/>
          </w:rPr>
          <w:fldChar w:fldCharType="end"/>
        </w:r>
      </w:hyperlink>
    </w:p>
    <w:p w14:paraId="2B75A0A3" w14:textId="0753E3B0" w:rsidR="00EF47FB" w:rsidRDefault="00864C5E">
      <w:pPr>
        <w:pStyle w:val="TableofFigures"/>
        <w:tabs>
          <w:tab w:val="right" w:leader="dot" w:pos="9017"/>
        </w:tabs>
        <w:rPr>
          <w:rFonts w:cstheme="minorBidi"/>
          <w:noProof/>
          <w:sz w:val="22"/>
          <w:szCs w:val="22"/>
          <w:lang w:eastAsia="en-AU"/>
        </w:rPr>
      </w:pPr>
      <w:hyperlink w:anchor="_Toc513129926" w:history="1">
        <w:r w:rsidR="00EF47FB" w:rsidRPr="00631558">
          <w:rPr>
            <w:rStyle w:val="Hyperlink"/>
            <w:noProof/>
          </w:rPr>
          <w:t>Table A2.33: Estimated odds ratios for statistically significant independent variables in the final logistic regression model for the Compulsory Activity Phase (CAP) treatment group by number of months since July 2013 (odds ratios)</w:t>
        </w:r>
        <w:r w:rsidR="00EF47FB" w:rsidRPr="00631558">
          <w:rPr>
            <w:rStyle w:val="Hyperlink"/>
            <w:noProof/>
            <w:vertAlign w:val="superscript"/>
          </w:rPr>
          <w:t>(1)</w:t>
        </w:r>
        <w:r w:rsidR="00EF47FB">
          <w:rPr>
            <w:noProof/>
            <w:webHidden/>
          </w:rPr>
          <w:tab/>
        </w:r>
        <w:r w:rsidR="00EF47FB">
          <w:rPr>
            <w:noProof/>
            <w:webHidden/>
          </w:rPr>
          <w:fldChar w:fldCharType="begin"/>
        </w:r>
        <w:r w:rsidR="00EF47FB">
          <w:rPr>
            <w:noProof/>
            <w:webHidden/>
          </w:rPr>
          <w:instrText xml:space="preserve"> PAGEREF _Toc513129926 \h </w:instrText>
        </w:r>
        <w:r w:rsidR="00EF47FB">
          <w:rPr>
            <w:noProof/>
            <w:webHidden/>
          </w:rPr>
        </w:r>
        <w:r w:rsidR="00EF47FB">
          <w:rPr>
            <w:noProof/>
            <w:webHidden/>
          </w:rPr>
          <w:fldChar w:fldCharType="separate"/>
        </w:r>
        <w:r w:rsidR="00D87DBB">
          <w:rPr>
            <w:noProof/>
            <w:webHidden/>
          </w:rPr>
          <w:t>210</w:t>
        </w:r>
        <w:r w:rsidR="00EF47FB">
          <w:rPr>
            <w:noProof/>
            <w:webHidden/>
          </w:rPr>
          <w:fldChar w:fldCharType="end"/>
        </w:r>
      </w:hyperlink>
    </w:p>
    <w:p w14:paraId="5AA06900" w14:textId="4FFCA88B" w:rsidR="00EF47FB" w:rsidRDefault="00864C5E">
      <w:pPr>
        <w:pStyle w:val="TableofFigures"/>
        <w:tabs>
          <w:tab w:val="right" w:leader="dot" w:pos="9017"/>
        </w:tabs>
        <w:rPr>
          <w:rFonts w:cstheme="minorBidi"/>
          <w:noProof/>
          <w:sz w:val="22"/>
          <w:szCs w:val="22"/>
          <w:lang w:eastAsia="en-AU"/>
        </w:rPr>
      </w:pPr>
      <w:hyperlink w:anchor="_Toc513129927" w:history="1">
        <w:r w:rsidR="00EF47FB" w:rsidRPr="00631558">
          <w:rPr>
            <w:rStyle w:val="Hyperlink"/>
            <w:noProof/>
          </w:rPr>
          <w:t>Table A2.34: Comparison of actual and predicted rates of off income support for comparison group over time (per cent)</w:t>
        </w:r>
        <w:r w:rsidR="00EF47FB">
          <w:rPr>
            <w:noProof/>
            <w:webHidden/>
          </w:rPr>
          <w:tab/>
        </w:r>
        <w:r w:rsidR="00EF47FB">
          <w:rPr>
            <w:noProof/>
            <w:webHidden/>
          </w:rPr>
          <w:fldChar w:fldCharType="begin"/>
        </w:r>
        <w:r w:rsidR="00EF47FB">
          <w:rPr>
            <w:noProof/>
            <w:webHidden/>
          </w:rPr>
          <w:instrText xml:space="preserve"> PAGEREF _Toc513129927 \h </w:instrText>
        </w:r>
        <w:r w:rsidR="00EF47FB">
          <w:rPr>
            <w:noProof/>
            <w:webHidden/>
          </w:rPr>
        </w:r>
        <w:r w:rsidR="00EF47FB">
          <w:rPr>
            <w:noProof/>
            <w:webHidden/>
          </w:rPr>
          <w:fldChar w:fldCharType="separate"/>
        </w:r>
        <w:r w:rsidR="00D87DBB">
          <w:rPr>
            <w:noProof/>
            <w:webHidden/>
          </w:rPr>
          <w:t>211</w:t>
        </w:r>
        <w:r w:rsidR="00EF47FB">
          <w:rPr>
            <w:noProof/>
            <w:webHidden/>
          </w:rPr>
          <w:fldChar w:fldCharType="end"/>
        </w:r>
      </w:hyperlink>
    </w:p>
    <w:p w14:paraId="56E91265" w14:textId="24F642E1" w:rsidR="00EF47FB" w:rsidRDefault="00864C5E">
      <w:pPr>
        <w:pStyle w:val="TableofFigures"/>
        <w:tabs>
          <w:tab w:val="right" w:leader="dot" w:pos="9017"/>
        </w:tabs>
        <w:rPr>
          <w:rFonts w:cstheme="minorBidi"/>
          <w:noProof/>
          <w:sz w:val="22"/>
          <w:szCs w:val="22"/>
          <w:lang w:eastAsia="en-AU"/>
        </w:rPr>
      </w:pPr>
      <w:hyperlink w:anchor="_Toc513129928" w:history="1">
        <w:r w:rsidR="00EF47FB" w:rsidRPr="00631558">
          <w:rPr>
            <w:rStyle w:val="Hyperlink"/>
            <w:noProof/>
          </w:rPr>
          <w:t>Table A2.35: Proportions exiting income support at 3-month intervals – matched groups (per cent)</w:t>
        </w:r>
        <w:r w:rsidR="00EF47FB">
          <w:rPr>
            <w:noProof/>
            <w:webHidden/>
          </w:rPr>
          <w:tab/>
        </w:r>
        <w:r w:rsidR="00EF47FB">
          <w:rPr>
            <w:noProof/>
            <w:webHidden/>
          </w:rPr>
          <w:fldChar w:fldCharType="begin"/>
        </w:r>
        <w:r w:rsidR="00EF47FB">
          <w:rPr>
            <w:noProof/>
            <w:webHidden/>
          </w:rPr>
          <w:instrText xml:space="preserve"> PAGEREF _Toc513129928 \h </w:instrText>
        </w:r>
        <w:r w:rsidR="00EF47FB">
          <w:rPr>
            <w:noProof/>
            <w:webHidden/>
          </w:rPr>
        </w:r>
        <w:r w:rsidR="00EF47FB">
          <w:rPr>
            <w:noProof/>
            <w:webHidden/>
          </w:rPr>
          <w:fldChar w:fldCharType="separate"/>
        </w:r>
        <w:r w:rsidR="00D87DBB">
          <w:rPr>
            <w:noProof/>
            <w:webHidden/>
          </w:rPr>
          <w:t>211</w:t>
        </w:r>
        <w:r w:rsidR="00EF47FB">
          <w:rPr>
            <w:noProof/>
            <w:webHidden/>
          </w:rPr>
          <w:fldChar w:fldCharType="end"/>
        </w:r>
      </w:hyperlink>
    </w:p>
    <w:p w14:paraId="46738E06" w14:textId="74BED46C" w:rsidR="00EF47FB" w:rsidRDefault="00864C5E">
      <w:pPr>
        <w:pStyle w:val="TableofFigures"/>
        <w:tabs>
          <w:tab w:val="right" w:leader="dot" w:pos="9017"/>
        </w:tabs>
        <w:rPr>
          <w:rFonts w:cstheme="minorBidi"/>
          <w:noProof/>
          <w:sz w:val="22"/>
          <w:szCs w:val="22"/>
          <w:lang w:eastAsia="en-AU"/>
        </w:rPr>
      </w:pPr>
      <w:hyperlink w:anchor="_Toc513129929" w:history="1">
        <w:r w:rsidR="00EF47FB" w:rsidRPr="00631558">
          <w:rPr>
            <w:rStyle w:val="Hyperlink"/>
            <w:noProof/>
          </w:rPr>
          <w:t>Table A2.36: Annual red tape estimates by activity ($ million)</w:t>
        </w:r>
        <w:r w:rsidR="00EF47FB">
          <w:rPr>
            <w:noProof/>
            <w:webHidden/>
          </w:rPr>
          <w:tab/>
        </w:r>
        <w:r w:rsidR="00EF47FB">
          <w:rPr>
            <w:noProof/>
            <w:webHidden/>
          </w:rPr>
          <w:fldChar w:fldCharType="begin"/>
        </w:r>
        <w:r w:rsidR="00EF47FB">
          <w:rPr>
            <w:noProof/>
            <w:webHidden/>
          </w:rPr>
          <w:instrText xml:space="preserve"> PAGEREF _Toc513129929 \h </w:instrText>
        </w:r>
        <w:r w:rsidR="00EF47FB">
          <w:rPr>
            <w:noProof/>
            <w:webHidden/>
          </w:rPr>
        </w:r>
        <w:r w:rsidR="00EF47FB">
          <w:rPr>
            <w:noProof/>
            <w:webHidden/>
          </w:rPr>
          <w:fldChar w:fldCharType="separate"/>
        </w:r>
        <w:r w:rsidR="00D87DBB">
          <w:rPr>
            <w:noProof/>
            <w:webHidden/>
          </w:rPr>
          <w:t>212</w:t>
        </w:r>
        <w:r w:rsidR="00EF47FB">
          <w:rPr>
            <w:noProof/>
            <w:webHidden/>
          </w:rPr>
          <w:fldChar w:fldCharType="end"/>
        </w:r>
      </w:hyperlink>
    </w:p>
    <w:p w14:paraId="5A1C5425" w14:textId="7DBA5318" w:rsidR="00EF47FB" w:rsidRDefault="00864C5E">
      <w:pPr>
        <w:pStyle w:val="TableofFigures"/>
        <w:tabs>
          <w:tab w:val="right" w:leader="dot" w:pos="9017"/>
        </w:tabs>
        <w:rPr>
          <w:rFonts w:cstheme="minorBidi"/>
          <w:noProof/>
          <w:sz w:val="22"/>
          <w:szCs w:val="22"/>
          <w:lang w:eastAsia="en-AU"/>
        </w:rPr>
      </w:pPr>
      <w:hyperlink w:anchor="_Toc513129930" w:history="1">
        <w:r w:rsidR="00EF47FB" w:rsidRPr="00631558">
          <w:rPr>
            <w:rStyle w:val="Hyperlink"/>
            <w:noProof/>
          </w:rPr>
          <w:t>Table A2.37: Perceived distribution of time devoted to administrative tasks (per cent)</w:t>
        </w:r>
        <w:r w:rsidR="00EF47FB">
          <w:rPr>
            <w:noProof/>
            <w:webHidden/>
          </w:rPr>
          <w:tab/>
        </w:r>
        <w:r w:rsidR="00EF47FB">
          <w:rPr>
            <w:noProof/>
            <w:webHidden/>
          </w:rPr>
          <w:fldChar w:fldCharType="begin"/>
        </w:r>
        <w:r w:rsidR="00EF47FB">
          <w:rPr>
            <w:noProof/>
            <w:webHidden/>
          </w:rPr>
          <w:instrText xml:space="preserve"> PAGEREF _Toc513129930 \h </w:instrText>
        </w:r>
        <w:r w:rsidR="00EF47FB">
          <w:rPr>
            <w:noProof/>
            <w:webHidden/>
          </w:rPr>
        </w:r>
        <w:r w:rsidR="00EF47FB">
          <w:rPr>
            <w:noProof/>
            <w:webHidden/>
          </w:rPr>
          <w:fldChar w:fldCharType="separate"/>
        </w:r>
        <w:r w:rsidR="00D87DBB">
          <w:rPr>
            <w:noProof/>
            <w:webHidden/>
          </w:rPr>
          <w:t>213</w:t>
        </w:r>
        <w:r w:rsidR="00EF47FB">
          <w:rPr>
            <w:noProof/>
            <w:webHidden/>
          </w:rPr>
          <w:fldChar w:fldCharType="end"/>
        </w:r>
      </w:hyperlink>
    </w:p>
    <w:p w14:paraId="0BD4F2BA" w14:textId="1703D8F8" w:rsidR="00EF47FB" w:rsidRDefault="00864C5E">
      <w:pPr>
        <w:pStyle w:val="TableofFigures"/>
        <w:tabs>
          <w:tab w:val="right" w:leader="dot" w:pos="9017"/>
        </w:tabs>
        <w:rPr>
          <w:rFonts w:cstheme="minorBidi"/>
          <w:noProof/>
          <w:sz w:val="22"/>
          <w:szCs w:val="22"/>
          <w:lang w:eastAsia="en-AU"/>
        </w:rPr>
      </w:pPr>
      <w:hyperlink w:anchor="_Toc513129931" w:history="1">
        <w:r w:rsidR="00EF47FB" w:rsidRPr="00631558">
          <w:rPr>
            <w:rStyle w:val="Hyperlink"/>
            <w:noProof/>
          </w:rPr>
          <w:t>Table A2.38: Net agreement on guideline changes, 2010 to 2014 (per cent)</w:t>
        </w:r>
        <w:r w:rsidR="00EF47FB">
          <w:rPr>
            <w:noProof/>
            <w:webHidden/>
          </w:rPr>
          <w:tab/>
        </w:r>
        <w:r w:rsidR="00EF47FB">
          <w:rPr>
            <w:noProof/>
            <w:webHidden/>
          </w:rPr>
          <w:fldChar w:fldCharType="begin"/>
        </w:r>
        <w:r w:rsidR="00EF47FB">
          <w:rPr>
            <w:noProof/>
            <w:webHidden/>
          </w:rPr>
          <w:instrText xml:space="preserve"> PAGEREF _Toc513129931 \h </w:instrText>
        </w:r>
        <w:r w:rsidR="00EF47FB">
          <w:rPr>
            <w:noProof/>
            <w:webHidden/>
          </w:rPr>
        </w:r>
        <w:r w:rsidR="00EF47FB">
          <w:rPr>
            <w:noProof/>
            <w:webHidden/>
          </w:rPr>
          <w:fldChar w:fldCharType="separate"/>
        </w:r>
        <w:r w:rsidR="00D87DBB">
          <w:rPr>
            <w:noProof/>
            <w:webHidden/>
          </w:rPr>
          <w:t>213</w:t>
        </w:r>
        <w:r w:rsidR="00EF47FB">
          <w:rPr>
            <w:noProof/>
            <w:webHidden/>
          </w:rPr>
          <w:fldChar w:fldCharType="end"/>
        </w:r>
      </w:hyperlink>
    </w:p>
    <w:p w14:paraId="03707089" w14:textId="750602A3" w:rsidR="00EF47FB" w:rsidRDefault="00864C5E">
      <w:pPr>
        <w:pStyle w:val="TableofFigures"/>
        <w:tabs>
          <w:tab w:val="right" w:leader="dot" w:pos="9017"/>
        </w:tabs>
        <w:rPr>
          <w:rFonts w:cstheme="minorBidi"/>
          <w:noProof/>
          <w:sz w:val="22"/>
          <w:szCs w:val="22"/>
          <w:lang w:eastAsia="en-AU"/>
        </w:rPr>
      </w:pPr>
      <w:hyperlink w:anchor="_Toc513129932" w:history="1">
        <w:r w:rsidR="00EF47FB" w:rsidRPr="00631558">
          <w:rPr>
            <w:rStyle w:val="Hyperlink"/>
            <w:noProof/>
          </w:rPr>
          <w:t>Table A2.39: Main reasons employers did not use a government funded employment services provider (per cent)</w:t>
        </w:r>
        <w:r w:rsidR="00EF47FB">
          <w:rPr>
            <w:noProof/>
            <w:webHidden/>
          </w:rPr>
          <w:tab/>
        </w:r>
        <w:r w:rsidR="00EF47FB">
          <w:rPr>
            <w:noProof/>
            <w:webHidden/>
          </w:rPr>
          <w:fldChar w:fldCharType="begin"/>
        </w:r>
        <w:r w:rsidR="00EF47FB">
          <w:rPr>
            <w:noProof/>
            <w:webHidden/>
          </w:rPr>
          <w:instrText xml:space="preserve"> PAGEREF _Toc513129932 \h </w:instrText>
        </w:r>
        <w:r w:rsidR="00EF47FB">
          <w:rPr>
            <w:noProof/>
            <w:webHidden/>
          </w:rPr>
        </w:r>
        <w:r w:rsidR="00EF47FB">
          <w:rPr>
            <w:noProof/>
            <w:webHidden/>
          </w:rPr>
          <w:fldChar w:fldCharType="separate"/>
        </w:r>
        <w:r w:rsidR="00D87DBB">
          <w:rPr>
            <w:noProof/>
            <w:webHidden/>
          </w:rPr>
          <w:t>214</w:t>
        </w:r>
        <w:r w:rsidR="00EF47FB">
          <w:rPr>
            <w:noProof/>
            <w:webHidden/>
          </w:rPr>
          <w:fldChar w:fldCharType="end"/>
        </w:r>
      </w:hyperlink>
    </w:p>
    <w:p w14:paraId="0B99FCA2" w14:textId="53FB524A" w:rsidR="00EF47FB" w:rsidRDefault="00864C5E">
      <w:pPr>
        <w:pStyle w:val="TableofFigures"/>
        <w:tabs>
          <w:tab w:val="right" w:leader="dot" w:pos="9017"/>
        </w:tabs>
        <w:rPr>
          <w:rFonts w:cstheme="minorBidi"/>
          <w:noProof/>
          <w:sz w:val="22"/>
          <w:szCs w:val="22"/>
          <w:lang w:eastAsia="en-AU"/>
        </w:rPr>
      </w:pPr>
      <w:hyperlink w:anchor="_Toc513129933" w:history="1">
        <w:r w:rsidR="00EF47FB" w:rsidRPr="00631558">
          <w:rPr>
            <w:rStyle w:val="Hyperlink"/>
            <w:noProof/>
          </w:rPr>
          <w:t>Table A2.40: Employer Statements for different job seekers groups (per cent)</w:t>
        </w:r>
        <w:r w:rsidR="00EF47FB">
          <w:rPr>
            <w:noProof/>
            <w:webHidden/>
          </w:rPr>
          <w:tab/>
        </w:r>
        <w:r w:rsidR="00EF47FB">
          <w:rPr>
            <w:noProof/>
            <w:webHidden/>
          </w:rPr>
          <w:fldChar w:fldCharType="begin"/>
        </w:r>
        <w:r w:rsidR="00EF47FB">
          <w:rPr>
            <w:noProof/>
            <w:webHidden/>
          </w:rPr>
          <w:instrText xml:space="preserve"> PAGEREF _Toc513129933 \h </w:instrText>
        </w:r>
        <w:r w:rsidR="00EF47FB">
          <w:rPr>
            <w:noProof/>
            <w:webHidden/>
          </w:rPr>
        </w:r>
        <w:r w:rsidR="00EF47FB">
          <w:rPr>
            <w:noProof/>
            <w:webHidden/>
          </w:rPr>
          <w:fldChar w:fldCharType="separate"/>
        </w:r>
        <w:r w:rsidR="00D87DBB">
          <w:rPr>
            <w:noProof/>
            <w:webHidden/>
          </w:rPr>
          <w:t>215</w:t>
        </w:r>
        <w:r w:rsidR="00EF47FB">
          <w:rPr>
            <w:noProof/>
            <w:webHidden/>
          </w:rPr>
          <w:fldChar w:fldCharType="end"/>
        </w:r>
      </w:hyperlink>
    </w:p>
    <w:p w14:paraId="2D7D838E" w14:textId="2E5A65B7" w:rsidR="00EF47FB" w:rsidRDefault="00864C5E">
      <w:pPr>
        <w:pStyle w:val="TableofFigures"/>
        <w:tabs>
          <w:tab w:val="right" w:leader="dot" w:pos="9017"/>
        </w:tabs>
        <w:rPr>
          <w:rFonts w:cstheme="minorBidi"/>
          <w:noProof/>
          <w:sz w:val="22"/>
          <w:szCs w:val="22"/>
          <w:lang w:eastAsia="en-AU"/>
        </w:rPr>
      </w:pPr>
      <w:hyperlink w:anchor="_Toc513129934" w:history="1">
        <w:r w:rsidR="00EF47FB" w:rsidRPr="00631558">
          <w:rPr>
            <w:rStyle w:val="Hyperlink"/>
            <w:noProof/>
          </w:rPr>
          <w:t>Table A2.41: Commenced caseload (number) and service and outcome fees paid ($ million)</w:t>
        </w:r>
        <w:r w:rsidR="00EF47FB">
          <w:rPr>
            <w:noProof/>
            <w:webHidden/>
          </w:rPr>
          <w:tab/>
        </w:r>
        <w:r w:rsidR="00EF47FB">
          <w:rPr>
            <w:noProof/>
            <w:webHidden/>
          </w:rPr>
          <w:fldChar w:fldCharType="begin"/>
        </w:r>
        <w:r w:rsidR="00EF47FB">
          <w:rPr>
            <w:noProof/>
            <w:webHidden/>
          </w:rPr>
          <w:instrText xml:space="preserve"> PAGEREF _Toc513129934 \h </w:instrText>
        </w:r>
        <w:r w:rsidR="00EF47FB">
          <w:rPr>
            <w:noProof/>
            <w:webHidden/>
          </w:rPr>
        </w:r>
        <w:r w:rsidR="00EF47FB">
          <w:rPr>
            <w:noProof/>
            <w:webHidden/>
          </w:rPr>
          <w:fldChar w:fldCharType="separate"/>
        </w:r>
        <w:r w:rsidR="00D87DBB">
          <w:rPr>
            <w:noProof/>
            <w:webHidden/>
          </w:rPr>
          <w:t>216</w:t>
        </w:r>
        <w:r w:rsidR="00EF47FB">
          <w:rPr>
            <w:noProof/>
            <w:webHidden/>
          </w:rPr>
          <w:fldChar w:fldCharType="end"/>
        </w:r>
      </w:hyperlink>
    </w:p>
    <w:p w14:paraId="432CBAF9" w14:textId="6C3EFDC6" w:rsidR="00EF47FB" w:rsidRDefault="00864C5E">
      <w:pPr>
        <w:pStyle w:val="TableofFigures"/>
        <w:tabs>
          <w:tab w:val="right" w:leader="dot" w:pos="9017"/>
        </w:tabs>
        <w:rPr>
          <w:rFonts w:cstheme="minorBidi"/>
          <w:noProof/>
          <w:sz w:val="22"/>
          <w:szCs w:val="22"/>
          <w:lang w:eastAsia="en-AU"/>
        </w:rPr>
      </w:pPr>
      <w:hyperlink w:anchor="_Toc513129935" w:history="1">
        <w:r w:rsidR="00EF47FB" w:rsidRPr="00631558">
          <w:rPr>
            <w:rStyle w:val="Hyperlink"/>
            <w:noProof/>
          </w:rPr>
          <w:t>Table A2.42: Service and outcome fees paid per job seeker ($)</w:t>
        </w:r>
        <w:r w:rsidR="00EF47FB">
          <w:rPr>
            <w:noProof/>
            <w:webHidden/>
          </w:rPr>
          <w:tab/>
        </w:r>
        <w:r w:rsidR="00EF47FB">
          <w:rPr>
            <w:noProof/>
            <w:webHidden/>
          </w:rPr>
          <w:fldChar w:fldCharType="begin"/>
        </w:r>
        <w:r w:rsidR="00EF47FB">
          <w:rPr>
            <w:noProof/>
            <w:webHidden/>
          </w:rPr>
          <w:instrText xml:space="preserve"> PAGEREF _Toc513129935 \h </w:instrText>
        </w:r>
        <w:r w:rsidR="00EF47FB">
          <w:rPr>
            <w:noProof/>
            <w:webHidden/>
          </w:rPr>
        </w:r>
        <w:r w:rsidR="00EF47FB">
          <w:rPr>
            <w:noProof/>
            <w:webHidden/>
          </w:rPr>
          <w:fldChar w:fldCharType="separate"/>
        </w:r>
        <w:r w:rsidR="00D87DBB">
          <w:rPr>
            <w:noProof/>
            <w:webHidden/>
          </w:rPr>
          <w:t>218</w:t>
        </w:r>
        <w:r w:rsidR="00EF47FB">
          <w:rPr>
            <w:noProof/>
            <w:webHidden/>
          </w:rPr>
          <w:fldChar w:fldCharType="end"/>
        </w:r>
      </w:hyperlink>
    </w:p>
    <w:p w14:paraId="260DBAE0" w14:textId="0E4CE2A4" w:rsidR="00EF47FB" w:rsidRDefault="00864C5E">
      <w:pPr>
        <w:pStyle w:val="TableofFigures"/>
        <w:tabs>
          <w:tab w:val="right" w:leader="dot" w:pos="9017"/>
        </w:tabs>
        <w:rPr>
          <w:rFonts w:cstheme="minorBidi"/>
          <w:noProof/>
          <w:sz w:val="22"/>
          <w:szCs w:val="22"/>
          <w:lang w:eastAsia="en-AU"/>
        </w:rPr>
      </w:pPr>
      <w:hyperlink w:anchor="_Toc513129936" w:history="1">
        <w:r w:rsidR="00EF47FB" w:rsidRPr="00631558">
          <w:rPr>
            <w:rStyle w:val="Hyperlink"/>
            <w:noProof/>
          </w:rPr>
          <w:t>Table A2.43: EPF expenditure by category, JSA 2009 and JSA 2012, and by year (per cent)</w:t>
        </w:r>
        <w:r w:rsidR="00EF47FB">
          <w:rPr>
            <w:noProof/>
            <w:webHidden/>
          </w:rPr>
          <w:tab/>
        </w:r>
        <w:r w:rsidR="00EF47FB">
          <w:rPr>
            <w:noProof/>
            <w:webHidden/>
          </w:rPr>
          <w:fldChar w:fldCharType="begin"/>
        </w:r>
        <w:r w:rsidR="00EF47FB">
          <w:rPr>
            <w:noProof/>
            <w:webHidden/>
          </w:rPr>
          <w:instrText xml:space="preserve"> PAGEREF _Toc513129936 \h </w:instrText>
        </w:r>
        <w:r w:rsidR="00EF47FB">
          <w:rPr>
            <w:noProof/>
            <w:webHidden/>
          </w:rPr>
        </w:r>
        <w:r w:rsidR="00EF47FB">
          <w:rPr>
            <w:noProof/>
            <w:webHidden/>
          </w:rPr>
          <w:fldChar w:fldCharType="separate"/>
        </w:r>
        <w:r w:rsidR="00D87DBB">
          <w:rPr>
            <w:noProof/>
            <w:webHidden/>
          </w:rPr>
          <w:t>220</w:t>
        </w:r>
        <w:r w:rsidR="00EF47FB">
          <w:rPr>
            <w:noProof/>
            <w:webHidden/>
          </w:rPr>
          <w:fldChar w:fldCharType="end"/>
        </w:r>
      </w:hyperlink>
    </w:p>
    <w:p w14:paraId="77C6E3BC" w14:textId="19C01A41" w:rsidR="00EF47FB" w:rsidRDefault="00864C5E">
      <w:pPr>
        <w:pStyle w:val="TableofFigures"/>
        <w:tabs>
          <w:tab w:val="right" w:leader="dot" w:pos="9017"/>
        </w:tabs>
        <w:rPr>
          <w:rFonts w:cstheme="minorBidi"/>
          <w:noProof/>
          <w:sz w:val="22"/>
          <w:szCs w:val="22"/>
          <w:lang w:eastAsia="en-AU"/>
        </w:rPr>
      </w:pPr>
      <w:hyperlink w:anchor="_Toc513129937" w:history="1">
        <w:r w:rsidR="00EF47FB" w:rsidRPr="00631558">
          <w:rPr>
            <w:rStyle w:val="Hyperlink"/>
            <w:noProof/>
          </w:rPr>
          <w:t>Table A2.44: Number of job seekers assisted, selected Employment Pathway Fund (EPF) expenditure categories JSA 2009 and JSA 2012 (number)</w:t>
        </w:r>
        <w:r w:rsidR="00EF47FB">
          <w:rPr>
            <w:noProof/>
            <w:webHidden/>
          </w:rPr>
          <w:tab/>
        </w:r>
        <w:r w:rsidR="00EF47FB">
          <w:rPr>
            <w:noProof/>
            <w:webHidden/>
          </w:rPr>
          <w:fldChar w:fldCharType="begin"/>
        </w:r>
        <w:r w:rsidR="00EF47FB">
          <w:rPr>
            <w:noProof/>
            <w:webHidden/>
          </w:rPr>
          <w:instrText xml:space="preserve"> PAGEREF _Toc513129937 \h </w:instrText>
        </w:r>
        <w:r w:rsidR="00EF47FB">
          <w:rPr>
            <w:noProof/>
            <w:webHidden/>
          </w:rPr>
        </w:r>
        <w:r w:rsidR="00EF47FB">
          <w:rPr>
            <w:noProof/>
            <w:webHidden/>
          </w:rPr>
          <w:fldChar w:fldCharType="separate"/>
        </w:r>
        <w:r w:rsidR="00D87DBB">
          <w:rPr>
            <w:noProof/>
            <w:webHidden/>
          </w:rPr>
          <w:t>221</w:t>
        </w:r>
        <w:r w:rsidR="00EF47FB">
          <w:rPr>
            <w:noProof/>
            <w:webHidden/>
          </w:rPr>
          <w:fldChar w:fldCharType="end"/>
        </w:r>
      </w:hyperlink>
    </w:p>
    <w:p w14:paraId="241BA4A0" w14:textId="3A0643E1" w:rsidR="00EF47FB" w:rsidRDefault="00864C5E">
      <w:pPr>
        <w:pStyle w:val="TableofFigures"/>
        <w:tabs>
          <w:tab w:val="right" w:leader="dot" w:pos="9017"/>
        </w:tabs>
        <w:rPr>
          <w:rFonts w:cstheme="minorBidi"/>
          <w:noProof/>
          <w:sz w:val="22"/>
          <w:szCs w:val="22"/>
          <w:lang w:eastAsia="en-AU"/>
        </w:rPr>
      </w:pPr>
      <w:hyperlink w:anchor="_Toc513129938" w:history="1">
        <w:r w:rsidR="00EF47FB" w:rsidRPr="00631558">
          <w:rPr>
            <w:rStyle w:val="Hyperlink"/>
            <w:noProof/>
          </w:rPr>
          <w:t>Table A2.45: Average amount of Employment Pathway Fund (EPF) dollars allocated to job seekers, selected EPF expenditure categories ($)</w:t>
        </w:r>
        <w:r w:rsidR="00EF47FB">
          <w:rPr>
            <w:noProof/>
            <w:webHidden/>
          </w:rPr>
          <w:tab/>
        </w:r>
        <w:r w:rsidR="00EF47FB">
          <w:rPr>
            <w:noProof/>
            <w:webHidden/>
          </w:rPr>
          <w:fldChar w:fldCharType="begin"/>
        </w:r>
        <w:r w:rsidR="00EF47FB">
          <w:rPr>
            <w:noProof/>
            <w:webHidden/>
          </w:rPr>
          <w:instrText xml:space="preserve"> PAGEREF _Toc513129938 \h </w:instrText>
        </w:r>
        <w:r w:rsidR="00EF47FB">
          <w:rPr>
            <w:noProof/>
            <w:webHidden/>
          </w:rPr>
        </w:r>
        <w:r w:rsidR="00EF47FB">
          <w:rPr>
            <w:noProof/>
            <w:webHidden/>
          </w:rPr>
          <w:fldChar w:fldCharType="separate"/>
        </w:r>
        <w:r w:rsidR="00D87DBB">
          <w:rPr>
            <w:noProof/>
            <w:webHidden/>
          </w:rPr>
          <w:t>221</w:t>
        </w:r>
        <w:r w:rsidR="00EF47FB">
          <w:rPr>
            <w:noProof/>
            <w:webHidden/>
          </w:rPr>
          <w:fldChar w:fldCharType="end"/>
        </w:r>
      </w:hyperlink>
    </w:p>
    <w:p w14:paraId="53875562" w14:textId="0E969738" w:rsidR="00EF47FB" w:rsidRDefault="00864C5E">
      <w:pPr>
        <w:pStyle w:val="TableofFigures"/>
        <w:tabs>
          <w:tab w:val="right" w:leader="dot" w:pos="9017"/>
        </w:tabs>
        <w:rPr>
          <w:rFonts w:cstheme="minorBidi"/>
          <w:noProof/>
          <w:sz w:val="22"/>
          <w:szCs w:val="22"/>
          <w:lang w:eastAsia="en-AU"/>
        </w:rPr>
      </w:pPr>
      <w:hyperlink w:anchor="_Toc513129939" w:history="1">
        <w:r w:rsidR="00EF47FB" w:rsidRPr="00631558">
          <w:rPr>
            <w:rStyle w:val="Hyperlink"/>
            <w:noProof/>
          </w:rPr>
          <w:t>Table A2.46: Service and Outcome fees (per job seeker), Internet Vacancy Index (quarterly) and job seeker satisfaction (quarterly), September 2010 – March 2015 ($, index and per cent)</w:t>
        </w:r>
        <w:r w:rsidR="00EF47FB">
          <w:rPr>
            <w:noProof/>
            <w:webHidden/>
          </w:rPr>
          <w:tab/>
        </w:r>
        <w:r w:rsidR="00EF47FB">
          <w:rPr>
            <w:noProof/>
            <w:webHidden/>
          </w:rPr>
          <w:fldChar w:fldCharType="begin"/>
        </w:r>
        <w:r w:rsidR="00EF47FB">
          <w:rPr>
            <w:noProof/>
            <w:webHidden/>
          </w:rPr>
          <w:instrText xml:space="preserve"> PAGEREF _Toc513129939 \h </w:instrText>
        </w:r>
        <w:r w:rsidR="00EF47FB">
          <w:rPr>
            <w:noProof/>
            <w:webHidden/>
          </w:rPr>
        </w:r>
        <w:r w:rsidR="00EF47FB">
          <w:rPr>
            <w:noProof/>
            <w:webHidden/>
          </w:rPr>
          <w:fldChar w:fldCharType="separate"/>
        </w:r>
        <w:r w:rsidR="00D87DBB">
          <w:rPr>
            <w:noProof/>
            <w:webHidden/>
          </w:rPr>
          <w:t>222</w:t>
        </w:r>
        <w:r w:rsidR="00EF47FB">
          <w:rPr>
            <w:noProof/>
            <w:webHidden/>
          </w:rPr>
          <w:fldChar w:fldCharType="end"/>
        </w:r>
      </w:hyperlink>
    </w:p>
    <w:p w14:paraId="3A70F721" w14:textId="23EC9494" w:rsidR="00961617" w:rsidRPr="002F5864" w:rsidRDefault="00787397" w:rsidP="00961617">
      <w:pPr>
        <w:rPr>
          <w:rFonts w:eastAsiaTheme="majorEastAsia" w:cstheme="minorHAnsi"/>
          <w:b/>
          <w:bCs/>
          <w:sz w:val="28"/>
          <w:szCs w:val="26"/>
        </w:rPr>
      </w:pPr>
      <w:r>
        <w:rPr>
          <w:rFonts w:cstheme="minorHAnsi"/>
          <w:sz w:val="20"/>
          <w:szCs w:val="20"/>
        </w:rPr>
        <w:fldChar w:fldCharType="end"/>
      </w:r>
      <w:r w:rsidR="00961617" w:rsidRPr="002F5864">
        <w:rPr>
          <w:rFonts w:cstheme="minorHAnsi"/>
        </w:rPr>
        <w:br w:type="page"/>
      </w:r>
    </w:p>
    <w:p w14:paraId="1AC57C91" w14:textId="77777777" w:rsidR="00961617" w:rsidRPr="002F5864" w:rsidRDefault="00961617" w:rsidP="00961617">
      <w:pPr>
        <w:pStyle w:val="Heading2"/>
        <w:rPr>
          <w:rFonts w:asciiTheme="minorHAnsi" w:hAnsiTheme="minorHAnsi" w:cstheme="minorHAnsi"/>
        </w:rPr>
      </w:pPr>
      <w:bookmarkStart w:id="590" w:name="_Toc450919357"/>
      <w:bookmarkStart w:id="591" w:name="_Toc22543180"/>
      <w:r w:rsidRPr="002F5864">
        <w:rPr>
          <w:rFonts w:asciiTheme="minorHAnsi" w:hAnsiTheme="minorHAnsi" w:cstheme="minorHAnsi"/>
        </w:rPr>
        <w:t>A1</w:t>
      </w:r>
      <w:r w:rsidRPr="002F5864">
        <w:rPr>
          <w:rFonts w:asciiTheme="minorHAnsi" w:hAnsiTheme="minorHAnsi" w:cstheme="minorHAnsi"/>
        </w:rPr>
        <w:tab/>
        <w:t>Characteristics of the main study populations</w:t>
      </w:r>
      <w:bookmarkEnd w:id="590"/>
      <w:bookmarkEnd w:id="591"/>
    </w:p>
    <w:p w14:paraId="25487668" w14:textId="77777777" w:rsidR="00961617" w:rsidRPr="002F5864" w:rsidRDefault="00961617" w:rsidP="00961617">
      <w:pPr>
        <w:pStyle w:val="TableheadingforappendixA1"/>
        <w:rPr>
          <w:rFonts w:cstheme="minorHAnsi"/>
        </w:rPr>
      </w:pPr>
      <w:bookmarkStart w:id="592" w:name="_Toc436142572"/>
      <w:bookmarkStart w:id="593" w:name="_Toc513129889"/>
      <w:r w:rsidRPr="002F5864">
        <w:rPr>
          <w:rFonts w:cstheme="minorHAnsi"/>
        </w:rPr>
        <w:t>Table A1.1:</w:t>
      </w:r>
      <w:r>
        <w:rPr>
          <w:rFonts w:cstheme="minorHAnsi"/>
        </w:rPr>
        <w:t xml:space="preserve"> </w:t>
      </w:r>
      <w:r w:rsidRPr="002F5864">
        <w:rPr>
          <w:rFonts w:cstheme="minorHAnsi"/>
        </w:rPr>
        <w:t>Characteristics of the new entrant study populations</w:t>
      </w:r>
      <w:bookmarkEnd w:id="592"/>
      <w:r w:rsidRPr="002F5864">
        <w:rPr>
          <w:rFonts w:cstheme="minorHAnsi"/>
        </w:rPr>
        <w:t xml:space="preserve"> (per cent and ppt difference)</w:t>
      </w:r>
      <w:bookmarkEnd w:id="593"/>
    </w:p>
    <w:tbl>
      <w:tblPr>
        <w:tblW w:w="8946" w:type="dxa"/>
        <w:tblInd w:w="93" w:type="dxa"/>
        <w:tblLook w:val="04A0" w:firstRow="1" w:lastRow="0" w:firstColumn="1" w:lastColumn="0" w:noHBand="0" w:noVBand="1"/>
      </w:tblPr>
      <w:tblGrid>
        <w:gridCol w:w="4240"/>
        <w:gridCol w:w="1587"/>
        <w:gridCol w:w="1418"/>
        <w:gridCol w:w="1701"/>
      </w:tblGrid>
      <w:tr w:rsidR="00961617" w:rsidRPr="002F5864" w14:paraId="64B85D87" w14:textId="77777777" w:rsidTr="0020771F">
        <w:trPr>
          <w:trHeight w:val="617"/>
          <w:tblHeader/>
        </w:trPr>
        <w:tc>
          <w:tcPr>
            <w:tcW w:w="4240" w:type="dxa"/>
            <w:tcBorders>
              <w:top w:val="nil"/>
              <w:left w:val="nil"/>
              <w:right w:val="nil"/>
            </w:tcBorders>
            <w:shd w:val="clear" w:color="000000" w:fill="1E3D6B"/>
            <w:noWrap/>
            <w:vAlign w:val="center"/>
            <w:hideMark/>
          </w:tcPr>
          <w:p w14:paraId="67F3424E" w14:textId="77777777" w:rsidR="00961617" w:rsidRPr="002F5864" w:rsidRDefault="00961617" w:rsidP="0020771F">
            <w:pPr>
              <w:spacing w:after="0"/>
              <w:rPr>
                <w:rFonts w:cstheme="minorHAnsi"/>
                <w:b/>
                <w:bCs/>
                <w:color w:val="FFFFFF"/>
                <w:sz w:val="20"/>
                <w:szCs w:val="20"/>
              </w:rPr>
            </w:pPr>
            <w:bookmarkStart w:id="594" w:name="Title_A11"/>
            <w:bookmarkEnd w:id="594"/>
            <w:r w:rsidRPr="002F5864">
              <w:rPr>
                <w:rFonts w:cstheme="minorHAnsi"/>
                <w:b/>
                <w:bCs/>
                <w:color w:val="FFFFFF"/>
                <w:sz w:val="20"/>
                <w:szCs w:val="20"/>
              </w:rPr>
              <w:t>Characteristic</w:t>
            </w:r>
          </w:p>
        </w:tc>
        <w:tc>
          <w:tcPr>
            <w:tcW w:w="1587" w:type="dxa"/>
            <w:tcBorders>
              <w:top w:val="nil"/>
              <w:left w:val="nil"/>
              <w:right w:val="nil"/>
            </w:tcBorders>
            <w:shd w:val="clear" w:color="000000" w:fill="1E3D6B"/>
            <w:noWrap/>
            <w:vAlign w:val="center"/>
            <w:hideMark/>
          </w:tcPr>
          <w:p w14:paraId="7A4391F5" w14:textId="77777777" w:rsidR="00961617" w:rsidRPr="002F5864" w:rsidRDefault="00961617" w:rsidP="0020771F">
            <w:pPr>
              <w:spacing w:after="0"/>
              <w:ind w:left="286"/>
              <w:jc w:val="center"/>
              <w:rPr>
                <w:rFonts w:cstheme="minorHAnsi"/>
                <w:b/>
                <w:bCs/>
                <w:color w:val="FFFFFF"/>
                <w:sz w:val="20"/>
                <w:szCs w:val="20"/>
              </w:rPr>
            </w:pPr>
            <w:r w:rsidRPr="002F5864">
              <w:rPr>
                <w:rFonts w:cstheme="minorHAnsi"/>
                <w:b/>
                <w:bCs/>
                <w:color w:val="FFFFFF"/>
                <w:sz w:val="20"/>
                <w:szCs w:val="20"/>
              </w:rPr>
              <w:t>JSA 2009</w:t>
            </w:r>
            <w:r w:rsidRPr="002F5864">
              <w:rPr>
                <w:rFonts w:cstheme="minorHAnsi"/>
                <w:b/>
                <w:bCs/>
                <w:color w:val="FFFFFF"/>
                <w:sz w:val="20"/>
                <w:szCs w:val="20"/>
              </w:rPr>
              <w:br/>
              <w:t xml:space="preserve"> (per cent)</w:t>
            </w:r>
          </w:p>
        </w:tc>
        <w:tc>
          <w:tcPr>
            <w:tcW w:w="1418" w:type="dxa"/>
            <w:tcBorders>
              <w:top w:val="nil"/>
              <w:left w:val="nil"/>
              <w:right w:val="nil"/>
            </w:tcBorders>
            <w:shd w:val="clear" w:color="000000" w:fill="1E3D6B"/>
            <w:noWrap/>
            <w:vAlign w:val="center"/>
            <w:hideMark/>
          </w:tcPr>
          <w:p w14:paraId="0D436C3A" w14:textId="77777777" w:rsidR="00961617" w:rsidRPr="002F5864" w:rsidRDefault="00961617" w:rsidP="0020771F">
            <w:pPr>
              <w:spacing w:after="0"/>
              <w:ind w:left="286"/>
              <w:jc w:val="center"/>
              <w:rPr>
                <w:rFonts w:cstheme="minorHAnsi"/>
                <w:b/>
                <w:bCs/>
                <w:color w:val="FFFFFF"/>
                <w:sz w:val="20"/>
                <w:szCs w:val="20"/>
              </w:rPr>
            </w:pPr>
            <w:r w:rsidRPr="002F5864">
              <w:rPr>
                <w:rFonts w:cstheme="minorHAnsi"/>
                <w:b/>
                <w:bCs/>
                <w:color w:val="FFFFFF"/>
                <w:sz w:val="20"/>
                <w:szCs w:val="20"/>
              </w:rPr>
              <w:t xml:space="preserve">JSA 2012 </w:t>
            </w:r>
            <w:r w:rsidRPr="002F5864">
              <w:rPr>
                <w:rFonts w:cstheme="minorHAnsi"/>
                <w:b/>
                <w:bCs/>
                <w:color w:val="FFFFFF"/>
                <w:sz w:val="20"/>
                <w:szCs w:val="20"/>
              </w:rPr>
              <w:br/>
              <w:t>(per cent)</w:t>
            </w:r>
          </w:p>
        </w:tc>
        <w:tc>
          <w:tcPr>
            <w:tcW w:w="1701" w:type="dxa"/>
            <w:tcBorders>
              <w:top w:val="nil"/>
              <w:left w:val="nil"/>
              <w:right w:val="nil"/>
            </w:tcBorders>
            <w:shd w:val="clear" w:color="000000" w:fill="1E3D6B"/>
            <w:noWrap/>
            <w:vAlign w:val="center"/>
            <w:hideMark/>
          </w:tcPr>
          <w:p w14:paraId="6E9BA93C" w14:textId="77777777" w:rsidR="00961617" w:rsidRPr="002F5864" w:rsidRDefault="00961617" w:rsidP="0020771F">
            <w:pPr>
              <w:spacing w:after="0"/>
              <w:ind w:left="286"/>
              <w:jc w:val="center"/>
              <w:rPr>
                <w:rFonts w:cstheme="minorHAnsi"/>
                <w:b/>
                <w:bCs/>
                <w:color w:val="FFFFFF"/>
                <w:sz w:val="20"/>
                <w:szCs w:val="20"/>
              </w:rPr>
            </w:pPr>
            <w:r w:rsidRPr="002F5864">
              <w:rPr>
                <w:rFonts w:cstheme="minorHAnsi"/>
                <w:b/>
                <w:bCs/>
                <w:color w:val="FFFFFF"/>
                <w:sz w:val="20"/>
                <w:szCs w:val="20"/>
              </w:rPr>
              <w:t>Difference (ppt)</w:t>
            </w:r>
          </w:p>
        </w:tc>
      </w:tr>
      <w:tr w:rsidR="00961617" w:rsidRPr="002F5864" w14:paraId="36DF1672" w14:textId="77777777" w:rsidTr="0020771F">
        <w:trPr>
          <w:trHeight w:hRule="exact" w:val="340"/>
          <w:tblHeader/>
        </w:trPr>
        <w:tc>
          <w:tcPr>
            <w:tcW w:w="4240" w:type="dxa"/>
            <w:tcBorders>
              <w:top w:val="nil"/>
              <w:left w:val="nil"/>
              <w:bottom w:val="nil"/>
              <w:right w:val="nil"/>
            </w:tcBorders>
            <w:shd w:val="clear" w:color="auto" w:fill="auto"/>
            <w:noWrap/>
            <w:vAlign w:val="center"/>
            <w:hideMark/>
          </w:tcPr>
          <w:p w14:paraId="0FE8F244"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Commencement stream</w:t>
            </w:r>
            <w:r w:rsidRPr="002F5864">
              <w:rPr>
                <w:rFonts w:cstheme="minorHAnsi"/>
                <w:color w:val="000000"/>
                <w:sz w:val="20"/>
                <w:szCs w:val="20"/>
              </w:rPr>
              <w:t>:  Stream 1</w:t>
            </w:r>
          </w:p>
        </w:tc>
        <w:tc>
          <w:tcPr>
            <w:tcW w:w="1587" w:type="dxa"/>
            <w:tcBorders>
              <w:top w:val="nil"/>
              <w:left w:val="nil"/>
              <w:bottom w:val="nil"/>
              <w:right w:val="nil"/>
            </w:tcBorders>
            <w:shd w:val="clear" w:color="auto" w:fill="auto"/>
            <w:noWrap/>
            <w:vAlign w:val="center"/>
            <w:hideMark/>
          </w:tcPr>
          <w:p w14:paraId="76A2D598"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74.2</w:t>
            </w:r>
          </w:p>
        </w:tc>
        <w:tc>
          <w:tcPr>
            <w:tcW w:w="1418" w:type="dxa"/>
            <w:tcBorders>
              <w:top w:val="nil"/>
              <w:left w:val="nil"/>
              <w:bottom w:val="nil"/>
              <w:right w:val="nil"/>
            </w:tcBorders>
            <w:shd w:val="clear" w:color="auto" w:fill="auto"/>
            <w:noWrap/>
            <w:vAlign w:val="center"/>
            <w:hideMark/>
          </w:tcPr>
          <w:p w14:paraId="5FE91F94"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71.6</w:t>
            </w:r>
          </w:p>
        </w:tc>
        <w:tc>
          <w:tcPr>
            <w:tcW w:w="1701" w:type="dxa"/>
            <w:tcBorders>
              <w:top w:val="nil"/>
              <w:left w:val="nil"/>
              <w:bottom w:val="nil"/>
              <w:right w:val="nil"/>
            </w:tcBorders>
            <w:shd w:val="clear" w:color="auto" w:fill="auto"/>
            <w:noWrap/>
            <w:vAlign w:val="center"/>
            <w:hideMark/>
          </w:tcPr>
          <w:p w14:paraId="0D6D583F"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-2.6</w:t>
            </w:r>
          </w:p>
        </w:tc>
      </w:tr>
      <w:tr w:rsidR="00961617" w:rsidRPr="002F5864" w14:paraId="0F64DD7F"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276CD7AD"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Commencement stream</w:t>
            </w:r>
            <w:r w:rsidRPr="002F5864">
              <w:rPr>
                <w:rFonts w:cstheme="minorHAnsi"/>
                <w:color w:val="000000"/>
                <w:sz w:val="20"/>
                <w:szCs w:val="20"/>
              </w:rPr>
              <w:t>:  Stream 2</w:t>
            </w:r>
          </w:p>
        </w:tc>
        <w:tc>
          <w:tcPr>
            <w:tcW w:w="1587" w:type="dxa"/>
            <w:tcBorders>
              <w:top w:val="nil"/>
              <w:left w:val="nil"/>
              <w:bottom w:val="nil"/>
              <w:right w:val="nil"/>
            </w:tcBorders>
            <w:shd w:val="clear" w:color="auto" w:fill="E5E5E5" w:themeFill="background1" w:themeFillTint="33"/>
            <w:noWrap/>
            <w:vAlign w:val="center"/>
            <w:hideMark/>
          </w:tcPr>
          <w:p w14:paraId="159ACD89"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19.2</w:t>
            </w:r>
          </w:p>
        </w:tc>
        <w:tc>
          <w:tcPr>
            <w:tcW w:w="1418" w:type="dxa"/>
            <w:tcBorders>
              <w:top w:val="nil"/>
              <w:left w:val="nil"/>
              <w:bottom w:val="nil"/>
              <w:right w:val="nil"/>
            </w:tcBorders>
            <w:shd w:val="clear" w:color="auto" w:fill="E5E5E5" w:themeFill="background1" w:themeFillTint="33"/>
            <w:noWrap/>
            <w:vAlign w:val="center"/>
            <w:hideMark/>
          </w:tcPr>
          <w:p w14:paraId="6ECBB165"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20.4</w:t>
            </w:r>
          </w:p>
        </w:tc>
        <w:tc>
          <w:tcPr>
            <w:tcW w:w="1701" w:type="dxa"/>
            <w:tcBorders>
              <w:top w:val="nil"/>
              <w:left w:val="nil"/>
              <w:bottom w:val="nil"/>
              <w:right w:val="nil"/>
            </w:tcBorders>
            <w:shd w:val="clear" w:color="auto" w:fill="E5E5E5" w:themeFill="background1" w:themeFillTint="33"/>
            <w:noWrap/>
            <w:vAlign w:val="center"/>
            <w:hideMark/>
          </w:tcPr>
          <w:p w14:paraId="17616B7A"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1.2</w:t>
            </w:r>
          </w:p>
        </w:tc>
      </w:tr>
      <w:tr w:rsidR="00961617" w:rsidRPr="002F5864" w14:paraId="5F71BC7F" w14:textId="77777777" w:rsidTr="0020771F">
        <w:trPr>
          <w:trHeight w:hRule="exact" w:val="340"/>
          <w:tblHeader/>
        </w:trPr>
        <w:tc>
          <w:tcPr>
            <w:tcW w:w="4240" w:type="dxa"/>
            <w:tcBorders>
              <w:top w:val="nil"/>
              <w:left w:val="nil"/>
              <w:right w:val="nil"/>
            </w:tcBorders>
            <w:shd w:val="clear" w:color="auto" w:fill="auto"/>
            <w:noWrap/>
            <w:vAlign w:val="center"/>
            <w:hideMark/>
          </w:tcPr>
          <w:p w14:paraId="2B921121"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Commencement stream</w:t>
            </w:r>
            <w:r w:rsidRPr="002F5864">
              <w:rPr>
                <w:rFonts w:cstheme="minorHAnsi"/>
                <w:color w:val="000000"/>
                <w:sz w:val="20"/>
                <w:szCs w:val="20"/>
              </w:rPr>
              <w:t>:  Stream 3</w:t>
            </w:r>
          </w:p>
        </w:tc>
        <w:tc>
          <w:tcPr>
            <w:tcW w:w="1587" w:type="dxa"/>
            <w:tcBorders>
              <w:top w:val="nil"/>
              <w:left w:val="nil"/>
              <w:right w:val="nil"/>
            </w:tcBorders>
            <w:shd w:val="clear" w:color="auto" w:fill="auto"/>
            <w:noWrap/>
            <w:vAlign w:val="center"/>
            <w:hideMark/>
          </w:tcPr>
          <w:p w14:paraId="1DA7D71D"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4.4</w:t>
            </w:r>
          </w:p>
        </w:tc>
        <w:tc>
          <w:tcPr>
            <w:tcW w:w="1418" w:type="dxa"/>
            <w:tcBorders>
              <w:top w:val="nil"/>
              <w:left w:val="nil"/>
              <w:right w:val="nil"/>
            </w:tcBorders>
            <w:shd w:val="clear" w:color="auto" w:fill="auto"/>
            <w:noWrap/>
            <w:vAlign w:val="center"/>
            <w:hideMark/>
          </w:tcPr>
          <w:p w14:paraId="4AF428E2"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4.6</w:t>
            </w:r>
          </w:p>
        </w:tc>
        <w:tc>
          <w:tcPr>
            <w:tcW w:w="1701" w:type="dxa"/>
            <w:tcBorders>
              <w:top w:val="nil"/>
              <w:left w:val="nil"/>
              <w:right w:val="nil"/>
            </w:tcBorders>
            <w:shd w:val="clear" w:color="auto" w:fill="auto"/>
            <w:noWrap/>
            <w:vAlign w:val="center"/>
            <w:hideMark/>
          </w:tcPr>
          <w:p w14:paraId="13D14C88"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0.2</w:t>
            </w:r>
          </w:p>
        </w:tc>
      </w:tr>
      <w:tr w:rsidR="00961617" w:rsidRPr="002F5864" w14:paraId="290930BB"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29592BBB"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Commencement stream</w:t>
            </w:r>
            <w:r w:rsidRPr="002F5864">
              <w:rPr>
                <w:rFonts w:cstheme="minorHAnsi"/>
                <w:color w:val="000000"/>
                <w:sz w:val="20"/>
                <w:szCs w:val="20"/>
              </w:rPr>
              <w:t>:  Stream 4</w:t>
            </w:r>
          </w:p>
        </w:tc>
        <w:tc>
          <w:tcPr>
            <w:tcW w:w="1587" w:type="dxa"/>
            <w:tcBorders>
              <w:top w:val="nil"/>
              <w:left w:val="nil"/>
              <w:right w:val="nil"/>
            </w:tcBorders>
            <w:shd w:val="clear" w:color="auto" w:fill="E5E5E5" w:themeFill="background1" w:themeFillTint="33"/>
            <w:noWrap/>
            <w:vAlign w:val="center"/>
            <w:hideMark/>
          </w:tcPr>
          <w:p w14:paraId="5CEF655F"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2.3</w:t>
            </w:r>
          </w:p>
        </w:tc>
        <w:tc>
          <w:tcPr>
            <w:tcW w:w="1418" w:type="dxa"/>
            <w:tcBorders>
              <w:top w:val="nil"/>
              <w:left w:val="nil"/>
              <w:right w:val="nil"/>
            </w:tcBorders>
            <w:shd w:val="clear" w:color="auto" w:fill="E5E5E5" w:themeFill="background1" w:themeFillTint="33"/>
            <w:noWrap/>
            <w:vAlign w:val="center"/>
            <w:hideMark/>
          </w:tcPr>
          <w:p w14:paraId="6710CF71"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3.4</w:t>
            </w:r>
          </w:p>
        </w:tc>
        <w:tc>
          <w:tcPr>
            <w:tcW w:w="1701" w:type="dxa"/>
            <w:tcBorders>
              <w:top w:val="nil"/>
              <w:left w:val="nil"/>
              <w:right w:val="nil"/>
            </w:tcBorders>
            <w:shd w:val="clear" w:color="auto" w:fill="E5E5E5" w:themeFill="background1" w:themeFillTint="33"/>
            <w:noWrap/>
            <w:vAlign w:val="center"/>
            <w:hideMark/>
          </w:tcPr>
          <w:p w14:paraId="0AF30B67"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1.1</w:t>
            </w:r>
          </w:p>
        </w:tc>
      </w:tr>
      <w:tr w:rsidR="00961617" w:rsidRPr="002F5864" w14:paraId="3D72418F" w14:textId="77777777" w:rsidTr="0020771F">
        <w:trPr>
          <w:trHeight w:hRule="exact" w:val="340"/>
          <w:tblHeader/>
        </w:trPr>
        <w:tc>
          <w:tcPr>
            <w:tcW w:w="4240" w:type="dxa"/>
            <w:tcBorders>
              <w:left w:val="nil"/>
              <w:bottom w:val="nil"/>
              <w:right w:val="nil"/>
            </w:tcBorders>
            <w:shd w:val="clear" w:color="auto" w:fill="auto"/>
            <w:noWrap/>
            <w:vAlign w:val="center"/>
            <w:hideMark/>
          </w:tcPr>
          <w:p w14:paraId="609F4641"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Age: Less than 25 years</w:t>
            </w:r>
          </w:p>
        </w:tc>
        <w:tc>
          <w:tcPr>
            <w:tcW w:w="1587" w:type="dxa"/>
            <w:tcBorders>
              <w:left w:val="nil"/>
              <w:bottom w:val="nil"/>
              <w:right w:val="nil"/>
            </w:tcBorders>
            <w:shd w:val="clear" w:color="auto" w:fill="auto"/>
            <w:noWrap/>
            <w:vAlign w:val="center"/>
            <w:hideMark/>
          </w:tcPr>
          <w:p w14:paraId="59572106"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44.4</w:t>
            </w:r>
          </w:p>
        </w:tc>
        <w:tc>
          <w:tcPr>
            <w:tcW w:w="1418" w:type="dxa"/>
            <w:tcBorders>
              <w:left w:val="nil"/>
              <w:bottom w:val="nil"/>
              <w:right w:val="nil"/>
            </w:tcBorders>
            <w:shd w:val="clear" w:color="auto" w:fill="auto"/>
            <w:noWrap/>
            <w:vAlign w:val="center"/>
            <w:hideMark/>
          </w:tcPr>
          <w:p w14:paraId="7E9AD538"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38.4</w:t>
            </w:r>
          </w:p>
        </w:tc>
        <w:tc>
          <w:tcPr>
            <w:tcW w:w="1701" w:type="dxa"/>
            <w:tcBorders>
              <w:left w:val="nil"/>
              <w:bottom w:val="nil"/>
              <w:right w:val="nil"/>
            </w:tcBorders>
            <w:shd w:val="clear" w:color="auto" w:fill="auto"/>
            <w:noWrap/>
            <w:vAlign w:val="center"/>
            <w:hideMark/>
          </w:tcPr>
          <w:p w14:paraId="14F2B0B8"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-6.0</w:t>
            </w:r>
          </w:p>
        </w:tc>
      </w:tr>
      <w:tr w:rsidR="00961617" w:rsidRPr="002F5864" w14:paraId="49A3AAE2"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6349E60F"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Age: 25 to 30 years</w:t>
            </w:r>
          </w:p>
        </w:tc>
        <w:tc>
          <w:tcPr>
            <w:tcW w:w="1587" w:type="dxa"/>
            <w:tcBorders>
              <w:top w:val="nil"/>
              <w:left w:val="nil"/>
              <w:bottom w:val="nil"/>
              <w:right w:val="nil"/>
            </w:tcBorders>
            <w:shd w:val="clear" w:color="auto" w:fill="E5E5E5" w:themeFill="background1" w:themeFillTint="33"/>
            <w:noWrap/>
            <w:vAlign w:val="center"/>
            <w:hideMark/>
          </w:tcPr>
          <w:p w14:paraId="250BC8DC"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13.2</w:t>
            </w:r>
          </w:p>
        </w:tc>
        <w:tc>
          <w:tcPr>
            <w:tcW w:w="1418" w:type="dxa"/>
            <w:tcBorders>
              <w:top w:val="nil"/>
              <w:left w:val="nil"/>
              <w:bottom w:val="nil"/>
              <w:right w:val="nil"/>
            </w:tcBorders>
            <w:shd w:val="clear" w:color="auto" w:fill="E5E5E5" w:themeFill="background1" w:themeFillTint="33"/>
            <w:noWrap/>
            <w:vAlign w:val="center"/>
            <w:hideMark/>
          </w:tcPr>
          <w:p w14:paraId="5025599E"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13.2</w:t>
            </w:r>
          </w:p>
        </w:tc>
        <w:tc>
          <w:tcPr>
            <w:tcW w:w="1701" w:type="dxa"/>
            <w:tcBorders>
              <w:top w:val="nil"/>
              <w:left w:val="nil"/>
              <w:bottom w:val="nil"/>
              <w:right w:val="nil"/>
            </w:tcBorders>
            <w:shd w:val="clear" w:color="auto" w:fill="E5E5E5" w:themeFill="background1" w:themeFillTint="33"/>
            <w:noWrap/>
            <w:vAlign w:val="center"/>
            <w:hideMark/>
          </w:tcPr>
          <w:p w14:paraId="43EBD6FE"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0.0</w:t>
            </w:r>
          </w:p>
        </w:tc>
      </w:tr>
      <w:tr w:rsidR="00961617" w:rsidRPr="002F5864" w14:paraId="50D18F64" w14:textId="77777777" w:rsidTr="0020771F">
        <w:trPr>
          <w:trHeight w:hRule="exact" w:val="340"/>
          <w:tblHeader/>
        </w:trPr>
        <w:tc>
          <w:tcPr>
            <w:tcW w:w="4240" w:type="dxa"/>
            <w:tcBorders>
              <w:top w:val="nil"/>
              <w:left w:val="nil"/>
              <w:right w:val="nil"/>
            </w:tcBorders>
            <w:shd w:val="clear" w:color="auto" w:fill="auto"/>
            <w:noWrap/>
            <w:vAlign w:val="center"/>
            <w:hideMark/>
          </w:tcPr>
          <w:p w14:paraId="26DF8D6C"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Age: 30 to 50 years</w:t>
            </w:r>
          </w:p>
        </w:tc>
        <w:tc>
          <w:tcPr>
            <w:tcW w:w="1587" w:type="dxa"/>
            <w:tcBorders>
              <w:top w:val="nil"/>
              <w:left w:val="nil"/>
              <w:right w:val="nil"/>
            </w:tcBorders>
            <w:shd w:val="clear" w:color="auto" w:fill="auto"/>
            <w:noWrap/>
            <w:vAlign w:val="center"/>
            <w:hideMark/>
          </w:tcPr>
          <w:p w14:paraId="69414298"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31.5</w:t>
            </w:r>
          </w:p>
        </w:tc>
        <w:tc>
          <w:tcPr>
            <w:tcW w:w="1418" w:type="dxa"/>
            <w:tcBorders>
              <w:top w:val="nil"/>
              <w:left w:val="nil"/>
              <w:right w:val="nil"/>
            </w:tcBorders>
            <w:shd w:val="clear" w:color="auto" w:fill="auto"/>
            <w:noWrap/>
            <w:vAlign w:val="center"/>
            <w:hideMark/>
          </w:tcPr>
          <w:p w14:paraId="07A4C3AC"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34.1</w:t>
            </w:r>
          </w:p>
        </w:tc>
        <w:tc>
          <w:tcPr>
            <w:tcW w:w="1701" w:type="dxa"/>
            <w:tcBorders>
              <w:top w:val="nil"/>
              <w:left w:val="nil"/>
              <w:right w:val="nil"/>
            </w:tcBorders>
            <w:shd w:val="clear" w:color="auto" w:fill="auto"/>
            <w:noWrap/>
            <w:vAlign w:val="center"/>
            <w:hideMark/>
          </w:tcPr>
          <w:p w14:paraId="56F35A06"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2.7</w:t>
            </w:r>
          </w:p>
        </w:tc>
      </w:tr>
      <w:tr w:rsidR="00961617" w:rsidRPr="002F5864" w14:paraId="1FFAA2F6"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1276C8CC"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Age: 50 or more years</w:t>
            </w:r>
          </w:p>
        </w:tc>
        <w:tc>
          <w:tcPr>
            <w:tcW w:w="1587" w:type="dxa"/>
            <w:tcBorders>
              <w:top w:val="nil"/>
              <w:left w:val="nil"/>
              <w:right w:val="nil"/>
            </w:tcBorders>
            <w:shd w:val="clear" w:color="auto" w:fill="E5E5E5" w:themeFill="background1" w:themeFillTint="33"/>
            <w:noWrap/>
            <w:vAlign w:val="center"/>
            <w:hideMark/>
          </w:tcPr>
          <w:p w14:paraId="7201E8F0"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10.9</w:t>
            </w:r>
          </w:p>
        </w:tc>
        <w:tc>
          <w:tcPr>
            <w:tcW w:w="1418" w:type="dxa"/>
            <w:tcBorders>
              <w:top w:val="nil"/>
              <w:left w:val="nil"/>
              <w:right w:val="nil"/>
            </w:tcBorders>
            <w:shd w:val="clear" w:color="auto" w:fill="E5E5E5" w:themeFill="background1" w:themeFillTint="33"/>
            <w:noWrap/>
            <w:vAlign w:val="center"/>
            <w:hideMark/>
          </w:tcPr>
          <w:p w14:paraId="4E522D2F"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14.3</w:t>
            </w:r>
          </w:p>
        </w:tc>
        <w:tc>
          <w:tcPr>
            <w:tcW w:w="1701" w:type="dxa"/>
            <w:tcBorders>
              <w:top w:val="nil"/>
              <w:left w:val="nil"/>
              <w:right w:val="nil"/>
            </w:tcBorders>
            <w:shd w:val="clear" w:color="auto" w:fill="E5E5E5" w:themeFill="background1" w:themeFillTint="33"/>
            <w:noWrap/>
            <w:vAlign w:val="center"/>
            <w:hideMark/>
          </w:tcPr>
          <w:p w14:paraId="419C306D"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3.3</w:t>
            </w:r>
          </w:p>
        </w:tc>
      </w:tr>
      <w:tr w:rsidR="00961617" w:rsidRPr="002F5864" w14:paraId="1E5E184C" w14:textId="77777777" w:rsidTr="0020771F">
        <w:trPr>
          <w:trHeight w:hRule="exact" w:val="340"/>
          <w:tblHeader/>
        </w:trPr>
        <w:tc>
          <w:tcPr>
            <w:tcW w:w="4240" w:type="dxa"/>
            <w:tcBorders>
              <w:left w:val="nil"/>
              <w:right w:val="nil"/>
            </w:tcBorders>
            <w:shd w:val="clear" w:color="auto" w:fill="auto"/>
            <w:noWrap/>
            <w:vAlign w:val="center"/>
            <w:hideMark/>
          </w:tcPr>
          <w:p w14:paraId="6D4A7747"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Gender: Females</w:t>
            </w:r>
          </w:p>
        </w:tc>
        <w:tc>
          <w:tcPr>
            <w:tcW w:w="1587" w:type="dxa"/>
            <w:tcBorders>
              <w:left w:val="nil"/>
              <w:right w:val="nil"/>
            </w:tcBorders>
            <w:shd w:val="clear" w:color="auto" w:fill="auto"/>
            <w:noWrap/>
            <w:vAlign w:val="center"/>
            <w:hideMark/>
          </w:tcPr>
          <w:p w14:paraId="5CCEDCAC"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47.7</w:t>
            </w:r>
          </w:p>
        </w:tc>
        <w:tc>
          <w:tcPr>
            <w:tcW w:w="1418" w:type="dxa"/>
            <w:tcBorders>
              <w:left w:val="nil"/>
              <w:right w:val="nil"/>
            </w:tcBorders>
            <w:shd w:val="clear" w:color="auto" w:fill="auto"/>
            <w:noWrap/>
            <w:vAlign w:val="center"/>
            <w:hideMark/>
          </w:tcPr>
          <w:p w14:paraId="06F49252"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44.1</w:t>
            </w:r>
          </w:p>
        </w:tc>
        <w:tc>
          <w:tcPr>
            <w:tcW w:w="1701" w:type="dxa"/>
            <w:tcBorders>
              <w:left w:val="nil"/>
              <w:right w:val="nil"/>
            </w:tcBorders>
            <w:shd w:val="clear" w:color="auto" w:fill="auto"/>
            <w:noWrap/>
            <w:vAlign w:val="center"/>
            <w:hideMark/>
          </w:tcPr>
          <w:p w14:paraId="6F9E137A"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-3.6</w:t>
            </w:r>
          </w:p>
        </w:tc>
      </w:tr>
      <w:tr w:rsidR="00961617" w:rsidRPr="002F5864" w14:paraId="53542E6E"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1AD6E185"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Gender: Males</w:t>
            </w:r>
          </w:p>
        </w:tc>
        <w:tc>
          <w:tcPr>
            <w:tcW w:w="1587" w:type="dxa"/>
            <w:tcBorders>
              <w:top w:val="nil"/>
              <w:left w:val="nil"/>
              <w:right w:val="nil"/>
            </w:tcBorders>
            <w:shd w:val="clear" w:color="auto" w:fill="E5E5E5" w:themeFill="background1" w:themeFillTint="33"/>
            <w:noWrap/>
            <w:vAlign w:val="center"/>
            <w:hideMark/>
          </w:tcPr>
          <w:p w14:paraId="409670D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52.3</w:t>
            </w:r>
          </w:p>
        </w:tc>
        <w:tc>
          <w:tcPr>
            <w:tcW w:w="1418" w:type="dxa"/>
            <w:tcBorders>
              <w:top w:val="nil"/>
              <w:left w:val="nil"/>
              <w:right w:val="nil"/>
            </w:tcBorders>
            <w:shd w:val="clear" w:color="auto" w:fill="E5E5E5" w:themeFill="background1" w:themeFillTint="33"/>
            <w:noWrap/>
            <w:vAlign w:val="center"/>
            <w:hideMark/>
          </w:tcPr>
          <w:p w14:paraId="66742440"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55.9</w:t>
            </w:r>
          </w:p>
        </w:tc>
        <w:tc>
          <w:tcPr>
            <w:tcW w:w="1701" w:type="dxa"/>
            <w:tcBorders>
              <w:top w:val="nil"/>
              <w:left w:val="nil"/>
              <w:right w:val="nil"/>
            </w:tcBorders>
            <w:shd w:val="clear" w:color="auto" w:fill="E5E5E5" w:themeFill="background1" w:themeFillTint="33"/>
            <w:noWrap/>
            <w:vAlign w:val="center"/>
            <w:hideMark/>
          </w:tcPr>
          <w:p w14:paraId="109F88EA"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3.6</w:t>
            </w:r>
          </w:p>
        </w:tc>
      </w:tr>
      <w:tr w:rsidR="00961617" w:rsidRPr="002F5864" w14:paraId="659EFF5E" w14:textId="77777777" w:rsidTr="0020771F">
        <w:trPr>
          <w:trHeight w:hRule="exact" w:val="340"/>
          <w:tblHeader/>
        </w:trPr>
        <w:tc>
          <w:tcPr>
            <w:tcW w:w="4240" w:type="dxa"/>
            <w:tcBorders>
              <w:left w:val="nil"/>
              <w:bottom w:val="nil"/>
              <w:right w:val="nil"/>
            </w:tcBorders>
            <w:shd w:val="clear" w:color="auto" w:fill="auto"/>
            <w:noWrap/>
            <w:vAlign w:val="center"/>
            <w:hideMark/>
          </w:tcPr>
          <w:p w14:paraId="5F861F5B"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Geographic location:</w:t>
            </w:r>
            <w:r w:rsidRPr="002F5864">
              <w:rPr>
                <w:rFonts w:cstheme="minorHAnsi"/>
                <w:color w:val="000000"/>
                <w:sz w:val="20"/>
                <w:szCs w:val="20"/>
              </w:rPr>
              <w:t xml:space="preserve"> Major Cities of Australia</w:t>
            </w:r>
          </w:p>
        </w:tc>
        <w:tc>
          <w:tcPr>
            <w:tcW w:w="1587" w:type="dxa"/>
            <w:tcBorders>
              <w:left w:val="nil"/>
              <w:bottom w:val="nil"/>
              <w:right w:val="nil"/>
            </w:tcBorders>
            <w:shd w:val="clear" w:color="auto" w:fill="auto"/>
            <w:noWrap/>
            <w:vAlign w:val="center"/>
            <w:hideMark/>
          </w:tcPr>
          <w:p w14:paraId="376DC764"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68.4</w:t>
            </w:r>
          </w:p>
        </w:tc>
        <w:tc>
          <w:tcPr>
            <w:tcW w:w="1418" w:type="dxa"/>
            <w:tcBorders>
              <w:left w:val="nil"/>
              <w:bottom w:val="nil"/>
              <w:right w:val="nil"/>
            </w:tcBorders>
            <w:shd w:val="clear" w:color="auto" w:fill="auto"/>
            <w:noWrap/>
            <w:vAlign w:val="center"/>
            <w:hideMark/>
          </w:tcPr>
          <w:p w14:paraId="09871F4C"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69.1</w:t>
            </w:r>
          </w:p>
        </w:tc>
        <w:tc>
          <w:tcPr>
            <w:tcW w:w="1701" w:type="dxa"/>
            <w:tcBorders>
              <w:left w:val="nil"/>
              <w:bottom w:val="nil"/>
              <w:right w:val="nil"/>
            </w:tcBorders>
            <w:shd w:val="clear" w:color="auto" w:fill="auto"/>
            <w:noWrap/>
            <w:vAlign w:val="center"/>
            <w:hideMark/>
          </w:tcPr>
          <w:p w14:paraId="1FC86387"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0.7</w:t>
            </w:r>
          </w:p>
        </w:tc>
      </w:tr>
      <w:tr w:rsidR="00961617" w:rsidRPr="002F5864" w14:paraId="793A47DA"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1FB7A460"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Geographic location:</w:t>
            </w:r>
            <w:r w:rsidRPr="002F5864">
              <w:rPr>
                <w:rFonts w:cstheme="minorHAnsi"/>
                <w:color w:val="000000"/>
                <w:sz w:val="20"/>
                <w:szCs w:val="20"/>
              </w:rPr>
              <w:t xml:space="preserve"> Inner Regional Australia</w:t>
            </w:r>
          </w:p>
        </w:tc>
        <w:tc>
          <w:tcPr>
            <w:tcW w:w="1587" w:type="dxa"/>
            <w:tcBorders>
              <w:top w:val="nil"/>
              <w:left w:val="nil"/>
              <w:right w:val="nil"/>
            </w:tcBorders>
            <w:shd w:val="clear" w:color="auto" w:fill="E5E5E5" w:themeFill="background1" w:themeFillTint="33"/>
            <w:noWrap/>
            <w:vAlign w:val="center"/>
            <w:hideMark/>
          </w:tcPr>
          <w:p w14:paraId="6329A794"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21.0</w:t>
            </w:r>
          </w:p>
        </w:tc>
        <w:tc>
          <w:tcPr>
            <w:tcW w:w="1418" w:type="dxa"/>
            <w:tcBorders>
              <w:top w:val="nil"/>
              <w:left w:val="nil"/>
              <w:right w:val="nil"/>
            </w:tcBorders>
            <w:shd w:val="clear" w:color="auto" w:fill="E5E5E5" w:themeFill="background1" w:themeFillTint="33"/>
            <w:noWrap/>
            <w:vAlign w:val="center"/>
            <w:hideMark/>
          </w:tcPr>
          <w:p w14:paraId="500EB527"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20.6</w:t>
            </w:r>
          </w:p>
        </w:tc>
        <w:tc>
          <w:tcPr>
            <w:tcW w:w="1701" w:type="dxa"/>
            <w:tcBorders>
              <w:top w:val="nil"/>
              <w:left w:val="nil"/>
              <w:right w:val="nil"/>
            </w:tcBorders>
            <w:shd w:val="clear" w:color="auto" w:fill="E5E5E5" w:themeFill="background1" w:themeFillTint="33"/>
            <w:noWrap/>
            <w:vAlign w:val="center"/>
            <w:hideMark/>
          </w:tcPr>
          <w:p w14:paraId="5F487195"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-0.4</w:t>
            </w:r>
          </w:p>
        </w:tc>
      </w:tr>
      <w:tr w:rsidR="00961617" w:rsidRPr="002F5864" w14:paraId="137600A8" w14:textId="77777777" w:rsidTr="0020771F">
        <w:trPr>
          <w:trHeight w:hRule="exact" w:val="340"/>
          <w:tblHeader/>
        </w:trPr>
        <w:tc>
          <w:tcPr>
            <w:tcW w:w="4240" w:type="dxa"/>
            <w:tcBorders>
              <w:top w:val="nil"/>
              <w:left w:val="nil"/>
              <w:right w:val="nil"/>
            </w:tcBorders>
            <w:shd w:val="clear" w:color="auto" w:fill="auto"/>
            <w:noWrap/>
            <w:vAlign w:val="center"/>
            <w:hideMark/>
          </w:tcPr>
          <w:p w14:paraId="4BE37785"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Geographic location:</w:t>
            </w:r>
            <w:r w:rsidRPr="002F5864">
              <w:rPr>
                <w:rFonts w:cstheme="minorHAnsi"/>
                <w:color w:val="000000"/>
                <w:sz w:val="20"/>
                <w:szCs w:val="20"/>
              </w:rPr>
              <w:t xml:space="preserve"> Other </w:t>
            </w:r>
          </w:p>
        </w:tc>
        <w:tc>
          <w:tcPr>
            <w:tcW w:w="1587" w:type="dxa"/>
            <w:tcBorders>
              <w:top w:val="nil"/>
              <w:left w:val="nil"/>
              <w:right w:val="nil"/>
            </w:tcBorders>
            <w:shd w:val="clear" w:color="auto" w:fill="auto"/>
            <w:noWrap/>
            <w:vAlign w:val="center"/>
            <w:hideMark/>
          </w:tcPr>
          <w:p w14:paraId="706D16EF"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10.6</w:t>
            </w:r>
          </w:p>
        </w:tc>
        <w:tc>
          <w:tcPr>
            <w:tcW w:w="1418" w:type="dxa"/>
            <w:tcBorders>
              <w:top w:val="nil"/>
              <w:left w:val="nil"/>
              <w:right w:val="nil"/>
            </w:tcBorders>
            <w:shd w:val="clear" w:color="auto" w:fill="auto"/>
            <w:noWrap/>
            <w:vAlign w:val="center"/>
            <w:hideMark/>
          </w:tcPr>
          <w:p w14:paraId="2415C510"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10.3</w:t>
            </w:r>
          </w:p>
        </w:tc>
        <w:tc>
          <w:tcPr>
            <w:tcW w:w="1701" w:type="dxa"/>
            <w:tcBorders>
              <w:top w:val="nil"/>
              <w:left w:val="nil"/>
              <w:right w:val="nil"/>
            </w:tcBorders>
            <w:shd w:val="clear" w:color="auto" w:fill="auto"/>
            <w:noWrap/>
            <w:vAlign w:val="center"/>
            <w:hideMark/>
          </w:tcPr>
          <w:p w14:paraId="7235C290"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-0.3</w:t>
            </w:r>
          </w:p>
        </w:tc>
      </w:tr>
      <w:tr w:rsidR="00961617" w:rsidRPr="002F5864" w14:paraId="31668A20" w14:textId="77777777" w:rsidTr="0020771F">
        <w:trPr>
          <w:trHeight w:hRule="exact" w:val="340"/>
          <w:tblHeader/>
        </w:trPr>
        <w:tc>
          <w:tcPr>
            <w:tcW w:w="4240" w:type="dxa"/>
            <w:tcBorders>
              <w:left w:val="nil"/>
              <w:bottom w:val="nil"/>
              <w:right w:val="nil"/>
            </w:tcBorders>
            <w:shd w:val="clear" w:color="auto" w:fill="E5E5E5" w:themeFill="background1" w:themeFillTint="33"/>
            <w:noWrap/>
            <w:vAlign w:val="center"/>
            <w:hideMark/>
          </w:tcPr>
          <w:p w14:paraId="3103E7B4"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Highest level of education: </w:t>
            </w:r>
            <w:r w:rsidRPr="002F5864">
              <w:rPr>
                <w:rFonts w:cstheme="minorHAnsi"/>
                <w:color w:val="000000"/>
                <w:sz w:val="20"/>
                <w:szCs w:val="20"/>
              </w:rPr>
              <w:t>Less than Year 10</w:t>
            </w:r>
          </w:p>
        </w:tc>
        <w:tc>
          <w:tcPr>
            <w:tcW w:w="1587" w:type="dxa"/>
            <w:tcBorders>
              <w:left w:val="nil"/>
              <w:bottom w:val="nil"/>
              <w:right w:val="nil"/>
            </w:tcBorders>
            <w:shd w:val="clear" w:color="auto" w:fill="E5E5E5" w:themeFill="background1" w:themeFillTint="33"/>
            <w:noWrap/>
            <w:vAlign w:val="center"/>
            <w:hideMark/>
          </w:tcPr>
          <w:p w14:paraId="7DDCA07B"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6.2</w:t>
            </w:r>
          </w:p>
        </w:tc>
        <w:tc>
          <w:tcPr>
            <w:tcW w:w="1418" w:type="dxa"/>
            <w:tcBorders>
              <w:left w:val="nil"/>
              <w:bottom w:val="nil"/>
              <w:right w:val="nil"/>
            </w:tcBorders>
            <w:shd w:val="clear" w:color="auto" w:fill="E5E5E5" w:themeFill="background1" w:themeFillTint="33"/>
            <w:noWrap/>
            <w:vAlign w:val="center"/>
            <w:hideMark/>
          </w:tcPr>
          <w:p w14:paraId="14058273"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5.2</w:t>
            </w:r>
          </w:p>
        </w:tc>
        <w:tc>
          <w:tcPr>
            <w:tcW w:w="1701" w:type="dxa"/>
            <w:tcBorders>
              <w:left w:val="nil"/>
              <w:bottom w:val="nil"/>
              <w:right w:val="nil"/>
            </w:tcBorders>
            <w:shd w:val="clear" w:color="auto" w:fill="E5E5E5" w:themeFill="background1" w:themeFillTint="33"/>
            <w:noWrap/>
            <w:vAlign w:val="center"/>
            <w:hideMark/>
          </w:tcPr>
          <w:p w14:paraId="326A41AE"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-1.0</w:t>
            </w:r>
          </w:p>
        </w:tc>
      </w:tr>
      <w:tr w:rsidR="00961617" w:rsidRPr="002F5864" w14:paraId="50E7A8F3" w14:textId="77777777" w:rsidTr="0020771F">
        <w:trPr>
          <w:trHeight w:hRule="exact" w:val="340"/>
          <w:tblHeader/>
        </w:trPr>
        <w:tc>
          <w:tcPr>
            <w:tcW w:w="4240" w:type="dxa"/>
            <w:tcBorders>
              <w:top w:val="nil"/>
              <w:left w:val="nil"/>
              <w:bottom w:val="nil"/>
              <w:right w:val="nil"/>
            </w:tcBorders>
            <w:shd w:val="clear" w:color="auto" w:fill="auto"/>
            <w:noWrap/>
            <w:vAlign w:val="center"/>
            <w:hideMark/>
          </w:tcPr>
          <w:p w14:paraId="45CDC644"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Highest level of education: </w:t>
            </w:r>
            <w:r w:rsidRPr="002F5864">
              <w:rPr>
                <w:rFonts w:cstheme="minorHAnsi"/>
                <w:color w:val="000000"/>
                <w:sz w:val="20"/>
                <w:szCs w:val="20"/>
              </w:rPr>
              <w:t>Year 10/11</w:t>
            </w:r>
          </w:p>
        </w:tc>
        <w:tc>
          <w:tcPr>
            <w:tcW w:w="1587" w:type="dxa"/>
            <w:tcBorders>
              <w:top w:val="nil"/>
              <w:left w:val="nil"/>
              <w:bottom w:val="nil"/>
              <w:right w:val="nil"/>
            </w:tcBorders>
            <w:shd w:val="clear" w:color="auto" w:fill="auto"/>
            <w:noWrap/>
            <w:vAlign w:val="center"/>
            <w:hideMark/>
          </w:tcPr>
          <w:p w14:paraId="023BF3F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23.6</w:t>
            </w:r>
          </w:p>
        </w:tc>
        <w:tc>
          <w:tcPr>
            <w:tcW w:w="1418" w:type="dxa"/>
            <w:tcBorders>
              <w:top w:val="nil"/>
              <w:left w:val="nil"/>
              <w:bottom w:val="nil"/>
              <w:right w:val="nil"/>
            </w:tcBorders>
            <w:shd w:val="clear" w:color="auto" w:fill="auto"/>
            <w:noWrap/>
            <w:vAlign w:val="center"/>
            <w:hideMark/>
          </w:tcPr>
          <w:p w14:paraId="510B660E"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21.2</w:t>
            </w:r>
          </w:p>
        </w:tc>
        <w:tc>
          <w:tcPr>
            <w:tcW w:w="1701" w:type="dxa"/>
            <w:tcBorders>
              <w:top w:val="nil"/>
              <w:left w:val="nil"/>
              <w:bottom w:val="nil"/>
              <w:right w:val="nil"/>
            </w:tcBorders>
            <w:shd w:val="clear" w:color="auto" w:fill="auto"/>
            <w:noWrap/>
            <w:vAlign w:val="center"/>
            <w:hideMark/>
          </w:tcPr>
          <w:p w14:paraId="3D5715AF"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-2.4</w:t>
            </w:r>
          </w:p>
        </w:tc>
      </w:tr>
      <w:tr w:rsidR="00961617" w:rsidRPr="002F5864" w14:paraId="3149D674"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62494BF7"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Highest level of education: </w:t>
            </w:r>
            <w:r w:rsidRPr="002F5864">
              <w:rPr>
                <w:rFonts w:cstheme="minorHAnsi"/>
                <w:color w:val="000000"/>
                <w:sz w:val="20"/>
                <w:szCs w:val="20"/>
              </w:rPr>
              <w:t>Year 12</w:t>
            </w:r>
          </w:p>
        </w:tc>
        <w:tc>
          <w:tcPr>
            <w:tcW w:w="1587" w:type="dxa"/>
            <w:tcBorders>
              <w:top w:val="nil"/>
              <w:left w:val="nil"/>
              <w:bottom w:val="nil"/>
              <w:right w:val="nil"/>
            </w:tcBorders>
            <w:shd w:val="clear" w:color="auto" w:fill="E5E5E5" w:themeFill="background1" w:themeFillTint="33"/>
            <w:noWrap/>
            <w:vAlign w:val="center"/>
            <w:hideMark/>
          </w:tcPr>
          <w:p w14:paraId="30F42CD5"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26.3</w:t>
            </w:r>
          </w:p>
        </w:tc>
        <w:tc>
          <w:tcPr>
            <w:tcW w:w="1418" w:type="dxa"/>
            <w:tcBorders>
              <w:top w:val="nil"/>
              <w:left w:val="nil"/>
              <w:bottom w:val="nil"/>
              <w:right w:val="nil"/>
            </w:tcBorders>
            <w:shd w:val="clear" w:color="auto" w:fill="E5E5E5" w:themeFill="background1" w:themeFillTint="33"/>
            <w:noWrap/>
            <w:vAlign w:val="center"/>
            <w:hideMark/>
          </w:tcPr>
          <w:p w14:paraId="2268A2A6"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23.9</w:t>
            </w:r>
          </w:p>
        </w:tc>
        <w:tc>
          <w:tcPr>
            <w:tcW w:w="1701" w:type="dxa"/>
            <w:tcBorders>
              <w:top w:val="nil"/>
              <w:left w:val="nil"/>
              <w:bottom w:val="nil"/>
              <w:right w:val="nil"/>
            </w:tcBorders>
            <w:shd w:val="clear" w:color="auto" w:fill="E5E5E5" w:themeFill="background1" w:themeFillTint="33"/>
            <w:noWrap/>
            <w:vAlign w:val="center"/>
            <w:hideMark/>
          </w:tcPr>
          <w:p w14:paraId="233487C8"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-2.4</w:t>
            </w:r>
          </w:p>
        </w:tc>
      </w:tr>
      <w:tr w:rsidR="00961617" w:rsidRPr="002F5864" w14:paraId="61732043" w14:textId="77777777" w:rsidTr="0020771F">
        <w:trPr>
          <w:trHeight w:hRule="exact" w:val="340"/>
          <w:tblHeader/>
        </w:trPr>
        <w:tc>
          <w:tcPr>
            <w:tcW w:w="4240" w:type="dxa"/>
            <w:tcBorders>
              <w:top w:val="nil"/>
              <w:left w:val="nil"/>
              <w:right w:val="nil"/>
            </w:tcBorders>
            <w:shd w:val="clear" w:color="auto" w:fill="auto"/>
            <w:noWrap/>
            <w:vAlign w:val="center"/>
            <w:hideMark/>
          </w:tcPr>
          <w:p w14:paraId="78B4EEF6"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Highest level of education: </w:t>
            </w:r>
            <w:r w:rsidRPr="002F5864">
              <w:rPr>
                <w:rFonts w:cstheme="minorHAnsi"/>
                <w:color w:val="000000"/>
                <w:sz w:val="20"/>
                <w:szCs w:val="20"/>
              </w:rPr>
              <w:t>TAFE/Diploma</w:t>
            </w:r>
          </w:p>
        </w:tc>
        <w:tc>
          <w:tcPr>
            <w:tcW w:w="1587" w:type="dxa"/>
            <w:tcBorders>
              <w:top w:val="nil"/>
              <w:left w:val="nil"/>
              <w:right w:val="nil"/>
            </w:tcBorders>
            <w:shd w:val="clear" w:color="auto" w:fill="auto"/>
            <w:noWrap/>
            <w:vAlign w:val="center"/>
            <w:hideMark/>
          </w:tcPr>
          <w:p w14:paraId="504056DE"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25.9</w:t>
            </w:r>
          </w:p>
        </w:tc>
        <w:tc>
          <w:tcPr>
            <w:tcW w:w="1418" w:type="dxa"/>
            <w:tcBorders>
              <w:top w:val="nil"/>
              <w:left w:val="nil"/>
              <w:right w:val="nil"/>
            </w:tcBorders>
            <w:shd w:val="clear" w:color="auto" w:fill="auto"/>
            <w:noWrap/>
            <w:vAlign w:val="center"/>
            <w:hideMark/>
          </w:tcPr>
          <w:p w14:paraId="4F515418"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33.8</w:t>
            </w:r>
          </w:p>
        </w:tc>
        <w:tc>
          <w:tcPr>
            <w:tcW w:w="1701" w:type="dxa"/>
            <w:tcBorders>
              <w:top w:val="nil"/>
              <w:left w:val="nil"/>
              <w:right w:val="nil"/>
            </w:tcBorders>
            <w:shd w:val="clear" w:color="auto" w:fill="auto"/>
            <w:noWrap/>
            <w:vAlign w:val="center"/>
            <w:hideMark/>
          </w:tcPr>
          <w:p w14:paraId="7E140790"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7.9</w:t>
            </w:r>
          </w:p>
        </w:tc>
      </w:tr>
      <w:tr w:rsidR="00961617" w:rsidRPr="002F5864" w14:paraId="6A6C86A4"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18A99B69"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Highest level of education: </w:t>
            </w:r>
            <w:r w:rsidRPr="002F5864">
              <w:rPr>
                <w:rFonts w:cstheme="minorHAnsi"/>
                <w:color w:val="000000"/>
                <w:sz w:val="20"/>
                <w:szCs w:val="20"/>
              </w:rPr>
              <w:t>Degree/Post graduate</w:t>
            </w:r>
          </w:p>
        </w:tc>
        <w:tc>
          <w:tcPr>
            <w:tcW w:w="1587" w:type="dxa"/>
            <w:tcBorders>
              <w:top w:val="nil"/>
              <w:left w:val="nil"/>
              <w:right w:val="nil"/>
            </w:tcBorders>
            <w:shd w:val="clear" w:color="auto" w:fill="E5E5E5" w:themeFill="background1" w:themeFillTint="33"/>
            <w:noWrap/>
            <w:vAlign w:val="center"/>
            <w:hideMark/>
          </w:tcPr>
          <w:p w14:paraId="3DBBC24B"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18.1</w:t>
            </w:r>
          </w:p>
        </w:tc>
        <w:tc>
          <w:tcPr>
            <w:tcW w:w="1418" w:type="dxa"/>
            <w:tcBorders>
              <w:top w:val="nil"/>
              <w:left w:val="nil"/>
              <w:right w:val="nil"/>
            </w:tcBorders>
            <w:shd w:val="clear" w:color="auto" w:fill="E5E5E5" w:themeFill="background1" w:themeFillTint="33"/>
            <w:noWrap/>
            <w:vAlign w:val="center"/>
            <w:hideMark/>
          </w:tcPr>
          <w:p w14:paraId="67198518"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15.9</w:t>
            </w:r>
          </w:p>
        </w:tc>
        <w:tc>
          <w:tcPr>
            <w:tcW w:w="1701" w:type="dxa"/>
            <w:tcBorders>
              <w:top w:val="nil"/>
              <w:left w:val="nil"/>
              <w:right w:val="nil"/>
            </w:tcBorders>
            <w:shd w:val="clear" w:color="auto" w:fill="E5E5E5" w:themeFill="background1" w:themeFillTint="33"/>
            <w:noWrap/>
            <w:vAlign w:val="center"/>
            <w:hideMark/>
          </w:tcPr>
          <w:p w14:paraId="5913DF5B"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-2.2</w:t>
            </w:r>
          </w:p>
        </w:tc>
      </w:tr>
      <w:tr w:rsidR="00961617" w:rsidRPr="002F5864" w14:paraId="5A02CA83" w14:textId="77777777" w:rsidTr="0020771F">
        <w:trPr>
          <w:trHeight w:hRule="exact" w:val="340"/>
          <w:tblHeader/>
        </w:trPr>
        <w:tc>
          <w:tcPr>
            <w:tcW w:w="4240" w:type="dxa"/>
            <w:tcBorders>
              <w:left w:val="nil"/>
              <w:right w:val="nil"/>
            </w:tcBorders>
            <w:shd w:val="clear" w:color="auto" w:fill="auto"/>
            <w:noWrap/>
            <w:vAlign w:val="center"/>
            <w:hideMark/>
          </w:tcPr>
          <w:p w14:paraId="60762096"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Work capacity: </w:t>
            </w:r>
            <w:r w:rsidRPr="002F5864">
              <w:rPr>
                <w:rFonts w:cstheme="minorHAnsi"/>
                <w:color w:val="000000"/>
                <w:sz w:val="20"/>
                <w:szCs w:val="20"/>
              </w:rPr>
              <w:t>Full-time</w:t>
            </w:r>
          </w:p>
        </w:tc>
        <w:tc>
          <w:tcPr>
            <w:tcW w:w="1587" w:type="dxa"/>
            <w:tcBorders>
              <w:left w:val="nil"/>
              <w:right w:val="nil"/>
            </w:tcBorders>
            <w:shd w:val="clear" w:color="auto" w:fill="auto"/>
            <w:noWrap/>
            <w:vAlign w:val="center"/>
            <w:hideMark/>
          </w:tcPr>
          <w:p w14:paraId="2ECD009F"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84.3</w:t>
            </w:r>
          </w:p>
        </w:tc>
        <w:tc>
          <w:tcPr>
            <w:tcW w:w="1418" w:type="dxa"/>
            <w:tcBorders>
              <w:left w:val="nil"/>
              <w:right w:val="nil"/>
            </w:tcBorders>
            <w:shd w:val="clear" w:color="auto" w:fill="auto"/>
            <w:noWrap/>
            <w:vAlign w:val="center"/>
            <w:hideMark/>
          </w:tcPr>
          <w:p w14:paraId="099D9D58"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84.0</w:t>
            </w:r>
          </w:p>
        </w:tc>
        <w:tc>
          <w:tcPr>
            <w:tcW w:w="1701" w:type="dxa"/>
            <w:tcBorders>
              <w:left w:val="nil"/>
              <w:right w:val="nil"/>
            </w:tcBorders>
            <w:shd w:val="clear" w:color="auto" w:fill="auto"/>
            <w:noWrap/>
            <w:vAlign w:val="center"/>
            <w:hideMark/>
          </w:tcPr>
          <w:p w14:paraId="7EA9FAAD"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-0.3</w:t>
            </w:r>
          </w:p>
        </w:tc>
      </w:tr>
      <w:tr w:rsidR="00961617" w:rsidRPr="002F5864" w14:paraId="23285CBA"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381FF39C"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Work capacity: </w:t>
            </w:r>
            <w:r w:rsidRPr="002F5864">
              <w:rPr>
                <w:rFonts w:cstheme="minorHAnsi"/>
                <w:color w:val="000000"/>
                <w:sz w:val="20"/>
                <w:szCs w:val="20"/>
              </w:rPr>
              <w:t>Part-time</w:t>
            </w:r>
          </w:p>
        </w:tc>
        <w:tc>
          <w:tcPr>
            <w:tcW w:w="1587" w:type="dxa"/>
            <w:tcBorders>
              <w:top w:val="nil"/>
              <w:left w:val="nil"/>
              <w:right w:val="nil"/>
            </w:tcBorders>
            <w:shd w:val="clear" w:color="auto" w:fill="E5E5E5" w:themeFill="background1" w:themeFillTint="33"/>
            <w:noWrap/>
            <w:vAlign w:val="center"/>
            <w:hideMark/>
          </w:tcPr>
          <w:p w14:paraId="3CD1705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15.7</w:t>
            </w:r>
          </w:p>
        </w:tc>
        <w:tc>
          <w:tcPr>
            <w:tcW w:w="1418" w:type="dxa"/>
            <w:tcBorders>
              <w:top w:val="nil"/>
              <w:left w:val="nil"/>
              <w:right w:val="nil"/>
            </w:tcBorders>
            <w:shd w:val="clear" w:color="auto" w:fill="E5E5E5" w:themeFill="background1" w:themeFillTint="33"/>
            <w:noWrap/>
            <w:vAlign w:val="center"/>
            <w:hideMark/>
          </w:tcPr>
          <w:p w14:paraId="49D00DE1"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16.0</w:t>
            </w:r>
          </w:p>
        </w:tc>
        <w:tc>
          <w:tcPr>
            <w:tcW w:w="1701" w:type="dxa"/>
            <w:tcBorders>
              <w:top w:val="nil"/>
              <w:left w:val="nil"/>
              <w:right w:val="nil"/>
            </w:tcBorders>
            <w:shd w:val="clear" w:color="auto" w:fill="E5E5E5" w:themeFill="background1" w:themeFillTint="33"/>
            <w:noWrap/>
            <w:vAlign w:val="center"/>
            <w:hideMark/>
          </w:tcPr>
          <w:p w14:paraId="4DB13AC4"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0.3</w:t>
            </w:r>
          </w:p>
        </w:tc>
      </w:tr>
      <w:tr w:rsidR="00961617" w:rsidRPr="002F5864" w14:paraId="0B85301D" w14:textId="77777777" w:rsidTr="0020771F">
        <w:trPr>
          <w:trHeight w:hRule="exact" w:val="340"/>
          <w:tblHeader/>
        </w:trPr>
        <w:tc>
          <w:tcPr>
            <w:tcW w:w="4240" w:type="dxa"/>
            <w:tcBorders>
              <w:left w:val="nil"/>
              <w:bottom w:val="nil"/>
              <w:right w:val="nil"/>
            </w:tcBorders>
            <w:shd w:val="clear" w:color="auto" w:fill="auto"/>
            <w:noWrap/>
            <w:vAlign w:val="center"/>
            <w:hideMark/>
          </w:tcPr>
          <w:p w14:paraId="5E7A1825"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Income support: </w:t>
            </w:r>
            <w:r w:rsidRPr="002F5864">
              <w:rPr>
                <w:rFonts w:cstheme="minorHAnsi"/>
                <w:color w:val="000000"/>
                <w:sz w:val="20"/>
                <w:szCs w:val="20"/>
              </w:rPr>
              <w:t>NSA/YA(O)</w:t>
            </w:r>
          </w:p>
        </w:tc>
        <w:tc>
          <w:tcPr>
            <w:tcW w:w="1587" w:type="dxa"/>
            <w:tcBorders>
              <w:left w:val="nil"/>
              <w:bottom w:val="nil"/>
              <w:right w:val="nil"/>
            </w:tcBorders>
            <w:shd w:val="clear" w:color="auto" w:fill="auto"/>
            <w:noWrap/>
            <w:vAlign w:val="center"/>
            <w:hideMark/>
          </w:tcPr>
          <w:p w14:paraId="0CFD35B6"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68.1</w:t>
            </w:r>
          </w:p>
        </w:tc>
        <w:tc>
          <w:tcPr>
            <w:tcW w:w="1418" w:type="dxa"/>
            <w:tcBorders>
              <w:left w:val="nil"/>
              <w:bottom w:val="nil"/>
              <w:right w:val="nil"/>
            </w:tcBorders>
            <w:shd w:val="clear" w:color="auto" w:fill="auto"/>
            <w:noWrap/>
            <w:vAlign w:val="center"/>
            <w:hideMark/>
          </w:tcPr>
          <w:p w14:paraId="69023AAA"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76.6</w:t>
            </w:r>
          </w:p>
        </w:tc>
        <w:tc>
          <w:tcPr>
            <w:tcW w:w="1701" w:type="dxa"/>
            <w:tcBorders>
              <w:left w:val="nil"/>
              <w:bottom w:val="nil"/>
              <w:right w:val="nil"/>
            </w:tcBorders>
            <w:shd w:val="clear" w:color="auto" w:fill="auto"/>
            <w:noWrap/>
            <w:vAlign w:val="center"/>
            <w:hideMark/>
          </w:tcPr>
          <w:p w14:paraId="15918AC4"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8.5</w:t>
            </w:r>
          </w:p>
        </w:tc>
      </w:tr>
      <w:tr w:rsidR="00961617" w:rsidRPr="002F5864" w14:paraId="164390F3"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0F9370C6"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Income support: </w:t>
            </w:r>
            <w:r w:rsidRPr="002F5864">
              <w:rPr>
                <w:rFonts w:cstheme="minorHAnsi"/>
                <w:color w:val="000000"/>
                <w:sz w:val="20"/>
                <w:szCs w:val="20"/>
              </w:rPr>
              <w:t>PPP/PPS</w:t>
            </w:r>
          </w:p>
        </w:tc>
        <w:tc>
          <w:tcPr>
            <w:tcW w:w="1587" w:type="dxa"/>
            <w:tcBorders>
              <w:top w:val="nil"/>
              <w:left w:val="nil"/>
              <w:bottom w:val="nil"/>
              <w:right w:val="nil"/>
            </w:tcBorders>
            <w:shd w:val="clear" w:color="auto" w:fill="E5E5E5" w:themeFill="background1" w:themeFillTint="33"/>
            <w:noWrap/>
            <w:vAlign w:val="center"/>
            <w:hideMark/>
          </w:tcPr>
          <w:p w14:paraId="265A242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6.0</w:t>
            </w:r>
          </w:p>
        </w:tc>
        <w:tc>
          <w:tcPr>
            <w:tcW w:w="1418" w:type="dxa"/>
            <w:tcBorders>
              <w:top w:val="nil"/>
              <w:left w:val="nil"/>
              <w:bottom w:val="nil"/>
              <w:right w:val="nil"/>
            </w:tcBorders>
            <w:shd w:val="clear" w:color="auto" w:fill="E5E5E5" w:themeFill="background1" w:themeFillTint="33"/>
            <w:noWrap/>
            <w:vAlign w:val="center"/>
            <w:hideMark/>
          </w:tcPr>
          <w:p w14:paraId="6B2A16A1"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5.0</w:t>
            </w:r>
          </w:p>
        </w:tc>
        <w:tc>
          <w:tcPr>
            <w:tcW w:w="1701" w:type="dxa"/>
            <w:tcBorders>
              <w:top w:val="nil"/>
              <w:left w:val="nil"/>
              <w:bottom w:val="nil"/>
              <w:right w:val="nil"/>
            </w:tcBorders>
            <w:shd w:val="clear" w:color="auto" w:fill="E5E5E5" w:themeFill="background1" w:themeFillTint="33"/>
            <w:noWrap/>
            <w:vAlign w:val="center"/>
            <w:hideMark/>
          </w:tcPr>
          <w:p w14:paraId="48B3013E"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-1.0</w:t>
            </w:r>
          </w:p>
        </w:tc>
      </w:tr>
      <w:tr w:rsidR="00961617" w:rsidRPr="002F5864" w14:paraId="6A2760A4" w14:textId="77777777" w:rsidTr="0020771F">
        <w:trPr>
          <w:trHeight w:hRule="exact" w:val="340"/>
          <w:tblHeader/>
        </w:trPr>
        <w:tc>
          <w:tcPr>
            <w:tcW w:w="4240" w:type="dxa"/>
            <w:tcBorders>
              <w:top w:val="nil"/>
              <w:left w:val="nil"/>
              <w:bottom w:val="nil"/>
              <w:right w:val="nil"/>
            </w:tcBorders>
            <w:shd w:val="clear" w:color="auto" w:fill="auto"/>
            <w:noWrap/>
            <w:vAlign w:val="center"/>
            <w:hideMark/>
          </w:tcPr>
          <w:p w14:paraId="391C838F"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Income support: </w:t>
            </w:r>
            <w:r w:rsidRPr="002F5864">
              <w:rPr>
                <w:rFonts w:cstheme="minorHAnsi"/>
                <w:color w:val="000000"/>
                <w:sz w:val="20"/>
                <w:szCs w:val="20"/>
              </w:rPr>
              <w:t>DSP</w:t>
            </w:r>
          </w:p>
        </w:tc>
        <w:tc>
          <w:tcPr>
            <w:tcW w:w="1587" w:type="dxa"/>
            <w:tcBorders>
              <w:top w:val="nil"/>
              <w:left w:val="nil"/>
              <w:bottom w:val="nil"/>
              <w:right w:val="nil"/>
            </w:tcBorders>
            <w:shd w:val="clear" w:color="auto" w:fill="auto"/>
            <w:noWrap/>
            <w:vAlign w:val="center"/>
            <w:hideMark/>
          </w:tcPr>
          <w:p w14:paraId="15EFD127"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0.2</w:t>
            </w:r>
          </w:p>
        </w:tc>
        <w:tc>
          <w:tcPr>
            <w:tcW w:w="1418" w:type="dxa"/>
            <w:tcBorders>
              <w:top w:val="nil"/>
              <w:left w:val="nil"/>
              <w:bottom w:val="nil"/>
              <w:right w:val="nil"/>
            </w:tcBorders>
            <w:shd w:val="clear" w:color="auto" w:fill="auto"/>
            <w:noWrap/>
            <w:vAlign w:val="center"/>
            <w:hideMark/>
          </w:tcPr>
          <w:p w14:paraId="2C379498"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0.2</w:t>
            </w:r>
          </w:p>
        </w:tc>
        <w:tc>
          <w:tcPr>
            <w:tcW w:w="1701" w:type="dxa"/>
            <w:tcBorders>
              <w:top w:val="nil"/>
              <w:left w:val="nil"/>
              <w:bottom w:val="nil"/>
              <w:right w:val="nil"/>
            </w:tcBorders>
            <w:shd w:val="clear" w:color="auto" w:fill="auto"/>
            <w:noWrap/>
            <w:vAlign w:val="center"/>
            <w:hideMark/>
          </w:tcPr>
          <w:p w14:paraId="6B4C535F"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0.0</w:t>
            </w:r>
          </w:p>
        </w:tc>
      </w:tr>
      <w:tr w:rsidR="00961617" w:rsidRPr="002F5864" w14:paraId="4350A0FF"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03B35A9C"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Income support: </w:t>
            </w:r>
            <w:r w:rsidRPr="002F5864">
              <w:rPr>
                <w:rFonts w:cstheme="minorHAnsi"/>
                <w:color w:val="000000"/>
                <w:sz w:val="20"/>
                <w:szCs w:val="20"/>
              </w:rPr>
              <w:t>Other income support</w:t>
            </w:r>
          </w:p>
        </w:tc>
        <w:tc>
          <w:tcPr>
            <w:tcW w:w="1587" w:type="dxa"/>
            <w:tcBorders>
              <w:top w:val="nil"/>
              <w:left w:val="nil"/>
              <w:right w:val="nil"/>
            </w:tcBorders>
            <w:shd w:val="clear" w:color="auto" w:fill="E5E5E5" w:themeFill="background1" w:themeFillTint="33"/>
            <w:noWrap/>
            <w:vAlign w:val="center"/>
            <w:hideMark/>
          </w:tcPr>
          <w:p w14:paraId="12A7BCC9"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3.4</w:t>
            </w:r>
          </w:p>
        </w:tc>
        <w:tc>
          <w:tcPr>
            <w:tcW w:w="1418" w:type="dxa"/>
            <w:tcBorders>
              <w:top w:val="nil"/>
              <w:left w:val="nil"/>
              <w:right w:val="nil"/>
            </w:tcBorders>
            <w:shd w:val="clear" w:color="auto" w:fill="E5E5E5" w:themeFill="background1" w:themeFillTint="33"/>
            <w:noWrap/>
            <w:vAlign w:val="center"/>
            <w:hideMark/>
          </w:tcPr>
          <w:p w14:paraId="480221A4"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2.2</w:t>
            </w:r>
          </w:p>
        </w:tc>
        <w:tc>
          <w:tcPr>
            <w:tcW w:w="1701" w:type="dxa"/>
            <w:tcBorders>
              <w:top w:val="nil"/>
              <w:left w:val="nil"/>
              <w:right w:val="nil"/>
            </w:tcBorders>
            <w:shd w:val="clear" w:color="auto" w:fill="E5E5E5" w:themeFill="background1" w:themeFillTint="33"/>
            <w:noWrap/>
            <w:vAlign w:val="center"/>
            <w:hideMark/>
          </w:tcPr>
          <w:p w14:paraId="14D17A61"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-1.2</w:t>
            </w:r>
          </w:p>
        </w:tc>
      </w:tr>
      <w:tr w:rsidR="00961617" w:rsidRPr="002F5864" w14:paraId="50983DAB" w14:textId="77777777" w:rsidTr="0020771F">
        <w:trPr>
          <w:trHeight w:hRule="exact" w:val="340"/>
          <w:tblHeader/>
        </w:trPr>
        <w:tc>
          <w:tcPr>
            <w:tcW w:w="4240" w:type="dxa"/>
            <w:tcBorders>
              <w:top w:val="nil"/>
              <w:left w:val="nil"/>
              <w:right w:val="nil"/>
            </w:tcBorders>
            <w:shd w:val="clear" w:color="auto" w:fill="auto"/>
            <w:noWrap/>
            <w:vAlign w:val="center"/>
            <w:hideMark/>
          </w:tcPr>
          <w:p w14:paraId="073D349A" w14:textId="77777777" w:rsidR="00961617" w:rsidRPr="002F5864" w:rsidRDefault="00961617" w:rsidP="0020771F">
            <w:pPr>
              <w:spacing w:after="0"/>
              <w:rPr>
                <w:rFonts w:cstheme="minorHAnsi"/>
                <w:color w:val="000000"/>
                <w:sz w:val="20"/>
                <w:szCs w:val="20"/>
              </w:rPr>
            </w:pPr>
            <w:r w:rsidRPr="002F5864">
              <w:rPr>
                <w:rFonts w:cstheme="minorHAnsi"/>
                <w:bCs/>
                <w:color w:val="000000"/>
                <w:sz w:val="20"/>
                <w:szCs w:val="20"/>
              </w:rPr>
              <w:t xml:space="preserve">Income support: </w:t>
            </w:r>
            <w:r w:rsidRPr="002F5864">
              <w:rPr>
                <w:rFonts w:cstheme="minorHAnsi"/>
                <w:color w:val="000000"/>
                <w:sz w:val="20"/>
                <w:szCs w:val="20"/>
              </w:rPr>
              <w:t>Not on income support</w:t>
            </w:r>
          </w:p>
        </w:tc>
        <w:tc>
          <w:tcPr>
            <w:tcW w:w="1587" w:type="dxa"/>
            <w:tcBorders>
              <w:top w:val="nil"/>
              <w:left w:val="nil"/>
              <w:right w:val="nil"/>
            </w:tcBorders>
            <w:shd w:val="clear" w:color="auto" w:fill="auto"/>
            <w:noWrap/>
            <w:vAlign w:val="center"/>
            <w:hideMark/>
          </w:tcPr>
          <w:p w14:paraId="5217A2E1"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22.2</w:t>
            </w:r>
          </w:p>
        </w:tc>
        <w:tc>
          <w:tcPr>
            <w:tcW w:w="1418" w:type="dxa"/>
            <w:tcBorders>
              <w:top w:val="nil"/>
              <w:left w:val="nil"/>
              <w:right w:val="nil"/>
            </w:tcBorders>
            <w:shd w:val="clear" w:color="auto" w:fill="auto"/>
            <w:noWrap/>
            <w:vAlign w:val="center"/>
            <w:hideMark/>
          </w:tcPr>
          <w:p w14:paraId="6FD06EA6"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16.0</w:t>
            </w:r>
          </w:p>
        </w:tc>
        <w:tc>
          <w:tcPr>
            <w:tcW w:w="1701" w:type="dxa"/>
            <w:tcBorders>
              <w:top w:val="nil"/>
              <w:left w:val="nil"/>
              <w:right w:val="nil"/>
            </w:tcBorders>
            <w:shd w:val="clear" w:color="auto" w:fill="auto"/>
            <w:noWrap/>
            <w:vAlign w:val="center"/>
            <w:hideMark/>
          </w:tcPr>
          <w:p w14:paraId="2A31B923"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-6.2</w:t>
            </w:r>
          </w:p>
        </w:tc>
      </w:tr>
      <w:tr w:rsidR="00961617" w:rsidRPr="002F5864" w14:paraId="116B0B32" w14:textId="77777777" w:rsidTr="0020771F">
        <w:trPr>
          <w:trHeight w:hRule="exact" w:val="340"/>
          <w:tblHeader/>
        </w:trPr>
        <w:tc>
          <w:tcPr>
            <w:tcW w:w="4240" w:type="dxa"/>
            <w:tcBorders>
              <w:left w:val="nil"/>
              <w:bottom w:val="nil"/>
              <w:right w:val="nil"/>
            </w:tcBorders>
            <w:shd w:val="clear" w:color="auto" w:fill="E5E5E5" w:themeFill="background1" w:themeFillTint="33"/>
            <w:noWrap/>
            <w:vAlign w:val="center"/>
            <w:hideMark/>
          </w:tcPr>
          <w:p w14:paraId="7B82ADAC"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Disability identified</w:t>
            </w:r>
          </w:p>
        </w:tc>
        <w:tc>
          <w:tcPr>
            <w:tcW w:w="1587" w:type="dxa"/>
            <w:tcBorders>
              <w:left w:val="nil"/>
              <w:bottom w:val="nil"/>
              <w:right w:val="nil"/>
            </w:tcBorders>
            <w:shd w:val="clear" w:color="auto" w:fill="E5E5E5" w:themeFill="background1" w:themeFillTint="33"/>
            <w:noWrap/>
            <w:vAlign w:val="center"/>
            <w:hideMark/>
          </w:tcPr>
          <w:p w14:paraId="5F4D968B"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14.3</w:t>
            </w:r>
          </w:p>
        </w:tc>
        <w:tc>
          <w:tcPr>
            <w:tcW w:w="1418" w:type="dxa"/>
            <w:tcBorders>
              <w:left w:val="nil"/>
              <w:bottom w:val="nil"/>
              <w:right w:val="nil"/>
            </w:tcBorders>
            <w:shd w:val="clear" w:color="auto" w:fill="E5E5E5" w:themeFill="background1" w:themeFillTint="33"/>
            <w:noWrap/>
            <w:vAlign w:val="center"/>
            <w:hideMark/>
          </w:tcPr>
          <w:p w14:paraId="3E954476"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15.7</w:t>
            </w:r>
          </w:p>
        </w:tc>
        <w:tc>
          <w:tcPr>
            <w:tcW w:w="1701" w:type="dxa"/>
            <w:tcBorders>
              <w:left w:val="nil"/>
              <w:bottom w:val="nil"/>
              <w:right w:val="nil"/>
            </w:tcBorders>
            <w:shd w:val="clear" w:color="auto" w:fill="E5E5E5" w:themeFill="background1" w:themeFillTint="33"/>
            <w:noWrap/>
            <w:vAlign w:val="center"/>
            <w:hideMark/>
          </w:tcPr>
          <w:p w14:paraId="7F704744"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1.4</w:t>
            </w:r>
          </w:p>
        </w:tc>
      </w:tr>
      <w:tr w:rsidR="00961617" w:rsidRPr="002F5864" w14:paraId="6633B311" w14:textId="77777777" w:rsidTr="0020771F">
        <w:trPr>
          <w:trHeight w:hRule="exact" w:val="340"/>
          <w:tblHeader/>
        </w:trPr>
        <w:tc>
          <w:tcPr>
            <w:tcW w:w="4240" w:type="dxa"/>
            <w:tcBorders>
              <w:top w:val="nil"/>
              <w:left w:val="nil"/>
              <w:bottom w:val="nil"/>
              <w:right w:val="nil"/>
            </w:tcBorders>
            <w:shd w:val="clear" w:color="auto" w:fill="FFFFFF" w:themeFill="background2"/>
            <w:noWrap/>
            <w:vAlign w:val="center"/>
            <w:hideMark/>
          </w:tcPr>
          <w:p w14:paraId="52992AA5"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 xml:space="preserve">Client group: Indigenous </w:t>
            </w:r>
          </w:p>
        </w:tc>
        <w:tc>
          <w:tcPr>
            <w:tcW w:w="1587" w:type="dxa"/>
            <w:tcBorders>
              <w:top w:val="nil"/>
              <w:left w:val="nil"/>
              <w:bottom w:val="nil"/>
              <w:right w:val="nil"/>
            </w:tcBorders>
            <w:shd w:val="clear" w:color="auto" w:fill="FFFFFF" w:themeFill="background2"/>
            <w:noWrap/>
            <w:vAlign w:val="center"/>
            <w:hideMark/>
          </w:tcPr>
          <w:p w14:paraId="5905DF98"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4.7</w:t>
            </w:r>
          </w:p>
        </w:tc>
        <w:tc>
          <w:tcPr>
            <w:tcW w:w="1418" w:type="dxa"/>
            <w:tcBorders>
              <w:top w:val="nil"/>
              <w:left w:val="nil"/>
              <w:bottom w:val="nil"/>
              <w:right w:val="nil"/>
            </w:tcBorders>
            <w:shd w:val="clear" w:color="auto" w:fill="FFFFFF" w:themeFill="background2"/>
            <w:noWrap/>
            <w:vAlign w:val="center"/>
            <w:hideMark/>
          </w:tcPr>
          <w:p w14:paraId="515FBA63"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4.8</w:t>
            </w:r>
          </w:p>
        </w:tc>
        <w:tc>
          <w:tcPr>
            <w:tcW w:w="1701" w:type="dxa"/>
            <w:tcBorders>
              <w:top w:val="nil"/>
              <w:left w:val="nil"/>
              <w:bottom w:val="nil"/>
              <w:right w:val="nil"/>
            </w:tcBorders>
            <w:shd w:val="clear" w:color="auto" w:fill="FFFFFF" w:themeFill="background2"/>
            <w:noWrap/>
            <w:vAlign w:val="center"/>
            <w:hideMark/>
          </w:tcPr>
          <w:p w14:paraId="607E3E95"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0.1</w:t>
            </w:r>
          </w:p>
        </w:tc>
      </w:tr>
      <w:tr w:rsidR="00961617" w:rsidRPr="002F5864" w14:paraId="59288EB8"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68698451"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Early school leavers</w:t>
            </w:r>
          </w:p>
        </w:tc>
        <w:tc>
          <w:tcPr>
            <w:tcW w:w="1587" w:type="dxa"/>
            <w:tcBorders>
              <w:top w:val="nil"/>
              <w:left w:val="nil"/>
              <w:bottom w:val="nil"/>
              <w:right w:val="nil"/>
            </w:tcBorders>
            <w:shd w:val="clear" w:color="auto" w:fill="E5E5E5" w:themeFill="background1" w:themeFillTint="33"/>
            <w:noWrap/>
            <w:vAlign w:val="center"/>
            <w:hideMark/>
          </w:tcPr>
          <w:p w14:paraId="3305FBE8"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7.3</w:t>
            </w:r>
          </w:p>
        </w:tc>
        <w:tc>
          <w:tcPr>
            <w:tcW w:w="1418" w:type="dxa"/>
            <w:tcBorders>
              <w:top w:val="nil"/>
              <w:left w:val="nil"/>
              <w:bottom w:val="nil"/>
              <w:right w:val="nil"/>
            </w:tcBorders>
            <w:shd w:val="clear" w:color="auto" w:fill="E5E5E5" w:themeFill="background1" w:themeFillTint="33"/>
            <w:noWrap/>
            <w:vAlign w:val="center"/>
            <w:hideMark/>
          </w:tcPr>
          <w:p w14:paraId="079DBD04"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11.9</w:t>
            </w:r>
          </w:p>
        </w:tc>
        <w:tc>
          <w:tcPr>
            <w:tcW w:w="1701" w:type="dxa"/>
            <w:tcBorders>
              <w:top w:val="nil"/>
              <w:left w:val="nil"/>
              <w:bottom w:val="nil"/>
              <w:right w:val="nil"/>
            </w:tcBorders>
            <w:shd w:val="clear" w:color="auto" w:fill="E5E5E5" w:themeFill="background1" w:themeFillTint="33"/>
            <w:noWrap/>
            <w:vAlign w:val="center"/>
            <w:hideMark/>
          </w:tcPr>
          <w:p w14:paraId="4968EBBD"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4.6</w:t>
            </w:r>
          </w:p>
        </w:tc>
      </w:tr>
      <w:tr w:rsidR="00961617" w:rsidRPr="002F5864" w14:paraId="2884577C" w14:textId="77777777" w:rsidTr="0020771F">
        <w:trPr>
          <w:trHeight w:hRule="exact" w:val="340"/>
          <w:tblHeader/>
        </w:trPr>
        <w:tc>
          <w:tcPr>
            <w:tcW w:w="4240" w:type="dxa"/>
            <w:tcBorders>
              <w:top w:val="nil"/>
              <w:left w:val="nil"/>
              <w:bottom w:val="nil"/>
              <w:right w:val="nil"/>
            </w:tcBorders>
            <w:shd w:val="clear" w:color="auto" w:fill="auto"/>
            <w:noWrap/>
            <w:vAlign w:val="center"/>
            <w:hideMark/>
          </w:tcPr>
          <w:p w14:paraId="03F8199D"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Single parents</w:t>
            </w:r>
          </w:p>
        </w:tc>
        <w:tc>
          <w:tcPr>
            <w:tcW w:w="1587" w:type="dxa"/>
            <w:tcBorders>
              <w:top w:val="nil"/>
              <w:left w:val="nil"/>
              <w:bottom w:val="nil"/>
              <w:right w:val="nil"/>
            </w:tcBorders>
            <w:shd w:val="clear" w:color="auto" w:fill="auto"/>
            <w:noWrap/>
            <w:vAlign w:val="center"/>
            <w:hideMark/>
          </w:tcPr>
          <w:p w14:paraId="5FFB5DAC"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6.9</w:t>
            </w:r>
          </w:p>
        </w:tc>
        <w:tc>
          <w:tcPr>
            <w:tcW w:w="1418" w:type="dxa"/>
            <w:tcBorders>
              <w:top w:val="nil"/>
              <w:left w:val="nil"/>
              <w:bottom w:val="nil"/>
              <w:right w:val="nil"/>
            </w:tcBorders>
            <w:shd w:val="clear" w:color="auto" w:fill="auto"/>
            <w:noWrap/>
            <w:vAlign w:val="center"/>
            <w:hideMark/>
          </w:tcPr>
          <w:p w14:paraId="49456DD2"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6.4</w:t>
            </w:r>
          </w:p>
        </w:tc>
        <w:tc>
          <w:tcPr>
            <w:tcW w:w="1701" w:type="dxa"/>
            <w:tcBorders>
              <w:top w:val="nil"/>
              <w:left w:val="nil"/>
              <w:bottom w:val="nil"/>
              <w:right w:val="nil"/>
            </w:tcBorders>
            <w:shd w:val="clear" w:color="auto" w:fill="auto"/>
            <w:noWrap/>
            <w:vAlign w:val="center"/>
            <w:hideMark/>
          </w:tcPr>
          <w:p w14:paraId="0792DF12"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-0.5</w:t>
            </w:r>
          </w:p>
        </w:tc>
      </w:tr>
      <w:tr w:rsidR="00961617" w:rsidRPr="002F5864" w14:paraId="42955F7E" w14:textId="77777777" w:rsidTr="0020771F">
        <w:trPr>
          <w:trHeight w:hRule="exact" w:val="340"/>
          <w:tblHeader/>
        </w:trPr>
        <w:tc>
          <w:tcPr>
            <w:tcW w:w="4240" w:type="dxa"/>
            <w:tcBorders>
              <w:top w:val="nil"/>
              <w:left w:val="nil"/>
              <w:bottom w:val="nil"/>
              <w:right w:val="nil"/>
            </w:tcBorders>
            <w:shd w:val="clear" w:color="auto" w:fill="E5E5E5" w:themeFill="background1" w:themeFillTint="33"/>
            <w:noWrap/>
            <w:vAlign w:val="center"/>
            <w:hideMark/>
          </w:tcPr>
          <w:p w14:paraId="781CEE62"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Homeless</w:t>
            </w:r>
          </w:p>
        </w:tc>
        <w:tc>
          <w:tcPr>
            <w:tcW w:w="1587" w:type="dxa"/>
            <w:tcBorders>
              <w:top w:val="nil"/>
              <w:left w:val="nil"/>
              <w:bottom w:val="nil"/>
              <w:right w:val="nil"/>
            </w:tcBorders>
            <w:shd w:val="clear" w:color="auto" w:fill="E5E5E5" w:themeFill="background1" w:themeFillTint="33"/>
            <w:noWrap/>
            <w:vAlign w:val="center"/>
            <w:hideMark/>
          </w:tcPr>
          <w:p w14:paraId="08F22A9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3.8</w:t>
            </w:r>
          </w:p>
        </w:tc>
        <w:tc>
          <w:tcPr>
            <w:tcW w:w="1418" w:type="dxa"/>
            <w:tcBorders>
              <w:top w:val="nil"/>
              <w:left w:val="nil"/>
              <w:bottom w:val="nil"/>
              <w:right w:val="nil"/>
            </w:tcBorders>
            <w:shd w:val="clear" w:color="auto" w:fill="E5E5E5" w:themeFill="background1" w:themeFillTint="33"/>
            <w:noWrap/>
            <w:vAlign w:val="center"/>
            <w:hideMark/>
          </w:tcPr>
          <w:p w14:paraId="4D59194E"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3.0</w:t>
            </w:r>
          </w:p>
        </w:tc>
        <w:tc>
          <w:tcPr>
            <w:tcW w:w="1701" w:type="dxa"/>
            <w:tcBorders>
              <w:top w:val="nil"/>
              <w:left w:val="nil"/>
              <w:bottom w:val="nil"/>
              <w:right w:val="nil"/>
            </w:tcBorders>
            <w:shd w:val="clear" w:color="auto" w:fill="E5E5E5" w:themeFill="background1" w:themeFillTint="33"/>
            <w:noWrap/>
            <w:vAlign w:val="center"/>
            <w:hideMark/>
          </w:tcPr>
          <w:p w14:paraId="6E2CAA7D"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-0.8</w:t>
            </w:r>
          </w:p>
        </w:tc>
      </w:tr>
      <w:tr w:rsidR="00961617" w:rsidRPr="002F5864" w14:paraId="5DC25255" w14:textId="77777777" w:rsidTr="0020771F">
        <w:trPr>
          <w:trHeight w:hRule="exact" w:val="340"/>
          <w:tblHeader/>
        </w:trPr>
        <w:tc>
          <w:tcPr>
            <w:tcW w:w="4240" w:type="dxa"/>
            <w:tcBorders>
              <w:top w:val="nil"/>
              <w:left w:val="nil"/>
              <w:right w:val="nil"/>
            </w:tcBorders>
            <w:shd w:val="clear" w:color="auto" w:fill="auto"/>
            <w:noWrap/>
            <w:vAlign w:val="center"/>
            <w:hideMark/>
          </w:tcPr>
          <w:p w14:paraId="777D35C5"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Ex-offenders</w:t>
            </w:r>
          </w:p>
        </w:tc>
        <w:tc>
          <w:tcPr>
            <w:tcW w:w="1587" w:type="dxa"/>
            <w:tcBorders>
              <w:top w:val="nil"/>
              <w:left w:val="nil"/>
              <w:right w:val="nil"/>
            </w:tcBorders>
            <w:shd w:val="clear" w:color="auto" w:fill="auto"/>
            <w:noWrap/>
            <w:vAlign w:val="center"/>
            <w:hideMark/>
          </w:tcPr>
          <w:p w14:paraId="1984ADF8"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6.1</w:t>
            </w:r>
          </w:p>
        </w:tc>
        <w:tc>
          <w:tcPr>
            <w:tcW w:w="1418" w:type="dxa"/>
            <w:tcBorders>
              <w:top w:val="nil"/>
              <w:left w:val="nil"/>
              <w:right w:val="nil"/>
            </w:tcBorders>
            <w:shd w:val="clear" w:color="auto" w:fill="auto"/>
            <w:noWrap/>
            <w:vAlign w:val="center"/>
            <w:hideMark/>
          </w:tcPr>
          <w:p w14:paraId="1212D00C"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4.7</w:t>
            </w:r>
          </w:p>
        </w:tc>
        <w:tc>
          <w:tcPr>
            <w:tcW w:w="1701" w:type="dxa"/>
            <w:tcBorders>
              <w:top w:val="nil"/>
              <w:left w:val="nil"/>
              <w:right w:val="nil"/>
            </w:tcBorders>
            <w:shd w:val="clear" w:color="auto" w:fill="auto"/>
            <w:noWrap/>
            <w:vAlign w:val="center"/>
            <w:hideMark/>
          </w:tcPr>
          <w:p w14:paraId="76C424BD"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-1.4</w:t>
            </w:r>
          </w:p>
        </w:tc>
      </w:tr>
      <w:tr w:rsidR="00961617" w:rsidRPr="002F5864" w14:paraId="01B500EC" w14:textId="77777777" w:rsidTr="0020771F">
        <w:trPr>
          <w:trHeight w:hRule="exact" w:val="340"/>
          <w:tblHeader/>
        </w:trPr>
        <w:tc>
          <w:tcPr>
            <w:tcW w:w="4240" w:type="dxa"/>
            <w:tcBorders>
              <w:top w:val="nil"/>
              <w:left w:val="nil"/>
              <w:right w:val="nil"/>
            </w:tcBorders>
            <w:shd w:val="clear" w:color="auto" w:fill="E5E5E5" w:themeFill="background1" w:themeFillTint="33"/>
            <w:noWrap/>
            <w:vAlign w:val="center"/>
            <w:hideMark/>
          </w:tcPr>
          <w:p w14:paraId="02DD6179" w14:textId="77777777" w:rsidR="00961617" w:rsidRPr="002F5864" w:rsidRDefault="00961617" w:rsidP="0020771F">
            <w:pPr>
              <w:spacing w:after="0"/>
              <w:rPr>
                <w:rFonts w:cstheme="minorHAnsi"/>
                <w:color w:val="000000"/>
                <w:sz w:val="20"/>
                <w:szCs w:val="20"/>
              </w:rPr>
            </w:pPr>
            <w:r w:rsidRPr="002F5864">
              <w:rPr>
                <w:rFonts w:cstheme="minorHAnsi"/>
                <w:color w:val="000000"/>
                <w:sz w:val="20"/>
                <w:szCs w:val="20"/>
              </w:rPr>
              <w:t>Client group: Mixed or low English proficiency</w:t>
            </w:r>
          </w:p>
        </w:tc>
        <w:tc>
          <w:tcPr>
            <w:tcW w:w="1587" w:type="dxa"/>
            <w:tcBorders>
              <w:top w:val="nil"/>
              <w:left w:val="nil"/>
              <w:right w:val="nil"/>
            </w:tcBorders>
            <w:shd w:val="clear" w:color="auto" w:fill="E5E5E5" w:themeFill="background1" w:themeFillTint="33"/>
            <w:noWrap/>
            <w:vAlign w:val="center"/>
            <w:hideMark/>
          </w:tcPr>
          <w:p w14:paraId="01F1033A" w14:textId="77777777" w:rsidR="00961617" w:rsidRPr="002F5864" w:rsidRDefault="00961617" w:rsidP="0020771F">
            <w:pPr>
              <w:tabs>
                <w:tab w:val="left" w:pos="756"/>
              </w:tabs>
              <w:spacing w:after="0"/>
              <w:ind w:right="263"/>
              <w:jc w:val="right"/>
              <w:rPr>
                <w:rFonts w:cstheme="minorHAnsi"/>
                <w:color w:val="000000"/>
                <w:sz w:val="20"/>
                <w:szCs w:val="20"/>
              </w:rPr>
            </w:pPr>
            <w:r w:rsidRPr="002F5864">
              <w:rPr>
                <w:rFonts w:cstheme="minorHAnsi"/>
                <w:color w:val="000000"/>
                <w:sz w:val="20"/>
                <w:szCs w:val="20"/>
              </w:rPr>
              <w:t>5.5</w:t>
            </w:r>
          </w:p>
        </w:tc>
        <w:tc>
          <w:tcPr>
            <w:tcW w:w="1418" w:type="dxa"/>
            <w:tcBorders>
              <w:top w:val="nil"/>
              <w:left w:val="nil"/>
              <w:right w:val="nil"/>
            </w:tcBorders>
            <w:shd w:val="clear" w:color="auto" w:fill="E5E5E5" w:themeFill="background1" w:themeFillTint="33"/>
            <w:noWrap/>
            <w:vAlign w:val="center"/>
            <w:hideMark/>
          </w:tcPr>
          <w:p w14:paraId="16157841" w14:textId="77777777" w:rsidR="00961617" w:rsidRPr="002F5864" w:rsidRDefault="00961617" w:rsidP="0020771F">
            <w:pPr>
              <w:tabs>
                <w:tab w:val="left" w:pos="733"/>
                <w:tab w:val="left" w:pos="756"/>
              </w:tabs>
              <w:spacing w:after="0"/>
              <w:ind w:left="28" w:right="263"/>
              <w:jc w:val="right"/>
              <w:rPr>
                <w:rFonts w:cstheme="minorHAnsi"/>
                <w:color w:val="000000"/>
                <w:sz w:val="20"/>
                <w:szCs w:val="20"/>
              </w:rPr>
            </w:pPr>
            <w:r w:rsidRPr="002F5864">
              <w:rPr>
                <w:rFonts w:cstheme="minorHAnsi"/>
                <w:color w:val="000000"/>
                <w:sz w:val="20"/>
                <w:szCs w:val="20"/>
              </w:rPr>
              <w:t>5.3</w:t>
            </w:r>
          </w:p>
        </w:tc>
        <w:tc>
          <w:tcPr>
            <w:tcW w:w="1701" w:type="dxa"/>
            <w:tcBorders>
              <w:top w:val="nil"/>
              <w:left w:val="nil"/>
              <w:right w:val="nil"/>
            </w:tcBorders>
            <w:shd w:val="clear" w:color="auto" w:fill="E5E5E5" w:themeFill="background1" w:themeFillTint="33"/>
            <w:noWrap/>
            <w:vAlign w:val="center"/>
            <w:hideMark/>
          </w:tcPr>
          <w:p w14:paraId="50B31838" w14:textId="77777777" w:rsidR="00961617" w:rsidRPr="002F5864" w:rsidRDefault="00961617" w:rsidP="0020771F">
            <w:pPr>
              <w:tabs>
                <w:tab w:val="left" w:pos="404"/>
                <w:tab w:val="left" w:pos="756"/>
              </w:tabs>
              <w:spacing w:after="0"/>
              <w:ind w:left="145" w:right="263"/>
              <w:jc w:val="right"/>
              <w:rPr>
                <w:rFonts w:cstheme="minorHAnsi"/>
                <w:color w:val="000000"/>
                <w:sz w:val="20"/>
                <w:szCs w:val="20"/>
              </w:rPr>
            </w:pPr>
            <w:r w:rsidRPr="002F5864">
              <w:rPr>
                <w:rFonts w:cstheme="minorHAnsi"/>
                <w:color w:val="000000"/>
                <w:sz w:val="20"/>
                <w:szCs w:val="20"/>
              </w:rPr>
              <w:t>-0.2</w:t>
            </w:r>
          </w:p>
        </w:tc>
      </w:tr>
      <w:tr w:rsidR="00961617" w:rsidRPr="002F5864" w14:paraId="59A21974" w14:textId="77777777" w:rsidTr="0020771F">
        <w:trPr>
          <w:trHeight w:hRule="exact" w:val="340"/>
          <w:tblHeader/>
        </w:trPr>
        <w:tc>
          <w:tcPr>
            <w:tcW w:w="4240" w:type="dxa"/>
            <w:tcBorders>
              <w:left w:val="nil"/>
              <w:right w:val="nil"/>
            </w:tcBorders>
            <w:shd w:val="clear" w:color="auto" w:fill="8EAEDE"/>
            <w:noWrap/>
            <w:vAlign w:val="center"/>
            <w:hideMark/>
          </w:tcPr>
          <w:p w14:paraId="17F10034" w14:textId="77777777" w:rsidR="00961617" w:rsidRPr="002F5864" w:rsidRDefault="00961617" w:rsidP="0020771F">
            <w:pPr>
              <w:spacing w:after="0"/>
              <w:rPr>
                <w:rFonts w:cstheme="minorHAnsi"/>
                <w:bCs/>
                <w:color w:val="000000"/>
                <w:sz w:val="20"/>
                <w:szCs w:val="20"/>
              </w:rPr>
            </w:pPr>
            <w:r w:rsidRPr="002F5864">
              <w:rPr>
                <w:rFonts w:cstheme="minorHAnsi"/>
                <w:bCs/>
                <w:color w:val="000000"/>
                <w:sz w:val="20"/>
                <w:szCs w:val="20"/>
              </w:rPr>
              <w:t>Total number of job seekers</w:t>
            </w:r>
          </w:p>
        </w:tc>
        <w:tc>
          <w:tcPr>
            <w:tcW w:w="1587" w:type="dxa"/>
            <w:tcBorders>
              <w:left w:val="nil"/>
              <w:right w:val="nil"/>
            </w:tcBorders>
            <w:shd w:val="clear" w:color="auto" w:fill="8EAEDE"/>
            <w:noWrap/>
            <w:vAlign w:val="center"/>
            <w:hideMark/>
          </w:tcPr>
          <w:p w14:paraId="13A193A7" w14:textId="77777777" w:rsidR="00961617" w:rsidRPr="002F5864" w:rsidRDefault="00961617" w:rsidP="0020771F">
            <w:pPr>
              <w:spacing w:after="0"/>
              <w:ind w:right="263"/>
              <w:jc w:val="right"/>
              <w:rPr>
                <w:rFonts w:cstheme="minorHAnsi"/>
                <w:bCs/>
                <w:color w:val="000000"/>
                <w:sz w:val="20"/>
                <w:szCs w:val="20"/>
              </w:rPr>
            </w:pPr>
            <w:r w:rsidRPr="002F5864">
              <w:rPr>
                <w:rFonts w:cstheme="minorHAnsi"/>
                <w:bCs/>
                <w:color w:val="000000"/>
                <w:sz w:val="20"/>
                <w:szCs w:val="20"/>
              </w:rPr>
              <w:t>173,258</w:t>
            </w:r>
          </w:p>
        </w:tc>
        <w:tc>
          <w:tcPr>
            <w:tcW w:w="1418" w:type="dxa"/>
            <w:tcBorders>
              <w:left w:val="nil"/>
              <w:right w:val="nil"/>
            </w:tcBorders>
            <w:shd w:val="clear" w:color="auto" w:fill="8EAEDE"/>
            <w:noWrap/>
            <w:vAlign w:val="center"/>
            <w:hideMark/>
          </w:tcPr>
          <w:p w14:paraId="38AA2018" w14:textId="77777777" w:rsidR="00961617" w:rsidRPr="002F5864" w:rsidRDefault="00961617" w:rsidP="0020771F">
            <w:pPr>
              <w:tabs>
                <w:tab w:val="left" w:pos="498"/>
                <w:tab w:val="left" w:pos="733"/>
              </w:tabs>
              <w:spacing w:after="0"/>
              <w:ind w:left="28" w:right="263"/>
              <w:jc w:val="right"/>
              <w:rPr>
                <w:rFonts w:cstheme="minorHAnsi"/>
                <w:bCs/>
                <w:color w:val="000000"/>
                <w:sz w:val="20"/>
                <w:szCs w:val="20"/>
              </w:rPr>
            </w:pPr>
            <w:r w:rsidRPr="002F5864">
              <w:rPr>
                <w:rFonts w:cstheme="minorHAnsi"/>
                <w:bCs/>
                <w:color w:val="000000"/>
                <w:sz w:val="20"/>
                <w:szCs w:val="20"/>
              </w:rPr>
              <w:t>212,065</w:t>
            </w:r>
          </w:p>
        </w:tc>
        <w:tc>
          <w:tcPr>
            <w:tcW w:w="1701" w:type="dxa"/>
            <w:tcBorders>
              <w:left w:val="nil"/>
              <w:right w:val="nil"/>
            </w:tcBorders>
            <w:shd w:val="clear" w:color="auto" w:fill="8EAEDE"/>
            <w:noWrap/>
            <w:vAlign w:val="center"/>
            <w:hideMark/>
          </w:tcPr>
          <w:p w14:paraId="719E1BEC" w14:textId="77777777" w:rsidR="00961617" w:rsidRPr="002F5864" w:rsidRDefault="00961617" w:rsidP="0020771F">
            <w:pPr>
              <w:tabs>
                <w:tab w:val="left" w:pos="404"/>
              </w:tabs>
              <w:spacing w:after="0"/>
              <w:ind w:left="145" w:right="263"/>
              <w:jc w:val="right"/>
              <w:rPr>
                <w:rFonts w:cstheme="minorHAnsi"/>
                <w:bCs/>
                <w:color w:val="000000"/>
                <w:sz w:val="20"/>
                <w:szCs w:val="20"/>
              </w:rPr>
            </w:pPr>
            <w:r w:rsidRPr="002F5864">
              <w:rPr>
                <w:rFonts w:cstheme="minorHAnsi"/>
                <w:bCs/>
                <w:color w:val="000000"/>
                <w:sz w:val="20"/>
                <w:szCs w:val="20"/>
              </w:rPr>
              <w:t>38,807</w:t>
            </w:r>
          </w:p>
        </w:tc>
      </w:tr>
    </w:tbl>
    <w:p w14:paraId="3AB7668F" w14:textId="77777777" w:rsidR="00961617" w:rsidRPr="002F5864" w:rsidRDefault="00961617" w:rsidP="00E13B5E">
      <w:pPr>
        <w:pStyle w:val="Notes"/>
        <w:keepNext/>
      </w:pPr>
      <w:r w:rsidRPr="00E13B5E">
        <w:rPr>
          <w:b/>
        </w:rPr>
        <w:t>Notes</w:t>
      </w:r>
      <w:r w:rsidRPr="002F5864">
        <w:t xml:space="preserve">: </w:t>
      </w:r>
    </w:p>
    <w:p w14:paraId="28E6599C" w14:textId="77777777" w:rsidR="00961617" w:rsidRPr="00E5413A" w:rsidRDefault="00961617" w:rsidP="00E5413A">
      <w:pPr>
        <w:pStyle w:val="Notesnumbered"/>
        <w:numPr>
          <w:ilvl w:val="0"/>
          <w:numId w:val="253"/>
        </w:numPr>
      </w:pPr>
      <w:r w:rsidRPr="00E5413A">
        <w:t>Percentages may not add to exactly one hundred as a result of rounding.</w:t>
      </w:r>
    </w:p>
    <w:p w14:paraId="28089176" w14:textId="77777777" w:rsidR="00961617" w:rsidRPr="00E5413A" w:rsidRDefault="00961617" w:rsidP="00E5413A">
      <w:pPr>
        <w:pStyle w:val="Notesnumbered"/>
        <w:numPr>
          <w:ilvl w:val="0"/>
          <w:numId w:val="253"/>
        </w:numPr>
      </w:pPr>
      <w:r w:rsidRPr="00E5413A">
        <w:t>Table excludes those job seekers that commenced service in Stream 1 Limited, as most analyses did not use include these job seekers.</w:t>
      </w:r>
    </w:p>
    <w:p w14:paraId="6BC122E6" w14:textId="77777777" w:rsidR="00961617" w:rsidRPr="00E5413A" w:rsidRDefault="00961617" w:rsidP="00E5413A">
      <w:pPr>
        <w:pStyle w:val="Notesnumbered"/>
        <w:numPr>
          <w:ilvl w:val="0"/>
          <w:numId w:val="253"/>
        </w:numPr>
      </w:pPr>
      <w:r w:rsidRPr="00E5413A">
        <w:t>Characteristics are at the commencement in service except for disability status, which is derived from information closest to the end of the job seekers’ period of assistance.</w:t>
      </w:r>
    </w:p>
    <w:p w14:paraId="6B64B2E2" w14:textId="77777777" w:rsidR="00961617" w:rsidRPr="00E5413A" w:rsidRDefault="00961617" w:rsidP="00E5413A">
      <w:pPr>
        <w:pStyle w:val="Notesnumbered"/>
        <w:numPr>
          <w:ilvl w:val="0"/>
          <w:numId w:val="253"/>
        </w:numPr>
      </w:pPr>
      <w:r w:rsidRPr="00E5413A">
        <w:t xml:space="preserve">Geographical locations are defined using the Australian Standard Geographical Classification (ASGC) developed by the Australian Bureau of Statistics. This classification provides an indication of the degree of remoteness (or distance) from major cities </w:t>
      </w:r>
      <w:r w:rsidRPr="00E5413A">
        <w:fldChar w:fldCharType="begin"/>
      </w:r>
      <w:r w:rsidRPr="00E5413A">
        <w:instrText xml:space="preserve"> ADDIN EN.CITE &lt;EndNote&gt;&lt;Cite&gt;&lt;Author&gt;ABS&lt;/Author&gt;&lt;Year&gt;2006&lt;/Year&gt;&lt;RecNum&gt;17&lt;/RecNum&gt;&lt;DisplayText&gt;(ABS, 2006)&lt;/DisplayText&gt;&lt;record&gt;&lt;rec-number&gt;17&lt;/rec-number&gt;&lt;foreign-keys&gt;&lt;key app="EN" db-id="pz0e2zfxyp5rfwe50fb50fvod9rdpza2rdrs"&gt;17&lt;/key&gt;&lt;/foreign-keys&gt;&lt;ref-type name="Report"&gt;27&lt;/ref-type&gt;&lt;contributors&gt;&lt;authors&gt;&lt;author&gt;ABS,&lt;/author&gt;&lt;/authors&gt;&lt;/contributors&gt;&lt;titles&gt;&lt;title&gt;Statistical Geography Volume 1, Australian Standard Geographical Classification (ASGC)&lt;/title&gt;&lt;/titles&gt;&lt;volume&gt;Cat. No. 1216.0&lt;/volume&gt;&lt;dates&gt;&lt;year&gt;2006&lt;/year&gt;&lt;/dates&gt;&lt;pub-location&gt;Canberra&lt;/pub-location&gt;&lt;publisher&gt;Australian Bureau of Statistics (ABS)&lt;/publisher&gt;&lt;urls&gt;&lt;/urls&gt;&lt;/record&gt;&lt;/Cite&gt;&lt;/EndNote&gt;</w:instrText>
      </w:r>
      <w:r w:rsidRPr="00E5413A">
        <w:fldChar w:fldCharType="separate"/>
      </w:r>
      <w:r w:rsidRPr="00E5413A">
        <w:t>(</w:t>
      </w:r>
      <w:hyperlink w:anchor="_ENREF_1" w:tooltip="ABS, 2006 #17" w:history="1">
        <w:r w:rsidRPr="00E5413A">
          <w:rPr>
            <w:rStyle w:val="Hyperlink"/>
          </w:rPr>
          <w:t>ABS, 2006</w:t>
        </w:r>
      </w:hyperlink>
      <w:r w:rsidRPr="00E5413A">
        <w:t>)</w:t>
      </w:r>
      <w:r w:rsidRPr="00E5413A">
        <w:fldChar w:fldCharType="end"/>
      </w:r>
      <w:r w:rsidRPr="00E5413A">
        <w:t>. The geographical locations defined are not comparable with those used to classify JSA Labour Market Regions, as defined in the Employment Services Deed ESD4. Job seekers are assigned to geographical locations using the job seeker’s home postcode at commencement in service.</w:t>
      </w:r>
    </w:p>
    <w:p w14:paraId="112F8682" w14:textId="77777777" w:rsidR="00961617" w:rsidRPr="00E5413A" w:rsidRDefault="00961617" w:rsidP="00E5413A">
      <w:pPr>
        <w:pStyle w:val="Notesnumbered"/>
        <w:numPr>
          <w:ilvl w:val="0"/>
          <w:numId w:val="253"/>
        </w:numPr>
      </w:pPr>
      <w:r w:rsidRPr="00E5413A">
        <w:t xml:space="preserve">Disability status is not strictly comparable between the JSA 2009 and 2012 study populations because of changes to income support eligibility and participation requirements and changes to assessment procedures (in February 2011). The tightening of JCA/ESAt processes in 2011 resulted in a drop in the numbers of these referrals. </w:t>
      </w:r>
    </w:p>
    <w:p w14:paraId="6747ED2F" w14:textId="2486E968" w:rsidR="00961617" w:rsidRPr="002F5864" w:rsidRDefault="00961617" w:rsidP="00E5413A">
      <w:pPr>
        <w:pStyle w:val="Notesnumbered"/>
        <w:numPr>
          <w:ilvl w:val="0"/>
          <w:numId w:val="253"/>
        </w:numPr>
      </w:pPr>
      <w:r w:rsidRPr="00E5413A">
        <w:t>A small proportion of job seekers did not have recent JSCI or other information available for some job seeker characteristics. For this reason percentages of job seekers in some client groups are calculated as a percentage of job seekers for whom recent information was available. The proportions of each population for which recent information was not available are:</w:t>
      </w:r>
      <w:r w:rsidRPr="00E5413A">
        <w:br/>
      </w:r>
      <w:r w:rsidRPr="002F5864">
        <w:rPr>
          <w:u w:val="single"/>
        </w:rPr>
        <w:t>For the JSA 2009 new entrant study population:</w:t>
      </w:r>
      <w:r w:rsidRPr="002F5864">
        <w:t xml:space="preserve"> Indigenous status: 0.7 per cent; English proficiency, highest level of education, homeless and single parent status:  0.8 per cent; ex-offender status:  1.9 per cent.</w:t>
      </w:r>
      <w:r w:rsidRPr="002F5864">
        <w:br/>
      </w:r>
      <w:r w:rsidRPr="002F5864">
        <w:rPr>
          <w:u w:val="single"/>
        </w:rPr>
        <w:t>For the JSA 2012 new entrant study population:</w:t>
      </w:r>
      <w:r w:rsidRPr="002F5864">
        <w:t xml:space="preserve"> Indigenous status: 0.9 per cent; English proficiency, highest level of education, homeless and single parent status:  0.8 per cent; ex-offender status: 2.0 per cent.</w:t>
      </w:r>
    </w:p>
    <w:p w14:paraId="4D631A9C" w14:textId="77777777" w:rsidR="00961617" w:rsidRPr="002F5864" w:rsidRDefault="00961617" w:rsidP="00E13B5E">
      <w:pPr>
        <w:pStyle w:val="Source"/>
      </w:pPr>
      <w:r w:rsidRPr="002F5864">
        <w:rPr>
          <w:b/>
        </w:rPr>
        <w:t>Source:</w:t>
      </w:r>
      <w:r w:rsidRPr="002F5864">
        <w:t xml:space="preserve"> </w:t>
      </w:r>
      <w:r w:rsidR="00E13B5E">
        <w:tab/>
      </w:r>
      <w:r w:rsidRPr="002F5864">
        <w:t>Department of Employment administrative data.</w:t>
      </w:r>
    </w:p>
    <w:p w14:paraId="6E00BA25" w14:textId="77777777" w:rsidR="00961617" w:rsidRPr="002F5864" w:rsidRDefault="00864C5E" w:rsidP="00961617">
      <w:pPr>
        <w:spacing w:before="120"/>
        <w:rPr>
          <w:rFonts w:cstheme="minorHAnsi"/>
          <w:sz w:val="18"/>
          <w:szCs w:val="18"/>
        </w:rPr>
      </w:pPr>
      <w:hyperlink w:anchor="Place_A11" w:history="1">
        <w:r w:rsidR="00961617" w:rsidRPr="004A74AA">
          <w:rPr>
            <w:rStyle w:val="Hyperlink"/>
            <w:rFonts w:cstheme="minorHAnsi"/>
            <w:sz w:val="18"/>
            <w:szCs w:val="18"/>
          </w:rPr>
          <w:t xml:space="preserve">Return to </w:t>
        </w:r>
        <w:r w:rsidR="003649E1" w:rsidRPr="004A74AA">
          <w:rPr>
            <w:rStyle w:val="Hyperlink"/>
            <w:rFonts w:cstheme="minorHAnsi"/>
            <w:sz w:val="18"/>
            <w:szCs w:val="18"/>
          </w:rPr>
          <w:t>s</w:t>
        </w:r>
        <w:r w:rsidR="00961617" w:rsidRPr="004A74AA">
          <w:rPr>
            <w:rStyle w:val="Hyperlink"/>
            <w:rFonts w:cstheme="minorHAnsi"/>
            <w:sz w:val="18"/>
            <w:szCs w:val="18"/>
          </w:rPr>
          <w:t>ection 2.2.1</w:t>
        </w:r>
      </w:hyperlink>
      <w:r w:rsidR="00961617" w:rsidRPr="002F5864">
        <w:rPr>
          <w:rFonts w:cstheme="minorHAnsi"/>
          <w:sz w:val="18"/>
          <w:szCs w:val="18"/>
        </w:rPr>
        <w:t xml:space="preserve"> where this data is referenced.</w:t>
      </w:r>
    </w:p>
    <w:p w14:paraId="2CF217BA" w14:textId="77777777" w:rsidR="00961617" w:rsidRPr="002F5864" w:rsidRDefault="00961617" w:rsidP="00961617">
      <w:pPr>
        <w:rPr>
          <w:rFonts w:cstheme="minorHAnsi"/>
          <w:sz w:val="18"/>
          <w:szCs w:val="18"/>
        </w:rPr>
        <w:sectPr w:rsidR="00961617" w:rsidRPr="002F5864" w:rsidSect="00861BD8">
          <w:footerReference w:type="default" r:id="rId63"/>
          <w:pgSz w:w="11907" w:h="16839" w:code="9"/>
          <w:pgMar w:top="1440" w:right="1440" w:bottom="1440" w:left="1440" w:header="709" w:footer="284" w:gutter="0"/>
          <w:pgNumType w:start="1"/>
          <w:cols w:space="708"/>
          <w:docGrid w:linePitch="360"/>
        </w:sectPr>
      </w:pPr>
    </w:p>
    <w:p w14:paraId="5E84FED4" w14:textId="77777777" w:rsidR="00961617" w:rsidRPr="002F5864" w:rsidRDefault="00961617" w:rsidP="00961617">
      <w:pPr>
        <w:pStyle w:val="TableheadingforappendixA1"/>
        <w:rPr>
          <w:rFonts w:cstheme="minorHAnsi"/>
        </w:rPr>
      </w:pPr>
      <w:bookmarkStart w:id="595" w:name="_Toc513129890"/>
      <w:r w:rsidRPr="002F5864">
        <w:rPr>
          <w:rFonts w:cstheme="minorHAnsi"/>
        </w:rPr>
        <w:t>Table A1.2: Characteristics of JSA 2009 and JSA 2012 long-term unemployed study populations and total Active Caseload at snapshot dates (per cent)</w:t>
      </w:r>
      <w:bookmarkEnd w:id="595"/>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7"/>
        <w:gridCol w:w="134"/>
        <w:gridCol w:w="1820"/>
        <w:gridCol w:w="1814"/>
        <w:gridCol w:w="1891"/>
        <w:gridCol w:w="20"/>
        <w:gridCol w:w="2048"/>
        <w:gridCol w:w="9"/>
      </w:tblGrid>
      <w:tr w:rsidR="00961617" w:rsidRPr="002F5864" w14:paraId="569C2A2A" w14:textId="77777777" w:rsidTr="0020771F">
        <w:trPr>
          <w:cantSplit/>
          <w:trHeight w:val="1298"/>
          <w:tblHeader/>
        </w:trPr>
        <w:tc>
          <w:tcPr>
            <w:tcW w:w="2335" w:type="pct"/>
            <w:gridSpan w:val="2"/>
            <w:tcBorders>
              <w:top w:val="nil"/>
              <w:left w:val="nil"/>
              <w:bottom w:val="nil"/>
              <w:right w:val="nil"/>
            </w:tcBorders>
            <w:shd w:val="clear" w:color="auto" w:fill="1E3D6B"/>
            <w:vAlign w:val="center"/>
          </w:tcPr>
          <w:p w14:paraId="2F30F710" w14:textId="77777777" w:rsidR="00961617" w:rsidRPr="002F5864" w:rsidRDefault="00961617" w:rsidP="0020771F">
            <w:pPr>
              <w:spacing w:after="116"/>
              <w:rPr>
                <w:rFonts w:cstheme="minorHAnsi"/>
                <w:b/>
                <w:color w:val="FFFFFF" w:themeColor="background2"/>
                <w:sz w:val="20"/>
                <w:szCs w:val="20"/>
              </w:rPr>
            </w:pPr>
            <w:bookmarkStart w:id="596" w:name="Title_A12"/>
            <w:bookmarkEnd w:id="596"/>
            <w:r w:rsidRPr="002F5864">
              <w:rPr>
                <w:rFonts w:cstheme="minorHAnsi"/>
                <w:b/>
                <w:bCs/>
                <w:color w:val="FFFFFF"/>
                <w:sz w:val="20"/>
                <w:szCs w:val="20"/>
              </w:rPr>
              <w:t>Characteristics</w:t>
            </w:r>
          </w:p>
        </w:tc>
        <w:tc>
          <w:tcPr>
            <w:tcW w:w="638" w:type="pct"/>
            <w:tcBorders>
              <w:top w:val="nil"/>
              <w:left w:val="nil"/>
              <w:bottom w:val="nil"/>
              <w:right w:val="nil"/>
            </w:tcBorders>
            <w:shd w:val="clear" w:color="auto" w:fill="1E3D6B"/>
          </w:tcPr>
          <w:p w14:paraId="0482F7CF"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2009</w:t>
            </w:r>
            <w:r w:rsidRPr="002F5864">
              <w:rPr>
                <w:rFonts w:cstheme="minorHAnsi"/>
                <w:i w:val="0"/>
                <w:szCs w:val="20"/>
              </w:rPr>
              <w:br/>
              <w:t>LTU study population</w:t>
            </w:r>
            <w:r w:rsidRPr="002F5864">
              <w:rPr>
                <w:rFonts w:cstheme="minorHAnsi"/>
                <w:i w:val="0"/>
                <w:szCs w:val="20"/>
              </w:rPr>
              <w:br/>
              <w:t>per cent</w:t>
            </w:r>
          </w:p>
        </w:tc>
        <w:tc>
          <w:tcPr>
            <w:tcW w:w="636" w:type="pct"/>
            <w:tcBorders>
              <w:top w:val="nil"/>
              <w:left w:val="nil"/>
              <w:bottom w:val="nil"/>
              <w:right w:val="nil"/>
            </w:tcBorders>
            <w:shd w:val="clear" w:color="auto" w:fill="1E3D6B"/>
          </w:tcPr>
          <w:p w14:paraId="2F696F41" w14:textId="77777777" w:rsidR="00961617" w:rsidRPr="002F5864" w:rsidRDefault="00961617" w:rsidP="0020771F">
            <w:pPr>
              <w:pStyle w:val="TableHeadingtext-centred"/>
              <w:tabs>
                <w:tab w:val="clear" w:pos="1134"/>
                <w:tab w:val="left" w:pos="657"/>
              </w:tabs>
              <w:ind w:left="-67" w:firstLine="4"/>
              <w:rPr>
                <w:rFonts w:cstheme="minorHAnsi"/>
                <w:i w:val="0"/>
                <w:szCs w:val="20"/>
              </w:rPr>
            </w:pPr>
            <w:r w:rsidRPr="002F5864">
              <w:rPr>
                <w:rFonts w:cstheme="minorHAnsi"/>
                <w:i w:val="0"/>
                <w:szCs w:val="20"/>
              </w:rPr>
              <w:t>JSA 2012</w:t>
            </w:r>
            <w:r w:rsidRPr="002F5864">
              <w:rPr>
                <w:rFonts w:cstheme="minorHAnsi"/>
                <w:i w:val="0"/>
                <w:szCs w:val="20"/>
              </w:rPr>
              <w:br/>
              <w:t>LTU study population</w:t>
            </w:r>
            <w:r w:rsidRPr="002F5864">
              <w:rPr>
                <w:rFonts w:cstheme="minorHAnsi"/>
                <w:i w:val="0"/>
                <w:szCs w:val="20"/>
              </w:rPr>
              <w:br/>
              <w:t>per cent</w:t>
            </w:r>
          </w:p>
        </w:tc>
        <w:tc>
          <w:tcPr>
            <w:tcW w:w="670" w:type="pct"/>
            <w:gridSpan w:val="2"/>
            <w:tcBorders>
              <w:top w:val="nil"/>
              <w:left w:val="nil"/>
              <w:bottom w:val="nil"/>
              <w:right w:val="nil"/>
            </w:tcBorders>
            <w:shd w:val="clear" w:color="auto" w:fill="1E3D6B"/>
          </w:tcPr>
          <w:p w14:paraId="7ADDED25"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2009</w:t>
            </w:r>
            <w:r w:rsidRPr="002F5864">
              <w:rPr>
                <w:rFonts w:cstheme="minorHAnsi"/>
                <w:i w:val="0"/>
                <w:szCs w:val="20"/>
              </w:rPr>
              <w:br/>
              <w:t>Active Caseload</w:t>
            </w:r>
            <w:r w:rsidRPr="002F5864">
              <w:rPr>
                <w:rFonts w:cstheme="minorHAnsi"/>
                <w:i w:val="0"/>
                <w:szCs w:val="20"/>
              </w:rPr>
              <w:br/>
              <w:t>per cent</w:t>
            </w:r>
          </w:p>
        </w:tc>
        <w:tc>
          <w:tcPr>
            <w:tcW w:w="721" w:type="pct"/>
            <w:gridSpan w:val="2"/>
            <w:tcBorders>
              <w:top w:val="nil"/>
              <w:left w:val="nil"/>
              <w:bottom w:val="nil"/>
              <w:right w:val="nil"/>
            </w:tcBorders>
            <w:shd w:val="clear" w:color="auto" w:fill="1E3D6B"/>
          </w:tcPr>
          <w:p w14:paraId="2EDFB128"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2012</w:t>
            </w:r>
            <w:r w:rsidRPr="002F5864">
              <w:rPr>
                <w:rFonts w:cstheme="minorHAnsi"/>
                <w:i w:val="0"/>
                <w:szCs w:val="20"/>
              </w:rPr>
              <w:br/>
              <w:t>Active Caseload</w:t>
            </w:r>
            <w:r w:rsidRPr="002F5864">
              <w:rPr>
                <w:rFonts w:cstheme="minorHAnsi"/>
                <w:i w:val="0"/>
                <w:szCs w:val="20"/>
              </w:rPr>
              <w:br/>
              <w:t>per cent</w:t>
            </w:r>
          </w:p>
        </w:tc>
      </w:tr>
      <w:tr w:rsidR="00961617" w:rsidRPr="002F5864" w14:paraId="62FAE868"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400A76E8"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Assessed stream: Stream 1 Limited</w:t>
            </w:r>
          </w:p>
        </w:tc>
        <w:tc>
          <w:tcPr>
            <w:tcW w:w="638" w:type="pct"/>
            <w:tcBorders>
              <w:top w:val="nil"/>
              <w:left w:val="nil"/>
              <w:bottom w:val="nil"/>
              <w:right w:val="nil"/>
            </w:tcBorders>
            <w:shd w:val="clear" w:color="auto" w:fill="FFFFFF" w:themeFill="background2"/>
            <w:vAlign w:val="center"/>
          </w:tcPr>
          <w:p w14:paraId="6C808077" w14:textId="77777777" w:rsidR="00961617" w:rsidRPr="002F5864" w:rsidRDefault="00961617" w:rsidP="0020771F">
            <w:pPr>
              <w:pStyle w:val="tabletext"/>
              <w:spacing w:after="0"/>
              <w:ind w:right="346"/>
              <w:rPr>
                <w:rFonts w:cstheme="minorHAnsi"/>
                <w:szCs w:val="20"/>
              </w:rPr>
            </w:pPr>
            <w:r w:rsidRPr="002F5864">
              <w:rPr>
                <w:rFonts w:cstheme="minorHAnsi"/>
                <w:szCs w:val="20"/>
              </w:rPr>
              <w:t>0.3</w:t>
            </w:r>
          </w:p>
        </w:tc>
        <w:tc>
          <w:tcPr>
            <w:tcW w:w="636" w:type="pct"/>
            <w:tcBorders>
              <w:top w:val="nil"/>
              <w:left w:val="nil"/>
              <w:bottom w:val="nil"/>
              <w:right w:val="nil"/>
            </w:tcBorders>
            <w:shd w:val="clear" w:color="auto" w:fill="FFFFFF" w:themeFill="background2"/>
            <w:vAlign w:val="center"/>
          </w:tcPr>
          <w:p w14:paraId="18CD3B6F" w14:textId="77777777" w:rsidR="00961617" w:rsidRPr="002F5864" w:rsidRDefault="00961617" w:rsidP="0020771F">
            <w:pPr>
              <w:pStyle w:val="tabletext"/>
              <w:spacing w:after="0"/>
              <w:ind w:right="346"/>
              <w:rPr>
                <w:rFonts w:cstheme="minorHAnsi"/>
                <w:szCs w:val="20"/>
              </w:rPr>
            </w:pPr>
            <w:r w:rsidRPr="002F5864">
              <w:rPr>
                <w:rFonts w:cstheme="minorHAnsi"/>
                <w:szCs w:val="20"/>
              </w:rPr>
              <w:t>0.5</w:t>
            </w:r>
          </w:p>
        </w:tc>
        <w:tc>
          <w:tcPr>
            <w:tcW w:w="670" w:type="pct"/>
            <w:gridSpan w:val="2"/>
            <w:tcBorders>
              <w:top w:val="nil"/>
              <w:left w:val="nil"/>
              <w:bottom w:val="nil"/>
              <w:right w:val="nil"/>
            </w:tcBorders>
            <w:shd w:val="clear" w:color="auto" w:fill="FFFFFF" w:themeFill="background2"/>
            <w:vAlign w:val="center"/>
          </w:tcPr>
          <w:p w14:paraId="146DE1E0" w14:textId="77777777" w:rsidR="00961617" w:rsidRPr="002F5864" w:rsidRDefault="00961617" w:rsidP="0020771F">
            <w:pPr>
              <w:pStyle w:val="tabletext"/>
              <w:spacing w:after="0"/>
              <w:ind w:right="346"/>
              <w:rPr>
                <w:rFonts w:cstheme="minorHAnsi"/>
                <w:szCs w:val="20"/>
              </w:rPr>
            </w:pPr>
            <w:r w:rsidRPr="002F5864">
              <w:rPr>
                <w:rFonts w:cstheme="minorHAnsi"/>
                <w:szCs w:val="20"/>
              </w:rPr>
              <w:t>4.0</w:t>
            </w:r>
          </w:p>
        </w:tc>
        <w:tc>
          <w:tcPr>
            <w:tcW w:w="721" w:type="pct"/>
            <w:gridSpan w:val="2"/>
            <w:tcBorders>
              <w:top w:val="nil"/>
              <w:left w:val="nil"/>
              <w:bottom w:val="nil"/>
              <w:right w:val="nil"/>
            </w:tcBorders>
            <w:shd w:val="clear" w:color="auto" w:fill="FFFFFF" w:themeFill="background2"/>
            <w:vAlign w:val="center"/>
          </w:tcPr>
          <w:p w14:paraId="567F0BF7" w14:textId="77777777" w:rsidR="00961617" w:rsidRPr="002F5864" w:rsidRDefault="00961617" w:rsidP="0020771F">
            <w:pPr>
              <w:pStyle w:val="tabletext"/>
              <w:spacing w:after="0"/>
              <w:ind w:right="346"/>
              <w:rPr>
                <w:rFonts w:cstheme="minorHAnsi"/>
                <w:szCs w:val="20"/>
              </w:rPr>
            </w:pPr>
            <w:r w:rsidRPr="002F5864">
              <w:rPr>
                <w:rFonts w:cstheme="minorHAnsi"/>
                <w:szCs w:val="20"/>
              </w:rPr>
              <w:t>2.9</w:t>
            </w:r>
          </w:p>
        </w:tc>
      </w:tr>
      <w:tr w:rsidR="00961617" w:rsidRPr="002F5864" w14:paraId="1034AAC8"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4EB2CA47"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Assessed stream: Stream 1</w:t>
            </w:r>
          </w:p>
        </w:tc>
        <w:tc>
          <w:tcPr>
            <w:tcW w:w="638" w:type="pct"/>
            <w:tcBorders>
              <w:top w:val="nil"/>
              <w:left w:val="nil"/>
              <w:bottom w:val="nil"/>
              <w:right w:val="nil"/>
            </w:tcBorders>
            <w:shd w:val="clear" w:color="auto" w:fill="E5E5E5" w:themeFill="background1" w:themeFillTint="33"/>
            <w:vAlign w:val="center"/>
          </w:tcPr>
          <w:p w14:paraId="3C06E03B" w14:textId="77777777" w:rsidR="00961617" w:rsidRPr="002F5864" w:rsidRDefault="00961617" w:rsidP="0020771F">
            <w:pPr>
              <w:pStyle w:val="tabletext"/>
              <w:spacing w:after="0"/>
              <w:ind w:right="346"/>
              <w:rPr>
                <w:rFonts w:cstheme="minorHAnsi"/>
                <w:szCs w:val="20"/>
              </w:rPr>
            </w:pPr>
            <w:r w:rsidRPr="002F5864">
              <w:rPr>
                <w:rFonts w:cstheme="minorHAnsi"/>
                <w:szCs w:val="20"/>
              </w:rPr>
              <w:t>23.1</w:t>
            </w:r>
          </w:p>
        </w:tc>
        <w:tc>
          <w:tcPr>
            <w:tcW w:w="636" w:type="pct"/>
            <w:tcBorders>
              <w:top w:val="nil"/>
              <w:left w:val="nil"/>
              <w:bottom w:val="nil"/>
              <w:right w:val="nil"/>
            </w:tcBorders>
            <w:shd w:val="clear" w:color="auto" w:fill="E5E5E5" w:themeFill="background1" w:themeFillTint="33"/>
            <w:vAlign w:val="center"/>
          </w:tcPr>
          <w:p w14:paraId="6ED51A7C" w14:textId="77777777" w:rsidR="00961617" w:rsidRPr="002F5864" w:rsidRDefault="00961617" w:rsidP="0020771F">
            <w:pPr>
              <w:pStyle w:val="tabletext"/>
              <w:spacing w:after="0"/>
              <w:ind w:right="346"/>
              <w:rPr>
                <w:rFonts w:cstheme="minorHAnsi"/>
                <w:szCs w:val="20"/>
              </w:rPr>
            </w:pPr>
            <w:r w:rsidRPr="002F5864">
              <w:rPr>
                <w:rFonts w:cstheme="minorHAnsi"/>
                <w:szCs w:val="20"/>
              </w:rPr>
              <w:t>16.8</w:t>
            </w:r>
          </w:p>
        </w:tc>
        <w:tc>
          <w:tcPr>
            <w:tcW w:w="670" w:type="pct"/>
            <w:gridSpan w:val="2"/>
            <w:tcBorders>
              <w:top w:val="nil"/>
              <w:left w:val="nil"/>
              <w:bottom w:val="nil"/>
              <w:right w:val="nil"/>
            </w:tcBorders>
            <w:shd w:val="clear" w:color="auto" w:fill="E5E5E5" w:themeFill="background1" w:themeFillTint="33"/>
            <w:vAlign w:val="center"/>
          </w:tcPr>
          <w:p w14:paraId="00660C33" w14:textId="77777777" w:rsidR="00961617" w:rsidRPr="002F5864" w:rsidRDefault="00961617" w:rsidP="0020771F">
            <w:pPr>
              <w:pStyle w:val="tabletext"/>
              <w:spacing w:after="0"/>
              <w:ind w:right="346"/>
              <w:rPr>
                <w:rFonts w:cstheme="minorHAnsi"/>
                <w:szCs w:val="20"/>
              </w:rPr>
            </w:pPr>
            <w:r w:rsidRPr="002F5864">
              <w:rPr>
                <w:rFonts w:cstheme="minorHAnsi"/>
                <w:szCs w:val="20"/>
              </w:rPr>
              <w:t>41.6</w:t>
            </w:r>
          </w:p>
        </w:tc>
        <w:tc>
          <w:tcPr>
            <w:tcW w:w="721" w:type="pct"/>
            <w:gridSpan w:val="2"/>
            <w:tcBorders>
              <w:top w:val="nil"/>
              <w:left w:val="nil"/>
              <w:bottom w:val="nil"/>
              <w:right w:val="nil"/>
            </w:tcBorders>
            <w:shd w:val="clear" w:color="auto" w:fill="E5E5E5" w:themeFill="background1" w:themeFillTint="33"/>
            <w:vAlign w:val="center"/>
          </w:tcPr>
          <w:p w14:paraId="65EEAB76" w14:textId="77777777" w:rsidR="00961617" w:rsidRPr="002F5864" w:rsidRDefault="00961617" w:rsidP="0020771F">
            <w:pPr>
              <w:pStyle w:val="tabletext"/>
              <w:spacing w:after="0"/>
              <w:ind w:right="346"/>
              <w:rPr>
                <w:rFonts w:cstheme="minorHAnsi"/>
                <w:szCs w:val="20"/>
              </w:rPr>
            </w:pPr>
            <w:r w:rsidRPr="002F5864">
              <w:rPr>
                <w:rFonts w:cstheme="minorHAnsi"/>
                <w:szCs w:val="20"/>
              </w:rPr>
              <w:t>36.5</w:t>
            </w:r>
          </w:p>
        </w:tc>
      </w:tr>
      <w:tr w:rsidR="00961617" w:rsidRPr="002F5864" w14:paraId="69486D4A"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4F888582"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Assessed stream: Stream 2</w:t>
            </w:r>
          </w:p>
        </w:tc>
        <w:tc>
          <w:tcPr>
            <w:tcW w:w="638" w:type="pct"/>
            <w:tcBorders>
              <w:top w:val="nil"/>
              <w:left w:val="nil"/>
              <w:bottom w:val="nil"/>
              <w:right w:val="nil"/>
            </w:tcBorders>
            <w:shd w:val="clear" w:color="auto" w:fill="FFFFFF" w:themeFill="background2"/>
            <w:vAlign w:val="center"/>
          </w:tcPr>
          <w:p w14:paraId="4376B7AD" w14:textId="77777777" w:rsidR="00961617" w:rsidRPr="002F5864" w:rsidRDefault="00961617" w:rsidP="0020771F">
            <w:pPr>
              <w:pStyle w:val="tabletext"/>
              <w:spacing w:after="0"/>
              <w:ind w:right="346"/>
              <w:rPr>
                <w:rFonts w:cstheme="minorHAnsi"/>
                <w:szCs w:val="20"/>
              </w:rPr>
            </w:pPr>
            <w:r w:rsidRPr="002F5864">
              <w:rPr>
                <w:rFonts w:cstheme="minorHAnsi"/>
                <w:szCs w:val="20"/>
              </w:rPr>
              <w:t>22.6</w:t>
            </w:r>
          </w:p>
        </w:tc>
        <w:tc>
          <w:tcPr>
            <w:tcW w:w="636" w:type="pct"/>
            <w:tcBorders>
              <w:top w:val="nil"/>
              <w:left w:val="nil"/>
              <w:bottom w:val="nil"/>
              <w:right w:val="nil"/>
            </w:tcBorders>
            <w:shd w:val="clear" w:color="auto" w:fill="FFFFFF" w:themeFill="background2"/>
            <w:vAlign w:val="center"/>
          </w:tcPr>
          <w:p w14:paraId="3C712D75" w14:textId="77777777" w:rsidR="00961617" w:rsidRPr="002F5864" w:rsidRDefault="00961617" w:rsidP="0020771F">
            <w:pPr>
              <w:pStyle w:val="tabletext"/>
              <w:spacing w:after="0"/>
              <w:ind w:right="346"/>
              <w:rPr>
                <w:rFonts w:cstheme="minorHAnsi"/>
                <w:szCs w:val="20"/>
              </w:rPr>
            </w:pPr>
            <w:r w:rsidRPr="002F5864">
              <w:rPr>
                <w:rFonts w:cstheme="minorHAnsi"/>
                <w:szCs w:val="20"/>
              </w:rPr>
              <w:t>25.5</w:t>
            </w:r>
          </w:p>
        </w:tc>
        <w:tc>
          <w:tcPr>
            <w:tcW w:w="670" w:type="pct"/>
            <w:gridSpan w:val="2"/>
            <w:tcBorders>
              <w:top w:val="nil"/>
              <w:left w:val="nil"/>
              <w:bottom w:val="nil"/>
              <w:right w:val="nil"/>
            </w:tcBorders>
            <w:shd w:val="clear" w:color="auto" w:fill="FFFFFF" w:themeFill="background2"/>
            <w:vAlign w:val="center"/>
          </w:tcPr>
          <w:p w14:paraId="5CE9B187" w14:textId="77777777" w:rsidR="00961617" w:rsidRPr="002F5864" w:rsidRDefault="00961617" w:rsidP="0020771F">
            <w:pPr>
              <w:pStyle w:val="tabletext"/>
              <w:spacing w:after="0"/>
              <w:ind w:right="346"/>
              <w:rPr>
                <w:rFonts w:cstheme="minorHAnsi"/>
                <w:szCs w:val="20"/>
              </w:rPr>
            </w:pPr>
            <w:r w:rsidRPr="002F5864">
              <w:rPr>
                <w:rFonts w:cstheme="minorHAnsi"/>
                <w:szCs w:val="20"/>
              </w:rPr>
              <w:t>20.3</w:t>
            </w:r>
          </w:p>
        </w:tc>
        <w:tc>
          <w:tcPr>
            <w:tcW w:w="721" w:type="pct"/>
            <w:gridSpan w:val="2"/>
            <w:tcBorders>
              <w:top w:val="nil"/>
              <w:left w:val="nil"/>
              <w:bottom w:val="nil"/>
              <w:right w:val="nil"/>
            </w:tcBorders>
            <w:shd w:val="clear" w:color="auto" w:fill="FFFFFF" w:themeFill="background2"/>
            <w:vAlign w:val="center"/>
          </w:tcPr>
          <w:p w14:paraId="0C4C6196" w14:textId="77777777" w:rsidR="00961617" w:rsidRPr="002F5864" w:rsidRDefault="00961617" w:rsidP="0020771F">
            <w:pPr>
              <w:pStyle w:val="tabletext"/>
              <w:spacing w:after="0"/>
              <w:ind w:right="346"/>
              <w:rPr>
                <w:rFonts w:cstheme="minorHAnsi"/>
                <w:szCs w:val="20"/>
              </w:rPr>
            </w:pPr>
            <w:r w:rsidRPr="002F5864">
              <w:rPr>
                <w:rFonts w:cstheme="minorHAnsi"/>
                <w:szCs w:val="20"/>
              </w:rPr>
              <w:t>22.6</w:t>
            </w:r>
          </w:p>
        </w:tc>
      </w:tr>
      <w:tr w:rsidR="00961617" w:rsidRPr="002F5864" w14:paraId="5370A924"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1A9599C2"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Assessed stream: Stream 3</w:t>
            </w:r>
          </w:p>
        </w:tc>
        <w:tc>
          <w:tcPr>
            <w:tcW w:w="638" w:type="pct"/>
            <w:tcBorders>
              <w:top w:val="nil"/>
              <w:left w:val="nil"/>
              <w:bottom w:val="nil"/>
              <w:right w:val="nil"/>
            </w:tcBorders>
            <w:shd w:val="clear" w:color="auto" w:fill="E5E5E5" w:themeFill="background1" w:themeFillTint="33"/>
            <w:vAlign w:val="center"/>
          </w:tcPr>
          <w:p w14:paraId="78387433" w14:textId="77777777" w:rsidR="00961617" w:rsidRPr="002F5864" w:rsidRDefault="00961617" w:rsidP="0020771F">
            <w:pPr>
              <w:pStyle w:val="tabletext"/>
              <w:spacing w:after="0"/>
              <w:ind w:right="346"/>
              <w:rPr>
                <w:rFonts w:cstheme="minorHAnsi"/>
                <w:szCs w:val="20"/>
              </w:rPr>
            </w:pPr>
            <w:r w:rsidRPr="002F5864">
              <w:rPr>
                <w:rFonts w:cstheme="minorHAnsi"/>
                <w:szCs w:val="20"/>
              </w:rPr>
              <w:t>28.9</w:t>
            </w:r>
          </w:p>
        </w:tc>
        <w:tc>
          <w:tcPr>
            <w:tcW w:w="636" w:type="pct"/>
            <w:tcBorders>
              <w:top w:val="nil"/>
              <w:left w:val="nil"/>
              <w:bottom w:val="nil"/>
              <w:right w:val="nil"/>
            </w:tcBorders>
            <w:shd w:val="clear" w:color="auto" w:fill="E5E5E5" w:themeFill="background1" w:themeFillTint="33"/>
            <w:vAlign w:val="center"/>
          </w:tcPr>
          <w:p w14:paraId="28CEC8BB" w14:textId="77777777" w:rsidR="00961617" w:rsidRPr="002F5864" w:rsidRDefault="00961617" w:rsidP="0020771F">
            <w:pPr>
              <w:pStyle w:val="tabletext"/>
              <w:spacing w:after="0"/>
              <w:ind w:right="346"/>
              <w:rPr>
                <w:rFonts w:cstheme="minorHAnsi"/>
                <w:szCs w:val="20"/>
              </w:rPr>
            </w:pPr>
            <w:r w:rsidRPr="002F5864">
              <w:rPr>
                <w:rFonts w:cstheme="minorHAnsi"/>
                <w:szCs w:val="20"/>
              </w:rPr>
              <w:t>26.4</w:t>
            </w:r>
          </w:p>
        </w:tc>
        <w:tc>
          <w:tcPr>
            <w:tcW w:w="670" w:type="pct"/>
            <w:gridSpan w:val="2"/>
            <w:tcBorders>
              <w:top w:val="nil"/>
              <w:left w:val="nil"/>
              <w:bottom w:val="nil"/>
              <w:right w:val="nil"/>
            </w:tcBorders>
            <w:shd w:val="clear" w:color="auto" w:fill="E5E5E5" w:themeFill="background1" w:themeFillTint="33"/>
            <w:vAlign w:val="center"/>
          </w:tcPr>
          <w:p w14:paraId="1FF77FAF" w14:textId="77777777" w:rsidR="00961617" w:rsidRPr="002F5864" w:rsidRDefault="00961617" w:rsidP="0020771F">
            <w:pPr>
              <w:pStyle w:val="tabletext"/>
              <w:spacing w:after="0"/>
              <w:ind w:right="346"/>
              <w:rPr>
                <w:rFonts w:cstheme="minorHAnsi"/>
                <w:szCs w:val="20"/>
              </w:rPr>
            </w:pPr>
            <w:r w:rsidRPr="002F5864">
              <w:rPr>
                <w:rFonts w:cstheme="minorHAnsi"/>
                <w:szCs w:val="20"/>
              </w:rPr>
              <w:t>18.1</w:t>
            </w:r>
          </w:p>
        </w:tc>
        <w:tc>
          <w:tcPr>
            <w:tcW w:w="721" w:type="pct"/>
            <w:gridSpan w:val="2"/>
            <w:tcBorders>
              <w:top w:val="nil"/>
              <w:left w:val="nil"/>
              <w:bottom w:val="nil"/>
              <w:right w:val="nil"/>
            </w:tcBorders>
            <w:shd w:val="clear" w:color="auto" w:fill="E5E5E5" w:themeFill="background1" w:themeFillTint="33"/>
            <w:vAlign w:val="center"/>
          </w:tcPr>
          <w:p w14:paraId="74EA1691" w14:textId="77777777" w:rsidR="00961617" w:rsidRPr="002F5864" w:rsidRDefault="00961617" w:rsidP="0020771F">
            <w:pPr>
              <w:pStyle w:val="tabletext"/>
              <w:spacing w:after="0"/>
              <w:ind w:right="346"/>
              <w:rPr>
                <w:rFonts w:cstheme="minorHAnsi"/>
                <w:szCs w:val="20"/>
              </w:rPr>
            </w:pPr>
            <w:r w:rsidRPr="002F5864">
              <w:rPr>
                <w:rFonts w:cstheme="minorHAnsi"/>
                <w:szCs w:val="20"/>
              </w:rPr>
              <w:t>17.5</w:t>
            </w:r>
          </w:p>
        </w:tc>
      </w:tr>
      <w:tr w:rsidR="00961617" w:rsidRPr="002F5864" w14:paraId="0097F295"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2415BCA5"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Assessed stream: Stream 4</w:t>
            </w:r>
          </w:p>
        </w:tc>
        <w:tc>
          <w:tcPr>
            <w:tcW w:w="638" w:type="pct"/>
            <w:tcBorders>
              <w:top w:val="nil"/>
              <w:left w:val="nil"/>
              <w:bottom w:val="nil"/>
              <w:right w:val="nil"/>
            </w:tcBorders>
            <w:shd w:val="clear" w:color="auto" w:fill="FFFFFF" w:themeFill="background2"/>
            <w:vAlign w:val="center"/>
          </w:tcPr>
          <w:p w14:paraId="70F2D55D" w14:textId="77777777" w:rsidR="00961617" w:rsidRPr="002F5864" w:rsidRDefault="00961617" w:rsidP="0020771F">
            <w:pPr>
              <w:pStyle w:val="tabletext"/>
              <w:spacing w:after="0"/>
              <w:ind w:right="346"/>
              <w:rPr>
                <w:rFonts w:cstheme="minorHAnsi"/>
                <w:szCs w:val="20"/>
              </w:rPr>
            </w:pPr>
            <w:r w:rsidRPr="002F5864">
              <w:rPr>
                <w:rFonts w:cstheme="minorHAnsi"/>
                <w:szCs w:val="20"/>
              </w:rPr>
              <w:t>24.5</w:t>
            </w:r>
          </w:p>
        </w:tc>
        <w:tc>
          <w:tcPr>
            <w:tcW w:w="636" w:type="pct"/>
            <w:tcBorders>
              <w:top w:val="nil"/>
              <w:left w:val="nil"/>
              <w:bottom w:val="nil"/>
              <w:right w:val="nil"/>
            </w:tcBorders>
            <w:shd w:val="clear" w:color="auto" w:fill="FFFFFF" w:themeFill="background2"/>
            <w:vAlign w:val="center"/>
          </w:tcPr>
          <w:p w14:paraId="2EF03F4E" w14:textId="77777777" w:rsidR="00961617" w:rsidRPr="002F5864" w:rsidRDefault="00961617" w:rsidP="0020771F">
            <w:pPr>
              <w:pStyle w:val="tabletext"/>
              <w:spacing w:after="0"/>
              <w:ind w:right="346"/>
              <w:rPr>
                <w:rFonts w:cstheme="minorHAnsi"/>
                <w:szCs w:val="20"/>
              </w:rPr>
            </w:pPr>
            <w:r w:rsidRPr="002F5864">
              <w:rPr>
                <w:rFonts w:cstheme="minorHAnsi"/>
                <w:szCs w:val="20"/>
              </w:rPr>
              <w:t>30.8</w:t>
            </w:r>
          </w:p>
        </w:tc>
        <w:tc>
          <w:tcPr>
            <w:tcW w:w="670" w:type="pct"/>
            <w:gridSpan w:val="2"/>
            <w:tcBorders>
              <w:top w:val="nil"/>
              <w:left w:val="nil"/>
              <w:bottom w:val="nil"/>
              <w:right w:val="nil"/>
            </w:tcBorders>
            <w:shd w:val="clear" w:color="auto" w:fill="FFFFFF" w:themeFill="background2"/>
            <w:vAlign w:val="center"/>
          </w:tcPr>
          <w:p w14:paraId="51B96A2D" w14:textId="77777777" w:rsidR="00961617" w:rsidRPr="002F5864" w:rsidRDefault="00961617" w:rsidP="0020771F">
            <w:pPr>
              <w:pStyle w:val="tabletext"/>
              <w:spacing w:after="0"/>
              <w:ind w:right="346"/>
              <w:rPr>
                <w:rFonts w:cstheme="minorHAnsi"/>
                <w:szCs w:val="20"/>
              </w:rPr>
            </w:pPr>
            <w:r w:rsidRPr="002F5864">
              <w:rPr>
                <w:rFonts w:cstheme="minorHAnsi"/>
                <w:szCs w:val="20"/>
              </w:rPr>
              <w:t>15.3</w:t>
            </w:r>
          </w:p>
        </w:tc>
        <w:tc>
          <w:tcPr>
            <w:tcW w:w="721" w:type="pct"/>
            <w:gridSpan w:val="2"/>
            <w:tcBorders>
              <w:top w:val="nil"/>
              <w:left w:val="nil"/>
              <w:bottom w:val="nil"/>
              <w:right w:val="nil"/>
            </w:tcBorders>
            <w:shd w:val="clear" w:color="auto" w:fill="FFFFFF" w:themeFill="background2"/>
            <w:vAlign w:val="center"/>
          </w:tcPr>
          <w:p w14:paraId="512B2E31" w14:textId="77777777" w:rsidR="00961617" w:rsidRPr="002F5864" w:rsidRDefault="00961617" w:rsidP="0020771F">
            <w:pPr>
              <w:pStyle w:val="tabletext"/>
              <w:spacing w:after="0"/>
              <w:ind w:right="346"/>
              <w:rPr>
                <w:rFonts w:cstheme="minorHAnsi"/>
                <w:szCs w:val="20"/>
              </w:rPr>
            </w:pPr>
            <w:r w:rsidRPr="002F5864">
              <w:rPr>
                <w:rFonts w:cstheme="minorHAnsi"/>
                <w:szCs w:val="20"/>
              </w:rPr>
              <w:t>20.4</w:t>
            </w:r>
          </w:p>
        </w:tc>
      </w:tr>
      <w:tr w:rsidR="00961617" w:rsidRPr="002F5864" w14:paraId="59836CD5"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6041FD5E" w14:textId="77777777" w:rsidR="00961617" w:rsidRPr="002F5864" w:rsidRDefault="00961617" w:rsidP="0020771F">
            <w:pPr>
              <w:pStyle w:val="tabletext"/>
              <w:spacing w:after="0"/>
              <w:ind w:right="180"/>
              <w:jc w:val="left"/>
              <w:rPr>
                <w:rFonts w:cstheme="minorHAnsi"/>
                <w:szCs w:val="20"/>
              </w:rPr>
            </w:pPr>
            <w:r w:rsidRPr="002F5864">
              <w:rPr>
                <w:rFonts w:cstheme="minorHAnsi"/>
                <w:szCs w:val="20"/>
              </w:rPr>
              <w:t xml:space="preserve">Assessed stream: Unable to allocate </w:t>
            </w:r>
          </w:p>
        </w:tc>
        <w:tc>
          <w:tcPr>
            <w:tcW w:w="638" w:type="pct"/>
            <w:tcBorders>
              <w:top w:val="nil"/>
              <w:left w:val="nil"/>
              <w:bottom w:val="nil"/>
              <w:right w:val="nil"/>
            </w:tcBorders>
            <w:shd w:val="clear" w:color="auto" w:fill="E5E5E5" w:themeFill="background1" w:themeFillTint="33"/>
            <w:vAlign w:val="center"/>
          </w:tcPr>
          <w:p w14:paraId="5EA1E4AD" w14:textId="77777777" w:rsidR="00961617" w:rsidRPr="002F5864" w:rsidRDefault="00961617" w:rsidP="0020771F">
            <w:pPr>
              <w:pStyle w:val="tabletext"/>
              <w:spacing w:after="0"/>
              <w:ind w:right="346"/>
              <w:rPr>
                <w:rFonts w:cstheme="minorHAnsi"/>
                <w:szCs w:val="20"/>
              </w:rPr>
            </w:pPr>
            <w:r w:rsidRPr="002F5864">
              <w:rPr>
                <w:rFonts w:cstheme="minorHAnsi"/>
                <w:szCs w:val="20"/>
              </w:rPr>
              <w:t>0.6</w:t>
            </w:r>
          </w:p>
        </w:tc>
        <w:tc>
          <w:tcPr>
            <w:tcW w:w="636" w:type="pct"/>
            <w:tcBorders>
              <w:top w:val="nil"/>
              <w:left w:val="nil"/>
              <w:bottom w:val="nil"/>
              <w:right w:val="nil"/>
            </w:tcBorders>
            <w:shd w:val="clear" w:color="auto" w:fill="E5E5E5" w:themeFill="background1" w:themeFillTint="33"/>
            <w:vAlign w:val="center"/>
          </w:tcPr>
          <w:p w14:paraId="03CEAAE0" w14:textId="77777777" w:rsidR="00961617" w:rsidRPr="002F5864" w:rsidRDefault="00961617" w:rsidP="0020771F">
            <w:pPr>
              <w:pStyle w:val="tabletext"/>
              <w:spacing w:after="0"/>
              <w:ind w:right="346"/>
              <w:rPr>
                <w:rFonts w:cstheme="minorHAnsi"/>
                <w:szCs w:val="20"/>
              </w:rPr>
            </w:pPr>
            <w:r w:rsidRPr="002F5864">
              <w:rPr>
                <w:rFonts w:cstheme="minorHAnsi"/>
                <w:szCs w:val="20"/>
              </w:rPr>
              <w:t>0.1</w:t>
            </w:r>
          </w:p>
        </w:tc>
        <w:tc>
          <w:tcPr>
            <w:tcW w:w="670" w:type="pct"/>
            <w:gridSpan w:val="2"/>
            <w:tcBorders>
              <w:top w:val="nil"/>
              <w:left w:val="nil"/>
              <w:bottom w:val="nil"/>
              <w:right w:val="nil"/>
            </w:tcBorders>
            <w:shd w:val="clear" w:color="auto" w:fill="E5E5E5" w:themeFill="background1" w:themeFillTint="33"/>
            <w:vAlign w:val="center"/>
          </w:tcPr>
          <w:p w14:paraId="2A7E07AD" w14:textId="77777777" w:rsidR="00961617" w:rsidRPr="002F5864" w:rsidRDefault="00961617" w:rsidP="0020771F">
            <w:pPr>
              <w:pStyle w:val="tabletext"/>
              <w:spacing w:after="0"/>
              <w:ind w:right="346"/>
              <w:rPr>
                <w:rFonts w:cstheme="minorHAnsi"/>
                <w:szCs w:val="20"/>
              </w:rPr>
            </w:pPr>
            <w:r w:rsidRPr="002F5864">
              <w:rPr>
                <w:rFonts w:cstheme="minorHAnsi"/>
                <w:szCs w:val="20"/>
              </w:rPr>
              <w:t>0.7</w:t>
            </w:r>
          </w:p>
        </w:tc>
        <w:tc>
          <w:tcPr>
            <w:tcW w:w="721" w:type="pct"/>
            <w:gridSpan w:val="2"/>
            <w:tcBorders>
              <w:top w:val="nil"/>
              <w:left w:val="nil"/>
              <w:bottom w:val="nil"/>
              <w:right w:val="nil"/>
            </w:tcBorders>
            <w:shd w:val="clear" w:color="auto" w:fill="E5E5E5" w:themeFill="background1" w:themeFillTint="33"/>
            <w:vAlign w:val="center"/>
          </w:tcPr>
          <w:p w14:paraId="3FF94972" w14:textId="77777777" w:rsidR="00961617" w:rsidRPr="002F5864" w:rsidRDefault="00961617" w:rsidP="0020771F">
            <w:pPr>
              <w:pStyle w:val="tabletext"/>
              <w:spacing w:after="0"/>
              <w:ind w:right="346"/>
              <w:rPr>
                <w:rFonts w:cstheme="minorHAnsi"/>
                <w:szCs w:val="20"/>
              </w:rPr>
            </w:pPr>
            <w:r w:rsidRPr="002F5864">
              <w:rPr>
                <w:rFonts w:cstheme="minorHAnsi"/>
                <w:szCs w:val="20"/>
              </w:rPr>
              <w:t>0.1</w:t>
            </w:r>
          </w:p>
        </w:tc>
      </w:tr>
      <w:tr w:rsidR="00961617" w:rsidRPr="002F5864" w14:paraId="50DCE34D"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21F32017"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Stream 1 Limited</w:t>
            </w:r>
          </w:p>
        </w:tc>
        <w:tc>
          <w:tcPr>
            <w:tcW w:w="638" w:type="pct"/>
            <w:tcBorders>
              <w:top w:val="nil"/>
              <w:left w:val="nil"/>
              <w:bottom w:val="nil"/>
              <w:right w:val="nil"/>
            </w:tcBorders>
            <w:shd w:val="clear" w:color="auto" w:fill="FFFFFF" w:themeFill="background2"/>
            <w:vAlign w:val="center"/>
          </w:tcPr>
          <w:p w14:paraId="0722DDBD" w14:textId="77777777" w:rsidR="00961617" w:rsidRPr="002F5864" w:rsidRDefault="00961617" w:rsidP="0020771F">
            <w:pPr>
              <w:pStyle w:val="tabletext"/>
              <w:spacing w:after="0"/>
              <w:ind w:right="346"/>
              <w:rPr>
                <w:rFonts w:cstheme="minorHAnsi"/>
                <w:szCs w:val="20"/>
              </w:rPr>
            </w:pPr>
            <w:r w:rsidRPr="002F5864">
              <w:rPr>
                <w:rFonts w:cstheme="minorHAnsi"/>
                <w:szCs w:val="20"/>
              </w:rPr>
              <w:t>0.3</w:t>
            </w:r>
          </w:p>
        </w:tc>
        <w:tc>
          <w:tcPr>
            <w:tcW w:w="636" w:type="pct"/>
            <w:tcBorders>
              <w:top w:val="nil"/>
              <w:left w:val="nil"/>
              <w:bottom w:val="nil"/>
              <w:right w:val="nil"/>
            </w:tcBorders>
            <w:shd w:val="clear" w:color="auto" w:fill="FFFFFF" w:themeFill="background2"/>
            <w:vAlign w:val="center"/>
          </w:tcPr>
          <w:p w14:paraId="5FA144CB" w14:textId="77777777" w:rsidR="00961617" w:rsidRPr="002F5864" w:rsidRDefault="00961617" w:rsidP="0020771F">
            <w:pPr>
              <w:pStyle w:val="tabletext"/>
              <w:spacing w:after="0"/>
              <w:ind w:right="346"/>
              <w:rPr>
                <w:rFonts w:cstheme="minorHAnsi"/>
                <w:szCs w:val="20"/>
              </w:rPr>
            </w:pPr>
            <w:r w:rsidRPr="002F5864">
              <w:rPr>
                <w:rFonts w:cstheme="minorHAnsi"/>
                <w:szCs w:val="20"/>
              </w:rPr>
              <w:t>0.5</w:t>
            </w:r>
          </w:p>
        </w:tc>
        <w:tc>
          <w:tcPr>
            <w:tcW w:w="670" w:type="pct"/>
            <w:gridSpan w:val="2"/>
            <w:tcBorders>
              <w:top w:val="nil"/>
              <w:left w:val="nil"/>
              <w:bottom w:val="nil"/>
              <w:right w:val="nil"/>
            </w:tcBorders>
            <w:shd w:val="clear" w:color="auto" w:fill="FFFFFF" w:themeFill="background2"/>
            <w:vAlign w:val="center"/>
          </w:tcPr>
          <w:p w14:paraId="48D9153C" w14:textId="77777777" w:rsidR="00961617" w:rsidRPr="002F5864" w:rsidRDefault="00961617" w:rsidP="0020771F">
            <w:pPr>
              <w:pStyle w:val="tabletext"/>
              <w:spacing w:after="0"/>
              <w:ind w:right="346"/>
              <w:rPr>
                <w:rFonts w:cstheme="minorHAnsi"/>
                <w:szCs w:val="20"/>
              </w:rPr>
            </w:pPr>
            <w:r w:rsidRPr="002F5864">
              <w:rPr>
                <w:rFonts w:cstheme="minorHAnsi"/>
                <w:szCs w:val="20"/>
              </w:rPr>
              <w:t>4.0</w:t>
            </w:r>
          </w:p>
        </w:tc>
        <w:tc>
          <w:tcPr>
            <w:tcW w:w="721" w:type="pct"/>
            <w:gridSpan w:val="2"/>
            <w:tcBorders>
              <w:top w:val="nil"/>
              <w:left w:val="nil"/>
              <w:bottom w:val="nil"/>
              <w:right w:val="nil"/>
            </w:tcBorders>
            <w:shd w:val="clear" w:color="auto" w:fill="FFFFFF" w:themeFill="background2"/>
            <w:vAlign w:val="center"/>
          </w:tcPr>
          <w:p w14:paraId="4B107171" w14:textId="77777777" w:rsidR="00961617" w:rsidRPr="002F5864" w:rsidRDefault="00961617" w:rsidP="0020771F">
            <w:pPr>
              <w:pStyle w:val="tabletext"/>
              <w:spacing w:after="0"/>
              <w:ind w:right="346"/>
              <w:rPr>
                <w:rFonts w:cstheme="minorHAnsi"/>
                <w:szCs w:val="20"/>
              </w:rPr>
            </w:pPr>
            <w:r w:rsidRPr="002F5864">
              <w:rPr>
                <w:rFonts w:cstheme="minorHAnsi"/>
                <w:szCs w:val="20"/>
              </w:rPr>
              <w:t>2.9</w:t>
            </w:r>
          </w:p>
        </w:tc>
      </w:tr>
      <w:tr w:rsidR="00961617" w:rsidRPr="002F5864" w14:paraId="5FDB535F"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4508E65A"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Stream 1</w:t>
            </w:r>
          </w:p>
        </w:tc>
        <w:tc>
          <w:tcPr>
            <w:tcW w:w="638" w:type="pct"/>
            <w:tcBorders>
              <w:top w:val="nil"/>
              <w:left w:val="nil"/>
              <w:bottom w:val="nil"/>
              <w:right w:val="nil"/>
            </w:tcBorders>
            <w:shd w:val="clear" w:color="auto" w:fill="E5E5E5" w:themeFill="background1" w:themeFillTint="33"/>
            <w:vAlign w:val="center"/>
          </w:tcPr>
          <w:p w14:paraId="0179DB53" w14:textId="77777777" w:rsidR="00961617" w:rsidRPr="002F5864" w:rsidRDefault="00961617" w:rsidP="0020771F">
            <w:pPr>
              <w:pStyle w:val="tabletext"/>
              <w:spacing w:after="0"/>
              <w:ind w:right="346"/>
              <w:rPr>
                <w:rFonts w:cstheme="minorHAnsi"/>
                <w:szCs w:val="20"/>
              </w:rPr>
            </w:pPr>
            <w:r w:rsidRPr="002F5864">
              <w:rPr>
                <w:rFonts w:cstheme="minorHAnsi"/>
                <w:szCs w:val="20"/>
              </w:rPr>
              <w:t>15.8</w:t>
            </w:r>
          </w:p>
        </w:tc>
        <w:tc>
          <w:tcPr>
            <w:tcW w:w="636" w:type="pct"/>
            <w:tcBorders>
              <w:top w:val="nil"/>
              <w:left w:val="nil"/>
              <w:bottom w:val="nil"/>
              <w:right w:val="nil"/>
            </w:tcBorders>
            <w:shd w:val="clear" w:color="auto" w:fill="E5E5E5" w:themeFill="background1" w:themeFillTint="33"/>
            <w:vAlign w:val="center"/>
          </w:tcPr>
          <w:p w14:paraId="3ADF9D59" w14:textId="77777777" w:rsidR="00961617" w:rsidRPr="002F5864" w:rsidRDefault="00961617" w:rsidP="0020771F">
            <w:pPr>
              <w:pStyle w:val="tabletext"/>
              <w:spacing w:after="0"/>
              <w:ind w:right="346"/>
              <w:rPr>
                <w:rFonts w:cstheme="minorHAnsi"/>
                <w:szCs w:val="20"/>
              </w:rPr>
            </w:pPr>
            <w:r w:rsidRPr="002F5864">
              <w:rPr>
                <w:rFonts w:cstheme="minorHAnsi"/>
                <w:szCs w:val="20"/>
              </w:rPr>
              <w:t>12</w:t>
            </w:r>
          </w:p>
        </w:tc>
        <w:tc>
          <w:tcPr>
            <w:tcW w:w="670" w:type="pct"/>
            <w:gridSpan w:val="2"/>
            <w:tcBorders>
              <w:top w:val="nil"/>
              <w:left w:val="nil"/>
              <w:bottom w:val="nil"/>
              <w:right w:val="nil"/>
            </w:tcBorders>
            <w:shd w:val="clear" w:color="auto" w:fill="E5E5E5" w:themeFill="background1" w:themeFillTint="33"/>
            <w:vAlign w:val="center"/>
          </w:tcPr>
          <w:p w14:paraId="2FA440E4" w14:textId="77777777" w:rsidR="00961617" w:rsidRPr="002F5864" w:rsidRDefault="00961617" w:rsidP="0020771F">
            <w:pPr>
              <w:pStyle w:val="tabletext"/>
              <w:spacing w:after="0"/>
              <w:ind w:right="346"/>
              <w:rPr>
                <w:rFonts w:cstheme="minorHAnsi"/>
                <w:szCs w:val="20"/>
              </w:rPr>
            </w:pPr>
            <w:r w:rsidRPr="002F5864">
              <w:rPr>
                <w:rFonts w:cstheme="minorHAnsi"/>
                <w:szCs w:val="20"/>
              </w:rPr>
              <w:t>28.1</w:t>
            </w:r>
          </w:p>
        </w:tc>
        <w:tc>
          <w:tcPr>
            <w:tcW w:w="721" w:type="pct"/>
            <w:gridSpan w:val="2"/>
            <w:tcBorders>
              <w:top w:val="nil"/>
              <w:left w:val="nil"/>
              <w:bottom w:val="nil"/>
              <w:right w:val="nil"/>
            </w:tcBorders>
            <w:shd w:val="clear" w:color="auto" w:fill="E5E5E5" w:themeFill="background1" w:themeFillTint="33"/>
            <w:vAlign w:val="center"/>
          </w:tcPr>
          <w:p w14:paraId="4B5A3CCD" w14:textId="77777777" w:rsidR="00961617" w:rsidRPr="002F5864" w:rsidRDefault="00961617" w:rsidP="0020771F">
            <w:pPr>
              <w:pStyle w:val="tabletext"/>
              <w:spacing w:after="0"/>
              <w:ind w:right="346"/>
              <w:rPr>
                <w:rFonts w:cstheme="minorHAnsi"/>
                <w:szCs w:val="20"/>
              </w:rPr>
            </w:pPr>
            <w:r w:rsidRPr="002F5864">
              <w:rPr>
                <w:rFonts w:cstheme="minorHAnsi"/>
                <w:szCs w:val="20"/>
              </w:rPr>
              <w:t>31.0</w:t>
            </w:r>
          </w:p>
        </w:tc>
      </w:tr>
      <w:tr w:rsidR="00961617" w:rsidRPr="002F5864" w14:paraId="55E6F7B6"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7C1A479D"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Stream 2</w:t>
            </w:r>
          </w:p>
        </w:tc>
        <w:tc>
          <w:tcPr>
            <w:tcW w:w="638" w:type="pct"/>
            <w:tcBorders>
              <w:top w:val="nil"/>
              <w:left w:val="nil"/>
              <w:bottom w:val="nil"/>
              <w:right w:val="nil"/>
            </w:tcBorders>
            <w:shd w:val="clear" w:color="auto" w:fill="FFFFFF" w:themeFill="background2"/>
            <w:vAlign w:val="center"/>
          </w:tcPr>
          <w:p w14:paraId="173A45A7" w14:textId="77777777" w:rsidR="00961617" w:rsidRPr="002F5864" w:rsidRDefault="00961617" w:rsidP="0020771F">
            <w:pPr>
              <w:pStyle w:val="tabletext"/>
              <w:spacing w:after="0"/>
              <w:ind w:right="346"/>
              <w:rPr>
                <w:rFonts w:cstheme="minorHAnsi"/>
                <w:szCs w:val="20"/>
              </w:rPr>
            </w:pPr>
            <w:r w:rsidRPr="002F5864">
              <w:rPr>
                <w:rFonts w:cstheme="minorHAnsi"/>
                <w:szCs w:val="20"/>
              </w:rPr>
              <w:t>22.9</w:t>
            </w:r>
          </w:p>
        </w:tc>
        <w:tc>
          <w:tcPr>
            <w:tcW w:w="636" w:type="pct"/>
            <w:tcBorders>
              <w:top w:val="nil"/>
              <w:left w:val="nil"/>
              <w:bottom w:val="nil"/>
              <w:right w:val="nil"/>
            </w:tcBorders>
            <w:shd w:val="clear" w:color="auto" w:fill="FFFFFF" w:themeFill="background2"/>
            <w:vAlign w:val="center"/>
          </w:tcPr>
          <w:p w14:paraId="318ED5A3" w14:textId="77777777" w:rsidR="00961617" w:rsidRPr="002F5864" w:rsidRDefault="00961617" w:rsidP="0020771F">
            <w:pPr>
              <w:pStyle w:val="tabletext"/>
              <w:spacing w:after="0"/>
              <w:ind w:right="346"/>
              <w:rPr>
                <w:rFonts w:cstheme="minorHAnsi"/>
                <w:szCs w:val="20"/>
              </w:rPr>
            </w:pPr>
            <w:r w:rsidRPr="002F5864">
              <w:rPr>
                <w:rFonts w:cstheme="minorHAnsi"/>
                <w:szCs w:val="20"/>
              </w:rPr>
              <w:t>26.2</w:t>
            </w:r>
          </w:p>
        </w:tc>
        <w:tc>
          <w:tcPr>
            <w:tcW w:w="670" w:type="pct"/>
            <w:gridSpan w:val="2"/>
            <w:tcBorders>
              <w:top w:val="nil"/>
              <w:left w:val="nil"/>
              <w:bottom w:val="nil"/>
              <w:right w:val="nil"/>
            </w:tcBorders>
            <w:shd w:val="clear" w:color="auto" w:fill="FFFFFF" w:themeFill="background2"/>
            <w:vAlign w:val="center"/>
          </w:tcPr>
          <w:p w14:paraId="4FA68A02" w14:textId="77777777" w:rsidR="00961617" w:rsidRPr="002F5864" w:rsidRDefault="00961617" w:rsidP="0020771F">
            <w:pPr>
              <w:pStyle w:val="tabletext"/>
              <w:spacing w:after="0"/>
              <w:ind w:right="346"/>
              <w:rPr>
                <w:rFonts w:cstheme="minorHAnsi"/>
                <w:szCs w:val="20"/>
              </w:rPr>
            </w:pPr>
            <w:r w:rsidRPr="002F5864">
              <w:rPr>
                <w:rFonts w:cstheme="minorHAnsi"/>
                <w:szCs w:val="20"/>
              </w:rPr>
              <w:t>30.4</w:t>
            </w:r>
          </w:p>
        </w:tc>
        <w:tc>
          <w:tcPr>
            <w:tcW w:w="721" w:type="pct"/>
            <w:gridSpan w:val="2"/>
            <w:tcBorders>
              <w:top w:val="nil"/>
              <w:left w:val="nil"/>
              <w:bottom w:val="nil"/>
              <w:right w:val="nil"/>
            </w:tcBorders>
            <w:shd w:val="clear" w:color="auto" w:fill="FFFFFF" w:themeFill="background2"/>
            <w:vAlign w:val="center"/>
          </w:tcPr>
          <w:p w14:paraId="4309469E" w14:textId="77777777" w:rsidR="00961617" w:rsidRPr="002F5864" w:rsidRDefault="00961617" w:rsidP="0020771F">
            <w:pPr>
              <w:pStyle w:val="tabletext"/>
              <w:spacing w:after="0"/>
              <w:ind w:right="346"/>
              <w:rPr>
                <w:rFonts w:cstheme="minorHAnsi"/>
                <w:szCs w:val="20"/>
              </w:rPr>
            </w:pPr>
            <w:r w:rsidRPr="002F5864">
              <w:rPr>
                <w:rFonts w:cstheme="minorHAnsi"/>
                <w:szCs w:val="20"/>
              </w:rPr>
              <w:t>25.7</w:t>
            </w:r>
          </w:p>
        </w:tc>
      </w:tr>
      <w:tr w:rsidR="00961617" w:rsidRPr="002F5864" w14:paraId="1900504D"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18B9D291"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Stream 3</w:t>
            </w:r>
          </w:p>
        </w:tc>
        <w:tc>
          <w:tcPr>
            <w:tcW w:w="638" w:type="pct"/>
            <w:tcBorders>
              <w:top w:val="nil"/>
              <w:left w:val="nil"/>
              <w:bottom w:val="nil"/>
              <w:right w:val="nil"/>
            </w:tcBorders>
            <w:shd w:val="clear" w:color="auto" w:fill="E5E5E5" w:themeFill="background1" w:themeFillTint="33"/>
            <w:vAlign w:val="center"/>
          </w:tcPr>
          <w:p w14:paraId="2BCFC929" w14:textId="77777777" w:rsidR="00961617" w:rsidRPr="002F5864" w:rsidRDefault="00961617" w:rsidP="0020771F">
            <w:pPr>
              <w:pStyle w:val="tabletext"/>
              <w:spacing w:after="0"/>
              <w:ind w:right="346"/>
              <w:rPr>
                <w:rFonts w:cstheme="minorHAnsi"/>
                <w:szCs w:val="20"/>
              </w:rPr>
            </w:pPr>
            <w:r w:rsidRPr="002F5864">
              <w:rPr>
                <w:rFonts w:cstheme="minorHAnsi"/>
                <w:szCs w:val="20"/>
              </w:rPr>
              <w:t>36.7</w:t>
            </w:r>
          </w:p>
        </w:tc>
        <w:tc>
          <w:tcPr>
            <w:tcW w:w="636" w:type="pct"/>
            <w:tcBorders>
              <w:top w:val="nil"/>
              <w:left w:val="nil"/>
              <w:bottom w:val="nil"/>
              <w:right w:val="nil"/>
            </w:tcBorders>
            <w:shd w:val="clear" w:color="auto" w:fill="E5E5E5" w:themeFill="background1" w:themeFillTint="33"/>
            <w:vAlign w:val="center"/>
          </w:tcPr>
          <w:p w14:paraId="5D65047B" w14:textId="77777777" w:rsidR="00961617" w:rsidRPr="002F5864" w:rsidRDefault="00961617" w:rsidP="0020771F">
            <w:pPr>
              <w:pStyle w:val="tabletext"/>
              <w:spacing w:after="0"/>
              <w:ind w:right="346"/>
              <w:rPr>
                <w:rFonts w:cstheme="minorHAnsi"/>
                <w:szCs w:val="20"/>
              </w:rPr>
            </w:pPr>
            <w:r w:rsidRPr="002F5864">
              <w:rPr>
                <w:rFonts w:cstheme="minorHAnsi"/>
                <w:szCs w:val="20"/>
              </w:rPr>
              <w:t>30.5</w:t>
            </w:r>
          </w:p>
        </w:tc>
        <w:tc>
          <w:tcPr>
            <w:tcW w:w="670" w:type="pct"/>
            <w:gridSpan w:val="2"/>
            <w:tcBorders>
              <w:top w:val="nil"/>
              <w:left w:val="nil"/>
              <w:bottom w:val="nil"/>
              <w:right w:val="nil"/>
            </w:tcBorders>
            <w:shd w:val="clear" w:color="auto" w:fill="E5E5E5" w:themeFill="background1" w:themeFillTint="33"/>
            <w:vAlign w:val="center"/>
          </w:tcPr>
          <w:p w14:paraId="0769D3AE" w14:textId="77777777" w:rsidR="00961617" w:rsidRPr="002F5864" w:rsidRDefault="00961617" w:rsidP="0020771F">
            <w:pPr>
              <w:pStyle w:val="tabletext"/>
              <w:spacing w:after="0"/>
              <w:ind w:right="346"/>
              <w:rPr>
                <w:rFonts w:cstheme="minorHAnsi"/>
                <w:szCs w:val="20"/>
              </w:rPr>
            </w:pPr>
            <w:r w:rsidRPr="002F5864">
              <w:rPr>
                <w:rFonts w:cstheme="minorHAnsi"/>
                <w:szCs w:val="20"/>
              </w:rPr>
              <w:t>22.1</w:t>
            </w:r>
          </w:p>
        </w:tc>
        <w:tc>
          <w:tcPr>
            <w:tcW w:w="721" w:type="pct"/>
            <w:gridSpan w:val="2"/>
            <w:tcBorders>
              <w:top w:val="nil"/>
              <w:left w:val="nil"/>
              <w:bottom w:val="nil"/>
              <w:right w:val="nil"/>
            </w:tcBorders>
            <w:shd w:val="clear" w:color="auto" w:fill="E5E5E5" w:themeFill="background1" w:themeFillTint="33"/>
            <w:vAlign w:val="center"/>
          </w:tcPr>
          <w:p w14:paraId="01EA6A65" w14:textId="77777777" w:rsidR="00961617" w:rsidRPr="002F5864" w:rsidRDefault="00961617" w:rsidP="0020771F">
            <w:pPr>
              <w:pStyle w:val="tabletext"/>
              <w:spacing w:after="0"/>
              <w:ind w:right="346"/>
              <w:rPr>
                <w:rFonts w:cstheme="minorHAnsi"/>
                <w:szCs w:val="20"/>
              </w:rPr>
            </w:pPr>
            <w:r w:rsidRPr="002F5864">
              <w:rPr>
                <w:rFonts w:cstheme="minorHAnsi"/>
                <w:szCs w:val="20"/>
              </w:rPr>
              <w:t>19.9</w:t>
            </w:r>
          </w:p>
        </w:tc>
      </w:tr>
      <w:tr w:rsidR="00961617" w:rsidRPr="002F5864" w14:paraId="6E37EA60"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3C1568E0"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Stream 4</w:t>
            </w:r>
          </w:p>
        </w:tc>
        <w:tc>
          <w:tcPr>
            <w:tcW w:w="638" w:type="pct"/>
            <w:tcBorders>
              <w:top w:val="nil"/>
              <w:left w:val="nil"/>
              <w:bottom w:val="nil"/>
              <w:right w:val="nil"/>
            </w:tcBorders>
            <w:shd w:val="clear" w:color="auto" w:fill="FFFFFF" w:themeFill="background2"/>
            <w:vAlign w:val="center"/>
          </w:tcPr>
          <w:p w14:paraId="1C652E1F" w14:textId="77777777" w:rsidR="00961617" w:rsidRPr="002F5864" w:rsidRDefault="00961617" w:rsidP="0020771F">
            <w:pPr>
              <w:pStyle w:val="tabletext"/>
              <w:spacing w:after="0"/>
              <w:ind w:right="346"/>
              <w:rPr>
                <w:rFonts w:cstheme="minorHAnsi"/>
                <w:szCs w:val="20"/>
              </w:rPr>
            </w:pPr>
            <w:r w:rsidRPr="002F5864">
              <w:rPr>
                <w:rFonts w:cstheme="minorHAnsi"/>
                <w:szCs w:val="20"/>
              </w:rPr>
              <w:t>24.3</w:t>
            </w:r>
          </w:p>
        </w:tc>
        <w:tc>
          <w:tcPr>
            <w:tcW w:w="636" w:type="pct"/>
            <w:tcBorders>
              <w:top w:val="nil"/>
              <w:left w:val="nil"/>
              <w:bottom w:val="nil"/>
              <w:right w:val="nil"/>
            </w:tcBorders>
            <w:shd w:val="clear" w:color="auto" w:fill="FFFFFF" w:themeFill="background2"/>
            <w:vAlign w:val="center"/>
          </w:tcPr>
          <w:p w14:paraId="70A71F72" w14:textId="77777777" w:rsidR="00961617" w:rsidRPr="002F5864" w:rsidRDefault="00961617" w:rsidP="0020771F">
            <w:pPr>
              <w:pStyle w:val="tabletext"/>
              <w:spacing w:after="0"/>
              <w:ind w:right="346"/>
              <w:rPr>
                <w:rFonts w:cstheme="minorHAnsi"/>
                <w:szCs w:val="20"/>
              </w:rPr>
            </w:pPr>
            <w:r w:rsidRPr="002F5864">
              <w:rPr>
                <w:rFonts w:cstheme="minorHAnsi"/>
                <w:szCs w:val="20"/>
              </w:rPr>
              <w:t>30.8</w:t>
            </w:r>
          </w:p>
        </w:tc>
        <w:tc>
          <w:tcPr>
            <w:tcW w:w="670" w:type="pct"/>
            <w:gridSpan w:val="2"/>
            <w:tcBorders>
              <w:top w:val="nil"/>
              <w:left w:val="nil"/>
              <w:bottom w:val="nil"/>
              <w:right w:val="nil"/>
            </w:tcBorders>
            <w:shd w:val="clear" w:color="auto" w:fill="FFFFFF" w:themeFill="background2"/>
            <w:vAlign w:val="center"/>
          </w:tcPr>
          <w:p w14:paraId="566E3D7E" w14:textId="77777777" w:rsidR="00961617" w:rsidRPr="002F5864" w:rsidRDefault="00961617" w:rsidP="0020771F">
            <w:pPr>
              <w:pStyle w:val="tabletext"/>
              <w:spacing w:after="0"/>
              <w:ind w:right="346"/>
              <w:rPr>
                <w:rFonts w:cstheme="minorHAnsi"/>
                <w:szCs w:val="20"/>
              </w:rPr>
            </w:pPr>
            <w:r w:rsidRPr="002F5864">
              <w:rPr>
                <w:rFonts w:cstheme="minorHAnsi"/>
                <w:szCs w:val="20"/>
              </w:rPr>
              <w:t>15.3</w:t>
            </w:r>
          </w:p>
        </w:tc>
        <w:tc>
          <w:tcPr>
            <w:tcW w:w="721" w:type="pct"/>
            <w:gridSpan w:val="2"/>
            <w:tcBorders>
              <w:top w:val="nil"/>
              <w:left w:val="nil"/>
              <w:bottom w:val="nil"/>
              <w:right w:val="nil"/>
            </w:tcBorders>
            <w:shd w:val="clear" w:color="auto" w:fill="FFFFFF" w:themeFill="background2"/>
            <w:vAlign w:val="center"/>
          </w:tcPr>
          <w:p w14:paraId="5E39E5F6" w14:textId="77777777" w:rsidR="00961617" w:rsidRPr="002F5864" w:rsidRDefault="00961617" w:rsidP="0020771F">
            <w:pPr>
              <w:pStyle w:val="tabletext"/>
              <w:spacing w:after="0"/>
              <w:ind w:right="346"/>
              <w:rPr>
                <w:rFonts w:cstheme="minorHAnsi"/>
                <w:szCs w:val="20"/>
              </w:rPr>
            </w:pPr>
            <w:r w:rsidRPr="002F5864">
              <w:rPr>
                <w:rFonts w:cstheme="minorHAnsi"/>
                <w:szCs w:val="20"/>
              </w:rPr>
              <w:t>20.4</w:t>
            </w:r>
          </w:p>
        </w:tc>
      </w:tr>
      <w:tr w:rsidR="00961617" w:rsidRPr="002F5864" w14:paraId="250A1B5D"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7227672C"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Actual stream: Unable to allocate</w:t>
            </w:r>
          </w:p>
        </w:tc>
        <w:tc>
          <w:tcPr>
            <w:tcW w:w="638" w:type="pct"/>
            <w:tcBorders>
              <w:top w:val="nil"/>
              <w:left w:val="nil"/>
              <w:bottom w:val="nil"/>
              <w:right w:val="nil"/>
            </w:tcBorders>
            <w:shd w:val="clear" w:color="auto" w:fill="E5E5E5" w:themeFill="background1" w:themeFillTint="33"/>
            <w:vAlign w:val="center"/>
          </w:tcPr>
          <w:p w14:paraId="6CADFE64" w14:textId="77777777" w:rsidR="00961617" w:rsidRPr="002F5864" w:rsidRDefault="00961617" w:rsidP="0020771F">
            <w:pPr>
              <w:pStyle w:val="tabletext"/>
              <w:spacing w:after="0"/>
              <w:ind w:right="346"/>
              <w:rPr>
                <w:rFonts w:cstheme="minorHAnsi"/>
                <w:szCs w:val="20"/>
              </w:rPr>
            </w:pPr>
            <w:r w:rsidRPr="002F5864">
              <w:rPr>
                <w:rFonts w:cstheme="minorHAnsi"/>
                <w:szCs w:val="20"/>
              </w:rPr>
              <w:t>0.0</w:t>
            </w:r>
          </w:p>
        </w:tc>
        <w:tc>
          <w:tcPr>
            <w:tcW w:w="636" w:type="pct"/>
            <w:tcBorders>
              <w:top w:val="nil"/>
              <w:left w:val="nil"/>
              <w:bottom w:val="nil"/>
              <w:right w:val="nil"/>
            </w:tcBorders>
            <w:shd w:val="clear" w:color="auto" w:fill="E5E5E5" w:themeFill="background1" w:themeFillTint="33"/>
            <w:vAlign w:val="center"/>
          </w:tcPr>
          <w:p w14:paraId="6A052275" w14:textId="77777777" w:rsidR="00961617" w:rsidRPr="002F5864" w:rsidRDefault="00961617" w:rsidP="0020771F">
            <w:pPr>
              <w:pStyle w:val="tabletext"/>
              <w:spacing w:after="0"/>
              <w:ind w:right="346"/>
              <w:rPr>
                <w:rFonts w:cstheme="minorHAnsi"/>
                <w:szCs w:val="20"/>
              </w:rPr>
            </w:pPr>
            <w:r w:rsidRPr="002F5864">
              <w:rPr>
                <w:rFonts w:cstheme="minorHAnsi"/>
                <w:szCs w:val="20"/>
              </w:rPr>
              <w:t>0.1</w:t>
            </w:r>
          </w:p>
        </w:tc>
        <w:tc>
          <w:tcPr>
            <w:tcW w:w="670" w:type="pct"/>
            <w:gridSpan w:val="2"/>
            <w:tcBorders>
              <w:top w:val="nil"/>
              <w:left w:val="nil"/>
              <w:bottom w:val="nil"/>
              <w:right w:val="nil"/>
            </w:tcBorders>
            <w:shd w:val="clear" w:color="auto" w:fill="E5E5E5" w:themeFill="background1" w:themeFillTint="33"/>
            <w:vAlign w:val="center"/>
          </w:tcPr>
          <w:p w14:paraId="6207E481" w14:textId="77777777" w:rsidR="00961617" w:rsidRPr="002F5864" w:rsidRDefault="00961617" w:rsidP="0020771F">
            <w:pPr>
              <w:pStyle w:val="tabletext"/>
              <w:spacing w:after="0"/>
              <w:ind w:right="346"/>
              <w:rPr>
                <w:rFonts w:cstheme="minorHAnsi"/>
                <w:szCs w:val="20"/>
              </w:rPr>
            </w:pPr>
            <w:r w:rsidRPr="002F5864">
              <w:rPr>
                <w:rFonts w:cstheme="minorHAnsi"/>
                <w:szCs w:val="20"/>
              </w:rPr>
              <w:t>0.1</w:t>
            </w:r>
          </w:p>
        </w:tc>
        <w:tc>
          <w:tcPr>
            <w:tcW w:w="721" w:type="pct"/>
            <w:gridSpan w:val="2"/>
            <w:tcBorders>
              <w:top w:val="nil"/>
              <w:left w:val="nil"/>
              <w:bottom w:val="nil"/>
              <w:right w:val="nil"/>
            </w:tcBorders>
            <w:shd w:val="clear" w:color="auto" w:fill="E5E5E5" w:themeFill="background1" w:themeFillTint="33"/>
            <w:vAlign w:val="center"/>
          </w:tcPr>
          <w:p w14:paraId="63D60852" w14:textId="77777777" w:rsidR="00961617" w:rsidRPr="002F5864" w:rsidRDefault="00961617" w:rsidP="0020771F">
            <w:pPr>
              <w:pStyle w:val="tabletext"/>
              <w:spacing w:after="0"/>
              <w:ind w:right="346"/>
              <w:rPr>
                <w:rFonts w:cstheme="minorHAnsi"/>
                <w:szCs w:val="20"/>
              </w:rPr>
            </w:pPr>
            <w:r w:rsidRPr="002F5864">
              <w:rPr>
                <w:rFonts w:cstheme="minorHAnsi"/>
                <w:szCs w:val="20"/>
              </w:rPr>
              <w:t>0.1</w:t>
            </w:r>
          </w:p>
        </w:tc>
      </w:tr>
      <w:tr w:rsidR="00961617" w:rsidRPr="002F5864" w14:paraId="40EB9B68"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0FC89601"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less than  25 years old</w:t>
            </w:r>
          </w:p>
        </w:tc>
        <w:tc>
          <w:tcPr>
            <w:tcW w:w="638" w:type="pct"/>
            <w:tcBorders>
              <w:top w:val="nil"/>
              <w:left w:val="nil"/>
              <w:bottom w:val="nil"/>
              <w:right w:val="nil"/>
            </w:tcBorders>
            <w:shd w:val="clear" w:color="auto" w:fill="FFFFFF" w:themeFill="background2"/>
            <w:vAlign w:val="center"/>
          </w:tcPr>
          <w:p w14:paraId="1D2F6853" w14:textId="77777777" w:rsidR="00961617" w:rsidRPr="002F5864" w:rsidRDefault="00961617" w:rsidP="0020771F">
            <w:pPr>
              <w:pStyle w:val="tabletext"/>
              <w:spacing w:after="0"/>
              <w:ind w:right="346"/>
              <w:rPr>
                <w:rFonts w:cstheme="minorHAnsi"/>
                <w:szCs w:val="20"/>
              </w:rPr>
            </w:pPr>
            <w:r w:rsidRPr="002F5864">
              <w:rPr>
                <w:rFonts w:cstheme="minorHAnsi"/>
                <w:szCs w:val="20"/>
              </w:rPr>
              <w:t>13.6</w:t>
            </w:r>
          </w:p>
        </w:tc>
        <w:tc>
          <w:tcPr>
            <w:tcW w:w="636" w:type="pct"/>
            <w:tcBorders>
              <w:top w:val="nil"/>
              <w:left w:val="nil"/>
              <w:bottom w:val="nil"/>
              <w:right w:val="nil"/>
            </w:tcBorders>
            <w:shd w:val="clear" w:color="auto" w:fill="FFFFFF" w:themeFill="background2"/>
            <w:vAlign w:val="center"/>
          </w:tcPr>
          <w:p w14:paraId="3EC20853" w14:textId="77777777" w:rsidR="00961617" w:rsidRPr="002F5864" w:rsidRDefault="00961617" w:rsidP="0020771F">
            <w:pPr>
              <w:pStyle w:val="tabletext"/>
              <w:spacing w:after="0"/>
              <w:ind w:right="346"/>
              <w:rPr>
                <w:rFonts w:cstheme="minorHAnsi"/>
                <w:szCs w:val="20"/>
              </w:rPr>
            </w:pPr>
            <w:r w:rsidRPr="002F5864">
              <w:rPr>
                <w:rFonts w:cstheme="minorHAnsi"/>
                <w:szCs w:val="20"/>
              </w:rPr>
              <w:t>12.6</w:t>
            </w:r>
          </w:p>
        </w:tc>
        <w:tc>
          <w:tcPr>
            <w:tcW w:w="670" w:type="pct"/>
            <w:gridSpan w:val="2"/>
            <w:tcBorders>
              <w:top w:val="nil"/>
              <w:left w:val="nil"/>
              <w:bottom w:val="nil"/>
              <w:right w:val="nil"/>
            </w:tcBorders>
            <w:shd w:val="clear" w:color="auto" w:fill="FFFFFF" w:themeFill="background2"/>
            <w:vAlign w:val="center"/>
          </w:tcPr>
          <w:p w14:paraId="34C63FA1" w14:textId="77777777" w:rsidR="00961617" w:rsidRPr="002F5864" w:rsidRDefault="00961617" w:rsidP="0020771F">
            <w:pPr>
              <w:pStyle w:val="tabletext"/>
              <w:spacing w:after="0"/>
              <w:ind w:right="346"/>
              <w:rPr>
                <w:rFonts w:cstheme="minorHAnsi"/>
                <w:szCs w:val="20"/>
              </w:rPr>
            </w:pPr>
            <w:r w:rsidRPr="002F5864">
              <w:rPr>
                <w:rFonts w:cstheme="minorHAnsi"/>
                <w:szCs w:val="20"/>
              </w:rPr>
              <w:t>15.8</w:t>
            </w:r>
          </w:p>
        </w:tc>
        <w:tc>
          <w:tcPr>
            <w:tcW w:w="721" w:type="pct"/>
            <w:gridSpan w:val="2"/>
            <w:tcBorders>
              <w:top w:val="nil"/>
              <w:left w:val="nil"/>
              <w:bottom w:val="nil"/>
              <w:right w:val="nil"/>
            </w:tcBorders>
            <w:shd w:val="clear" w:color="auto" w:fill="FFFFFF" w:themeFill="background2"/>
            <w:vAlign w:val="center"/>
          </w:tcPr>
          <w:p w14:paraId="3483D769" w14:textId="77777777" w:rsidR="00961617" w:rsidRPr="002F5864" w:rsidRDefault="00961617" w:rsidP="0020771F">
            <w:pPr>
              <w:pStyle w:val="tabletext"/>
              <w:spacing w:after="0"/>
              <w:ind w:right="346"/>
              <w:rPr>
                <w:rFonts w:cstheme="minorHAnsi"/>
                <w:szCs w:val="20"/>
              </w:rPr>
            </w:pPr>
            <w:r w:rsidRPr="002F5864">
              <w:rPr>
                <w:rFonts w:cstheme="minorHAnsi"/>
                <w:szCs w:val="20"/>
              </w:rPr>
              <w:t>15.2</w:t>
            </w:r>
          </w:p>
        </w:tc>
      </w:tr>
      <w:tr w:rsidR="00961617" w:rsidRPr="002F5864" w14:paraId="4E37E45F" w14:textId="77777777" w:rsidTr="0020771F">
        <w:trPr>
          <w:cantSplit/>
          <w:trHeight w:hRule="exact" w:val="340"/>
        </w:trPr>
        <w:tc>
          <w:tcPr>
            <w:tcW w:w="2335" w:type="pct"/>
            <w:gridSpan w:val="2"/>
            <w:tcBorders>
              <w:top w:val="nil"/>
              <w:left w:val="nil"/>
              <w:bottom w:val="nil"/>
              <w:right w:val="nil"/>
            </w:tcBorders>
            <w:shd w:val="clear" w:color="auto" w:fill="E5E5E5" w:themeFill="background1" w:themeFillTint="33"/>
            <w:vAlign w:val="center"/>
          </w:tcPr>
          <w:p w14:paraId="29B5AA77"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25 to less than 30 years old</w:t>
            </w:r>
          </w:p>
        </w:tc>
        <w:tc>
          <w:tcPr>
            <w:tcW w:w="638" w:type="pct"/>
            <w:tcBorders>
              <w:top w:val="nil"/>
              <w:left w:val="nil"/>
              <w:bottom w:val="nil"/>
              <w:right w:val="nil"/>
            </w:tcBorders>
            <w:shd w:val="clear" w:color="auto" w:fill="E5E5E5" w:themeFill="background1" w:themeFillTint="33"/>
            <w:vAlign w:val="center"/>
          </w:tcPr>
          <w:p w14:paraId="39596E39" w14:textId="77777777" w:rsidR="00961617" w:rsidRPr="002F5864" w:rsidRDefault="00961617" w:rsidP="0020771F">
            <w:pPr>
              <w:pStyle w:val="tabletext"/>
              <w:spacing w:after="0"/>
              <w:ind w:right="346"/>
              <w:rPr>
                <w:rFonts w:cstheme="minorHAnsi"/>
                <w:szCs w:val="20"/>
              </w:rPr>
            </w:pPr>
            <w:r w:rsidRPr="002F5864">
              <w:rPr>
                <w:rFonts w:cstheme="minorHAnsi"/>
                <w:szCs w:val="20"/>
              </w:rPr>
              <w:t>6.6</w:t>
            </w:r>
          </w:p>
        </w:tc>
        <w:tc>
          <w:tcPr>
            <w:tcW w:w="636" w:type="pct"/>
            <w:tcBorders>
              <w:top w:val="nil"/>
              <w:left w:val="nil"/>
              <w:bottom w:val="nil"/>
              <w:right w:val="nil"/>
            </w:tcBorders>
            <w:shd w:val="clear" w:color="auto" w:fill="E5E5E5" w:themeFill="background1" w:themeFillTint="33"/>
            <w:vAlign w:val="center"/>
          </w:tcPr>
          <w:p w14:paraId="36E65620" w14:textId="77777777" w:rsidR="00961617" w:rsidRPr="002F5864" w:rsidRDefault="00961617" w:rsidP="0020771F">
            <w:pPr>
              <w:pStyle w:val="tabletext"/>
              <w:spacing w:after="0"/>
              <w:ind w:right="346"/>
              <w:rPr>
                <w:rFonts w:cstheme="minorHAnsi"/>
                <w:szCs w:val="20"/>
              </w:rPr>
            </w:pPr>
            <w:r w:rsidRPr="002F5864">
              <w:rPr>
                <w:rFonts w:cstheme="minorHAnsi"/>
                <w:szCs w:val="20"/>
              </w:rPr>
              <w:t>6.3</w:t>
            </w:r>
          </w:p>
        </w:tc>
        <w:tc>
          <w:tcPr>
            <w:tcW w:w="670" w:type="pct"/>
            <w:gridSpan w:val="2"/>
            <w:tcBorders>
              <w:top w:val="nil"/>
              <w:left w:val="nil"/>
              <w:bottom w:val="nil"/>
              <w:right w:val="nil"/>
            </w:tcBorders>
            <w:shd w:val="clear" w:color="auto" w:fill="E5E5E5" w:themeFill="background1" w:themeFillTint="33"/>
            <w:vAlign w:val="center"/>
          </w:tcPr>
          <w:p w14:paraId="3D82E629" w14:textId="77777777" w:rsidR="00961617" w:rsidRPr="002F5864" w:rsidRDefault="00961617" w:rsidP="0020771F">
            <w:pPr>
              <w:pStyle w:val="tabletext"/>
              <w:spacing w:after="0"/>
              <w:ind w:right="346"/>
              <w:rPr>
                <w:rFonts w:cstheme="minorHAnsi"/>
                <w:szCs w:val="20"/>
              </w:rPr>
            </w:pPr>
            <w:r w:rsidRPr="002F5864">
              <w:rPr>
                <w:rFonts w:cstheme="minorHAnsi"/>
                <w:szCs w:val="20"/>
              </w:rPr>
              <w:t>7.0</w:t>
            </w:r>
          </w:p>
        </w:tc>
        <w:tc>
          <w:tcPr>
            <w:tcW w:w="721" w:type="pct"/>
            <w:gridSpan w:val="2"/>
            <w:tcBorders>
              <w:top w:val="nil"/>
              <w:left w:val="nil"/>
              <w:bottom w:val="nil"/>
              <w:right w:val="nil"/>
            </w:tcBorders>
            <w:shd w:val="clear" w:color="auto" w:fill="E5E5E5" w:themeFill="background1" w:themeFillTint="33"/>
            <w:vAlign w:val="center"/>
          </w:tcPr>
          <w:p w14:paraId="61C4993F" w14:textId="77777777" w:rsidR="00961617" w:rsidRPr="002F5864" w:rsidRDefault="00961617" w:rsidP="0020771F">
            <w:pPr>
              <w:pStyle w:val="tabletext"/>
              <w:spacing w:after="0"/>
              <w:ind w:right="346"/>
              <w:rPr>
                <w:rFonts w:cstheme="minorHAnsi"/>
                <w:szCs w:val="20"/>
              </w:rPr>
            </w:pPr>
            <w:r w:rsidRPr="002F5864">
              <w:rPr>
                <w:rFonts w:cstheme="minorHAnsi"/>
                <w:szCs w:val="20"/>
              </w:rPr>
              <w:t>6.9</w:t>
            </w:r>
          </w:p>
        </w:tc>
      </w:tr>
      <w:tr w:rsidR="00961617" w:rsidRPr="002F5864" w14:paraId="77BA6ADB" w14:textId="77777777" w:rsidTr="0020771F">
        <w:trPr>
          <w:cantSplit/>
          <w:trHeight w:hRule="exact" w:val="340"/>
        </w:trPr>
        <w:tc>
          <w:tcPr>
            <w:tcW w:w="2335" w:type="pct"/>
            <w:gridSpan w:val="2"/>
            <w:tcBorders>
              <w:top w:val="nil"/>
              <w:left w:val="nil"/>
              <w:bottom w:val="nil"/>
              <w:right w:val="nil"/>
            </w:tcBorders>
            <w:shd w:val="clear" w:color="auto" w:fill="FFFFFF" w:themeFill="background2"/>
            <w:vAlign w:val="center"/>
          </w:tcPr>
          <w:p w14:paraId="5140EC39"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30 to less than 50 years old</w:t>
            </w:r>
          </w:p>
        </w:tc>
        <w:tc>
          <w:tcPr>
            <w:tcW w:w="638" w:type="pct"/>
            <w:tcBorders>
              <w:top w:val="nil"/>
              <w:left w:val="nil"/>
              <w:bottom w:val="nil"/>
              <w:right w:val="nil"/>
            </w:tcBorders>
            <w:shd w:val="clear" w:color="auto" w:fill="FFFFFF" w:themeFill="background2"/>
            <w:vAlign w:val="center"/>
          </w:tcPr>
          <w:p w14:paraId="42B32D22" w14:textId="77777777" w:rsidR="00961617" w:rsidRPr="002F5864" w:rsidRDefault="00961617" w:rsidP="0020771F">
            <w:pPr>
              <w:pStyle w:val="tabletext"/>
              <w:spacing w:after="0"/>
              <w:ind w:right="346"/>
              <w:rPr>
                <w:rFonts w:cstheme="minorHAnsi"/>
                <w:szCs w:val="20"/>
              </w:rPr>
            </w:pPr>
            <w:r w:rsidRPr="002F5864">
              <w:rPr>
                <w:rFonts w:cstheme="minorHAnsi"/>
                <w:szCs w:val="20"/>
              </w:rPr>
              <w:t>20.8</w:t>
            </w:r>
          </w:p>
        </w:tc>
        <w:tc>
          <w:tcPr>
            <w:tcW w:w="636" w:type="pct"/>
            <w:tcBorders>
              <w:top w:val="nil"/>
              <w:left w:val="nil"/>
              <w:bottom w:val="nil"/>
              <w:right w:val="nil"/>
            </w:tcBorders>
            <w:shd w:val="clear" w:color="auto" w:fill="FFFFFF" w:themeFill="background2"/>
            <w:vAlign w:val="center"/>
          </w:tcPr>
          <w:p w14:paraId="6ED756CD" w14:textId="77777777" w:rsidR="00961617" w:rsidRPr="002F5864" w:rsidRDefault="00961617" w:rsidP="0020771F">
            <w:pPr>
              <w:pStyle w:val="tabletext"/>
              <w:spacing w:after="0"/>
              <w:ind w:right="346"/>
              <w:rPr>
                <w:rFonts w:cstheme="minorHAnsi"/>
                <w:szCs w:val="20"/>
              </w:rPr>
            </w:pPr>
            <w:r w:rsidRPr="002F5864">
              <w:rPr>
                <w:rFonts w:cstheme="minorHAnsi"/>
                <w:szCs w:val="20"/>
              </w:rPr>
              <w:t>19.8</w:t>
            </w:r>
          </w:p>
        </w:tc>
        <w:tc>
          <w:tcPr>
            <w:tcW w:w="670" w:type="pct"/>
            <w:gridSpan w:val="2"/>
            <w:tcBorders>
              <w:top w:val="nil"/>
              <w:left w:val="nil"/>
              <w:bottom w:val="nil"/>
              <w:right w:val="nil"/>
            </w:tcBorders>
            <w:shd w:val="clear" w:color="auto" w:fill="FFFFFF" w:themeFill="background2"/>
            <w:vAlign w:val="center"/>
          </w:tcPr>
          <w:p w14:paraId="5629F46D" w14:textId="77777777" w:rsidR="00961617" w:rsidRPr="002F5864" w:rsidRDefault="00961617" w:rsidP="0020771F">
            <w:pPr>
              <w:pStyle w:val="tabletext"/>
              <w:spacing w:after="0"/>
              <w:ind w:right="346"/>
              <w:rPr>
                <w:rFonts w:cstheme="minorHAnsi"/>
                <w:szCs w:val="20"/>
              </w:rPr>
            </w:pPr>
            <w:r w:rsidRPr="002F5864">
              <w:rPr>
                <w:rFonts w:cstheme="minorHAnsi"/>
                <w:szCs w:val="20"/>
              </w:rPr>
              <w:t>20.6</w:t>
            </w:r>
          </w:p>
        </w:tc>
        <w:tc>
          <w:tcPr>
            <w:tcW w:w="721" w:type="pct"/>
            <w:gridSpan w:val="2"/>
            <w:tcBorders>
              <w:top w:val="nil"/>
              <w:left w:val="nil"/>
              <w:bottom w:val="nil"/>
              <w:right w:val="nil"/>
            </w:tcBorders>
            <w:shd w:val="clear" w:color="auto" w:fill="FFFFFF" w:themeFill="background2"/>
            <w:vAlign w:val="center"/>
          </w:tcPr>
          <w:p w14:paraId="2292E07A" w14:textId="77777777" w:rsidR="00961617" w:rsidRPr="002F5864" w:rsidRDefault="00961617" w:rsidP="0020771F">
            <w:pPr>
              <w:pStyle w:val="tabletext"/>
              <w:spacing w:after="0"/>
              <w:ind w:right="346"/>
              <w:rPr>
                <w:rFonts w:cstheme="minorHAnsi"/>
                <w:szCs w:val="20"/>
              </w:rPr>
            </w:pPr>
            <w:r w:rsidRPr="002F5864">
              <w:rPr>
                <w:rFonts w:cstheme="minorHAnsi"/>
                <w:szCs w:val="20"/>
              </w:rPr>
              <w:t>20.1</w:t>
            </w:r>
          </w:p>
        </w:tc>
      </w:tr>
      <w:tr w:rsidR="00961617" w:rsidRPr="002F5864" w14:paraId="0F104984"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45A238C9"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50 to less than 55 years old</w:t>
            </w:r>
          </w:p>
        </w:tc>
        <w:tc>
          <w:tcPr>
            <w:tcW w:w="685" w:type="pct"/>
            <w:gridSpan w:val="2"/>
            <w:tcBorders>
              <w:top w:val="nil"/>
              <w:left w:val="nil"/>
              <w:bottom w:val="nil"/>
              <w:right w:val="nil"/>
            </w:tcBorders>
            <w:shd w:val="clear" w:color="auto" w:fill="E5E5E5" w:themeFill="background1" w:themeFillTint="33"/>
            <w:vAlign w:val="center"/>
          </w:tcPr>
          <w:p w14:paraId="7B696024" w14:textId="77777777" w:rsidR="00961617" w:rsidRPr="002F5864" w:rsidRDefault="00961617" w:rsidP="0020771F">
            <w:pPr>
              <w:pStyle w:val="tabletext"/>
              <w:spacing w:after="0"/>
              <w:ind w:right="346"/>
              <w:rPr>
                <w:rFonts w:cstheme="minorHAnsi"/>
                <w:szCs w:val="20"/>
              </w:rPr>
            </w:pPr>
            <w:r w:rsidRPr="002F5864">
              <w:rPr>
                <w:rFonts w:cstheme="minorHAnsi"/>
                <w:szCs w:val="20"/>
              </w:rPr>
              <w:t>3.5</w:t>
            </w:r>
          </w:p>
        </w:tc>
        <w:tc>
          <w:tcPr>
            <w:tcW w:w="636" w:type="pct"/>
            <w:tcBorders>
              <w:top w:val="nil"/>
              <w:left w:val="nil"/>
              <w:bottom w:val="nil"/>
              <w:right w:val="nil"/>
            </w:tcBorders>
            <w:shd w:val="clear" w:color="auto" w:fill="E5E5E5" w:themeFill="background1" w:themeFillTint="33"/>
            <w:vAlign w:val="center"/>
          </w:tcPr>
          <w:p w14:paraId="149A3F37" w14:textId="77777777" w:rsidR="00961617" w:rsidRPr="002F5864" w:rsidRDefault="00961617" w:rsidP="0020771F">
            <w:pPr>
              <w:pStyle w:val="tabletext"/>
              <w:spacing w:after="0"/>
              <w:ind w:right="346"/>
              <w:rPr>
                <w:rFonts w:cstheme="minorHAnsi"/>
                <w:szCs w:val="20"/>
              </w:rPr>
            </w:pPr>
            <w:r w:rsidRPr="002F5864">
              <w:rPr>
                <w:rFonts w:cstheme="minorHAnsi"/>
                <w:szCs w:val="20"/>
              </w:rPr>
              <w:t>3.7</w:t>
            </w:r>
          </w:p>
        </w:tc>
        <w:tc>
          <w:tcPr>
            <w:tcW w:w="670" w:type="pct"/>
            <w:gridSpan w:val="2"/>
            <w:tcBorders>
              <w:top w:val="nil"/>
              <w:left w:val="nil"/>
              <w:bottom w:val="nil"/>
              <w:right w:val="nil"/>
            </w:tcBorders>
            <w:shd w:val="clear" w:color="auto" w:fill="E5E5E5" w:themeFill="background1" w:themeFillTint="33"/>
            <w:vAlign w:val="center"/>
          </w:tcPr>
          <w:p w14:paraId="7C77D773" w14:textId="77777777" w:rsidR="00961617" w:rsidRPr="002F5864" w:rsidRDefault="00961617" w:rsidP="0020771F">
            <w:pPr>
              <w:pStyle w:val="tabletext"/>
              <w:spacing w:after="0"/>
              <w:ind w:right="346"/>
              <w:rPr>
                <w:rFonts w:cstheme="minorHAnsi"/>
                <w:szCs w:val="20"/>
              </w:rPr>
            </w:pPr>
            <w:r w:rsidRPr="002F5864">
              <w:rPr>
                <w:rFonts w:cstheme="minorHAnsi"/>
                <w:szCs w:val="20"/>
              </w:rPr>
              <w:t>3.4</w:t>
            </w:r>
          </w:p>
        </w:tc>
        <w:tc>
          <w:tcPr>
            <w:tcW w:w="721" w:type="pct"/>
            <w:gridSpan w:val="2"/>
            <w:tcBorders>
              <w:top w:val="nil"/>
              <w:left w:val="nil"/>
              <w:bottom w:val="nil"/>
              <w:right w:val="nil"/>
            </w:tcBorders>
            <w:shd w:val="clear" w:color="auto" w:fill="E5E5E5" w:themeFill="background1" w:themeFillTint="33"/>
            <w:vAlign w:val="center"/>
          </w:tcPr>
          <w:p w14:paraId="1C915901" w14:textId="77777777" w:rsidR="00961617" w:rsidRPr="002F5864" w:rsidRDefault="00961617" w:rsidP="0020771F">
            <w:pPr>
              <w:pStyle w:val="tabletext"/>
              <w:spacing w:after="0"/>
              <w:ind w:right="346"/>
              <w:rPr>
                <w:rFonts w:cstheme="minorHAnsi"/>
                <w:szCs w:val="20"/>
              </w:rPr>
            </w:pPr>
            <w:r w:rsidRPr="002F5864">
              <w:rPr>
                <w:rFonts w:cstheme="minorHAnsi"/>
                <w:szCs w:val="20"/>
              </w:rPr>
              <w:t>3.5</w:t>
            </w:r>
          </w:p>
        </w:tc>
      </w:tr>
      <w:tr w:rsidR="00961617" w:rsidRPr="002F5864" w14:paraId="2050D26F"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7EE111BC"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55 years and over</w:t>
            </w:r>
          </w:p>
        </w:tc>
        <w:tc>
          <w:tcPr>
            <w:tcW w:w="685" w:type="pct"/>
            <w:gridSpan w:val="2"/>
            <w:tcBorders>
              <w:top w:val="nil"/>
              <w:left w:val="nil"/>
              <w:bottom w:val="nil"/>
              <w:right w:val="nil"/>
            </w:tcBorders>
            <w:shd w:val="clear" w:color="auto" w:fill="FFFFFF" w:themeFill="background2"/>
            <w:vAlign w:val="center"/>
          </w:tcPr>
          <w:p w14:paraId="1B724FC3" w14:textId="77777777" w:rsidR="00961617" w:rsidRPr="002F5864" w:rsidRDefault="00961617" w:rsidP="0020771F">
            <w:pPr>
              <w:pStyle w:val="tabletext"/>
              <w:spacing w:after="0"/>
              <w:ind w:right="346"/>
              <w:rPr>
                <w:rFonts w:cstheme="minorHAnsi"/>
                <w:szCs w:val="20"/>
              </w:rPr>
            </w:pPr>
            <w:r w:rsidRPr="002F5864">
              <w:rPr>
                <w:rFonts w:cstheme="minorHAnsi"/>
                <w:szCs w:val="20"/>
              </w:rPr>
              <w:t>7.4</w:t>
            </w:r>
          </w:p>
        </w:tc>
        <w:tc>
          <w:tcPr>
            <w:tcW w:w="636" w:type="pct"/>
            <w:tcBorders>
              <w:top w:val="nil"/>
              <w:left w:val="nil"/>
              <w:bottom w:val="nil"/>
              <w:right w:val="nil"/>
            </w:tcBorders>
            <w:shd w:val="clear" w:color="auto" w:fill="FFFFFF" w:themeFill="background2"/>
            <w:vAlign w:val="center"/>
          </w:tcPr>
          <w:p w14:paraId="0B6AA610" w14:textId="77777777" w:rsidR="00961617" w:rsidRPr="002F5864" w:rsidRDefault="00961617" w:rsidP="0020771F">
            <w:pPr>
              <w:pStyle w:val="tabletext"/>
              <w:spacing w:after="0"/>
              <w:ind w:right="346"/>
              <w:rPr>
                <w:rFonts w:cstheme="minorHAnsi"/>
                <w:szCs w:val="20"/>
              </w:rPr>
            </w:pPr>
            <w:r w:rsidRPr="002F5864">
              <w:rPr>
                <w:rFonts w:cstheme="minorHAnsi"/>
                <w:szCs w:val="20"/>
              </w:rPr>
              <w:t>7.7</w:t>
            </w:r>
          </w:p>
        </w:tc>
        <w:tc>
          <w:tcPr>
            <w:tcW w:w="670" w:type="pct"/>
            <w:gridSpan w:val="2"/>
            <w:tcBorders>
              <w:top w:val="nil"/>
              <w:left w:val="nil"/>
              <w:bottom w:val="nil"/>
              <w:right w:val="nil"/>
            </w:tcBorders>
            <w:shd w:val="clear" w:color="auto" w:fill="FFFFFF" w:themeFill="background2"/>
            <w:vAlign w:val="center"/>
          </w:tcPr>
          <w:p w14:paraId="15716C76" w14:textId="77777777" w:rsidR="00961617" w:rsidRPr="002F5864" w:rsidRDefault="00961617" w:rsidP="0020771F">
            <w:pPr>
              <w:pStyle w:val="tabletext"/>
              <w:spacing w:after="0"/>
              <w:ind w:right="346"/>
              <w:rPr>
                <w:rFonts w:cstheme="minorHAnsi"/>
                <w:szCs w:val="20"/>
              </w:rPr>
            </w:pPr>
            <w:r w:rsidRPr="002F5864">
              <w:rPr>
                <w:rFonts w:cstheme="minorHAnsi"/>
                <w:szCs w:val="20"/>
              </w:rPr>
              <w:t>6.3</w:t>
            </w:r>
          </w:p>
        </w:tc>
        <w:tc>
          <w:tcPr>
            <w:tcW w:w="721" w:type="pct"/>
            <w:gridSpan w:val="2"/>
            <w:tcBorders>
              <w:top w:val="nil"/>
              <w:left w:val="nil"/>
              <w:bottom w:val="nil"/>
              <w:right w:val="nil"/>
            </w:tcBorders>
            <w:shd w:val="clear" w:color="auto" w:fill="FFFFFF" w:themeFill="background2"/>
            <w:vAlign w:val="center"/>
          </w:tcPr>
          <w:p w14:paraId="3B5AAAA2" w14:textId="77777777" w:rsidR="00961617" w:rsidRPr="002F5864" w:rsidRDefault="00961617" w:rsidP="0020771F">
            <w:pPr>
              <w:pStyle w:val="tabletext"/>
              <w:spacing w:after="0"/>
              <w:ind w:right="346"/>
              <w:rPr>
                <w:rFonts w:cstheme="minorHAnsi"/>
                <w:szCs w:val="20"/>
              </w:rPr>
            </w:pPr>
            <w:r w:rsidRPr="002F5864">
              <w:rPr>
                <w:rFonts w:cstheme="minorHAnsi"/>
                <w:szCs w:val="20"/>
              </w:rPr>
              <w:t>6.5</w:t>
            </w:r>
          </w:p>
        </w:tc>
      </w:tr>
      <w:tr w:rsidR="00961617" w:rsidRPr="002F5864" w14:paraId="0947257B"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57A5AE09"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total</w:t>
            </w:r>
          </w:p>
        </w:tc>
        <w:tc>
          <w:tcPr>
            <w:tcW w:w="685" w:type="pct"/>
            <w:gridSpan w:val="2"/>
            <w:tcBorders>
              <w:top w:val="nil"/>
              <w:left w:val="nil"/>
              <w:bottom w:val="nil"/>
              <w:right w:val="nil"/>
            </w:tcBorders>
            <w:shd w:val="clear" w:color="auto" w:fill="E5E5E5" w:themeFill="background1" w:themeFillTint="33"/>
            <w:vAlign w:val="center"/>
          </w:tcPr>
          <w:p w14:paraId="0A127494" w14:textId="77777777" w:rsidR="00961617" w:rsidRPr="002F5864" w:rsidRDefault="00961617" w:rsidP="0020771F">
            <w:pPr>
              <w:pStyle w:val="tabletext"/>
              <w:spacing w:after="0"/>
              <w:ind w:right="346"/>
              <w:rPr>
                <w:rFonts w:cstheme="minorHAnsi"/>
                <w:szCs w:val="20"/>
              </w:rPr>
            </w:pPr>
            <w:r w:rsidRPr="002F5864">
              <w:rPr>
                <w:rFonts w:cstheme="minorHAnsi"/>
                <w:szCs w:val="20"/>
              </w:rPr>
              <w:t>52.0</w:t>
            </w:r>
          </w:p>
        </w:tc>
        <w:tc>
          <w:tcPr>
            <w:tcW w:w="636" w:type="pct"/>
            <w:tcBorders>
              <w:top w:val="nil"/>
              <w:left w:val="nil"/>
              <w:bottom w:val="nil"/>
              <w:right w:val="nil"/>
            </w:tcBorders>
            <w:shd w:val="clear" w:color="auto" w:fill="E5E5E5" w:themeFill="background1" w:themeFillTint="33"/>
            <w:vAlign w:val="center"/>
          </w:tcPr>
          <w:p w14:paraId="010EF510" w14:textId="77777777" w:rsidR="00961617" w:rsidRPr="002F5864" w:rsidRDefault="00961617" w:rsidP="0020771F">
            <w:pPr>
              <w:pStyle w:val="tabletext"/>
              <w:spacing w:after="0"/>
              <w:ind w:right="346"/>
              <w:rPr>
                <w:rFonts w:cstheme="minorHAnsi"/>
                <w:szCs w:val="20"/>
              </w:rPr>
            </w:pPr>
            <w:r w:rsidRPr="002F5864">
              <w:rPr>
                <w:rFonts w:cstheme="minorHAnsi"/>
                <w:szCs w:val="20"/>
              </w:rPr>
              <w:t>50.0</w:t>
            </w:r>
          </w:p>
        </w:tc>
        <w:tc>
          <w:tcPr>
            <w:tcW w:w="670" w:type="pct"/>
            <w:gridSpan w:val="2"/>
            <w:tcBorders>
              <w:top w:val="nil"/>
              <w:left w:val="nil"/>
              <w:bottom w:val="nil"/>
              <w:right w:val="nil"/>
            </w:tcBorders>
            <w:shd w:val="clear" w:color="auto" w:fill="E5E5E5" w:themeFill="background1" w:themeFillTint="33"/>
            <w:vAlign w:val="center"/>
          </w:tcPr>
          <w:p w14:paraId="35DC0921" w14:textId="77777777" w:rsidR="00961617" w:rsidRPr="002F5864" w:rsidRDefault="00961617" w:rsidP="0020771F">
            <w:pPr>
              <w:pStyle w:val="tabletext"/>
              <w:spacing w:after="0"/>
              <w:ind w:right="346"/>
              <w:rPr>
                <w:rFonts w:cstheme="minorHAnsi"/>
                <w:szCs w:val="20"/>
              </w:rPr>
            </w:pPr>
            <w:r w:rsidRPr="002F5864">
              <w:rPr>
                <w:rFonts w:cstheme="minorHAnsi"/>
                <w:szCs w:val="20"/>
              </w:rPr>
              <w:t>53.2</w:t>
            </w:r>
          </w:p>
        </w:tc>
        <w:tc>
          <w:tcPr>
            <w:tcW w:w="721" w:type="pct"/>
            <w:gridSpan w:val="2"/>
            <w:tcBorders>
              <w:top w:val="nil"/>
              <w:left w:val="nil"/>
              <w:bottom w:val="nil"/>
              <w:right w:val="nil"/>
            </w:tcBorders>
            <w:shd w:val="clear" w:color="auto" w:fill="E5E5E5" w:themeFill="background1" w:themeFillTint="33"/>
            <w:vAlign w:val="center"/>
          </w:tcPr>
          <w:p w14:paraId="5557182C" w14:textId="77777777" w:rsidR="00961617" w:rsidRPr="002F5864" w:rsidRDefault="00961617" w:rsidP="0020771F">
            <w:pPr>
              <w:pStyle w:val="tabletext"/>
              <w:spacing w:after="0"/>
              <w:ind w:right="346"/>
              <w:rPr>
                <w:rFonts w:cstheme="minorHAnsi"/>
                <w:szCs w:val="20"/>
              </w:rPr>
            </w:pPr>
            <w:r w:rsidRPr="002F5864">
              <w:rPr>
                <w:rFonts w:cstheme="minorHAnsi"/>
                <w:szCs w:val="20"/>
              </w:rPr>
              <w:t>52.2</w:t>
            </w:r>
          </w:p>
        </w:tc>
      </w:tr>
      <w:tr w:rsidR="00961617" w:rsidRPr="002F5864" w14:paraId="63B82D5A"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09759CD4"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less than 25 years old</w:t>
            </w:r>
          </w:p>
        </w:tc>
        <w:tc>
          <w:tcPr>
            <w:tcW w:w="685" w:type="pct"/>
            <w:gridSpan w:val="2"/>
            <w:tcBorders>
              <w:top w:val="nil"/>
              <w:left w:val="nil"/>
              <w:bottom w:val="nil"/>
              <w:right w:val="nil"/>
            </w:tcBorders>
            <w:shd w:val="clear" w:color="auto" w:fill="FFFFFF" w:themeFill="background2"/>
            <w:vAlign w:val="center"/>
          </w:tcPr>
          <w:p w14:paraId="000E2CE3" w14:textId="77777777" w:rsidR="00961617" w:rsidRPr="002F5864" w:rsidRDefault="00961617" w:rsidP="0020771F">
            <w:pPr>
              <w:pStyle w:val="tabletext"/>
              <w:spacing w:after="0"/>
              <w:ind w:right="346"/>
              <w:rPr>
                <w:rFonts w:cstheme="minorHAnsi"/>
                <w:szCs w:val="20"/>
              </w:rPr>
            </w:pPr>
            <w:r w:rsidRPr="002F5864">
              <w:rPr>
                <w:rFonts w:cstheme="minorHAnsi"/>
                <w:szCs w:val="20"/>
              </w:rPr>
              <w:t>10.0</w:t>
            </w:r>
          </w:p>
        </w:tc>
        <w:tc>
          <w:tcPr>
            <w:tcW w:w="636" w:type="pct"/>
            <w:tcBorders>
              <w:top w:val="nil"/>
              <w:left w:val="nil"/>
              <w:bottom w:val="nil"/>
              <w:right w:val="nil"/>
            </w:tcBorders>
            <w:shd w:val="clear" w:color="auto" w:fill="FFFFFF" w:themeFill="background2"/>
            <w:vAlign w:val="center"/>
          </w:tcPr>
          <w:p w14:paraId="3ADCB8F6" w14:textId="77777777" w:rsidR="00961617" w:rsidRPr="002F5864" w:rsidRDefault="00961617" w:rsidP="0020771F">
            <w:pPr>
              <w:pStyle w:val="tabletext"/>
              <w:spacing w:after="0"/>
              <w:ind w:right="346"/>
              <w:rPr>
                <w:rFonts w:cstheme="minorHAnsi"/>
                <w:szCs w:val="20"/>
              </w:rPr>
            </w:pPr>
            <w:r w:rsidRPr="002F5864">
              <w:rPr>
                <w:rFonts w:cstheme="minorHAnsi"/>
                <w:szCs w:val="20"/>
              </w:rPr>
              <w:t>9.0</w:t>
            </w:r>
          </w:p>
        </w:tc>
        <w:tc>
          <w:tcPr>
            <w:tcW w:w="670" w:type="pct"/>
            <w:gridSpan w:val="2"/>
            <w:tcBorders>
              <w:top w:val="nil"/>
              <w:left w:val="nil"/>
              <w:bottom w:val="nil"/>
              <w:right w:val="nil"/>
            </w:tcBorders>
            <w:shd w:val="clear" w:color="auto" w:fill="FFFFFF" w:themeFill="background2"/>
            <w:vAlign w:val="center"/>
          </w:tcPr>
          <w:p w14:paraId="40B08D8F" w14:textId="77777777" w:rsidR="00961617" w:rsidRPr="002F5864" w:rsidRDefault="00961617" w:rsidP="0020771F">
            <w:pPr>
              <w:pStyle w:val="tabletext"/>
              <w:spacing w:after="0"/>
              <w:ind w:right="346"/>
              <w:rPr>
                <w:rFonts w:cstheme="minorHAnsi"/>
                <w:szCs w:val="20"/>
              </w:rPr>
            </w:pPr>
            <w:r w:rsidRPr="002F5864">
              <w:rPr>
                <w:rFonts w:cstheme="minorHAnsi"/>
                <w:szCs w:val="20"/>
              </w:rPr>
              <w:t>12.6</w:t>
            </w:r>
          </w:p>
        </w:tc>
        <w:tc>
          <w:tcPr>
            <w:tcW w:w="721" w:type="pct"/>
            <w:gridSpan w:val="2"/>
            <w:tcBorders>
              <w:top w:val="nil"/>
              <w:left w:val="nil"/>
              <w:bottom w:val="nil"/>
              <w:right w:val="nil"/>
            </w:tcBorders>
            <w:shd w:val="clear" w:color="auto" w:fill="FFFFFF" w:themeFill="background2"/>
            <w:vAlign w:val="center"/>
          </w:tcPr>
          <w:p w14:paraId="50338668" w14:textId="77777777" w:rsidR="00961617" w:rsidRPr="002F5864" w:rsidRDefault="00961617" w:rsidP="0020771F">
            <w:pPr>
              <w:pStyle w:val="tabletext"/>
              <w:spacing w:after="0"/>
              <w:ind w:right="346"/>
              <w:rPr>
                <w:rFonts w:cstheme="minorHAnsi"/>
                <w:szCs w:val="20"/>
              </w:rPr>
            </w:pPr>
            <w:r w:rsidRPr="002F5864">
              <w:rPr>
                <w:rFonts w:cstheme="minorHAnsi"/>
                <w:szCs w:val="20"/>
              </w:rPr>
              <w:t>12</w:t>
            </w:r>
          </w:p>
        </w:tc>
      </w:tr>
      <w:tr w:rsidR="00961617" w:rsidRPr="002F5864" w14:paraId="0F7FBD36"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2BB0D347"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25 to less than 30 years old</w:t>
            </w:r>
          </w:p>
        </w:tc>
        <w:tc>
          <w:tcPr>
            <w:tcW w:w="685" w:type="pct"/>
            <w:gridSpan w:val="2"/>
            <w:tcBorders>
              <w:top w:val="nil"/>
              <w:left w:val="nil"/>
              <w:bottom w:val="nil"/>
              <w:right w:val="nil"/>
            </w:tcBorders>
            <w:shd w:val="clear" w:color="auto" w:fill="E5E5E5" w:themeFill="background1" w:themeFillTint="33"/>
            <w:vAlign w:val="center"/>
          </w:tcPr>
          <w:p w14:paraId="39A60EC1" w14:textId="77777777" w:rsidR="00961617" w:rsidRPr="002F5864" w:rsidRDefault="00961617" w:rsidP="0020771F">
            <w:pPr>
              <w:pStyle w:val="tabletext"/>
              <w:spacing w:after="0"/>
              <w:ind w:right="346"/>
              <w:rPr>
                <w:rFonts w:cstheme="minorHAnsi"/>
                <w:szCs w:val="20"/>
              </w:rPr>
            </w:pPr>
            <w:r w:rsidRPr="002F5864">
              <w:rPr>
                <w:rFonts w:cstheme="minorHAnsi"/>
                <w:szCs w:val="20"/>
              </w:rPr>
              <w:t>3.6</w:t>
            </w:r>
          </w:p>
        </w:tc>
        <w:tc>
          <w:tcPr>
            <w:tcW w:w="636" w:type="pct"/>
            <w:tcBorders>
              <w:top w:val="nil"/>
              <w:left w:val="nil"/>
              <w:bottom w:val="nil"/>
              <w:right w:val="nil"/>
            </w:tcBorders>
            <w:shd w:val="clear" w:color="auto" w:fill="E5E5E5" w:themeFill="background1" w:themeFillTint="33"/>
            <w:vAlign w:val="center"/>
          </w:tcPr>
          <w:p w14:paraId="3290D24A" w14:textId="77777777" w:rsidR="00961617" w:rsidRPr="002F5864" w:rsidRDefault="00961617" w:rsidP="0020771F">
            <w:pPr>
              <w:pStyle w:val="tabletext"/>
              <w:spacing w:after="0"/>
              <w:ind w:right="346"/>
              <w:rPr>
                <w:rFonts w:cstheme="minorHAnsi"/>
                <w:szCs w:val="20"/>
              </w:rPr>
            </w:pPr>
            <w:r w:rsidRPr="002F5864">
              <w:rPr>
                <w:rFonts w:cstheme="minorHAnsi"/>
                <w:szCs w:val="20"/>
              </w:rPr>
              <w:t>3.6</w:t>
            </w:r>
          </w:p>
        </w:tc>
        <w:tc>
          <w:tcPr>
            <w:tcW w:w="670" w:type="pct"/>
            <w:gridSpan w:val="2"/>
            <w:tcBorders>
              <w:top w:val="nil"/>
              <w:left w:val="nil"/>
              <w:bottom w:val="nil"/>
              <w:right w:val="nil"/>
            </w:tcBorders>
            <w:shd w:val="clear" w:color="auto" w:fill="E5E5E5" w:themeFill="background1" w:themeFillTint="33"/>
            <w:vAlign w:val="center"/>
          </w:tcPr>
          <w:p w14:paraId="78E021FE" w14:textId="77777777" w:rsidR="00961617" w:rsidRPr="002F5864" w:rsidRDefault="00961617" w:rsidP="0020771F">
            <w:pPr>
              <w:pStyle w:val="tabletext"/>
              <w:spacing w:after="0"/>
              <w:ind w:right="346"/>
              <w:rPr>
                <w:rFonts w:cstheme="minorHAnsi"/>
                <w:szCs w:val="20"/>
              </w:rPr>
            </w:pPr>
            <w:r w:rsidRPr="002F5864">
              <w:rPr>
                <w:rFonts w:cstheme="minorHAnsi"/>
                <w:szCs w:val="20"/>
              </w:rPr>
              <w:t>4.4</w:t>
            </w:r>
          </w:p>
        </w:tc>
        <w:tc>
          <w:tcPr>
            <w:tcW w:w="721" w:type="pct"/>
            <w:gridSpan w:val="2"/>
            <w:tcBorders>
              <w:top w:val="nil"/>
              <w:left w:val="nil"/>
              <w:bottom w:val="nil"/>
              <w:right w:val="nil"/>
            </w:tcBorders>
            <w:shd w:val="clear" w:color="auto" w:fill="E5E5E5" w:themeFill="background1" w:themeFillTint="33"/>
            <w:vAlign w:val="center"/>
          </w:tcPr>
          <w:p w14:paraId="4985078E" w14:textId="77777777" w:rsidR="00961617" w:rsidRPr="002F5864" w:rsidRDefault="00961617" w:rsidP="0020771F">
            <w:pPr>
              <w:pStyle w:val="tabletext"/>
              <w:spacing w:after="0"/>
              <w:ind w:right="346"/>
              <w:rPr>
                <w:rFonts w:cstheme="minorHAnsi"/>
                <w:szCs w:val="20"/>
              </w:rPr>
            </w:pPr>
            <w:r w:rsidRPr="002F5864">
              <w:rPr>
                <w:rFonts w:cstheme="minorHAnsi"/>
                <w:szCs w:val="20"/>
              </w:rPr>
              <w:t>4.4</w:t>
            </w:r>
          </w:p>
        </w:tc>
      </w:tr>
      <w:tr w:rsidR="00961617" w:rsidRPr="002F5864" w14:paraId="0E2F7170"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328A864D"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30 to less than 50 years old</w:t>
            </w:r>
          </w:p>
        </w:tc>
        <w:tc>
          <w:tcPr>
            <w:tcW w:w="685" w:type="pct"/>
            <w:gridSpan w:val="2"/>
            <w:tcBorders>
              <w:top w:val="nil"/>
              <w:left w:val="nil"/>
              <w:bottom w:val="nil"/>
              <w:right w:val="nil"/>
            </w:tcBorders>
            <w:shd w:val="clear" w:color="auto" w:fill="FFFFFF" w:themeFill="background2"/>
            <w:vAlign w:val="center"/>
          </w:tcPr>
          <w:p w14:paraId="074F0EF8" w14:textId="77777777" w:rsidR="00961617" w:rsidRPr="002F5864" w:rsidRDefault="00961617" w:rsidP="0020771F">
            <w:pPr>
              <w:pStyle w:val="tabletext"/>
              <w:spacing w:after="0"/>
              <w:ind w:right="346"/>
              <w:rPr>
                <w:rFonts w:cstheme="minorHAnsi"/>
                <w:szCs w:val="20"/>
              </w:rPr>
            </w:pPr>
            <w:r w:rsidRPr="002F5864">
              <w:rPr>
                <w:rFonts w:cstheme="minorHAnsi"/>
                <w:szCs w:val="20"/>
              </w:rPr>
              <w:t>23.7</w:t>
            </w:r>
          </w:p>
        </w:tc>
        <w:tc>
          <w:tcPr>
            <w:tcW w:w="636" w:type="pct"/>
            <w:tcBorders>
              <w:top w:val="nil"/>
              <w:left w:val="nil"/>
              <w:bottom w:val="nil"/>
              <w:right w:val="nil"/>
            </w:tcBorders>
            <w:shd w:val="clear" w:color="auto" w:fill="FFFFFF" w:themeFill="background2"/>
            <w:vAlign w:val="center"/>
          </w:tcPr>
          <w:p w14:paraId="7EFDEF25" w14:textId="77777777" w:rsidR="00961617" w:rsidRPr="002F5864" w:rsidRDefault="00961617" w:rsidP="0020771F">
            <w:pPr>
              <w:pStyle w:val="tabletext"/>
              <w:spacing w:after="0"/>
              <w:ind w:right="346"/>
              <w:rPr>
                <w:rFonts w:cstheme="minorHAnsi"/>
                <w:szCs w:val="20"/>
              </w:rPr>
            </w:pPr>
            <w:r w:rsidRPr="002F5864">
              <w:rPr>
                <w:rFonts w:cstheme="minorHAnsi"/>
                <w:szCs w:val="20"/>
              </w:rPr>
              <w:t>24.4</w:t>
            </w:r>
          </w:p>
        </w:tc>
        <w:tc>
          <w:tcPr>
            <w:tcW w:w="670" w:type="pct"/>
            <w:gridSpan w:val="2"/>
            <w:tcBorders>
              <w:top w:val="nil"/>
              <w:left w:val="nil"/>
              <w:bottom w:val="nil"/>
              <w:right w:val="nil"/>
            </w:tcBorders>
            <w:shd w:val="clear" w:color="auto" w:fill="FFFFFF" w:themeFill="background2"/>
            <w:vAlign w:val="center"/>
          </w:tcPr>
          <w:p w14:paraId="6ECC6157" w14:textId="77777777" w:rsidR="00961617" w:rsidRPr="002F5864" w:rsidRDefault="00961617" w:rsidP="0020771F">
            <w:pPr>
              <w:pStyle w:val="tabletext"/>
              <w:spacing w:after="0"/>
              <w:ind w:right="346"/>
              <w:rPr>
                <w:rFonts w:cstheme="minorHAnsi"/>
                <w:szCs w:val="20"/>
              </w:rPr>
            </w:pPr>
            <w:r w:rsidRPr="002F5864">
              <w:rPr>
                <w:rFonts w:cstheme="minorHAnsi"/>
                <w:szCs w:val="20"/>
              </w:rPr>
              <w:t>21.2</w:t>
            </w:r>
          </w:p>
        </w:tc>
        <w:tc>
          <w:tcPr>
            <w:tcW w:w="721" w:type="pct"/>
            <w:gridSpan w:val="2"/>
            <w:tcBorders>
              <w:top w:val="nil"/>
              <w:left w:val="nil"/>
              <w:bottom w:val="nil"/>
              <w:right w:val="nil"/>
            </w:tcBorders>
            <w:shd w:val="clear" w:color="auto" w:fill="FFFFFF" w:themeFill="background2"/>
            <w:vAlign w:val="center"/>
          </w:tcPr>
          <w:p w14:paraId="31BF2D09" w14:textId="77777777" w:rsidR="00961617" w:rsidRPr="002F5864" w:rsidRDefault="00961617" w:rsidP="0020771F">
            <w:pPr>
              <w:pStyle w:val="tabletext"/>
              <w:spacing w:after="0"/>
              <w:ind w:right="346"/>
              <w:rPr>
                <w:rFonts w:cstheme="minorHAnsi"/>
                <w:szCs w:val="20"/>
              </w:rPr>
            </w:pPr>
            <w:r w:rsidRPr="002F5864">
              <w:rPr>
                <w:rFonts w:cstheme="minorHAnsi"/>
                <w:szCs w:val="20"/>
              </w:rPr>
              <w:t>21.2</w:t>
            </w:r>
          </w:p>
        </w:tc>
      </w:tr>
      <w:tr w:rsidR="00961617" w:rsidRPr="002F5864" w14:paraId="22021FDE"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4D1F8DE2"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50 to less than 55 years old</w:t>
            </w:r>
          </w:p>
        </w:tc>
        <w:tc>
          <w:tcPr>
            <w:tcW w:w="685" w:type="pct"/>
            <w:gridSpan w:val="2"/>
            <w:tcBorders>
              <w:top w:val="nil"/>
              <w:left w:val="nil"/>
              <w:bottom w:val="nil"/>
              <w:right w:val="nil"/>
            </w:tcBorders>
            <w:shd w:val="clear" w:color="auto" w:fill="E5E5E5" w:themeFill="background1" w:themeFillTint="33"/>
            <w:vAlign w:val="center"/>
          </w:tcPr>
          <w:p w14:paraId="4E92F9C8" w14:textId="77777777" w:rsidR="00961617" w:rsidRPr="002F5864" w:rsidRDefault="00961617" w:rsidP="0020771F">
            <w:pPr>
              <w:pStyle w:val="tabletext"/>
              <w:spacing w:after="0"/>
              <w:ind w:right="346"/>
              <w:rPr>
                <w:rFonts w:cstheme="minorHAnsi"/>
                <w:szCs w:val="20"/>
              </w:rPr>
            </w:pPr>
            <w:r w:rsidRPr="002F5864">
              <w:rPr>
                <w:rFonts w:cstheme="minorHAnsi"/>
                <w:szCs w:val="20"/>
              </w:rPr>
              <w:t>4.6</w:t>
            </w:r>
          </w:p>
        </w:tc>
        <w:tc>
          <w:tcPr>
            <w:tcW w:w="636" w:type="pct"/>
            <w:tcBorders>
              <w:top w:val="nil"/>
              <w:left w:val="nil"/>
              <w:bottom w:val="nil"/>
              <w:right w:val="nil"/>
            </w:tcBorders>
            <w:shd w:val="clear" w:color="auto" w:fill="E5E5E5" w:themeFill="background1" w:themeFillTint="33"/>
            <w:vAlign w:val="center"/>
          </w:tcPr>
          <w:p w14:paraId="77854FF6" w14:textId="77777777" w:rsidR="00961617" w:rsidRPr="002F5864" w:rsidRDefault="00961617" w:rsidP="0020771F">
            <w:pPr>
              <w:pStyle w:val="tabletext"/>
              <w:spacing w:after="0"/>
              <w:ind w:right="346"/>
              <w:rPr>
                <w:rFonts w:cstheme="minorHAnsi"/>
                <w:szCs w:val="20"/>
              </w:rPr>
            </w:pPr>
            <w:r w:rsidRPr="002F5864">
              <w:rPr>
                <w:rFonts w:cstheme="minorHAnsi"/>
                <w:szCs w:val="20"/>
              </w:rPr>
              <w:t>5.2</w:t>
            </w:r>
          </w:p>
        </w:tc>
        <w:tc>
          <w:tcPr>
            <w:tcW w:w="670" w:type="pct"/>
            <w:gridSpan w:val="2"/>
            <w:tcBorders>
              <w:top w:val="nil"/>
              <w:left w:val="nil"/>
              <w:bottom w:val="nil"/>
              <w:right w:val="nil"/>
            </w:tcBorders>
            <w:shd w:val="clear" w:color="auto" w:fill="E5E5E5" w:themeFill="background1" w:themeFillTint="33"/>
            <w:vAlign w:val="center"/>
          </w:tcPr>
          <w:p w14:paraId="50597632" w14:textId="77777777" w:rsidR="00961617" w:rsidRPr="002F5864" w:rsidRDefault="00961617" w:rsidP="0020771F">
            <w:pPr>
              <w:pStyle w:val="tabletext"/>
              <w:spacing w:after="0"/>
              <w:ind w:right="346"/>
              <w:rPr>
                <w:rFonts w:cstheme="minorHAnsi"/>
                <w:szCs w:val="20"/>
              </w:rPr>
            </w:pPr>
            <w:r w:rsidRPr="002F5864">
              <w:rPr>
                <w:rFonts w:cstheme="minorHAnsi"/>
                <w:szCs w:val="20"/>
              </w:rPr>
              <w:t>3.8</w:t>
            </w:r>
          </w:p>
        </w:tc>
        <w:tc>
          <w:tcPr>
            <w:tcW w:w="721" w:type="pct"/>
            <w:gridSpan w:val="2"/>
            <w:tcBorders>
              <w:top w:val="nil"/>
              <w:left w:val="nil"/>
              <w:bottom w:val="nil"/>
              <w:right w:val="nil"/>
            </w:tcBorders>
            <w:shd w:val="clear" w:color="auto" w:fill="E5E5E5" w:themeFill="background1" w:themeFillTint="33"/>
            <w:vAlign w:val="center"/>
          </w:tcPr>
          <w:p w14:paraId="13183050" w14:textId="77777777" w:rsidR="00961617" w:rsidRPr="002F5864" w:rsidRDefault="00961617" w:rsidP="0020771F">
            <w:pPr>
              <w:pStyle w:val="tabletext"/>
              <w:spacing w:after="0"/>
              <w:ind w:right="346"/>
              <w:rPr>
                <w:rFonts w:cstheme="minorHAnsi"/>
                <w:szCs w:val="20"/>
              </w:rPr>
            </w:pPr>
            <w:r w:rsidRPr="002F5864">
              <w:rPr>
                <w:rFonts w:cstheme="minorHAnsi"/>
                <w:szCs w:val="20"/>
              </w:rPr>
              <w:t>4.1</w:t>
            </w:r>
          </w:p>
        </w:tc>
      </w:tr>
      <w:tr w:rsidR="00961617" w:rsidRPr="002F5864" w14:paraId="446F9455"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468D40F8"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55 years and over</w:t>
            </w:r>
          </w:p>
        </w:tc>
        <w:tc>
          <w:tcPr>
            <w:tcW w:w="685" w:type="pct"/>
            <w:gridSpan w:val="2"/>
            <w:tcBorders>
              <w:top w:val="nil"/>
              <w:left w:val="nil"/>
              <w:bottom w:val="nil"/>
              <w:right w:val="nil"/>
            </w:tcBorders>
            <w:shd w:val="clear" w:color="auto" w:fill="FFFFFF" w:themeFill="background2"/>
            <w:vAlign w:val="center"/>
          </w:tcPr>
          <w:p w14:paraId="34024236" w14:textId="77777777" w:rsidR="00961617" w:rsidRPr="002F5864" w:rsidRDefault="00961617" w:rsidP="0020771F">
            <w:pPr>
              <w:pStyle w:val="tabletext"/>
              <w:spacing w:after="0"/>
              <w:ind w:right="346"/>
              <w:rPr>
                <w:rFonts w:cstheme="minorHAnsi"/>
                <w:szCs w:val="20"/>
              </w:rPr>
            </w:pPr>
            <w:r w:rsidRPr="002F5864">
              <w:rPr>
                <w:rFonts w:cstheme="minorHAnsi"/>
                <w:szCs w:val="20"/>
              </w:rPr>
              <w:t>6.0</w:t>
            </w:r>
          </w:p>
        </w:tc>
        <w:tc>
          <w:tcPr>
            <w:tcW w:w="636" w:type="pct"/>
            <w:tcBorders>
              <w:top w:val="nil"/>
              <w:left w:val="nil"/>
              <w:bottom w:val="nil"/>
              <w:right w:val="nil"/>
            </w:tcBorders>
            <w:shd w:val="clear" w:color="auto" w:fill="FFFFFF" w:themeFill="background2"/>
            <w:vAlign w:val="center"/>
          </w:tcPr>
          <w:p w14:paraId="55B2DC78" w14:textId="77777777" w:rsidR="00961617" w:rsidRPr="002F5864" w:rsidRDefault="00961617" w:rsidP="0020771F">
            <w:pPr>
              <w:pStyle w:val="tabletext"/>
              <w:spacing w:after="0"/>
              <w:ind w:right="346"/>
              <w:rPr>
                <w:rFonts w:cstheme="minorHAnsi"/>
                <w:szCs w:val="20"/>
              </w:rPr>
            </w:pPr>
            <w:r w:rsidRPr="002F5864">
              <w:rPr>
                <w:rFonts w:cstheme="minorHAnsi"/>
                <w:szCs w:val="20"/>
              </w:rPr>
              <w:t>7.7</w:t>
            </w:r>
          </w:p>
        </w:tc>
        <w:tc>
          <w:tcPr>
            <w:tcW w:w="670" w:type="pct"/>
            <w:gridSpan w:val="2"/>
            <w:tcBorders>
              <w:top w:val="nil"/>
              <w:left w:val="nil"/>
              <w:bottom w:val="nil"/>
              <w:right w:val="nil"/>
            </w:tcBorders>
            <w:shd w:val="clear" w:color="auto" w:fill="FFFFFF" w:themeFill="background2"/>
            <w:vAlign w:val="center"/>
          </w:tcPr>
          <w:p w14:paraId="49C0D30A" w14:textId="77777777" w:rsidR="00961617" w:rsidRPr="002F5864" w:rsidRDefault="00961617" w:rsidP="0020771F">
            <w:pPr>
              <w:pStyle w:val="tabletext"/>
              <w:spacing w:after="0"/>
              <w:ind w:right="346"/>
              <w:rPr>
                <w:rFonts w:cstheme="minorHAnsi"/>
                <w:szCs w:val="20"/>
              </w:rPr>
            </w:pPr>
            <w:r w:rsidRPr="002F5864">
              <w:rPr>
                <w:rFonts w:cstheme="minorHAnsi"/>
                <w:szCs w:val="20"/>
              </w:rPr>
              <w:t>4.8</w:t>
            </w:r>
          </w:p>
        </w:tc>
        <w:tc>
          <w:tcPr>
            <w:tcW w:w="721" w:type="pct"/>
            <w:gridSpan w:val="2"/>
            <w:tcBorders>
              <w:top w:val="nil"/>
              <w:left w:val="nil"/>
              <w:bottom w:val="nil"/>
              <w:right w:val="nil"/>
            </w:tcBorders>
            <w:shd w:val="clear" w:color="auto" w:fill="FFFFFF" w:themeFill="background2"/>
            <w:vAlign w:val="center"/>
          </w:tcPr>
          <w:p w14:paraId="056D129C" w14:textId="77777777" w:rsidR="00961617" w:rsidRPr="002F5864" w:rsidRDefault="00961617" w:rsidP="0020771F">
            <w:pPr>
              <w:pStyle w:val="tabletext"/>
              <w:spacing w:after="0"/>
              <w:ind w:right="346"/>
              <w:rPr>
                <w:rFonts w:cstheme="minorHAnsi"/>
                <w:szCs w:val="20"/>
              </w:rPr>
            </w:pPr>
            <w:r w:rsidRPr="002F5864">
              <w:rPr>
                <w:rFonts w:cstheme="minorHAnsi"/>
                <w:szCs w:val="20"/>
              </w:rPr>
              <w:t>6.1</w:t>
            </w:r>
          </w:p>
        </w:tc>
      </w:tr>
      <w:tr w:rsidR="00961617" w:rsidRPr="002F5864" w14:paraId="015805CD"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079A5A6C"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total</w:t>
            </w:r>
          </w:p>
        </w:tc>
        <w:tc>
          <w:tcPr>
            <w:tcW w:w="685" w:type="pct"/>
            <w:gridSpan w:val="2"/>
            <w:tcBorders>
              <w:top w:val="nil"/>
              <w:left w:val="nil"/>
              <w:bottom w:val="nil"/>
              <w:right w:val="nil"/>
            </w:tcBorders>
            <w:shd w:val="clear" w:color="auto" w:fill="E5E5E5" w:themeFill="background1" w:themeFillTint="33"/>
            <w:vAlign w:val="center"/>
          </w:tcPr>
          <w:p w14:paraId="478B9708" w14:textId="77777777" w:rsidR="00961617" w:rsidRPr="002F5864" w:rsidRDefault="00961617" w:rsidP="0020771F">
            <w:pPr>
              <w:pStyle w:val="tabletext"/>
              <w:spacing w:after="0"/>
              <w:ind w:right="346"/>
              <w:rPr>
                <w:rFonts w:cstheme="minorHAnsi"/>
                <w:szCs w:val="20"/>
              </w:rPr>
            </w:pPr>
            <w:r w:rsidRPr="002F5864">
              <w:rPr>
                <w:rFonts w:cstheme="minorHAnsi"/>
                <w:szCs w:val="20"/>
              </w:rPr>
              <w:t>48.0</w:t>
            </w:r>
          </w:p>
        </w:tc>
        <w:tc>
          <w:tcPr>
            <w:tcW w:w="636" w:type="pct"/>
            <w:tcBorders>
              <w:top w:val="nil"/>
              <w:left w:val="nil"/>
              <w:bottom w:val="nil"/>
              <w:right w:val="nil"/>
            </w:tcBorders>
            <w:shd w:val="clear" w:color="auto" w:fill="E5E5E5" w:themeFill="background1" w:themeFillTint="33"/>
            <w:vAlign w:val="center"/>
          </w:tcPr>
          <w:p w14:paraId="512DF7C7" w14:textId="77777777" w:rsidR="00961617" w:rsidRPr="002F5864" w:rsidRDefault="00961617" w:rsidP="0020771F">
            <w:pPr>
              <w:pStyle w:val="tabletext"/>
              <w:spacing w:after="0"/>
              <w:ind w:right="346"/>
              <w:rPr>
                <w:rFonts w:cstheme="minorHAnsi"/>
                <w:szCs w:val="20"/>
              </w:rPr>
            </w:pPr>
            <w:r w:rsidRPr="002F5864">
              <w:rPr>
                <w:rFonts w:cstheme="minorHAnsi"/>
                <w:szCs w:val="20"/>
              </w:rPr>
              <w:t>50.0</w:t>
            </w:r>
          </w:p>
        </w:tc>
        <w:tc>
          <w:tcPr>
            <w:tcW w:w="670" w:type="pct"/>
            <w:gridSpan w:val="2"/>
            <w:tcBorders>
              <w:top w:val="nil"/>
              <w:left w:val="nil"/>
              <w:bottom w:val="nil"/>
              <w:right w:val="nil"/>
            </w:tcBorders>
            <w:shd w:val="clear" w:color="auto" w:fill="E5E5E5" w:themeFill="background1" w:themeFillTint="33"/>
            <w:vAlign w:val="center"/>
          </w:tcPr>
          <w:p w14:paraId="6B878061" w14:textId="77777777" w:rsidR="00961617" w:rsidRPr="002F5864" w:rsidRDefault="00961617" w:rsidP="0020771F">
            <w:pPr>
              <w:pStyle w:val="tabletext"/>
              <w:spacing w:after="0"/>
              <w:ind w:right="346"/>
              <w:rPr>
                <w:rFonts w:cstheme="minorHAnsi"/>
                <w:szCs w:val="20"/>
              </w:rPr>
            </w:pPr>
            <w:r w:rsidRPr="002F5864">
              <w:rPr>
                <w:rFonts w:cstheme="minorHAnsi"/>
                <w:szCs w:val="20"/>
              </w:rPr>
              <w:t>46.8</w:t>
            </w:r>
          </w:p>
        </w:tc>
        <w:tc>
          <w:tcPr>
            <w:tcW w:w="721" w:type="pct"/>
            <w:gridSpan w:val="2"/>
            <w:tcBorders>
              <w:top w:val="nil"/>
              <w:left w:val="nil"/>
              <w:bottom w:val="nil"/>
              <w:right w:val="nil"/>
            </w:tcBorders>
            <w:shd w:val="clear" w:color="auto" w:fill="E5E5E5" w:themeFill="background1" w:themeFillTint="33"/>
            <w:vAlign w:val="center"/>
          </w:tcPr>
          <w:p w14:paraId="48550971" w14:textId="77777777" w:rsidR="00961617" w:rsidRPr="002F5864" w:rsidRDefault="00961617" w:rsidP="0020771F">
            <w:pPr>
              <w:pStyle w:val="tabletext"/>
              <w:spacing w:after="0"/>
              <w:ind w:right="346"/>
              <w:rPr>
                <w:rFonts w:cstheme="minorHAnsi"/>
                <w:iCs/>
                <w:szCs w:val="20"/>
              </w:rPr>
            </w:pPr>
            <w:r w:rsidRPr="002F5864">
              <w:rPr>
                <w:rFonts w:cstheme="minorHAnsi"/>
                <w:szCs w:val="20"/>
              </w:rPr>
              <w:t>47.8</w:t>
            </w:r>
          </w:p>
        </w:tc>
      </w:tr>
      <w:tr w:rsidR="00961617" w:rsidRPr="002F5864" w14:paraId="0DAC19E5"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8E34378"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Persons less than  25 years old</w:t>
            </w:r>
          </w:p>
        </w:tc>
        <w:tc>
          <w:tcPr>
            <w:tcW w:w="685" w:type="pct"/>
            <w:gridSpan w:val="2"/>
            <w:tcBorders>
              <w:top w:val="nil"/>
              <w:left w:val="nil"/>
              <w:bottom w:val="nil"/>
              <w:right w:val="nil"/>
            </w:tcBorders>
            <w:shd w:val="clear" w:color="auto" w:fill="FFFFFF" w:themeFill="background2"/>
            <w:vAlign w:val="center"/>
          </w:tcPr>
          <w:p w14:paraId="31A01CB3" w14:textId="77777777" w:rsidR="00961617" w:rsidRPr="002F5864" w:rsidRDefault="00961617" w:rsidP="0020771F">
            <w:pPr>
              <w:pStyle w:val="tabletext"/>
              <w:spacing w:after="0"/>
              <w:ind w:right="346"/>
              <w:rPr>
                <w:rFonts w:cstheme="minorHAnsi"/>
                <w:szCs w:val="20"/>
              </w:rPr>
            </w:pPr>
            <w:r w:rsidRPr="002F5864">
              <w:rPr>
                <w:rFonts w:cstheme="minorHAnsi"/>
                <w:szCs w:val="20"/>
              </w:rPr>
              <w:t>23.6</w:t>
            </w:r>
          </w:p>
        </w:tc>
        <w:tc>
          <w:tcPr>
            <w:tcW w:w="636" w:type="pct"/>
            <w:tcBorders>
              <w:top w:val="nil"/>
              <w:left w:val="nil"/>
              <w:bottom w:val="nil"/>
              <w:right w:val="nil"/>
            </w:tcBorders>
            <w:shd w:val="clear" w:color="auto" w:fill="FFFFFF" w:themeFill="background2"/>
            <w:vAlign w:val="center"/>
          </w:tcPr>
          <w:p w14:paraId="6679D6A7" w14:textId="77777777" w:rsidR="00961617" w:rsidRPr="002F5864" w:rsidRDefault="00961617" w:rsidP="0020771F">
            <w:pPr>
              <w:pStyle w:val="tabletext"/>
              <w:spacing w:after="0"/>
              <w:ind w:right="346"/>
              <w:rPr>
                <w:rFonts w:cstheme="minorHAnsi"/>
                <w:szCs w:val="20"/>
              </w:rPr>
            </w:pPr>
            <w:r w:rsidRPr="002F5864">
              <w:rPr>
                <w:rFonts w:cstheme="minorHAnsi"/>
                <w:szCs w:val="20"/>
              </w:rPr>
              <w:t>21.6</w:t>
            </w:r>
          </w:p>
        </w:tc>
        <w:tc>
          <w:tcPr>
            <w:tcW w:w="670" w:type="pct"/>
            <w:gridSpan w:val="2"/>
            <w:tcBorders>
              <w:top w:val="nil"/>
              <w:left w:val="nil"/>
              <w:bottom w:val="nil"/>
              <w:right w:val="nil"/>
            </w:tcBorders>
            <w:shd w:val="clear" w:color="auto" w:fill="FFFFFF" w:themeFill="background2"/>
            <w:vAlign w:val="center"/>
          </w:tcPr>
          <w:p w14:paraId="6B2CC222" w14:textId="77777777" w:rsidR="00961617" w:rsidRPr="002F5864" w:rsidRDefault="00961617" w:rsidP="0020771F">
            <w:pPr>
              <w:pStyle w:val="tabletext"/>
              <w:spacing w:after="0"/>
              <w:ind w:right="346"/>
              <w:rPr>
                <w:rFonts w:cstheme="minorHAnsi"/>
                <w:szCs w:val="20"/>
              </w:rPr>
            </w:pPr>
            <w:r w:rsidRPr="002F5864">
              <w:rPr>
                <w:rFonts w:cstheme="minorHAnsi"/>
                <w:szCs w:val="20"/>
              </w:rPr>
              <w:t>28.4</w:t>
            </w:r>
          </w:p>
        </w:tc>
        <w:tc>
          <w:tcPr>
            <w:tcW w:w="721" w:type="pct"/>
            <w:gridSpan w:val="2"/>
            <w:tcBorders>
              <w:top w:val="nil"/>
              <w:left w:val="nil"/>
              <w:bottom w:val="nil"/>
              <w:right w:val="nil"/>
            </w:tcBorders>
            <w:shd w:val="clear" w:color="auto" w:fill="FFFFFF" w:themeFill="background2"/>
            <w:vAlign w:val="center"/>
          </w:tcPr>
          <w:p w14:paraId="2F208571" w14:textId="77777777" w:rsidR="00961617" w:rsidRPr="002F5864" w:rsidRDefault="00961617" w:rsidP="0020771F">
            <w:pPr>
              <w:pStyle w:val="tabletext"/>
              <w:spacing w:after="0"/>
              <w:ind w:right="346"/>
              <w:rPr>
                <w:rFonts w:cstheme="minorHAnsi"/>
                <w:szCs w:val="20"/>
              </w:rPr>
            </w:pPr>
            <w:r w:rsidRPr="002F5864">
              <w:rPr>
                <w:rFonts w:cstheme="minorHAnsi"/>
                <w:szCs w:val="20"/>
              </w:rPr>
              <w:t>27.2</w:t>
            </w:r>
          </w:p>
        </w:tc>
      </w:tr>
      <w:tr w:rsidR="00961617" w:rsidRPr="002F5864" w14:paraId="7A1ECF82"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1E6A1181"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Persons 25 to 29 years old</w:t>
            </w:r>
          </w:p>
        </w:tc>
        <w:tc>
          <w:tcPr>
            <w:tcW w:w="685" w:type="pct"/>
            <w:gridSpan w:val="2"/>
            <w:tcBorders>
              <w:top w:val="nil"/>
              <w:left w:val="nil"/>
              <w:bottom w:val="nil"/>
              <w:right w:val="nil"/>
            </w:tcBorders>
            <w:shd w:val="clear" w:color="auto" w:fill="E5E5E5" w:themeFill="background1" w:themeFillTint="33"/>
            <w:vAlign w:val="center"/>
          </w:tcPr>
          <w:p w14:paraId="662E34E3" w14:textId="77777777" w:rsidR="00961617" w:rsidRPr="002F5864" w:rsidRDefault="00961617" w:rsidP="0020771F">
            <w:pPr>
              <w:pStyle w:val="tabletext"/>
              <w:spacing w:after="0"/>
              <w:ind w:right="346"/>
              <w:rPr>
                <w:rFonts w:cstheme="minorHAnsi"/>
                <w:szCs w:val="20"/>
              </w:rPr>
            </w:pPr>
            <w:r w:rsidRPr="002F5864">
              <w:rPr>
                <w:rFonts w:cstheme="minorHAnsi"/>
                <w:szCs w:val="20"/>
              </w:rPr>
              <w:t>10.2</w:t>
            </w:r>
          </w:p>
        </w:tc>
        <w:tc>
          <w:tcPr>
            <w:tcW w:w="636" w:type="pct"/>
            <w:tcBorders>
              <w:top w:val="nil"/>
              <w:left w:val="nil"/>
              <w:bottom w:val="nil"/>
              <w:right w:val="nil"/>
            </w:tcBorders>
            <w:shd w:val="clear" w:color="auto" w:fill="E5E5E5" w:themeFill="background1" w:themeFillTint="33"/>
            <w:vAlign w:val="center"/>
          </w:tcPr>
          <w:p w14:paraId="15AFDD0E" w14:textId="77777777" w:rsidR="00961617" w:rsidRPr="002F5864" w:rsidRDefault="00961617" w:rsidP="0020771F">
            <w:pPr>
              <w:pStyle w:val="tabletext"/>
              <w:spacing w:after="0"/>
              <w:ind w:right="346"/>
              <w:rPr>
                <w:rFonts w:cstheme="minorHAnsi"/>
                <w:szCs w:val="20"/>
              </w:rPr>
            </w:pPr>
            <w:r w:rsidRPr="002F5864">
              <w:rPr>
                <w:rFonts w:cstheme="minorHAnsi"/>
                <w:szCs w:val="20"/>
              </w:rPr>
              <w:t>10.0</w:t>
            </w:r>
          </w:p>
        </w:tc>
        <w:tc>
          <w:tcPr>
            <w:tcW w:w="670" w:type="pct"/>
            <w:gridSpan w:val="2"/>
            <w:tcBorders>
              <w:top w:val="nil"/>
              <w:left w:val="nil"/>
              <w:bottom w:val="nil"/>
              <w:right w:val="nil"/>
            </w:tcBorders>
            <w:shd w:val="clear" w:color="auto" w:fill="E5E5E5" w:themeFill="background1" w:themeFillTint="33"/>
            <w:vAlign w:val="center"/>
          </w:tcPr>
          <w:p w14:paraId="16C02DD7" w14:textId="77777777" w:rsidR="00961617" w:rsidRPr="002F5864" w:rsidRDefault="00961617" w:rsidP="0020771F">
            <w:pPr>
              <w:pStyle w:val="tabletext"/>
              <w:spacing w:after="0"/>
              <w:ind w:right="346"/>
              <w:rPr>
                <w:rFonts w:cstheme="minorHAnsi"/>
                <w:szCs w:val="20"/>
              </w:rPr>
            </w:pPr>
            <w:r w:rsidRPr="002F5864">
              <w:rPr>
                <w:rFonts w:cstheme="minorHAnsi"/>
                <w:szCs w:val="20"/>
              </w:rPr>
              <w:t>11.4</w:t>
            </w:r>
          </w:p>
        </w:tc>
        <w:tc>
          <w:tcPr>
            <w:tcW w:w="721" w:type="pct"/>
            <w:gridSpan w:val="2"/>
            <w:tcBorders>
              <w:top w:val="nil"/>
              <w:left w:val="nil"/>
              <w:bottom w:val="nil"/>
              <w:right w:val="nil"/>
            </w:tcBorders>
            <w:shd w:val="clear" w:color="auto" w:fill="E5E5E5" w:themeFill="background1" w:themeFillTint="33"/>
            <w:vAlign w:val="center"/>
          </w:tcPr>
          <w:p w14:paraId="65AB5D15" w14:textId="77777777" w:rsidR="00961617" w:rsidRPr="002F5864" w:rsidRDefault="00961617" w:rsidP="0020771F">
            <w:pPr>
              <w:pStyle w:val="tabletext"/>
              <w:spacing w:after="0"/>
              <w:ind w:right="346"/>
              <w:rPr>
                <w:rFonts w:cstheme="minorHAnsi"/>
                <w:szCs w:val="20"/>
              </w:rPr>
            </w:pPr>
            <w:r w:rsidRPr="002F5864">
              <w:rPr>
                <w:rFonts w:cstheme="minorHAnsi"/>
                <w:szCs w:val="20"/>
              </w:rPr>
              <w:t>11.3</w:t>
            </w:r>
          </w:p>
        </w:tc>
      </w:tr>
      <w:tr w:rsidR="00961617" w:rsidRPr="002F5864" w14:paraId="13ACAA7C"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0B0BA91D"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Persons 30 to 49 years old</w:t>
            </w:r>
          </w:p>
        </w:tc>
        <w:tc>
          <w:tcPr>
            <w:tcW w:w="685" w:type="pct"/>
            <w:gridSpan w:val="2"/>
            <w:tcBorders>
              <w:top w:val="nil"/>
              <w:left w:val="nil"/>
              <w:bottom w:val="nil"/>
              <w:right w:val="nil"/>
            </w:tcBorders>
            <w:shd w:val="clear" w:color="auto" w:fill="FFFFFF" w:themeFill="background2"/>
            <w:vAlign w:val="center"/>
          </w:tcPr>
          <w:p w14:paraId="59636CD0" w14:textId="77777777" w:rsidR="00961617" w:rsidRPr="002F5864" w:rsidRDefault="00961617" w:rsidP="0020771F">
            <w:pPr>
              <w:pStyle w:val="tabletext"/>
              <w:spacing w:after="0"/>
              <w:ind w:right="346"/>
              <w:rPr>
                <w:rFonts w:cstheme="minorHAnsi"/>
                <w:szCs w:val="20"/>
              </w:rPr>
            </w:pPr>
            <w:r w:rsidRPr="002F5864">
              <w:rPr>
                <w:rFonts w:cstheme="minorHAnsi"/>
                <w:szCs w:val="20"/>
              </w:rPr>
              <w:t>44.5</w:t>
            </w:r>
          </w:p>
        </w:tc>
        <w:tc>
          <w:tcPr>
            <w:tcW w:w="636" w:type="pct"/>
            <w:tcBorders>
              <w:top w:val="nil"/>
              <w:left w:val="nil"/>
              <w:bottom w:val="nil"/>
              <w:right w:val="nil"/>
            </w:tcBorders>
            <w:shd w:val="clear" w:color="auto" w:fill="FFFFFF" w:themeFill="background2"/>
            <w:vAlign w:val="center"/>
          </w:tcPr>
          <w:p w14:paraId="56525901" w14:textId="77777777" w:rsidR="00961617" w:rsidRPr="002F5864" w:rsidRDefault="00961617" w:rsidP="0020771F">
            <w:pPr>
              <w:pStyle w:val="tabletext"/>
              <w:spacing w:after="0"/>
              <w:ind w:right="346"/>
              <w:rPr>
                <w:rFonts w:cstheme="minorHAnsi"/>
                <w:szCs w:val="20"/>
              </w:rPr>
            </w:pPr>
            <w:r w:rsidRPr="002F5864">
              <w:rPr>
                <w:rFonts w:cstheme="minorHAnsi"/>
                <w:szCs w:val="20"/>
              </w:rPr>
              <w:t>44.1</w:t>
            </w:r>
          </w:p>
        </w:tc>
        <w:tc>
          <w:tcPr>
            <w:tcW w:w="670" w:type="pct"/>
            <w:gridSpan w:val="2"/>
            <w:tcBorders>
              <w:top w:val="nil"/>
              <w:left w:val="nil"/>
              <w:bottom w:val="nil"/>
              <w:right w:val="nil"/>
            </w:tcBorders>
            <w:shd w:val="clear" w:color="auto" w:fill="FFFFFF" w:themeFill="background2"/>
            <w:vAlign w:val="center"/>
          </w:tcPr>
          <w:p w14:paraId="302D555A" w14:textId="77777777" w:rsidR="00961617" w:rsidRPr="002F5864" w:rsidRDefault="00961617" w:rsidP="0020771F">
            <w:pPr>
              <w:pStyle w:val="tabletext"/>
              <w:spacing w:after="0"/>
              <w:ind w:right="346"/>
              <w:rPr>
                <w:rFonts w:cstheme="minorHAnsi"/>
                <w:szCs w:val="20"/>
              </w:rPr>
            </w:pPr>
            <w:r w:rsidRPr="002F5864">
              <w:rPr>
                <w:rFonts w:cstheme="minorHAnsi"/>
                <w:szCs w:val="20"/>
              </w:rPr>
              <w:t>41.9</w:t>
            </w:r>
          </w:p>
        </w:tc>
        <w:tc>
          <w:tcPr>
            <w:tcW w:w="721" w:type="pct"/>
            <w:gridSpan w:val="2"/>
            <w:tcBorders>
              <w:top w:val="nil"/>
              <w:left w:val="nil"/>
              <w:bottom w:val="nil"/>
              <w:right w:val="nil"/>
            </w:tcBorders>
            <w:shd w:val="clear" w:color="auto" w:fill="FFFFFF" w:themeFill="background2"/>
            <w:vAlign w:val="center"/>
          </w:tcPr>
          <w:p w14:paraId="56303D4E" w14:textId="77777777" w:rsidR="00961617" w:rsidRPr="002F5864" w:rsidRDefault="00961617" w:rsidP="0020771F">
            <w:pPr>
              <w:pStyle w:val="tabletext"/>
              <w:spacing w:after="0"/>
              <w:ind w:right="346"/>
              <w:rPr>
                <w:rFonts w:cstheme="minorHAnsi"/>
                <w:szCs w:val="20"/>
              </w:rPr>
            </w:pPr>
            <w:r w:rsidRPr="002F5864">
              <w:rPr>
                <w:rFonts w:cstheme="minorHAnsi"/>
                <w:szCs w:val="20"/>
              </w:rPr>
              <w:t>41.3</w:t>
            </w:r>
          </w:p>
        </w:tc>
      </w:tr>
      <w:tr w:rsidR="00961617" w:rsidRPr="002F5864" w14:paraId="1641E599"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62152605"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Persons 50 to 55 years old</w:t>
            </w:r>
          </w:p>
        </w:tc>
        <w:tc>
          <w:tcPr>
            <w:tcW w:w="685" w:type="pct"/>
            <w:gridSpan w:val="2"/>
            <w:tcBorders>
              <w:top w:val="nil"/>
              <w:left w:val="nil"/>
              <w:bottom w:val="nil"/>
              <w:right w:val="nil"/>
            </w:tcBorders>
            <w:shd w:val="clear" w:color="auto" w:fill="E5E5E5" w:themeFill="background1" w:themeFillTint="33"/>
            <w:vAlign w:val="center"/>
          </w:tcPr>
          <w:p w14:paraId="606078E3" w14:textId="77777777" w:rsidR="00961617" w:rsidRPr="002F5864" w:rsidRDefault="00961617" w:rsidP="0020771F">
            <w:pPr>
              <w:pStyle w:val="tabletext"/>
              <w:spacing w:after="0"/>
              <w:ind w:right="346"/>
              <w:rPr>
                <w:rFonts w:cstheme="minorHAnsi"/>
                <w:szCs w:val="20"/>
              </w:rPr>
            </w:pPr>
            <w:r w:rsidRPr="002F5864">
              <w:rPr>
                <w:rFonts w:cstheme="minorHAnsi"/>
                <w:szCs w:val="20"/>
              </w:rPr>
              <w:t>8.2</w:t>
            </w:r>
          </w:p>
        </w:tc>
        <w:tc>
          <w:tcPr>
            <w:tcW w:w="636" w:type="pct"/>
            <w:tcBorders>
              <w:top w:val="nil"/>
              <w:left w:val="nil"/>
              <w:bottom w:val="nil"/>
              <w:right w:val="nil"/>
            </w:tcBorders>
            <w:shd w:val="clear" w:color="auto" w:fill="E5E5E5" w:themeFill="background1" w:themeFillTint="33"/>
            <w:vAlign w:val="center"/>
          </w:tcPr>
          <w:p w14:paraId="700A8BF5" w14:textId="77777777" w:rsidR="00961617" w:rsidRPr="002F5864" w:rsidRDefault="00961617" w:rsidP="0020771F">
            <w:pPr>
              <w:pStyle w:val="tabletext"/>
              <w:spacing w:after="0"/>
              <w:ind w:right="346"/>
              <w:rPr>
                <w:rFonts w:cstheme="minorHAnsi"/>
                <w:szCs w:val="20"/>
              </w:rPr>
            </w:pPr>
            <w:r w:rsidRPr="002F5864">
              <w:rPr>
                <w:rFonts w:cstheme="minorHAnsi"/>
                <w:szCs w:val="20"/>
              </w:rPr>
              <w:t>8.9</w:t>
            </w:r>
          </w:p>
        </w:tc>
        <w:tc>
          <w:tcPr>
            <w:tcW w:w="670" w:type="pct"/>
            <w:gridSpan w:val="2"/>
            <w:tcBorders>
              <w:top w:val="nil"/>
              <w:left w:val="nil"/>
              <w:bottom w:val="nil"/>
              <w:right w:val="nil"/>
            </w:tcBorders>
            <w:shd w:val="clear" w:color="auto" w:fill="E5E5E5" w:themeFill="background1" w:themeFillTint="33"/>
            <w:vAlign w:val="center"/>
          </w:tcPr>
          <w:p w14:paraId="5FA81AA2" w14:textId="77777777" w:rsidR="00961617" w:rsidRPr="002F5864" w:rsidRDefault="00961617" w:rsidP="0020771F">
            <w:pPr>
              <w:pStyle w:val="tabletext"/>
              <w:spacing w:after="0"/>
              <w:ind w:right="346"/>
              <w:rPr>
                <w:rFonts w:cstheme="minorHAnsi"/>
                <w:szCs w:val="20"/>
              </w:rPr>
            </w:pPr>
            <w:r w:rsidRPr="002F5864">
              <w:rPr>
                <w:rFonts w:cstheme="minorHAnsi"/>
                <w:szCs w:val="20"/>
              </w:rPr>
              <w:t>7.2</w:t>
            </w:r>
          </w:p>
        </w:tc>
        <w:tc>
          <w:tcPr>
            <w:tcW w:w="721" w:type="pct"/>
            <w:gridSpan w:val="2"/>
            <w:tcBorders>
              <w:top w:val="nil"/>
              <w:left w:val="nil"/>
              <w:bottom w:val="nil"/>
              <w:right w:val="nil"/>
            </w:tcBorders>
            <w:shd w:val="clear" w:color="auto" w:fill="E5E5E5" w:themeFill="background1" w:themeFillTint="33"/>
            <w:vAlign w:val="center"/>
          </w:tcPr>
          <w:p w14:paraId="4F129098" w14:textId="77777777" w:rsidR="00961617" w:rsidRPr="002F5864" w:rsidRDefault="00961617" w:rsidP="0020771F">
            <w:pPr>
              <w:pStyle w:val="tabletext"/>
              <w:spacing w:after="0"/>
              <w:ind w:right="346"/>
              <w:rPr>
                <w:rFonts w:cstheme="minorHAnsi"/>
                <w:szCs w:val="20"/>
              </w:rPr>
            </w:pPr>
            <w:r w:rsidRPr="002F5864">
              <w:rPr>
                <w:rFonts w:cstheme="minorHAnsi"/>
                <w:szCs w:val="20"/>
              </w:rPr>
              <w:t>7.6</w:t>
            </w:r>
          </w:p>
        </w:tc>
      </w:tr>
      <w:tr w:rsidR="00961617" w:rsidRPr="002F5864" w14:paraId="0D83EB28"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7911D1E8"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Persons 55 years and over</w:t>
            </w:r>
          </w:p>
        </w:tc>
        <w:tc>
          <w:tcPr>
            <w:tcW w:w="685" w:type="pct"/>
            <w:gridSpan w:val="2"/>
            <w:tcBorders>
              <w:top w:val="nil"/>
              <w:left w:val="nil"/>
              <w:bottom w:val="nil"/>
              <w:right w:val="nil"/>
            </w:tcBorders>
            <w:shd w:val="clear" w:color="auto" w:fill="FFFFFF" w:themeFill="background2"/>
            <w:vAlign w:val="center"/>
          </w:tcPr>
          <w:p w14:paraId="3BAE9B61" w14:textId="77777777" w:rsidR="00961617" w:rsidRPr="002F5864" w:rsidRDefault="00961617" w:rsidP="0020771F">
            <w:pPr>
              <w:pStyle w:val="tabletext"/>
              <w:spacing w:after="0"/>
              <w:ind w:right="346"/>
              <w:rPr>
                <w:rFonts w:cstheme="minorHAnsi"/>
                <w:szCs w:val="20"/>
              </w:rPr>
            </w:pPr>
            <w:r w:rsidRPr="002F5864">
              <w:rPr>
                <w:rFonts w:cstheme="minorHAnsi"/>
                <w:szCs w:val="20"/>
              </w:rPr>
              <w:t>13.5</w:t>
            </w:r>
          </w:p>
        </w:tc>
        <w:tc>
          <w:tcPr>
            <w:tcW w:w="636" w:type="pct"/>
            <w:tcBorders>
              <w:top w:val="nil"/>
              <w:left w:val="nil"/>
              <w:bottom w:val="nil"/>
              <w:right w:val="nil"/>
            </w:tcBorders>
            <w:shd w:val="clear" w:color="auto" w:fill="FFFFFF" w:themeFill="background2"/>
            <w:vAlign w:val="center"/>
          </w:tcPr>
          <w:p w14:paraId="348BB9DF" w14:textId="77777777" w:rsidR="00961617" w:rsidRPr="002F5864" w:rsidRDefault="00961617" w:rsidP="0020771F">
            <w:pPr>
              <w:pStyle w:val="tabletext"/>
              <w:spacing w:after="0"/>
              <w:ind w:right="346"/>
              <w:rPr>
                <w:rFonts w:cstheme="minorHAnsi"/>
                <w:szCs w:val="20"/>
              </w:rPr>
            </w:pPr>
            <w:r w:rsidRPr="002F5864">
              <w:rPr>
                <w:rFonts w:cstheme="minorHAnsi"/>
                <w:szCs w:val="20"/>
              </w:rPr>
              <w:t>15.4</w:t>
            </w:r>
          </w:p>
        </w:tc>
        <w:tc>
          <w:tcPr>
            <w:tcW w:w="670" w:type="pct"/>
            <w:gridSpan w:val="2"/>
            <w:tcBorders>
              <w:top w:val="nil"/>
              <w:left w:val="nil"/>
              <w:bottom w:val="nil"/>
              <w:right w:val="nil"/>
            </w:tcBorders>
            <w:shd w:val="clear" w:color="auto" w:fill="FFFFFF" w:themeFill="background2"/>
            <w:vAlign w:val="center"/>
          </w:tcPr>
          <w:p w14:paraId="6F666D7C" w14:textId="77777777" w:rsidR="00961617" w:rsidRPr="002F5864" w:rsidRDefault="00961617" w:rsidP="0020771F">
            <w:pPr>
              <w:pStyle w:val="tabletext"/>
              <w:spacing w:after="0"/>
              <w:ind w:right="346"/>
              <w:rPr>
                <w:rFonts w:cstheme="minorHAnsi"/>
                <w:szCs w:val="20"/>
              </w:rPr>
            </w:pPr>
            <w:r w:rsidRPr="002F5864">
              <w:rPr>
                <w:rFonts w:cstheme="minorHAnsi"/>
                <w:szCs w:val="20"/>
              </w:rPr>
              <w:t>11.1</w:t>
            </w:r>
          </w:p>
        </w:tc>
        <w:tc>
          <w:tcPr>
            <w:tcW w:w="721" w:type="pct"/>
            <w:gridSpan w:val="2"/>
            <w:tcBorders>
              <w:top w:val="nil"/>
              <w:left w:val="nil"/>
              <w:bottom w:val="nil"/>
              <w:right w:val="nil"/>
            </w:tcBorders>
            <w:shd w:val="clear" w:color="auto" w:fill="FFFFFF" w:themeFill="background2"/>
            <w:vAlign w:val="center"/>
          </w:tcPr>
          <w:p w14:paraId="47832735" w14:textId="77777777" w:rsidR="00961617" w:rsidRPr="002F5864" w:rsidRDefault="00961617" w:rsidP="0020771F">
            <w:pPr>
              <w:pStyle w:val="tabletext"/>
              <w:spacing w:after="0"/>
              <w:ind w:right="346"/>
              <w:rPr>
                <w:rFonts w:cstheme="minorHAnsi"/>
                <w:szCs w:val="20"/>
              </w:rPr>
            </w:pPr>
            <w:r w:rsidRPr="002F5864">
              <w:rPr>
                <w:rFonts w:cstheme="minorHAnsi"/>
                <w:szCs w:val="20"/>
              </w:rPr>
              <w:t>12.6</w:t>
            </w:r>
          </w:p>
        </w:tc>
      </w:tr>
      <w:tr w:rsidR="00961617" w:rsidRPr="002F5864" w14:paraId="7E4BFA09"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18E11B46"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Indigenous</w:t>
            </w:r>
          </w:p>
        </w:tc>
        <w:tc>
          <w:tcPr>
            <w:tcW w:w="685" w:type="pct"/>
            <w:gridSpan w:val="2"/>
            <w:tcBorders>
              <w:top w:val="nil"/>
              <w:left w:val="nil"/>
              <w:bottom w:val="nil"/>
              <w:right w:val="nil"/>
            </w:tcBorders>
            <w:shd w:val="clear" w:color="auto" w:fill="E5E5E5" w:themeFill="background1" w:themeFillTint="33"/>
            <w:vAlign w:val="center"/>
          </w:tcPr>
          <w:p w14:paraId="0EE019A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9.7</w:t>
            </w:r>
          </w:p>
        </w:tc>
        <w:tc>
          <w:tcPr>
            <w:tcW w:w="636" w:type="pct"/>
            <w:tcBorders>
              <w:top w:val="nil"/>
              <w:left w:val="nil"/>
              <w:bottom w:val="nil"/>
              <w:right w:val="nil"/>
            </w:tcBorders>
            <w:shd w:val="clear" w:color="auto" w:fill="E5E5E5" w:themeFill="background1" w:themeFillTint="33"/>
            <w:vAlign w:val="center"/>
          </w:tcPr>
          <w:p w14:paraId="46460C77"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9.4</w:t>
            </w:r>
          </w:p>
        </w:tc>
        <w:tc>
          <w:tcPr>
            <w:tcW w:w="670" w:type="pct"/>
            <w:gridSpan w:val="2"/>
            <w:tcBorders>
              <w:top w:val="nil"/>
              <w:left w:val="nil"/>
              <w:bottom w:val="nil"/>
              <w:right w:val="nil"/>
            </w:tcBorders>
            <w:shd w:val="clear" w:color="auto" w:fill="E5E5E5" w:themeFill="background1" w:themeFillTint="33"/>
            <w:vAlign w:val="center"/>
          </w:tcPr>
          <w:p w14:paraId="08590C6C"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7.6</w:t>
            </w:r>
          </w:p>
        </w:tc>
        <w:tc>
          <w:tcPr>
            <w:tcW w:w="721" w:type="pct"/>
            <w:gridSpan w:val="2"/>
            <w:tcBorders>
              <w:top w:val="nil"/>
              <w:left w:val="nil"/>
              <w:bottom w:val="nil"/>
              <w:right w:val="nil"/>
            </w:tcBorders>
            <w:shd w:val="clear" w:color="auto" w:fill="E5E5E5" w:themeFill="background1" w:themeFillTint="33"/>
            <w:vAlign w:val="center"/>
          </w:tcPr>
          <w:p w14:paraId="5B3E40E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8.0</w:t>
            </w:r>
          </w:p>
        </w:tc>
      </w:tr>
      <w:tr w:rsidR="00961617" w:rsidRPr="002F5864" w14:paraId="1A6DC1D9"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43C4269A"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Non-Indigenous</w:t>
            </w:r>
          </w:p>
        </w:tc>
        <w:tc>
          <w:tcPr>
            <w:tcW w:w="685" w:type="pct"/>
            <w:gridSpan w:val="2"/>
            <w:tcBorders>
              <w:top w:val="nil"/>
              <w:left w:val="nil"/>
              <w:bottom w:val="nil"/>
              <w:right w:val="nil"/>
            </w:tcBorders>
            <w:shd w:val="clear" w:color="auto" w:fill="FFFFFF" w:themeFill="background2"/>
            <w:vAlign w:val="center"/>
          </w:tcPr>
          <w:p w14:paraId="5709BB2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90.3</w:t>
            </w:r>
          </w:p>
        </w:tc>
        <w:tc>
          <w:tcPr>
            <w:tcW w:w="636" w:type="pct"/>
            <w:tcBorders>
              <w:top w:val="nil"/>
              <w:left w:val="nil"/>
              <w:bottom w:val="nil"/>
              <w:right w:val="nil"/>
            </w:tcBorders>
            <w:shd w:val="clear" w:color="auto" w:fill="FFFFFF" w:themeFill="background2"/>
            <w:vAlign w:val="center"/>
          </w:tcPr>
          <w:p w14:paraId="2B5EE0B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90.6</w:t>
            </w:r>
          </w:p>
        </w:tc>
        <w:tc>
          <w:tcPr>
            <w:tcW w:w="670" w:type="pct"/>
            <w:gridSpan w:val="2"/>
            <w:tcBorders>
              <w:top w:val="nil"/>
              <w:left w:val="nil"/>
              <w:bottom w:val="nil"/>
              <w:right w:val="nil"/>
            </w:tcBorders>
            <w:shd w:val="clear" w:color="auto" w:fill="FFFFFF" w:themeFill="background2"/>
            <w:vAlign w:val="center"/>
          </w:tcPr>
          <w:p w14:paraId="71E0139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92.4</w:t>
            </w:r>
          </w:p>
        </w:tc>
        <w:tc>
          <w:tcPr>
            <w:tcW w:w="721" w:type="pct"/>
            <w:gridSpan w:val="2"/>
            <w:tcBorders>
              <w:top w:val="nil"/>
              <w:left w:val="nil"/>
              <w:bottom w:val="nil"/>
              <w:right w:val="nil"/>
            </w:tcBorders>
            <w:shd w:val="clear" w:color="auto" w:fill="FFFFFF" w:themeFill="background2"/>
            <w:vAlign w:val="center"/>
          </w:tcPr>
          <w:p w14:paraId="3C5B6CE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92.0</w:t>
            </w:r>
          </w:p>
        </w:tc>
      </w:tr>
      <w:tr w:rsidR="00961617" w:rsidRPr="002F5864" w14:paraId="33310D53"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7FB252D5"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Non-English speaking background</w:t>
            </w:r>
          </w:p>
        </w:tc>
        <w:tc>
          <w:tcPr>
            <w:tcW w:w="685" w:type="pct"/>
            <w:gridSpan w:val="2"/>
            <w:tcBorders>
              <w:top w:val="nil"/>
              <w:left w:val="nil"/>
              <w:bottom w:val="nil"/>
              <w:right w:val="nil"/>
            </w:tcBorders>
            <w:shd w:val="clear" w:color="auto" w:fill="E5E5E5" w:themeFill="background1" w:themeFillTint="33"/>
            <w:vAlign w:val="center"/>
          </w:tcPr>
          <w:p w14:paraId="7720ADA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17.6</w:t>
            </w:r>
          </w:p>
        </w:tc>
        <w:tc>
          <w:tcPr>
            <w:tcW w:w="636" w:type="pct"/>
            <w:tcBorders>
              <w:top w:val="nil"/>
              <w:left w:val="nil"/>
              <w:bottom w:val="nil"/>
              <w:right w:val="nil"/>
            </w:tcBorders>
            <w:shd w:val="clear" w:color="auto" w:fill="E5E5E5" w:themeFill="background1" w:themeFillTint="33"/>
            <w:vAlign w:val="center"/>
          </w:tcPr>
          <w:p w14:paraId="3BB2349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18.8</w:t>
            </w:r>
          </w:p>
        </w:tc>
        <w:tc>
          <w:tcPr>
            <w:tcW w:w="670" w:type="pct"/>
            <w:gridSpan w:val="2"/>
            <w:tcBorders>
              <w:top w:val="nil"/>
              <w:left w:val="nil"/>
              <w:bottom w:val="nil"/>
              <w:right w:val="nil"/>
            </w:tcBorders>
            <w:shd w:val="clear" w:color="auto" w:fill="E5E5E5" w:themeFill="background1" w:themeFillTint="33"/>
            <w:vAlign w:val="center"/>
          </w:tcPr>
          <w:p w14:paraId="3E98276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18.6</w:t>
            </w:r>
          </w:p>
        </w:tc>
        <w:tc>
          <w:tcPr>
            <w:tcW w:w="721" w:type="pct"/>
            <w:gridSpan w:val="2"/>
            <w:tcBorders>
              <w:top w:val="nil"/>
              <w:left w:val="nil"/>
              <w:bottom w:val="nil"/>
              <w:right w:val="nil"/>
            </w:tcBorders>
            <w:shd w:val="clear" w:color="auto" w:fill="E5E5E5" w:themeFill="background1" w:themeFillTint="33"/>
            <w:vAlign w:val="center"/>
          </w:tcPr>
          <w:p w14:paraId="6E2C43C7"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19.0</w:t>
            </w:r>
          </w:p>
        </w:tc>
      </w:tr>
      <w:tr w:rsidR="00961617" w:rsidRPr="002F5864" w14:paraId="68DCAEA0"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7BD8EF82"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Disability based on ESAt or JCA</w:t>
            </w:r>
          </w:p>
        </w:tc>
        <w:tc>
          <w:tcPr>
            <w:tcW w:w="685" w:type="pct"/>
            <w:gridSpan w:val="2"/>
            <w:tcBorders>
              <w:top w:val="nil"/>
              <w:left w:val="nil"/>
              <w:bottom w:val="nil"/>
              <w:right w:val="nil"/>
            </w:tcBorders>
            <w:shd w:val="clear" w:color="auto" w:fill="FFFFFF" w:themeFill="background2"/>
            <w:vAlign w:val="center"/>
          </w:tcPr>
          <w:p w14:paraId="4C693D9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29.5</w:t>
            </w:r>
          </w:p>
        </w:tc>
        <w:tc>
          <w:tcPr>
            <w:tcW w:w="636" w:type="pct"/>
            <w:tcBorders>
              <w:top w:val="nil"/>
              <w:left w:val="nil"/>
              <w:bottom w:val="nil"/>
              <w:right w:val="nil"/>
            </w:tcBorders>
            <w:shd w:val="clear" w:color="auto" w:fill="FFFFFF" w:themeFill="background2"/>
            <w:vAlign w:val="center"/>
          </w:tcPr>
          <w:p w14:paraId="7C6BE0E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19.8</w:t>
            </w:r>
          </w:p>
        </w:tc>
        <w:tc>
          <w:tcPr>
            <w:tcW w:w="670" w:type="pct"/>
            <w:gridSpan w:val="2"/>
            <w:tcBorders>
              <w:top w:val="nil"/>
              <w:left w:val="nil"/>
              <w:bottom w:val="nil"/>
              <w:right w:val="nil"/>
            </w:tcBorders>
            <w:shd w:val="clear" w:color="auto" w:fill="FFFFFF" w:themeFill="background2"/>
            <w:vAlign w:val="center"/>
          </w:tcPr>
          <w:p w14:paraId="519F059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22</w:t>
            </w:r>
          </w:p>
        </w:tc>
        <w:tc>
          <w:tcPr>
            <w:tcW w:w="721" w:type="pct"/>
            <w:gridSpan w:val="2"/>
            <w:tcBorders>
              <w:top w:val="nil"/>
              <w:left w:val="nil"/>
              <w:bottom w:val="nil"/>
              <w:right w:val="nil"/>
            </w:tcBorders>
            <w:shd w:val="clear" w:color="auto" w:fill="FFFFFF" w:themeFill="background2"/>
            <w:vAlign w:val="center"/>
          </w:tcPr>
          <w:p w14:paraId="5CA60A0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15.3</w:t>
            </w:r>
          </w:p>
        </w:tc>
      </w:tr>
      <w:tr w:rsidR="00961617" w:rsidRPr="002F5864" w14:paraId="49C1F089"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75240D68"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Disability based on JSCI only</w:t>
            </w:r>
          </w:p>
        </w:tc>
        <w:tc>
          <w:tcPr>
            <w:tcW w:w="685" w:type="pct"/>
            <w:gridSpan w:val="2"/>
            <w:tcBorders>
              <w:top w:val="nil"/>
              <w:left w:val="nil"/>
              <w:bottom w:val="nil"/>
              <w:right w:val="nil"/>
            </w:tcBorders>
            <w:shd w:val="clear" w:color="auto" w:fill="E5E5E5" w:themeFill="background1" w:themeFillTint="33"/>
            <w:vAlign w:val="center"/>
          </w:tcPr>
          <w:p w14:paraId="0323547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9.5</w:t>
            </w:r>
          </w:p>
        </w:tc>
        <w:tc>
          <w:tcPr>
            <w:tcW w:w="636" w:type="pct"/>
            <w:tcBorders>
              <w:top w:val="nil"/>
              <w:left w:val="nil"/>
              <w:bottom w:val="nil"/>
              <w:right w:val="nil"/>
            </w:tcBorders>
            <w:shd w:val="clear" w:color="auto" w:fill="E5E5E5" w:themeFill="background1" w:themeFillTint="33"/>
            <w:vAlign w:val="center"/>
          </w:tcPr>
          <w:p w14:paraId="7D6BC1C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14.0</w:t>
            </w:r>
          </w:p>
        </w:tc>
        <w:tc>
          <w:tcPr>
            <w:tcW w:w="670" w:type="pct"/>
            <w:gridSpan w:val="2"/>
            <w:tcBorders>
              <w:top w:val="nil"/>
              <w:left w:val="nil"/>
              <w:bottom w:val="nil"/>
              <w:right w:val="nil"/>
            </w:tcBorders>
            <w:shd w:val="clear" w:color="auto" w:fill="E5E5E5" w:themeFill="background1" w:themeFillTint="33"/>
            <w:vAlign w:val="center"/>
          </w:tcPr>
          <w:p w14:paraId="29F5CEC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7.9</w:t>
            </w:r>
          </w:p>
        </w:tc>
        <w:tc>
          <w:tcPr>
            <w:tcW w:w="721" w:type="pct"/>
            <w:gridSpan w:val="2"/>
            <w:tcBorders>
              <w:top w:val="nil"/>
              <w:left w:val="nil"/>
              <w:bottom w:val="nil"/>
              <w:right w:val="nil"/>
            </w:tcBorders>
            <w:shd w:val="clear" w:color="auto" w:fill="E5E5E5" w:themeFill="background1" w:themeFillTint="33"/>
            <w:vAlign w:val="center"/>
          </w:tcPr>
          <w:p w14:paraId="56099C67"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13.4</w:t>
            </w:r>
          </w:p>
        </w:tc>
      </w:tr>
      <w:tr w:rsidR="00961617" w:rsidRPr="002F5864" w14:paraId="303851F6"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30359ECC"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Total people with disability</w:t>
            </w:r>
          </w:p>
        </w:tc>
        <w:tc>
          <w:tcPr>
            <w:tcW w:w="685" w:type="pct"/>
            <w:gridSpan w:val="2"/>
            <w:tcBorders>
              <w:top w:val="nil"/>
              <w:left w:val="nil"/>
              <w:bottom w:val="nil"/>
              <w:right w:val="nil"/>
            </w:tcBorders>
            <w:shd w:val="clear" w:color="auto" w:fill="FFFFFF" w:themeFill="background2"/>
            <w:vAlign w:val="center"/>
          </w:tcPr>
          <w:p w14:paraId="1419C89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39.0</w:t>
            </w:r>
          </w:p>
        </w:tc>
        <w:tc>
          <w:tcPr>
            <w:tcW w:w="636" w:type="pct"/>
            <w:tcBorders>
              <w:top w:val="nil"/>
              <w:left w:val="nil"/>
              <w:bottom w:val="nil"/>
              <w:right w:val="nil"/>
            </w:tcBorders>
            <w:shd w:val="clear" w:color="auto" w:fill="FFFFFF" w:themeFill="background2"/>
            <w:vAlign w:val="center"/>
          </w:tcPr>
          <w:p w14:paraId="3C30D91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33.8</w:t>
            </w:r>
          </w:p>
        </w:tc>
        <w:tc>
          <w:tcPr>
            <w:tcW w:w="670" w:type="pct"/>
            <w:gridSpan w:val="2"/>
            <w:tcBorders>
              <w:top w:val="nil"/>
              <w:left w:val="nil"/>
              <w:bottom w:val="nil"/>
              <w:right w:val="nil"/>
            </w:tcBorders>
            <w:shd w:val="clear" w:color="auto" w:fill="FFFFFF" w:themeFill="background2"/>
            <w:vAlign w:val="center"/>
          </w:tcPr>
          <w:p w14:paraId="3906175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29.9</w:t>
            </w:r>
          </w:p>
        </w:tc>
        <w:tc>
          <w:tcPr>
            <w:tcW w:w="721" w:type="pct"/>
            <w:gridSpan w:val="2"/>
            <w:tcBorders>
              <w:top w:val="nil"/>
              <w:left w:val="nil"/>
              <w:bottom w:val="nil"/>
              <w:right w:val="nil"/>
            </w:tcBorders>
            <w:shd w:val="clear" w:color="auto" w:fill="FFFFFF" w:themeFill="background2"/>
            <w:vAlign w:val="center"/>
          </w:tcPr>
          <w:p w14:paraId="39BA040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28.7</w:t>
            </w:r>
          </w:p>
        </w:tc>
      </w:tr>
      <w:tr w:rsidR="00961617" w:rsidRPr="002F5864" w14:paraId="56B99ABC"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7BAD1BA9"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Mixed or low English proficiency</w:t>
            </w:r>
          </w:p>
        </w:tc>
        <w:tc>
          <w:tcPr>
            <w:tcW w:w="685" w:type="pct"/>
            <w:gridSpan w:val="2"/>
            <w:tcBorders>
              <w:top w:val="nil"/>
              <w:left w:val="nil"/>
              <w:bottom w:val="nil"/>
              <w:right w:val="nil"/>
            </w:tcBorders>
            <w:shd w:val="clear" w:color="auto" w:fill="E5E5E5" w:themeFill="background1" w:themeFillTint="33"/>
            <w:vAlign w:val="center"/>
          </w:tcPr>
          <w:p w14:paraId="3B0B25A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14.1</w:t>
            </w:r>
          </w:p>
        </w:tc>
        <w:tc>
          <w:tcPr>
            <w:tcW w:w="636" w:type="pct"/>
            <w:tcBorders>
              <w:top w:val="nil"/>
              <w:left w:val="nil"/>
              <w:bottom w:val="nil"/>
              <w:right w:val="nil"/>
            </w:tcBorders>
            <w:shd w:val="clear" w:color="auto" w:fill="E5E5E5" w:themeFill="background1" w:themeFillTint="33"/>
            <w:vAlign w:val="center"/>
          </w:tcPr>
          <w:p w14:paraId="35B0F3F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14.9</w:t>
            </w:r>
          </w:p>
        </w:tc>
        <w:tc>
          <w:tcPr>
            <w:tcW w:w="670" w:type="pct"/>
            <w:gridSpan w:val="2"/>
            <w:tcBorders>
              <w:top w:val="nil"/>
              <w:left w:val="nil"/>
              <w:bottom w:val="nil"/>
              <w:right w:val="nil"/>
            </w:tcBorders>
            <w:shd w:val="clear" w:color="auto" w:fill="E5E5E5" w:themeFill="background1" w:themeFillTint="33"/>
            <w:vAlign w:val="center"/>
          </w:tcPr>
          <w:p w14:paraId="608BA18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11.1</w:t>
            </w:r>
          </w:p>
        </w:tc>
        <w:tc>
          <w:tcPr>
            <w:tcW w:w="721" w:type="pct"/>
            <w:gridSpan w:val="2"/>
            <w:tcBorders>
              <w:top w:val="nil"/>
              <w:left w:val="nil"/>
              <w:bottom w:val="nil"/>
              <w:right w:val="nil"/>
            </w:tcBorders>
            <w:shd w:val="clear" w:color="auto" w:fill="E5E5E5" w:themeFill="background1" w:themeFillTint="33"/>
            <w:vAlign w:val="center"/>
          </w:tcPr>
          <w:p w14:paraId="67C048E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12</w:t>
            </w:r>
          </w:p>
        </w:tc>
      </w:tr>
      <w:tr w:rsidR="00961617" w:rsidRPr="002F5864" w14:paraId="571CF7D7"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9720FD1"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Homeless</w:t>
            </w:r>
          </w:p>
        </w:tc>
        <w:tc>
          <w:tcPr>
            <w:tcW w:w="685" w:type="pct"/>
            <w:gridSpan w:val="2"/>
            <w:tcBorders>
              <w:top w:val="nil"/>
              <w:left w:val="nil"/>
              <w:bottom w:val="nil"/>
              <w:right w:val="nil"/>
            </w:tcBorders>
            <w:shd w:val="clear" w:color="auto" w:fill="FFFFFF" w:themeFill="background2"/>
            <w:vAlign w:val="center"/>
          </w:tcPr>
          <w:p w14:paraId="17D57F8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13.9</w:t>
            </w:r>
          </w:p>
        </w:tc>
        <w:tc>
          <w:tcPr>
            <w:tcW w:w="636" w:type="pct"/>
            <w:tcBorders>
              <w:top w:val="nil"/>
              <w:left w:val="nil"/>
              <w:bottom w:val="nil"/>
              <w:right w:val="nil"/>
            </w:tcBorders>
            <w:shd w:val="clear" w:color="auto" w:fill="FFFFFF" w:themeFill="background2"/>
            <w:vAlign w:val="center"/>
          </w:tcPr>
          <w:p w14:paraId="7489ECC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13.8</w:t>
            </w:r>
          </w:p>
        </w:tc>
        <w:tc>
          <w:tcPr>
            <w:tcW w:w="670" w:type="pct"/>
            <w:gridSpan w:val="2"/>
            <w:tcBorders>
              <w:top w:val="nil"/>
              <w:left w:val="nil"/>
              <w:bottom w:val="nil"/>
              <w:right w:val="nil"/>
            </w:tcBorders>
            <w:shd w:val="clear" w:color="auto" w:fill="FFFFFF" w:themeFill="background2"/>
            <w:vAlign w:val="center"/>
          </w:tcPr>
          <w:p w14:paraId="6A4E6C5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10.1</w:t>
            </w:r>
          </w:p>
        </w:tc>
        <w:tc>
          <w:tcPr>
            <w:tcW w:w="721" w:type="pct"/>
            <w:gridSpan w:val="2"/>
            <w:tcBorders>
              <w:top w:val="nil"/>
              <w:left w:val="nil"/>
              <w:bottom w:val="nil"/>
              <w:right w:val="nil"/>
            </w:tcBorders>
            <w:shd w:val="clear" w:color="auto" w:fill="FFFFFF" w:themeFill="background2"/>
            <w:vAlign w:val="center"/>
          </w:tcPr>
          <w:p w14:paraId="5D9FD0E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10.7</w:t>
            </w:r>
          </w:p>
        </w:tc>
      </w:tr>
      <w:tr w:rsidR="00961617" w:rsidRPr="002F5864" w14:paraId="6EB179AA"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0D5CE47A"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Ex-offenders</w:t>
            </w:r>
          </w:p>
        </w:tc>
        <w:tc>
          <w:tcPr>
            <w:tcW w:w="685" w:type="pct"/>
            <w:gridSpan w:val="2"/>
            <w:tcBorders>
              <w:top w:val="nil"/>
              <w:left w:val="nil"/>
              <w:bottom w:val="nil"/>
              <w:right w:val="nil"/>
            </w:tcBorders>
            <w:shd w:val="clear" w:color="auto" w:fill="E5E5E5" w:themeFill="background1" w:themeFillTint="33"/>
            <w:vAlign w:val="center"/>
          </w:tcPr>
          <w:p w14:paraId="3FB5C8F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12.8</w:t>
            </w:r>
          </w:p>
        </w:tc>
        <w:tc>
          <w:tcPr>
            <w:tcW w:w="636" w:type="pct"/>
            <w:tcBorders>
              <w:top w:val="nil"/>
              <w:left w:val="nil"/>
              <w:bottom w:val="nil"/>
              <w:right w:val="nil"/>
            </w:tcBorders>
            <w:shd w:val="clear" w:color="auto" w:fill="E5E5E5" w:themeFill="background1" w:themeFillTint="33"/>
            <w:vAlign w:val="center"/>
          </w:tcPr>
          <w:p w14:paraId="3BEC028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13.5</w:t>
            </w:r>
          </w:p>
        </w:tc>
        <w:tc>
          <w:tcPr>
            <w:tcW w:w="670" w:type="pct"/>
            <w:gridSpan w:val="2"/>
            <w:tcBorders>
              <w:top w:val="nil"/>
              <w:left w:val="nil"/>
              <w:bottom w:val="nil"/>
              <w:right w:val="nil"/>
            </w:tcBorders>
            <w:shd w:val="clear" w:color="auto" w:fill="E5E5E5" w:themeFill="background1" w:themeFillTint="33"/>
            <w:vAlign w:val="center"/>
          </w:tcPr>
          <w:p w14:paraId="682AABF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10.8</w:t>
            </w:r>
          </w:p>
        </w:tc>
        <w:tc>
          <w:tcPr>
            <w:tcW w:w="721" w:type="pct"/>
            <w:gridSpan w:val="2"/>
            <w:tcBorders>
              <w:top w:val="nil"/>
              <w:left w:val="nil"/>
              <w:bottom w:val="nil"/>
              <w:right w:val="nil"/>
            </w:tcBorders>
            <w:shd w:val="clear" w:color="auto" w:fill="E5E5E5" w:themeFill="background1" w:themeFillTint="33"/>
            <w:vAlign w:val="center"/>
          </w:tcPr>
          <w:p w14:paraId="4815282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10.9</w:t>
            </w:r>
          </w:p>
        </w:tc>
      </w:tr>
      <w:tr w:rsidR="00961617" w:rsidRPr="002F5864" w14:paraId="5EF45D51"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9955C61"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Single parents</w:t>
            </w:r>
          </w:p>
        </w:tc>
        <w:tc>
          <w:tcPr>
            <w:tcW w:w="685" w:type="pct"/>
            <w:gridSpan w:val="2"/>
            <w:tcBorders>
              <w:top w:val="nil"/>
              <w:left w:val="nil"/>
              <w:bottom w:val="nil"/>
              <w:right w:val="nil"/>
            </w:tcBorders>
            <w:shd w:val="clear" w:color="auto" w:fill="FFFFFF" w:themeFill="background2"/>
            <w:vAlign w:val="center"/>
          </w:tcPr>
          <w:p w14:paraId="6205C52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17.7</w:t>
            </w:r>
          </w:p>
        </w:tc>
        <w:tc>
          <w:tcPr>
            <w:tcW w:w="636" w:type="pct"/>
            <w:tcBorders>
              <w:top w:val="nil"/>
              <w:left w:val="nil"/>
              <w:bottom w:val="nil"/>
              <w:right w:val="nil"/>
            </w:tcBorders>
            <w:shd w:val="clear" w:color="auto" w:fill="FFFFFF" w:themeFill="background2"/>
            <w:vAlign w:val="center"/>
          </w:tcPr>
          <w:p w14:paraId="126A950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16.7</w:t>
            </w:r>
          </w:p>
        </w:tc>
        <w:tc>
          <w:tcPr>
            <w:tcW w:w="670" w:type="pct"/>
            <w:gridSpan w:val="2"/>
            <w:tcBorders>
              <w:top w:val="nil"/>
              <w:left w:val="nil"/>
              <w:bottom w:val="nil"/>
              <w:right w:val="nil"/>
            </w:tcBorders>
            <w:shd w:val="clear" w:color="auto" w:fill="FFFFFF" w:themeFill="background2"/>
            <w:vAlign w:val="center"/>
          </w:tcPr>
          <w:p w14:paraId="1DE34E0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14.7</w:t>
            </w:r>
          </w:p>
        </w:tc>
        <w:tc>
          <w:tcPr>
            <w:tcW w:w="721" w:type="pct"/>
            <w:gridSpan w:val="2"/>
            <w:tcBorders>
              <w:top w:val="nil"/>
              <w:left w:val="nil"/>
              <w:bottom w:val="nil"/>
              <w:right w:val="nil"/>
            </w:tcBorders>
            <w:shd w:val="clear" w:color="auto" w:fill="FFFFFF" w:themeFill="background2"/>
            <w:vAlign w:val="center"/>
          </w:tcPr>
          <w:p w14:paraId="34348C3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14.2</w:t>
            </w:r>
          </w:p>
        </w:tc>
      </w:tr>
      <w:tr w:rsidR="00961617" w:rsidRPr="002F5864" w14:paraId="1DFB513B"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5FACDADE"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Grandfathered single parents</w:t>
            </w:r>
          </w:p>
        </w:tc>
        <w:tc>
          <w:tcPr>
            <w:tcW w:w="685" w:type="pct"/>
            <w:gridSpan w:val="2"/>
            <w:tcBorders>
              <w:top w:val="nil"/>
              <w:left w:val="nil"/>
              <w:bottom w:val="nil"/>
              <w:right w:val="nil"/>
            </w:tcBorders>
            <w:shd w:val="clear" w:color="auto" w:fill="E5E5E5" w:themeFill="background1" w:themeFillTint="33"/>
            <w:vAlign w:val="center"/>
          </w:tcPr>
          <w:p w14:paraId="05556CD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17.1</w:t>
            </w:r>
          </w:p>
        </w:tc>
        <w:tc>
          <w:tcPr>
            <w:tcW w:w="636" w:type="pct"/>
            <w:tcBorders>
              <w:top w:val="nil"/>
              <w:left w:val="nil"/>
              <w:bottom w:val="nil"/>
              <w:right w:val="nil"/>
            </w:tcBorders>
            <w:shd w:val="clear" w:color="auto" w:fill="E5E5E5" w:themeFill="background1" w:themeFillTint="33"/>
            <w:vAlign w:val="center"/>
          </w:tcPr>
          <w:p w14:paraId="393C2C3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14.3</w:t>
            </w:r>
          </w:p>
        </w:tc>
        <w:tc>
          <w:tcPr>
            <w:tcW w:w="670" w:type="pct"/>
            <w:gridSpan w:val="2"/>
            <w:tcBorders>
              <w:top w:val="nil"/>
              <w:left w:val="nil"/>
              <w:bottom w:val="nil"/>
              <w:right w:val="nil"/>
            </w:tcBorders>
            <w:shd w:val="clear" w:color="auto" w:fill="E5E5E5" w:themeFill="background1" w:themeFillTint="33"/>
            <w:vAlign w:val="center"/>
          </w:tcPr>
          <w:p w14:paraId="547862B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11.5</w:t>
            </w:r>
          </w:p>
        </w:tc>
        <w:tc>
          <w:tcPr>
            <w:tcW w:w="721" w:type="pct"/>
            <w:gridSpan w:val="2"/>
            <w:tcBorders>
              <w:top w:val="nil"/>
              <w:left w:val="nil"/>
              <w:bottom w:val="nil"/>
              <w:right w:val="nil"/>
            </w:tcBorders>
            <w:shd w:val="clear" w:color="auto" w:fill="E5E5E5" w:themeFill="background1" w:themeFillTint="33"/>
            <w:vAlign w:val="center"/>
          </w:tcPr>
          <w:p w14:paraId="296EE2B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10.0</w:t>
            </w:r>
          </w:p>
        </w:tc>
      </w:tr>
      <w:tr w:rsidR="00961617" w:rsidRPr="002F5864" w14:paraId="0F11616E"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4D680F5D"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Benefit type: Newstart Allowance</w:t>
            </w:r>
          </w:p>
        </w:tc>
        <w:tc>
          <w:tcPr>
            <w:tcW w:w="685" w:type="pct"/>
            <w:gridSpan w:val="2"/>
            <w:tcBorders>
              <w:top w:val="nil"/>
              <w:left w:val="nil"/>
              <w:bottom w:val="nil"/>
              <w:right w:val="nil"/>
            </w:tcBorders>
            <w:shd w:val="clear" w:color="auto" w:fill="FFFFFF" w:themeFill="background2"/>
            <w:vAlign w:val="center"/>
          </w:tcPr>
          <w:p w14:paraId="2C222ED7"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66.9</w:t>
            </w:r>
          </w:p>
        </w:tc>
        <w:tc>
          <w:tcPr>
            <w:tcW w:w="636" w:type="pct"/>
            <w:tcBorders>
              <w:top w:val="nil"/>
              <w:left w:val="nil"/>
              <w:bottom w:val="nil"/>
              <w:right w:val="nil"/>
            </w:tcBorders>
            <w:shd w:val="clear" w:color="auto" w:fill="FFFFFF" w:themeFill="background2"/>
            <w:vAlign w:val="center"/>
          </w:tcPr>
          <w:p w14:paraId="366BAF9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80.3</w:t>
            </w:r>
          </w:p>
        </w:tc>
        <w:tc>
          <w:tcPr>
            <w:tcW w:w="670" w:type="pct"/>
            <w:gridSpan w:val="2"/>
            <w:tcBorders>
              <w:top w:val="nil"/>
              <w:left w:val="nil"/>
              <w:bottom w:val="nil"/>
              <w:right w:val="nil"/>
            </w:tcBorders>
            <w:shd w:val="clear" w:color="auto" w:fill="FFFFFF" w:themeFill="background2"/>
            <w:vAlign w:val="center"/>
          </w:tcPr>
          <w:p w14:paraId="5C3C2A9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59.4</w:t>
            </w:r>
          </w:p>
        </w:tc>
        <w:tc>
          <w:tcPr>
            <w:tcW w:w="721" w:type="pct"/>
            <w:gridSpan w:val="2"/>
            <w:tcBorders>
              <w:top w:val="nil"/>
              <w:left w:val="nil"/>
              <w:bottom w:val="nil"/>
              <w:right w:val="nil"/>
            </w:tcBorders>
            <w:shd w:val="clear" w:color="auto" w:fill="FFFFFF" w:themeFill="background2"/>
            <w:vAlign w:val="center"/>
          </w:tcPr>
          <w:p w14:paraId="0B3BC56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70.7</w:t>
            </w:r>
          </w:p>
        </w:tc>
      </w:tr>
      <w:tr w:rsidR="00961617" w:rsidRPr="002F5864" w14:paraId="28520F55"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28D37E59"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Benefit type: Youth Allowance (Other)</w:t>
            </w:r>
          </w:p>
        </w:tc>
        <w:tc>
          <w:tcPr>
            <w:tcW w:w="685" w:type="pct"/>
            <w:gridSpan w:val="2"/>
            <w:tcBorders>
              <w:top w:val="nil"/>
              <w:left w:val="nil"/>
              <w:bottom w:val="nil"/>
              <w:right w:val="nil"/>
            </w:tcBorders>
            <w:shd w:val="clear" w:color="auto" w:fill="E5E5E5" w:themeFill="background1" w:themeFillTint="33"/>
            <w:vAlign w:val="center"/>
          </w:tcPr>
          <w:p w14:paraId="54A2D77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9.0</w:t>
            </w:r>
          </w:p>
        </w:tc>
        <w:tc>
          <w:tcPr>
            <w:tcW w:w="636" w:type="pct"/>
            <w:tcBorders>
              <w:top w:val="nil"/>
              <w:left w:val="nil"/>
              <w:bottom w:val="nil"/>
              <w:right w:val="nil"/>
            </w:tcBorders>
            <w:shd w:val="clear" w:color="auto" w:fill="E5E5E5" w:themeFill="background1" w:themeFillTint="33"/>
            <w:vAlign w:val="center"/>
          </w:tcPr>
          <w:p w14:paraId="06303CA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10.4</w:t>
            </w:r>
          </w:p>
        </w:tc>
        <w:tc>
          <w:tcPr>
            <w:tcW w:w="670" w:type="pct"/>
            <w:gridSpan w:val="2"/>
            <w:tcBorders>
              <w:top w:val="nil"/>
              <w:left w:val="nil"/>
              <w:bottom w:val="nil"/>
              <w:right w:val="nil"/>
            </w:tcBorders>
            <w:shd w:val="clear" w:color="auto" w:fill="E5E5E5" w:themeFill="background1" w:themeFillTint="33"/>
            <w:vAlign w:val="center"/>
          </w:tcPr>
          <w:p w14:paraId="0394BA4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9.6</w:t>
            </w:r>
          </w:p>
        </w:tc>
        <w:tc>
          <w:tcPr>
            <w:tcW w:w="721" w:type="pct"/>
            <w:gridSpan w:val="2"/>
            <w:tcBorders>
              <w:top w:val="nil"/>
              <w:left w:val="nil"/>
              <w:bottom w:val="nil"/>
              <w:right w:val="nil"/>
            </w:tcBorders>
            <w:shd w:val="clear" w:color="auto" w:fill="E5E5E5" w:themeFill="background1" w:themeFillTint="33"/>
            <w:vAlign w:val="center"/>
          </w:tcPr>
          <w:p w14:paraId="7BB9F75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12.8</w:t>
            </w:r>
          </w:p>
        </w:tc>
      </w:tr>
      <w:tr w:rsidR="00961617" w:rsidRPr="002F5864" w14:paraId="61757D03"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6F23042C"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Benefit type: Disability Support Pension</w:t>
            </w:r>
          </w:p>
        </w:tc>
        <w:tc>
          <w:tcPr>
            <w:tcW w:w="685" w:type="pct"/>
            <w:gridSpan w:val="2"/>
            <w:tcBorders>
              <w:top w:val="nil"/>
              <w:left w:val="nil"/>
              <w:bottom w:val="nil"/>
              <w:right w:val="nil"/>
            </w:tcBorders>
            <w:shd w:val="clear" w:color="auto" w:fill="FFFFFF" w:themeFill="background2"/>
            <w:vAlign w:val="center"/>
          </w:tcPr>
          <w:p w14:paraId="2D63F31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2.3</w:t>
            </w:r>
          </w:p>
        </w:tc>
        <w:tc>
          <w:tcPr>
            <w:tcW w:w="636" w:type="pct"/>
            <w:tcBorders>
              <w:top w:val="nil"/>
              <w:left w:val="nil"/>
              <w:bottom w:val="nil"/>
              <w:right w:val="nil"/>
            </w:tcBorders>
            <w:shd w:val="clear" w:color="auto" w:fill="FFFFFF" w:themeFill="background2"/>
            <w:vAlign w:val="center"/>
          </w:tcPr>
          <w:p w14:paraId="6E716A6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w:t>
            </w:r>
          </w:p>
        </w:tc>
        <w:tc>
          <w:tcPr>
            <w:tcW w:w="670" w:type="pct"/>
            <w:gridSpan w:val="2"/>
            <w:tcBorders>
              <w:top w:val="nil"/>
              <w:left w:val="nil"/>
              <w:bottom w:val="nil"/>
              <w:right w:val="nil"/>
            </w:tcBorders>
            <w:shd w:val="clear" w:color="auto" w:fill="FFFFFF" w:themeFill="background2"/>
            <w:vAlign w:val="center"/>
          </w:tcPr>
          <w:p w14:paraId="100CFD3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1.5</w:t>
            </w:r>
          </w:p>
        </w:tc>
        <w:tc>
          <w:tcPr>
            <w:tcW w:w="721" w:type="pct"/>
            <w:gridSpan w:val="2"/>
            <w:tcBorders>
              <w:top w:val="nil"/>
              <w:left w:val="nil"/>
              <w:bottom w:val="nil"/>
              <w:right w:val="nil"/>
            </w:tcBorders>
            <w:shd w:val="clear" w:color="auto" w:fill="FFFFFF" w:themeFill="background2"/>
            <w:vAlign w:val="center"/>
          </w:tcPr>
          <w:p w14:paraId="5D5A04C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0.8</w:t>
            </w:r>
          </w:p>
        </w:tc>
      </w:tr>
      <w:tr w:rsidR="00961617" w:rsidRPr="002F5864" w14:paraId="36F22534"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7349C390" w14:textId="77777777" w:rsidR="00961617" w:rsidRPr="002F5864" w:rsidRDefault="00961617" w:rsidP="0020771F">
            <w:pPr>
              <w:pStyle w:val="tabletext"/>
              <w:spacing w:after="0"/>
              <w:ind w:right="179"/>
              <w:jc w:val="left"/>
              <w:rPr>
                <w:rFonts w:cstheme="minorHAnsi"/>
              </w:rPr>
            </w:pPr>
            <w:r w:rsidRPr="002F5864">
              <w:rPr>
                <w:rFonts w:cstheme="minorHAnsi"/>
                <w:szCs w:val="20"/>
              </w:rPr>
              <w:t xml:space="preserve">Benefit type: </w:t>
            </w:r>
            <w:r w:rsidRPr="002F5864">
              <w:rPr>
                <w:rFonts w:cstheme="minorHAnsi"/>
              </w:rPr>
              <w:t>Parenting Payment Partnered</w:t>
            </w:r>
          </w:p>
        </w:tc>
        <w:tc>
          <w:tcPr>
            <w:tcW w:w="685" w:type="pct"/>
            <w:gridSpan w:val="2"/>
            <w:tcBorders>
              <w:top w:val="nil"/>
              <w:left w:val="nil"/>
              <w:bottom w:val="nil"/>
              <w:right w:val="nil"/>
            </w:tcBorders>
            <w:shd w:val="clear" w:color="auto" w:fill="E5E5E5" w:themeFill="background1" w:themeFillTint="33"/>
            <w:vAlign w:val="center"/>
          </w:tcPr>
          <w:p w14:paraId="6FE06598" w14:textId="77777777" w:rsidR="00961617" w:rsidRPr="002F5864" w:rsidRDefault="00961617" w:rsidP="0020771F">
            <w:pPr>
              <w:pStyle w:val="tabletext"/>
              <w:spacing w:after="0"/>
              <w:ind w:right="346"/>
              <w:rPr>
                <w:rFonts w:cstheme="minorHAnsi"/>
              </w:rPr>
            </w:pPr>
            <w:r w:rsidRPr="002F5864">
              <w:rPr>
                <w:rFonts w:cstheme="minorHAnsi"/>
              </w:rPr>
              <w:t>2.2</w:t>
            </w:r>
          </w:p>
        </w:tc>
        <w:tc>
          <w:tcPr>
            <w:tcW w:w="636" w:type="pct"/>
            <w:tcBorders>
              <w:top w:val="nil"/>
              <w:left w:val="nil"/>
              <w:bottom w:val="nil"/>
              <w:right w:val="nil"/>
            </w:tcBorders>
            <w:shd w:val="clear" w:color="auto" w:fill="E5E5E5" w:themeFill="background1" w:themeFillTint="33"/>
            <w:vAlign w:val="center"/>
          </w:tcPr>
          <w:p w14:paraId="0EA662D8" w14:textId="77777777" w:rsidR="00961617" w:rsidRPr="002F5864" w:rsidRDefault="00961617" w:rsidP="0020771F">
            <w:pPr>
              <w:pStyle w:val="tabletext"/>
              <w:spacing w:after="0"/>
              <w:ind w:right="346"/>
              <w:rPr>
                <w:rFonts w:cstheme="minorHAnsi"/>
              </w:rPr>
            </w:pPr>
            <w:r w:rsidRPr="002F5864">
              <w:rPr>
                <w:rFonts w:cstheme="minorHAnsi"/>
              </w:rPr>
              <w:t>0.2</w:t>
            </w:r>
          </w:p>
        </w:tc>
        <w:tc>
          <w:tcPr>
            <w:tcW w:w="670" w:type="pct"/>
            <w:gridSpan w:val="2"/>
            <w:tcBorders>
              <w:top w:val="nil"/>
              <w:left w:val="nil"/>
              <w:bottom w:val="nil"/>
              <w:right w:val="nil"/>
            </w:tcBorders>
            <w:shd w:val="clear" w:color="auto" w:fill="E5E5E5" w:themeFill="background1" w:themeFillTint="33"/>
            <w:vAlign w:val="center"/>
          </w:tcPr>
          <w:p w14:paraId="202ABE3B" w14:textId="77777777" w:rsidR="00961617" w:rsidRPr="002F5864" w:rsidRDefault="00961617" w:rsidP="0020771F">
            <w:pPr>
              <w:pStyle w:val="tabletext"/>
              <w:spacing w:after="0"/>
              <w:ind w:right="346"/>
              <w:rPr>
                <w:rFonts w:cstheme="minorHAnsi"/>
              </w:rPr>
            </w:pPr>
            <w:r w:rsidRPr="002F5864">
              <w:rPr>
                <w:rFonts w:cstheme="minorHAnsi"/>
              </w:rPr>
              <w:t>1.8</w:t>
            </w:r>
          </w:p>
        </w:tc>
        <w:tc>
          <w:tcPr>
            <w:tcW w:w="721" w:type="pct"/>
            <w:gridSpan w:val="2"/>
            <w:tcBorders>
              <w:top w:val="nil"/>
              <w:left w:val="nil"/>
              <w:bottom w:val="nil"/>
              <w:right w:val="nil"/>
            </w:tcBorders>
            <w:shd w:val="clear" w:color="auto" w:fill="E5E5E5" w:themeFill="background1" w:themeFillTint="33"/>
            <w:vAlign w:val="center"/>
          </w:tcPr>
          <w:p w14:paraId="22D09508" w14:textId="77777777" w:rsidR="00961617" w:rsidRPr="002F5864" w:rsidRDefault="00961617" w:rsidP="0020771F">
            <w:pPr>
              <w:pStyle w:val="tabletext"/>
              <w:spacing w:after="0"/>
              <w:ind w:right="346"/>
              <w:rPr>
                <w:rFonts w:cstheme="minorHAnsi"/>
              </w:rPr>
            </w:pPr>
            <w:r w:rsidRPr="002F5864">
              <w:rPr>
                <w:rFonts w:cstheme="minorHAnsi"/>
              </w:rPr>
              <w:t>0.4</w:t>
            </w:r>
          </w:p>
        </w:tc>
      </w:tr>
      <w:tr w:rsidR="00961617" w:rsidRPr="002F5864" w14:paraId="2849399D"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028A18CE" w14:textId="77777777" w:rsidR="00961617" w:rsidRPr="002F5864" w:rsidRDefault="00961617" w:rsidP="0020771F">
            <w:pPr>
              <w:pStyle w:val="tabletext"/>
              <w:spacing w:after="0"/>
              <w:ind w:right="179"/>
              <w:jc w:val="left"/>
              <w:rPr>
                <w:rFonts w:cstheme="minorHAnsi"/>
              </w:rPr>
            </w:pPr>
            <w:r w:rsidRPr="002F5864">
              <w:rPr>
                <w:rFonts w:cstheme="minorHAnsi"/>
                <w:szCs w:val="20"/>
              </w:rPr>
              <w:t xml:space="preserve">Benefit type: </w:t>
            </w:r>
            <w:r w:rsidRPr="002F5864">
              <w:rPr>
                <w:rFonts w:cstheme="minorHAnsi"/>
              </w:rPr>
              <w:t>Parenting Payment Single</w:t>
            </w:r>
          </w:p>
        </w:tc>
        <w:tc>
          <w:tcPr>
            <w:tcW w:w="685" w:type="pct"/>
            <w:gridSpan w:val="2"/>
            <w:tcBorders>
              <w:top w:val="nil"/>
              <w:left w:val="nil"/>
              <w:bottom w:val="nil"/>
              <w:right w:val="nil"/>
            </w:tcBorders>
            <w:shd w:val="clear" w:color="auto" w:fill="FFFFFF" w:themeFill="background2"/>
            <w:vAlign w:val="center"/>
          </w:tcPr>
          <w:p w14:paraId="06E6534F" w14:textId="77777777" w:rsidR="00961617" w:rsidRPr="002F5864" w:rsidRDefault="00961617" w:rsidP="0020771F">
            <w:pPr>
              <w:pStyle w:val="tabletext"/>
              <w:spacing w:after="0"/>
              <w:ind w:right="346"/>
              <w:rPr>
                <w:rFonts w:cstheme="minorHAnsi"/>
              </w:rPr>
            </w:pPr>
            <w:r w:rsidRPr="002F5864">
              <w:rPr>
                <w:rFonts w:cstheme="minorHAnsi"/>
              </w:rPr>
              <w:t>12.6</w:t>
            </w:r>
          </w:p>
        </w:tc>
        <w:tc>
          <w:tcPr>
            <w:tcW w:w="636" w:type="pct"/>
            <w:tcBorders>
              <w:top w:val="nil"/>
              <w:left w:val="nil"/>
              <w:bottom w:val="nil"/>
              <w:right w:val="nil"/>
            </w:tcBorders>
            <w:shd w:val="clear" w:color="auto" w:fill="FFFFFF" w:themeFill="background2"/>
            <w:vAlign w:val="center"/>
          </w:tcPr>
          <w:p w14:paraId="4D16A138" w14:textId="77777777" w:rsidR="00961617" w:rsidRPr="002F5864" w:rsidRDefault="00961617" w:rsidP="0020771F">
            <w:pPr>
              <w:pStyle w:val="tabletext"/>
              <w:spacing w:after="0"/>
              <w:ind w:right="346"/>
              <w:rPr>
                <w:rFonts w:cstheme="minorHAnsi"/>
              </w:rPr>
            </w:pPr>
            <w:r w:rsidRPr="002F5864">
              <w:rPr>
                <w:rFonts w:cstheme="minorHAnsi"/>
              </w:rPr>
              <w:t>3.1</w:t>
            </w:r>
          </w:p>
        </w:tc>
        <w:tc>
          <w:tcPr>
            <w:tcW w:w="670" w:type="pct"/>
            <w:gridSpan w:val="2"/>
            <w:tcBorders>
              <w:top w:val="nil"/>
              <w:left w:val="nil"/>
              <w:bottom w:val="nil"/>
              <w:right w:val="nil"/>
            </w:tcBorders>
            <w:shd w:val="clear" w:color="auto" w:fill="FFFFFF" w:themeFill="background2"/>
            <w:vAlign w:val="center"/>
          </w:tcPr>
          <w:p w14:paraId="7833AF8E" w14:textId="77777777" w:rsidR="00961617" w:rsidRPr="002F5864" w:rsidRDefault="00961617" w:rsidP="0020771F">
            <w:pPr>
              <w:pStyle w:val="tabletext"/>
              <w:spacing w:after="0"/>
              <w:ind w:right="346"/>
              <w:rPr>
                <w:rFonts w:cstheme="minorHAnsi"/>
              </w:rPr>
            </w:pPr>
            <w:r w:rsidRPr="002F5864">
              <w:rPr>
                <w:rFonts w:cstheme="minorHAnsi"/>
              </w:rPr>
              <w:t>10.3</w:t>
            </w:r>
          </w:p>
        </w:tc>
        <w:tc>
          <w:tcPr>
            <w:tcW w:w="721" w:type="pct"/>
            <w:gridSpan w:val="2"/>
            <w:tcBorders>
              <w:top w:val="nil"/>
              <w:left w:val="nil"/>
              <w:bottom w:val="nil"/>
              <w:right w:val="nil"/>
            </w:tcBorders>
            <w:shd w:val="clear" w:color="auto" w:fill="FFFFFF" w:themeFill="background2"/>
            <w:vAlign w:val="center"/>
          </w:tcPr>
          <w:p w14:paraId="71E2E3C7" w14:textId="77777777" w:rsidR="00961617" w:rsidRPr="002F5864" w:rsidRDefault="00961617" w:rsidP="0020771F">
            <w:pPr>
              <w:pStyle w:val="tabletext"/>
              <w:spacing w:after="0"/>
              <w:ind w:right="346"/>
              <w:rPr>
                <w:rFonts w:cstheme="minorHAnsi"/>
              </w:rPr>
            </w:pPr>
            <w:r w:rsidRPr="002F5864">
              <w:rPr>
                <w:rFonts w:cstheme="minorHAnsi"/>
              </w:rPr>
              <w:t>5.0</w:t>
            </w:r>
          </w:p>
        </w:tc>
      </w:tr>
      <w:tr w:rsidR="00961617" w:rsidRPr="002F5864" w14:paraId="64E487CF"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1C33FA4E" w14:textId="77777777" w:rsidR="00961617" w:rsidRPr="002F5864" w:rsidRDefault="00961617" w:rsidP="0020771F">
            <w:pPr>
              <w:pStyle w:val="tabletext"/>
              <w:spacing w:after="0"/>
              <w:ind w:right="179"/>
              <w:jc w:val="left"/>
              <w:rPr>
                <w:rFonts w:cstheme="minorHAnsi"/>
              </w:rPr>
            </w:pPr>
            <w:r w:rsidRPr="002F5864">
              <w:rPr>
                <w:rFonts w:cstheme="minorHAnsi"/>
                <w:szCs w:val="20"/>
              </w:rPr>
              <w:t xml:space="preserve">Benefit type: </w:t>
            </w:r>
            <w:r w:rsidRPr="002F5864">
              <w:rPr>
                <w:rFonts w:cstheme="minorHAnsi"/>
              </w:rPr>
              <w:t>Other income support type</w:t>
            </w:r>
          </w:p>
        </w:tc>
        <w:tc>
          <w:tcPr>
            <w:tcW w:w="685" w:type="pct"/>
            <w:gridSpan w:val="2"/>
            <w:tcBorders>
              <w:top w:val="nil"/>
              <w:left w:val="nil"/>
              <w:bottom w:val="nil"/>
              <w:right w:val="nil"/>
            </w:tcBorders>
            <w:shd w:val="clear" w:color="auto" w:fill="E5E5E5" w:themeFill="background1" w:themeFillTint="33"/>
            <w:vAlign w:val="center"/>
          </w:tcPr>
          <w:p w14:paraId="111633A4" w14:textId="77777777" w:rsidR="00961617" w:rsidRPr="002F5864" w:rsidRDefault="00961617" w:rsidP="0020771F">
            <w:pPr>
              <w:pStyle w:val="tabletext"/>
              <w:spacing w:after="0"/>
              <w:ind w:right="346"/>
              <w:rPr>
                <w:rFonts w:cstheme="minorHAnsi"/>
              </w:rPr>
            </w:pPr>
            <w:r w:rsidRPr="002F5864">
              <w:rPr>
                <w:rFonts w:cstheme="minorHAnsi"/>
              </w:rPr>
              <w:t>1.7</w:t>
            </w:r>
          </w:p>
        </w:tc>
        <w:tc>
          <w:tcPr>
            <w:tcW w:w="636" w:type="pct"/>
            <w:tcBorders>
              <w:top w:val="nil"/>
              <w:left w:val="nil"/>
              <w:bottom w:val="nil"/>
              <w:right w:val="nil"/>
            </w:tcBorders>
            <w:shd w:val="clear" w:color="auto" w:fill="E5E5E5" w:themeFill="background1" w:themeFillTint="33"/>
            <w:vAlign w:val="center"/>
          </w:tcPr>
          <w:p w14:paraId="1BC7E1FD" w14:textId="77777777" w:rsidR="00961617" w:rsidRPr="002F5864" w:rsidRDefault="00961617" w:rsidP="0020771F">
            <w:pPr>
              <w:pStyle w:val="tabletext"/>
              <w:spacing w:after="0"/>
              <w:ind w:right="346"/>
              <w:rPr>
                <w:rFonts w:cstheme="minorHAnsi"/>
              </w:rPr>
            </w:pPr>
            <w:r w:rsidRPr="002F5864">
              <w:rPr>
                <w:rFonts w:cstheme="minorHAnsi"/>
              </w:rPr>
              <w:t>1.2</w:t>
            </w:r>
          </w:p>
        </w:tc>
        <w:tc>
          <w:tcPr>
            <w:tcW w:w="670" w:type="pct"/>
            <w:gridSpan w:val="2"/>
            <w:tcBorders>
              <w:top w:val="nil"/>
              <w:left w:val="nil"/>
              <w:bottom w:val="nil"/>
              <w:right w:val="nil"/>
            </w:tcBorders>
            <w:shd w:val="clear" w:color="auto" w:fill="E5E5E5" w:themeFill="background1" w:themeFillTint="33"/>
            <w:vAlign w:val="center"/>
          </w:tcPr>
          <w:p w14:paraId="5E355E5B" w14:textId="77777777" w:rsidR="00961617" w:rsidRPr="002F5864" w:rsidRDefault="00961617" w:rsidP="0020771F">
            <w:pPr>
              <w:pStyle w:val="tabletext"/>
              <w:spacing w:after="0"/>
              <w:ind w:right="346"/>
              <w:rPr>
                <w:rFonts w:cstheme="minorHAnsi"/>
              </w:rPr>
            </w:pPr>
            <w:r w:rsidRPr="002F5864">
              <w:rPr>
                <w:rFonts w:cstheme="minorHAnsi"/>
              </w:rPr>
              <w:t>2.2</w:t>
            </w:r>
          </w:p>
        </w:tc>
        <w:tc>
          <w:tcPr>
            <w:tcW w:w="721" w:type="pct"/>
            <w:gridSpan w:val="2"/>
            <w:tcBorders>
              <w:top w:val="nil"/>
              <w:left w:val="nil"/>
              <w:bottom w:val="nil"/>
              <w:right w:val="nil"/>
            </w:tcBorders>
            <w:shd w:val="clear" w:color="auto" w:fill="E5E5E5" w:themeFill="background1" w:themeFillTint="33"/>
            <w:vAlign w:val="center"/>
          </w:tcPr>
          <w:p w14:paraId="4071B2C8" w14:textId="77777777" w:rsidR="00961617" w:rsidRPr="002F5864" w:rsidRDefault="00961617" w:rsidP="0020771F">
            <w:pPr>
              <w:pStyle w:val="tabletext"/>
              <w:spacing w:after="0"/>
              <w:ind w:right="346"/>
              <w:rPr>
                <w:rFonts w:cstheme="minorHAnsi"/>
              </w:rPr>
            </w:pPr>
            <w:r w:rsidRPr="002F5864">
              <w:rPr>
                <w:rFonts w:cstheme="minorHAnsi"/>
              </w:rPr>
              <w:t>1.5</w:t>
            </w:r>
          </w:p>
        </w:tc>
      </w:tr>
      <w:tr w:rsidR="00961617" w:rsidRPr="002F5864" w14:paraId="2682B7F9"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E3AF248" w14:textId="77777777" w:rsidR="00961617" w:rsidRPr="002F5864" w:rsidRDefault="00961617" w:rsidP="0020771F">
            <w:pPr>
              <w:pStyle w:val="tabletext"/>
              <w:spacing w:after="0"/>
              <w:ind w:right="179"/>
              <w:jc w:val="left"/>
              <w:rPr>
                <w:rFonts w:cstheme="minorHAnsi"/>
              </w:rPr>
            </w:pPr>
            <w:r w:rsidRPr="002F5864">
              <w:rPr>
                <w:rFonts w:cstheme="minorHAnsi"/>
                <w:szCs w:val="20"/>
              </w:rPr>
              <w:t xml:space="preserve">Benefit type: </w:t>
            </w:r>
            <w:r w:rsidRPr="002F5864">
              <w:rPr>
                <w:rFonts w:cstheme="minorHAnsi"/>
              </w:rPr>
              <w:t>Not on income support</w:t>
            </w:r>
          </w:p>
        </w:tc>
        <w:tc>
          <w:tcPr>
            <w:tcW w:w="685" w:type="pct"/>
            <w:gridSpan w:val="2"/>
            <w:tcBorders>
              <w:top w:val="nil"/>
              <w:left w:val="nil"/>
              <w:bottom w:val="nil"/>
              <w:right w:val="nil"/>
            </w:tcBorders>
            <w:shd w:val="clear" w:color="auto" w:fill="FFFFFF" w:themeFill="background2"/>
            <w:vAlign w:val="center"/>
          </w:tcPr>
          <w:p w14:paraId="266D8515" w14:textId="77777777" w:rsidR="00961617" w:rsidRPr="002F5864" w:rsidRDefault="00961617" w:rsidP="0020771F">
            <w:pPr>
              <w:pStyle w:val="tabletext"/>
              <w:spacing w:after="0"/>
              <w:ind w:right="346"/>
              <w:rPr>
                <w:rFonts w:cstheme="minorHAnsi"/>
              </w:rPr>
            </w:pPr>
            <w:r w:rsidRPr="002F5864">
              <w:rPr>
                <w:rFonts w:cstheme="minorHAnsi"/>
              </w:rPr>
              <w:t>5.4</w:t>
            </w:r>
          </w:p>
        </w:tc>
        <w:tc>
          <w:tcPr>
            <w:tcW w:w="636" w:type="pct"/>
            <w:tcBorders>
              <w:top w:val="nil"/>
              <w:left w:val="nil"/>
              <w:bottom w:val="nil"/>
              <w:right w:val="nil"/>
            </w:tcBorders>
            <w:shd w:val="clear" w:color="auto" w:fill="FFFFFF" w:themeFill="background2"/>
            <w:vAlign w:val="center"/>
          </w:tcPr>
          <w:p w14:paraId="529730B3" w14:textId="77777777" w:rsidR="00961617" w:rsidRPr="002F5864" w:rsidRDefault="00961617" w:rsidP="0020771F">
            <w:pPr>
              <w:pStyle w:val="tabletext"/>
              <w:spacing w:after="0"/>
              <w:ind w:right="346"/>
              <w:rPr>
                <w:rFonts w:cstheme="minorHAnsi"/>
              </w:rPr>
            </w:pPr>
            <w:r w:rsidRPr="002F5864">
              <w:rPr>
                <w:rFonts w:cstheme="minorHAnsi"/>
              </w:rPr>
              <w:t>3.8</w:t>
            </w:r>
          </w:p>
        </w:tc>
        <w:tc>
          <w:tcPr>
            <w:tcW w:w="670" w:type="pct"/>
            <w:gridSpan w:val="2"/>
            <w:tcBorders>
              <w:top w:val="nil"/>
              <w:left w:val="nil"/>
              <w:bottom w:val="nil"/>
              <w:right w:val="nil"/>
            </w:tcBorders>
            <w:shd w:val="clear" w:color="auto" w:fill="FFFFFF" w:themeFill="background2"/>
            <w:vAlign w:val="center"/>
          </w:tcPr>
          <w:p w14:paraId="0D34141A" w14:textId="77777777" w:rsidR="00961617" w:rsidRPr="002F5864" w:rsidRDefault="00961617" w:rsidP="0020771F">
            <w:pPr>
              <w:pStyle w:val="tabletext"/>
              <w:spacing w:after="0"/>
              <w:ind w:right="346"/>
              <w:rPr>
                <w:rFonts w:cstheme="minorHAnsi"/>
              </w:rPr>
            </w:pPr>
            <w:r w:rsidRPr="002F5864">
              <w:rPr>
                <w:rFonts w:cstheme="minorHAnsi"/>
              </w:rPr>
              <w:t>15.2</w:t>
            </w:r>
          </w:p>
        </w:tc>
        <w:tc>
          <w:tcPr>
            <w:tcW w:w="721" w:type="pct"/>
            <w:gridSpan w:val="2"/>
            <w:tcBorders>
              <w:top w:val="nil"/>
              <w:left w:val="nil"/>
              <w:bottom w:val="nil"/>
              <w:right w:val="nil"/>
            </w:tcBorders>
            <w:shd w:val="clear" w:color="auto" w:fill="FFFFFF" w:themeFill="background2"/>
            <w:vAlign w:val="center"/>
          </w:tcPr>
          <w:p w14:paraId="21F3F174" w14:textId="77777777" w:rsidR="00961617" w:rsidRPr="002F5864" w:rsidRDefault="00961617" w:rsidP="0020771F">
            <w:pPr>
              <w:pStyle w:val="tabletext"/>
              <w:spacing w:after="0"/>
              <w:ind w:right="346"/>
              <w:rPr>
                <w:rFonts w:cstheme="minorHAnsi"/>
              </w:rPr>
            </w:pPr>
            <w:r w:rsidRPr="002F5864">
              <w:rPr>
                <w:rFonts w:cstheme="minorHAnsi"/>
              </w:rPr>
              <w:t>8.9</w:t>
            </w:r>
          </w:p>
        </w:tc>
      </w:tr>
      <w:tr w:rsidR="00961617" w:rsidRPr="002F5864" w14:paraId="037DD62E"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7FD89435" w14:textId="77777777" w:rsidR="00961617" w:rsidRPr="002F5864" w:rsidRDefault="00961617" w:rsidP="0020771F">
            <w:pPr>
              <w:pStyle w:val="tabletext"/>
              <w:spacing w:after="0"/>
              <w:ind w:right="179"/>
              <w:jc w:val="left"/>
              <w:rPr>
                <w:rFonts w:cstheme="minorHAnsi"/>
              </w:rPr>
            </w:pPr>
            <w:r w:rsidRPr="002F5864">
              <w:rPr>
                <w:rFonts w:cstheme="minorHAnsi"/>
              </w:rPr>
              <w:t>Newstart Allowance, full time participation requirements</w:t>
            </w:r>
          </w:p>
        </w:tc>
        <w:tc>
          <w:tcPr>
            <w:tcW w:w="685" w:type="pct"/>
            <w:gridSpan w:val="2"/>
            <w:tcBorders>
              <w:top w:val="nil"/>
              <w:left w:val="nil"/>
              <w:bottom w:val="nil"/>
              <w:right w:val="nil"/>
            </w:tcBorders>
            <w:shd w:val="clear" w:color="auto" w:fill="E5E5E5" w:themeFill="background1" w:themeFillTint="33"/>
            <w:vAlign w:val="center"/>
          </w:tcPr>
          <w:p w14:paraId="32BAC3C5" w14:textId="77777777" w:rsidR="00961617" w:rsidRPr="002F5864" w:rsidRDefault="00961617" w:rsidP="0020771F">
            <w:pPr>
              <w:pStyle w:val="tabletext"/>
              <w:spacing w:after="0"/>
              <w:ind w:right="346"/>
              <w:rPr>
                <w:rFonts w:cstheme="minorHAnsi"/>
              </w:rPr>
            </w:pPr>
            <w:r w:rsidRPr="002F5864">
              <w:rPr>
                <w:rFonts w:cstheme="minorHAnsi"/>
              </w:rPr>
              <w:t>53.4</w:t>
            </w:r>
          </w:p>
        </w:tc>
        <w:tc>
          <w:tcPr>
            <w:tcW w:w="636" w:type="pct"/>
            <w:tcBorders>
              <w:top w:val="nil"/>
              <w:left w:val="nil"/>
              <w:bottom w:val="nil"/>
              <w:right w:val="nil"/>
            </w:tcBorders>
            <w:shd w:val="clear" w:color="auto" w:fill="E5E5E5" w:themeFill="background1" w:themeFillTint="33"/>
            <w:vAlign w:val="center"/>
          </w:tcPr>
          <w:p w14:paraId="41F522A0" w14:textId="77777777" w:rsidR="00961617" w:rsidRPr="002F5864" w:rsidRDefault="00961617" w:rsidP="0020771F">
            <w:pPr>
              <w:pStyle w:val="tabletext"/>
              <w:spacing w:after="0"/>
              <w:ind w:right="346"/>
              <w:rPr>
                <w:rFonts w:cstheme="minorHAnsi"/>
              </w:rPr>
            </w:pPr>
            <w:r w:rsidRPr="002F5864">
              <w:rPr>
                <w:rFonts w:cstheme="minorHAnsi"/>
              </w:rPr>
              <w:t>51.8</w:t>
            </w:r>
          </w:p>
        </w:tc>
        <w:tc>
          <w:tcPr>
            <w:tcW w:w="670" w:type="pct"/>
            <w:gridSpan w:val="2"/>
            <w:tcBorders>
              <w:top w:val="nil"/>
              <w:left w:val="nil"/>
              <w:bottom w:val="nil"/>
              <w:right w:val="nil"/>
            </w:tcBorders>
            <w:shd w:val="clear" w:color="auto" w:fill="E5E5E5" w:themeFill="background1" w:themeFillTint="33"/>
            <w:vAlign w:val="center"/>
          </w:tcPr>
          <w:p w14:paraId="743E2798" w14:textId="77777777" w:rsidR="00961617" w:rsidRPr="002F5864" w:rsidRDefault="00961617" w:rsidP="0020771F">
            <w:pPr>
              <w:pStyle w:val="tabletext"/>
              <w:spacing w:after="0"/>
              <w:ind w:right="346"/>
              <w:rPr>
                <w:rFonts w:cstheme="minorHAnsi"/>
              </w:rPr>
            </w:pPr>
            <w:r w:rsidRPr="002F5864">
              <w:rPr>
                <w:rFonts w:cstheme="minorHAnsi"/>
              </w:rPr>
              <w:t>49.7</w:t>
            </w:r>
          </w:p>
        </w:tc>
        <w:tc>
          <w:tcPr>
            <w:tcW w:w="721" w:type="pct"/>
            <w:gridSpan w:val="2"/>
            <w:tcBorders>
              <w:top w:val="nil"/>
              <w:left w:val="nil"/>
              <w:bottom w:val="nil"/>
              <w:right w:val="nil"/>
            </w:tcBorders>
            <w:shd w:val="clear" w:color="auto" w:fill="E5E5E5" w:themeFill="background1" w:themeFillTint="33"/>
            <w:vAlign w:val="center"/>
          </w:tcPr>
          <w:p w14:paraId="0F81D966" w14:textId="77777777" w:rsidR="00961617" w:rsidRPr="002F5864" w:rsidRDefault="00961617" w:rsidP="0020771F">
            <w:pPr>
              <w:pStyle w:val="tabletext"/>
              <w:spacing w:after="0"/>
              <w:ind w:right="346"/>
              <w:rPr>
                <w:rFonts w:cstheme="minorHAnsi"/>
              </w:rPr>
            </w:pPr>
            <w:r w:rsidRPr="002F5864">
              <w:rPr>
                <w:rFonts w:cstheme="minorHAnsi"/>
              </w:rPr>
              <w:t>51.3</w:t>
            </w:r>
          </w:p>
        </w:tc>
      </w:tr>
      <w:tr w:rsidR="00961617" w:rsidRPr="002F5864" w14:paraId="4809881A"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0D8E5810" w14:textId="77777777" w:rsidR="00961617" w:rsidRPr="002F5864" w:rsidRDefault="00961617" w:rsidP="0020771F">
            <w:pPr>
              <w:pStyle w:val="tabletext"/>
              <w:spacing w:after="0"/>
              <w:ind w:right="179"/>
              <w:jc w:val="left"/>
              <w:rPr>
                <w:rFonts w:cstheme="minorHAnsi"/>
              </w:rPr>
            </w:pPr>
            <w:r w:rsidRPr="002F5864">
              <w:rPr>
                <w:rFonts w:cstheme="minorHAnsi"/>
              </w:rPr>
              <w:t>Newstart Allowance, part-time participation requirements</w:t>
            </w:r>
          </w:p>
        </w:tc>
        <w:tc>
          <w:tcPr>
            <w:tcW w:w="685" w:type="pct"/>
            <w:gridSpan w:val="2"/>
            <w:tcBorders>
              <w:top w:val="nil"/>
              <w:left w:val="nil"/>
              <w:bottom w:val="nil"/>
              <w:right w:val="nil"/>
            </w:tcBorders>
            <w:shd w:val="clear" w:color="auto" w:fill="FFFFFF" w:themeFill="background2"/>
            <w:vAlign w:val="center"/>
          </w:tcPr>
          <w:p w14:paraId="28D51DE1" w14:textId="77777777" w:rsidR="00961617" w:rsidRPr="002F5864" w:rsidRDefault="00961617" w:rsidP="0020771F">
            <w:pPr>
              <w:pStyle w:val="tabletext"/>
              <w:spacing w:after="0"/>
              <w:ind w:right="346"/>
              <w:rPr>
                <w:rFonts w:cstheme="minorHAnsi"/>
              </w:rPr>
            </w:pPr>
            <w:r w:rsidRPr="002F5864">
              <w:rPr>
                <w:rFonts w:cstheme="minorHAnsi"/>
              </w:rPr>
              <w:t>13.3</w:t>
            </w:r>
          </w:p>
        </w:tc>
        <w:tc>
          <w:tcPr>
            <w:tcW w:w="636" w:type="pct"/>
            <w:tcBorders>
              <w:top w:val="nil"/>
              <w:left w:val="nil"/>
              <w:bottom w:val="nil"/>
              <w:right w:val="nil"/>
            </w:tcBorders>
            <w:shd w:val="clear" w:color="auto" w:fill="FFFFFF" w:themeFill="background2"/>
            <w:vAlign w:val="center"/>
          </w:tcPr>
          <w:p w14:paraId="12E7FFD5" w14:textId="77777777" w:rsidR="00961617" w:rsidRPr="002F5864" w:rsidRDefault="00961617" w:rsidP="0020771F">
            <w:pPr>
              <w:pStyle w:val="tabletext"/>
              <w:spacing w:after="0"/>
              <w:ind w:right="346"/>
              <w:rPr>
                <w:rFonts w:cstheme="minorHAnsi"/>
              </w:rPr>
            </w:pPr>
            <w:r w:rsidRPr="002F5864">
              <w:rPr>
                <w:rFonts w:cstheme="minorHAnsi"/>
              </w:rPr>
              <w:t>28.4</w:t>
            </w:r>
          </w:p>
        </w:tc>
        <w:tc>
          <w:tcPr>
            <w:tcW w:w="670" w:type="pct"/>
            <w:gridSpan w:val="2"/>
            <w:tcBorders>
              <w:top w:val="nil"/>
              <w:left w:val="nil"/>
              <w:bottom w:val="nil"/>
              <w:right w:val="nil"/>
            </w:tcBorders>
            <w:shd w:val="clear" w:color="auto" w:fill="FFFFFF" w:themeFill="background2"/>
            <w:vAlign w:val="center"/>
          </w:tcPr>
          <w:p w14:paraId="694E3F9B" w14:textId="77777777" w:rsidR="00961617" w:rsidRPr="002F5864" w:rsidRDefault="00961617" w:rsidP="0020771F">
            <w:pPr>
              <w:pStyle w:val="tabletext"/>
              <w:spacing w:after="0"/>
              <w:ind w:right="346"/>
              <w:rPr>
                <w:rFonts w:cstheme="minorHAnsi"/>
              </w:rPr>
            </w:pPr>
            <w:r w:rsidRPr="002F5864">
              <w:rPr>
                <w:rFonts w:cstheme="minorHAnsi"/>
              </w:rPr>
              <w:t>9.1</w:t>
            </w:r>
          </w:p>
        </w:tc>
        <w:tc>
          <w:tcPr>
            <w:tcW w:w="721" w:type="pct"/>
            <w:gridSpan w:val="2"/>
            <w:tcBorders>
              <w:top w:val="nil"/>
              <w:left w:val="nil"/>
              <w:bottom w:val="nil"/>
              <w:right w:val="nil"/>
            </w:tcBorders>
            <w:shd w:val="clear" w:color="auto" w:fill="FFFFFF" w:themeFill="background2"/>
            <w:vAlign w:val="center"/>
          </w:tcPr>
          <w:p w14:paraId="79EB041B" w14:textId="77777777" w:rsidR="00961617" w:rsidRPr="002F5864" w:rsidRDefault="00961617" w:rsidP="0020771F">
            <w:pPr>
              <w:pStyle w:val="tabletext"/>
              <w:spacing w:after="0"/>
              <w:ind w:right="346"/>
              <w:rPr>
                <w:rFonts w:cstheme="minorHAnsi"/>
              </w:rPr>
            </w:pPr>
            <w:r w:rsidRPr="002F5864">
              <w:rPr>
                <w:rFonts w:cstheme="minorHAnsi"/>
              </w:rPr>
              <w:t>19.0</w:t>
            </w:r>
          </w:p>
        </w:tc>
      </w:tr>
      <w:tr w:rsidR="00961617" w:rsidRPr="002F5864" w14:paraId="75BFB604"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30B736DF" w14:textId="77777777" w:rsidR="00961617" w:rsidRPr="002F5864" w:rsidRDefault="00961617" w:rsidP="0020771F">
            <w:pPr>
              <w:pStyle w:val="tabletext"/>
              <w:spacing w:after="0"/>
              <w:ind w:right="179"/>
              <w:jc w:val="left"/>
              <w:rPr>
                <w:rFonts w:cstheme="minorHAnsi"/>
              </w:rPr>
            </w:pPr>
            <w:r w:rsidRPr="002F5864">
              <w:rPr>
                <w:rFonts w:cstheme="minorHAnsi"/>
              </w:rPr>
              <w:t>Youth Allowance (Other), full time participation requirements</w:t>
            </w:r>
          </w:p>
        </w:tc>
        <w:tc>
          <w:tcPr>
            <w:tcW w:w="685" w:type="pct"/>
            <w:gridSpan w:val="2"/>
            <w:tcBorders>
              <w:top w:val="nil"/>
              <w:left w:val="nil"/>
              <w:bottom w:val="nil"/>
              <w:right w:val="nil"/>
            </w:tcBorders>
            <w:shd w:val="clear" w:color="auto" w:fill="E5E5E5" w:themeFill="background1" w:themeFillTint="33"/>
            <w:vAlign w:val="center"/>
          </w:tcPr>
          <w:p w14:paraId="7FC0D24A" w14:textId="77777777" w:rsidR="00961617" w:rsidRPr="002F5864" w:rsidRDefault="00961617" w:rsidP="0020771F">
            <w:pPr>
              <w:pStyle w:val="tabletext"/>
              <w:spacing w:after="0"/>
              <w:ind w:right="346"/>
              <w:rPr>
                <w:rFonts w:cstheme="minorHAnsi"/>
              </w:rPr>
            </w:pPr>
            <w:r w:rsidRPr="002F5864">
              <w:rPr>
                <w:rFonts w:cstheme="minorHAnsi"/>
              </w:rPr>
              <w:t>8.3</w:t>
            </w:r>
          </w:p>
        </w:tc>
        <w:tc>
          <w:tcPr>
            <w:tcW w:w="636" w:type="pct"/>
            <w:tcBorders>
              <w:top w:val="nil"/>
              <w:left w:val="nil"/>
              <w:bottom w:val="nil"/>
              <w:right w:val="nil"/>
            </w:tcBorders>
            <w:shd w:val="clear" w:color="auto" w:fill="E5E5E5" w:themeFill="background1" w:themeFillTint="33"/>
            <w:vAlign w:val="center"/>
          </w:tcPr>
          <w:p w14:paraId="23505373" w14:textId="77777777" w:rsidR="00961617" w:rsidRPr="002F5864" w:rsidRDefault="00961617" w:rsidP="0020771F">
            <w:pPr>
              <w:pStyle w:val="tabletext"/>
              <w:spacing w:after="0"/>
              <w:ind w:right="346"/>
              <w:rPr>
                <w:rFonts w:cstheme="minorHAnsi"/>
              </w:rPr>
            </w:pPr>
            <w:r w:rsidRPr="002F5864">
              <w:rPr>
                <w:rFonts w:cstheme="minorHAnsi"/>
              </w:rPr>
              <w:t>9.5</w:t>
            </w:r>
          </w:p>
        </w:tc>
        <w:tc>
          <w:tcPr>
            <w:tcW w:w="670" w:type="pct"/>
            <w:gridSpan w:val="2"/>
            <w:tcBorders>
              <w:top w:val="nil"/>
              <w:left w:val="nil"/>
              <w:bottom w:val="nil"/>
              <w:right w:val="nil"/>
            </w:tcBorders>
            <w:shd w:val="clear" w:color="auto" w:fill="E5E5E5" w:themeFill="background1" w:themeFillTint="33"/>
            <w:vAlign w:val="center"/>
          </w:tcPr>
          <w:p w14:paraId="5B9E3246" w14:textId="77777777" w:rsidR="00961617" w:rsidRPr="002F5864" w:rsidRDefault="00961617" w:rsidP="0020771F">
            <w:pPr>
              <w:pStyle w:val="tabletext"/>
              <w:spacing w:after="0"/>
              <w:ind w:right="346"/>
              <w:rPr>
                <w:rFonts w:cstheme="minorHAnsi"/>
              </w:rPr>
            </w:pPr>
            <w:r w:rsidRPr="002F5864">
              <w:rPr>
                <w:rFonts w:cstheme="minorHAnsi"/>
              </w:rPr>
              <w:t>8.9</w:t>
            </w:r>
          </w:p>
        </w:tc>
        <w:tc>
          <w:tcPr>
            <w:tcW w:w="721" w:type="pct"/>
            <w:gridSpan w:val="2"/>
            <w:tcBorders>
              <w:top w:val="nil"/>
              <w:left w:val="nil"/>
              <w:bottom w:val="nil"/>
              <w:right w:val="nil"/>
            </w:tcBorders>
            <w:shd w:val="clear" w:color="auto" w:fill="E5E5E5" w:themeFill="background1" w:themeFillTint="33"/>
            <w:vAlign w:val="center"/>
          </w:tcPr>
          <w:p w14:paraId="5EFB9CEA" w14:textId="77777777" w:rsidR="00961617" w:rsidRPr="002F5864" w:rsidRDefault="00961617" w:rsidP="0020771F">
            <w:pPr>
              <w:pStyle w:val="tabletext"/>
              <w:spacing w:after="0"/>
              <w:ind w:right="346"/>
              <w:rPr>
                <w:rFonts w:cstheme="minorHAnsi"/>
              </w:rPr>
            </w:pPr>
            <w:r w:rsidRPr="002F5864">
              <w:rPr>
                <w:rFonts w:cstheme="minorHAnsi"/>
              </w:rPr>
              <w:t>11.8</w:t>
            </w:r>
          </w:p>
        </w:tc>
      </w:tr>
      <w:tr w:rsidR="00961617" w:rsidRPr="002F5864" w14:paraId="2FD0026E"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56B69EB4" w14:textId="77777777" w:rsidR="00961617" w:rsidRPr="002F5864" w:rsidRDefault="00961617" w:rsidP="0020771F">
            <w:pPr>
              <w:pStyle w:val="tabletext"/>
              <w:spacing w:after="0"/>
              <w:ind w:right="179"/>
              <w:jc w:val="left"/>
              <w:rPr>
                <w:rFonts w:cstheme="minorHAnsi"/>
              </w:rPr>
            </w:pPr>
            <w:r w:rsidRPr="002F5864">
              <w:rPr>
                <w:rFonts w:cstheme="minorHAnsi"/>
              </w:rPr>
              <w:t>Youth Allowance (Other), part-time participation requirement s</w:t>
            </w:r>
          </w:p>
        </w:tc>
        <w:tc>
          <w:tcPr>
            <w:tcW w:w="685" w:type="pct"/>
            <w:gridSpan w:val="2"/>
            <w:tcBorders>
              <w:top w:val="nil"/>
              <w:left w:val="nil"/>
              <w:bottom w:val="nil"/>
              <w:right w:val="nil"/>
            </w:tcBorders>
            <w:shd w:val="clear" w:color="auto" w:fill="FFFFFF" w:themeFill="background2"/>
            <w:vAlign w:val="center"/>
          </w:tcPr>
          <w:p w14:paraId="36F344EB" w14:textId="77777777" w:rsidR="00961617" w:rsidRPr="002F5864" w:rsidRDefault="00961617" w:rsidP="0020771F">
            <w:pPr>
              <w:pStyle w:val="tabletext"/>
              <w:spacing w:after="0"/>
              <w:ind w:right="346"/>
              <w:rPr>
                <w:rFonts w:cstheme="minorHAnsi"/>
              </w:rPr>
            </w:pPr>
            <w:r w:rsidRPr="002F5864">
              <w:rPr>
                <w:rFonts w:cstheme="minorHAnsi"/>
              </w:rPr>
              <w:t>0.3</w:t>
            </w:r>
          </w:p>
        </w:tc>
        <w:tc>
          <w:tcPr>
            <w:tcW w:w="636" w:type="pct"/>
            <w:tcBorders>
              <w:top w:val="nil"/>
              <w:left w:val="nil"/>
              <w:bottom w:val="nil"/>
              <w:right w:val="nil"/>
            </w:tcBorders>
            <w:shd w:val="clear" w:color="auto" w:fill="FFFFFF" w:themeFill="background2"/>
            <w:vAlign w:val="center"/>
          </w:tcPr>
          <w:p w14:paraId="2DA7C9EF" w14:textId="77777777" w:rsidR="00961617" w:rsidRPr="002F5864" w:rsidRDefault="00961617" w:rsidP="0020771F">
            <w:pPr>
              <w:pStyle w:val="tabletext"/>
              <w:spacing w:after="0"/>
              <w:ind w:right="346"/>
              <w:rPr>
                <w:rFonts w:cstheme="minorHAnsi"/>
              </w:rPr>
            </w:pPr>
            <w:r w:rsidRPr="002F5864">
              <w:rPr>
                <w:rFonts w:cstheme="minorHAnsi"/>
              </w:rPr>
              <w:t>0.6</w:t>
            </w:r>
          </w:p>
        </w:tc>
        <w:tc>
          <w:tcPr>
            <w:tcW w:w="670" w:type="pct"/>
            <w:gridSpan w:val="2"/>
            <w:tcBorders>
              <w:top w:val="nil"/>
              <w:left w:val="nil"/>
              <w:bottom w:val="nil"/>
              <w:right w:val="nil"/>
            </w:tcBorders>
            <w:shd w:val="clear" w:color="auto" w:fill="FFFFFF" w:themeFill="background2"/>
            <w:vAlign w:val="center"/>
          </w:tcPr>
          <w:p w14:paraId="18FA9225" w14:textId="77777777" w:rsidR="00961617" w:rsidRPr="002F5864" w:rsidRDefault="00961617" w:rsidP="0020771F">
            <w:pPr>
              <w:pStyle w:val="tabletext"/>
              <w:spacing w:after="0"/>
              <w:ind w:right="346"/>
              <w:rPr>
                <w:rFonts w:cstheme="minorHAnsi"/>
              </w:rPr>
            </w:pPr>
            <w:r w:rsidRPr="002F5864">
              <w:rPr>
                <w:rFonts w:cstheme="minorHAnsi"/>
              </w:rPr>
              <w:t>0.2</w:t>
            </w:r>
          </w:p>
        </w:tc>
        <w:tc>
          <w:tcPr>
            <w:tcW w:w="721" w:type="pct"/>
            <w:gridSpan w:val="2"/>
            <w:tcBorders>
              <w:top w:val="nil"/>
              <w:left w:val="nil"/>
              <w:bottom w:val="nil"/>
              <w:right w:val="nil"/>
            </w:tcBorders>
            <w:shd w:val="clear" w:color="auto" w:fill="FFFFFF" w:themeFill="background2"/>
            <w:vAlign w:val="center"/>
          </w:tcPr>
          <w:p w14:paraId="5FC55162" w14:textId="77777777" w:rsidR="00961617" w:rsidRPr="002F5864" w:rsidRDefault="00961617" w:rsidP="0020771F">
            <w:pPr>
              <w:pStyle w:val="tabletext"/>
              <w:spacing w:after="0"/>
              <w:ind w:right="346"/>
              <w:rPr>
                <w:rFonts w:cstheme="minorHAnsi"/>
              </w:rPr>
            </w:pPr>
            <w:r w:rsidRPr="002F5864">
              <w:rPr>
                <w:rFonts w:cstheme="minorHAnsi"/>
              </w:rPr>
              <w:t>0.4</w:t>
            </w:r>
          </w:p>
        </w:tc>
      </w:tr>
      <w:tr w:rsidR="00961617" w:rsidRPr="002F5864" w14:paraId="510B01FE"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59FA0A07" w14:textId="77777777" w:rsidR="00961617" w:rsidRPr="002F5864" w:rsidRDefault="00961617" w:rsidP="0020771F">
            <w:pPr>
              <w:pStyle w:val="tabletext"/>
              <w:spacing w:after="0"/>
              <w:ind w:right="179"/>
              <w:jc w:val="left"/>
              <w:rPr>
                <w:rFonts w:cstheme="minorHAnsi"/>
              </w:rPr>
            </w:pPr>
            <w:r w:rsidRPr="002F5864">
              <w:rPr>
                <w:rFonts w:cstheme="minorHAnsi"/>
              </w:rPr>
              <w:t>Disability Support Pension, full or part-time participation requirements</w:t>
            </w:r>
          </w:p>
        </w:tc>
        <w:tc>
          <w:tcPr>
            <w:tcW w:w="685" w:type="pct"/>
            <w:gridSpan w:val="2"/>
            <w:tcBorders>
              <w:top w:val="nil"/>
              <w:left w:val="nil"/>
              <w:bottom w:val="nil"/>
              <w:right w:val="nil"/>
            </w:tcBorders>
            <w:shd w:val="clear" w:color="auto" w:fill="E5E5E5" w:themeFill="background1" w:themeFillTint="33"/>
            <w:vAlign w:val="center"/>
          </w:tcPr>
          <w:p w14:paraId="685FA71A" w14:textId="77777777" w:rsidR="00961617" w:rsidRPr="002F5864" w:rsidRDefault="00961617" w:rsidP="0020771F">
            <w:pPr>
              <w:pStyle w:val="tabletext"/>
              <w:spacing w:after="0"/>
              <w:ind w:right="346"/>
              <w:rPr>
                <w:rFonts w:cstheme="minorHAnsi"/>
              </w:rPr>
            </w:pPr>
            <w:r w:rsidRPr="002F5864">
              <w:rPr>
                <w:rFonts w:cstheme="minorHAnsi"/>
              </w:rPr>
              <w:t>0.7</w:t>
            </w:r>
          </w:p>
        </w:tc>
        <w:tc>
          <w:tcPr>
            <w:tcW w:w="636" w:type="pct"/>
            <w:tcBorders>
              <w:top w:val="nil"/>
              <w:left w:val="nil"/>
              <w:bottom w:val="nil"/>
              <w:right w:val="nil"/>
            </w:tcBorders>
            <w:shd w:val="clear" w:color="auto" w:fill="E5E5E5" w:themeFill="background1" w:themeFillTint="33"/>
            <w:vAlign w:val="center"/>
          </w:tcPr>
          <w:p w14:paraId="389A7440" w14:textId="77777777" w:rsidR="00961617" w:rsidRPr="002F5864" w:rsidRDefault="00961617" w:rsidP="0020771F">
            <w:pPr>
              <w:pStyle w:val="tabletext"/>
              <w:spacing w:after="0"/>
              <w:ind w:right="346"/>
              <w:rPr>
                <w:rFonts w:cstheme="minorHAnsi"/>
              </w:rPr>
            </w:pPr>
            <w:r w:rsidRPr="002F5864">
              <w:rPr>
                <w:rFonts w:cstheme="minorHAnsi"/>
              </w:rPr>
              <w:t>0.5</w:t>
            </w:r>
          </w:p>
        </w:tc>
        <w:tc>
          <w:tcPr>
            <w:tcW w:w="670" w:type="pct"/>
            <w:gridSpan w:val="2"/>
            <w:tcBorders>
              <w:top w:val="nil"/>
              <w:left w:val="nil"/>
              <w:bottom w:val="nil"/>
              <w:right w:val="nil"/>
            </w:tcBorders>
            <w:shd w:val="clear" w:color="auto" w:fill="E5E5E5" w:themeFill="background1" w:themeFillTint="33"/>
            <w:vAlign w:val="center"/>
          </w:tcPr>
          <w:p w14:paraId="186A92FE" w14:textId="77777777" w:rsidR="00961617" w:rsidRPr="002F5864" w:rsidRDefault="00961617" w:rsidP="0020771F">
            <w:pPr>
              <w:pStyle w:val="tabletext"/>
              <w:spacing w:after="0"/>
              <w:ind w:right="346"/>
              <w:rPr>
                <w:rFonts w:cstheme="minorHAnsi"/>
              </w:rPr>
            </w:pPr>
            <w:r w:rsidRPr="002F5864">
              <w:rPr>
                <w:rFonts w:cstheme="minorHAnsi"/>
              </w:rPr>
              <w:t>0.4</w:t>
            </w:r>
          </w:p>
        </w:tc>
        <w:tc>
          <w:tcPr>
            <w:tcW w:w="721" w:type="pct"/>
            <w:gridSpan w:val="2"/>
            <w:tcBorders>
              <w:top w:val="nil"/>
              <w:left w:val="nil"/>
              <w:bottom w:val="nil"/>
              <w:right w:val="nil"/>
            </w:tcBorders>
            <w:shd w:val="clear" w:color="auto" w:fill="E5E5E5" w:themeFill="background1" w:themeFillTint="33"/>
            <w:vAlign w:val="center"/>
          </w:tcPr>
          <w:p w14:paraId="4B95E8A6" w14:textId="77777777" w:rsidR="00961617" w:rsidRPr="002F5864" w:rsidRDefault="00961617" w:rsidP="0020771F">
            <w:pPr>
              <w:pStyle w:val="tabletext"/>
              <w:spacing w:after="0"/>
              <w:ind w:right="346"/>
              <w:rPr>
                <w:rFonts w:cstheme="minorHAnsi"/>
              </w:rPr>
            </w:pPr>
            <w:r w:rsidRPr="002F5864">
              <w:rPr>
                <w:rFonts w:cstheme="minorHAnsi"/>
              </w:rPr>
              <w:t>0.4</w:t>
            </w:r>
          </w:p>
        </w:tc>
      </w:tr>
      <w:tr w:rsidR="00961617" w:rsidRPr="002F5864" w14:paraId="2AB6AD7F"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E585760" w14:textId="77777777" w:rsidR="00961617" w:rsidRPr="002F5864" w:rsidRDefault="00961617" w:rsidP="0020771F">
            <w:pPr>
              <w:pStyle w:val="tabletext"/>
              <w:spacing w:after="0"/>
              <w:ind w:right="179"/>
              <w:jc w:val="left"/>
              <w:rPr>
                <w:rFonts w:cstheme="minorHAnsi"/>
              </w:rPr>
            </w:pPr>
            <w:r w:rsidRPr="002F5864">
              <w:rPr>
                <w:rFonts w:cstheme="minorHAnsi"/>
              </w:rPr>
              <w:t>Disability Support Pension, volunteer</w:t>
            </w:r>
          </w:p>
        </w:tc>
        <w:tc>
          <w:tcPr>
            <w:tcW w:w="685" w:type="pct"/>
            <w:gridSpan w:val="2"/>
            <w:tcBorders>
              <w:top w:val="nil"/>
              <w:left w:val="nil"/>
              <w:bottom w:val="nil"/>
              <w:right w:val="nil"/>
            </w:tcBorders>
            <w:shd w:val="clear" w:color="auto" w:fill="FFFFFF" w:themeFill="background2"/>
            <w:vAlign w:val="center"/>
          </w:tcPr>
          <w:p w14:paraId="0E1CB926" w14:textId="77777777" w:rsidR="00961617" w:rsidRPr="002F5864" w:rsidRDefault="00961617" w:rsidP="0020771F">
            <w:pPr>
              <w:pStyle w:val="tabletext"/>
              <w:spacing w:after="0"/>
              <w:ind w:right="346"/>
              <w:rPr>
                <w:rFonts w:cstheme="minorHAnsi"/>
              </w:rPr>
            </w:pPr>
            <w:r w:rsidRPr="002F5864">
              <w:rPr>
                <w:rFonts w:cstheme="minorHAnsi"/>
              </w:rPr>
              <w:t>1.6</w:t>
            </w:r>
          </w:p>
        </w:tc>
        <w:tc>
          <w:tcPr>
            <w:tcW w:w="636" w:type="pct"/>
            <w:tcBorders>
              <w:top w:val="nil"/>
              <w:left w:val="nil"/>
              <w:bottom w:val="nil"/>
              <w:right w:val="nil"/>
            </w:tcBorders>
            <w:shd w:val="clear" w:color="auto" w:fill="FFFFFF" w:themeFill="background2"/>
            <w:vAlign w:val="center"/>
          </w:tcPr>
          <w:p w14:paraId="7EF78DEA" w14:textId="77777777" w:rsidR="00961617" w:rsidRPr="002F5864" w:rsidRDefault="00961617" w:rsidP="0020771F">
            <w:pPr>
              <w:pStyle w:val="tabletext"/>
              <w:spacing w:after="0"/>
              <w:ind w:right="346"/>
              <w:rPr>
                <w:rFonts w:cstheme="minorHAnsi"/>
              </w:rPr>
            </w:pPr>
            <w:r w:rsidRPr="002F5864">
              <w:rPr>
                <w:rFonts w:cstheme="minorHAnsi"/>
              </w:rPr>
              <w:t>0.5</w:t>
            </w:r>
          </w:p>
        </w:tc>
        <w:tc>
          <w:tcPr>
            <w:tcW w:w="670" w:type="pct"/>
            <w:gridSpan w:val="2"/>
            <w:tcBorders>
              <w:top w:val="nil"/>
              <w:left w:val="nil"/>
              <w:bottom w:val="nil"/>
              <w:right w:val="nil"/>
            </w:tcBorders>
            <w:shd w:val="clear" w:color="auto" w:fill="FFFFFF" w:themeFill="background2"/>
            <w:vAlign w:val="center"/>
          </w:tcPr>
          <w:p w14:paraId="7A0C432A" w14:textId="77777777" w:rsidR="00961617" w:rsidRPr="002F5864" w:rsidRDefault="00961617" w:rsidP="0020771F">
            <w:pPr>
              <w:pStyle w:val="tabletext"/>
              <w:spacing w:after="0"/>
              <w:ind w:right="346"/>
              <w:rPr>
                <w:rFonts w:cstheme="minorHAnsi"/>
              </w:rPr>
            </w:pPr>
            <w:r w:rsidRPr="002F5864">
              <w:rPr>
                <w:rFonts w:cstheme="minorHAnsi"/>
              </w:rPr>
              <w:t>1.1</w:t>
            </w:r>
          </w:p>
        </w:tc>
        <w:tc>
          <w:tcPr>
            <w:tcW w:w="721" w:type="pct"/>
            <w:gridSpan w:val="2"/>
            <w:tcBorders>
              <w:top w:val="nil"/>
              <w:left w:val="nil"/>
              <w:bottom w:val="nil"/>
              <w:right w:val="nil"/>
            </w:tcBorders>
            <w:shd w:val="clear" w:color="auto" w:fill="FFFFFF" w:themeFill="background2"/>
            <w:vAlign w:val="center"/>
          </w:tcPr>
          <w:p w14:paraId="43799785" w14:textId="77777777" w:rsidR="00961617" w:rsidRPr="002F5864" w:rsidRDefault="00961617" w:rsidP="0020771F">
            <w:pPr>
              <w:pStyle w:val="tabletext"/>
              <w:spacing w:after="0"/>
              <w:ind w:right="346"/>
              <w:rPr>
                <w:rFonts w:cstheme="minorHAnsi"/>
              </w:rPr>
            </w:pPr>
            <w:r w:rsidRPr="002F5864">
              <w:rPr>
                <w:rFonts w:cstheme="minorHAnsi"/>
              </w:rPr>
              <w:t>0.4</w:t>
            </w:r>
          </w:p>
        </w:tc>
      </w:tr>
      <w:tr w:rsidR="00961617" w:rsidRPr="002F5864" w14:paraId="3933EC57"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3D2AB55B" w14:textId="77777777" w:rsidR="00961617" w:rsidRPr="002F5864" w:rsidRDefault="00961617" w:rsidP="0020771F">
            <w:pPr>
              <w:pStyle w:val="tabletext"/>
              <w:spacing w:after="0"/>
              <w:ind w:right="179"/>
              <w:jc w:val="left"/>
              <w:rPr>
                <w:rFonts w:cstheme="minorHAnsi"/>
              </w:rPr>
            </w:pPr>
            <w:r w:rsidRPr="002F5864">
              <w:rPr>
                <w:rFonts w:cstheme="minorHAnsi"/>
              </w:rPr>
              <w:t>Parenting Payment, part-time participation requirements</w:t>
            </w:r>
          </w:p>
        </w:tc>
        <w:tc>
          <w:tcPr>
            <w:tcW w:w="685" w:type="pct"/>
            <w:gridSpan w:val="2"/>
            <w:tcBorders>
              <w:top w:val="nil"/>
              <w:left w:val="nil"/>
              <w:bottom w:val="nil"/>
              <w:right w:val="nil"/>
            </w:tcBorders>
            <w:shd w:val="clear" w:color="auto" w:fill="E5E5E5" w:themeFill="background1" w:themeFillTint="33"/>
            <w:vAlign w:val="center"/>
          </w:tcPr>
          <w:p w14:paraId="2A7C4431" w14:textId="77777777" w:rsidR="00961617" w:rsidRPr="002F5864" w:rsidRDefault="00961617" w:rsidP="0020771F">
            <w:pPr>
              <w:pStyle w:val="tabletext"/>
              <w:spacing w:after="0"/>
              <w:ind w:right="346"/>
              <w:rPr>
                <w:rFonts w:cstheme="minorHAnsi"/>
              </w:rPr>
            </w:pPr>
            <w:r w:rsidRPr="002F5864">
              <w:rPr>
                <w:rFonts w:cstheme="minorHAnsi"/>
              </w:rPr>
              <w:t>13.0</w:t>
            </w:r>
          </w:p>
        </w:tc>
        <w:tc>
          <w:tcPr>
            <w:tcW w:w="636" w:type="pct"/>
            <w:tcBorders>
              <w:top w:val="nil"/>
              <w:left w:val="nil"/>
              <w:bottom w:val="nil"/>
              <w:right w:val="nil"/>
            </w:tcBorders>
            <w:shd w:val="clear" w:color="auto" w:fill="E5E5E5" w:themeFill="background1" w:themeFillTint="33"/>
            <w:vAlign w:val="center"/>
          </w:tcPr>
          <w:p w14:paraId="7C50E75C" w14:textId="77777777" w:rsidR="00961617" w:rsidRPr="002F5864" w:rsidRDefault="00961617" w:rsidP="0020771F">
            <w:pPr>
              <w:pStyle w:val="tabletext"/>
              <w:spacing w:after="0"/>
              <w:ind w:right="346"/>
              <w:rPr>
                <w:rFonts w:cstheme="minorHAnsi"/>
              </w:rPr>
            </w:pPr>
            <w:r w:rsidRPr="002F5864">
              <w:rPr>
                <w:rFonts w:cstheme="minorHAnsi"/>
              </w:rPr>
              <w:t>2.3</w:t>
            </w:r>
          </w:p>
        </w:tc>
        <w:tc>
          <w:tcPr>
            <w:tcW w:w="670" w:type="pct"/>
            <w:gridSpan w:val="2"/>
            <w:tcBorders>
              <w:top w:val="nil"/>
              <w:left w:val="nil"/>
              <w:bottom w:val="nil"/>
              <w:right w:val="nil"/>
            </w:tcBorders>
            <w:shd w:val="clear" w:color="auto" w:fill="E5E5E5" w:themeFill="background1" w:themeFillTint="33"/>
            <w:vAlign w:val="center"/>
          </w:tcPr>
          <w:p w14:paraId="46C8B346" w14:textId="77777777" w:rsidR="00961617" w:rsidRPr="002F5864" w:rsidRDefault="00961617" w:rsidP="0020771F">
            <w:pPr>
              <w:pStyle w:val="tabletext"/>
              <w:spacing w:after="0"/>
              <w:ind w:right="346"/>
              <w:rPr>
                <w:rFonts w:cstheme="minorHAnsi"/>
              </w:rPr>
            </w:pPr>
            <w:r w:rsidRPr="002F5864">
              <w:rPr>
                <w:rFonts w:cstheme="minorHAnsi"/>
              </w:rPr>
              <w:t>9.6</w:t>
            </w:r>
          </w:p>
        </w:tc>
        <w:tc>
          <w:tcPr>
            <w:tcW w:w="721" w:type="pct"/>
            <w:gridSpan w:val="2"/>
            <w:tcBorders>
              <w:top w:val="nil"/>
              <w:left w:val="nil"/>
              <w:bottom w:val="nil"/>
              <w:right w:val="nil"/>
            </w:tcBorders>
            <w:shd w:val="clear" w:color="auto" w:fill="E5E5E5" w:themeFill="background1" w:themeFillTint="33"/>
            <w:vAlign w:val="center"/>
          </w:tcPr>
          <w:p w14:paraId="1C927234" w14:textId="77777777" w:rsidR="00961617" w:rsidRPr="002F5864" w:rsidRDefault="00961617" w:rsidP="0020771F">
            <w:pPr>
              <w:pStyle w:val="tabletext"/>
              <w:spacing w:after="0"/>
              <w:ind w:right="346"/>
              <w:rPr>
                <w:rFonts w:cstheme="minorHAnsi"/>
              </w:rPr>
            </w:pPr>
            <w:r w:rsidRPr="002F5864">
              <w:rPr>
                <w:rFonts w:cstheme="minorHAnsi"/>
              </w:rPr>
              <w:t>3.4</w:t>
            </w:r>
          </w:p>
        </w:tc>
      </w:tr>
      <w:tr w:rsidR="00961617" w:rsidRPr="002F5864" w14:paraId="0AD2E19D"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17FE88F8" w14:textId="77777777" w:rsidR="00961617" w:rsidRPr="002F5864" w:rsidRDefault="00961617" w:rsidP="0020771F">
            <w:pPr>
              <w:pStyle w:val="tabletext"/>
              <w:spacing w:after="0"/>
              <w:ind w:right="179"/>
              <w:jc w:val="left"/>
              <w:rPr>
                <w:rFonts w:cstheme="minorHAnsi"/>
              </w:rPr>
            </w:pPr>
            <w:r w:rsidRPr="002F5864">
              <w:rPr>
                <w:rFonts w:cstheme="minorHAnsi"/>
              </w:rPr>
              <w:t>Parenting Payment, volunteer</w:t>
            </w:r>
          </w:p>
        </w:tc>
        <w:tc>
          <w:tcPr>
            <w:tcW w:w="685" w:type="pct"/>
            <w:gridSpan w:val="2"/>
            <w:tcBorders>
              <w:top w:val="nil"/>
              <w:left w:val="nil"/>
              <w:bottom w:val="nil"/>
              <w:right w:val="nil"/>
            </w:tcBorders>
            <w:shd w:val="clear" w:color="auto" w:fill="FFFFFF" w:themeFill="background2"/>
            <w:vAlign w:val="center"/>
          </w:tcPr>
          <w:p w14:paraId="1AD950E3" w14:textId="77777777" w:rsidR="00961617" w:rsidRPr="002F5864" w:rsidRDefault="00961617" w:rsidP="0020771F">
            <w:pPr>
              <w:pStyle w:val="tabletext"/>
              <w:spacing w:after="0"/>
              <w:ind w:right="346"/>
              <w:rPr>
                <w:rFonts w:cstheme="minorHAnsi"/>
              </w:rPr>
            </w:pPr>
            <w:r w:rsidRPr="002F5864">
              <w:rPr>
                <w:rFonts w:cstheme="minorHAnsi"/>
              </w:rPr>
              <w:t>1.6</w:t>
            </w:r>
          </w:p>
        </w:tc>
        <w:tc>
          <w:tcPr>
            <w:tcW w:w="636" w:type="pct"/>
            <w:tcBorders>
              <w:top w:val="nil"/>
              <w:left w:val="nil"/>
              <w:bottom w:val="nil"/>
              <w:right w:val="nil"/>
            </w:tcBorders>
            <w:shd w:val="clear" w:color="auto" w:fill="FFFFFF" w:themeFill="background2"/>
            <w:vAlign w:val="center"/>
          </w:tcPr>
          <w:p w14:paraId="1E00D02F" w14:textId="77777777" w:rsidR="00961617" w:rsidRPr="002F5864" w:rsidRDefault="00961617" w:rsidP="0020771F">
            <w:pPr>
              <w:pStyle w:val="tabletext"/>
              <w:spacing w:after="0"/>
              <w:ind w:right="346"/>
              <w:rPr>
                <w:rFonts w:cstheme="minorHAnsi"/>
              </w:rPr>
            </w:pPr>
            <w:r w:rsidRPr="002F5864">
              <w:rPr>
                <w:rFonts w:cstheme="minorHAnsi"/>
              </w:rPr>
              <w:t>0.9</w:t>
            </w:r>
          </w:p>
        </w:tc>
        <w:tc>
          <w:tcPr>
            <w:tcW w:w="670" w:type="pct"/>
            <w:gridSpan w:val="2"/>
            <w:tcBorders>
              <w:top w:val="nil"/>
              <w:left w:val="nil"/>
              <w:bottom w:val="nil"/>
              <w:right w:val="nil"/>
            </w:tcBorders>
            <w:shd w:val="clear" w:color="auto" w:fill="FFFFFF" w:themeFill="background2"/>
            <w:vAlign w:val="center"/>
          </w:tcPr>
          <w:p w14:paraId="203F6C00" w14:textId="77777777" w:rsidR="00961617" w:rsidRPr="002F5864" w:rsidRDefault="00961617" w:rsidP="0020771F">
            <w:pPr>
              <w:pStyle w:val="tabletext"/>
              <w:spacing w:after="0"/>
              <w:ind w:right="346"/>
              <w:rPr>
                <w:rFonts w:cstheme="minorHAnsi"/>
              </w:rPr>
            </w:pPr>
            <w:r w:rsidRPr="002F5864">
              <w:rPr>
                <w:rFonts w:cstheme="minorHAnsi"/>
              </w:rPr>
              <w:t>2.4</w:t>
            </w:r>
          </w:p>
        </w:tc>
        <w:tc>
          <w:tcPr>
            <w:tcW w:w="721" w:type="pct"/>
            <w:gridSpan w:val="2"/>
            <w:tcBorders>
              <w:top w:val="nil"/>
              <w:left w:val="nil"/>
              <w:bottom w:val="nil"/>
              <w:right w:val="nil"/>
            </w:tcBorders>
            <w:shd w:val="clear" w:color="auto" w:fill="FFFFFF" w:themeFill="background2"/>
            <w:vAlign w:val="center"/>
          </w:tcPr>
          <w:p w14:paraId="3C1EF612" w14:textId="77777777" w:rsidR="00961617" w:rsidRPr="002F5864" w:rsidRDefault="00961617" w:rsidP="0020771F">
            <w:pPr>
              <w:pStyle w:val="tabletext"/>
              <w:spacing w:after="0"/>
              <w:ind w:right="346"/>
              <w:rPr>
                <w:rFonts w:cstheme="minorHAnsi"/>
              </w:rPr>
            </w:pPr>
            <w:r w:rsidRPr="002F5864">
              <w:rPr>
                <w:rFonts w:cstheme="minorHAnsi"/>
              </w:rPr>
              <w:t>1.8</w:t>
            </w:r>
          </w:p>
        </w:tc>
      </w:tr>
      <w:tr w:rsidR="00961617" w:rsidRPr="002F5864" w14:paraId="68C3E9A5"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57260C0A" w14:textId="77777777" w:rsidR="00961617" w:rsidRPr="002F5864" w:rsidRDefault="00961617" w:rsidP="0020771F">
            <w:pPr>
              <w:pStyle w:val="tabletext"/>
              <w:spacing w:after="0"/>
              <w:ind w:right="179"/>
              <w:jc w:val="left"/>
              <w:rPr>
                <w:rFonts w:cstheme="minorHAnsi"/>
              </w:rPr>
            </w:pPr>
            <w:r w:rsidRPr="002F5864">
              <w:rPr>
                <w:rFonts w:cstheme="minorHAnsi"/>
              </w:rPr>
              <w:t>Benefit type and participation requirements: Other</w:t>
            </w:r>
          </w:p>
        </w:tc>
        <w:tc>
          <w:tcPr>
            <w:tcW w:w="685" w:type="pct"/>
            <w:gridSpan w:val="2"/>
            <w:tcBorders>
              <w:top w:val="nil"/>
              <w:left w:val="nil"/>
              <w:bottom w:val="nil"/>
              <w:right w:val="nil"/>
            </w:tcBorders>
            <w:shd w:val="clear" w:color="auto" w:fill="E5E5E5" w:themeFill="background1" w:themeFillTint="33"/>
            <w:vAlign w:val="center"/>
          </w:tcPr>
          <w:p w14:paraId="69A8CAD3" w14:textId="77777777" w:rsidR="00961617" w:rsidRPr="002F5864" w:rsidRDefault="00961617" w:rsidP="0020771F">
            <w:pPr>
              <w:pStyle w:val="tabletext"/>
              <w:spacing w:after="0"/>
              <w:ind w:right="346"/>
              <w:rPr>
                <w:rFonts w:cstheme="minorHAnsi"/>
              </w:rPr>
            </w:pPr>
            <w:r w:rsidRPr="002F5864">
              <w:rPr>
                <w:rFonts w:cstheme="minorHAnsi"/>
              </w:rPr>
              <w:t>7.7</w:t>
            </w:r>
          </w:p>
        </w:tc>
        <w:tc>
          <w:tcPr>
            <w:tcW w:w="636" w:type="pct"/>
            <w:tcBorders>
              <w:top w:val="nil"/>
              <w:left w:val="nil"/>
              <w:bottom w:val="nil"/>
              <w:right w:val="nil"/>
            </w:tcBorders>
            <w:shd w:val="clear" w:color="auto" w:fill="E5E5E5" w:themeFill="background1" w:themeFillTint="33"/>
            <w:vAlign w:val="center"/>
          </w:tcPr>
          <w:p w14:paraId="0B79EFC6" w14:textId="77777777" w:rsidR="00961617" w:rsidRPr="002F5864" w:rsidRDefault="00961617" w:rsidP="0020771F">
            <w:pPr>
              <w:pStyle w:val="tabletext"/>
              <w:spacing w:after="0"/>
              <w:ind w:right="346"/>
              <w:rPr>
                <w:rFonts w:cstheme="minorHAnsi"/>
              </w:rPr>
            </w:pPr>
            <w:r w:rsidRPr="002F5864">
              <w:rPr>
                <w:rFonts w:cstheme="minorHAnsi"/>
              </w:rPr>
              <w:t>5.6</w:t>
            </w:r>
          </w:p>
        </w:tc>
        <w:tc>
          <w:tcPr>
            <w:tcW w:w="670" w:type="pct"/>
            <w:gridSpan w:val="2"/>
            <w:tcBorders>
              <w:top w:val="nil"/>
              <w:left w:val="nil"/>
              <w:bottom w:val="nil"/>
              <w:right w:val="nil"/>
            </w:tcBorders>
            <w:shd w:val="clear" w:color="auto" w:fill="E5E5E5" w:themeFill="background1" w:themeFillTint="33"/>
            <w:vAlign w:val="center"/>
          </w:tcPr>
          <w:p w14:paraId="5FF040B7" w14:textId="77777777" w:rsidR="00961617" w:rsidRPr="002F5864" w:rsidRDefault="00961617" w:rsidP="0020771F">
            <w:pPr>
              <w:pStyle w:val="tabletext"/>
              <w:spacing w:after="0"/>
              <w:ind w:right="346"/>
              <w:rPr>
                <w:rFonts w:cstheme="minorHAnsi"/>
              </w:rPr>
            </w:pPr>
            <w:r w:rsidRPr="002F5864">
              <w:rPr>
                <w:rFonts w:cstheme="minorHAnsi"/>
              </w:rPr>
              <w:t>18.6</w:t>
            </w:r>
          </w:p>
        </w:tc>
        <w:tc>
          <w:tcPr>
            <w:tcW w:w="721" w:type="pct"/>
            <w:gridSpan w:val="2"/>
            <w:tcBorders>
              <w:top w:val="nil"/>
              <w:left w:val="nil"/>
              <w:bottom w:val="nil"/>
              <w:right w:val="nil"/>
            </w:tcBorders>
            <w:shd w:val="clear" w:color="auto" w:fill="E5E5E5" w:themeFill="background1" w:themeFillTint="33"/>
            <w:vAlign w:val="center"/>
          </w:tcPr>
          <w:p w14:paraId="1EEF98C1" w14:textId="77777777" w:rsidR="00961617" w:rsidRPr="002F5864" w:rsidRDefault="00961617" w:rsidP="0020771F">
            <w:pPr>
              <w:pStyle w:val="tabletext"/>
              <w:spacing w:after="0"/>
              <w:ind w:right="346"/>
              <w:rPr>
                <w:rFonts w:cstheme="minorHAnsi"/>
              </w:rPr>
            </w:pPr>
            <w:r w:rsidRPr="002F5864">
              <w:rPr>
                <w:rFonts w:cstheme="minorHAnsi"/>
              </w:rPr>
              <w:t>11.5</w:t>
            </w:r>
          </w:p>
        </w:tc>
      </w:tr>
      <w:tr w:rsidR="00961617" w:rsidRPr="002F5864" w14:paraId="3A19AB37"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3EE74E5C"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Full-time capacity to participate in the labour force</w:t>
            </w:r>
          </w:p>
        </w:tc>
        <w:tc>
          <w:tcPr>
            <w:tcW w:w="685" w:type="pct"/>
            <w:gridSpan w:val="2"/>
            <w:tcBorders>
              <w:top w:val="nil"/>
              <w:left w:val="nil"/>
              <w:bottom w:val="nil"/>
              <w:right w:val="nil"/>
            </w:tcBorders>
            <w:shd w:val="clear" w:color="auto" w:fill="FFFFFF" w:themeFill="background2"/>
            <w:vAlign w:val="center"/>
          </w:tcPr>
          <w:p w14:paraId="4AB5FD1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61.3</w:t>
            </w:r>
          </w:p>
        </w:tc>
        <w:tc>
          <w:tcPr>
            <w:tcW w:w="636" w:type="pct"/>
            <w:tcBorders>
              <w:top w:val="nil"/>
              <w:left w:val="nil"/>
              <w:bottom w:val="nil"/>
              <w:right w:val="nil"/>
            </w:tcBorders>
            <w:shd w:val="clear" w:color="auto" w:fill="FFFFFF" w:themeFill="background2"/>
            <w:vAlign w:val="center"/>
          </w:tcPr>
          <w:p w14:paraId="42BAEA6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63.1</w:t>
            </w:r>
          </w:p>
        </w:tc>
        <w:tc>
          <w:tcPr>
            <w:tcW w:w="661" w:type="pct"/>
            <w:tcBorders>
              <w:top w:val="nil"/>
              <w:left w:val="nil"/>
              <w:bottom w:val="nil"/>
              <w:right w:val="nil"/>
            </w:tcBorders>
            <w:shd w:val="clear" w:color="auto" w:fill="FFFFFF" w:themeFill="background2"/>
            <w:vAlign w:val="center"/>
          </w:tcPr>
          <w:p w14:paraId="17BFD1E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69.3</w:t>
            </w:r>
          </w:p>
        </w:tc>
        <w:tc>
          <w:tcPr>
            <w:tcW w:w="725" w:type="pct"/>
            <w:gridSpan w:val="2"/>
            <w:tcBorders>
              <w:top w:val="nil"/>
              <w:left w:val="nil"/>
              <w:bottom w:val="nil"/>
              <w:right w:val="nil"/>
            </w:tcBorders>
            <w:shd w:val="clear" w:color="auto" w:fill="FFFFFF" w:themeFill="background2"/>
            <w:vAlign w:val="center"/>
          </w:tcPr>
          <w:p w14:paraId="34E46C4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69.1</w:t>
            </w:r>
          </w:p>
        </w:tc>
      </w:tr>
      <w:tr w:rsidR="00961617" w:rsidRPr="002F5864" w14:paraId="70E99B5E"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05CA4044"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Part-time capacity to participate in the labour force</w:t>
            </w:r>
          </w:p>
        </w:tc>
        <w:tc>
          <w:tcPr>
            <w:tcW w:w="685" w:type="pct"/>
            <w:gridSpan w:val="2"/>
            <w:tcBorders>
              <w:top w:val="nil"/>
              <w:left w:val="nil"/>
              <w:bottom w:val="nil"/>
              <w:right w:val="nil"/>
            </w:tcBorders>
            <w:shd w:val="clear" w:color="auto" w:fill="E5E5E5" w:themeFill="background1" w:themeFillTint="33"/>
            <w:vAlign w:val="center"/>
          </w:tcPr>
          <w:p w14:paraId="3B1017A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38.7</w:t>
            </w:r>
          </w:p>
        </w:tc>
        <w:tc>
          <w:tcPr>
            <w:tcW w:w="636" w:type="pct"/>
            <w:tcBorders>
              <w:top w:val="nil"/>
              <w:left w:val="nil"/>
              <w:bottom w:val="nil"/>
              <w:right w:val="nil"/>
            </w:tcBorders>
            <w:shd w:val="clear" w:color="auto" w:fill="E5E5E5" w:themeFill="background1" w:themeFillTint="33"/>
            <w:vAlign w:val="center"/>
          </w:tcPr>
          <w:p w14:paraId="7368BFF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36.9</w:t>
            </w:r>
          </w:p>
        </w:tc>
        <w:tc>
          <w:tcPr>
            <w:tcW w:w="661" w:type="pct"/>
            <w:tcBorders>
              <w:top w:val="nil"/>
              <w:left w:val="nil"/>
              <w:bottom w:val="nil"/>
              <w:right w:val="nil"/>
            </w:tcBorders>
            <w:shd w:val="clear" w:color="auto" w:fill="E5E5E5" w:themeFill="background1" w:themeFillTint="33"/>
            <w:vAlign w:val="center"/>
          </w:tcPr>
          <w:p w14:paraId="1499D74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30.7</w:t>
            </w:r>
          </w:p>
        </w:tc>
        <w:tc>
          <w:tcPr>
            <w:tcW w:w="725" w:type="pct"/>
            <w:gridSpan w:val="2"/>
            <w:tcBorders>
              <w:top w:val="nil"/>
              <w:left w:val="nil"/>
              <w:bottom w:val="nil"/>
              <w:right w:val="nil"/>
            </w:tcBorders>
            <w:shd w:val="clear" w:color="auto" w:fill="E5E5E5" w:themeFill="background1" w:themeFillTint="33"/>
            <w:vAlign w:val="center"/>
          </w:tcPr>
          <w:p w14:paraId="6CE38EC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30.9</w:t>
            </w:r>
          </w:p>
        </w:tc>
      </w:tr>
      <w:tr w:rsidR="00961617" w:rsidRPr="002F5864" w14:paraId="60F772B4"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4CFA6A25"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Less than Year 10</w:t>
            </w:r>
          </w:p>
        </w:tc>
        <w:tc>
          <w:tcPr>
            <w:tcW w:w="685" w:type="pct"/>
            <w:gridSpan w:val="2"/>
            <w:tcBorders>
              <w:top w:val="nil"/>
              <w:left w:val="nil"/>
              <w:bottom w:val="nil"/>
              <w:right w:val="nil"/>
            </w:tcBorders>
            <w:shd w:val="clear" w:color="auto" w:fill="FFFFFF" w:themeFill="background2"/>
            <w:vAlign w:val="center"/>
          </w:tcPr>
          <w:p w14:paraId="3DC6F72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20.9</w:t>
            </w:r>
          </w:p>
        </w:tc>
        <w:tc>
          <w:tcPr>
            <w:tcW w:w="636" w:type="pct"/>
            <w:tcBorders>
              <w:top w:val="nil"/>
              <w:left w:val="nil"/>
              <w:bottom w:val="nil"/>
              <w:right w:val="nil"/>
            </w:tcBorders>
            <w:shd w:val="clear" w:color="auto" w:fill="FFFFFF" w:themeFill="background2"/>
            <w:vAlign w:val="center"/>
          </w:tcPr>
          <w:p w14:paraId="1504EB6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15.4</w:t>
            </w:r>
          </w:p>
        </w:tc>
        <w:tc>
          <w:tcPr>
            <w:tcW w:w="661" w:type="pct"/>
            <w:tcBorders>
              <w:top w:val="nil"/>
              <w:left w:val="nil"/>
              <w:bottom w:val="nil"/>
              <w:right w:val="nil"/>
            </w:tcBorders>
            <w:shd w:val="clear" w:color="auto" w:fill="FFFFFF" w:themeFill="background2"/>
            <w:vAlign w:val="center"/>
          </w:tcPr>
          <w:p w14:paraId="78C7FD3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14.9</w:t>
            </w:r>
          </w:p>
        </w:tc>
        <w:tc>
          <w:tcPr>
            <w:tcW w:w="725" w:type="pct"/>
            <w:gridSpan w:val="2"/>
            <w:tcBorders>
              <w:top w:val="nil"/>
              <w:left w:val="nil"/>
              <w:bottom w:val="nil"/>
              <w:right w:val="nil"/>
            </w:tcBorders>
            <w:shd w:val="clear" w:color="auto" w:fill="FFFFFF" w:themeFill="background2"/>
            <w:vAlign w:val="center"/>
          </w:tcPr>
          <w:p w14:paraId="2B4A6AF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11.9</w:t>
            </w:r>
          </w:p>
        </w:tc>
      </w:tr>
      <w:tr w:rsidR="00961617" w:rsidRPr="002F5864" w14:paraId="420734AC"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0FF85AD4"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Completed Year 10/11</w:t>
            </w:r>
          </w:p>
        </w:tc>
        <w:tc>
          <w:tcPr>
            <w:tcW w:w="685" w:type="pct"/>
            <w:gridSpan w:val="2"/>
            <w:tcBorders>
              <w:top w:val="nil"/>
              <w:left w:val="nil"/>
              <w:bottom w:val="nil"/>
              <w:right w:val="nil"/>
            </w:tcBorders>
            <w:shd w:val="clear" w:color="auto" w:fill="E5E5E5" w:themeFill="background1" w:themeFillTint="33"/>
            <w:vAlign w:val="center"/>
          </w:tcPr>
          <w:p w14:paraId="45C13F0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38.2</w:t>
            </w:r>
          </w:p>
        </w:tc>
        <w:tc>
          <w:tcPr>
            <w:tcW w:w="636" w:type="pct"/>
            <w:tcBorders>
              <w:top w:val="nil"/>
              <w:left w:val="nil"/>
              <w:bottom w:val="nil"/>
              <w:right w:val="nil"/>
            </w:tcBorders>
            <w:shd w:val="clear" w:color="auto" w:fill="E5E5E5" w:themeFill="background1" w:themeFillTint="33"/>
            <w:vAlign w:val="center"/>
          </w:tcPr>
          <w:p w14:paraId="219B920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32.2</w:t>
            </w:r>
          </w:p>
        </w:tc>
        <w:tc>
          <w:tcPr>
            <w:tcW w:w="661" w:type="pct"/>
            <w:tcBorders>
              <w:top w:val="nil"/>
              <w:left w:val="nil"/>
              <w:bottom w:val="nil"/>
              <w:right w:val="nil"/>
            </w:tcBorders>
            <w:shd w:val="clear" w:color="auto" w:fill="E5E5E5" w:themeFill="background1" w:themeFillTint="33"/>
            <w:vAlign w:val="center"/>
          </w:tcPr>
          <w:p w14:paraId="683D45D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32.9</w:t>
            </w:r>
          </w:p>
        </w:tc>
        <w:tc>
          <w:tcPr>
            <w:tcW w:w="725" w:type="pct"/>
            <w:gridSpan w:val="2"/>
            <w:tcBorders>
              <w:top w:val="nil"/>
              <w:left w:val="nil"/>
              <w:bottom w:val="nil"/>
              <w:right w:val="nil"/>
            </w:tcBorders>
            <w:shd w:val="clear" w:color="auto" w:fill="E5E5E5" w:themeFill="background1" w:themeFillTint="33"/>
            <w:vAlign w:val="center"/>
          </w:tcPr>
          <w:p w14:paraId="11AD579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28.9</w:t>
            </w:r>
          </w:p>
        </w:tc>
      </w:tr>
      <w:tr w:rsidR="00961617" w:rsidRPr="002F5864" w14:paraId="15FB7613"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297C7005"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Completed Year 12</w:t>
            </w:r>
          </w:p>
        </w:tc>
        <w:tc>
          <w:tcPr>
            <w:tcW w:w="685" w:type="pct"/>
            <w:gridSpan w:val="2"/>
            <w:tcBorders>
              <w:top w:val="nil"/>
              <w:left w:val="nil"/>
              <w:bottom w:val="nil"/>
              <w:right w:val="nil"/>
            </w:tcBorders>
            <w:shd w:val="clear" w:color="auto" w:fill="FFFFFF" w:themeFill="background2"/>
            <w:vAlign w:val="center"/>
          </w:tcPr>
          <w:p w14:paraId="25E238E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14.6</w:t>
            </w:r>
          </w:p>
        </w:tc>
        <w:tc>
          <w:tcPr>
            <w:tcW w:w="636" w:type="pct"/>
            <w:tcBorders>
              <w:top w:val="nil"/>
              <w:left w:val="nil"/>
              <w:bottom w:val="nil"/>
              <w:right w:val="nil"/>
            </w:tcBorders>
            <w:shd w:val="clear" w:color="auto" w:fill="FFFFFF" w:themeFill="background2"/>
            <w:vAlign w:val="center"/>
          </w:tcPr>
          <w:p w14:paraId="72ACA0A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14.0</w:t>
            </w:r>
          </w:p>
        </w:tc>
        <w:tc>
          <w:tcPr>
            <w:tcW w:w="661" w:type="pct"/>
            <w:tcBorders>
              <w:top w:val="nil"/>
              <w:left w:val="nil"/>
              <w:bottom w:val="nil"/>
              <w:right w:val="nil"/>
            </w:tcBorders>
            <w:shd w:val="clear" w:color="auto" w:fill="FFFFFF" w:themeFill="background2"/>
            <w:vAlign w:val="center"/>
          </w:tcPr>
          <w:p w14:paraId="639CC24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17.6</w:t>
            </w:r>
          </w:p>
        </w:tc>
        <w:tc>
          <w:tcPr>
            <w:tcW w:w="725" w:type="pct"/>
            <w:gridSpan w:val="2"/>
            <w:tcBorders>
              <w:top w:val="nil"/>
              <w:left w:val="nil"/>
              <w:bottom w:val="nil"/>
              <w:right w:val="nil"/>
            </w:tcBorders>
            <w:shd w:val="clear" w:color="auto" w:fill="FFFFFF" w:themeFill="background2"/>
            <w:vAlign w:val="center"/>
          </w:tcPr>
          <w:p w14:paraId="0FD5BE8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w:t>
            </w:r>
          </w:p>
        </w:tc>
      </w:tr>
      <w:tr w:rsidR="00961617" w:rsidRPr="002F5864" w14:paraId="0AD864B3"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6AED6462"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Vocational qualification</w:t>
            </w:r>
          </w:p>
        </w:tc>
        <w:tc>
          <w:tcPr>
            <w:tcW w:w="685" w:type="pct"/>
            <w:gridSpan w:val="2"/>
            <w:tcBorders>
              <w:top w:val="nil"/>
              <w:left w:val="nil"/>
              <w:bottom w:val="nil"/>
              <w:right w:val="nil"/>
            </w:tcBorders>
            <w:shd w:val="clear" w:color="auto" w:fill="E5E5E5" w:themeFill="background1" w:themeFillTint="33"/>
            <w:vAlign w:val="center"/>
          </w:tcPr>
          <w:p w14:paraId="3030E74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18.9</w:t>
            </w:r>
          </w:p>
        </w:tc>
        <w:tc>
          <w:tcPr>
            <w:tcW w:w="636" w:type="pct"/>
            <w:tcBorders>
              <w:top w:val="nil"/>
              <w:left w:val="nil"/>
              <w:bottom w:val="nil"/>
              <w:right w:val="nil"/>
            </w:tcBorders>
            <w:shd w:val="clear" w:color="auto" w:fill="E5E5E5" w:themeFill="background1" w:themeFillTint="33"/>
            <w:vAlign w:val="center"/>
          </w:tcPr>
          <w:p w14:paraId="5F2498E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31.4</w:t>
            </w:r>
          </w:p>
        </w:tc>
        <w:tc>
          <w:tcPr>
            <w:tcW w:w="661" w:type="pct"/>
            <w:tcBorders>
              <w:top w:val="nil"/>
              <w:left w:val="nil"/>
              <w:bottom w:val="nil"/>
              <w:right w:val="nil"/>
            </w:tcBorders>
            <w:shd w:val="clear" w:color="auto" w:fill="E5E5E5" w:themeFill="background1" w:themeFillTint="33"/>
            <w:vAlign w:val="center"/>
          </w:tcPr>
          <w:p w14:paraId="1A0BC70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22.1</w:t>
            </w:r>
          </w:p>
        </w:tc>
        <w:tc>
          <w:tcPr>
            <w:tcW w:w="725" w:type="pct"/>
            <w:gridSpan w:val="2"/>
            <w:tcBorders>
              <w:top w:val="nil"/>
              <w:left w:val="nil"/>
              <w:bottom w:val="nil"/>
              <w:right w:val="nil"/>
            </w:tcBorders>
            <w:shd w:val="clear" w:color="auto" w:fill="E5E5E5" w:themeFill="background1" w:themeFillTint="33"/>
            <w:vAlign w:val="center"/>
          </w:tcPr>
          <w:p w14:paraId="50DEB52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32.4</w:t>
            </w:r>
          </w:p>
        </w:tc>
      </w:tr>
      <w:tr w:rsidR="00961617" w:rsidRPr="002F5864" w14:paraId="1BF685F1"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2A9BDE1A"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Tertiary qualification</w:t>
            </w:r>
          </w:p>
        </w:tc>
        <w:tc>
          <w:tcPr>
            <w:tcW w:w="685" w:type="pct"/>
            <w:gridSpan w:val="2"/>
            <w:tcBorders>
              <w:top w:val="nil"/>
              <w:left w:val="nil"/>
              <w:bottom w:val="nil"/>
              <w:right w:val="nil"/>
            </w:tcBorders>
            <w:shd w:val="clear" w:color="auto" w:fill="FFFFFF" w:themeFill="background2"/>
            <w:vAlign w:val="center"/>
          </w:tcPr>
          <w:p w14:paraId="38A4525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6.6</w:t>
            </w:r>
          </w:p>
        </w:tc>
        <w:tc>
          <w:tcPr>
            <w:tcW w:w="636" w:type="pct"/>
            <w:tcBorders>
              <w:top w:val="nil"/>
              <w:left w:val="nil"/>
              <w:bottom w:val="nil"/>
              <w:right w:val="nil"/>
            </w:tcBorders>
            <w:shd w:val="clear" w:color="auto" w:fill="FFFFFF" w:themeFill="background2"/>
            <w:vAlign w:val="center"/>
          </w:tcPr>
          <w:p w14:paraId="12F733E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6.8</w:t>
            </w:r>
          </w:p>
        </w:tc>
        <w:tc>
          <w:tcPr>
            <w:tcW w:w="661" w:type="pct"/>
            <w:tcBorders>
              <w:top w:val="nil"/>
              <w:left w:val="nil"/>
              <w:bottom w:val="nil"/>
              <w:right w:val="nil"/>
            </w:tcBorders>
            <w:shd w:val="clear" w:color="auto" w:fill="FFFFFF" w:themeFill="background2"/>
            <w:vAlign w:val="center"/>
          </w:tcPr>
          <w:p w14:paraId="308F51D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9.9</w:t>
            </w:r>
          </w:p>
        </w:tc>
        <w:tc>
          <w:tcPr>
            <w:tcW w:w="725" w:type="pct"/>
            <w:gridSpan w:val="2"/>
            <w:tcBorders>
              <w:top w:val="nil"/>
              <w:left w:val="nil"/>
              <w:bottom w:val="nil"/>
              <w:right w:val="nil"/>
            </w:tcBorders>
            <w:shd w:val="clear" w:color="auto" w:fill="FFFFFF" w:themeFill="background2"/>
            <w:vAlign w:val="center"/>
          </w:tcPr>
          <w:p w14:paraId="0543FAB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8.7</w:t>
            </w:r>
          </w:p>
        </w:tc>
      </w:tr>
      <w:tr w:rsidR="00961617" w:rsidRPr="002F5864" w14:paraId="2714941E"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5B7D3641"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Highest level of education: Unknown / not stated</w:t>
            </w:r>
          </w:p>
        </w:tc>
        <w:tc>
          <w:tcPr>
            <w:tcW w:w="685" w:type="pct"/>
            <w:gridSpan w:val="2"/>
            <w:tcBorders>
              <w:top w:val="nil"/>
              <w:left w:val="nil"/>
              <w:bottom w:val="nil"/>
              <w:right w:val="nil"/>
            </w:tcBorders>
            <w:shd w:val="clear" w:color="auto" w:fill="E5E5E5" w:themeFill="background1" w:themeFillTint="33"/>
            <w:vAlign w:val="center"/>
          </w:tcPr>
          <w:p w14:paraId="6D97554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0.8</w:t>
            </w:r>
          </w:p>
        </w:tc>
        <w:tc>
          <w:tcPr>
            <w:tcW w:w="636" w:type="pct"/>
            <w:tcBorders>
              <w:top w:val="nil"/>
              <w:left w:val="nil"/>
              <w:bottom w:val="nil"/>
              <w:right w:val="nil"/>
            </w:tcBorders>
            <w:shd w:val="clear" w:color="auto" w:fill="E5E5E5" w:themeFill="background1" w:themeFillTint="33"/>
            <w:vAlign w:val="center"/>
          </w:tcPr>
          <w:p w14:paraId="61B01DD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0.2</w:t>
            </w:r>
          </w:p>
        </w:tc>
        <w:tc>
          <w:tcPr>
            <w:tcW w:w="661" w:type="pct"/>
            <w:tcBorders>
              <w:top w:val="nil"/>
              <w:left w:val="nil"/>
              <w:bottom w:val="nil"/>
              <w:right w:val="nil"/>
            </w:tcBorders>
            <w:shd w:val="clear" w:color="auto" w:fill="E5E5E5" w:themeFill="background1" w:themeFillTint="33"/>
            <w:vAlign w:val="center"/>
          </w:tcPr>
          <w:p w14:paraId="3C75F48F"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2.6</w:t>
            </w:r>
          </w:p>
        </w:tc>
        <w:tc>
          <w:tcPr>
            <w:tcW w:w="725" w:type="pct"/>
            <w:gridSpan w:val="2"/>
            <w:tcBorders>
              <w:top w:val="nil"/>
              <w:left w:val="nil"/>
              <w:bottom w:val="nil"/>
              <w:right w:val="nil"/>
            </w:tcBorders>
            <w:shd w:val="clear" w:color="auto" w:fill="E5E5E5" w:themeFill="background1" w:themeFillTint="33"/>
            <w:vAlign w:val="center"/>
          </w:tcPr>
          <w:p w14:paraId="1433ECE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w:t>
            </w:r>
          </w:p>
        </w:tc>
      </w:tr>
      <w:tr w:rsidR="00961617" w:rsidRPr="002F5864" w14:paraId="2CE0FCD3"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5B8304D5"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Visa: Refugee/special global humanitarian/protection</w:t>
            </w:r>
          </w:p>
        </w:tc>
        <w:tc>
          <w:tcPr>
            <w:tcW w:w="685" w:type="pct"/>
            <w:gridSpan w:val="2"/>
            <w:tcBorders>
              <w:top w:val="nil"/>
              <w:left w:val="nil"/>
              <w:bottom w:val="nil"/>
              <w:right w:val="nil"/>
            </w:tcBorders>
            <w:shd w:val="clear" w:color="auto" w:fill="FFFFFF" w:themeFill="background2"/>
            <w:vAlign w:val="center"/>
          </w:tcPr>
          <w:p w14:paraId="4C5D599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2.4</w:t>
            </w:r>
          </w:p>
        </w:tc>
        <w:tc>
          <w:tcPr>
            <w:tcW w:w="636" w:type="pct"/>
            <w:tcBorders>
              <w:top w:val="nil"/>
              <w:left w:val="nil"/>
              <w:bottom w:val="nil"/>
              <w:right w:val="nil"/>
            </w:tcBorders>
            <w:shd w:val="clear" w:color="auto" w:fill="FFFFFF" w:themeFill="background2"/>
            <w:vAlign w:val="center"/>
          </w:tcPr>
          <w:p w14:paraId="3442B32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2.8</w:t>
            </w:r>
          </w:p>
        </w:tc>
        <w:tc>
          <w:tcPr>
            <w:tcW w:w="661" w:type="pct"/>
            <w:tcBorders>
              <w:top w:val="nil"/>
              <w:left w:val="nil"/>
              <w:bottom w:val="nil"/>
              <w:right w:val="nil"/>
            </w:tcBorders>
            <w:shd w:val="clear" w:color="auto" w:fill="FFFFFF" w:themeFill="background2"/>
            <w:vAlign w:val="center"/>
          </w:tcPr>
          <w:p w14:paraId="7DDF829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2.3</w:t>
            </w:r>
          </w:p>
        </w:tc>
        <w:tc>
          <w:tcPr>
            <w:tcW w:w="725" w:type="pct"/>
            <w:gridSpan w:val="2"/>
            <w:tcBorders>
              <w:top w:val="nil"/>
              <w:left w:val="nil"/>
              <w:bottom w:val="nil"/>
              <w:right w:val="nil"/>
            </w:tcBorders>
            <w:shd w:val="clear" w:color="auto" w:fill="FFFFFF" w:themeFill="background2"/>
            <w:vAlign w:val="center"/>
          </w:tcPr>
          <w:p w14:paraId="02A2714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2.7</w:t>
            </w:r>
          </w:p>
        </w:tc>
      </w:tr>
      <w:tr w:rsidR="00961617" w:rsidRPr="002F5864" w14:paraId="353ECDA2"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4E4FF56F"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Visa: Skilled immigrant</w:t>
            </w:r>
          </w:p>
        </w:tc>
        <w:tc>
          <w:tcPr>
            <w:tcW w:w="685" w:type="pct"/>
            <w:gridSpan w:val="2"/>
            <w:tcBorders>
              <w:top w:val="nil"/>
              <w:left w:val="nil"/>
              <w:bottom w:val="nil"/>
              <w:right w:val="nil"/>
            </w:tcBorders>
            <w:shd w:val="clear" w:color="auto" w:fill="E5E5E5" w:themeFill="background1" w:themeFillTint="33"/>
            <w:vAlign w:val="center"/>
          </w:tcPr>
          <w:p w14:paraId="6C87787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0.2</w:t>
            </w:r>
          </w:p>
        </w:tc>
        <w:tc>
          <w:tcPr>
            <w:tcW w:w="636" w:type="pct"/>
            <w:tcBorders>
              <w:top w:val="nil"/>
              <w:left w:val="nil"/>
              <w:bottom w:val="nil"/>
              <w:right w:val="nil"/>
            </w:tcBorders>
            <w:shd w:val="clear" w:color="auto" w:fill="E5E5E5" w:themeFill="background1" w:themeFillTint="33"/>
            <w:vAlign w:val="center"/>
          </w:tcPr>
          <w:p w14:paraId="24246E1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0.1</w:t>
            </w:r>
          </w:p>
        </w:tc>
        <w:tc>
          <w:tcPr>
            <w:tcW w:w="661" w:type="pct"/>
            <w:tcBorders>
              <w:top w:val="nil"/>
              <w:left w:val="nil"/>
              <w:bottom w:val="nil"/>
              <w:right w:val="nil"/>
            </w:tcBorders>
            <w:shd w:val="clear" w:color="auto" w:fill="E5E5E5" w:themeFill="background1" w:themeFillTint="33"/>
            <w:vAlign w:val="center"/>
          </w:tcPr>
          <w:p w14:paraId="249FC5D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0.5</w:t>
            </w:r>
          </w:p>
        </w:tc>
        <w:tc>
          <w:tcPr>
            <w:tcW w:w="725" w:type="pct"/>
            <w:gridSpan w:val="2"/>
            <w:tcBorders>
              <w:top w:val="nil"/>
              <w:left w:val="nil"/>
              <w:bottom w:val="nil"/>
              <w:right w:val="nil"/>
            </w:tcBorders>
            <w:shd w:val="clear" w:color="auto" w:fill="E5E5E5" w:themeFill="background1" w:themeFillTint="33"/>
            <w:vAlign w:val="center"/>
          </w:tcPr>
          <w:p w14:paraId="2074A08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0.2</w:t>
            </w:r>
          </w:p>
        </w:tc>
      </w:tr>
      <w:tr w:rsidR="00961617" w:rsidRPr="002F5864" w14:paraId="45AE7D79"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456385FC"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Visa: Other/ no visa/no visa information</w:t>
            </w:r>
          </w:p>
        </w:tc>
        <w:tc>
          <w:tcPr>
            <w:tcW w:w="685" w:type="pct"/>
            <w:gridSpan w:val="2"/>
            <w:tcBorders>
              <w:top w:val="nil"/>
              <w:left w:val="nil"/>
              <w:bottom w:val="nil"/>
              <w:right w:val="nil"/>
            </w:tcBorders>
            <w:shd w:val="clear" w:color="auto" w:fill="FFFFFF" w:themeFill="background2"/>
            <w:vAlign w:val="center"/>
          </w:tcPr>
          <w:p w14:paraId="1617EEF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97.4</w:t>
            </w:r>
          </w:p>
        </w:tc>
        <w:tc>
          <w:tcPr>
            <w:tcW w:w="636" w:type="pct"/>
            <w:tcBorders>
              <w:top w:val="nil"/>
              <w:left w:val="nil"/>
              <w:bottom w:val="nil"/>
              <w:right w:val="nil"/>
            </w:tcBorders>
            <w:shd w:val="clear" w:color="auto" w:fill="FFFFFF" w:themeFill="background2"/>
            <w:vAlign w:val="center"/>
          </w:tcPr>
          <w:p w14:paraId="2F381C9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97.1</w:t>
            </w:r>
          </w:p>
        </w:tc>
        <w:tc>
          <w:tcPr>
            <w:tcW w:w="661" w:type="pct"/>
            <w:tcBorders>
              <w:top w:val="nil"/>
              <w:left w:val="nil"/>
              <w:bottom w:val="nil"/>
              <w:right w:val="nil"/>
            </w:tcBorders>
            <w:shd w:val="clear" w:color="auto" w:fill="FFFFFF" w:themeFill="background2"/>
            <w:vAlign w:val="center"/>
          </w:tcPr>
          <w:p w14:paraId="16AE1EBC"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97.2</w:t>
            </w:r>
          </w:p>
        </w:tc>
        <w:tc>
          <w:tcPr>
            <w:tcW w:w="725" w:type="pct"/>
            <w:gridSpan w:val="2"/>
            <w:tcBorders>
              <w:top w:val="nil"/>
              <w:left w:val="nil"/>
              <w:bottom w:val="nil"/>
              <w:right w:val="nil"/>
            </w:tcBorders>
            <w:shd w:val="clear" w:color="auto" w:fill="FFFFFF" w:themeFill="background2"/>
            <w:vAlign w:val="center"/>
          </w:tcPr>
          <w:p w14:paraId="30DDBD2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97.1</w:t>
            </w:r>
          </w:p>
        </w:tc>
      </w:tr>
      <w:tr w:rsidR="00961617" w:rsidRPr="002F5864" w14:paraId="2D21B25D"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521071E8"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Major Cities</w:t>
            </w:r>
          </w:p>
        </w:tc>
        <w:tc>
          <w:tcPr>
            <w:tcW w:w="685" w:type="pct"/>
            <w:gridSpan w:val="2"/>
            <w:tcBorders>
              <w:top w:val="nil"/>
              <w:left w:val="nil"/>
              <w:bottom w:val="nil"/>
              <w:right w:val="nil"/>
            </w:tcBorders>
            <w:shd w:val="clear" w:color="auto" w:fill="E5E5E5" w:themeFill="background1" w:themeFillTint="33"/>
            <w:vAlign w:val="center"/>
          </w:tcPr>
          <w:p w14:paraId="5BEEC12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62.9</w:t>
            </w:r>
          </w:p>
        </w:tc>
        <w:tc>
          <w:tcPr>
            <w:tcW w:w="636" w:type="pct"/>
            <w:tcBorders>
              <w:top w:val="nil"/>
              <w:left w:val="nil"/>
              <w:bottom w:val="nil"/>
              <w:right w:val="nil"/>
            </w:tcBorders>
            <w:shd w:val="clear" w:color="auto" w:fill="E5E5E5" w:themeFill="background1" w:themeFillTint="33"/>
            <w:vAlign w:val="center"/>
          </w:tcPr>
          <w:p w14:paraId="7174AFE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63.6</w:t>
            </w:r>
          </w:p>
        </w:tc>
        <w:tc>
          <w:tcPr>
            <w:tcW w:w="661" w:type="pct"/>
            <w:tcBorders>
              <w:top w:val="nil"/>
              <w:left w:val="nil"/>
              <w:bottom w:val="nil"/>
              <w:right w:val="nil"/>
            </w:tcBorders>
            <w:shd w:val="clear" w:color="auto" w:fill="E5E5E5" w:themeFill="background1" w:themeFillTint="33"/>
            <w:vAlign w:val="center"/>
          </w:tcPr>
          <w:p w14:paraId="248D671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65.8</w:t>
            </w:r>
          </w:p>
        </w:tc>
        <w:tc>
          <w:tcPr>
            <w:tcW w:w="725" w:type="pct"/>
            <w:gridSpan w:val="2"/>
            <w:tcBorders>
              <w:top w:val="nil"/>
              <w:left w:val="nil"/>
              <w:bottom w:val="nil"/>
              <w:right w:val="nil"/>
            </w:tcBorders>
            <w:shd w:val="clear" w:color="auto" w:fill="E5E5E5" w:themeFill="background1" w:themeFillTint="33"/>
            <w:vAlign w:val="center"/>
          </w:tcPr>
          <w:p w14:paraId="5FB7E6E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65.8</w:t>
            </w:r>
          </w:p>
        </w:tc>
      </w:tr>
      <w:tr w:rsidR="00961617" w:rsidRPr="002F5864" w14:paraId="509CDA90"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00C46518"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Inner Regional</w:t>
            </w:r>
          </w:p>
        </w:tc>
        <w:tc>
          <w:tcPr>
            <w:tcW w:w="685" w:type="pct"/>
            <w:gridSpan w:val="2"/>
            <w:tcBorders>
              <w:top w:val="nil"/>
              <w:left w:val="nil"/>
              <w:bottom w:val="nil"/>
              <w:right w:val="nil"/>
            </w:tcBorders>
            <w:shd w:val="clear" w:color="auto" w:fill="FFFFFF" w:themeFill="background2"/>
            <w:vAlign w:val="center"/>
          </w:tcPr>
          <w:p w14:paraId="0966EBE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24.0</w:t>
            </w:r>
          </w:p>
        </w:tc>
        <w:tc>
          <w:tcPr>
            <w:tcW w:w="636" w:type="pct"/>
            <w:tcBorders>
              <w:top w:val="nil"/>
              <w:left w:val="nil"/>
              <w:bottom w:val="nil"/>
              <w:right w:val="nil"/>
            </w:tcBorders>
            <w:shd w:val="clear" w:color="auto" w:fill="FFFFFF" w:themeFill="background2"/>
            <w:vAlign w:val="center"/>
          </w:tcPr>
          <w:p w14:paraId="4C7436B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23.8</w:t>
            </w:r>
          </w:p>
        </w:tc>
        <w:tc>
          <w:tcPr>
            <w:tcW w:w="661" w:type="pct"/>
            <w:tcBorders>
              <w:top w:val="nil"/>
              <w:left w:val="nil"/>
              <w:bottom w:val="nil"/>
              <w:right w:val="nil"/>
            </w:tcBorders>
            <w:shd w:val="clear" w:color="auto" w:fill="FFFFFF" w:themeFill="background2"/>
            <w:vAlign w:val="center"/>
          </w:tcPr>
          <w:p w14:paraId="2163C1E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22.2</w:t>
            </w:r>
          </w:p>
        </w:tc>
        <w:tc>
          <w:tcPr>
            <w:tcW w:w="725" w:type="pct"/>
            <w:gridSpan w:val="2"/>
            <w:tcBorders>
              <w:top w:val="nil"/>
              <w:left w:val="nil"/>
              <w:bottom w:val="nil"/>
              <w:right w:val="nil"/>
            </w:tcBorders>
            <w:shd w:val="clear" w:color="auto" w:fill="FFFFFF" w:themeFill="background2"/>
            <w:vAlign w:val="center"/>
          </w:tcPr>
          <w:p w14:paraId="0B121AD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22.4</w:t>
            </w:r>
          </w:p>
        </w:tc>
      </w:tr>
      <w:tr w:rsidR="00961617" w:rsidRPr="002F5864" w14:paraId="64BE3D94"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2C799716"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Outer Regional</w:t>
            </w:r>
          </w:p>
        </w:tc>
        <w:tc>
          <w:tcPr>
            <w:tcW w:w="685" w:type="pct"/>
            <w:gridSpan w:val="2"/>
            <w:tcBorders>
              <w:top w:val="nil"/>
              <w:left w:val="nil"/>
              <w:bottom w:val="nil"/>
              <w:right w:val="nil"/>
            </w:tcBorders>
            <w:shd w:val="clear" w:color="auto" w:fill="E5E5E5" w:themeFill="background1" w:themeFillTint="33"/>
            <w:vAlign w:val="center"/>
          </w:tcPr>
          <w:p w14:paraId="4FA5F97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12.0</w:t>
            </w:r>
          </w:p>
        </w:tc>
        <w:tc>
          <w:tcPr>
            <w:tcW w:w="636" w:type="pct"/>
            <w:tcBorders>
              <w:top w:val="nil"/>
              <w:left w:val="nil"/>
              <w:bottom w:val="nil"/>
              <w:right w:val="nil"/>
            </w:tcBorders>
            <w:shd w:val="clear" w:color="auto" w:fill="E5E5E5" w:themeFill="background1" w:themeFillTint="33"/>
            <w:vAlign w:val="center"/>
          </w:tcPr>
          <w:p w14:paraId="2D6109B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11.6</w:t>
            </w:r>
          </w:p>
        </w:tc>
        <w:tc>
          <w:tcPr>
            <w:tcW w:w="661" w:type="pct"/>
            <w:tcBorders>
              <w:top w:val="nil"/>
              <w:left w:val="nil"/>
              <w:bottom w:val="nil"/>
              <w:right w:val="nil"/>
            </w:tcBorders>
            <w:shd w:val="clear" w:color="auto" w:fill="E5E5E5" w:themeFill="background1" w:themeFillTint="33"/>
            <w:vAlign w:val="center"/>
          </w:tcPr>
          <w:p w14:paraId="7EBEEBD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11.0</w:t>
            </w:r>
          </w:p>
        </w:tc>
        <w:tc>
          <w:tcPr>
            <w:tcW w:w="725" w:type="pct"/>
            <w:gridSpan w:val="2"/>
            <w:tcBorders>
              <w:top w:val="nil"/>
              <w:left w:val="nil"/>
              <w:bottom w:val="nil"/>
              <w:right w:val="nil"/>
            </w:tcBorders>
            <w:shd w:val="clear" w:color="auto" w:fill="E5E5E5" w:themeFill="background1" w:themeFillTint="33"/>
            <w:vAlign w:val="center"/>
          </w:tcPr>
          <w:p w14:paraId="7D69F3E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10.9</w:t>
            </w:r>
          </w:p>
        </w:tc>
      </w:tr>
      <w:tr w:rsidR="00961617" w:rsidRPr="002F5864" w14:paraId="1F7C2239"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714D492E"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Remote</w:t>
            </w:r>
          </w:p>
        </w:tc>
        <w:tc>
          <w:tcPr>
            <w:tcW w:w="685" w:type="pct"/>
            <w:gridSpan w:val="2"/>
            <w:tcBorders>
              <w:top w:val="nil"/>
              <w:left w:val="nil"/>
              <w:bottom w:val="nil"/>
              <w:right w:val="nil"/>
            </w:tcBorders>
            <w:shd w:val="clear" w:color="auto" w:fill="FFFFFF" w:themeFill="background2"/>
            <w:vAlign w:val="center"/>
          </w:tcPr>
          <w:p w14:paraId="3CFD519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w:t>
            </w:r>
          </w:p>
        </w:tc>
        <w:tc>
          <w:tcPr>
            <w:tcW w:w="636" w:type="pct"/>
            <w:tcBorders>
              <w:top w:val="nil"/>
              <w:left w:val="nil"/>
              <w:bottom w:val="nil"/>
              <w:right w:val="nil"/>
            </w:tcBorders>
            <w:shd w:val="clear" w:color="auto" w:fill="FFFFFF" w:themeFill="background2"/>
            <w:vAlign w:val="center"/>
          </w:tcPr>
          <w:p w14:paraId="5D2ED1DC"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0.9</w:t>
            </w:r>
          </w:p>
        </w:tc>
        <w:tc>
          <w:tcPr>
            <w:tcW w:w="661" w:type="pct"/>
            <w:tcBorders>
              <w:top w:val="nil"/>
              <w:left w:val="nil"/>
              <w:bottom w:val="nil"/>
              <w:right w:val="nil"/>
            </w:tcBorders>
            <w:shd w:val="clear" w:color="auto" w:fill="FFFFFF" w:themeFill="background2"/>
            <w:vAlign w:val="center"/>
          </w:tcPr>
          <w:p w14:paraId="6835C8E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0.9</w:t>
            </w:r>
          </w:p>
        </w:tc>
        <w:tc>
          <w:tcPr>
            <w:tcW w:w="725" w:type="pct"/>
            <w:gridSpan w:val="2"/>
            <w:tcBorders>
              <w:top w:val="nil"/>
              <w:left w:val="nil"/>
              <w:bottom w:val="nil"/>
              <w:right w:val="nil"/>
            </w:tcBorders>
            <w:shd w:val="clear" w:color="auto" w:fill="FFFFFF" w:themeFill="background2"/>
            <w:vAlign w:val="center"/>
          </w:tcPr>
          <w:p w14:paraId="72681F0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0.9</w:t>
            </w:r>
          </w:p>
        </w:tc>
      </w:tr>
      <w:tr w:rsidR="00961617" w:rsidRPr="002F5864" w14:paraId="1F2D1440" w14:textId="77777777" w:rsidTr="0020771F">
        <w:trPr>
          <w:gridAfter w:val="1"/>
          <w:wAfter w:w="5" w:type="pct"/>
          <w:cantSplit/>
          <w:trHeight w:hRule="exact" w:val="340"/>
        </w:trPr>
        <w:tc>
          <w:tcPr>
            <w:tcW w:w="2288" w:type="pct"/>
            <w:tcBorders>
              <w:top w:val="nil"/>
              <w:left w:val="nil"/>
              <w:bottom w:val="nil"/>
              <w:right w:val="nil"/>
            </w:tcBorders>
            <w:shd w:val="clear" w:color="auto" w:fill="E5E5E5" w:themeFill="background1" w:themeFillTint="33"/>
            <w:vAlign w:val="center"/>
          </w:tcPr>
          <w:p w14:paraId="783998C7"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Very Remote</w:t>
            </w:r>
          </w:p>
        </w:tc>
        <w:tc>
          <w:tcPr>
            <w:tcW w:w="685" w:type="pct"/>
            <w:gridSpan w:val="2"/>
            <w:tcBorders>
              <w:top w:val="nil"/>
              <w:left w:val="nil"/>
              <w:bottom w:val="nil"/>
              <w:right w:val="nil"/>
            </w:tcBorders>
            <w:shd w:val="clear" w:color="auto" w:fill="E5E5E5" w:themeFill="background1" w:themeFillTint="33"/>
            <w:vAlign w:val="center"/>
          </w:tcPr>
          <w:p w14:paraId="54A713B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0.1</w:t>
            </w:r>
          </w:p>
        </w:tc>
        <w:tc>
          <w:tcPr>
            <w:tcW w:w="636" w:type="pct"/>
            <w:tcBorders>
              <w:top w:val="nil"/>
              <w:left w:val="nil"/>
              <w:bottom w:val="nil"/>
              <w:right w:val="nil"/>
            </w:tcBorders>
            <w:shd w:val="clear" w:color="auto" w:fill="E5E5E5" w:themeFill="background1" w:themeFillTint="33"/>
            <w:vAlign w:val="center"/>
          </w:tcPr>
          <w:p w14:paraId="28AC0C0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63" w:type="pct"/>
            <w:tcBorders>
              <w:top w:val="nil"/>
              <w:left w:val="nil"/>
              <w:bottom w:val="nil"/>
              <w:right w:val="nil"/>
            </w:tcBorders>
            <w:shd w:val="clear" w:color="auto" w:fill="E5E5E5" w:themeFill="background1" w:themeFillTint="33"/>
            <w:vAlign w:val="center"/>
          </w:tcPr>
          <w:p w14:paraId="6B572DE1"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0.1</w:t>
            </w:r>
          </w:p>
        </w:tc>
        <w:tc>
          <w:tcPr>
            <w:tcW w:w="723" w:type="pct"/>
            <w:gridSpan w:val="2"/>
            <w:tcBorders>
              <w:top w:val="nil"/>
              <w:left w:val="nil"/>
              <w:bottom w:val="nil"/>
              <w:right w:val="nil"/>
            </w:tcBorders>
            <w:shd w:val="clear" w:color="auto" w:fill="E5E5E5" w:themeFill="background1" w:themeFillTint="33"/>
            <w:vAlign w:val="center"/>
          </w:tcPr>
          <w:p w14:paraId="0A8804C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r>
      <w:tr w:rsidR="00961617" w:rsidRPr="002F5864" w14:paraId="1D8CF684" w14:textId="77777777" w:rsidTr="0020771F">
        <w:trPr>
          <w:gridAfter w:val="1"/>
          <w:wAfter w:w="5" w:type="pct"/>
          <w:cantSplit/>
          <w:trHeight w:hRule="exact" w:val="340"/>
        </w:trPr>
        <w:tc>
          <w:tcPr>
            <w:tcW w:w="2288" w:type="pct"/>
            <w:tcBorders>
              <w:top w:val="nil"/>
              <w:left w:val="nil"/>
              <w:bottom w:val="nil"/>
              <w:right w:val="nil"/>
            </w:tcBorders>
            <w:shd w:val="clear" w:color="auto" w:fill="FFFFFF" w:themeFill="background2"/>
            <w:vAlign w:val="center"/>
          </w:tcPr>
          <w:p w14:paraId="1F6EA4AF"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Geographical location: Unknown/not able to classify</w:t>
            </w:r>
          </w:p>
        </w:tc>
        <w:tc>
          <w:tcPr>
            <w:tcW w:w="685" w:type="pct"/>
            <w:gridSpan w:val="2"/>
            <w:tcBorders>
              <w:top w:val="nil"/>
              <w:left w:val="nil"/>
              <w:bottom w:val="nil"/>
              <w:right w:val="nil"/>
            </w:tcBorders>
            <w:shd w:val="clear" w:color="auto" w:fill="FFFFFF" w:themeFill="background2"/>
            <w:vAlign w:val="center"/>
          </w:tcPr>
          <w:p w14:paraId="72B0815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36" w:type="pct"/>
            <w:tcBorders>
              <w:top w:val="nil"/>
              <w:left w:val="nil"/>
              <w:bottom w:val="nil"/>
              <w:right w:val="nil"/>
            </w:tcBorders>
            <w:shd w:val="clear" w:color="auto" w:fill="FFFFFF" w:themeFill="background2"/>
            <w:vAlign w:val="center"/>
          </w:tcPr>
          <w:p w14:paraId="785F20E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63" w:type="pct"/>
            <w:tcBorders>
              <w:top w:val="nil"/>
              <w:left w:val="nil"/>
              <w:bottom w:val="nil"/>
              <w:right w:val="nil"/>
            </w:tcBorders>
            <w:shd w:val="clear" w:color="auto" w:fill="FFFFFF" w:themeFill="background2"/>
            <w:vAlign w:val="center"/>
          </w:tcPr>
          <w:p w14:paraId="747D20C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723" w:type="pct"/>
            <w:gridSpan w:val="2"/>
            <w:tcBorders>
              <w:top w:val="nil"/>
              <w:left w:val="nil"/>
              <w:bottom w:val="nil"/>
              <w:right w:val="nil"/>
            </w:tcBorders>
            <w:shd w:val="clear" w:color="auto" w:fill="FFFFFF" w:themeFill="background2"/>
            <w:vAlign w:val="center"/>
          </w:tcPr>
          <w:p w14:paraId="7F5FE97A"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r>
      <w:tr w:rsidR="00961617" w:rsidRPr="002F5864" w14:paraId="38516FC6"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43D9EFE8"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Length of unemployment: Less than 1 year</w:t>
            </w:r>
          </w:p>
        </w:tc>
        <w:tc>
          <w:tcPr>
            <w:tcW w:w="685" w:type="pct"/>
            <w:gridSpan w:val="2"/>
            <w:tcBorders>
              <w:top w:val="nil"/>
              <w:left w:val="nil"/>
              <w:bottom w:val="nil"/>
              <w:right w:val="nil"/>
            </w:tcBorders>
            <w:shd w:val="clear" w:color="auto" w:fill="E5E5E5" w:themeFill="background1" w:themeFillTint="33"/>
            <w:vAlign w:val="center"/>
          </w:tcPr>
          <w:p w14:paraId="1AD57BD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36" w:type="pct"/>
            <w:tcBorders>
              <w:top w:val="nil"/>
              <w:left w:val="nil"/>
              <w:bottom w:val="nil"/>
              <w:right w:val="nil"/>
            </w:tcBorders>
            <w:shd w:val="clear" w:color="auto" w:fill="E5E5E5" w:themeFill="background1" w:themeFillTint="33"/>
            <w:vAlign w:val="center"/>
          </w:tcPr>
          <w:p w14:paraId="0AFC917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63" w:type="pct"/>
            <w:tcBorders>
              <w:top w:val="nil"/>
              <w:left w:val="nil"/>
              <w:bottom w:val="nil"/>
              <w:right w:val="nil"/>
            </w:tcBorders>
            <w:shd w:val="clear" w:color="auto" w:fill="E5E5E5" w:themeFill="background1" w:themeFillTint="33"/>
            <w:vAlign w:val="center"/>
          </w:tcPr>
          <w:p w14:paraId="1664679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51.8</w:t>
            </w:r>
          </w:p>
        </w:tc>
        <w:tc>
          <w:tcPr>
            <w:tcW w:w="728" w:type="pct"/>
            <w:gridSpan w:val="3"/>
            <w:tcBorders>
              <w:top w:val="nil"/>
              <w:left w:val="nil"/>
              <w:bottom w:val="nil"/>
              <w:right w:val="nil"/>
            </w:tcBorders>
            <w:shd w:val="clear" w:color="auto" w:fill="E5E5E5" w:themeFill="background1" w:themeFillTint="33"/>
            <w:vAlign w:val="center"/>
          </w:tcPr>
          <w:p w14:paraId="24E6763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47.4</w:t>
            </w:r>
          </w:p>
        </w:tc>
      </w:tr>
      <w:tr w:rsidR="00961617" w:rsidRPr="002F5864" w14:paraId="1FEC3F53"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739D254"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Length of unemployment: 1 to less than 2 years</w:t>
            </w:r>
          </w:p>
        </w:tc>
        <w:tc>
          <w:tcPr>
            <w:tcW w:w="685" w:type="pct"/>
            <w:gridSpan w:val="2"/>
            <w:tcBorders>
              <w:top w:val="nil"/>
              <w:left w:val="nil"/>
              <w:bottom w:val="nil"/>
              <w:right w:val="nil"/>
            </w:tcBorders>
            <w:shd w:val="clear" w:color="auto" w:fill="FFFFFF" w:themeFill="background2"/>
            <w:vAlign w:val="center"/>
          </w:tcPr>
          <w:p w14:paraId="70469A5C"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43.7</w:t>
            </w:r>
          </w:p>
        </w:tc>
        <w:tc>
          <w:tcPr>
            <w:tcW w:w="636" w:type="pct"/>
            <w:tcBorders>
              <w:top w:val="nil"/>
              <w:left w:val="nil"/>
              <w:bottom w:val="nil"/>
              <w:right w:val="nil"/>
            </w:tcBorders>
            <w:shd w:val="clear" w:color="auto" w:fill="FFFFFF" w:themeFill="background2"/>
            <w:vAlign w:val="center"/>
          </w:tcPr>
          <w:p w14:paraId="5F9C9DF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35.7</w:t>
            </w:r>
          </w:p>
        </w:tc>
        <w:tc>
          <w:tcPr>
            <w:tcW w:w="663" w:type="pct"/>
            <w:tcBorders>
              <w:top w:val="nil"/>
              <w:left w:val="nil"/>
              <w:bottom w:val="nil"/>
              <w:right w:val="nil"/>
            </w:tcBorders>
            <w:shd w:val="clear" w:color="auto" w:fill="FFFFFF" w:themeFill="background2"/>
            <w:vAlign w:val="center"/>
          </w:tcPr>
          <w:p w14:paraId="16646E16"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21.1</w:t>
            </w:r>
          </w:p>
        </w:tc>
        <w:tc>
          <w:tcPr>
            <w:tcW w:w="728" w:type="pct"/>
            <w:gridSpan w:val="3"/>
            <w:tcBorders>
              <w:top w:val="nil"/>
              <w:left w:val="nil"/>
              <w:bottom w:val="nil"/>
              <w:right w:val="nil"/>
            </w:tcBorders>
            <w:shd w:val="clear" w:color="auto" w:fill="FFFFFF" w:themeFill="background2"/>
            <w:vAlign w:val="center"/>
          </w:tcPr>
          <w:p w14:paraId="25E010A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18.8</w:t>
            </w:r>
          </w:p>
        </w:tc>
      </w:tr>
      <w:tr w:rsidR="00961617" w:rsidRPr="002F5864" w14:paraId="75498B55"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45460667"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Length of unemployment: 2 to less than 5 years</w:t>
            </w:r>
          </w:p>
        </w:tc>
        <w:tc>
          <w:tcPr>
            <w:tcW w:w="685" w:type="pct"/>
            <w:gridSpan w:val="2"/>
            <w:tcBorders>
              <w:top w:val="nil"/>
              <w:left w:val="nil"/>
              <w:bottom w:val="nil"/>
              <w:right w:val="nil"/>
            </w:tcBorders>
            <w:shd w:val="clear" w:color="auto" w:fill="E5E5E5" w:themeFill="background1" w:themeFillTint="33"/>
            <w:vAlign w:val="center"/>
          </w:tcPr>
          <w:p w14:paraId="2A70808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39.2</w:t>
            </w:r>
          </w:p>
        </w:tc>
        <w:tc>
          <w:tcPr>
            <w:tcW w:w="636" w:type="pct"/>
            <w:tcBorders>
              <w:top w:val="nil"/>
              <w:left w:val="nil"/>
              <w:bottom w:val="nil"/>
              <w:right w:val="nil"/>
            </w:tcBorders>
            <w:shd w:val="clear" w:color="auto" w:fill="E5E5E5" w:themeFill="background1" w:themeFillTint="33"/>
            <w:vAlign w:val="center"/>
          </w:tcPr>
          <w:p w14:paraId="3900609D"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43.3</w:t>
            </w:r>
          </w:p>
        </w:tc>
        <w:tc>
          <w:tcPr>
            <w:tcW w:w="663" w:type="pct"/>
            <w:tcBorders>
              <w:top w:val="nil"/>
              <w:left w:val="nil"/>
              <w:bottom w:val="nil"/>
              <w:right w:val="nil"/>
            </w:tcBorders>
            <w:shd w:val="clear" w:color="auto" w:fill="E5E5E5" w:themeFill="background1" w:themeFillTint="33"/>
            <w:vAlign w:val="center"/>
          </w:tcPr>
          <w:p w14:paraId="5E873423"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18.9</w:t>
            </w:r>
          </w:p>
        </w:tc>
        <w:tc>
          <w:tcPr>
            <w:tcW w:w="728" w:type="pct"/>
            <w:gridSpan w:val="3"/>
            <w:tcBorders>
              <w:top w:val="nil"/>
              <w:left w:val="nil"/>
              <w:bottom w:val="nil"/>
              <w:right w:val="nil"/>
            </w:tcBorders>
            <w:shd w:val="clear" w:color="auto" w:fill="E5E5E5" w:themeFill="background1" w:themeFillTint="33"/>
            <w:vAlign w:val="center"/>
          </w:tcPr>
          <w:p w14:paraId="03E7F909"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22.7</w:t>
            </w:r>
          </w:p>
        </w:tc>
      </w:tr>
      <w:tr w:rsidR="00961617" w:rsidRPr="002F5864" w14:paraId="0D48A669" w14:textId="77777777" w:rsidTr="0020771F">
        <w:trPr>
          <w:cantSplit/>
          <w:trHeight w:hRule="exact" w:val="340"/>
        </w:trPr>
        <w:tc>
          <w:tcPr>
            <w:tcW w:w="2288" w:type="pct"/>
            <w:tcBorders>
              <w:top w:val="nil"/>
              <w:left w:val="nil"/>
              <w:bottom w:val="nil"/>
              <w:right w:val="nil"/>
            </w:tcBorders>
            <w:shd w:val="clear" w:color="auto" w:fill="FFFFFF" w:themeFill="background2"/>
            <w:vAlign w:val="center"/>
          </w:tcPr>
          <w:p w14:paraId="21733D82"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Length of unemployment: 5 years or more</w:t>
            </w:r>
          </w:p>
        </w:tc>
        <w:tc>
          <w:tcPr>
            <w:tcW w:w="685" w:type="pct"/>
            <w:gridSpan w:val="2"/>
            <w:tcBorders>
              <w:top w:val="nil"/>
              <w:left w:val="nil"/>
              <w:bottom w:val="nil"/>
              <w:right w:val="nil"/>
            </w:tcBorders>
            <w:shd w:val="clear" w:color="auto" w:fill="FFFFFF" w:themeFill="background2"/>
            <w:vAlign w:val="center"/>
          </w:tcPr>
          <w:p w14:paraId="5D0B60F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17.1</w:t>
            </w:r>
          </w:p>
        </w:tc>
        <w:tc>
          <w:tcPr>
            <w:tcW w:w="636" w:type="pct"/>
            <w:tcBorders>
              <w:top w:val="nil"/>
              <w:left w:val="nil"/>
              <w:bottom w:val="nil"/>
              <w:right w:val="nil"/>
            </w:tcBorders>
            <w:shd w:val="clear" w:color="auto" w:fill="FFFFFF" w:themeFill="background2"/>
            <w:vAlign w:val="center"/>
          </w:tcPr>
          <w:p w14:paraId="1894D607"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21.1</w:t>
            </w:r>
          </w:p>
        </w:tc>
        <w:tc>
          <w:tcPr>
            <w:tcW w:w="663" w:type="pct"/>
            <w:tcBorders>
              <w:top w:val="nil"/>
              <w:left w:val="nil"/>
              <w:bottom w:val="nil"/>
              <w:right w:val="nil"/>
            </w:tcBorders>
            <w:shd w:val="clear" w:color="auto" w:fill="FFFFFF" w:themeFill="background2"/>
            <w:vAlign w:val="center"/>
          </w:tcPr>
          <w:p w14:paraId="20E397A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8.2</w:t>
            </w:r>
          </w:p>
        </w:tc>
        <w:tc>
          <w:tcPr>
            <w:tcW w:w="728" w:type="pct"/>
            <w:gridSpan w:val="3"/>
            <w:tcBorders>
              <w:top w:val="nil"/>
              <w:left w:val="nil"/>
              <w:bottom w:val="nil"/>
              <w:right w:val="nil"/>
            </w:tcBorders>
            <w:shd w:val="clear" w:color="auto" w:fill="FFFFFF" w:themeFill="background2"/>
            <w:vAlign w:val="center"/>
          </w:tcPr>
          <w:p w14:paraId="563D6B42"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11.1</w:t>
            </w:r>
          </w:p>
        </w:tc>
      </w:tr>
      <w:tr w:rsidR="00961617" w:rsidRPr="002F5864" w14:paraId="06493C6E" w14:textId="77777777" w:rsidTr="0020771F">
        <w:trPr>
          <w:cantSplit/>
          <w:trHeight w:hRule="exact" w:val="340"/>
        </w:trPr>
        <w:tc>
          <w:tcPr>
            <w:tcW w:w="2288" w:type="pct"/>
            <w:tcBorders>
              <w:top w:val="nil"/>
              <w:left w:val="nil"/>
              <w:bottom w:val="nil"/>
              <w:right w:val="nil"/>
            </w:tcBorders>
            <w:shd w:val="clear" w:color="auto" w:fill="E5E5E5" w:themeFill="background1" w:themeFillTint="33"/>
            <w:vAlign w:val="center"/>
          </w:tcPr>
          <w:p w14:paraId="3724BF0B"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Duration in employment services: Less than 1 year</w:t>
            </w:r>
          </w:p>
        </w:tc>
        <w:tc>
          <w:tcPr>
            <w:tcW w:w="685" w:type="pct"/>
            <w:gridSpan w:val="2"/>
            <w:tcBorders>
              <w:top w:val="nil"/>
              <w:left w:val="nil"/>
              <w:bottom w:val="nil"/>
              <w:right w:val="nil"/>
            </w:tcBorders>
            <w:shd w:val="clear" w:color="auto" w:fill="E5E5E5" w:themeFill="background1" w:themeFillTint="33"/>
            <w:vAlign w:val="center"/>
          </w:tcPr>
          <w:p w14:paraId="17C1EBFB"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36" w:type="pct"/>
            <w:tcBorders>
              <w:top w:val="nil"/>
              <w:left w:val="nil"/>
              <w:bottom w:val="nil"/>
              <w:right w:val="nil"/>
            </w:tcBorders>
            <w:shd w:val="clear" w:color="auto" w:fill="E5E5E5" w:themeFill="background1" w:themeFillTint="33"/>
            <w:vAlign w:val="center"/>
          </w:tcPr>
          <w:p w14:paraId="0586ADA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0.0</w:t>
            </w:r>
          </w:p>
        </w:tc>
        <w:tc>
          <w:tcPr>
            <w:tcW w:w="663" w:type="pct"/>
            <w:tcBorders>
              <w:top w:val="nil"/>
              <w:left w:val="nil"/>
              <w:bottom w:val="nil"/>
              <w:right w:val="nil"/>
            </w:tcBorders>
            <w:shd w:val="clear" w:color="auto" w:fill="E5E5E5" w:themeFill="background1" w:themeFillTint="33"/>
            <w:vAlign w:val="center"/>
          </w:tcPr>
          <w:p w14:paraId="1AC01B90"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51.8</w:t>
            </w:r>
          </w:p>
        </w:tc>
        <w:tc>
          <w:tcPr>
            <w:tcW w:w="728" w:type="pct"/>
            <w:gridSpan w:val="3"/>
            <w:tcBorders>
              <w:top w:val="nil"/>
              <w:left w:val="nil"/>
              <w:bottom w:val="nil"/>
              <w:right w:val="nil"/>
            </w:tcBorders>
            <w:shd w:val="clear" w:color="auto" w:fill="E5E5E5" w:themeFill="background1" w:themeFillTint="33"/>
            <w:vAlign w:val="center"/>
          </w:tcPr>
          <w:p w14:paraId="56EE1284"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47.4</w:t>
            </w:r>
          </w:p>
        </w:tc>
      </w:tr>
      <w:tr w:rsidR="00961617" w:rsidRPr="002F5864" w14:paraId="7D02E15B" w14:textId="77777777" w:rsidTr="0020771F">
        <w:trPr>
          <w:cantSplit/>
          <w:trHeight w:hRule="exact" w:val="340"/>
        </w:trPr>
        <w:tc>
          <w:tcPr>
            <w:tcW w:w="2288" w:type="pct"/>
            <w:tcBorders>
              <w:top w:val="nil"/>
              <w:left w:val="nil"/>
              <w:bottom w:val="single" w:sz="4" w:space="0" w:color="auto"/>
              <w:right w:val="nil"/>
            </w:tcBorders>
            <w:shd w:val="clear" w:color="auto" w:fill="FFFFFF" w:themeFill="background2"/>
            <w:vAlign w:val="center"/>
          </w:tcPr>
          <w:p w14:paraId="429FFFB5"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Duration in employment services: More than 1 year</w:t>
            </w:r>
          </w:p>
        </w:tc>
        <w:tc>
          <w:tcPr>
            <w:tcW w:w="685" w:type="pct"/>
            <w:gridSpan w:val="2"/>
            <w:tcBorders>
              <w:top w:val="nil"/>
              <w:left w:val="nil"/>
              <w:bottom w:val="single" w:sz="4" w:space="0" w:color="auto"/>
              <w:right w:val="nil"/>
            </w:tcBorders>
            <w:shd w:val="clear" w:color="auto" w:fill="FFFFFF" w:themeFill="background2"/>
            <w:vAlign w:val="center"/>
          </w:tcPr>
          <w:p w14:paraId="0F21A1FE"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100.0</w:t>
            </w:r>
          </w:p>
        </w:tc>
        <w:tc>
          <w:tcPr>
            <w:tcW w:w="636" w:type="pct"/>
            <w:tcBorders>
              <w:top w:val="nil"/>
              <w:left w:val="nil"/>
              <w:bottom w:val="single" w:sz="4" w:space="0" w:color="auto"/>
              <w:right w:val="nil"/>
            </w:tcBorders>
            <w:shd w:val="clear" w:color="auto" w:fill="FFFFFF" w:themeFill="background2"/>
            <w:vAlign w:val="center"/>
          </w:tcPr>
          <w:p w14:paraId="18503B95"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100.0</w:t>
            </w:r>
          </w:p>
        </w:tc>
        <w:tc>
          <w:tcPr>
            <w:tcW w:w="663" w:type="pct"/>
            <w:tcBorders>
              <w:top w:val="nil"/>
              <w:left w:val="nil"/>
              <w:bottom w:val="single" w:sz="4" w:space="0" w:color="auto"/>
              <w:right w:val="nil"/>
            </w:tcBorders>
            <w:shd w:val="clear" w:color="auto" w:fill="FFFFFF" w:themeFill="background2"/>
            <w:vAlign w:val="center"/>
          </w:tcPr>
          <w:p w14:paraId="590A8058"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48.2</w:t>
            </w:r>
          </w:p>
        </w:tc>
        <w:tc>
          <w:tcPr>
            <w:tcW w:w="728" w:type="pct"/>
            <w:gridSpan w:val="3"/>
            <w:tcBorders>
              <w:top w:val="nil"/>
              <w:left w:val="nil"/>
              <w:bottom w:val="single" w:sz="4" w:space="0" w:color="auto"/>
              <w:right w:val="nil"/>
            </w:tcBorders>
            <w:shd w:val="clear" w:color="auto" w:fill="FFFFFF" w:themeFill="background2"/>
            <w:vAlign w:val="center"/>
          </w:tcPr>
          <w:p w14:paraId="02EA992C" w14:textId="77777777" w:rsidR="00961617" w:rsidRPr="002F5864" w:rsidRDefault="00961617" w:rsidP="0020771F">
            <w:pPr>
              <w:pStyle w:val="tabletextright"/>
              <w:spacing w:after="0"/>
              <w:ind w:right="346"/>
              <w:rPr>
                <w:rFonts w:cstheme="minorHAnsi"/>
                <w:sz w:val="20"/>
                <w:szCs w:val="20"/>
              </w:rPr>
            </w:pPr>
            <w:r w:rsidRPr="002F5864">
              <w:rPr>
                <w:rFonts w:cstheme="minorHAnsi"/>
                <w:sz w:val="20"/>
                <w:szCs w:val="20"/>
              </w:rPr>
              <w:t>52.6</w:t>
            </w:r>
          </w:p>
        </w:tc>
      </w:tr>
    </w:tbl>
    <w:p w14:paraId="728C5EFD" w14:textId="77777777" w:rsidR="00961617" w:rsidRPr="002F5864" w:rsidRDefault="00961617" w:rsidP="00961617">
      <w:pPr>
        <w:spacing w:before="240" w:after="0"/>
        <w:rPr>
          <w:rFonts w:cstheme="minorHAnsi"/>
          <w:b/>
        </w:rPr>
      </w:pPr>
      <w:r w:rsidRPr="002F5864">
        <w:rPr>
          <w:rFonts w:cstheme="minorHAnsi"/>
          <w:b/>
        </w:rPr>
        <w:t>Other aspects</w:t>
      </w:r>
    </w:p>
    <w:tbl>
      <w:tblPr>
        <w:tblW w:w="5141" w:type="pct"/>
        <w:tblLayout w:type="fixed"/>
        <w:tblLook w:val="04A0" w:firstRow="1" w:lastRow="0" w:firstColumn="1" w:lastColumn="0" w:noHBand="0" w:noVBand="1"/>
      </w:tblPr>
      <w:tblGrid>
        <w:gridCol w:w="5412"/>
        <w:gridCol w:w="2213"/>
        <w:gridCol w:w="2296"/>
        <w:gridCol w:w="2216"/>
        <w:gridCol w:w="2216"/>
      </w:tblGrid>
      <w:tr w:rsidR="00961617" w:rsidRPr="002F5864" w14:paraId="45D672B7" w14:textId="77777777" w:rsidTr="0020771F">
        <w:trPr>
          <w:cantSplit/>
          <w:trHeight w:val="567"/>
          <w:tblHeader/>
        </w:trPr>
        <w:tc>
          <w:tcPr>
            <w:tcW w:w="1885" w:type="pct"/>
            <w:shd w:val="clear" w:color="auto" w:fill="1E3D6B"/>
            <w:vAlign w:val="center"/>
          </w:tcPr>
          <w:p w14:paraId="0E24F54B" w14:textId="77777777" w:rsidR="00961617" w:rsidRPr="002F5864" w:rsidRDefault="00961617" w:rsidP="0020771F">
            <w:pPr>
              <w:spacing w:after="116"/>
              <w:rPr>
                <w:rFonts w:cstheme="minorHAnsi"/>
                <w:b/>
                <w:color w:val="FFFFFF" w:themeColor="background2"/>
                <w:sz w:val="20"/>
                <w:szCs w:val="20"/>
              </w:rPr>
            </w:pPr>
            <w:bookmarkStart w:id="597" w:name="Title_A12b"/>
            <w:bookmarkEnd w:id="597"/>
            <w:r w:rsidRPr="002F5864">
              <w:rPr>
                <w:rFonts w:cstheme="minorHAnsi"/>
                <w:b/>
                <w:bCs/>
                <w:color w:val="FFFFFF"/>
                <w:sz w:val="20"/>
                <w:szCs w:val="20"/>
              </w:rPr>
              <w:t>Characteristics</w:t>
            </w:r>
          </w:p>
        </w:tc>
        <w:tc>
          <w:tcPr>
            <w:tcW w:w="771" w:type="pct"/>
            <w:shd w:val="clear" w:color="auto" w:fill="1E3D6B"/>
          </w:tcPr>
          <w:p w14:paraId="3AE2E895"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2009</w:t>
            </w:r>
            <w:r w:rsidRPr="002F5864">
              <w:rPr>
                <w:rFonts w:cstheme="minorHAnsi"/>
                <w:i w:val="0"/>
                <w:szCs w:val="20"/>
              </w:rPr>
              <w:br/>
              <w:t>LTU study population</w:t>
            </w:r>
          </w:p>
        </w:tc>
        <w:tc>
          <w:tcPr>
            <w:tcW w:w="800" w:type="pct"/>
            <w:shd w:val="clear" w:color="auto" w:fill="1E3D6B"/>
          </w:tcPr>
          <w:p w14:paraId="2E0167A8" w14:textId="77777777" w:rsidR="00961617" w:rsidRPr="002F5864" w:rsidRDefault="00961617" w:rsidP="0020771F">
            <w:pPr>
              <w:pStyle w:val="TableHeadingtext-centred"/>
              <w:tabs>
                <w:tab w:val="clear" w:pos="1134"/>
                <w:tab w:val="left" w:pos="657"/>
              </w:tabs>
              <w:ind w:left="-67" w:firstLine="4"/>
              <w:rPr>
                <w:rFonts w:cstheme="minorHAnsi"/>
                <w:i w:val="0"/>
                <w:szCs w:val="20"/>
              </w:rPr>
            </w:pPr>
            <w:r w:rsidRPr="002F5864">
              <w:rPr>
                <w:rFonts w:cstheme="minorHAnsi"/>
                <w:i w:val="0"/>
                <w:szCs w:val="20"/>
              </w:rPr>
              <w:t>JSA 2012</w:t>
            </w:r>
            <w:r w:rsidRPr="002F5864">
              <w:rPr>
                <w:rFonts w:cstheme="minorHAnsi"/>
                <w:i w:val="0"/>
                <w:szCs w:val="20"/>
              </w:rPr>
              <w:br/>
              <w:t>LTU study population</w:t>
            </w:r>
          </w:p>
        </w:tc>
        <w:tc>
          <w:tcPr>
            <w:tcW w:w="772" w:type="pct"/>
            <w:shd w:val="clear" w:color="auto" w:fill="1E3D6B"/>
          </w:tcPr>
          <w:p w14:paraId="06F27578"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2009</w:t>
            </w:r>
            <w:r w:rsidRPr="002F5864">
              <w:rPr>
                <w:rFonts w:cstheme="minorHAnsi"/>
                <w:i w:val="0"/>
                <w:szCs w:val="20"/>
              </w:rPr>
              <w:br/>
              <w:t>Active Caseload</w:t>
            </w:r>
          </w:p>
        </w:tc>
        <w:tc>
          <w:tcPr>
            <w:tcW w:w="772" w:type="pct"/>
            <w:shd w:val="clear" w:color="auto" w:fill="1E3D6B"/>
          </w:tcPr>
          <w:p w14:paraId="1E91437A" w14:textId="77777777" w:rsidR="00961617" w:rsidRPr="002F5864" w:rsidRDefault="00961617" w:rsidP="0020771F">
            <w:pPr>
              <w:pStyle w:val="TableHeadingtext-centred"/>
              <w:tabs>
                <w:tab w:val="clear" w:pos="1134"/>
                <w:tab w:val="left" w:pos="657"/>
              </w:tabs>
              <w:ind w:left="-67"/>
              <w:rPr>
                <w:rFonts w:cstheme="minorHAnsi"/>
                <w:i w:val="0"/>
                <w:szCs w:val="20"/>
              </w:rPr>
            </w:pPr>
            <w:r w:rsidRPr="002F5864">
              <w:rPr>
                <w:rFonts w:cstheme="minorHAnsi"/>
                <w:i w:val="0"/>
                <w:szCs w:val="20"/>
              </w:rPr>
              <w:t>JSA 2012</w:t>
            </w:r>
            <w:r w:rsidRPr="002F5864">
              <w:rPr>
                <w:rFonts w:cstheme="minorHAnsi"/>
                <w:i w:val="0"/>
                <w:szCs w:val="20"/>
              </w:rPr>
              <w:br/>
              <w:t>Active Caseload</w:t>
            </w:r>
          </w:p>
        </w:tc>
      </w:tr>
      <w:tr w:rsidR="00961617" w:rsidRPr="002F5864" w14:paraId="058D7FD7" w14:textId="77777777" w:rsidTr="0020771F">
        <w:trPr>
          <w:cantSplit/>
        </w:trPr>
        <w:tc>
          <w:tcPr>
            <w:tcW w:w="1885" w:type="pct"/>
            <w:shd w:val="clear" w:color="auto" w:fill="FFFFFF" w:themeFill="background2"/>
          </w:tcPr>
          <w:p w14:paraId="4EFBB6B0"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Males average age</w:t>
            </w:r>
          </w:p>
        </w:tc>
        <w:tc>
          <w:tcPr>
            <w:tcW w:w="771" w:type="pct"/>
            <w:shd w:val="clear" w:color="auto" w:fill="FFFFFF" w:themeFill="background2"/>
            <w:vAlign w:val="bottom"/>
          </w:tcPr>
          <w:p w14:paraId="299C6078" w14:textId="77777777" w:rsidR="00961617" w:rsidRPr="002F5864" w:rsidRDefault="00961617" w:rsidP="0020771F">
            <w:pPr>
              <w:pStyle w:val="tabletext"/>
              <w:spacing w:after="0"/>
              <w:ind w:right="419"/>
              <w:rPr>
                <w:rFonts w:cstheme="minorHAnsi"/>
                <w:szCs w:val="20"/>
              </w:rPr>
            </w:pPr>
            <w:r w:rsidRPr="002F5864">
              <w:rPr>
                <w:rFonts w:cstheme="minorHAnsi"/>
                <w:szCs w:val="20"/>
              </w:rPr>
              <w:t>37.0</w:t>
            </w:r>
          </w:p>
        </w:tc>
        <w:tc>
          <w:tcPr>
            <w:tcW w:w="800" w:type="pct"/>
            <w:shd w:val="clear" w:color="auto" w:fill="FFFFFF" w:themeFill="background2"/>
            <w:vAlign w:val="bottom"/>
          </w:tcPr>
          <w:p w14:paraId="6F2DAFF6" w14:textId="77777777" w:rsidR="00961617" w:rsidRPr="002F5864" w:rsidRDefault="00961617" w:rsidP="0020771F">
            <w:pPr>
              <w:pStyle w:val="tabletext"/>
              <w:spacing w:after="0"/>
              <w:ind w:right="419"/>
              <w:rPr>
                <w:rFonts w:cstheme="minorHAnsi"/>
                <w:szCs w:val="20"/>
              </w:rPr>
            </w:pPr>
            <w:r w:rsidRPr="002F5864">
              <w:rPr>
                <w:rFonts w:cstheme="minorHAnsi"/>
                <w:szCs w:val="20"/>
              </w:rPr>
              <w:t>37.5</w:t>
            </w:r>
          </w:p>
        </w:tc>
        <w:tc>
          <w:tcPr>
            <w:tcW w:w="772" w:type="pct"/>
            <w:shd w:val="clear" w:color="auto" w:fill="FFFFFF" w:themeFill="background2"/>
            <w:vAlign w:val="bottom"/>
          </w:tcPr>
          <w:p w14:paraId="46C45E70" w14:textId="77777777" w:rsidR="00961617" w:rsidRPr="002F5864" w:rsidRDefault="00961617" w:rsidP="0020771F">
            <w:pPr>
              <w:pStyle w:val="tabletext"/>
              <w:spacing w:after="0"/>
              <w:ind w:right="419"/>
              <w:rPr>
                <w:rFonts w:cstheme="minorHAnsi"/>
                <w:szCs w:val="20"/>
              </w:rPr>
            </w:pPr>
            <w:r w:rsidRPr="002F5864">
              <w:rPr>
                <w:rFonts w:cstheme="minorHAnsi"/>
                <w:szCs w:val="20"/>
              </w:rPr>
              <w:t>35.5</w:t>
            </w:r>
          </w:p>
        </w:tc>
        <w:tc>
          <w:tcPr>
            <w:tcW w:w="772" w:type="pct"/>
            <w:shd w:val="clear" w:color="auto" w:fill="FFFFFF" w:themeFill="background2"/>
            <w:vAlign w:val="bottom"/>
          </w:tcPr>
          <w:p w14:paraId="7667C214" w14:textId="77777777" w:rsidR="00961617" w:rsidRPr="002F5864" w:rsidRDefault="00961617" w:rsidP="0020771F">
            <w:pPr>
              <w:pStyle w:val="tabletext"/>
              <w:spacing w:after="0"/>
              <w:ind w:right="419"/>
              <w:rPr>
                <w:rFonts w:cstheme="minorHAnsi"/>
                <w:szCs w:val="20"/>
              </w:rPr>
            </w:pPr>
            <w:r w:rsidRPr="002F5864">
              <w:rPr>
                <w:rFonts w:cstheme="minorHAnsi"/>
                <w:szCs w:val="20"/>
              </w:rPr>
              <w:t>35.9</w:t>
            </w:r>
          </w:p>
        </w:tc>
      </w:tr>
      <w:tr w:rsidR="00961617" w:rsidRPr="002F5864" w14:paraId="4291322B" w14:textId="77777777" w:rsidTr="0020771F">
        <w:trPr>
          <w:cantSplit/>
        </w:trPr>
        <w:tc>
          <w:tcPr>
            <w:tcW w:w="1885" w:type="pct"/>
            <w:shd w:val="clear" w:color="auto" w:fill="E5E5E5" w:themeFill="background1" w:themeFillTint="33"/>
          </w:tcPr>
          <w:p w14:paraId="206E1746" w14:textId="77777777" w:rsidR="00961617" w:rsidRPr="002F5864" w:rsidRDefault="00961617" w:rsidP="0020771F">
            <w:pPr>
              <w:pStyle w:val="tabletext"/>
              <w:spacing w:after="0"/>
              <w:ind w:right="179"/>
              <w:jc w:val="left"/>
              <w:rPr>
                <w:rFonts w:cstheme="minorHAnsi"/>
                <w:szCs w:val="20"/>
              </w:rPr>
            </w:pPr>
            <w:r w:rsidRPr="002F5864">
              <w:rPr>
                <w:rFonts w:cstheme="minorHAnsi"/>
                <w:szCs w:val="20"/>
              </w:rPr>
              <w:t>Females average age</w:t>
            </w:r>
          </w:p>
        </w:tc>
        <w:tc>
          <w:tcPr>
            <w:tcW w:w="771" w:type="pct"/>
            <w:shd w:val="clear" w:color="auto" w:fill="E5E5E5" w:themeFill="background1" w:themeFillTint="33"/>
            <w:vAlign w:val="bottom"/>
          </w:tcPr>
          <w:p w14:paraId="3A7FACCD" w14:textId="77777777" w:rsidR="00961617" w:rsidRPr="002F5864" w:rsidRDefault="00961617" w:rsidP="0020771F">
            <w:pPr>
              <w:pStyle w:val="tabletext"/>
              <w:spacing w:after="0"/>
              <w:ind w:right="419"/>
              <w:rPr>
                <w:rFonts w:cstheme="minorHAnsi"/>
                <w:szCs w:val="20"/>
              </w:rPr>
            </w:pPr>
            <w:r w:rsidRPr="002F5864">
              <w:rPr>
                <w:rFonts w:cstheme="minorHAnsi"/>
                <w:szCs w:val="20"/>
              </w:rPr>
              <w:t>39.2</w:t>
            </w:r>
          </w:p>
        </w:tc>
        <w:tc>
          <w:tcPr>
            <w:tcW w:w="800" w:type="pct"/>
            <w:shd w:val="clear" w:color="auto" w:fill="E5E5E5" w:themeFill="background1" w:themeFillTint="33"/>
            <w:vAlign w:val="bottom"/>
          </w:tcPr>
          <w:p w14:paraId="4F14FC2E" w14:textId="77777777" w:rsidR="00961617" w:rsidRPr="002F5864" w:rsidRDefault="00961617" w:rsidP="0020771F">
            <w:pPr>
              <w:pStyle w:val="tabletext"/>
              <w:spacing w:after="0"/>
              <w:ind w:right="419"/>
              <w:rPr>
                <w:rFonts w:cstheme="minorHAnsi"/>
                <w:szCs w:val="20"/>
              </w:rPr>
            </w:pPr>
            <w:r w:rsidRPr="002F5864">
              <w:rPr>
                <w:rFonts w:cstheme="minorHAnsi"/>
                <w:szCs w:val="20"/>
              </w:rPr>
              <w:t>40.5</w:t>
            </w:r>
          </w:p>
        </w:tc>
        <w:tc>
          <w:tcPr>
            <w:tcW w:w="772" w:type="pct"/>
            <w:shd w:val="clear" w:color="auto" w:fill="E5E5E5" w:themeFill="background1" w:themeFillTint="33"/>
            <w:vAlign w:val="bottom"/>
          </w:tcPr>
          <w:p w14:paraId="731B4407" w14:textId="77777777" w:rsidR="00961617" w:rsidRPr="002F5864" w:rsidRDefault="00961617" w:rsidP="0020771F">
            <w:pPr>
              <w:pStyle w:val="tabletext"/>
              <w:spacing w:after="0"/>
              <w:ind w:right="419"/>
              <w:rPr>
                <w:rFonts w:cstheme="minorHAnsi"/>
                <w:szCs w:val="20"/>
              </w:rPr>
            </w:pPr>
            <w:r w:rsidRPr="002F5864">
              <w:rPr>
                <w:rFonts w:cstheme="minorHAnsi"/>
                <w:szCs w:val="20"/>
              </w:rPr>
              <w:t>36.8</w:t>
            </w:r>
          </w:p>
        </w:tc>
        <w:tc>
          <w:tcPr>
            <w:tcW w:w="772" w:type="pct"/>
            <w:shd w:val="clear" w:color="auto" w:fill="E5E5E5" w:themeFill="background1" w:themeFillTint="33"/>
            <w:vAlign w:val="bottom"/>
          </w:tcPr>
          <w:p w14:paraId="780DC025" w14:textId="77777777" w:rsidR="00961617" w:rsidRPr="002F5864" w:rsidRDefault="00961617" w:rsidP="0020771F">
            <w:pPr>
              <w:pStyle w:val="tabletext"/>
              <w:spacing w:after="0"/>
              <w:ind w:right="419"/>
              <w:rPr>
                <w:rFonts w:cstheme="minorHAnsi"/>
                <w:szCs w:val="20"/>
              </w:rPr>
            </w:pPr>
            <w:r w:rsidRPr="002F5864">
              <w:rPr>
                <w:rFonts w:cstheme="minorHAnsi"/>
                <w:szCs w:val="20"/>
              </w:rPr>
              <w:t>37.8</w:t>
            </w:r>
          </w:p>
        </w:tc>
      </w:tr>
      <w:tr w:rsidR="00961617" w:rsidRPr="002F5864" w14:paraId="530989C0" w14:textId="77777777" w:rsidTr="0020771F">
        <w:trPr>
          <w:cantSplit/>
        </w:trPr>
        <w:tc>
          <w:tcPr>
            <w:tcW w:w="1885" w:type="pct"/>
            <w:shd w:val="clear" w:color="auto" w:fill="FFFFFF" w:themeFill="background2"/>
          </w:tcPr>
          <w:p w14:paraId="573E76A8" w14:textId="77777777" w:rsidR="00961617" w:rsidRPr="002F5864" w:rsidRDefault="00961617" w:rsidP="0020771F">
            <w:pPr>
              <w:pStyle w:val="tabletext"/>
              <w:spacing w:after="0"/>
              <w:ind w:right="179"/>
              <w:jc w:val="left"/>
              <w:rPr>
                <w:rFonts w:cstheme="minorHAnsi"/>
                <w:szCs w:val="20"/>
              </w:rPr>
            </w:pPr>
            <w:bookmarkStart w:id="598" w:name="_Toc374368456"/>
            <w:r w:rsidRPr="002F5864">
              <w:rPr>
                <w:rFonts w:cstheme="minorHAnsi"/>
                <w:szCs w:val="20"/>
              </w:rPr>
              <w:t>Persons average age</w:t>
            </w:r>
          </w:p>
        </w:tc>
        <w:tc>
          <w:tcPr>
            <w:tcW w:w="771" w:type="pct"/>
            <w:shd w:val="clear" w:color="auto" w:fill="FFFFFF" w:themeFill="background2"/>
            <w:vAlign w:val="bottom"/>
          </w:tcPr>
          <w:p w14:paraId="125AFF79" w14:textId="77777777" w:rsidR="00961617" w:rsidRPr="002F5864" w:rsidRDefault="00961617" w:rsidP="0020771F">
            <w:pPr>
              <w:pStyle w:val="tabletext"/>
              <w:spacing w:after="0"/>
              <w:ind w:right="419"/>
              <w:rPr>
                <w:rFonts w:cstheme="minorHAnsi"/>
                <w:szCs w:val="20"/>
              </w:rPr>
            </w:pPr>
            <w:r w:rsidRPr="002F5864">
              <w:rPr>
                <w:rFonts w:cstheme="minorHAnsi"/>
                <w:szCs w:val="20"/>
              </w:rPr>
              <w:t>38.0</w:t>
            </w:r>
          </w:p>
        </w:tc>
        <w:tc>
          <w:tcPr>
            <w:tcW w:w="800" w:type="pct"/>
            <w:shd w:val="clear" w:color="auto" w:fill="FFFFFF" w:themeFill="background2"/>
            <w:vAlign w:val="bottom"/>
          </w:tcPr>
          <w:p w14:paraId="480782C6" w14:textId="77777777" w:rsidR="00961617" w:rsidRPr="002F5864" w:rsidRDefault="00961617" w:rsidP="0020771F">
            <w:pPr>
              <w:pStyle w:val="tabletext"/>
              <w:spacing w:after="0"/>
              <w:ind w:right="419"/>
              <w:rPr>
                <w:rFonts w:cstheme="minorHAnsi"/>
                <w:szCs w:val="20"/>
              </w:rPr>
            </w:pPr>
            <w:r w:rsidRPr="002F5864">
              <w:rPr>
                <w:rFonts w:cstheme="minorHAnsi"/>
                <w:szCs w:val="20"/>
              </w:rPr>
              <w:t>39.0</w:t>
            </w:r>
          </w:p>
        </w:tc>
        <w:tc>
          <w:tcPr>
            <w:tcW w:w="772" w:type="pct"/>
            <w:shd w:val="clear" w:color="auto" w:fill="FFFFFF" w:themeFill="background2"/>
            <w:vAlign w:val="bottom"/>
          </w:tcPr>
          <w:p w14:paraId="6330BA26" w14:textId="77777777" w:rsidR="00961617" w:rsidRPr="002F5864" w:rsidRDefault="00961617" w:rsidP="0020771F">
            <w:pPr>
              <w:pStyle w:val="tabletext"/>
              <w:spacing w:after="0"/>
              <w:ind w:right="419"/>
              <w:rPr>
                <w:rFonts w:cstheme="minorHAnsi"/>
                <w:szCs w:val="20"/>
              </w:rPr>
            </w:pPr>
            <w:r w:rsidRPr="002F5864">
              <w:rPr>
                <w:rFonts w:cstheme="minorHAnsi"/>
                <w:szCs w:val="20"/>
              </w:rPr>
              <w:t>36.1</w:t>
            </w:r>
          </w:p>
        </w:tc>
        <w:tc>
          <w:tcPr>
            <w:tcW w:w="772" w:type="pct"/>
            <w:shd w:val="clear" w:color="auto" w:fill="FFFFFF" w:themeFill="background2"/>
            <w:vAlign w:val="bottom"/>
          </w:tcPr>
          <w:p w14:paraId="5F6223F0" w14:textId="77777777" w:rsidR="00961617" w:rsidRPr="002F5864" w:rsidRDefault="00961617" w:rsidP="0020771F">
            <w:pPr>
              <w:pStyle w:val="tabletext"/>
              <w:spacing w:after="0"/>
              <w:ind w:right="419"/>
              <w:rPr>
                <w:rFonts w:cstheme="minorHAnsi"/>
                <w:szCs w:val="20"/>
              </w:rPr>
            </w:pPr>
            <w:r w:rsidRPr="002F5864">
              <w:rPr>
                <w:rFonts w:cstheme="minorHAnsi"/>
                <w:szCs w:val="20"/>
              </w:rPr>
              <w:t>36.8</w:t>
            </w:r>
          </w:p>
        </w:tc>
      </w:tr>
      <w:bookmarkEnd w:id="598"/>
      <w:tr w:rsidR="00961617" w:rsidRPr="002F5864" w14:paraId="54C7447B" w14:textId="77777777" w:rsidTr="0020771F">
        <w:trPr>
          <w:cantSplit/>
        </w:trPr>
        <w:tc>
          <w:tcPr>
            <w:tcW w:w="1885" w:type="pct"/>
            <w:shd w:val="clear" w:color="auto" w:fill="8EAEDE"/>
          </w:tcPr>
          <w:p w14:paraId="2FF6633E" w14:textId="77777777" w:rsidR="00961617" w:rsidRPr="002F5864" w:rsidRDefault="00961617" w:rsidP="0020771F">
            <w:pPr>
              <w:pStyle w:val="tabletextright"/>
              <w:spacing w:after="0"/>
              <w:ind w:right="180"/>
              <w:jc w:val="left"/>
              <w:rPr>
                <w:rFonts w:cstheme="minorHAnsi"/>
                <w:sz w:val="20"/>
                <w:szCs w:val="20"/>
              </w:rPr>
            </w:pPr>
            <w:r w:rsidRPr="002F5864">
              <w:rPr>
                <w:rFonts w:cstheme="minorHAnsi"/>
                <w:sz w:val="20"/>
                <w:szCs w:val="20"/>
              </w:rPr>
              <w:t>Total number</w:t>
            </w:r>
          </w:p>
        </w:tc>
        <w:tc>
          <w:tcPr>
            <w:tcW w:w="771" w:type="pct"/>
            <w:shd w:val="clear" w:color="auto" w:fill="8EAEDE"/>
          </w:tcPr>
          <w:p w14:paraId="1A4A08DC" w14:textId="77777777" w:rsidR="00961617" w:rsidRPr="002F5864" w:rsidRDefault="00961617" w:rsidP="0020771F">
            <w:pPr>
              <w:pStyle w:val="tabletextright"/>
              <w:spacing w:after="0"/>
              <w:ind w:right="419"/>
              <w:rPr>
                <w:rFonts w:cstheme="minorHAnsi"/>
                <w:sz w:val="20"/>
                <w:szCs w:val="20"/>
              </w:rPr>
            </w:pPr>
            <w:r w:rsidRPr="002F5864">
              <w:rPr>
                <w:rFonts w:cstheme="minorHAnsi"/>
                <w:sz w:val="20"/>
                <w:szCs w:val="20"/>
              </w:rPr>
              <w:t>371,559</w:t>
            </w:r>
          </w:p>
        </w:tc>
        <w:tc>
          <w:tcPr>
            <w:tcW w:w="800" w:type="pct"/>
            <w:shd w:val="clear" w:color="auto" w:fill="8EAEDE"/>
          </w:tcPr>
          <w:p w14:paraId="25429067" w14:textId="77777777" w:rsidR="00961617" w:rsidRPr="002F5864" w:rsidRDefault="00961617" w:rsidP="0020771F">
            <w:pPr>
              <w:pStyle w:val="tabletextright"/>
              <w:spacing w:after="0"/>
              <w:ind w:right="419"/>
              <w:rPr>
                <w:rFonts w:cstheme="minorHAnsi"/>
                <w:sz w:val="20"/>
                <w:szCs w:val="20"/>
              </w:rPr>
            </w:pPr>
            <w:r w:rsidRPr="002F5864">
              <w:rPr>
                <w:rFonts w:cstheme="minorHAnsi"/>
                <w:sz w:val="20"/>
                <w:szCs w:val="20"/>
              </w:rPr>
              <w:t>385,164</w:t>
            </w:r>
          </w:p>
        </w:tc>
        <w:tc>
          <w:tcPr>
            <w:tcW w:w="772" w:type="pct"/>
            <w:shd w:val="clear" w:color="auto" w:fill="8EAEDE"/>
          </w:tcPr>
          <w:p w14:paraId="05AA86E7" w14:textId="77777777" w:rsidR="00961617" w:rsidRPr="002F5864" w:rsidRDefault="00961617" w:rsidP="0020771F">
            <w:pPr>
              <w:pStyle w:val="tabletextright"/>
              <w:spacing w:after="0"/>
              <w:ind w:right="419"/>
              <w:rPr>
                <w:rFonts w:cstheme="minorHAnsi"/>
                <w:sz w:val="20"/>
                <w:szCs w:val="20"/>
              </w:rPr>
            </w:pPr>
            <w:r w:rsidRPr="002F5864">
              <w:rPr>
                <w:rFonts w:cstheme="minorHAnsi"/>
                <w:sz w:val="20"/>
                <w:szCs w:val="20"/>
              </w:rPr>
              <w:t>770,574</w:t>
            </w:r>
          </w:p>
        </w:tc>
        <w:tc>
          <w:tcPr>
            <w:tcW w:w="772" w:type="pct"/>
            <w:shd w:val="clear" w:color="auto" w:fill="8EAEDE"/>
          </w:tcPr>
          <w:p w14:paraId="7A060A54" w14:textId="77777777" w:rsidR="00961617" w:rsidRPr="002F5864" w:rsidRDefault="00961617" w:rsidP="0020771F">
            <w:pPr>
              <w:pStyle w:val="tabletextright"/>
              <w:spacing w:after="0"/>
              <w:ind w:right="419"/>
              <w:rPr>
                <w:rFonts w:cstheme="minorHAnsi"/>
                <w:sz w:val="20"/>
                <w:szCs w:val="20"/>
              </w:rPr>
            </w:pPr>
            <w:r w:rsidRPr="002F5864">
              <w:rPr>
                <w:rFonts w:cstheme="minorHAnsi"/>
                <w:sz w:val="20"/>
                <w:szCs w:val="20"/>
              </w:rPr>
              <w:t>732,684</w:t>
            </w:r>
          </w:p>
        </w:tc>
      </w:tr>
    </w:tbl>
    <w:p w14:paraId="7B9B0835" w14:textId="77777777" w:rsidR="00961617" w:rsidRPr="002F5864" w:rsidRDefault="00961617" w:rsidP="00E13B5E">
      <w:pPr>
        <w:pStyle w:val="Notes"/>
        <w:keepNext/>
      </w:pPr>
      <w:r w:rsidRPr="00E13B5E">
        <w:rPr>
          <w:b/>
        </w:rPr>
        <w:t>Notes</w:t>
      </w:r>
      <w:r w:rsidRPr="002F5864">
        <w:t>:</w:t>
      </w:r>
    </w:p>
    <w:p w14:paraId="0596DE2E" w14:textId="77777777" w:rsidR="00961617" w:rsidRPr="00E5413A" w:rsidRDefault="00961617" w:rsidP="00E5413A">
      <w:pPr>
        <w:pStyle w:val="Notesnumbered"/>
        <w:numPr>
          <w:ilvl w:val="0"/>
          <w:numId w:val="254"/>
        </w:numPr>
      </w:pPr>
      <w:r w:rsidRPr="002F5864">
        <w:t xml:space="preserve">Both </w:t>
      </w:r>
      <w:r w:rsidRPr="00E5413A">
        <w:t>JSA 2009 and JSA 2012 caseloads and study populations exclude job seekers living in communities that were subsequently transferred to the Remote Jobs and Communities Programme in July 2013.</w:t>
      </w:r>
    </w:p>
    <w:p w14:paraId="07D6472F" w14:textId="77777777" w:rsidR="00961617" w:rsidRPr="00E5413A" w:rsidRDefault="00961617" w:rsidP="00E5413A">
      <w:pPr>
        <w:pStyle w:val="Notesnumbered"/>
        <w:numPr>
          <w:ilvl w:val="0"/>
          <w:numId w:val="254"/>
        </w:numPr>
      </w:pPr>
      <w:r w:rsidRPr="00E5413A">
        <w:t>Characteristics are those at the snapshot date, except for disability status, which is derived from information closest to the end of the job seekers’ period of assistance.</w:t>
      </w:r>
    </w:p>
    <w:p w14:paraId="42757997" w14:textId="737094AD" w:rsidR="00961617" w:rsidRPr="00E5413A" w:rsidRDefault="00961617" w:rsidP="00E5413A">
      <w:pPr>
        <w:pStyle w:val="Notesnumbered"/>
        <w:numPr>
          <w:ilvl w:val="0"/>
          <w:numId w:val="254"/>
        </w:numPr>
      </w:pPr>
      <w:r w:rsidRPr="00E5413A">
        <w:t>A substantial proportion of job seekers did not have recent (within 2 years of snapshot date) JSCI or other information available for some job seeker characteristics. For this reason percentages of job seekers in some client groups are calculated as a percentage of job seekers for whom recent information was available. The proportions of each population for which recent information was not available are:</w:t>
      </w:r>
      <w:r w:rsidRPr="00E5413A">
        <w:br/>
        <w:t xml:space="preserve">For the JSA 2009 LTU study population: Indigenous status: 3.5 per cent; English proficiency and homeless status: 13.6 per cent; single parent status: 10.4; ex-offender status: 14.9 per cent. </w:t>
      </w:r>
      <w:r w:rsidRPr="00E5413A">
        <w:br/>
        <w:t xml:space="preserve">For the JSA 2012 LTU study population: Indigenous status: 2.4 per cent; English proficiency and homeless status: 14.2 per cent; single parent status: 14.1 per cent; ex-offender status: 15.7 per cent. </w:t>
      </w:r>
      <w:r w:rsidRPr="00E5413A">
        <w:br/>
        <w:t xml:space="preserve">For the JSA 2009 caseload population: Indigenous status: 2.0 per cent; English proficiency and homeless status: 9.5 per cent; single parent status: 7.6 per cent; ex-offender status: 10.8 per cent. </w:t>
      </w:r>
      <w:r w:rsidRPr="00E5413A">
        <w:br/>
        <w:t>For the JSA 2012 caseload population: Indigenous status: 1.6 per cent; English proficiency and homeless status: 9.0 per cent; single parent status: 8.8 per cent; ex-offender status: 10.5 per cent.</w:t>
      </w:r>
    </w:p>
    <w:p w14:paraId="2FC67371" w14:textId="77777777" w:rsidR="00961617" w:rsidRPr="00E5413A" w:rsidRDefault="00961617" w:rsidP="00E5413A">
      <w:pPr>
        <w:pStyle w:val="Notesnumbered"/>
        <w:numPr>
          <w:ilvl w:val="0"/>
          <w:numId w:val="254"/>
        </w:numPr>
      </w:pPr>
      <w:r w:rsidRPr="00E5413A">
        <w:t>Many job seekers in the JSA 2009 populations had different assessed streams to their actual stream at snapshot date. This is partly because of the transition arrangements from Job Network to JSA, by which job seekers were allocated to streams in JSA based on their length of unemployment and prior level of service in Job Network as well as on assessment information. In addition, some job seekers in all JSA populations received services at a higher stream than their assessed stream because of the Learn or Earn policy or other special circumstances.</w:t>
      </w:r>
    </w:p>
    <w:p w14:paraId="6B478ADE" w14:textId="77777777" w:rsidR="00961617" w:rsidRPr="00E5413A" w:rsidRDefault="00961617" w:rsidP="00E5413A">
      <w:pPr>
        <w:pStyle w:val="Notesnumbered"/>
        <w:numPr>
          <w:ilvl w:val="0"/>
          <w:numId w:val="254"/>
        </w:numPr>
      </w:pPr>
      <w:r w:rsidRPr="00E5413A">
        <w:t xml:space="preserve">Geographical locations are defined using the Australian Standard Geographical Classification (ASGC) developed by the Australian Bureau of Statistics. This classification provides an indication of the degree of remoteness (or distance) from major cities </w:t>
      </w:r>
      <w:r w:rsidRPr="00E5413A">
        <w:fldChar w:fldCharType="begin"/>
      </w:r>
      <w:r w:rsidRPr="00E5413A">
        <w:instrText xml:space="preserve"> ADDIN EN.CITE &lt;EndNote&gt;&lt;Cite&gt;&lt;Author&gt;ABS&lt;/Author&gt;&lt;Year&gt;2006&lt;/Year&gt;&lt;RecNum&gt;17&lt;/RecNum&gt;&lt;DisplayText&gt;(ABS, 2006)&lt;/DisplayText&gt;&lt;record&gt;&lt;rec-number&gt;17&lt;/rec-number&gt;&lt;foreign-keys&gt;&lt;key app="EN" db-id="pz0e2zfxyp5rfwe50fb50fvod9rdpza2rdrs"&gt;17&lt;/key&gt;&lt;/foreign-keys&gt;&lt;ref-type name="Report"&gt;27&lt;/ref-type&gt;&lt;contributors&gt;&lt;authors&gt;&lt;author&gt;ABS,&lt;/author&gt;&lt;/authors&gt;&lt;/contributors&gt;&lt;titles&gt;&lt;title&gt;Statistical Geography Volume 1, Australian Standard Geographical Classification (ASGC)&lt;/title&gt;&lt;/titles&gt;&lt;volume&gt;Cat. No. 1216.0&lt;/volume&gt;&lt;dates&gt;&lt;year&gt;2006&lt;/year&gt;&lt;/dates&gt;&lt;pub-location&gt;Canberra&lt;/pub-location&gt;&lt;publisher&gt;Australian Bureau of Statistics (ABS)&lt;/publisher&gt;&lt;urls&gt;&lt;/urls&gt;&lt;/record&gt;&lt;/Cite&gt;&lt;/EndNote&gt;</w:instrText>
      </w:r>
      <w:r w:rsidRPr="00E5413A">
        <w:fldChar w:fldCharType="separate"/>
      </w:r>
      <w:r w:rsidRPr="00E5413A">
        <w:t>(</w:t>
      </w:r>
      <w:hyperlink w:anchor="_ENREF_1" w:tooltip="ABS, 2006 #17" w:history="1">
        <w:r w:rsidRPr="00E5413A">
          <w:rPr>
            <w:rStyle w:val="Hyperlink"/>
          </w:rPr>
          <w:t>ABS, 2006</w:t>
        </w:r>
      </w:hyperlink>
      <w:r w:rsidRPr="00E5413A">
        <w:t>)</w:t>
      </w:r>
      <w:r w:rsidRPr="00E5413A">
        <w:fldChar w:fldCharType="end"/>
      </w:r>
      <w:r w:rsidRPr="00E5413A">
        <w:t>. The geographical locations defined are not comparable with those used to classify JSA Labour Market Regions, as defined in the Employment Services Deed ESD4.</w:t>
      </w:r>
    </w:p>
    <w:p w14:paraId="32A7582A" w14:textId="77777777" w:rsidR="00961617" w:rsidRPr="00E5413A" w:rsidRDefault="00961617" w:rsidP="00E5413A">
      <w:pPr>
        <w:pStyle w:val="Notesnumbered"/>
        <w:numPr>
          <w:ilvl w:val="0"/>
          <w:numId w:val="254"/>
        </w:numPr>
      </w:pPr>
      <w:r w:rsidRPr="00E5413A">
        <w:t>Job seekers are assigned to geographical locations using the job seeker’s home postcode at the snapshot date.</w:t>
      </w:r>
    </w:p>
    <w:p w14:paraId="58EE244A" w14:textId="77777777" w:rsidR="00961617" w:rsidRPr="002F5864" w:rsidRDefault="00961617" w:rsidP="00E13B5E">
      <w:pPr>
        <w:pStyle w:val="Source"/>
      </w:pPr>
      <w:r w:rsidRPr="002F5864">
        <w:rPr>
          <w:b/>
        </w:rPr>
        <w:t xml:space="preserve">Source: </w:t>
      </w:r>
      <w:r w:rsidR="00E13B5E">
        <w:rPr>
          <w:b/>
        </w:rPr>
        <w:tab/>
      </w:r>
      <w:r w:rsidRPr="002F5864">
        <w:t>Department of Employment administrative data and Research and Evaluation dataset (RED).</w:t>
      </w:r>
    </w:p>
    <w:p w14:paraId="42F30D57" w14:textId="77777777" w:rsidR="00961617" w:rsidRPr="002F5864" w:rsidRDefault="00864C5E" w:rsidP="00961617">
      <w:pPr>
        <w:spacing w:before="120"/>
        <w:rPr>
          <w:rFonts w:cstheme="minorHAnsi"/>
          <w:sz w:val="18"/>
          <w:szCs w:val="18"/>
        </w:rPr>
      </w:pPr>
      <w:hyperlink w:anchor="Place_A12" w:history="1">
        <w:r w:rsidR="00961617" w:rsidRPr="004A74AA">
          <w:rPr>
            <w:rStyle w:val="Hyperlink"/>
            <w:rFonts w:cstheme="minorHAnsi"/>
            <w:sz w:val="18"/>
            <w:szCs w:val="18"/>
          </w:rPr>
          <w:t xml:space="preserve">Return to </w:t>
        </w:r>
        <w:r w:rsidR="003649E1" w:rsidRPr="004A74AA">
          <w:rPr>
            <w:rStyle w:val="Hyperlink"/>
            <w:rFonts w:cstheme="minorHAnsi"/>
            <w:sz w:val="18"/>
            <w:szCs w:val="18"/>
          </w:rPr>
          <w:t>s</w:t>
        </w:r>
        <w:r w:rsidR="00961617" w:rsidRPr="004A74AA">
          <w:rPr>
            <w:rStyle w:val="Hyperlink"/>
            <w:rFonts w:cstheme="minorHAnsi"/>
            <w:sz w:val="18"/>
            <w:szCs w:val="18"/>
          </w:rPr>
          <w:t>ection 2.2.2</w:t>
        </w:r>
      </w:hyperlink>
      <w:r w:rsidR="00961617" w:rsidRPr="002F5864">
        <w:rPr>
          <w:rFonts w:cstheme="minorHAnsi"/>
          <w:sz w:val="18"/>
          <w:szCs w:val="18"/>
        </w:rPr>
        <w:t xml:space="preserve"> where this data is referenced.</w:t>
      </w:r>
    </w:p>
    <w:p w14:paraId="01539003" w14:textId="77777777" w:rsidR="00961617" w:rsidRPr="002F5864" w:rsidRDefault="00961617" w:rsidP="00961617">
      <w:pPr>
        <w:rPr>
          <w:rFonts w:cstheme="minorHAnsi"/>
        </w:rPr>
      </w:pPr>
    </w:p>
    <w:p w14:paraId="7DC8688D" w14:textId="77777777" w:rsidR="00961617" w:rsidRPr="002F5864" w:rsidRDefault="00961617" w:rsidP="00961617">
      <w:pPr>
        <w:rPr>
          <w:rFonts w:cstheme="minorHAnsi"/>
        </w:rPr>
        <w:sectPr w:rsidR="00961617" w:rsidRPr="002F5864" w:rsidSect="00861BD8">
          <w:pgSz w:w="16839" w:h="11907" w:orient="landscape" w:code="9"/>
          <w:pgMar w:top="1440" w:right="1440" w:bottom="1440" w:left="1440" w:header="709" w:footer="284" w:gutter="0"/>
          <w:cols w:space="708"/>
          <w:docGrid w:linePitch="360"/>
        </w:sectPr>
      </w:pPr>
    </w:p>
    <w:p w14:paraId="0C5FE289" w14:textId="77777777" w:rsidR="00961617" w:rsidRPr="002F5864" w:rsidRDefault="00961617" w:rsidP="00961617">
      <w:pPr>
        <w:pStyle w:val="TableheadingforappendixA1"/>
        <w:rPr>
          <w:rFonts w:cstheme="minorHAnsi"/>
        </w:rPr>
      </w:pPr>
      <w:bookmarkStart w:id="599" w:name="_Toc513129891"/>
      <w:r w:rsidRPr="002F5864">
        <w:rPr>
          <w:rFonts w:cstheme="minorHAnsi"/>
        </w:rPr>
        <w:t>Table A1.3: The JSA 2012 LTU study population by relationship to the JSA 2009 LTU study population</w:t>
      </w:r>
      <w:bookmarkEnd w:id="599"/>
      <w:r w:rsidRPr="002F5864">
        <w:rPr>
          <w:rFonts w:cstheme="minorHAnsi"/>
        </w:rPr>
        <w:t xml:space="preserve"> </w:t>
      </w:r>
    </w:p>
    <w:tbl>
      <w:tblPr>
        <w:tblW w:w="7838" w:type="dxa"/>
        <w:tblInd w:w="93" w:type="dxa"/>
        <w:tblLook w:val="04A0" w:firstRow="1" w:lastRow="0" w:firstColumn="1" w:lastColumn="0" w:noHBand="0" w:noVBand="1"/>
      </w:tblPr>
      <w:tblGrid>
        <w:gridCol w:w="5544"/>
        <w:gridCol w:w="965"/>
        <w:gridCol w:w="1329"/>
      </w:tblGrid>
      <w:tr w:rsidR="00961617" w:rsidRPr="002F5864" w14:paraId="0B13E52C" w14:textId="77777777" w:rsidTr="0020771F">
        <w:trPr>
          <w:trHeight w:val="300"/>
          <w:tblHeader/>
        </w:trPr>
        <w:tc>
          <w:tcPr>
            <w:tcW w:w="5544" w:type="dxa"/>
            <w:tcBorders>
              <w:top w:val="nil"/>
              <w:left w:val="nil"/>
              <w:bottom w:val="nil"/>
              <w:right w:val="nil"/>
            </w:tcBorders>
            <w:shd w:val="clear" w:color="auto" w:fill="1E3D6B"/>
            <w:noWrap/>
            <w:vAlign w:val="bottom"/>
          </w:tcPr>
          <w:p w14:paraId="558263C8" w14:textId="77777777" w:rsidR="00961617" w:rsidRPr="002F5864" w:rsidRDefault="00961617" w:rsidP="0020771F">
            <w:pPr>
              <w:spacing w:after="0" w:line="240" w:lineRule="auto"/>
              <w:rPr>
                <w:rFonts w:eastAsia="Times New Roman" w:cstheme="minorHAnsi"/>
                <w:b/>
                <w:color w:val="FFFFFF" w:themeColor="background2"/>
                <w:sz w:val="20"/>
                <w:szCs w:val="20"/>
                <w:lang w:eastAsia="en-AU"/>
              </w:rPr>
            </w:pPr>
            <w:bookmarkStart w:id="600" w:name="Title_A13"/>
            <w:bookmarkEnd w:id="600"/>
            <w:r w:rsidRPr="002F5864">
              <w:rPr>
                <w:rFonts w:eastAsia="Times New Roman" w:cstheme="minorHAnsi"/>
                <w:b/>
                <w:color w:val="FFFFFF" w:themeColor="background2"/>
                <w:sz w:val="20"/>
                <w:szCs w:val="20"/>
                <w:lang w:eastAsia="en-AU"/>
              </w:rPr>
              <w:t>Relationship</w:t>
            </w:r>
          </w:p>
        </w:tc>
        <w:tc>
          <w:tcPr>
            <w:tcW w:w="965" w:type="dxa"/>
            <w:tcBorders>
              <w:top w:val="nil"/>
              <w:left w:val="nil"/>
              <w:bottom w:val="nil"/>
              <w:right w:val="nil"/>
            </w:tcBorders>
            <w:shd w:val="clear" w:color="auto" w:fill="1E3D6B"/>
            <w:noWrap/>
            <w:vAlign w:val="bottom"/>
          </w:tcPr>
          <w:p w14:paraId="063ACA79" w14:textId="77777777" w:rsidR="00961617" w:rsidRPr="002F5864" w:rsidRDefault="00961617" w:rsidP="0020771F">
            <w:pPr>
              <w:spacing w:after="0" w:line="240" w:lineRule="auto"/>
              <w:jc w:val="right"/>
              <w:rPr>
                <w:rFonts w:eastAsia="Times New Roman" w:cstheme="minorHAnsi"/>
                <w:b/>
                <w:color w:val="FFFFFF" w:themeColor="background2"/>
                <w:sz w:val="20"/>
                <w:szCs w:val="20"/>
                <w:lang w:eastAsia="en-AU"/>
              </w:rPr>
            </w:pPr>
            <w:r w:rsidRPr="002F5864">
              <w:rPr>
                <w:rFonts w:eastAsia="Times New Roman" w:cstheme="minorHAnsi"/>
                <w:b/>
                <w:color w:val="FFFFFF" w:themeColor="background2"/>
                <w:sz w:val="20"/>
                <w:szCs w:val="20"/>
                <w:lang w:eastAsia="en-AU"/>
              </w:rPr>
              <w:t>Number</w:t>
            </w:r>
          </w:p>
        </w:tc>
        <w:tc>
          <w:tcPr>
            <w:tcW w:w="1329" w:type="dxa"/>
            <w:tcBorders>
              <w:top w:val="nil"/>
              <w:left w:val="nil"/>
              <w:bottom w:val="nil"/>
              <w:right w:val="nil"/>
            </w:tcBorders>
            <w:shd w:val="clear" w:color="auto" w:fill="1E3D6B"/>
            <w:noWrap/>
            <w:vAlign w:val="bottom"/>
          </w:tcPr>
          <w:p w14:paraId="18763D21" w14:textId="77777777" w:rsidR="00961617" w:rsidRPr="002F5864" w:rsidRDefault="00961617" w:rsidP="0020771F">
            <w:pPr>
              <w:spacing w:after="0" w:line="240" w:lineRule="auto"/>
              <w:jc w:val="right"/>
              <w:rPr>
                <w:rFonts w:eastAsia="Times New Roman" w:cstheme="minorHAnsi"/>
                <w:b/>
                <w:color w:val="FFFFFF" w:themeColor="background2"/>
                <w:sz w:val="20"/>
                <w:szCs w:val="20"/>
                <w:lang w:eastAsia="en-AU"/>
              </w:rPr>
            </w:pPr>
            <w:r w:rsidRPr="002F5864">
              <w:rPr>
                <w:rFonts w:eastAsia="Times New Roman" w:cstheme="minorHAnsi"/>
                <w:b/>
                <w:color w:val="FFFFFF" w:themeColor="background2"/>
                <w:sz w:val="20"/>
                <w:szCs w:val="20"/>
                <w:lang w:eastAsia="en-AU"/>
              </w:rPr>
              <w:t>Per cent</w:t>
            </w:r>
          </w:p>
        </w:tc>
      </w:tr>
      <w:tr w:rsidR="00961617" w:rsidRPr="002F5864" w14:paraId="2E50A7A8" w14:textId="77777777" w:rsidTr="0020771F">
        <w:trPr>
          <w:trHeight w:val="300"/>
        </w:trPr>
        <w:tc>
          <w:tcPr>
            <w:tcW w:w="5544" w:type="dxa"/>
            <w:tcBorders>
              <w:top w:val="nil"/>
              <w:left w:val="nil"/>
              <w:bottom w:val="nil"/>
              <w:right w:val="nil"/>
            </w:tcBorders>
            <w:shd w:val="clear" w:color="auto" w:fill="auto"/>
            <w:noWrap/>
            <w:vAlign w:val="bottom"/>
            <w:hideMark/>
          </w:tcPr>
          <w:p w14:paraId="154B75B8"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Short term unemployed in 2010, exited and re-entered services</w:t>
            </w:r>
          </w:p>
        </w:tc>
        <w:tc>
          <w:tcPr>
            <w:tcW w:w="965" w:type="dxa"/>
            <w:tcBorders>
              <w:top w:val="nil"/>
              <w:left w:val="nil"/>
              <w:bottom w:val="nil"/>
              <w:right w:val="nil"/>
            </w:tcBorders>
            <w:shd w:val="clear" w:color="auto" w:fill="auto"/>
            <w:noWrap/>
            <w:vAlign w:val="bottom"/>
            <w:hideMark/>
          </w:tcPr>
          <w:p w14:paraId="0AEFD82F"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20,054</w:t>
            </w:r>
          </w:p>
        </w:tc>
        <w:tc>
          <w:tcPr>
            <w:tcW w:w="1329" w:type="dxa"/>
            <w:tcBorders>
              <w:top w:val="nil"/>
              <w:left w:val="nil"/>
              <w:bottom w:val="nil"/>
              <w:right w:val="nil"/>
            </w:tcBorders>
            <w:shd w:val="clear" w:color="auto" w:fill="auto"/>
            <w:noWrap/>
            <w:vAlign w:val="bottom"/>
            <w:hideMark/>
          </w:tcPr>
          <w:p w14:paraId="2E45295D"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5.2</w:t>
            </w:r>
          </w:p>
        </w:tc>
      </w:tr>
      <w:tr w:rsidR="00961617" w:rsidRPr="002F5864" w14:paraId="22070202" w14:textId="77777777" w:rsidTr="0020771F">
        <w:trPr>
          <w:trHeight w:val="300"/>
        </w:trPr>
        <w:tc>
          <w:tcPr>
            <w:tcW w:w="5544" w:type="dxa"/>
            <w:tcBorders>
              <w:top w:val="nil"/>
              <w:left w:val="nil"/>
              <w:bottom w:val="nil"/>
              <w:right w:val="nil"/>
            </w:tcBorders>
            <w:shd w:val="clear" w:color="auto" w:fill="E5E5E5" w:themeFill="background1" w:themeFillTint="33"/>
            <w:noWrap/>
            <w:vAlign w:val="bottom"/>
            <w:hideMark/>
          </w:tcPr>
          <w:p w14:paraId="673CADD2"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Short term unemployed in 2010, remained in services</w:t>
            </w:r>
          </w:p>
        </w:tc>
        <w:tc>
          <w:tcPr>
            <w:tcW w:w="965" w:type="dxa"/>
            <w:tcBorders>
              <w:top w:val="nil"/>
              <w:left w:val="nil"/>
              <w:bottom w:val="nil"/>
              <w:right w:val="nil"/>
            </w:tcBorders>
            <w:shd w:val="clear" w:color="auto" w:fill="E5E5E5" w:themeFill="background1" w:themeFillTint="33"/>
            <w:noWrap/>
            <w:vAlign w:val="bottom"/>
            <w:hideMark/>
          </w:tcPr>
          <w:p w14:paraId="1DE550AB"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43,511</w:t>
            </w:r>
          </w:p>
        </w:tc>
        <w:tc>
          <w:tcPr>
            <w:tcW w:w="1329" w:type="dxa"/>
            <w:tcBorders>
              <w:top w:val="nil"/>
              <w:left w:val="nil"/>
              <w:bottom w:val="nil"/>
              <w:right w:val="nil"/>
            </w:tcBorders>
            <w:shd w:val="clear" w:color="auto" w:fill="E5E5E5" w:themeFill="background1" w:themeFillTint="33"/>
            <w:noWrap/>
            <w:vAlign w:val="bottom"/>
            <w:hideMark/>
          </w:tcPr>
          <w:p w14:paraId="015481DF"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11.3</w:t>
            </w:r>
          </w:p>
        </w:tc>
      </w:tr>
      <w:tr w:rsidR="00961617" w:rsidRPr="002F5864" w14:paraId="7D38B108" w14:textId="77777777" w:rsidTr="0020771F">
        <w:trPr>
          <w:trHeight w:val="300"/>
        </w:trPr>
        <w:tc>
          <w:tcPr>
            <w:tcW w:w="5544" w:type="dxa"/>
            <w:tcBorders>
              <w:top w:val="nil"/>
              <w:left w:val="nil"/>
              <w:bottom w:val="nil"/>
              <w:right w:val="nil"/>
            </w:tcBorders>
            <w:shd w:val="clear" w:color="auto" w:fill="auto"/>
            <w:noWrap/>
            <w:vAlign w:val="bottom"/>
            <w:hideMark/>
          </w:tcPr>
          <w:p w14:paraId="01E4D0D6"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Long term unemployed in 2010, exited and re-entered services</w:t>
            </w:r>
          </w:p>
        </w:tc>
        <w:tc>
          <w:tcPr>
            <w:tcW w:w="965" w:type="dxa"/>
            <w:tcBorders>
              <w:top w:val="nil"/>
              <w:left w:val="nil"/>
              <w:bottom w:val="nil"/>
              <w:right w:val="nil"/>
            </w:tcBorders>
            <w:shd w:val="clear" w:color="auto" w:fill="auto"/>
            <w:noWrap/>
            <w:vAlign w:val="bottom"/>
            <w:hideMark/>
          </w:tcPr>
          <w:p w14:paraId="422C5302"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20,669</w:t>
            </w:r>
          </w:p>
        </w:tc>
        <w:tc>
          <w:tcPr>
            <w:tcW w:w="1329" w:type="dxa"/>
            <w:tcBorders>
              <w:top w:val="nil"/>
              <w:left w:val="nil"/>
              <w:bottom w:val="nil"/>
              <w:right w:val="nil"/>
            </w:tcBorders>
            <w:shd w:val="clear" w:color="auto" w:fill="auto"/>
            <w:noWrap/>
            <w:vAlign w:val="bottom"/>
            <w:hideMark/>
          </w:tcPr>
          <w:p w14:paraId="39794AD5"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5.4</w:t>
            </w:r>
          </w:p>
        </w:tc>
      </w:tr>
      <w:tr w:rsidR="00961617" w:rsidRPr="002F5864" w14:paraId="3C7111A6" w14:textId="77777777" w:rsidTr="0020771F">
        <w:trPr>
          <w:trHeight w:val="300"/>
        </w:trPr>
        <w:tc>
          <w:tcPr>
            <w:tcW w:w="5544" w:type="dxa"/>
            <w:tcBorders>
              <w:top w:val="nil"/>
              <w:left w:val="nil"/>
              <w:bottom w:val="nil"/>
              <w:right w:val="nil"/>
            </w:tcBorders>
            <w:shd w:val="clear" w:color="auto" w:fill="E5E5E5" w:themeFill="background1" w:themeFillTint="33"/>
            <w:noWrap/>
            <w:vAlign w:val="bottom"/>
            <w:hideMark/>
          </w:tcPr>
          <w:p w14:paraId="02EC7014"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Long term unemployed in 2010, remained in services</w:t>
            </w:r>
          </w:p>
        </w:tc>
        <w:tc>
          <w:tcPr>
            <w:tcW w:w="965" w:type="dxa"/>
            <w:tcBorders>
              <w:top w:val="nil"/>
              <w:left w:val="nil"/>
              <w:bottom w:val="nil"/>
              <w:right w:val="nil"/>
            </w:tcBorders>
            <w:shd w:val="clear" w:color="auto" w:fill="E5E5E5" w:themeFill="background1" w:themeFillTint="33"/>
            <w:noWrap/>
            <w:vAlign w:val="bottom"/>
            <w:hideMark/>
          </w:tcPr>
          <w:p w14:paraId="43945F98"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99,852</w:t>
            </w:r>
          </w:p>
        </w:tc>
        <w:tc>
          <w:tcPr>
            <w:tcW w:w="1329" w:type="dxa"/>
            <w:tcBorders>
              <w:top w:val="nil"/>
              <w:left w:val="nil"/>
              <w:bottom w:val="nil"/>
              <w:right w:val="nil"/>
            </w:tcBorders>
            <w:shd w:val="clear" w:color="auto" w:fill="E5E5E5" w:themeFill="background1" w:themeFillTint="33"/>
            <w:noWrap/>
            <w:vAlign w:val="bottom"/>
            <w:hideMark/>
          </w:tcPr>
          <w:p w14:paraId="2E242A21"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25.9</w:t>
            </w:r>
          </w:p>
        </w:tc>
      </w:tr>
      <w:tr w:rsidR="00961617" w:rsidRPr="002F5864" w14:paraId="4BBBCC98" w14:textId="77777777" w:rsidTr="0020771F">
        <w:trPr>
          <w:trHeight w:val="300"/>
        </w:trPr>
        <w:tc>
          <w:tcPr>
            <w:tcW w:w="5544" w:type="dxa"/>
            <w:tcBorders>
              <w:top w:val="nil"/>
              <w:left w:val="nil"/>
              <w:bottom w:val="nil"/>
              <w:right w:val="nil"/>
            </w:tcBorders>
            <w:shd w:val="clear" w:color="auto" w:fill="auto"/>
            <w:noWrap/>
            <w:vAlign w:val="bottom"/>
            <w:hideMark/>
          </w:tcPr>
          <w:p w14:paraId="58BEE917"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Not in services in 2010</w:t>
            </w:r>
          </w:p>
        </w:tc>
        <w:tc>
          <w:tcPr>
            <w:tcW w:w="965" w:type="dxa"/>
            <w:tcBorders>
              <w:top w:val="nil"/>
              <w:left w:val="nil"/>
              <w:bottom w:val="nil"/>
              <w:right w:val="nil"/>
            </w:tcBorders>
            <w:shd w:val="clear" w:color="auto" w:fill="auto"/>
            <w:noWrap/>
            <w:vAlign w:val="bottom"/>
            <w:hideMark/>
          </w:tcPr>
          <w:p w14:paraId="2F0104C1"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201,078</w:t>
            </w:r>
          </w:p>
        </w:tc>
        <w:tc>
          <w:tcPr>
            <w:tcW w:w="1329" w:type="dxa"/>
            <w:tcBorders>
              <w:top w:val="nil"/>
              <w:left w:val="nil"/>
              <w:bottom w:val="nil"/>
              <w:right w:val="nil"/>
            </w:tcBorders>
            <w:shd w:val="clear" w:color="auto" w:fill="auto"/>
            <w:noWrap/>
            <w:vAlign w:val="bottom"/>
            <w:hideMark/>
          </w:tcPr>
          <w:p w14:paraId="55201B15"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52.2</w:t>
            </w:r>
          </w:p>
        </w:tc>
      </w:tr>
      <w:tr w:rsidR="00961617" w:rsidRPr="002F5864" w14:paraId="2A051E71" w14:textId="77777777" w:rsidTr="0020771F">
        <w:trPr>
          <w:trHeight w:val="300"/>
        </w:trPr>
        <w:tc>
          <w:tcPr>
            <w:tcW w:w="5544" w:type="dxa"/>
            <w:tcBorders>
              <w:top w:val="nil"/>
              <w:left w:val="nil"/>
              <w:bottom w:val="nil"/>
              <w:right w:val="nil"/>
            </w:tcBorders>
            <w:shd w:val="clear" w:color="auto" w:fill="8EAEDE"/>
            <w:noWrap/>
            <w:vAlign w:val="bottom"/>
            <w:hideMark/>
          </w:tcPr>
          <w:p w14:paraId="7EA4C67F"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Total</w:t>
            </w:r>
          </w:p>
        </w:tc>
        <w:tc>
          <w:tcPr>
            <w:tcW w:w="965" w:type="dxa"/>
            <w:tcBorders>
              <w:top w:val="nil"/>
              <w:left w:val="nil"/>
              <w:bottom w:val="nil"/>
              <w:right w:val="nil"/>
            </w:tcBorders>
            <w:shd w:val="clear" w:color="auto" w:fill="8EAEDE"/>
            <w:noWrap/>
            <w:vAlign w:val="bottom"/>
            <w:hideMark/>
          </w:tcPr>
          <w:p w14:paraId="125FE9D4"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385,164</w:t>
            </w:r>
          </w:p>
        </w:tc>
        <w:tc>
          <w:tcPr>
            <w:tcW w:w="1329" w:type="dxa"/>
            <w:tcBorders>
              <w:top w:val="nil"/>
              <w:left w:val="nil"/>
              <w:bottom w:val="nil"/>
              <w:right w:val="nil"/>
            </w:tcBorders>
            <w:shd w:val="clear" w:color="auto" w:fill="8EAEDE"/>
            <w:noWrap/>
            <w:vAlign w:val="bottom"/>
            <w:hideMark/>
          </w:tcPr>
          <w:p w14:paraId="049A2EE1" w14:textId="77777777" w:rsidR="00961617" w:rsidRPr="002F5864" w:rsidRDefault="00961617" w:rsidP="0020771F">
            <w:pPr>
              <w:spacing w:after="0" w:line="240" w:lineRule="auto"/>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100.0</w:t>
            </w:r>
          </w:p>
        </w:tc>
      </w:tr>
    </w:tbl>
    <w:p w14:paraId="216DB171" w14:textId="77777777" w:rsidR="00961617" w:rsidRPr="002F5864" w:rsidRDefault="00961617" w:rsidP="00E13B5E">
      <w:pPr>
        <w:pStyle w:val="Source"/>
      </w:pPr>
      <w:r w:rsidRPr="002F5864">
        <w:rPr>
          <w:b/>
        </w:rPr>
        <w:t xml:space="preserve">Source: </w:t>
      </w:r>
      <w:r w:rsidR="00E13B5E">
        <w:rPr>
          <w:b/>
        </w:rPr>
        <w:tab/>
      </w:r>
      <w:r w:rsidRPr="002F5864">
        <w:t>Department of Employment administrative data.</w:t>
      </w:r>
    </w:p>
    <w:p w14:paraId="083CEE1B" w14:textId="77777777" w:rsidR="00961617" w:rsidRDefault="00864C5E" w:rsidP="00961617">
      <w:pPr>
        <w:rPr>
          <w:rFonts w:cstheme="minorHAnsi"/>
          <w:sz w:val="18"/>
          <w:szCs w:val="18"/>
        </w:rPr>
      </w:pPr>
      <w:hyperlink w:anchor="Place_A13" w:history="1">
        <w:r w:rsidR="00961617" w:rsidRPr="004A74AA">
          <w:rPr>
            <w:rStyle w:val="Hyperlink"/>
            <w:rFonts w:cstheme="minorHAnsi"/>
            <w:sz w:val="18"/>
            <w:szCs w:val="18"/>
          </w:rPr>
          <w:t>Return to Figure 2.2</w:t>
        </w:r>
      </w:hyperlink>
      <w:r w:rsidR="00961617" w:rsidRPr="002F5864">
        <w:rPr>
          <w:rFonts w:cstheme="minorHAnsi"/>
          <w:sz w:val="18"/>
          <w:szCs w:val="18"/>
        </w:rPr>
        <w:t xml:space="preserve"> where this data is referenced.</w:t>
      </w:r>
    </w:p>
    <w:p w14:paraId="2487422D" w14:textId="77777777" w:rsidR="00961617" w:rsidRDefault="00961617" w:rsidP="00961617">
      <w:r>
        <w:br w:type="page"/>
      </w:r>
    </w:p>
    <w:p w14:paraId="74026CF2" w14:textId="77777777" w:rsidR="00961617" w:rsidRDefault="00961617" w:rsidP="00961617">
      <w:pPr>
        <w:pStyle w:val="TableheadingforappendixA1"/>
        <w:rPr>
          <w:rFonts w:cstheme="minorHAnsi"/>
          <w:noProof/>
        </w:rPr>
      </w:pPr>
      <w:bookmarkStart w:id="601" w:name="_Toc513129892"/>
      <w:r w:rsidRPr="002F5864">
        <w:rPr>
          <w:rFonts w:cstheme="minorHAnsi"/>
        </w:rPr>
        <w:t>Ta</w:t>
      </w:r>
      <w:r>
        <w:rPr>
          <w:rFonts w:cstheme="minorHAnsi"/>
        </w:rPr>
        <w:t>ble A1.4</w:t>
      </w:r>
      <w:r w:rsidRPr="002F5864">
        <w:rPr>
          <w:rFonts w:cstheme="minorHAnsi"/>
          <w:noProof/>
        </w:rPr>
        <w:t>: Profile of job seekers — treatment and comparison group for the Compulsory Activity Phase (CAP) analysis</w:t>
      </w:r>
      <w:bookmarkEnd w:id="601"/>
    </w:p>
    <w:p w14:paraId="1C1A6D63" w14:textId="77777777" w:rsidR="00961617" w:rsidRPr="00BE4344" w:rsidRDefault="00961617" w:rsidP="00E5413A">
      <w:pPr>
        <w:spacing w:before="80" w:after="0"/>
        <w:rPr>
          <w:b/>
          <w:sz w:val="20"/>
          <w:szCs w:val="20"/>
        </w:rPr>
      </w:pPr>
      <w:r w:rsidRPr="00BE4344">
        <w:rPr>
          <w:b/>
          <w:sz w:val="20"/>
          <w:szCs w:val="20"/>
        </w:rPr>
        <w:t xml:space="preserve">Job seeker characteristics </w:t>
      </w:r>
      <w:r w:rsidRPr="00BE4344">
        <w:rPr>
          <w:rFonts w:cstheme="minorHAnsi"/>
          <w:color w:val="000000" w:themeColor="text1"/>
          <w:sz w:val="20"/>
          <w:szCs w:val="20"/>
          <w:vertAlign w:val="superscript"/>
        </w:rPr>
        <w:t>(1)</w:t>
      </w:r>
    </w:p>
    <w:tbl>
      <w:tblPr>
        <w:tblStyle w:val="DEEWRTable"/>
        <w:tblW w:w="9180" w:type="dxa"/>
        <w:tblLook w:val="0420" w:firstRow="1" w:lastRow="0" w:firstColumn="0" w:lastColumn="0" w:noHBand="0" w:noVBand="1"/>
      </w:tblPr>
      <w:tblGrid>
        <w:gridCol w:w="4786"/>
        <w:gridCol w:w="2693"/>
        <w:gridCol w:w="1701"/>
      </w:tblGrid>
      <w:tr w:rsidR="00D20CB6" w:rsidRPr="002F5864" w14:paraId="287CF738" w14:textId="77777777" w:rsidTr="00E5413A">
        <w:trPr>
          <w:cnfStyle w:val="100000000000" w:firstRow="1" w:lastRow="0" w:firstColumn="0" w:lastColumn="0" w:oddVBand="0" w:evenVBand="0" w:oddHBand="0" w:evenHBand="0" w:firstRowFirstColumn="0" w:firstRowLastColumn="0" w:lastRowFirstColumn="0" w:lastRowLastColumn="0"/>
          <w:trHeight w:val="638"/>
        </w:trPr>
        <w:tc>
          <w:tcPr>
            <w:tcW w:w="4786" w:type="dxa"/>
            <w:tcBorders>
              <w:bottom w:val="nil"/>
            </w:tcBorders>
            <w:shd w:val="clear" w:color="auto" w:fill="1E3D6B"/>
          </w:tcPr>
          <w:p w14:paraId="3CE330FA" w14:textId="77777777" w:rsidR="00D20CB6" w:rsidRPr="002F5864" w:rsidRDefault="00D20CB6" w:rsidP="0020771F">
            <w:pPr>
              <w:pStyle w:val="TableBody1"/>
              <w:rPr>
                <w:rFonts w:cstheme="minorHAnsi"/>
              </w:rPr>
            </w:pPr>
            <w:bookmarkStart w:id="602" w:name="Title_A14a"/>
            <w:bookmarkEnd w:id="602"/>
            <w:r w:rsidRPr="002F5864">
              <w:rPr>
                <w:rFonts w:cstheme="minorHAnsi"/>
                <w:color w:val="FFFFFF" w:themeColor="background2"/>
              </w:rPr>
              <w:t>Characteristics</w:t>
            </w:r>
          </w:p>
        </w:tc>
        <w:tc>
          <w:tcPr>
            <w:tcW w:w="2693" w:type="dxa"/>
            <w:tcBorders>
              <w:bottom w:val="nil"/>
            </w:tcBorders>
            <w:shd w:val="clear" w:color="auto" w:fill="1E3D6B"/>
          </w:tcPr>
          <w:p w14:paraId="72DAC1A1" w14:textId="77777777" w:rsidR="00D20CB6" w:rsidRPr="002F5864" w:rsidRDefault="00D20CB6" w:rsidP="0020771F">
            <w:pPr>
              <w:pStyle w:val="TableBoby3"/>
              <w:rPr>
                <w:rFonts w:cstheme="minorHAnsi"/>
              </w:rPr>
            </w:pPr>
            <w:r w:rsidRPr="002F5864">
              <w:rPr>
                <w:rFonts w:cstheme="minorHAnsi"/>
              </w:rPr>
              <w:t>Treatment group</w:t>
            </w:r>
            <w:r>
              <w:rPr>
                <w:rFonts w:cstheme="minorHAnsi"/>
              </w:rPr>
              <w:br/>
            </w:r>
            <w:r w:rsidRPr="002F5864">
              <w:rPr>
                <w:rFonts w:cstheme="minorHAnsi"/>
              </w:rPr>
              <w:t>JSA 2012</w:t>
            </w:r>
            <w:r>
              <w:rPr>
                <w:rFonts w:cstheme="minorHAnsi"/>
              </w:rPr>
              <w:br/>
              <w:t>(</w:t>
            </w:r>
            <w:r w:rsidRPr="002F5864">
              <w:rPr>
                <w:rFonts w:cstheme="minorHAnsi"/>
              </w:rPr>
              <w:t>%</w:t>
            </w:r>
            <w:r>
              <w:rPr>
                <w:rFonts w:cstheme="minorHAnsi"/>
              </w:rPr>
              <w:t>)</w:t>
            </w:r>
          </w:p>
        </w:tc>
        <w:tc>
          <w:tcPr>
            <w:tcW w:w="1701" w:type="dxa"/>
            <w:tcBorders>
              <w:bottom w:val="nil"/>
            </w:tcBorders>
            <w:shd w:val="clear" w:color="auto" w:fill="1E3D6B"/>
          </w:tcPr>
          <w:p w14:paraId="4D434362" w14:textId="77777777" w:rsidR="00D20CB6" w:rsidRPr="002F5864" w:rsidRDefault="00D20CB6" w:rsidP="0020771F">
            <w:pPr>
              <w:pStyle w:val="TableBoby3"/>
              <w:ind w:left="-89" w:right="-139"/>
              <w:rPr>
                <w:rFonts w:cstheme="minorHAnsi"/>
              </w:rPr>
            </w:pPr>
            <w:r w:rsidRPr="002F5864">
              <w:rPr>
                <w:rFonts w:cstheme="minorHAnsi"/>
              </w:rPr>
              <w:t>Comparison group</w:t>
            </w:r>
            <w:r>
              <w:rPr>
                <w:rFonts w:cstheme="minorHAnsi"/>
              </w:rPr>
              <w:br/>
            </w:r>
            <w:r w:rsidRPr="002F5864">
              <w:rPr>
                <w:rFonts w:cstheme="minorHAnsi"/>
              </w:rPr>
              <w:t>JSA 2009</w:t>
            </w:r>
            <w:r>
              <w:rPr>
                <w:rFonts w:cstheme="minorHAnsi"/>
              </w:rPr>
              <w:br/>
              <w:t>(</w:t>
            </w:r>
            <w:r w:rsidRPr="002F5864">
              <w:rPr>
                <w:rFonts w:cstheme="minorHAnsi"/>
              </w:rPr>
              <w:t>%</w:t>
            </w:r>
            <w:r>
              <w:rPr>
                <w:rFonts w:cstheme="minorHAnsi"/>
              </w:rPr>
              <w:t>)</w:t>
            </w:r>
          </w:p>
        </w:tc>
      </w:tr>
      <w:tr w:rsidR="00D20CB6" w:rsidRPr="007843E8" w14:paraId="2A34C221" w14:textId="77777777" w:rsidTr="00E5413A">
        <w:tc>
          <w:tcPr>
            <w:tcW w:w="4786" w:type="dxa"/>
            <w:tcBorders>
              <w:top w:val="nil"/>
            </w:tcBorders>
          </w:tcPr>
          <w:p w14:paraId="5D24F968" w14:textId="77777777" w:rsidR="00D20CB6" w:rsidRPr="007843E8" w:rsidRDefault="00D20CB6" w:rsidP="0020771F">
            <w:pPr>
              <w:pStyle w:val="TableBody1"/>
              <w:rPr>
                <w:rFonts w:cstheme="minorHAnsi"/>
              </w:rPr>
            </w:pPr>
            <w:r w:rsidRPr="007843E8">
              <w:rPr>
                <w:rFonts w:cstheme="minorHAnsi"/>
              </w:rPr>
              <w:t>Female</w:t>
            </w:r>
            <w:r>
              <w:rPr>
                <w:rFonts w:cstheme="minorHAnsi"/>
              </w:rPr>
              <w:t>s</w:t>
            </w:r>
          </w:p>
        </w:tc>
        <w:tc>
          <w:tcPr>
            <w:tcW w:w="2693" w:type="dxa"/>
            <w:tcBorders>
              <w:top w:val="nil"/>
            </w:tcBorders>
          </w:tcPr>
          <w:p w14:paraId="6E80F15B" w14:textId="77777777" w:rsidR="00D20CB6" w:rsidRPr="007843E8" w:rsidRDefault="00D20CB6" w:rsidP="0020771F">
            <w:pPr>
              <w:pStyle w:val="Tablebody2"/>
              <w:ind w:right="842"/>
              <w:rPr>
                <w:rFonts w:cstheme="minorHAnsi"/>
              </w:rPr>
            </w:pPr>
            <w:r w:rsidRPr="007843E8">
              <w:rPr>
                <w:rFonts w:cstheme="minorHAnsi"/>
              </w:rPr>
              <w:t>42.3</w:t>
            </w:r>
          </w:p>
        </w:tc>
        <w:tc>
          <w:tcPr>
            <w:tcW w:w="1701" w:type="dxa"/>
            <w:tcBorders>
              <w:top w:val="nil"/>
            </w:tcBorders>
          </w:tcPr>
          <w:p w14:paraId="63B82372" w14:textId="77777777" w:rsidR="00D20CB6" w:rsidRPr="007843E8" w:rsidRDefault="00D20CB6" w:rsidP="0020771F">
            <w:pPr>
              <w:pStyle w:val="Tablebody2"/>
              <w:ind w:right="488"/>
              <w:rPr>
                <w:rFonts w:cstheme="minorHAnsi"/>
              </w:rPr>
            </w:pPr>
            <w:r w:rsidRPr="007843E8">
              <w:rPr>
                <w:rFonts w:cstheme="minorHAnsi"/>
              </w:rPr>
              <w:t>43.9</w:t>
            </w:r>
          </w:p>
        </w:tc>
      </w:tr>
      <w:tr w:rsidR="00D20CB6" w:rsidRPr="002F5864" w14:paraId="668D2607" w14:textId="77777777" w:rsidTr="00E5413A">
        <w:tc>
          <w:tcPr>
            <w:tcW w:w="4786" w:type="dxa"/>
            <w:shd w:val="clear" w:color="auto" w:fill="E5E5E5" w:themeFill="background1" w:themeFillTint="33"/>
          </w:tcPr>
          <w:p w14:paraId="45082D2D" w14:textId="77777777" w:rsidR="00D20CB6" w:rsidRPr="002F5864" w:rsidRDefault="00D20CB6" w:rsidP="0020771F">
            <w:pPr>
              <w:pStyle w:val="TableBody1"/>
              <w:rPr>
                <w:rFonts w:cstheme="minorHAnsi"/>
              </w:rPr>
            </w:pPr>
            <w:r w:rsidRPr="002F5864">
              <w:rPr>
                <w:rFonts w:cstheme="minorHAnsi"/>
              </w:rPr>
              <w:t>18-29</w:t>
            </w:r>
            <w:r>
              <w:rPr>
                <w:rFonts w:cstheme="minorHAnsi"/>
              </w:rPr>
              <w:t xml:space="preserve"> years</w:t>
            </w:r>
          </w:p>
        </w:tc>
        <w:tc>
          <w:tcPr>
            <w:tcW w:w="2693" w:type="dxa"/>
            <w:shd w:val="clear" w:color="auto" w:fill="E5E5E5" w:themeFill="background1" w:themeFillTint="33"/>
          </w:tcPr>
          <w:p w14:paraId="65B9F23C" w14:textId="77777777" w:rsidR="00D20CB6" w:rsidRPr="002F5864" w:rsidRDefault="00D20CB6" w:rsidP="0020771F">
            <w:pPr>
              <w:pStyle w:val="Tablebody2"/>
              <w:ind w:right="842"/>
              <w:rPr>
                <w:rFonts w:cstheme="minorHAnsi"/>
              </w:rPr>
            </w:pPr>
            <w:r w:rsidRPr="002F5864">
              <w:rPr>
                <w:rFonts w:cstheme="minorHAnsi"/>
              </w:rPr>
              <w:t>37.8</w:t>
            </w:r>
          </w:p>
        </w:tc>
        <w:tc>
          <w:tcPr>
            <w:tcW w:w="1701" w:type="dxa"/>
            <w:shd w:val="clear" w:color="auto" w:fill="E5E5E5" w:themeFill="background1" w:themeFillTint="33"/>
          </w:tcPr>
          <w:p w14:paraId="298ECE4D" w14:textId="77777777" w:rsidR="00D20CB6" w:rsidRPr="002F5864" w:rsidRDefault="00D20CB6" w:rsidP="0020771F">
            <w:pPr>
              <w:pStyle w:val="Tablebody2"/>
              <w:ind w:right="488"/>
              <w:rPr>
                <w:rFonts w:cstheme="minorHAnsi"/>
              </w:rPr>
            </w:pPr>
            <w:r w:rsidRPr="002F5864">
              <w:rPr>
                <w:rFonts w:cstheme="minorHAnsi"/>
              </w:rPr>
              <w:t>23.5</w:t>
            </w:r>
          </w:p>
        </w:tc>
      </w:tr>
      <w:tr w:rsidR="00D20CB6" w:rsidRPr="002F5864" w14:paraId="78051818" w14:textId="77777777" w:rsidTr="00E5413A">
        <w:tc>
          <w:tcPr>
            <w:tcW w:w="4786" w:type="dxa"/>
          </w:tcPr>
          <w:p w14:paraId="4FF8D460" w14:textId="77777777" w:rsidR="00D20CB6" w:rsidRPr="002F5864" w:rsidRDefault="00D20CB6" w:rsidP="0020771F">
            <w:pPr>
              <w:pStyle w:val="TableBody1"/>
              <w:rPr>
                <w:rFonts w:cstheme="minorHAnsi"/>
              </w:rPr>
            </w:pPr>
            <w:r w:rsidRPr="002F5864">
              <w:rPr>
                <w:rFonts w:cstheme="minorHAnsi"/>
              </w:rPr>
              <w:t>30-49</w:t>
            </w:r>
            <w:r>
              <w:rPr>
                <w:rFonts w:cstheme="minorHAnsi"/>
              </w:rPr>
              <w:t xml:space="preserve"> years</w:t>
            </w:r>
          </w:p>
        </w:tc>
        <w:tc>
          <w:tcPr>
            <w:tcW w:w="2693" w:type="dxa"/>
          </w:tcPr>
          <w:p w14:paraId="17F84E0E" w14:textId="77777777" w:rsidR="00D20CB6" w:rsidRPr="002F5864" w:rsidRDefault="00D20CB6" w:rsidP="0020771F">
            <w:pPr>
              <w:pStyle w:val="Tablebody2"/>
              <w:ind w:right="842"/>
              <w:rPr>
                <w:rFonts w:cstheme="minorHAnsi"/>
              </w:rPr>
            </w:pPr>
            <w:r w:rsidRPr="002F5864">
              <w:rPr>
                <w:rFonts w:cstheme="minorHAnsi"/>
              </w:rPr>
              <w:t>62.2</w:t>
            </w:r>
          </w:p>
        </w:tc>
        <w:tc>
          <w:tcPr>
            <w:tcW w:w="1701" w:type="dxa"/>
          </w:tcPr>
          <w:p w14:paraId="2BD72722" w14:textId="77777777" w:rsidR="00D20CB6" w:rsidRPr="002F5864" w:rsidRDefault="00D20CB6" w:rsidP="0020771F">
            <w:pPr>
              <w:pStyle w:val="Tablebody2"/>
              <w:ind w:right="488"/>
              <w:rPr>
                <w:rFonts w:cstheme="minorHAnsi"/>
              </w:rPr>
            </w:pPr>
            <w:r w:rsidRPr="002F5864">
              <w:rPr>
                <w:rFonts w:cstheme="minorHAnsi"/>
              </w:rPr>
              <w:t>76.5</w:t>
            </w:r>
          </w:p>
        </w:tc>
      </w:tr>
      <w:tr w:rsidR="00D20CB6" w:rsidRPr="002F5864" w14:paraId="1BB65944" w14:textId="77777777" w:rsidTr="00E5413A">
        <w:tc>
          <w:tcPr>
            <w:tcW w:w="4786" w:type="dxa"/>
            <w:shd w:val="clear" w:color="auto" w:fill="E5E5E5" w:themeFill="background1" w:themeFillTint="33"/>
          </w:tcPr>
          <w:p w14:paraId="767A3B44"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Less than Year 10</w:t>
            </w:r>
          </w:p>
        </w:tc>
        <w:tc>
          <w:tcPr>
            <w:tcW w:w="2693" w:type="dxa"/>
            <w:shd w:val="clear" w:color="auto" w:fill="E5E5E5" w:themeFill="background1" w:themeFillTint="33"/>
          </w:tcPr>
          <w:p w14:paraId="4A4084EE" w14:textId="77777777" w:rsidR="00D20CB6" w:rsidRPr="002F5864" w:rsidRDefault="00D20CB6" w:rsidP="0020771F">
            <w:pPr>
              <w:pStyle w:val="Tablebody2"/>
              <w:ind w:right="842"/>
              <w:rPr>
                <w:rFonts w:cstheme="minorHAnsi"/>
              </w:rPr>
            </w:pPr>
            <w:r w:rsidRPr="002F5864">
              <w:rPr>
                <w:rFonts w:cstheme="minorHAnsi"/>
              </w:rPr>
              <w:t>18.0</w:t>
            </w:r>
          </w:p>
        </w:tc>
        <w:tc>
          <w:tcPr>
            <w:tcW w:w="1701" w:type="dxa"/>
            <w:shd w:val="clear" w:color="auto" w:fill="E5E5E5" w:themeFill="background1" w:themeFillTint="33"/>
          </w:tcPr>
          <w:p w14:paraId="28388796" w14:textId="77777777" w:rsidR="00D20CB6" w:rsidRPr="002F5864" w:rsidRDefault="00D20CB6" w:rsidP="0020771F">
            <w:pPr>
              <w:pStyle w:val="Tablebody2"/>
              <w:ind w:right="488"/>
              <w:rPr>
                <w:rFonts w:cstheme="minorHAnsi"/>
              </w:rPr>
            </w:pPr>
            <w:r w:rsidRPr="002F5864">
              <w:rPr>
                <w:rFonts w:cstheme="minorHAnsi"/>
              </w:rPr>
              <w:t>21.7</w:t>
            </w:r>
          </w:p>
        </w:tc>
      </w:tr>
      <w:tr w:rsidR="00D20CB6" w:rsidRPr="002F5864" w14:paraId="14CF3135" w14:textId="77777777" w:rsidTr="00E5413A">
        <w:tc>
          <w:tcPr>
            <w:tcW w:w="4786" w:type="dxa"/>
          </w:tcPr>
          <w:p w14:paraId="3D8B3C07"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Completed Year 10/11</w:t>
            </w:r>
          </w:p>
        </w:tc>
        <w:tc>
          <w:tcPr>
            <w:tcW w:w="2693" w:type="dxa"/>
          </w:tcPr>
          <w:p w14:paraId="218AA678" w14:textId="77777777" w:rsidR="00D20CB6" w:rsidRPr="002F5864" w:rsidRDefault="00D20CB6" w:rsidP="0020771F">
            <w:pPr>
              <w:pStyle w:val="Tablebody2"/>
              <w:ind w:right="842"/>
              <w:rPr>
                <w:rFonts w:cstheme="minorHAnsi"/>
              </w:rPr>
            </w:pPr>
            <w:r w:rsidRPr="002F5864">
              <w:rPr>
                <w:rFonts w:cstheme="minorHAnsi"/>
              </w:rPr>
              <w:t>33.4</w:t>
            </w:r>
          </w:p>
        </w:tc>
        <w:tc>
          <w:tcPr>
            <w:tcW w:w="1701" w:type="dxa"/>
          </w:tcPr>
          <w:p w14:paraId="5F211FD6" w14:textId="77777777" w:rsidR="00D20CB6" w:rsidRPr="002F5864" w:rsidRDefault="00D20CB6" w:rsidP="0020771F">
            <w:pPr>
              <w:pStyle w:val="Tablebody2"/>
              <w:ind w:right="488"/>
              <w:rPr>
                <w:rFonts w:cstheme="minorHAnsi"/>
              </w:rPr>
            </w:pPr>
            <w:r w:rsidRPr="002F5864">
              <w:rPr>
                <w:rFonts w:cstheme="minorHAnsi"/>
              </w:rPr>
              <w:t>39.9</w:t>
            </w:r>
          </w:p>
        </w:tc>
      </w:tr>
      <w:tr w:rsidR="00D20CB6" w:rsidRPr="002F5864" w14:paraId="7654BB41" w14:textId="77777777" w:rsidTr="00E5413A">
        <w:tc>
          <w:tcPr>
            <w:tcW w:w="4786" w:type="dxa"/>
            <w:shd w:val="clear" w:color="auto" w:fill="E5E5E5" w:themeFill="background1" w:themeFillTint="33"/>
          </w:tcPr>
          <w:p w14:paraId="6B9F7746"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Completed Year 12</w:t>
            </w:r>
          </w:p>
        </w:tc>
        <w:tc>
          <w:tcPr>
            <w:tcW w:w="2693" w:type="dxa"/>
            <w:shd w:val="clear" w:color="auto" w:fill="E5E5E5" w:themeFill="background1" w:themeFillTint="33"/>
          </w:tcPr>
          <w:p w14:paraId="5FAF9B09" w14:textId="77777777" w:rsidR="00D20CB6" w:rsidRPr="002F5864" w:rsidRDefault="00D20CB6" w:rsidP="0020771F">
            <w:pPr>
              <w:pStyle w:val="Tablebody2"/>
              <w:ind w:right="842"/>
              <w:rPr>
                <w:rFonts w:cstheme="minorHAnsi"/>
              </w:rPr>
            </w:pPr>
            <w:r w:rsidRPr="002F5864">
              <w:rPr>
                <w:rFonts w:cstheme="minorHAnsi"/>
              </w:rPr>
              <w:t>13.1</w:t>
            </w:r>
          </w:p>
        </w:tc>
        <w:tc>
          <w:tcPr>
            <w:tcW w:w="1701" w:type="dxa"/>
            <w:shd w:val="clear" w:color="auto" w:fill="E5E5E5" w:themeFill="background1" w:themeFillTint="33"/>
          </w:tcPr>
          <w:p w14:paraId="6EDB839B" w14:textId="77777777" w:rsidR="00D20CB6" w:rsidRPr="002F5864" w:rsidRDefault="00D20CB6" w:rsidP="0020771F">
            <w:pPr>
              <w:pStyle w:val="Tablebody2"/>
              <w:ind w:right="488"/>
              <w:rPr>
                <w:rFonts w:cstheme="minorHAnsi"/>
              </w:rPr>
            </w:pPr>
            <w:r w:rsidRPr="002F5864">
              <w:rPr>
                <w:rFonts w:cstheme="minorHAnsi"/>
              </w:rPr>
              <w:t>14.4</w:t>
            </w:r>
          </w:p>
        </w:tc>
      </w:tr>
      <w:tr w:rsidR="00D20CB6" w:rsidRPr="002F5864" w14:paraId="5A043D5A" w14:textId="77777777" w:rsidTr="00E5413A">
        <w:tc>
          <w:tcPr>
            <w:tcW w:w="4786" w:type="dxa"/>
          </w:tcPr>
          <w:p w14:paraId="2BA0A6D3"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Non-trade vocational education/diploma equivalent</w:t>
            </w:r>
          </w:p>
        </w:tc>
        <w:tc>
          <w:tcPr>
            <w:tcW w:w="2693" w:type="dxa"/>
          </w:tcPr>
          <w:p w14:paraId="4D2CAA05" w14:textId="77777777" w:rsidR="00D20CB6" w:rsidRPr="002F5864" w:rsidRDefault="00D20CB6" w:rsidP="0020771F">
            <w:pPr>
              <w:pStyle w:val="Tablebody2"/>
              <w:ind w:right="842"/>
              <w:rPr>
                <w:rFonts w:cstheme="minorHAnsi"/>
              </w:rPr>
            </w:pPr>
            <w:r w:rsidRPr="002F5864">
              <w:rPr>
                <w:rFonts w:cstheme="minorHAnsi"/>
              </w:rPr>
              <w:t>25.8</w:t>
            </w:r>
          </w:p>
        </w:tc>
        <w:tc>
          <w:tcPr>
            <w:tcW w:w="1701" w:type="dxa"/>
          </w:tcPr>
          <w:p w14:paraId="45835297" w14:textId="77777777" w:rsidR="00D20CB6" w:rsidRPr="002F5864" w:rsidRDefault="00D20CB6" w:rsidP="0020771F">
            <w:pPr>
              <w:pStyle w:val="Tablebody2"/>
              <w:ind w:right="488"/>
              <w:rPr>
                <w:rFonts w:cstheme="minorHAnsi"/>
              </w:rPr>
            </w:pPr>
            <w:r w:rsidRPr="002F5864">
              <w:rPr>
                <w:rFonts w:cstheme="minorHAnsi"/>
              </w:rPr>
              <w:t>11.8</w:t>
            </w:r>
          </w:p>
        </w:tc>
      </w:tr>
      <w:tr w:rsidR="00D20CB6" w:rsidRPr="002F5864" w14:paraId="6B246FBA" w14:textId="77777777" w:rsidTr="00E5413A">
        <w:tc>
          <w:tcPr>
            <w:tcW w:w="4786" w:type="dxa"/>
            <w:shd w:val="clear" w:color="auto" w:fill="E5E5E5" w:themeFill="background1" w:themeFillTint="33"/>
          </w:tcPr>
          <w:p w14:paraId="6FB27F02"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Trades qualification</w:t>
            </w:r>
          </w:p>
        </w:tc>
        <w:tc>
          <w:tcPr>
            <w:tcW w:w="2693" w:type="dxa"/>
            <w:shd w:val="clear" w:color="auto" w:fill="E5E5E5" w:themeFill="background1" w:themeFillTint="33"/>
          </w:tcPr>
          <w:p w14:paraId="2DBF5D59" w14:textId="77777777" w:rsidR="00D20CB6" w:rsidRPr="002F5864" w:rsidRDefault="00D20CB6" w:rsidP="0020771F">
            <w:pPr>
              <w:pStyle w:val="Tablebody2"/>
              <w:ind w:right="842"/>
              <w:rPr>
                <w:rFonts w:cstheme="minorHAnsi"/>
              </w:rPr>
            </w:pPr>
            <w:r w:rsidRPr="002F5864">
              <w:rPr>
                <w:rFonts w:cstheme="minorHAnsi"/>
              </w:rPr>
              <w:t>4.6</w:t>
            </w:r>
          </w:p>
        </w:tc>
        <w:tc>
          <w:tcPr>
            <w:tcW w:w="1701" w:type="dxa"/>
            <w:shd w:val="clear" w:color="auto" w:fill="E5E5E5" w:themeFill="background1" w:themeFillTint="33"/>
          </w:tcPr>
          <w:p w14:paraId="216CEF48" w14:textId="77777777" w:rsidR="00D20CB6" w:rsidRPr="002F5864" w:rsidRDefault="00D20CB6" w:rsidP="0020771F">
            <w:pPr>
              <w:pStyle w:val="Tablebody2"/>
              <w:ind w:right="488"/>
              <w:rPr>
                <w:rFonts w:cstheme="minorHAnsi"/>
              </w:rPr>
            </w:pPr>
            <w:r w:rsidRPr="002F5864">
              <w:rPr>
                <w:rFonts w:cstheme="minorHAnsi"/>
              </w:rPr>
              <w:t>8.1</w:t>
            </w:r>
          </w:p>
        </w:tc>
      </w:tr>
      <w:tr w:rsidR="00D20CB6" w:rsidRPr="002F5864" w14:paraId="77B1BCD9" w14:textId="77777777" w:rsidTr="00E5413A">
        <w:tc>
          <w:tcPr>
            <w:tcW w:w="4786" w:type="dxa"/>
          </w:tcPr>
          <w:p w14:paraId="6FDF12DA" w14:textId="77777777" w:rsidR="00D20CB6" w:rsidRPr="002F5864" w:rsidRDefault="00D20CB6" w:rsidP="0020771F">
            <w:pPr>
              <w:pStyle w:val="TableBody1"/>
              <w:rPr>
                <w:rFonts w:cstheme="minorHAnsi"/>
              </w:rPr>
            </w:pPr>
            <w:r w:rsidRPr="007843E8">
              <w:rPr>
                <w:rFonts w:cstheme="minorHAnsi"/>
              </w:rPr>
              <w:t>Highest educational attainment:</w:t>
            </w:r>
            <w:r w:rsidRPr="002F5864">
              <w:rPr>
                <w:rFonts w:cstheme="minorHAnsi"/>
              </w:rPr>
              <w:t xml:space="preserve"> Tertiary qualification</w:t>
            </w:r>
          </w:p>
        </w:tc>
        <w:tc>
          <w:tcPr>
            <w:tcW w:w="2693" w:type="dxa"/>
          </w:tcPr>
          <w:p w14:paraId="5BE31EC5" w14:textId="77777777" w:rsidR="00D20CB6" w:rsidRPr="002F5864" w:rsidRDefault="00D20CB6" w:rsidP="0020771F">
            <w:pPr>
              <w:pStyle w:val="Tablebody2"/>
              <w:ind w:right="842"/>
              <w:rPr>
                <w:rFonts w:cstheme="minorHAnsi"/>
              </w:rPr>
            </w:pPr>
            <w:r w:rsidRPr="002F5864">
              <w:rPr>
                <w:rFonts w:cstheme="minorHAnsi"/>
              </w:rPr>
              <w:t>5.2</w:t>
            </w:r>
          </w:p>
        </w:tc>
        <w:tc>
          <w:tcPr>
            <w:tcW w:w="1701" w:type="dxa"/>
          </w:tcPr>
          <w:p w14:paraId="332042DC" w14:textId="77777777" w:rsidR="00D20CB6" w:rsidRPr="002F5864" w:rsidRDefault="00D20CB6" w:rsidP="0020771F">
            <w:pPr>
              <w:pStyle w:val="Tablebody2"/>
              <w:ind w:right="488"/>
              <w:rPr>
                <w:rFonts w:cstheme="minorHAnsi"/>
              </w:rPr>
            </w:pPr>
            <w:r w:rsidRPr="002F5864">
              <w:rPr>
                <w:rFonts w:cstheme="minorHAnsi"/>
              </w:rPr>
              <w:t>4.2</w:t>
            </w:r>
          </w:p>
        </w:tc>
      </w:tr>
      <w:tr w:rsidR="00D20CB6" w:rsidRPr="002F5864" w14:paraId="4A98FD3A" w14:textId="77777777" w:rsidTr="00E5413A">
        <w:tc>
          <w:tcPr>
            <w:tcW w:w="4786" w:type="dxa"/>
            <w:shd w:val="clear" w:color="auto" w:fill="E5E5E5" w:themeFill="background1" w:themeFillTint="33"/>
          </w:tcPr>
          <w:p w14:paraId="78A6C33F" w14:textId="77777777" w:rsidR="00D20CB6" w:rsidRPr="002F5864" w:rsidRDefault="00D20CB6" w:rsidP="0020771F">
            <w:pPr>
              <w:pStyle w:val="TableBody1"/>
              <w:rPr>
                <w:rFonts w:cstheme="minorHAnsi"/>
              </w:rPr>
            </w:pPr>
            <w:r w:rsidRPr="007843E8">
              <w:rPr>
                <w:rFonts w:cstheme="minorHAnsi"/>
              </w:rPr>
              <w:t xml:space="preserve">Type of income support: </w:t>
            </w:r>
            <w:r w:rsidRPr="002F5864">
              <w:rPr>
                <w:rFonts w:cstheme="minorHAnsi"/>
              </w:rPr>
              <w:t>Newstart Allowance</w:t>
            </w:r>
          </w:p>
        </w:tc>
        <w:tc>
          <w:tcPr>
            <w:tcW w:w="2693" w:type="dxa"/>
            <w:shd w:val="clear" w:color="auto" w:fill="E5E5E5" w:themeFill="background1" w:themeFillTint="33"/>
          </w:tcPr>
          <w:p w14:paraId="309D2FD0" w14:textId="77777777" w:rsidR="00D20CB6" w:rsidRPr="002F5864" w:rsidRDefault="00D20CB6" w:rsidP="0020771F">
            <w:pPr>
              <w:pStyle w:val="Tablebody2"/>
              <w:ind w:right="842"/>
              <w:rPr>
                <w:rFonts w:cstheme="minorHAnsi"/>
              </w:rPr>
            </w:pPr>
            <w:r w:rsidRPr="002F5864">
              <w:rPr>
                <w:rFonts w:cstheme="minorHAnsi"/>
              </w:rPr>
              <w:t>85.6</w:t>
            </w:r>
          </w:p>
        </w:tc>
        <w:tc>
          <w:tcPr>
            <w:tcW w:w="1701" w:type="dxa"/>
            <w:shd w:val="clear" w:color="auto" w:fill="E5E5E5" w:themeFill="background1" w:themeFillTint="33"/>
          </w:tcPr>
          <w:p w14:paraId="19401602" w14:textId="77777777" w:rsidR="00D20CB6" w:rsidRPr="002F5864" w:rsidRDefault="00D20CB6" w:rsidP="0020771F">
            <w:pPr>
              <w:pStyle w:val="Tablebody2"/>
              <w:ind w:right="488"/>
              <w:rPr>
                <w:rFonts w:cstheme="minorHAnsi"/>
              </w:rPr>
            </w:pPr>
            <w:r w:rsidRPr="002F5864">
              <w:rPr>
                <w:rFonts w:cstheme="minorHAnsi"/>
              </w:rPr>
              <w:t>84.6</w:t>
            </w:r>
          </w:p>
        </w:tc>
      </w:tr>
      <w:tr w:rsidR="00D20CB6" w:rsidRPr="002F5864" w14:paraId="7FD7D36D" w14:textId="77777777" w:rsidTr="00E5413A">
        <w:tc>
          <w:tcPr>
            <w:tcW w:w="4786" w:type="dxa"/>
          </w:tcPr>
          <w:p w14:paraId="6A37843E" w14:textId="77777777" w:rsidR="00D20CB6" w:rsidRPr="002F5864" w:rsidRDefault="00D20CB6" w:rsidP="0020771F">
            <w:pPr>
              <w:pStyle w:val="TableBody1"/>
              <w:rPr>
                <w:rFonts w:cstheme="minorHAnsi"/>
              </w:rPr>
            </w:pPr>
            <w:r w:rsidRPr="007843E8">
              <w:rPr>
                <w:rFonts w:cstheme="minorHAnsi"/>
              </w:rPr>
              <w:t xml:space="preserve">Type of income support: </w:t>
            </w:r>
            <w:r w:rsidRPr="002F5864">
              <w:rPr>
                <w:rFonts w:cstheme="minorHAnsi"/>
              </w:rPr>
              <w:t>Youth Allowance (other)</w:t>
            </w:r>
          </w:p>
        </w:tc>
        <w:tc>
          <w:tcPr>
            <w:tcW w:w="2693" w:type="dxa"/>
          </w:tcPr>
          <w:p w14:paraId="6ED9271F" w14:textId="77777777" w:rsidR="00D20CB6" w:rsidRPr="002F5864" w:rsidRDefault="00D20CB6" w:rsidP="0020771F">
            <w:pPr>
              <w:pStyle w:val="Tablebody2"/>
              <w:ind w:right="842"/>
              <w:rPr>
                <w:rFonts w:cstheme="minorHAnsi"/>
              </w:rPr>
            </w:pPr>
            <w:r w:rsidRPr="002F5864">
              <w:rPr>
                <w:rFonts w:cstheme="minorHAnsi"/>
              </w:rPr>
              <w:t>13.8</w:t>
            </w:r>
          </w:p>
        </w:tc>
        <w:tc>
          <w:tcPr>
            <w:tcW w:w="1701" w:type="dxa"/>
          </w:tcPr>
          <w:p w14:paraId="1BBEBFFB" w14:textId="77777777" w:rsidR="00D20CB6" w:rsidRPr="002F5864" w:rsidRDefault="00D20CB6" w:rsidP="0020771F">
            <w:pPr>
              <w:pStyle w:val="Tablebody2"/>
              <w:ind w:right="488"/>
              <w:rPr>
                <w:rFonts w:cstheme="minorHAnsi"/>
              </w:rPr>
            </w:pPr>
            <w:r w:rsidRPr="002F5864">
              <w:rPr>
                <w:rFonts w:cstheme="minorHAnsi"/>
              </w:rPr>
              <w:t>4.0</w:t>
            </w:r>
          </w:p>
        </w:tc>
      </w:tr>
      <w:tr w:rsidR="00D20CB6" w:rsidRPr="002F5864" w14:paraId="4148830E" w14:textId="77777777" w:rsidTr="00E5413A">
        <w:tc>
          <w:tcPr>
            <w:tcW w:w="4786" w:type="dxa"/>
            <w:shd w:val="clear" w:color="auto" w:fill="E5E5E5" w:themeFill="background1" w:themeFillTint="33"/>
          </w:tcPr>
          <w:p w14:paraId="15D6F53C" w14:textId="77777777" w:rsidR="00D20CB6" w:rsidRPr="002F5864" w:rsidRDefault="00D20CB6" w:rsidP="0020771F">
            <w:pPr>
              <w:pStyle w:val="TableBody1"/>
              <w:rPr>
                <w:rFonts w:cstheme="minorHAnsi"/>
              </w:rPr>
            </w:pPr>
            <w:r w:rsidRPr="007843E8">
              <w:rPr>
                <w:rFonts w:cstheme="minorHAnsi"/>
              </w:rPr>
              <w:t xml:space="preserve">Type of income support: </w:t>
            </w:r>
            <w:r w:rsidRPr="002F5864">
              <w:rPr>
                <w:rFonts w:cstheme="minorHAnsi"/>
              </w:rPr>
              <w:t>Parenting payment</w:t>
            </w:r>
          </w:p>
        </w:tc>
        <w:tc>
          <w:tcPr>
            <w:tcW w:w="2693" w:type="dxa"/>
            <w:shd w:val="clear" w:color="auto" w:fill="E5E5E5" w:themeFill="background1" w:themeFillTint="33"/>
          </w:tcPr>
          <w:p w14:paraId="728AC35A" w14:textId="77777777" w:rsidR="00D20CB6" w:rsidRPr="002F5864" w:rsidRDefault="00D20CB6" w:rsidP="0020771F">
            <w:pPr>
              <w:pStyle w:val="Tablebody2"/>
              <w:ind w:right="842"/>
              <w:rPr>
                <w:rFonts w:cstheme="minorHAnsi"/>
              </w:rPr>
            </w:pPr>
            <w:r w:rsidRPr="002F5864">
              <w:rPr>
                <w:rFonts w:cstheme="minorHAnsi"/>
              </w:rPr>
              <w:t>0.6</w:t>
            </w:r>
          </w:p>
        </w:tc>
        <w:tc>
          <w:tcPr>
            <w:tcW w:w="1701" w:type="dxa"/>
            <w:shd w:val="clear" w:color="auto" w:fill="E5E5E5" w:themeFill="background1" w:themeFillTint="33"/>
          </w:tcPr>
          <w:p w14:paraId="50755B9D" w14:textId="77777777" w:rsidR="00D20CB6" w:rsidRPr="002F5864" w:rsidRDefault="00D20CB6" w:rsidP="0020771F">
            <w:pPr>
              <w:pStyle w:val="Tablebody2"/>
              <w:ind w:right="488"/>
              <w:rPr>
                <w:rFonts w:cstheme="minorHAnsi"/>
              </w:rPr>
            </w:pPr>
            <w:r w:rsidRPr="002F5864">
              <w:rPr>
                <w:rFonts w:cstheme="minorHAnsi"/>
              </w:rPr>
              <w:t>11.4</w:t>
            </w:r>
          </w:p>
        </w:tc>
      </w:tr>
      <w:tr w:rsidR="00D20CB6" w:rsidRPr="007843E8" w14:paraId="1E52230A" w14:textId="77777777" w:rsidTr="00E5413A">
        <w:tc>
          <w:tcPr>
            <w:tcW w:w="4786" w:type="dxa"/>
          </w:tcPr>
          <w:p w14:paraId="15D894F1" w14:textId="77777777" w:rsidR="00D20CB6" w:rsidRPr="007843E8" w:rsidRDefault="00D20CB6" w:rsidP="0020771F">
            <w:pPr>
              <w:pStyle w:val="TableBody1"/>
              <w:rPr>
                <w:rFonts w:cstheme="minorHAnsi"/>
              </w:rPr>
            </w:pPr>
            <w:r w:rsidRPr="007843E8">
              <w:rPr>
                <w:rFonts w:cstheme="minorHAnsi"/>
              </w:rPr>
              <w:t>Indigenous</w:t>
            </w:r>
          </w:p>
        </w:tc>
        <w:tc>
          <w:tcPr>
            <w:tcW w:w="2693" w:type="dxa"/>
          </w:tcPr>
          <w:p w14:paraId="30D6A7C3" w14:textId="77777777" w:rsidR="00D20CB6" w:rsidRPr="007843E8" w:rsidRDefault="00D20CB6" w:rsidP="0020771F">
            <w:pPr>
              <w:pStyle w:val="Tablebody2"/>
              <w:ind w:right="842"/>
              <w:rPr>
                <w:rFonts w:cstheme="minorHAnsi"/>
              </w:rPr>
            </w:pPr>
            <w:r w:rsidRPr="007843E8">
              <w:rPr>
                <w:rFonts w:cstheme="minorHAnsi"/>
              </w:rPr>
              <w:t>14.1</w:t>
            </w:r>
          </w:p>
        </w:tc>
        <w:tc>
          <w:tcPr>
            <w:tcW w:w="1701" w:type="dxa"/>
          </w:tcPr>
          <w:p w14:paraId="35EE9EE2" w14:textId="77777777" w:rsidR="00D20CB6" w:rsidRPr="007843E8" w:rsidRDefault="00D20CB6" w:rsidP="0020771F">
            <w:pPr>
              <w:pStyle w:val="Tablebody2"/>
              <w:ind w:right="488"/>
              <w:rPr>
                <w:rFonts w:cstheme="minorHAnsi"/>
              </w:rPr>
            </w:pPr>
            <w:r w:rsidRPr="007843E8">
              <w:rPr>
                <w:rFonts w:cstheme="minorHAnsi"/>
              </w:rPr>
              <w:t>26.1</w:t>
            </w:r>
          </w:p>
        </w:tc>
      </w:tr>
      <w:tr w:rsidR="00D20CB6" w:rsidRPr="007843E8" w14:paraId="7CC3EC8A" w14:textId="77777777" w:rsidTr="00E5413A">
        <w:tc>
          <w:tcPr>
            <w:tcW w:w="4786" w:type="dxa"/>
            <w:shd w:val="clear" w:color="auto" w:fill="E5E5E5" w:themeFill="background1" w:themeFillTint="33"/>
          </w:tcPr>
          <w:p w14:paraId="5016EF6E" w14:textId="77777777" w:rsidR="00D20CB6" w:rsidRPr="007843E8" w:rsidRDefault="00D20CB6" w:rsidP="0020771F">
            <w:pPr>
              <w:pStyle w:val="TableBody1"/>
              <w:rPr>
                <w:rFonts w:cstheme="minorHAnsi"/>
              </w:rPr>
            </w:pPr>
            <w:r w:rsidRPr="007843E8">
              <w:rPr>
                <w:rFonts w:cstheme="minorHAnsi"/>
              </w:rPr>
              <w:t>Non-English speaking country of birth</w:t>
            </w:r>
          </w:p>
        </w:tc>
        <w:tc>
          <w:tcPr>
            <w:tcW w:w="2693" w:type="dxa"/>
            <w:shd w:val="clear" w:color="auto" w:fill="E5E5E5" w:themeFill="background1" w:themeFillTint="33"/>
          </w:tcPr>
          <w:p w14:paraId="1AEC1CAA" w14:textId="77777777" w:rsidR="00D20CB6" w:rsidRPr="007843E8" w:rsidRDefault="00D20CB6" w:rsidP="0020771F">
            <w:pPr>
              <w:pStyle w:val="Tablebody2"/>
              <w:ind w:right="842"/>
              <w:rPr>
                <w:rFonts w:cstheme="minorHAnsi"/>
              </w:rPr>
            </w:pPr>
            <w:r w:rsidRPr="007843E8">
              <w:rPr>
                <w:rFonts w:cstheme="minorHAnsi"/>
              </w:rPr>
              <w:t>17.0</w:t>
            </w:r>
          </w:p>
        </w:tc>
        <w:tc>
          <w:tcPr>
            <w:tcW w:w="1701" w:type="dxa"/>
            <w:shd w:val="clear" w:color="auto" w:fill="E5E5E5" w:themeFill="background1" w:themeFillTint="33"/>
          </w:tcPr>
          <w:p w14:paraId="6F146718" w14:textId="77777777" w:rsidR="00D20CB6" w:rsidRPr="007843E8" w:rsidRDefault="00D20CB6" w:rsidP="0020771F">
            <w:pPr>
              <w:pStyle w:val="Tablebody2"/>
              <w:ind w:right="488"/>
              <w:rPr>
                <w:rFonts w:cstheme="minorHAnsi"/>
              </w:rPr>
            </w:pPr>
            <w:r w:rsidRPr="007843E8">
              <w:rPr>
                <w:rFonts w:cstheme="minorHAnsi"/>
              </w:rPr>
              <w:t>10.7</w:t>
            </w:r>
          </w:p>
        </w:tc>
      </w:tr>
      <w:tr w:rsidR="00D20CB6" w:rsidRPr="007843E8" w14:paraId="4AFBB556" w14:textId="77777777" w:rsidTr="00E5413A">
        <w:tc>
          <w:tcPr>
            <w:tcW w:w="4786" w:type="dxa"/>
          </w:tcPr>
          <w:p w14:paraId="03566ED6" w14:textId="77777777" w:rsidR="00D20CB6" w:rsidRPr="007843E8" w:rsidRDefault="00D20CB6" w:rsidP="0020771F">
            <w:pPr>
              <w:pStyle w:val="TableBody1"/>
              <w:rPr>
                <w:rFonts w:cstheme="minorHAnsi"/>
              </w:rPr>
            </w:pPr>
            <w:r w:rsidRPr="007843E8">
              <w:rPr>
                <w:rFonts w:cstheme="minorHAnsi"/>
              </w:rPr>
              <w:t>Ex-offenders</w:t>
            </w:r>
          </w:p>
        </w:tc>
        <w:tc>
          <w:tcPr>
            <w:tcW w:w="2693" w:type="dxa"/>
          </w:tcPr>
          <w:p w14:paraId="25E6AF3B" w14:textId="77777777" w:rsidR="00D20CB6" w:rsidRPr="007843E8" w:rsidRDefault="00D20CB6" w:rsidP="0020771F">
            <w:pPr>
              <w:pStyle w:val="Tablebody2"/>
              <w:ind w:right="842"/>
              <w:rPr>
                <w:rFonts w:cstheme="minorHAnsi"/>
              </w:rPr>
            </w:pPr>
            <w:r w:rsidRPr="007843E8">
              <w:rPr>
                <w:rFonts w:cstheme="minorHAnsi"/>
              </w:rPr>
              <w:t>17.1</w:t>
            </w:r>
          </w:p>
        </w:tc>
        <w:tc>
          <w:tcPr>
            <w:tcW w:w="1701" w:type="dxa"/>
          </w:tcPr>
          <w:p w14:paraId="1DDD39B6" w14:textId="77777777" w:rsidR="00D20CB6" w:rsidRPr="007843E8" w:rsidRDefault="00D20CB6" w:rsidP="0020771F">
            <w:pPr>
              <w:pStyle w:val="Tablebody2"/>
              <w:ind w:right="488"/>
              <w:rPr>
                <w:rFonts w:cstheme="minorHAnsi"/>
              </w:rPr>
            </w:pPr>
            <w:r w:rsidRPr="007843E8">
              <w:rPr>
                <w:rFonts w:cstheme="minorHAnsi"/>
              </w:rPr>
              <w:t>13.5</w:t>
            </w:r>
          </w:p>
        </w:tc>
      </w:tr>
      <w:tr w:rsidR="00D20CB6" w:rsidRPr="007843E8" w14:paraId="4E98B800" w14:textId="77777777" w:rsidTr="00E5413A">
        <w:tc>
          <w:tcPr>
            <w:tcW w:w="4786" w:type="dxa"/>
            <w:shd w:val="clear" w:color="auto" w:fill="E5E5E5" w:themeFill="background1" w:themeFillTint="33"/>
          </w:tcPr>
          <w:p w14:paraId="35688341" w14:textId="77777777" w:rsidR="00D20CB6" w:rsidRPr="007843E8" w:rsidRDefault="00D20CB6" w:rsidP="0020771F">
            <w:pPr>
              <w:pStyle w:val="TableBody1"/>
              <w:rPr>
                <w:rFonts w:cstheme="minorHAnsi"/>
              </w:rPr>
            </w:pPr>
            <w:r w:rsidRPr="007843E8">
              <w:rPr>
                <w:rFonts w:cstheme="minorHAnsi"/>
              </w:rPr>
              <w:t>Reported to have a disability or medical condition</w:t>
            </w:r>
          </w:p>
        </w:tc>
        <w:tc>
          <w:tcPr>
            <w:tcW w:w="2693" w:type="dxa"/>
            <w:shd w:val="clear" w:color="auto" w:fill="E5E5E5" w:themeFill="background1" w:themeFillTint="33"/>
          </w:tcPr>
          <w:p w14:paraId="05801462" w14:textId="77777777" w:rsidR="00D20CB6" w:rsidRPr="007843E8" w:rsidRDefault="00D20CB6" w:rsidP="0020771F">
            <w:pPr>
              <w:pStyle w:val="Tablebody2"/>
              <w:ind w:right="842"/>
              <w:rPr>
                <w:rFonts w:cstheme="minorHAnsi"/>
              </w:rPr>
            </w:pPr>
            <w:r w:rsidRPr="007843E8">
              <w:rPr>
                <w:rFonts w:cstheme="minorHAnsi"/>
              </w:rPr>
              <w:t>29.2</w:t>
            </w:r>
          </w:p>
        </w:tc>
        <w:tc>
          <w:tcPr>
            <w:tcW w:w="1701" w:type="dxa"/>
            <w:shd w:val="clear" w:color="auto" w:fill="E5E5E5" w:themeFill="background1" w:themeFillTint="33"/>
          </w:tcPr>
          <w:p w14:paraId="1D9A96D2" w14:textId="77777777" w:rsidR="00D20CB6" w:rsidRPr="007843E8" w:rsidRDefault="00D20CB6" w:rsidP="0020771F">
            <w:pPr>
              <w:pStyle w:val="Tablebody2"/>
              <w:ind w:right="488"/>
              <w:rPr>
                <w:rFonts w:cstheme="minorHAnsi"/>
              </w:rPr>
            </w:pPr>
            <w:r w:rsidRPr="007843E8">
              <w:rPr>
                <w:rFonts w:cstheme="minorHAnsi"/>
              </w:rPr>
              <w:t>11.9</w:t>
            </w:r>
          </w:p>
        </w:tc>
      </w:tr>
      <w:tr w:rsidR="00D20CB6" w:rsidRPr="007843E8" w14:paraId="1D249BD3" w14:textId="77777777" w:rsidTr="00E5413A">
        <w:tc>
          <w:tcPr>
            <w:tcW w:w="4786" w:type="dxa"/>
          </w:tcPr>
          <w:p w14:paraId="53D7BD4D" w14:textId="77777777" w:rsidR="00D20CB6" w:rsidRPr="007843E8" w:rsidRDefault="00D20CB6" w:rsidP="0020771F">
            <w:pPr>
              <w:pStyle w:val="TableBody1"/>
              <w:rPr>
                <w:rFonts w:cstheme="minorHAnsi"/>
              </w:rPr>
            </w:pPr>
            <w:r w:rsidRPr="007843E8">
              <w:rPr>
                <w:rFonts w:cstheme="minorHAnsi"/>
              </w:rPr>
              <w:t>Required at least one component of workplace support</w:t>
            </w:r>
          </w:p>
        </w:tc>
        <w:tc>
          <w:tcPr>
            <w:tcW w:w="2693" w:type="dxa"/>
          </w:tcPr>
          <w:p w14:paraId="168622FE" w14:textId="77777777" w:rsidR="00D20CB6" w:rsidRPr="007843E8" w:rsidRDefault="00D20CB6" w:rsidP="0020771F">
            <w:pPr>
              <w:pStyle w:val="Tablebody2"/>
              <w:ind w:right="842"/>
              <w:rPr>
                <w:rFonts w:cstheme="minorHAnsi"/>
              </w:rPr>
            </w:pPr>
            <w:r w:rsidRPr="007843E8">
              <w:rPr>
                <w:rFonts w:cstheme="minorHAnsi"/>
              </w:rPr>
              <w:t>9.6</w:t>
            </w:r>
          </w:p>
        </w:tc>
        <w:tc>
          <w:tcPr>
            <w:tcW w:w="1701" w:type="dxa"/>
          </w:tcPr>
          <w:p w14:paraId="32F932F4" w14:textId="77777777" w:rsidR="00D20CB6" w:rsidRPr="007843E8" w:rsidRDefault="00D20CB6" w:rsidP="0020771F">
            <w:pPr>
              <w:pStyle w:val="Tablebody2"/>
              <w:ind w:right="488"/>
              <w:rPr>
                <w:rFonts w:cstheme="minorHAnsi"/>
              </w:rPr>
            </w:pPr>
            <w:r w:rsidRPr="007843E8">
              <w:rPr>
                <w:rFonts w:cstheme="minorHAnsi"/>
              </w:rPr>
              <w:t>7.5</w:t>
            </w:r>
          </w:p>
        </w:tc>
      </w:tr>
      <w:tr w:rsidR="00D20CB6" w:rsidRPr="007843E8" w14:paraId="01617648" w14:textId="77777777" w:rsidTr="00E5413A">
        <w:tc>
          <w:tcPr>
            <w:tcW w:w="4786" w:type="dxa"/>
            <w:shd w:val="clear" w:color="auto" w:fill="E5E5E5" w:themeFill="background1" w:themeFillTint="33"/>
          </w:tcPr>
          <w:p w14:paraId="207AB7AF" w14:textId="77777777" w:rsidR="00D20CB6" w:rsidRPr="007843E8" w:rsidRDefault="00D20CB6" w:rsidP="0020771F">
            <w:pPr>
              <w:pStyle w:val="TableBody1"/>
              <w:rPr>
                <w:rFonts w:cstheme="minorHAnsi"/>
              </w:rPr>
            </w:pPr>
            <w:r w:rsidRPr="007843E8">
              <w:rPr>
                <w:rFonts w:cstheme="minorHAnsi"/>
              </w:rPr>
              <w:t>Previous work experience: worked in the last 2 years</w:t>
            </w:r>
          </w:p>
        </w:tc>
        <w:tc>
          <w:tcPr>
            <w:tcW w:w="2693" w:type="dxa"/>
            <w:shd w:val="clear" w:color="auto" w:fill="E5E5E5" w:themeFill="background1" w:themeFillTint="33"/>
          </w:tcPr>
          <w:p w14:paraId="1EE579BC" w14:textId="77777777" w:rsidR="00D20CB6" w:rsidRPr="007843E8" w:rsidRDefault="00D20CB6" w:rsidP="0020771F">
            <w:pPr>
              <w:pStyle w:val="Tablebody2"/>
              <w:ind w:right="842"/>
              <w:rPr>
                <w:rFonts w:cstheme="minorHAnsi"/>
              </w:rPr>
            </w:pPr>
            <w:r w:rsidRPr="007843E8">
              <w:rPr>
                <w:rFonts w:cstheme="minorHAnsi"/>
              </w:rPr>
              <w:t>26.2</w:t>
            </w:r>
          </w:p>
        </w:tc>
        <w:tc>
          <w:tcPr>
            <w:tcW w:w="1701" w:type="dxa"/>
            <w:shd w:val="clear" w:color="auto" w:fill="E5E5E5" w:themeFill="background1" w:themeFillTint="33"/>
          </w:tcPr>
          <w:p w14:paraId="647BEDDF" w14:textId="77777777" w:rsidR="00D20CB6" w:rsidRPr="007843E8" w:rsidRDefault="00D20CB6" w:rsidP="0020771F">
            <w:pPr>
              <w:pStyle w:val="Tablebody2"/>
              <w:ind w:right="488"/>
              <w:rPr>
                <w:rFonts w:cstheme="minorHAnsi"/>
              </w:rPr>
            </w:pPr>
            <w:r w:rsidRPr="007843E8">
              <w:rPr>
                <w:rFonts w:cstheme="minorHAnsi"/>
              </w:rPr>
              <w:t>26.6</w:t>
            </w:r>
          </w:p>
        </w:tc>
      </w:tr>
      <w:tr w:rsidR="00D20CB6" w:rsidRPr="006A39ED" w14:paraId="7860221D" w14:textId="77777777" w:rsidTr="00E5413A">
        <w:tc>
          <w:tcPr>
            <w:tcW w:w="4786" w:type="dxa"/>
          </w:tcPr>
          <w:p w14:paraId="13035BB6" w14:textId="77777777" w:rsidR="00D20CB6" w:rsidRPr="006A39ED" w:rsidRDefault="00D20CB6" w:rsidP="0020771F">
            <w:pPr>
              <w:pStyle w:val="TableBody1"/>
              <w:rPr>
                <w:rFonts w:cstheme="minorHAnsi"/>
              </w:rPr>
            </w:pPr>
            <w:r w:rsidRPr="006A39ED">
              <w:rPr>
                <w:rFonts w:cstheme="minorHAnsi"/>
              </w:rPr>
              <w:t>Resides in metropolitan or inner regional area</w:t>
            </w:r>
          </w:p>
        </w:tc>
        <w:tc>
          <w:tcPr>
            <w:tcW w:w="2693" w:type="dxa"/>
          </w:tcPr>
          <w:p w14:paraId="02E20766" w14:textId="77777777" w:rsidR="00D20CB6" w:rsidRPr="006A39ED" w:rsidRDefault="00D20CB6" w:rsidP="0020771F">
            <w:pPr>
              <w:pStyle w:val="Tablebody2"/>
              <w:ind w:right="842"/>
              <w:rPr>
                <w:rFonts w:cstheme="minorHAnsi"/>
              </w:rPr>
            </w:pPr>
            <w:r w:rsidRPr="006A39ED">
              <w:rPr>
                <w:rFonts w:cstheme="minorHAnsi"/>
              </w:rPr>
              <w:t>80.3</w:t>
            </w:r>
          </w:p>
        </w:tc>
        <w:tc>
          <w:tcPr>
            <w:tcW w:w="1701" w:type="dxa"/>
          </w:tcPr>
          <w:p w14:paraId="34428E76" w14:textId="77777777" w:rsidR="00D20CB6" w:rsidRPr="006A39ED" w:rsidRDefault="00D20CB6" w:rsidP="0020771F">
            <w:pPr>
              <w:pStyle w:val="Tablebody2"/>
              <w:ind w:right="488"/>
              <w:rPr>
                <w:rFonts w:cstheme="minorHAnsi"/>
              </w:rPr>
            </w:pPr>
            <w:r w:rsidRPr="006A39ED">
              <w:rPr>
                <w:rFonts w:cstheme="minorHAnsi"/>
              </w:rPr>
              <w:t>61.4</w:t>
            </w:r>
          </w:p>
        </w:tc>
      </w:tr>
      <w:tr w:rsidR="00D20CB6" w:rsidRPr="002F5864" w14:paraId="03CC47D9" w14:textId="77777777" w:rsidTr="00E5413A">
        <w:tc>
          <w:tcPr>
            <w:tcW w:w="4786" w:type="dxa"/>
            <w:shd w:val="clear" w:color="auto" w:fill="E5E5E5" w:themeFill="background1" w:themeFillTint="33"/>
          </w:tcPr>
          <w:p w14:paraId="1B09B88C" w14:textId="77777777" w:rsidR="00D20CB6" w:rsidRPr="002F5864" w:rsidRDefault="00D20CB6" w:rsidP="0020771F">
            <w:pPr>
              <w:pStyle w:val="TableBody1"/>
              <w:rPr>
                <w:rFonts w:cstheme="minorHAnsi"/>
              </w:rPr>
            </w:pPr>
            <w:r w:rsidRPr="002F5864">
              <w:rPr>
                <w:rFonts w:cstheme="minorHAnsi"/>
              </w:rPr>
              <w:t xml:space="preserve">No </w:t>
            </w:r>
            <w:r w:rsidRPr="007843E8">
              <w:rPr>
                <w:rFonts w:cstheme="minorHAnsi"/>
              </w:rPr>
              <w:t xml:space="preserve">access to </w:t>
            </w:r>
            <w:r w:rsidRPr="002F5864">
              <w:rPr>
                <w:rFonts w:cstheme="minorHAnsi"/>
              </w:rPr>
              <w:t>transport</w:t>
            </w:r>
          </w:p>
        </w:tc>
        <w:tc>
          <w:tcPr>
            <w:tcW w:w="2693" w:type="dxa"/>
            <w:shd w:val="clear" w:color="auto" w:fill="E5E5E5" w:themeFill="background1" w:themeFillTint="33"/>
          </w:tcPr>
          <w:p w14:paraId="5EF9946C" w14:textId="77777777" w:rsidR="00D20CB6" w:rsidRPr="002F5864" w:rsidRDefault="00D20CB6" w:rsidP="0020771F">
            <w:pPr>
              <w:pStyle w:val="Tablebody2"/>
              <w:ind w:right="842"/>
              <w:rPr>
                <w:rFonts w:cstheme="minorHAnsi"/>
              </w:rPr>
            </w:pPr>
            <w:r w:rsidRPr="002F5864">
              <w:rPr>
                <w:rFonts w:cstheme="minorHAnsi"/>
              </w:rPr>
              <w:t>7.5</w:t>
            </w:r>
          </w:p>
        </w:tc>
        <w:tc>
          <w:tcPr>
            <w:tcW w:w="1701" w:type="dxa"/>
            <w:shd w:val="clear" w:color="auto" w:fill="E5E5E5" w:themeFill="background1" w:themeFillTint="33"/>
          </w:tcPr>
          <w:p w14:paraId="27BFCA9A" w14:textId="77777777" w:rsidR="00D20CB6" w:rsidRPr="002F5864" w:rsidRDefault="00D20CB6" w:rsidP="0020771F">
            <w:pPr>
              <w:pStyle w:val="Tablebody2"/>
              <w:ind w:right="488"/>
              <w:rPr>
                <w:rFonts w:cstheme="minorHAnsi"/>
              </w:rPr>
            </w:pPr>
            <w:r w:rsidRPr="002F5864">
              <w:rPr>
                <w:rFonts w:cstheme="minorHAnsi"/>
              </w:rPr>
              <w:t>6.2</w:t>
            </w:r>
          </w:p>
        </w:tc>
      </w:tr>
      <w:tr w:rsidR="00D20CB6" w:rsidRPr="002F5864" w14:paraId="654223D4" w14:textId="77777777" w:rsidTr="00E5413A">
        <w:tc>
          <w:tcPr>
            <w:tcW w:w="4786" w:type="dxa"/>
          </w:tcPr>
          <w:p w14:paraId="4EECF166" w14:textId="77777777" w:rsidR="00D20CB6" w:rsidRPr="002F5864" w:rsidRDefault="00D20CB6" w:rsidP="0020771F">
            <w:pPr>
              <w:pStyle w:val="TableBody1"/>
              <w:rPr>
                <w:rFonts w:cstheme="minorHAnsi"/>
              </w:rPr>
            </w:pPr>
            <w:r>
              <w:rPr>
                <w:rFonts w:cstheme="minorHAnsi"/>
              </w:rPr>
              <w:t>Access to o</w:t>
            </w:r>
            <w:r w:rsidRPr="002F5864">
              <w:rPr>
                <w:rFonts w:cstheme="minorHAnsi"/>
              </w:rPr>
              <w:t>wn transport</w:t>
            </w:r>
          </w:p>
        </w:tc>
        <w:tc>
          <w:tcPr>
            <w:tcW w:w="2693" w:type="dxa"/>
          </w:tcPr>
          <w:p w14:paraId="72F5BE47" w14:textId="77777777" w:rsidR="00D20CB6" w:rsidRPr="002F5864" w:rsidRDefault="00D20CB6" w:rsidP="0020771F">
            <w:pPr>
              <w:pStyle w:val="Tablebody2"/>
              <w:ind w:right="842"/>
              <w:rPr>
                <w:rFonts w:cstheme="minorHAnsi"/>
              </w:rPr>
            </w:pPr>
            <w:r w:rsidRPr="002F5864">
              <w:rPr>
                <w:rFonts w:cstheme="minorHAnsi"/>
              </w:rPr>
              <w:t>52.0</w:t>
            </w:r>
          </w:p>
        </w:tc>
        <w:tc>
          <w:tcPr>
            <w:tcW w:w="1701" w:type="dxa"/>
          </w:tcPr>
          <w:p w14:paraId="58919D08" w14:textId="77777777" w:rsidR="00D20CB6" w:rsidRPr="002F5864" w:rsidRDefault="00D20CB6" w:rsidP="0020771F">
            <w:pPr>
              <w:pStyle w:val="Tablebody2"/>
              <w:ind w:right="488"/>
              <w:rPr>
                <w:rFonts w:cstheme="minorHAnsi"/>
              </w:rPr>
            </w:pPr>
            <w:r w:rsidRPr="002F5864">
              <w:rPr>
                <w:rFonts w:cstheme="minorHAnsi"/>
              </w:rPr>
              <w:t>77.6</w:t>
            </w:r>
          </w:p>
        </w:tc>
      </w:tr>
      <w:tr w:rsidR="00D20CB6" w:rsidRPr="002F5864" w14:paraId="3F861201" w14:textId="77777777" w:rsidTr="00E5413A">
        <w:tc>
          <w:tcPr>
            <w:tcW w:w="4786" w:type="dxa"/>
            <w:shd w:val="clear" w:color="auto" w:fill="E5E5E5" w:themeFill="background1" w:themeFillTint="33"/>
          </w:tcPr>
          <w:p w14:paraId="356579BF" w14:textId="77777777" w:rsidR="00D20CB6" w:rsidRPr="002F5864" w:rsidRDefault="00D20CB6" w:rsidP="0020771F">
            <w:pPr>
              <w:pStyle w:val="TableBody1"/>
              <w:rPr>
                <w:rFonts w:cstheme="minorHAnsi"/>
              </w:rPr>
            </w:pPr>
            <w:r>
              <w:rPr>
                <w:rFonts w:cstheme="minorHAnsi"/>
              </w:rPr>
              <w:t>Access p</w:t>
            </w:r>
            <w:r w:rsidRPr="002F5864">
              <w:rPr>
                <w:rFonts w:cstheme="minorHAnsi"/>
              </w:rPr>
              <w:t>ublic transport</w:t>
            </w:r>
          </w:p>
        </w:tc>
        <w:tc>
          <w:tcPr>
            <w:tcW w:w="2693" w:type="dxa"/>
            <w:shd w:val="clear" w:color="auto" w:fill="E5E5E5" w:themeFill="background1" w:themeFillTint="33"/>
          </w:tcPr>
          <w:p w14:paraId="10FC6649" w14:textId="77777777" w:rsidR="00D20CB6" w:rsidRPr="002F5864" w:rsidRDefault="00D20CB6" w:rsidP="0020771F">
            <w:pPr>
              <w:pStyle w:val="Tablebody2"/>
              <w:ind w:right="842"/>
              <w:rPr>
                <w:rFonts w:cstheme="minorHAnsi"/>
              </w:rPr>
            </w:pPr>
            <w:r w:rsidRPr="002F5864">
              <w:rPr>
                <w:rFonts w:cstheme="minorHAnsi"/>
              </w:rPr>
              <w:t>40.5</w:t>
            </w:r>
          </w:p>
        </w:tc>
        <w:tc>
          <w:tcPr>
            <w:tcW w:w="1701" w:type="dxa"/>
            <w:shd w:val="clear" w:color="auto" w:fill="E5E5E5" w:themeFill="background1" w:themeFillTint="33"/>
          </w:tcPr>
          <w:p w14:paraId="3DECC673" w14:textId="77777777" w:rsidR="00D20CB6" w:rsidRPr="002F5864" w:rsidRDefault="00D20CB6" w:rsidP="0020771F">
            <w:pPr>
              <w:pStyle w:val="Tablebody2"/>
              <w:ind w:right="488"/>
              <w:rPr>
                <w:rFonts w:cstheme="minorHAnsi"/>
              </w:rPr>
            </w:pPr>
            <w:r w:rsidRPr="002F5864">
              <w:rPr>
                <w:rFonts w:cstheme="minorHAnsi"/>
              </w:rPr>
              <w:t>16.2</w:t>
            </w:r>
          </w:p>
        </w:tc>
      </w:tr>
      <w:tr w:rsidR="00D20CB6" w:rsidRPr="002F5864" w14:paraId="73935B89" w14:textId="77777777" w:rsidTr="00E5413A">
        <w:tc>
          <w:tcPr>
            <w:tcW w:w="4786" w:type="dxa"/>
          </w:tcPr>
          <w:p w14:paraId="156D7D3E" w14:textId="77777777" w:rsidR="00D20CB6" w:rsidRPr="002F5864" w:rsidRDefault="00D20CB6" w:rsidP="0020771F">
            <w:pPr>
              <w:pStyle w:val="TableBody1"/>
              <w:rPr>
                <w:rFonts w:cstheme="minorHAnsi"/>
              </w:rPr>
            </w:pPr>
            <w:r w:rsidRPr="002F5864">
              <w:rPr>
                <w:rFonts w:cstheme="minorHAnsi"/>
              </w:rPr>
              <w:t>Good</w:t>
            </w:r>
            <w:r>
              <w:rPr>
                <w:rFonts w:cstheme="minorHAnsi"/>
              </w:rPr>
              <w:t xml:space="preserve"> </w:t>
            </w:r>
            <w:r w:rsidRPr="007843E8">
              <w:rPr>
                <w:rFonts w:cstheme="minorHAnsi"/>
              </w:rPr>
              <w:t>English proficiency</w:t>
            </w:r>
          </w:p>
        </w:tc>
        <w:tc>
          <w:tcPr>
            <w:tcW w:w="2693" w:type="dxa"/>
          </w:tcPr>
          <w:p w14:paraId="246A74F0" w14:textId="77777777" w:rsidR="00D20CB6" w:rsidRPr="002F5864" w:rsidRDefault="00D20CB6" w:rsidP="0020771F">
            <w:pPr>
              <w:pStyle w:val="Tablebody2"/>
              <w:ind w:right="842"/>
              <w:rPr>
                <w:rFonts w:cstheme="minorHAnsi"/>
              </w:rPr>
            </w:pPr>
            <w:r w:rsidRPr="002F5864">
              <w:rPr>
                <w:rFonts w:cstheme="minorHAnsi"/>
              </w:rPr>
              <w:t>83.5</w:t>
            </w:r>
          </w:p>
        </w:tc>
        <w:tc>
          <w:tcPr>
            <w:tcW w:w="1701" w:type="dxa"/>
          </w:tcPr>
          <w:p w14:paraId="2314E49F" w14:textId="77777777" w:rsidR="00D20CB6" w:rsidRPr="002F5864" w:rsidRDefault="00D20CB6" w:rsidP="0020771F">
            <w:pPr>
              <w:pStyle w:val="Tablebody2"/>
              <w:ind w:right="488"/>
              <w:rPr>
                <w:rFonts w:cstheme="minorHAnsi"/>
              </w:rPr>
            </w:pPr>
            <w:r w:rsidRPr="002F5864">
              <w:rPr>
                <w:rFonts w:cstheme="minorHAnsi"/>
              </w:rPr>
              <w:t>81.1</w:t>
            </w:r>
          </w:p>
        </w:tc>
      </w:tr>
      <w:tr w:rsidR="00D20CB6" w:rsidRPr="002F5864" w14:paraId="7A8A67A0" w14:textId="77777777" w:rsidTr="00E5413A">
        <w:tc>
          <w:tcPr>
            <w:tcW w:w="4786" w:type="dxa"/>
            <w:tcBorders>
              <w:bottom w:val="nil"/>
            </w:tcBorders>
            <w:shd w:val="clear" w:color="auto" w:fill="E5E5E5" w:themeFill="background1" w:themeFillTint="33"/>
          </w:tcPr>
          <w:p w14:paraId="772B8450" w14:textId="77777777" w:rsidR="00D20CB6" w:rsidRPr="002F5864" w:rsidRDefault="00D20CB6" w:rsidP="0020771F">
            <w:pPr>
              <w:pStyle w:val="TableBody1"/>
              <w:rPr>
                <w:rFonts w:cstheme="minorHAnsi"/>
              </w:rPr>
            </w:pPr>
            <w:r w:rsidRPr="002F5864">
              <w:rPr>
                <w:rFonts w:cstheme="minorHAnsi"/>
              </w:rPr>
              <w:t>Mixed</w:t>
            </w:r>
            <w:r>
              <w:rPr>
                <w:rFonts w:cstheme="minorHAnsi"/>
              </w:rPr>
              <w:t xml:space="preserve"> </w:t>
            </w:r>
            <w:r w:rsidRPr="007843E8">
              <w:rPr>
                <w:rFonts w:cstheme="minorHAnsi"/>
              </w:rPr>
              <w:t>English proficiency</w:t>
            </w:r>
          </w:p>
        </w:tc>
        <w:tc>
          <w:tcPr>
            <w:tcW w:w="2693" w:type="dxa"/>
            <w:tcBorders>
              <w:bottom w:val="nil"/>
            </w:tcBorders>
            <w:shd w:val="clear" w:color="auto" w:fill="E5E5E5" w:themeFill="background1" w:themeFillTint="33"/>
          </w:tcPr>
          <w:p w14:paraId="5B7FE07B" w14:textId="77777777" w:rsidR="00D20CB6" w:rsidRPr="002F5864" w:rsidRDefault="00D20CB6" w:rsidP="0020771F">
            <w:pPr>
              <w:pStyle w:val="Tablebody2"/>
              <w:ind w:right="842"/>
              <w:rPr>
                <w:rFonts w:cstheme="minorHAnsi"/>
              </w:rPr>
            </w:pPr>
            <w:r w:rsidRPr="002F5864">
              <w:rPr>
                <w:rFonts w:cstheme="minorHAnsi"/>
              </w:rPr>
              <w:t>9.1</w:t>
            </w:r>
          </w:p>
        </w:tc>
        <w:tc>
          <w:tcPr>
            <w:tcW w:w="1701" w:type="dxa"/>
            <w:tcBorders>
              <w:bottom w:val="nil"/>
            </w:tcBorders>
            <w:shd w:val="clear" w:color="auto" w:fill="E5E5E5" w:themeFill="background1" w:themeFillTint="33"/>
          </w:tcPr>
          <w:p w14:paraId="53D3AC6B" w14:textId="77777777" w:rsidR="00D20CB6" w:rsidRPr="002F5864" w:rsidRDefault="00D20CB6" w:rsidP="0020771F">
            <w:pPr>
              <w:pStyle w:val="Tablebody2"/>
              <w:ind w:right="488"/>
              <w:rPr>
                <w:rFonts w:cstheme="minorHAnsi"/>
              </w:rPr>
            </w:pPr>
            <w:r w:rsidRPr="002F5864">
              <w:rPr>
                <w:rFonts w:cstheme="minorHAnsi"/>
              </w:rPr>
              <w:t>13.4</w:t>
            </w:r>
          </w:p>
        </w:tc>
      </w:tr>
      <w:tr w:rsidR="00D20CB6" w:rsidRPr="002F5864" w14:paraId="1C316216" w14:textId="77777777" w:rsidTr="00E5413A">
        <w:tc>
          <w:tcPr>
            <w:tcW w:w="4786" w:type="dxa"/>
            <w:tcBorders>
              <w:bottom w:val="single" w:sz="4" w:space="0" w:color="auto"/>
            </w:tcBorders>
          </w:tcPr>
          <w:p w14:paraId="2AB64E67" w14:textId="77777777" w:rsidR="00D20CB6" w:rsidRPr="002F5864" w:rsidRDefault="00D20CB6" w:rsidP="0020771F">
            <w:pPr>
              <w:pStyle w:val="TableBody1"/>
              <w:rPr>
                <w:rFonts w:cstheme="minorHAnsi"/>
              </w:rPr>
            </w:pPr>
            <w:r w:rsidRPr="002F5864">
              <w:rPr>
                <w:rFonts w:cstheme="minorHAnsi"/>
              </w:rPr>
              <w:t>Poor</w:t>
            </w:r>
            <w:r>
              <w:rPr>
                <w:rFonts w:cstheme="minorHAnsi"/>
              </w:rPr>
              <w:t xml:space="preserve"> </w:t>
            </w:r>
            <w:r w:rsidRPr="007843E8">
              <w:rPr>
                <w:rFonts w:cstheme="minorHAnsi"/>
              </w:rPr>
              <w:t>English proficiency</w:t>
            </w:r>
          </w:p>
        </w:tc>
        <w:tc>
          <w:tcPr>
            <w:tcW w:w="2693" w:type="dxa"/>
            <w:tcBorders>
              <w:bottom w:val="single" w:sz="4" w:space="0" w:color="auto"/>
            </w:tcBorders>
          </w:tcPr>
          <w:p w14:paraId="2EEA80D6" w14:textId="77777777" w:rsidR="00D20CB6" w:rsidRPr="002F5864" w:rsidRDefault="00D20CB6" w:rsidP="0020771F">
            <w:pPr>
              <w:pStyle w:val="Tablebody2"/>
              <w:ind w:right="842"/>
              <w:rPr>
                <w:rFonts w:cstheme="minorHAnsi"/>
              </w:rPr>
            </w:pPr>
            <w:r w:rsidRPr="002F5864">
              <w:rPr>
                <w:rFonts w:cstheme="minorHAnsi"/>
              </w:rPr>
              <w:t>7.4</w:t>
            </w:r>
          </w:p>
        </w:tc>
        <w:tc>
          <w:tcPr>
            <w:tcW w:w="1701" w:type="dxa"/>
            <w:tcBorders>
              <w:bottom w:val="single" w:sz="4" w:space="0" w:color="auto"/>
            </w:tcBorders>
          </w:tcPr>
          <w:p w14:paraId="755D6D27" w14:textId="77777777" w:rsidR="00D20CB6" w:rsidRPr="002F5864" w:rsidRDefault="00D20CB6" w:rsidP="0020771F">
            <w:pPr>
              <w:pStyle w:val="Tablebody2"/>
              <w:ind w:right="488"/>
              <w:rPr>
                <w:rFonts w:cstheme="minorHAnsi"/>
              </w:rPr>
            </w:pPr>
            <w:r w:rsidRPr="002F5864">
              <w:rPr>
                <w:rFonts w:cstheme="minorHAnsi"/>
              </w:rPr>
              <w:t>5.5</w:t>
            </w:r>
          </w:p>
        </w:tc>
      </w:tr>
    </w:tbl>
    <w:p w14:paraId="2D8CB5A4" w14:textId="77777777" w:rsidR="00961617" w:rsidRPr="00BE4344" w:rsidRDefault="00961617" w:rsidP="00E5413A">
      <w:pPr>
        <w:spacing w:before="80" w:after="0"/>
        <w:rPr>
          <w:b/>
          <w:sz w:val="20"/>
          <w:szCs w:val="20"/>
        </w:rPr>
      </w:pPr>
      <w:r w:rsidRPr="00BE4344">
        <w:rPr>
          <w:b/>
          <w:sz w:val="20"/>
          <w:szCs w:val="20"/>
        </w:rPr>
        <w:t>Average unemployment rate</w:t>
      </w:r>
      <w:r w:rsidR="00BE4344" w:rsidRPr="006A39ED">
        <w:rPr>
          <w:rFonts w:cstheme="minorHAnsi"/>
          <w:vertAlign w:val="superscript"/>
        </w:rPr>
        <w:t>(</w:t>
      </w:r>
      <w:r w:rsidR="00BE4344">
        <w:rPr>
          <w:rFonts w:cstheme="minorHAnsi"/>
          <w:vertAlign w:val="superscript"/>
        </w:rPr>
        <w:t>2</w:t>
      </w:r>
      <w:r w:rsidR="00BE4344" w:rsidRPr="006A39ED">
        <w:rPr>
          <w:rFonts w:cstheme="minorHAnsi"/>
          <w:vertAlign w:val="superscript"/>
        </w:rPr>
        <w:t>)</w:t>
      </w:r>
    </w:p>
    <w:tbl>
      <w:tblPr>
        <w:tblStyle w:val="DEEWRTable"/>
        <w:tblW w:w="9169" w:type="dxa"/>
        <w:tblLook w:val="0420" w:firstRow="1" w:lastRow="0" w:firstColumn="0" w:lastColumn="0" w:noHBand="0" w:noVBand="1"/>
      </w:tblPr>
      <w:tblGrid>
        <w:gridCol w:w="4786"/>
        <w:gridCol w:w="2682"/>
        <w:gridCol w:w="1701"/>
      </w:tblGrid>
      <w:tr w:rsidR="00D20CB6" w:rsidRPr="002F5864" w14:paraId="49193469" w14:textId="77777777" w:rsidTr="00D20CB6">
        <w:trPr>
          <w:cnfStyle w:val="100000000000" w:firstRow="1" w:lastRow="0" w:firstColumn="0" w:lastColumn="0" w:oddVBand="0" w:evenVBand="0" w:oddHBand="0" w:evenHBand="0" w:firstRowFirstColumn="0" w:firstRowLastColumn="0" w:lastRowFirstColumn="0" w:lastRowLastColumn="0"/>
        </w:trPr>
        <w:tc>
          <w:tcPr>
            <w:tcW w:w="4786" w:type="dxa"/>
            <w:tcBorders>
              <w:bottom w:val="nil"/>
            </w:tcBorders>
            <w:shd w:val="clear" w:color="auto" w:fill="1E3D6B"/>
          </w:tcPr>
          <w:p w14:paraId="0A2131A5" w14:textId="77777777" w:rsidR="00D20CB6" w:rsidRPr="002F5864" w:rsidRDefault="00D20CB6" w:rsidP="0020771F">
            <w:pPr>
              <w:pStyle w:val="TableBody1"/>
              <w:rPr>
                <w:rFonts w:cstheme="minorHAnsi"/>
              </w:rPr>
            </w:pPr>
            <w:bookmarkStart w:id="603" w:name="Title_A14b"/>
            <w:bookmarkEnd w:id="603"/>
          </w:p>
        </w:tc>
        <w:tc>
          <w:tcPr>
            <w:tcW w:w="2682" w:type="dxa"/>
            <w:tcBorders>
              <w:bottom w:val="nil"/>
            </w:tcBorders>
            <w:shd w:val="clear" w:color="auto" w:fill="1E3D6B"/>
          </w:tcPr>
          <w:p w14:paraId="367A2AFC" w14:textId="77777777" w:rsidR="00D20CB6" w:rsidRPr="002F5864" w:rsidRDefault="00D20CB6" w:rsidP="0020771F">
            <w:pPr>
              <w:pStyle w:val="TableBoby3"/>
              <w:rPr>
                <w:rFonts w:cstheme="minorHAnsi"/>
              </w:rPr>
            </w:pPr>
            <w:r w:rsidRPr="002F5864">
              <w:rPr>
                <w:rFonts w:cstheme="minorHAnsi"/>
              </w:rPr>
              <w:t>Treatment group</w:t>
            </w:r>
            <w:r>
              <w:rPr>
                <w:rFonts w:cstheme="minorHAnsi"/>
              </w:rPr>
              <w:br/>
            </w:r>
            <w:r w:rsidRPr="002F5864">
              <w:rPr>
                <w:rFonts w:cstheme="minorHAnsi"/>
              </w:rPr>
              <w:t>JSA 2012</w:t>
            </w:r>
            <w:r>
              <w:rPr>
                <w:rFonts w:cstheme="minorHAnsi"/>
              </w:rPr>
              <w:br/>
              <w:t>(%)</w:t>
            </w:r>
          </w:p>
        </w:tc>
        <w:tc>
          <w:tcPr>
            <w:tcW w:w="1701" w:type="dxa"/>
            <w:tcBorders>
              <w:bottom w:val="nil"/>
            </w:tcBorders>
            <w:shd w:val="clear" w:color="auto" w:fill="1E3D6B"/>
          </w:tcPr>
          <w:p w14:paraId="07CFC730" w14:textId="77777777" w:rsidR="00D20CB6" w:rsidRPr="002F5864" w:rsidRDefault="00D20CB6" w:rsidP="0020771F">
            <w:pPr>
              <w:pStyle w:val="TableBoby3"/>
              <w:ind w:left="-89" w:right="-139"/>
              <w:rPr>
                <w:rFonts w:cstheme="minorHAnsi"/>
              </w:rPr>
            </w:pPr>
            <w:r w:rsidRPr="002F5864">
              <w:rPr>
                <w:rFonts w:cstheme="minorHAnsi"/>
              </w:rPr>
              <w:t>Comparison group</w:t>
            </w:r>
            <w:r>
              <w:rPr>
                <w:rFonts w:cstheme="minorHAnsi"/>
              </w:rPr>
              <w:br/>
            </w:r>
            <w:r w:rsidRPr="002F5864">
              <w:rPr>
                <w:rFonts w:cstheme="minorHAnsi"/>
              </w:rPr>
              <w:t>JSA 2009</w:t>
            </w:r>
            <w:r>
              <w:rPr>
                <w:rFonts w:cstheme="minorHAnsi"/>
              </w:rPr>
              <w:br/>
              <w:t>(%)</w:t>
            </w:r>
          </w:p>
        </w:tc>
      </w:tr>
      <w:tr w:rsidR="00D20CB6" w:rsidRPr="006A39ED" w14:paraId="601E0CE0" w14:textId="77777777" w:rsidTr="00D20CB6">
        <w:tc>
          <w:tcPr>
            <w:tcW w:w="4786" w:type="dxa"/>
            <w:tcBorders>
              <w:bottom w:val="single" w:sz="4" w:space="0" w:color="auto"/>
            </w:tcBorders>
            <w:shd w:val="clear" w:color="auto" w:fill="FFFFFF" w:themeFill="background2"/>
          </w:tcPr>
          <w:p w14:paraId="66FC6DEB" w14:textId="77777777" w:rsidR="00D20CB6" w:rsidRPr="006A39ED" w:rsidRDefault="00D20CB6" w:rsidP="00BE4344">
            <w:pPr>
              <w:pStyle w:val="TableBody1"/>
              <w:rPr>
                <w:rFonts w:cstheme="minorHAnsi"/>
                <w:b/>
              </w:rPr>
            </w:pPr>
            <w:r w:rsidRPr="006A39ED">
              <w:rPr>
                <w:rFonts w:cstheme="minorHAnsi"/>
              </w:rPr>
              <w:t>Average unemployment rate in job seeker’s local area</w:t>
            </w:r>
          </w:p>
        </w:tc>
        <w:tc>
          <w:tcPr>
            <w:tcW w:w="2682" w:type="dxa"/>
            <w:tcBorders>
              <w:bottom w:val="single" w:sz="4" w:space="0" w:color="auto"/>
            </w:tcBorders>
            <w:shd w:val="clear" w:color="auto" w:fill="FFFFFF" w:themeFill="background2"/>
          </w:tcPr>
          <w:p w14:paraId="7D11BF09" w14:textId="77777777" w:rsidR="00D20CB6" w:rsidRPr="006A39ED" w:rsidRDefault="00D20CB6" w:rsidP="0020771F">
            <w:pPr>
              <w:pStyle w:val="Tablebody2"/>
              <w:ind w:right="842"/>
              <w:rPr>
                <w:rFonts w:cstheme="minorHAnsi"/>
                <w:b/>
              </w:rPr>
            </w:pPr>
            <w:r w:rsidRPr="006A39ED">
              <w:rPr>
                <w:rFonts w:cstheme="minorHAnsi"/>
              </w:rPr>
              <w:t>5.6</w:t>
            </w:r>
          </w:p>
        </w:tc>
        <w:tc>
          <w:tcPr>
            <w:tcW w:w="1701" w:type="dxa"/>
            <w:tcBorders>
              <w:bottom w:val="single" w:sz="4" w:space="0" w:color="auto"/>
            </w:tcBorders>
            <w:shd w:val="clear" w:color="auto" w:fill="FFFFFF" w:themeFill="background2"/>
          </w:tcPr>
          <w:p w14:paraId="2CDAC757" w14:textId="77777777" w:rsidR="00D20CB6" w:rsidRPr="006A39ED" w:rsidRDefault="00D20CB6" w:rsidP="0020771F">
            <w:pPr>
              <w:pStyle w:val="Tablebody2"/>
              <w:ind w:right="488"/>
              <w:rPr>
                <w:rFonts w:cstheme="minorHAnsi"/>
                <w:b/>
              </w:rPr>
            </w:pPr>
            <w:r w:rsidRPr="006A39ED">
              <w:rPr>
                <w:rFonts w:cstheme="minorHAnsi"/>
              </w:rPr>
              <w:t>5.5</w:t>
            </w:r>
          </w:p>
        </w:tc>
      </w:tr>
    </w:tbl>
    <w:p w14:paraId="7BE0D705" w14:textId="77777777" w:rsidR="00961617" w:rsidRPr="00BE4344" w:rsidRDefault="00961617" w:rsidP="00E5413A">
      <w:pPr>
        <w:spacing w:before="80" w:after="0"/>
        <w:rPr>
          <w:b/>
          <w:sz w:val="20"/>
          <w:szCs w:val="20"/>
        </w:rPr>
      </w:pPr>
      <w:r w:rsidRPr="00BE4344">
        <w:rPr>
          <w:b/>
          <w:sz w:val="20"/>
          <w:szCs w:val="20"/>
        </w:rPr>
        <w:t>Mean unemployment duration</w:t>
      </w:r>
      <w:r w:rsidR="00BE4344" w:rsidRPr="006A39ED">
        <w:rPr>
          <w:rFonts w:cstheme="minorHAnsi"/>
          <w:vertAlign w:val="superscript"/>
        </w:rPr>
        <w:t>(</w:t>
      </w:r>
      <w:r w:rsidR="00BE4344">
        <w:rPr>
          <w:rFonts w:cstheme="minorHAnsi"/>
          <w:vertAlign w:val="superscript"/>
        </w:rPr>
        <w:t>3</w:t>
      </w:r>
      <w:r w:rsidR="00BE4344" w:rsidRPr="006A39ED">
        <w:rPr>
          <w:rFonts w:cstheme="minorHAnsi"/>
          <w:vertAlign w:val="superscript"/>
        </w:rPr>
        <w:t>)</w:t>
      </w:r>
    </w:p>
    <w:tbl>
      <w:tblPr>
        <w:tblStyle w:val="DEEWRTable"/>
        <w:tblW w:w="9169" w:type="dxa"/>
        <w:tblLook w:val="0420" w:firstRow="1" w:lastRow="0" w:firstColumn="0" w:lastColumn="0" w:noHBand="0" w:noVBand="1"/>
      </w:tblPr>
      <w:tblGrid>
        <w:gridCol w:w="4786"/>
        <w:gridCol w:w="2682"/>
        <w:gridCol w:w="1701"/>
      </w:tblGrid>
      <w:tr w:rsidR="00D20CB6" w:rsidRPr="002F5864" w14:paraId="4238E038" w14:textId="77777777" w:rsidTr="00D20CB6">
        <w:trPr>
          <w:cnfStyle w:val="100000000000" w:firstRow="1" w:lastRow="0" w:firstColumn="0" w:lastColumn="0" w:oddVBand="0" w:evenVBand="0" w:oddHBand="0" w:evenHBand="0" w:firstRowFirstColumn="0" w:firstRowLastColumn="0" w:lastRowFirstColumn="0" w:lastRowLastColumn="0"/>
        </w:trPr>
        <w:tc>
          <w:tcPr>
            <w:tcW w:w="4786" w:type="dxa"/>
            <w:tcBorders>
              <w:bottom w:val="nil"/>
            </w:tcBorders>
            <w:shd w:val="clear" w:color="auto" w:fill="1E3D6B"/>
          </w:tcPr>
          <w:p w14:paraId="7BA5DF5C" w14:textId="77777777" w:rsidR="00D20CB6" w:rsidRPr="002F5864" w:rsidRDefault="00D20CB6" w:rsidP="0020771F">
            <w:pPr>
              <w:pStyle w:val="TableBody1"/>
              <w:rPr>
                <w:rFonts w:cstheme="minorHAnsi"/>
              </w:rPr>
            </w:pPr>
            <w:bookmarkStart w:id="604" w:name="Title_A14c"/>
            <w:bookmarkEnd w:id="604"/>
          </w:p>
        </w:tc>
        <w:tc>
          <w:tcPr>
            <w:tcW w:w="2682" w:type="dxa"/>
            <w:tcBorders>
              <w:bottom w:val="nil"/>
            </w:tcBorders>
            <w:shd w:val="clear" w:color="auto" w:fill="1E3D6B"/>
          </w:tcPr>
          <w:p w14:paraId="2576D910" w14:textId="77777777" w:rsidR="00D20CB6" w:rsidRPr="002F5864" w:rsidRDefault="00D20CB6" w:rsidP="0020771F">
            <w:pPr>
              <w:pStyle w:val="TableBoby3"/>
              <w:rPr>
                <w:rFonts w:cstheme="minorHAnsi"/>
              </w:rPr>
            </w:pPr>
            <w:r w:rsidRPr="002F5864">
              <w:rPr>
                <w:rFonts w:cstheme="minorHAnsi"/>
              </w:rPr>
              <w:t>Treatment group</w:t>
            </w:r>
            <w:r>
              <w:rPr>
                <w:rFonts w:cstheme="minorHAnsi"/>
              </w:rPr>
              <w:br/>
            </w:r>
            <w:r w:rsidRPr="002F5864">
              <w:rPr>
                <w:rFonts w:cstheme="minorHAnsi"/>
              </w:rPr>
              <w:t>JSA 2012</w:t>
            </w:r>
            <w:r>
              <w:rPr>
                <w:rFonts w:cstheme="minorHAnsi"/>
              </w:rPr>
              <w:br/>
              <w:t>(months)</w:t>
            </w:r>
          </w:p>
        </w:tc>
        <w:tc>
          <w:tcPr>
            <w:tcW w:w="1701" w:type="dxa"/>
            <w:tcBorders>
              <w:bottom w:val="nil"/>
            </w:tcBorders>
            <w:shd w:val="clear" w:color="auto" w:fill="1E3D6B"/>
          </w:tcPr>
          <w:p w14:paraId="5B721267" w14:textId="77777777" w:rsidR="00D20CB6" w:rsidRPr="002F5864" w:rsidRDefault="00D20CB6" w:rsidP="0020771F">
            <w:pPr>
              <w:pStyle w:val="TableBoby3"/>
              <w:ind w:left="-89" w:right="-139"/>
              <w:rPr>
                <w:rFonts w:cstheme="minorHAnsi"/>
              </w:rPr>
            </w:pPr>
            <w:r w:rsidRPr="002F5864">
              <w:rPr>
                <w:rFonts w:cstheme="minorHAnsi"/>
              </w:rPr>
              <w:t>Comparison group</w:t>
            </w:r>
            <w:r>
              <w:rPr>
                <w:rFonts w:cstheme="minorHAnsi"/>
              </w:rPr>
              <w:br/>
            </w:r>
            <w:r w:rsidRPr="002F5864">
              <w:rPr>
                <w:rFonts w:cstheme="minorHAnsi"/>
              </w:rPr>
              <w:t>JSA 2009</w:t>
            </w:r>
            <w:r>
              <w:rPr>
                <w:rFonts w:cstheme="minorHAnsi"/>
              </w:rPr>
              <w:br/>
              <w:t>(months)</w:t>
            </w:r>
          </w:p>
        </w:tc>
      </w:tr>
      <w:tr w:rsidR="00D20CB6" w:rsidRPr="007843E8" w14:paraId="41A9E06B" w14:textId="77777777" w:rsidTr="00D20CB6">
        <w:tc>
          <w:tcPr>
            <w:tcW w:w="4786" w:type="dxa"/>
            <w:tcBorders>
              <w:top w:val="single" w:sz="4" w:space="0" w:color="auto"/>
              <w:bottom w:val="single" w:sz="4" w:space="0" w:color="auto"/>
            </w:tcBorders>
          </w:tcPr>
          <w:p w14:paraId="1AFEA647" w14:textId="77777777" w:rsidR="00D20CB6" w:rsidRPr="007843E8" w:rsidRDefault="00D20CB6" w:rsidP="00BE4344">
            <w:pPr>
              <w:pStyle w:val="TableBody1"/>
              <w:rPr>
                <w:rFonts w:cstheme="minorHAnsi"/>
              </w:rPr>
            </w:pPr>
            <w:r>
              <w:rPr>
                <w:rFonts w:cstheme="minorHAnsi"/>
              </w:rPr>
              <w:t>Job seeker’s m</w:t>
            </w:r>
            <w:r w:rsidRPr="007843E8">
              <w:rPr>
                <w:rFonts w:cstheme="minorHAnsi"/>
              </w:rPr>
              <w:t>ean unemployment duration</w:t>
            </w:r>
          </w:p>
        </w:tc>
        <w:tc>
          <w:tcPr>
            <w:tcW w:w="2682" w:type="dxa"/>
            <w:tcBorders>
              <w:top w:val="single" w:sz="4" w:space="0" w:color="auto"/>
              <w:bottom w:val="single" w:sz="4" w:space="0" w:color="auto"/>
            </w:tcBorders>
          </w:tcPr>
          <w:p w14:paraId="363DB4C8" w14:textId="77777777" w:rsidR="00D20CB6" w:rsidRPr="007843E8" w:rsidRDefault="00D20CB6" w:rsidP="0020771F">
            <w:pPr>
              <w:pStyle w:val="Tablebody2"/>
              <w:ind w:right="842"/>
              <w:rPr>
                <w:rFonts w:cstheme="minorHAnsi"/>
              </w:rPr>
            </w:pPr>
            <w:r w:rsidRPr="007843E8">
              <w:rPr>
                <w:rFonts w:cstheme="minorHAnsi"/>
              </w:rPr>
              <w:t>65.4</w:t>
            </w:r>
          </w:p>
        </w:tc>
        <w:tc>
          <w:tcPr>
            <w:tcW w:w="1701" w:type="dxa"/>
            <w:tcBorders>
              <w:top w:val="single" w:sz="4" w:space="0" w:color="auto"/>
              <w:bottom w:val="single" w:sz="4" w:space="0" w:color="auto"/>
            </w:tcBorders>
          </w:tcPr>
          <w:p w14:paraId="784D1EF7" w14:textId="77777777" w:rsidR="00D20CB6" w:rsidRPr="007843E8" w:rsidRDefault="00D20CB6" w:rsidP="0020771F">
            <w:pPr>
              <w:pStyle w:val="Tablebody2"/>
              <w:ind w:right="488"/>
              <w:rPr>
                <w:rFonts w:cstheme="minorHAnsi"/>
              </w:rPr>
            </w:pPr>
            <w:r w:rsidRPr="007843E8">
              <w:rPr>
                <w:rFonts w:cstheme="minorHAnsi"/>
              </w:rPr>
              <w:t>128.0</w:t>
            </w:r>
          </w:p>
        </w:tc>
      </w:tr>
    </w:tbl>
    <w:p w14:paraId="2D1337EC" w14:textId="77777777" w:rsidR="00961617" w:rsidRPr="002F5864" w:rsidRDefault="00961617" w:rsidP="00E13B5E">
      <w:pPr>
        <w:pStyle w:val="Notes"/>
      </w:pPr>
      <w:r w:rsidRPr="00E13B5E">
        <w:rPr>
          <w:b/>
        </w:rPr>
        <w:t>Notes</w:t>
      </w:r>
      <w:r w:rsidRPr="002F5864">
        <w:t>:</w:t>
      </w:r>
      <w:r w:rsidRPr="002F5864">
        <w:tab/>
      </w:r>
    </w:p>
    <w:p w14:paraId="55552469" w14:textId="77777777" w:rsidR="00961617" w:rsidRPr="00E5413A" w:rsidRDefault="00961617" w:rsidP="00E5413A">
      <w:pPr>
        <w:pStyle w:val="Notesnumbered"/>
        <w:numPr>
          <w:ilvl w:val="0"/>
          <w:numId w:val="255"/>
        </w:numPr>
        <w:ind w:left="709" w:hanging="709"/>
      </w:pPr>
      <w:r w:rsidRPr="00E5413A">
        <w:t>Characteristics as at July 2010 for comparison group, and July 2013 for treatment group.</w:t>
      </w:r>
    </w:p>
    <w:p w14:paraId="3E62BB84" w14:textId="77777777" w:rsidR="00961617" w:rsidRPr="00E5413A" w:rsidRDefault="00961617" w:rsidP="00E5413A">
      <w:pPr>
        <w:pStyle w:val="Notesnumbered"/>
        <w:numPr>
          <w:ilvl w:val="0"/>
          <w:numId w:val="255"/>
        </w:numPr>
        <w:ind w:left="709" w:hanging="709"/>
      </w:pPr>
      <w:r w:rsidRPr="00E5413A">
        <w:t>Based on job seeker’s local (Statistical Areas Level 4) unemployment rates, average over 18 months</w:t>
      </w:r>
    </w:p>
    <w:p w14:paraId="6CC09BF4" w14:textId="49D6BF77" w:rsidR="00961617" w:rsidRPr="00E5413A" w:rsidRDefault="00961617" w:rsidP="00E5413A">
      <w:pPr>
        <w:pStyle w:val="Notesnumbered"/>
        <w:numPr>
          <w:ilvl w:val="0"/>
          <w:numId w:val="255"/>
        </w:numPr>
        <w:ind w:left="709" w:hanging="709"/>
      </w:pPr>
      <w:r w:rsidRPr="00E5413A">
        <w:t xml:space="preserve">Large differences in average unemployment durations of the treatment and comparison groups (65 months versus 128 months) reflect the differences in transition rules between the Job Network (JN) and Job Services Australia contracts.  The transition of job seekers between the two JSA contracts (JSA 2009 and JSA 2012) followed a simple rule: “job seeker will transfer in their current stream and maintain their current Period of Service”. Therefore, when the JSA 2012 job seekers entered the Work Experience Phase, they had generally been in Stream Services for about 12 months and on entry to CAP, they had generally been in WEPh for about 12 months. </w:t>
      </w:r>
    </w:p>
    <w:p w14:paraId="342BDA26" w14:textId="4F66D35D" w:rsidR="00961617" w:rsidRDefault="00961617" w:rsidP="00E5413A">
      <w:pPr>
        <w:pStyle w:val="Notesnumbered"/>
        <w:numPr>
          <w:ilvl w:val="0"/>
          <w:numId w:val="255"/>
        </w:numPr>
        <w:ind w:left="709" w:hanging="709"/>
      </w:pPr>
      <w:r w:rsidRPr="00E5413A">
        <w:t>Treatment group size (JSA 2012):</w:t>
      </w:r>
      <w:r>
        <w:t xml:space="preserve"> 10,336. Comparison group size (JSA 2009): 12,032.</w:t>
      </w:r>
    </w:p>
    <w:p w14:paraId="115CBD0C" w14:textId="77777777" w:rsidR="00961617" w:rsidRPr="002F5864" w:rsidRDefault="00961617" w:rsidP="00E5413A">
      <w:pPr>
        <w:pStyle w:val="Source"/>
        <w:spacing w:after="0"/>
      </w:pPr>
      <w:r w:rsidRPr="002F5864">
        <w:rPr>
          <w:b/>
        </w:rPr>
        <w:t>Source:</w:t>
      </w:r>
      <w:r w:rsidRPr="002F5864">
        <w:t xml:space="preserve"> </w:t>
      </w:r>
      <w:r w:rsidR="00E13B5E">
        <w:tab/>
      </w:r>
      <w:r w:rsidRPr="002F5864">
        <w:t>Department of Employment administrative data.</w:t>
      </w:r>
    </w:p>
    <w:p w14:paraId="2DCD35A6" w14:textId="77777777" w:rsidR="00706112" w:rsidRDefault="00864C5E" w:rsidP="00706112">
      <w:pPr>
        <w:spacing w:after="0"/>
        <w:rPr>
          <w:rFonts w:cstheme="minorHAnsi"/>
          <w:sz w:val="18"/>
          <w:szCs w:val="18"/>
        </w:rPr>
      </w:pPr>
      <w:hyperlink w:anchor="Place_A14" w:history="1">
        <w:r w:rsidR="00961617" w:rsidRPr="005F7891">
          <w:rPr>
            <w:rStyle w:val="Hyperlink"/>
            <w:rFonts w:cstheme="minorHAnsi"/>
            <w:sz w:val="18"/>
            <w:szCs w:val="18"/>
          </w:rPr>
          <w:t xml:space="preserve">Go to </w:t>
        </w:r>
        <w:r w:rsidR="003649E1" w:rsidRPr="005F7891">
          <w:rPr>
            <w:rStyle w:val="Hyperlink"/>
            <w:rFonts w:cstheme="minorHAnsi"/>
            <w:sz w:val="18"/>
            <w:szCs w:val="18"/>
          </w:rPr>
          <w:t>s</w:t>
        </w:r>
        <w:r w:rsidR="00961617" w:rsidRPr="005F7891">
          <w:rPr>
            <w:rStyle w:val="Hyperlink"/>
            <w:rFonts w:cstheme="minorHAnsi"/>
            <w:sz w:val="18"/>
            <w:szCs w:val="18"/>
          </w:rPr>
          <w:t>ection 6.2.2</w:t>
        </w:r>
      </w:hyperlink>
      <w:r w:rsidR="00961617" w:rsidRPr="002F5864">
        <w:rPr>
          <w:rFonts w:cstheme="minorHAnsi"/>
          <w:sz w:val="18"/>
          <w:szCs w:val="18"/>
        </w:rPr>
        <w:t xml:space="preserve"> where this data is referenced.</w:t>
      </w:r>
      <w:r w:rsidR="00706112">
        <w:rPr>
          <w:rFonts w:cstheme="minorHAnsi"/>
          <w:sz w:val="18"/>
          <w:szCs w:val="18"/>
        </w:rPr>
        <w:br w:type="page"/>
      </w:r>
    </w:p>
    <w:p w14:paraId="348FF54D" w14:textId="77777777" w:rsidR="00961617" w:rsidRDefault="00961617" w:rsidP="00961617">
      <w:pPr>
        <w:pStyle w:val="TableheadingforappendixA1"/>
        <w:rPr>
          <w:rFonts w:cstheme="minorHAnsi"/>
          <w:noProof/>
        </w:rPr>
      </w:pPr>
      <w:bookmarkStart w:id="605" w:name="_Toc513129893"/>
      <w:r w:rsidRPr="002F5864">
        <w:rPr>
          <w:rFonts w:cstheme="minorHAnsi"/>
        </w:rPr>
        <w:t>Table A</w:t>
      </w:r>
      <w:r>
        <w:rPr>
          <w:rFonts w:cstheme="minorHAnsi"/>
        </w:rPr>
        <w:t>1</w:t>
      </w:r>
      <w:r w:rsidRPr="002F5864">
        <w:rPr>
          <w:rFonts w:cstheme="minorHAnsi"/>
        </w:rPr>
        <w:t>.</w:t>
      </w:r>
      <w:r w:rsidR="00706112">
        <w:rPr>
          <w:rFonts w:cstheme="minorHAnsi"/>
        </w:rPr>
        <w:t xml:space="preserve">5: </w:t>
      </w:r>
      <w:r w:rsidRPr="002F5864">
        <w:rPr>
          <w:rFonts w:cstheme="minorHAnsi"/>
          <w:noProof/>
        </w:rPr>
        <w:t xml:space="preserve">Profile of job seekers — 1:1 nearest neighbour matching </w:t>
      </w:r>
      <w:r>
        <w:rPr>
          <w:rFonts w:cstheme="minorHAnsi"/>
          <w:noProof/>
        </w:rPr>
        <w:t xml:space="preserve">for the Compulsory Activity Phase (CAP) analysis </w:t>
      </w:r>
      <w:r w:rsidRPr="002F5864">
        <w:rPr>
          <w:rFonts w:cstheme="minorHAnsi"/>
          <w:noProof/>
        </w:rPr>
        <w:t>(per cent)</w:t>
      </w:r>
      <w:bookmarkEnd w:id="605"/>
      <w:r w:rsidRPr="002F5864">
        <w:rPr>
          <w:rFonts w:cstheme="minorHAnsi"/>
          <w:noProof/>
        </w:rPr>
        <w:t xml:space="preserve"> </w:t>
      </w:r>
    </w:p>
    <w:p w14:paraId="11C25634" w14:textId="77777777" w:rsidR="00961617" w:rsidRPr="00BE4344" w:rsidRDefault="00961617" w:rsidP="00961617">
      <w:pPr>
        <w:spacing w:before="120" w:after="0"/>
        <w:rPr>
          <w:b/>
          <w:sz w:val="20"/>
          <w:szCs w:val="20"/>
        </w:rPr>
      </w:pPr>
      <w:r w:rsidRPr="00BE4344">
        <w:rPr>
          <w:b/>
          <w:sz w:val="20"/>
          <w:szCs w:val="20"/>
        </w:rPr>
        <w:t>Job seeker characteristics</w:t>
      </w:r>
    </w:p>
    <w:tbl>
      <w:tblPr>
        <w:tblStyle w:val="DEEWRTable"/>
        <w:tblW w:w="0" w:type="auto"/>
        <w:tblLook w:val="0420" w:firstRow="1" w:lastRow="0" w:firstColumn="0" w:lastColumn="0" w:noHBand="0" w:noVBand="1"/>
      </w:tblPr>
      <w:tblGrid>
        <w:gridCol w:w="5159"/>
        <w:gridCol w:w="1984"/>
        <w:gridCol w:w="1896"/>
      </w:tblGrid>
      <w:tr w:rsidR="00961617" w:rsidRPr="00B8309D" w14:paraId="4C143F8E" w14:textId="77777777" w:rsidTr="00EE47DD">
        <w:trPr>
          <w:cnfStyle w:val="100000000000" w:firstRow="1" w:lastRow="0" w:firstColumn="0" w:lastColumn="0" w:oddVBand="0" w:evenVBand="0" w:oddHBand="0" w:evenHBand="0" w:firstRowFirstColumn="0" w:firstRowLastColumn="0" w:lastRowFirstColumn="0" w:lastRowLastColumn="0"/>
        </w:trPr>
        <w:tc>
          <w:tcPr>
            <w:tcW w:w="5159" w:type="dxa"/>
            <w:tcBorders>
              <w:top w:val="nil"/>
              <w:left w:val="nil"/>
              <w:bottom w:val="nil"/>
              <w:right w:val="nil"/>
            </w:tcBorders>
            <w:shd w:val="clear" w:color="auto" w:fill="1E3D6B"/>
          </w:tcPr>
          <w:p w14:paraId="6771CA73" w14:textId="77777777" w:rsidR="00961617" w:rsidRPr="00B8309D" w:rsidRDefault="00961617" w:rsidP="0020771F">
            <w:pPr>
              <w:pStyle w:val="TableBody1"/>
              <w:keepNext/>
              <w:keepLines/>
              <w:rPr>
                <w:rFonts w:cstheme="minorHAnsi"/>
              </w:rPr>
            </w:pPr>
            <w:bookmarkStart w:id="606" w:name="Title_A15a"/>
            <w:bookmarkEnd w:id="606"/>
            <w:r w:rsidRPr="00B8309D">
              <w:rPr>
                <w:rFonts w:cstheme="minorHAnsi"/>
                <w:color w:val="FFFFFF" w:themeColor="background2"/>
              </w:rPr>
              <w:t>Characteristics after matching</w:t>
            </w:r>
          </w:p>
        </w:tc>
        <w:tc>
          <w:tcPr>
            <w:tcW w:w="1984" w:type="dxa"/>
            <w:tcBorders>
              <w:top w:val="nil"/>
              <w:left w:val="nil"/>
              <w:bottom w:val="nil"/>
              <w:right w:val="nil"/>
            </w:tcBorders>
            <w:shd w:val="clear" w:color="auto" w:fill="1E3D6B"/>
          </w:tcPr>
          <w:p w14:paraId="13709B83" w14:textId="77777777" w:rsidR="00961617" w:rsidRPr="00B8309D" w:rsidRDefault="00961617" w:rsidP="0020771F">
            <w:pPr>
              <w:pStyle w:val="Tablebody2"/>
              <w:keepNext/>
              <w:keepLines/>
              <w:jc w:val="center"/>
              <w:rPr>
                <w:rFonts w:cstheme="minorHAnsi"/>
              </w:rPr>
            </w:pPr>
            <w:r w:rsidRPr="00B8309D">
              <w:rPr>
                <w:rFonts w:cstheme="minorHAnsi"/>
              </w:rPr>
              <w:t>Treatment group</w:t>
            </w:r>
            <w:r w:rsidRPr="00B8309D">
              <w:rPr>
                <w:rFonts w:cstheme="minorHAnsi"/>
              </w:rPr>
              <w:br/>
              <w:t>JSA 2012</w:t>
            </w:r>
            <w:r w:rsidRPr="00B8309D">
              <w:rPr>
                <w:rFonts w:cstheme="minorHAnsi"/>
              </w:rPr>
              <w:br/>
              <w:t>(%)</w:t>
            </w:r>
          </w:p>
        </w:tc>
        <w:tc>
          <w:tcPr>
            <w:tcW w:w="1896" w:type="dxa"/>
            <w:tcBorders>
              <w:top w:val="nil"/>
              <w:left w:val="nil"/>
              <w:bottom w:val="nil"/>
              <w:right w:val="nil"/>
            </w:tcBorders>
            <w:shd w:val="clear" w:color="auto" w:fill="1E3D6B"/>
          </w:tcPr>
          <w:p w14:paraId="620A9C1F" w14:textId="77777777" w:rsidR="00961617" w:rsidRPr="00B8309D" w:rsidRDefault="00961617" w:rsidP="0020771F">
            <w:pPr>
              <w:pStyle w:val="Tablebody2"/>
              <w:keepNext/>
              <w:keepLines/>
              <w:jc w:val="center"/>
              <w:rPr>
                <w:rFonts w:cstheme="minorHAnsi"/>
              </w:rPr>
            </w:pPr>
            <w:r w:rsidRPr="00B8309D">
              <w:rPr>
                <w:rFonts w:cstheme="minorHAnsi"/>
              </w:rPr>
              <w:t>Comparison group</w:t>
            </w:r>
            <w:r w:rsidRPr="00B8309D">
              <w:rPr>
                <w:rFonts w:cstheme="minorHAnsi"/>
              </w:rPr>
              <w:br/>
              <w:t>JSA 2009</w:t>
            </w:r>
            <w:r w:rsidRPr="00B8309D">
              <w:rPr>
                <w:rFonts w:cstheme="minorHAnsi"/>
              </w:rPr>
              <w:br/>
              <w:t>(%)</w:t>
            </w:r>
          </w:p>
        </w:tc>
      </w:tr>
      <w:tr w:rsidR="00961617" w:rsidRPr="006D7281" w14:paraId="4BE8A0A9" w14:textId="77777777" w:rsidTr="00EE47DD">
        <w:tc>
          <w:tcPr>
            <w:tcW w:w="5159" w:type="dxa"/>
            <w:tcBorders>
              <w:top w:val="nil"/>
              <w:left w:val="nil"/>
              <w:bottom w:val="nil"/>
              <w:right w:val="nil"/>
            </w:tcBorders>
          </w:tcPr>
          <w:p w14:paraId="3FD712D0" w14:textId="77777777" w:rsidR="00961617" w:rsidRPr="006D7281" w:rsidRDefault="00961617" w:rsidP="0020771F">
            <w:pPr>
              <w:pStyle w:val="TableBody1"/>
              <w:rPr>
                <w:rFonts w:cstheme="minorHAnsi"/>
              </w:rPr>
            </w:pPr>
            <w:r w:rsidRPr="006D7281">
              <w:rPr>
                <w:rFonts w:cstheme="minorHAnsi"/>
              </w:rPr>
              <w:t>Female</w:t>
            </w:r>
          </w:p>
        </w:tc>
        <w:tc>
          <w:tcPr>
            <w:tcW w:w="1984" w:type="dxa"/>
            <w:tcBorders>
              <w:top w:val="nil"/>
              <w:left w:val="nil"/>
              <w:bottom w:val="nil"/>
              <w:right w:val="nil"/>
            </w:tcBorders>
          </w:tcPr>
          <w:p w14:paraId="38F98271" w14:textId="77777777" w:rsidR="00961617" w:rsidRPr="006D7281" w:rsidRDefault="00961617" w:rsidP="0020771F">
            <w:pPr>
              <w:pStyle w:val="Tablebody2"/>
              <w:ind w:right="572"/>
              <w:rPr>
                <w:rFonts w:cstheme="minorHAnsi"/>
              </w:rPr>
            </w:pPr>
            <w:r w:rsidRPr="006D7281">
              <w:rPr>
                <w:rFonts w:cstheme="minorHAnsi"/>
              </w:rPr>
              <w:t>40.5</w:t>
            </w:r>
          </w:p>
        </w:tc>
        <w:tc>
          <w:tcPr>
            <w:tcW w:w="1896" w:type="dxa"/>
            <w:tcBorders>
              <w:top w:val="nil"/>
              <w:left w:val="nil"/>
              <w:bottom w:val="nil"/>
              <w:right w:val="nil"/>
            </w:tcBorders>
          </w:tcPr>
          <w:p w14:paraId="570DEA76" w14:textId="77777777" w:rsidR="00961617" w:rsidRPr="006D7281" w:rsidRDefault="00961617" w:rsidP="0020771F">
            <w:pPr>
              <w:pStyle w:val="Tablebody2"/>
              <w:rPr>
                <w:rFonts w:cstheme="minorHAnsi"/>
              </w:rPr>
            </w:pPr>
            <w:r w:rsidRPr="006D7281">
              <w:rPr>
                <w:rFonts w:cstheme="minorHAnsi"/>
              </w:rPr>
              <w:t>40.4</w:t>
            </w:r>
          </w:p>
        </w:tc>
      </w:tr>
      <w:tr w:rsidR="00961617" w:rsidRPr="002F5864" w14:paraId="6832DE95" w14:textId="77777777" w:rsidTr="00EE47DD">
        <w:tc>
          <w:tcPr>
            <w:tcW w:w="5159" w:type="dxa"/>
            <w:tcBorders>
              <w:top w:val="nil"/>
            </w:tcBorders>
            <w:shd w:val="clear" w:color="auto" w:fill="E5E5E5" w:themeFill="background1" w:themeFillTint="33"/>
          </w:tcPr>
          <w:p w14:paraId="36684D89" w14:textId="77777777" w:rsidR="00961617" w:rsidRPr="002F5864" w:rsidRDefault="00961617" w:rsidP="0020771F">
            <w:pPr>
              <w:pStyle w:val="TableBody1"/>
              <w:rPr>
                <w:rFonts w:cstheme="minorHAnsi"/>
                <w:b/>
              </w:rPr>
            </w:pPr>
            <w:r>
              <w:rPr>
                <w:rFonts w:cstheme="minorHAnsi"/>
              </w:rPr>
              <w:t xml:space="preserve">Age group: </w:t>
            </w:r>
            <w:r w:rsidRPr="002F5864">
              <w:rPr>
                <w:rFonts w:cstheme="minorHAnsi"/>
              </w:rPr>
              <w:t>18-29</w:t>
            </w:r>
          </w:p>
        </w:tc>
        <w:tc>
          <w:tcPr>
            <w:tcW w:w="1984" w:type="dxa"/>
            <w:tcBorders>
              <w:top w:val="nil"/>
            </w:tcBorders>
            <w:shd w:val="clear" w:color="auto" w:fill="E5E5E5" w:themeFill="background1" w:themeFillTint="33"/>
          </w:tcPr>
          <w:p w14:paraId="5A7347F3" w14:textId="77777777" w:rsidR="00961617" w:rsidRPr="002F5864" w:rsidRDefault="00961617" w:rsidP="0020771F">
            <w:pPr>
              <w:pStyle w:val="Tablebody2"/>
              <w:ind w:right="572"/>
              <w:rPr>
                <w:rFonts w:cstheme="minorHAnsi"/>
              </w:rPr>
            </w:pPr>
            <w:r w:rsidRPr="002F5864">
              <w:rPr>
                <w:rFonts w:cstheme="minorHAnsi"/>
              </w:rPr>
              <w:t>30.0</w:t>
            </w:r>
          </w:p>
        </w:tc>
        <w:tc>
          <w:tcPr>
            <w:tcW w:w="1896" w:type="dxa"/>
            <w:tcBorders>
              <w:top w:val="nil"/>
            </w:tcBorders>
            <w:shd w:val="clear" w:color="auto" w:fill="E5E5E5" w:themeFill="background1" w:themeFillTint="33"/>
          </w:tcPr>
          <w:p w14:paraId="139C248D" w14:textId="77777777" w:rsidR="00961617" w:rsidRPr="002F5864" w:rsidRDefault="00961617" w:rsidP="0020771F">
            <w:pPr>
              <w:pStyle w:val="Tablebody2"/>
              <w:rPr>
                <w:rFonts w:cstheme="minorHAnsi"/>
              </w:rPr>
            </w:pPr>
            <w:r w:rsidRPr="002F5864">
              <w:rPr>
                <w:rFonts w:cstheme="minorHAnsi"/>
              </w:rPr>
              <w:t>29.2</w:t>
            </w:r>
          </w:p>
        </w:tc>
      </w:tr>
      <w:tr w:rsidR="00961617" w:rsidRPr="002F5864" w14:paraId="6692D205" w14:textId="77777777" w:rsidTr="00EE47DD">
        <w:tc>
          <w:tcPr>
            <w:tcW w:w="5159" w:type="dxa"/>
          </w:tcPr>
          <w:p w14:paraId="0291DE2A" w14:textId="77777777" w:rsidR="00961617" w:rsidRPr="002F5864" w:rsidRDefault="00961617" w:rsidP="0020771F">
            <w:pPr>
              <w:pStyle w:val="TableBody1"/>
              <w:rPr>
                <w:rFonts w:cstheme="minorHAnsi"/>
              </w:rPr>
            </w:pPr>
            <w:r>
              <w:rPr>
                <w:rFonts w:cstheme="minorHAnsi"/>
              </w:rPr>
              <w:t xml:space="preserve">Age group: </w:t>
            </w:r>
            <w:r w:rsidRPr="002F5864">
              <w:rPr>
                <w:rFonts w:cstheme="minorHAnsi"/>
              </w:rPr>
              <w:t>30-49</w:t>
            </w:r>
          </w:p>
        </w:tc>
        <w:tc>
          <w:tcPr>
            <w:tcW w:w="1984" w:type="dxa"/>
          </w:tcPr>
          <w:p w14:paraId="3104912E" w14:textId="77777777" w:rsidR="00961617" w:rsidRPr="002F5864" w:rsidRDefault="00961617" w:rsidP="0020771F">
            <w:pPr>
              <w:pStyle w:val="Tablebody2"/>
              <w:ind w:right="572"/>
              <w:rPr>
                <w:rFonts w:cstheme="minorHAnsi"/>
              </w:rPr>
            </w:pPr>
            <w:r w:rsidRPr="002F5864">
              <w:rPr>
                <w:rFonts w:cstheme="minorHAnsi"/>
              </w:rPr>
              <w:t>70.0</w:t>
            </w:r>
          </w:p>
        </w:tc>
        <w:tc>
          <w:tcPr>
            <w:tcW w:w="1896" w:type="dxa"/>
          </w:tcPr>
          <w:p w14:paraId="174253BA" w14:textId="77777777" w:rsidR="00961617" w:rsidRPr="002F5864" w:rsidRDefault="00961617" w:rsidP="0020771F">
            <w:pPr>
              <w:pStyle w:val="Tablebody2"/>
              <w:rPr>
                <w:rFonts w:cstheme="minorHAnsi"/>
              </w:rPr>
            </w:pPr>
            <w:r w:rsidRPr="002F5864">
              <w:rPr>
                <w:rFonts w:cstheme="minorHAnsi"/>
              </w:rPr>
              <w:t>70.8</w:t>
            </w:r>
          </w:p>
        </w:tc>
      </w:tr>
      <w:tr w:rsidR="00961617" w:rsidRPr="002F5864" w14:paraId="17863C93" w14:textId="77777777" w:rsidTr="00EE47DD">
        <w:tc>
          <w:tcPr>
            <w:tcW w:w="5159" w:type="dxa"/>
            <w:shd w:val="clear" w:color="auto" w:fill="E5E5E5" w:themeFill="background1" w:themeFillTint="33"/>
          </w:tcPr>
          <w:p w14:paraId="299006A6"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Less than Year 10</w:t>
            </w:r>
          </w:p>
        </w:tc>
        <w:tc>
          <w:tcPr>
            <w:tcW w:w="1984" w:type="dxa"/>
            <w:shd w:val="clear" w:color="auto" w:fill="E5E5E5" w:themeFill="background1" w:themeFillTint="33"/>
          </w:tcPr>
          <w:p w14:paraId="155BD950" w14:textId="77777777" w:rsidR="00961617" w:rsidRPr="002F5864" w:rsidRDefault="00961617" w:rsidP="0020771F">
            <w:pPr>
              <w:pStyle w:val="Tablebody2"/>
              <w:ind w:right="572"/>
              <w:rPr>
                <w:rFonts w:cstheme="minorHAnsi"/>
              </w:rPr>
            </w:pPr>
            <w:r w:rsidRPr="002F5864">
              <w:rPr>
                <w:rFonts w:cstheme="minorHAnsi"/>
              </w:rPr>
              <w:t>22.2</w:t>
            </w:r>
          </w:p>
        </w:tc>
        <w:tc>
          <w:tcPr>
            <w:tcW w:w="1896" w:type="dxa"/>
            <w:shd w:val="clear" w:color="auto" w:fill="E5E5E5" w:themeFill="background1" w:themeFillTint="33"/>
          </w:tcPr>
          <w:p w14:paraId="7FAC7EB7" w14:textId="77777777" w:rsidR="00961617" w:rsidRPr="002F5864" w:rsidRDefault="00961617" w:rsidP="0020771F">
            <w:pPr>
              <w:pStyle w:val="Tablebody2"/>
              <w:rPr>
                <w:rFonts w:cstheme="minorHAnsi"/>
              </w:rPr>
            </w:pPr>
            <w:r w:rsidRPr="002F5864">
              <w:rPr>
                <w:rFonts w:cstheme="minorHAnsi"/>
              </w:rPr>
              <w:t>21.5</w:t>
            </w:r>
          </w:p>
        </w:tc>
      </w:tr>
      <w:tr w:rsidR="00961617" w:rsidRPr="002F5864" w14:paraId="56E3758E" w14:textId="77777777" w:rsidTr="00EE47DD">
        <w:tc>
          <w:tcPr>
            <w:tcW w:w="5159" w:type="dxa"/>
          </w:tcPr>
          <w:p w14:paraId="13CEA441"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Completed Year 10/11</w:t>
            </w:r>
          </w:p>
        </w:tc>
        <w:tc>
          <w:tcPr>
            <w:tcW w:w="1984" w:type="dxa"/>
          </w:tcPr>
          <w:p w14:paraId="798004B6" w14:textId="77777777" w:rsidR="00961617" w:rsidRPr="002F5864" w:rsidRDefault="00961617" w:rsidP="0020771F">
            <w:pPr>
              <w:pStyle w:val="Tablebody2"/>
              <w:ind w:right="572"/>
              <w:rPr>
                <w:rFonts w:cstheme="minorHAnsi"/>
              </w:rPr>
            </w:pPr>
            <w:r w:rsidRPr="002F5864">
              <w:rPr>
                <w:rFonts w:cstheme="minorHAnsi"/>
              </w:rPr>
              <w:t>39.3</w:t>
            </w:r>
          </w:p>
        </w:tc>
        <w:tc>
          <w:tcPr>
            <w:tcW w:w="1896" w:type="dxa"/>
          </w:tcPr>
          <w:p w14:paraId="3F41B5AD" w14:textId="77777777" w:rsidR="00961617" w:rsidRPr="002F5864" w:rsidRDefault="00961617" w:rsidP="0020771F">
            <w:pPr>
              <w:pStyle w:val="Tablebody2"/>
              <w:rPr>
                <w:rFonts w:cstheme="minorHAnsi"/>
              </w:rPr>
            </w:pPr>
            <w:r w:rsidRPr="002F5864">
              <w:rPr>
                <w:rFonts w:cstheme="minorHAnsi"/>
              </w:rPr>
              <w:t>37.1</w:t>
            </w:r>
          </w:p>
        </w:tc>
      </w:tr>
      <w:tr w:rsidR="00961617" w:rsidRPr="002F5864" w14:paraId="25A52E09" w14:textId="77777777" w:rsidTr="00EE47DD">
        <w:tc>
          <w:tcPr>
            <w:tcW w:w="5159" w:type="dxa"/>
            <w:shd w:val="clear" w:color="auto" w:fill="E5E5E5" w:themeFill="background1" w:themeFillTint="33"/>
          </w:tcPr>
          <w:p w14:paraId="6F219BE7"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Completed Year 12</w:t>
            </w:r>
          </w:p>
        </w:tc>
        <w:tc>
          <w:tcPr>
            <w:tcW w:w="1984" w:type="dxa"/>
            <w:shd w:val="clear" w:color="auto" w:fill="E5E5E5" w:themeFill="background1" w:themeFillTint="33"/>
          </w:tcPr>
          <w:p w14:paraId="7766EC85" w14:textId="77777777" w:rsidR="00961617" w:rsidRPr="002F5864" w:rsidRDefault="00961617" w:rsidP="0020771F">
            <w:pPr>
              <w:pStyle w:val="Tablebody2"/>
              <w:ind w:right="572"/>
              <w:rPr>
                <w:rFonts w:cstheme="minorHAnsi"/>
              </w:rPr>
            </w:pPr>
            <w:r w:rsidRPr="002F5864">
              <w:rPr>
                <w:rFonts w:cstheme="minorHAnsi"/>
              </w:rPr>
              <w:t>12.3</w:t>
            </w:r>
          </w:p>
        </w:tc>
        <w:tc>
          <w:tcPr>
            <w:tcW w:w="1896" w:type="dxa"/>
            <w:shd w:val="clear" w:color="auto" w:fill="E5E5E5" w:themeFill="background1" w:themeFillTint="33"/>
          </w:tcPr>
          <w:p w14:paraId="428C910B" w14:textId="77777777" w:rsidR="00961617" w:rsidRPr="002F5864" w:rsidRDefault="00961617" w:rsidP="0020771F">
            <w:pPr>
              <w:pStyle w:val="Tablebody2"/>
              <w:rPr>
                <w:rFonts w:cstheme="minorHAnsi"/>
              </w:rPr>
            </w:pPr>
            <w:r w:rsidRPr="002F5864">
              <w:rPr>
                <w:rFonts w:cstheme="minorHAnsi"/>
              </w:rPr>
              <w:t>12.3</w:t>
            </w:r>
          </w:p>
        </w:tc>
      </w:tr>
      <w:tr w:rsidR="00961617" w:rsidRPr="002F5864" w14:paraId="51057950" w14:textId="77777777" w:rsidTr="00EE47DD">
        <w:tc>
          <w:tcPr>
            <w:tcW w:w="5159" w:type="dxa"/>
          </w:tcPr>
          <w:p w14:paraId="4CE3DD58"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Non-trade vocational education/diploma equivalent</w:t>
            </w:r>
          </w:p>
        </w:tc>
        <w:tc>
          <w:tcPr>
            <w:tcW w:w="1984" w:type="dxa"/>
          </w:tcPr>
          <w:p w14:paraId="5CAF5D25" w14:textId="77777777" w:rsidR="00961617" w:rsidRPr="002F5864" w:rsidRDefault="00961617" w:rsidP="0020771F">
            <w:pPr>
              <w:pStyle w:val="Tablebody2"/>
              <w:ind w:right="572"/>
              <w:rPr>
                <w:rFonts w:cstheme="minorHAnsi"/>
              </w:rPr>
            </w:pPr>
            <w:r w:rsidRPr="002F5864">
              <w:rPr>
                <w:rFonts w:cstheme="minorHAnsi"/>
              </w:rPr>
              <w:t>15.7</w:t>
            </w:r>
          </w:p>
        </w:tc>
        <w:tc>
          <w:tcPr>
            <w:tcW w:w="1896" w:type="dxa"/>
          </w:tcPr>
          <w:p w14:paraId="4E954F06" w14:textId="77777777" w:rsidR="00961617" w:rsidRPr="002F5864" w:rsidRDefault="00961617" w:rsidP="0020771F">
            <w:pPr>
              <w:pStyle w:val="Tablebody2"/>
              <w:rPr>
                <w:rFonts w:cstheme="minorHAnsi"/>
              </w:rPr>
            </w:pPr>
            <w:r w:rsidRPr="002F5864">
              <w:rPr>
                <w:rFonts w:cstheme="minorHAnsi"/>
              </w:rPr>
              <w:t>18.2</w:t>
            </w:r>
          </w:p>
        </w:tc>
      </w:tr>
      <w:tr w:rsidR="00961617" w:rsidRPr="002F5864" w14:paraId="7EF4E3C6" w14:textId="77777777" w:rsidTr="00EE47DD">
        <w:tc>
          <w:tcPr>
            <w:tcW w:w="5159" w:type="dxa"/>
            <w:shd w:val="clear" w:color="auto" w:fill="E5E5E5" w:themeFill="background1" w:themeFillTint="33"/>
          </w:tcPr>
          <w:p w14:paraId="5A0BCDA0"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Trades qualification</w:t>
            </w:r>
          </w:p>
        </w:tc>
        <w:tc>
          <w:tcPr>
            <w:tcW w:w="1984" w:type="dxa"/>
            <w:shd w:val="clear" w:color="auto" w:fill="E5E5E5" w:themeFill="background1" w:themeFillTint="33"/>
          </w:tcPr>
          <w:p w14:paraId="11DC4B9E" w14:textId="77777777" w:rsidR="00961617" w:rsidRPr="002F5864" w:rsidRDefault="00961617" w:rsidP="0020771F">
            <w:pPr>
              <w:pStyle w:val="Tablebody2"/>
              <w:ind w:right="572"/>
              <w:rPr>
                <w:rFonts w:cstheme="minorHAnsi"/>
              </w:rPr>
            </w:pPr>
            <w:r w:rsidRPr="002F5864">
              <w:rPr>
                <w:rFonts w:cstheme="minorHAnsi"/>
              </w:rPr>
              <w:t>6.6</w:t>
            </w:r>
          </w:p>
        </w:tc>
        <w:tc>
          <w:tcPr>
            <w:tcW w:w="1896" w:type="dxa"/>
            <w:shd w:val="clear" w:color="auto" w:fill="E5E5E5" w:themeFill="background1" w:themeFillTint="33"/>
          </w:tcPr>
          <w:p w14:paraId="4B4DB3BB" w14:textId="77777777" w:rsidR="00961617" w:rsidRPr="002F5864" w:rsidRDefault="00961617" w:rsidP="0020771F">
            <w:pPr>
              <w:pStyle w:val="Tablebody2"/>
              <w:rPr>
                <w:rFonts w:cstheme="minorHAnsi"/>
              </w:rPr>
            </w:pPr>
            <w:r w:rsidRPr="002F5864">
              <w:rPr>
                <w:rFonts w:cstheme="minorHAnsi"/>
              </w:rPr>
              <w:t>6.8</w:t>
            </w:r>
          </w:p>
        </w:tc>
      </w:tr>
      <w:tr w:rsidR="00961617" w:rsidRPr="002F5864" w14:paraId="6E498D5E" w14:textId="77777777" w:rsidTr="00EE47DD">
        <w:tc>
          <w:tcPr>
            <w:tcW w:w="5159" w:type="dxa"/>
          </w:tcPr>
          <w:p w14:paraId="13D310C7" w14:textId="77777777" w:rsidR="00961617" w:rsidRPr="002F5864" w:rsidRDefault="00961617" w:rsidP="0020771F">
            <w:pPr>
              <w:pStyle w:val="TableBody1"/>
              <w:rPr>
                <w:rFonts w:cstheme="minorHAnsi"/>
              </w:rPr>
            </w:pPr>
            <w:r w:rsidRPr="00B8309D">
              <w:rPr>
                <w:rFonts w:cstheme="minorHAnsi"/>
              </w:rPr>
              <w:t xml:space="preserve">Highest educational attainment: </w:t>
            </w:r>
            <w:r w:rsidRPr="002F5864">
              <w:rPr>
                <w:rFonts w:cstheme="minorHAnsi"/>
              </w:rPr>
              <w:t>Tertiary qualification</w:t>
            </w:r>
          </w:p>
        </w:tc>
        <w:tc>
          <w:tcPr>
            <w:tcW w:w="1984" w:type="dxa"/>
          </w:tcPr>
          <w:p w14:paraId="233760DC" w14:textId="77777777" w:rsidR="00961617" w:rsidRPr="002F5864" w:rsidRDefault="00961617" w:rsidP="0020771F">
            <w:pPr>
              <w:pStyle w:val="Tablebody2"/>
              <w:ind w:right="572"/>
              <w:rPr>
                <w:rFonts w:cstheme="minorHAnsi"/>
              </w:rPr>
            </w:pPr>
            <w:r w:rsidRPr="002F5864">
              <w:rPr>
                <w:rFonts w:cstheme="minorHAnsi"/>
              </w:rPr>
              <w:t>4.0</w:t>
            </w:r>
          </w:p>
        </w:tc>
        <w:tc>
          <w:tcPr>
            <w:tcW w:w="1896" w:type="dxa"/>
          </w:tcPr>
          <w:p w14:paraId="1E8BA51A" w14:textId="77777777" w:rsidR="00961617" w:rsidRPr="002F5864" w:rsidRDefault="00961617" w:rsidP="0020771F">
            <w:pPr>
              <w:pStyle w:val="Tablebody2"/>
              <w:rPr>
                <w:rFonts w:cstheme="minorHAnsi"/>
              </w:rPr>
            </w:pPr>
            <w:r w:rsidRPr="002F5864">
              <w:rPr>
                <w:rFonts w:cstheme="minorHAnsi"/>
              </w:rPr>
              <w:t>4.1</w:t>
            </w:r>
          </w:p>
        </w:tc>
      </w:tr>
      <w:tr w:rsidR="00961617" w:rsidRPr="002F5864" w14:paraId="45428F58" w14:textId="77777777" w:rsidTr="00EE47DD">
        <w:tc>
          <w:tcPr>
            <w:tcW w:w="5159" w:type="dxa"/>
            <w:shd w:val="clear" w:color="auto" w:fill="E5E5E5" w:themeFill="background1" w:themeFillTint="33"/>
          </w:tcPr>
          <w:p w14:paraId="16C12E76" w14:textId="77777777" w:rsidR="00961617" w:rsidRPr="002F5864" w:rsidRDefault="00961617" w:rsidP="0020771F">
            <w:pPr>
              <w:pStyle w:val="TableBody1"/>
              <w:rPr>
                <w:rFonts w:cstheme="minorHAnsi"/>
              </w:rPr>
            </w:pPr>
            <w:r w:rsidRPr="00B8309D">
              <w:rPr>
                <w:rFonts w:cstheme="minorHAnsi"/>
              </w:rPr>
              <w:t xml:space="preserve">Type of income support: </w:t>
            </w:r>
            <w:r w:rsidRPr="002F5864">
              <w:rPr>
                <w:rFonts w:cstheme="minorHAnsi"/>
              </w:rPr>
              <w:t>Newstart Allowance</w:t>
            </w:r>
          </w:p>
        </w:tc>
        <w:tc>
          <w:tcPr>
            <w:tcW w:w="1984" w:type="dxa"/>
            <w:shd w:val="clear" w:color="auto" w:fill="E5E5E5" w:themeFill="background1" w:themeFillTint="33"/>
          </w:tcPr>
          <w:p w14:paraId="0C201A25" w14:textId="77777777" w:rsidR="00961617" w:rsidRPr="002F5864" w:rsidRDefault="00961617" w:rsidP="0020771F">
            <w:pPr>
              <w:pStyle w:val="Tablebody2"/>
              <w:ind w:right="572"/>
              <w:rPr>
                <w:rFonts w:cstheme="minorHAnsi"/>
              </w:rPr>
            </w:pPr>
            <w:r w:rsidRPr="002F5864">
              <w:rPr>
                <w:rFonts w:cstheme="minorHAnsi"/>
              </w:rPr>
              <w:t>91.2</w:t>
            </w:r>
          </w:p>
        </w:tc>
        <w:tc>
          <w:tcPr>
            <w:tcW w:w="1896" w:type="dxa"/>
            <w:shd w:val="clear" w:color="auto" w:fill="E5E5E5" w:themeFill="background1" w:themeFillTint="33"/>
          </w:tcPr>
          <w:p w14:paraId="4697B689" w14:textId="77777777" w:rsidR="00961617" w:rsidRPr="002F5864" w:rsidRDefault="00961617" w:rsidP="0020771F">
            <w:pPr>
              <w:pStyle w:val="Tablebody2"/>
              <w:rPr>
                <w:rFonts w:cstheme="minorHAnsi"/>
              </w:rPr>
            </w:pPr>
            <w:r w:rsidRPr="002F5864">
              <w:rPr>
                <w:rFonts w:cstheme="minorHAnsi"/>
              </w:rPr>
              <w:t>89.3</w:t>
            </w:r>
          </w:p>
        </w:tc>
      </w:tr>
      <w:tr w:rsidR="00961617" w:rsidRPr="002F5864" w14:paraId="3E66EC8C" w14:textId="77777777" w:rsidTr="00EE47DD">
        <w:tc>
          <w:tcPr>
            <w:tcW w:w="5159" w:type="dxa"/>
          </w:tcPr>
          <w:p w14:paraId="2581FA30" w14:textId="77777777" w:rsidR="00961617" w:rsidRPr="002F5864" w:rsidRDefault="00961617" w:rsidP="0020771F">
            <w:pPr>
              <w:pStyle w:val="TableBody1"/>
              <w:rPr>
                <w:rFonts w:cstheme="minorHAnsi"/>
              </w:rPr>
            </w:pPr>
            <w:r w:rsidRPr="00B8309D">
              <w:rPr>
                <w:rFonts w:cstheme="minorHAnsi"/>
              </w:rPr>
              <w:t xml:space="preserve">Type of income support: </w:t>
            </w:r>
            <w:r w:rsidRPr="002F5864">
              <w:rPr>
                <w:rFonts w:cstheme="minorHAnsi"/>
              </w:rPr>
              <w:t>Youth Allowance (other)</w:t>
            </w:r>
          </w:p>
        </w:tc>
        <w:tc>
          <w:tcPr>
            <w:tcW w:w="1984" w:type="dxa"/>
          </w:tcPr>
          <w:p w14:paraId="0667C767" w14:textId="77777777" w:rsidR="00961617" w:rsidRPr="002F5864" w:rsidRDefault="00961617" w:rsidP="0020771F">
            <w:pPr>
              <w:pStyle w:val="Tablebody2"/>
              <w:ind w:right="572"/>
              <w:rPr>
                <w:rFonts w:cstheme="minorHAnsi"/>
              </w:rPr>
            </w:pPr>
            <w:r w:rsidRPr="002F5864">
              <w:rPr>
                <w:rFonts w:cstheme="minorHAnsi"/>
              </w:rPr>
              <w:t>2.6</w:t>
            </w:r>
          </w:p>
        </w:tc>
        <w:tc>
          <w:tcPr>
            <w:tcW w:w="1896" w:type="dxa"/>
          </w:tcPr>
          <w:p w14:paraId="5659643A" w14:textId="77777777" w:rsidR="00961617" w:rsidRPr="002F5864" w:rsidRDefault="00961617" w:rsidP="0020771F">
            <w:pPr>
              <w:pStyle w:val="Tablebody2"/>
              <w:rPr>
                <w:rFonts w:cstheme="minorHAnsi"/>
              </w:rPr>
            </w:pPr>
            <w:r w:rsidRPr="002F5864">
              <w:rPr>
                <w:rFonts w:cstheme="minorHAnsi"/>
              </w:rPr>
              <w:t>4.2</w:t>
            </w:r>
          </w:p>
        </w:tc>
      </w:tr>
      <w:tr w:rsidR="00961617" w:rsidRPr="002F5864" w14:paraId="55F92714" w14:textId="77777777" w:rsidTr="00EE47DD">
        <w:tc>
          <w:tcPr>
            <w:tcW w:w="5159" w:type="dxa"/>
            <w:shd w:val="clear" w:color="auto" w:fill="E5E5E5" w:themeFill="background1" w:themeFillTint="33"/>
          </w:tcPr>
          <w:p w14:paraId="0D8D8AC8" w14:textId="77777777" w:rsidR="00961617" w:rsidRPr="002F5864" w:rsidRDefault="00961617" w:rsidP="0020771F">
            <w:pPr>
              <w:pStyle w:val="TableBody1"/>
              <w:rPr>
                <w:rFonts w:cstheme="minorHAnsi"/>
              </w:rPr>
            </w:pPr>
            <w:r w:rsidRPr="00B8309D">
              <w:rPr>
                <w:rFonts w:cstheme="minorHAnsi"/>
              </w:rPr>
              <w:t xml:space="preserve">Type of income support: </w:t>
            </w:r>
            <w:r w:rsidRPr="002F5864">
              <w:rPr>
                <w:rFonts w:cstheme="minorHAnsi"/>
              </w:rPr>
              <w:t>Parenting payment</w:t>
            </w:r>
          </w:p>
        </w:tc>
        <w:tc>
          <w:tcPr>
            <w:tcW w:w="1984" w:type="dxa"/>
            <w:shd w:val="clear" w:color="auto" w:fill="E5E5E5" w:themeFill="background1" w:themeFillTint="33"/>
          </w:tcPr>
          <w:p w14:paraId="0A11DEEB" w14:textId="77777777" w:rsidR="00961617" w:rsidRPr="002F5864" w:rsidRDefault="00961617" w:rsidP="0020771F">
            <w:pPr>
              <w:pStyle w:val="Tablebody2"/>
              <w:ind w:right="572"/>
              <w:rPr>
                <w:rFonts w:cstheme="minorHAnsi"/>
              </w:rPr>
            </w:pPr>
            <w:r w:rsidRPr="002F5864">
              <w:rPr>
                <w:rFonts w:cstheme="minorHAnsi"/>
              </w:rPr>
              <w:t>6.2</w:t>
            </w:r>
          </w:p>
        </w:tc>
        <w:tc>
          <w:tcPr>
            <w:tcW w:w="1896" w:type="dxa"/>
            <w:shd w:val="clear" w:color="auto" w:fill="E5E5E5" w:themeFill="background1" w:themeFillTint="33"/>
          </w:tcPr>
          <w:p w14:paraId="6AA1A30D" w14:textId="77777777" w:rsidR="00961617" w:rsidRPr="002F5864" w:rsidRDefault="00961617" w:rsidP="0020771F">
            <w:pPr>
              <w:pStyle w:val="Tablebody2"/>
              <w:rPr>
                <w:rFonts w:cstheme="minorHAnsi"/>
              </w:rPr>
            </w:pPr>
            <w:r w:rsidRPr="002F5864">
              <w:rPr>
                <w:rFonts w:cstheme="minorHAnsi"/>
              </w:rPr>
              <w:t>6.5</w:t>
            </w:r>
          </w:p>
        </w:tc>
      </w:tr>
      <w:tr w:rsidR="00961617" w:rsidRPr="00B8309D" w14:paraId="00DDEC2B" w14:textId="77777777" w:rsidTr="00EE47DD">
        <w:tc>
          <w:tcPr>
            <w:tcW w:w="5159" w:type="dxa"/>
          </w:tcPr>
          <w:p w14:paraId="525CFFAF" w14:textId="77777777" w:rsidR="00961617" w:rsidRPr="00B8309D" w:rsidRDefault="00961617" w:rsidP="0020771F">
            <w:pPr>
              <w:pStyle w:val="TableBody1"/>
              <w:rPr>
                <w:rFonts w:cstheme="minorHAnsi"/>
              </w:rPr>
            </w:pPr>
            <w:r w:rsidRPr="00B8309D">
              <w:rPr>
                <w:rFonts w:cstheme="minorHAnsi"/>
              </w:rPr>
              <w:t>Indigenous</w:t>
            </w:r>
          </w:p>
        </w:tc>
        <w:tc>
          <w:tcPr>
            <w:tcW w:w="1984" w:type="dxa"/>
          </w:tcPr>
          <w:p w14:paraId="54C9B91C" w14:textId="77777777" w:rsidR="00961617" w:rsidRPr="00B8309D" w:rsidRDefault="00961617" w:rsidP="0020771F">
            <w:pPr>
              <w:pStyle w:val="Tablebody2"/>
              <w:ind w:right="572"/>
              <w:rPr>
                <w:rFonts w:cstheme="minorHAnsi"/>
              </w:rPr>
            </w:pPr>
            <w:r w:rsidRPr="00B8309D">
              <w:rPr>
                <w:rFonts w:cstheme="minorHAnsi"/>
              </w:rPr>
              <w:t>20.1</w:t>
            </w:r>
          </w:p>
        </w:tc>
        <w:tc>
          <w:tcPr>
            <w:tcW w:w="1896" w:type="dxa"/>
          </w:tcPr>
          <w:p w14:paraId="59CF4D86" w14:textId="77777777" w:rsidR="00961617" w:rsidRPr="00B8309D" w:rsidRDefault="00961617" w:rsidP="0020771F">
            <w:pPr>
              <w:pStyle w:val="Tablebody2"/>
              <w:rPr>
                <w:rFonts w:cstheme="minorHAnsi"/>
              </w:rPr>
            </w:pPr>
            <w:r w:rsidRPr="00B8309D">
              <w:rPr>
                <w:rFonts w:cstheme="minorHAnsi"/>
              </w:rPr>
              <w:t>19.6</w:t>
            </w:r>
          </w:p>
        </w:tc>
      </w:tr>
      <w:tr w:rsidR="00961617" w:rsidRPr="00B8309D" w14:paraId="6570CA5E" w14:textId="77777777" w:rsidTr="00EE47DD">
        <w:tc>
          <w:tcPr>
            <w:tcW w:w="5159" w:type="dxa"/>
            <w:shd w:val="clear" w:color="auto" w:fill="E5E5E5" w:themeFill="background1" w:themeFillTint="33"/>
          </w:tcPr>
          <w:p w14:paraId="5CB9E2F8" w14:textId="77777777" w:rsidR="00961617" w:rsidRPr="00B8309D" w:rsidRDefault="00961617" w:rsidP="0020771F">
            <w:pPr>
              <w:pStyle w:val="TableBody1"/>
              <w:rPr>
                <w:rFonts w:cstheme="minorHAnsi"/>
              </w:rPr>
            </w:pPr>
            <w:r w:rsidRPr="00B8309D">
              <w:rPr>
                <w:rFonts w:cstheme="minorHAnsi"/>
              </w:rPr>
              <w:t>Non-English speaking country of birth</w:t>
            </w:r>
          </w:p>
        </w:tc>
        <w:tc>
          <w:tcPr>
            <w:tcW w:w="1984" w:type="dxa"/>
            <w:shd w:val="clear" w:color="auto" w:fill="E5E5E5" w:themeFill="background1" w:themeFillTint="33"/>
          </w:tcPr>
          <w:p w14:paraId="62452A85" w14:textId="77777777" w:rsidR="00961617" w:rsidRPr="00B8309D" w:rsidRDefault="00961617" w:rsidP="0020771F">
            <w:pPr>
              <w:pStyle w:val="Tablebody2"/>
              <w:ind w:right="572"/>
              <w:rPr>
                <w:rFonts w:cstheme="minorHAnsi"/>
              </w:rPr>
            </w:pPr>
            <w:r w:rsidRPr="00B8309D">
              <w:rPr>
                <w:rFonts w:cstheme="minorHAnsi"/>
              </w:rPr>
              <w:t>11.7</w:t>
            </w:r>
          </w:p>
        </w:tc>
        <w:tc>
          <w:tcPr>
            <w:tcW w:w="1896" w:type="dxa"/>
            <w:shd w:val="clear" w:color="auto" w:fill="E5E5E5" w:themeFill="background1" w:themeFillTint="33"/>
          </w:tcPr>
          <w:p w14:paraId="127D213D" w14:textId="77777777" w:rsidR="00961617" w:rsidRPr="00B8309D" w:rsidRDefault="00961617" w:rsidP="0020771F">
            <w:pPr>
              <w:pStyle w:val="Tablebody2"/>
              <w:rPr>
                <w:rFonts w:cstheme="minorHAnsi"/>
              </w:rPr>
            </w:pPr>
            <w:r w:rsidRPr="00B8309D">
              <w:rPr>
                <w:rFonts w:cstheme="minorHAnsi"/>
              </w:rPr>
              <w:t>11.6</w:t>
            </w:r>
          </w:p>
        </w:tc>
      </w:tr>
      <w:tr w:rsidR="00961617" w:rsidRPr="00B8309D" w14:paraId="78CC3B37" w14:textId="77777777" w:rsidTr="00EE47DD">
        <w:tc>
          <w:tcPr>
            <w:tcW w:w="5159" w:type="dxa"/>
          </w:tcPr>
          <w:p w14:paraId="3310749B" w14:textId="77777777" w:rsidR="00961617" w:rsidRPr="00B8309D" w:rsidRDefault="00961617" w:rsidP="0020771F">
            <w:pPr>
              <w:pStyle w:val="TableBody1"/>
              <w:rPr>
                <w:rFonts w:cstheme="minorHAnsi"/>
              </w:rPr>
            </w:pPr>
            <w:r w:rsidRPr="00B8309D">
              <w:rPr>
                <w:rFonts w:cstheme="minorHAnsi"/>
              </w:rPr>
              <w:t>Ex-offenders</w:t>
            </w:r>
          </w:p>
        </w:tc>
        <w:tc>
          <w:tcPr>
            <w:tcW w:w="1984" w:type="dxa"/>
          </w:tcPr>
          <w:p w14:paraId="19562CD6" w14:textId="77777777" w:rsidR="00961617" w:rsidRPr="00B8309D" w:rsidRDefault="00961617" w:rsidP="0020771F">
            <w:pPr>
              <w:pStyle w:val="Tablebody2"/>
              <w:ind w:right="572"/>
              <w:rPr>
                <w:rFonts w:cstheme="minorHAnsi"/>
              </w:rPr>
            </w:pPr>
            <w:r w:rsidRPr="00B8309D">
              <w:rPr>
                <w:rFonts w:cstheme="minorHAnsi"/>
              </w:rPr>
              <w:t>16.9</w:t>
            </w:r>
          </w:p>
        </w:tc>
        <w:tc>
          <w:tcPr>
            <w:tcW w:w="1896" w:type="dxa"/>
          </w:tcPr>
          <w:p w14:paraId="1A02CF02" w14:textId="77777777" w:rsidR="00961617" w:rsidRPr="00B8309D" w:rsidRDefault="00961617" w:rsidP="0020771F">
            <w:pPr>
              <w:pStyle w:val="Tablebody2"/>
              <w:rPr>
                <w:rFonts w:cstheme="minorHAnsi"/>
              </w:rPr>
            </w:pPr>
            <w:r w:rsidRPr="00B8309D">
              <w:rPr>
                <w:rFonts w:cstheme="minorHAnsi"/>
              </w:rPr>
              <w:t>17.4</w:t>
            </w:r>
          </w:p>
        </w:tc>
      </w:tr>
      <w:tr w:rsidR="00961617" w:rsidRPr="00B8309D" w14:paraId="7BA47685" w14:textId="77777777" w:rsidTr="00EE47DD">
        <w:tc>
          <w:tcPr>
            <w:tcW w:w="5159" w:type="dxa"/>
            <w:shd w:val="clear" w:color="auto" w:fill="E5E5E5" w:themeFill="background1" w:themeFillTint="33"/>
          </w:tcPr>
          <w:p w14:paraId="4E08B5B9" w14:textId="77777777" w:rsidR="00961617" w:rsidRPr="00B8309D" w:rsidRDefault="00961617" w:rsidP="0020771F">
            <w:pPr>
              <w:pStyle w:val="TableBody1"/>
              <w:rPr>
                <w:rFonts w:cstheme="minorHAnsi"/>
              </w:rPr>
            </w:pPr>
            <w:r w:rsidRPr="00B8309D">
              <w:rPr>
                <w:rFonts w:cstheme="minorHAnsi"/>
              </w:rPr>
              <w:t>Reported to have a disability or medical condition</w:t>
            </w:r>
          </w:p>
        </w:tc>
        <w:tc>
          <w:tcPr>
            <w:tcW w:w="1984" w:type="dxa"/>
            <w:shd w:val="clear" w:color="auto" w:fill="E5E5E5" w:themeFill="background1" w:themeFillTint="33"/>
          </w:tcPr>
          <w:p w14:paraId="3F306714" w14:textId="77777777" w:rsidR="00961617" w:rsidRPr="00B8309D" w:rsidRDefault="00961617" w:rsidP="0020771F">
            <w:pPr>
              <w:pStyle w:val="Tablebody2"/>
              <w:ind w:right="572"/>
              <w:rPr>
                <w:rFonts w:cstheme="minorHAnsi"/>
              </w:rPr>
            </w:pPr>
            <w:r w:rsidRPr="00B8309D">
              <w:rPr>
                <w:rFonts w:cstheme="minorHAnsi"/>
              </w:rPr>
              <w:t>25.4</w:t>
            </w:r>
          </w:p>
        </w:tc>
        <w:tc>
          <w:tcPr>
            <w:tcW w:w="1896" w:type="dxa"/>
            <w:shd w:val="clear" w:color="auto" w:fill="E5E5E5" w:themeFill="background1" w:themeFillTint="33"/>
          </w:tcPr>
          <w:p w14:paraId="3EEF412F" w14:textId="77777777" w:rsidR="00961617" w:rsidRPr="00B8309D" w:rsidRDefault="00961617" w:rsidP="0020771F">
            <w:pPr>
              <w:pStyle w:val="Tablebody2"/>
              <w:rPr>
                <w:rFonts w:cstheme="minorHAnsi"/>
              </w:rPr>
            </w:pPr>
            <w:r w:rsidRPr="00B8309D">
              <w:rPr>
                <w:rFonts w:cstheme="minorHAnsi"/>
              </w:rPr>
              <w:t>30.8</w:t>
            </w:r>
          </w:p>
        </w:tc>
      </w:tr>
      <w:tr w:rsidR="00961617" w:rsidRPr="00B8309D" w14:paraId="5137584D" w14:textId="77777777" w:rsidTr="00EE47DD">
        <w:tc>
          <w:tcPr>
            <w:tcW w:w="5159" w:type="dxa"/>
          </w:tcPr>
          <w:p w14:paraId="6F63D356" w14:textId="77777777" w:rsidR="00961617" w:rsidRPr="00B8309D" w:rsidRDefault="00961617" w:rsidP="0020771F">
            <w:pPr>
              <w:pStyle w:val="TableBody1"/>
              <w:rPr>
                <w:rFonts w:cstheme="minorHAnsi"/>
              </w:rPr>
            </w:pPr>
            <w:r w:rsidRPr="00B8309D">
              <w:rPr>
                <w:rFonts w:cstheme="minorHAnsi"/>
              </w:rPr>
              <w:t>Required at least one component of workplace support</w:t>
            </w:r>
          </w:p>
        </w:tc>
        <w:tc>
          <w:tcPr>
            <w:tcW w:w="1984" w:type="dxa"/>
          </w:tcPr>
          <w:p w14:paraId="63AF705E" w14:textId="77777777" w:rsidR="00961617" w:rsidRPr="00B8309D" w:rsidRDefault="00961617" w:rsidP="0020771F">
            <w:pPr>
              <w:pStyle w:val="Tablebody2"/>
              <w:ind w:right="572"/>
              <w:rPr>
                <w:rFonts w:cstheme="minorHAnsi"/>
              </w:rPr>
            </w:pPr>
            <w:r w:rsidRPr="00B8309D">
              <w:rPr>
                <w:rFonts w:cstheme="minorHAnsi"/>
              </w:rPr>
              <w:t>12.0</w:t>
            </w:r>
          </w:p>
        </w:tc>
        <w:tc>
          <w:tcPr>
            <w:tcW w:w="1896" w:type="dxa"/>
          </w:tcPr>
          <w:p w14:paraId="5C76B62A" w14:textId="77777777" w:rsidR="00961617" w:rsidRPr="00B8309D" w:rsidRDefault="00961617" w:rsidP="0020771F">
            <w:pPr>
              <w:pStyle w:val="Tablebody2"/>
              <w:rPr>
                <w:rFonts w:cstheme="minorHAnsi"/>
              </w:rPr>
            </w:pPr>
            <w:r w:rsidRPr="00B8309D">
              <w:rPr>
                <w:rFonts w:cstheme="minorHAnsi"/>
              </w:rPr>
              <w:t>11.9</w:t>
            </w:r>
          </w:p>
        </w:tc>
      </w:tr>
      <w:tr w:rsidR="00961617" w:rsidRPr="00B8309D" w14:paraId="45DF3A89" w14:textId="77777777" w:rsidTr="00EE47DD">
        <w:tc>
          <w:tcPr>
            <w:tcW w:w="5159" w:type="dxa"/>
            <w:shd w:val="clear" w:color="auto" w:fill="E5E5E5" w:themeFill="background1" w:themeFillTint="33"/>
          </w:tcPr>
          <w:p w14:paraId="53436327" w14:textId="77777777" w:rsidR="00961617" w:rsidRPr="00B8309D" w:rsidRDefault="00961617" w:rsidP="0020771F">
            <w:pPr>
              <w:pStyle w:val="TableBody1"/>
              <w:rPr>
                <w:rFonts w:cstheme="minorHAnsi"/>
              </w:rPr>
            </w:pPr>
            <w:r w:rsidRPr="00B8309D">
              <w:rPr>
                <w:rFonts w:cstheme="minorHAnsi"/>
              </w:rPr>
              <w:t>Previous work experience: worked in the last 2 years</w:t>
            </w:r>
          </w:p>
        </w:tc>
        <w:tc>
          <w:tcPr>
            <w:tcW w:w="1984" w:type="dxa"/>
            <w:shd w:val="clear" w:color="auto" w:fill="E5E5E5" w:themeFill="background1" w:themeFillTint="33"/>
          </w:tcPr>
          <w:p w14:paraId="5B3FBF8F" w14:textId="77777777" w:rsidR="00961617" w:rsidRPr="00B8309D" w:rsidRDefault="00961617" w:rsidP="0020771F">
            <w:pPr>
              <w:pStyle w:val="Tablebody2"/>
              <w:ind w:right="572"/>
              <w:rPr>
                <w:rFonts w:cstheme="minorHAnsi"/>
              </w:rPr>
            </w:pPr>
            <w:r w:rsidRPr="00B8309D">
              <w:rPr>
                <w:rFonts w:cstheme="minorHAnsi"/>
              </w:rPr>
              <w:t>24.5</w:t>
            </w:r>
          </w:p>
        </w:tc>
        <w:tc>
          <w:tcPr>
            <w:tcW w:w="1896" w:type="dxa"/>
            <w:shd w:val="clear" w:color="auto" w:fill="E5E5E5" w:themeFill="background1" w:themeFillTint="33"/>
          </w:tcPr>
          <w:p w14:paraId="37A4BC79" w14:textId="77777777" w:rsidR="00961617" w:rsidRPr="00B8309D" w:rsidRDefault="00961617" w:rsidP="0020771F">
            <w:pPr>
              <w:pStyle w:val="Tablebody2"/>
              <w:rPr>
                <w:rFonts w:cstheme="minorHAnsi"/>
              </w:rPr>
            </w:pPr>
            <w:r w:rsidRPr="00B8309D">
              <w:rPr>
                <w:rFonts w:cstheme="minorHAnsi"/>
              </w:rPr>
              <w:t>24.7</w:t>
            </w:r>
          </w:p>
        </w:tc>
      </w:tr>
      <w:tr w:rsidR="00961617" w:rsidRPr="00B8309D" w14:paraId="6BCC17EE" w14:textId="77777777" w:rsidTr="00EE47DD">
        <w:tc>
          <w:tcPr>
            <w:tcW w:w="5159" w:type="dxa"/>
          </w:tcPr>
          <w:p w14:paraId="1FD565AD" w14:textId="77777777" w:rsidR="00961617" w:rsidRPr="00B8309D" w:rsidRDefault="00961617" w:rsidP="0020771F">
            <w:pPr>
              <w:pStyle w:val="TableBody1"/>
              <w:rPr>
                <w:rFonts w:cstheme="minorHAnsi"/>
              </w:rPr>
            </w:pPr>
            <w:r w:rsidRPr="00B8309D">
              <w:rPr>
                <w:rFonts w:cstheme="minorHAnsi"/>
              </w:rPr>
              <w:t>Resided in metropolitan or inner regional area</w:t>
            </w:r>
          </w:p>
        </w:tc>
        <w:tc>
          <w:tcPr>
            <w:tcW w:w="1984" w:type="dxa"/>
          </w:tcPr>
          <w:p w14:paraId="58AA5166" w14:textId="77777777" w:rsidR="00961617" w:rsidRPr="00B8309D" w:rsidRDefault="00961617" w:rsidP="0020771F">
            <w:pPr>
              <w:pStyle w:val="Tablebody2"/>
              <w:ind w:right="572"/>
              <w:rPr>
                <w:rFonts w:cstheme="minorHAnsi"/>
              </w:rPr>
            </w:pPr>
            <w:r w:rsidRPr="00B8309D">
              <w:rPr>
                <w:rFonts w:cstheme="minorHAnsi"/>
              </w:rPr>
              <w:t>72.3</w:t>
            </w:r>
          </w:p>
        </w:tc>
        <w:tc>
          <w:tcPr>
            <w:tcW w:w="1896" w:type="dxa"/>
          </w:tcPr>
          <w:p w14:paraId="19018EB3" w14:textId="77777777" w:rsidR="00961617" w:rsidRPr="00B8309D" w:rsidRDefault="00961617" w:rsidP="0020771F">
            <w:pPr>
              <w:pStyle w:val="Tablebody2"/>
              <w:rPr>
                <w:rFonts w:cstheme="minorHAnsi"/>
              </w:rPr>
            </w:pPr>
            <w:r w:rsidRPr="00B8309D">
              <w:rPr>
                <w:rFonts w:cstheme="minorHAnsi"/>
              </w:rPr>
              <w:t>72.8</w:t>
            </w:r>
          </w:p>
        </w:tc>
      </w:tr>
      <w:tr w:rsidR="00961617" w:rsidRPr="002F5864" w14:paraId="04029366" w14:textId="77777777" w:rsidTr="00EE47DD">
        <w:tc>
          <w:tcPr>
            <w:tcW w:w="5159" w:type="dxa"/>
            <w:shd w:val="clear" w:color="auto" w:fill="E5E5E5" w:themeFill="background1" w:themeFillTint="33"/>
          </w:tcPr>
          <w:p w14:paraId="0FBEFA6D" w14:textId="77777777" w:rsidR="00961617" w:rsidRPr="002F5864" w:rsidRDefault="00961617" w:rsidP="0020771F">
            <w:pPr>
              <w:pStyle w:val="TableBody1"/>
              <w:rPr>
                <w:rFonts w:cstheme="minorHAnsi"/>
              </w:rPr>
            </w:pPr>
            <w:r w:rsidRPr="002F5864">
              <w:rPr>
                <w:rFonts w:cstheme="minorHAnsi"/>
              </w:rPr>
              <w:t xml:space="preserve">No </w:t>
            </w:r>
            <w:r>
              <w:rPr>
                <w:rFonts w:cstheme="minorHAnsi"/>
              </w:rPr>
              <w:t xml:space="preserve">access to </w:t>
            </w:r>
            <w:r w:rsidRPr="002F5864">
              <w:rPr>
                <w:rFonts w:cstheme="minorHAnsi"/>
              </w:rPr>
              <w:t>transport</w:t>
            </w:r>
          </w:p>
        </w:tc>
        <w:tc>
          <w:tcPr>
            <w:tcW w:w="1984" w:type="dxa"/>
            <w:shd w:val="clear" w:color="auto" w:fill="E5E5E5" w:themeFill="background1" w:themeFillTint="33"/>
          </w:tcPr>
          <w:p w14:paraId="2C99EFE8" w14:textId="77777777" w:rsidR="00961617" w:rsidRPr="002F5864" w:rsidRDefault="00961617" w:rsidP="0020771F">
            <w:pPr>
              <w:pStyle w:val="Tablebody2"/>
              <w:ind w:right="572"/>
              <w:rPr>
                <w:rFonts w:cstheme="minorHAnsi"/>
              </w:rPr>
            </w:pPr>
            <w:r w:rsidRPr="002F5864">
              <w:rPr>
                <w:rFonts w:cstheme="minorHAnsi"/>
              </w:rPr>
              <w:t>7.0</w:t>
            </w:r>
          </w:p>
        </w:tc>
        <w:tc>
          <w:tcPr>
            <w:tcW w:w="1896" w:type="dxa"/>
            <w:shd w:val="clear" w:color="auto" w:fill="E5E5E5" w:themeFill="background1" w:themeFillTint="33"/>
          </w:tcPr>
          <w:p w14:paraId="289555A0" w14:textId="77777777" w:rsidR="00961617" w:rsidRPr="002F5864" w:rsidRDefault="00961617" w:rsidP="0020771F">
            <w:pPr>
              <w:pStyle w:val="Tablebody2"/>
              <w:rPr>
                <w:rFonts w:cstheme="minorHAnsi"/>
              </w:rPr>
            </w:pPr>
            <w:r w:rsidRPr="002F5864">
              <w:rPr>
                <w:rFonts w:cstheme="minorHAnsi"/>
              </w:rPr>
              <w:t>6.6</w:t>
            </w:r>
          </w:p>
        </w:tc>
      </w:tr>
      <w:tr w:rsidR="00961617" w:rsidRPr="002F5864" w14:paraId="264367EA" w14:textId="77777777" w:rsidTr="00EE47DD">
        <w:tc>
          <w:tcPr>
            <w:tcW w:w="5159" w:type="dxa"/>
          </w:tcPr>
          <w:p w14:paraId="71DD7356" w14:textId="77777777" w:rsidR="00961617" w:rsidRPr="002F5864" w:rsidRDefault="00961617" w:rsidP="0020771F">
            <w:pPr>
              <w:pStyle w:val="TableBody1"/>
              <w:rPr>
                <w:rFonts w:cstheme="minorHAnsi"/>
              </w:rPr>
            </w:pPr>
            <w:r>
              <w:rPr>
                <w:rFonts w:cstheme="minorHAnsi"/>
              </w:rPr>
              <w:t>Access to o</w:t>
            </w:r>
            <w:r w:rsidRPr="002F5864">
              <w:rPr>
                <w:rFonts w:cstheme="minorHAnsi"/>
              </w:rPr>
              <w:t>wn transport</w:t>
            </w:r>
          </w:p>
        </w:tc>
        <w:tc>
          <w:tcPr>
            <w:tcW w:w="1984" w:type="dxa"/>
          </w:tcPr>
          <w:p w14:paraId="579EAECA" w14:textId="77777777" w:rsidR="00961617" w:rsidRPr="002F5864" w:rsidRDefault="00961617" w:rsidP="0020771F">
            <w:pPr>
              <w:pStyle w:val="Tablebody2"/>
              <w:ind w:right="572"/>
              <w:rPr>
                <w:rFonts w:cstheme="minorHAnsi"/>
              </w:rPr>
            </w:pPr>
            <w:r w:rsidRPr="002F5864">
              <w:rPr>
                <w:rFonts w:cstheme="minorHAnsi"/>
              </w:rPr>
              <w:t>68.9</w:t>
            </w:r>
          </w:p>
        </w:tc>
        <w:tc>
          <w:tcPr>
            <w:tcW w:w="1896" w:type="dxa"/>
          </w:tcPr>
          <w:p w14:paraId="7DA461A8" w14:textId="77777777" w:rsidR="00961617" w:rsidRPr="002F5864" w:rsidRDefault="00961617" w:rsidP="0020771F">
            <w:pPr>
              <w:pStyle w:val="Tablebody2"/>
              <w:rPr>
                <w:rFonts w:cstheme="minorHAnsi"/>
              </w:rPr>
            </w:pPr>
            <w:r w:rsidRPr="002F5864">
              <w:rPr>
                <w:rFonts w:cstheme="minorHAnsi"/>
              </w:rPr>
              <w:t>66.5</w:t>
            </w:r>
          </w:p>
        </w:tc>
      </w:tr>
      <w:tr w:rsidR="00961617" w:rsidRPr="002F5864" w14:paraId="3522303F" w14:textId="77777777" w:rsidTr="00EE47DD">
        <w:tc>
          <w:tcPr>
            <w:tcW w:w="5159" w:type="dxa"/>
            <w:shd w:val="clear" w:color="auto" w:fill="E5E5E5" w:themeFill="background1" w:themeFillTint="33"/>
          </w:tcPr>
          <w:p w14:paraId="02F6357B" w14:textId="77777777" w:rsidR="00961617" w:rsidRPr="002F5864" w:rsidRDefault="00961617" w:rsidP="0020771F">
            <w:pPr>
              <w:pStyle w:val="TableBody1"/>
              <w:rPr>
                <w:rFonts w:cstheme="minorHAnsi"/>
              </w:rPr>
            </w:pPr>
            <w:r>
              <w:rPr>
                <w:rFonts w:cstheme="minorHAnsi"/>
              </w:rPr>
              <w:t>Access to p</w:t>
            </w:r>
            <w:r w:rsidRPr="002F5864">
              <w:rPr>
                <w:rFonts w:cstheme="minorHAnsi"/>
              </w:rPr>
              <w:t>ublic transport</w:t>
            </w:r>
          </w:p>
        </w:tc>
        <w:tc>
          <w:tcPr>
            <w:tcW w:w="1984" w:type="dxa"/>
            <w:shd w:val="clear" w:color="auto" w:fill="E5E5E5" w:themeFill="background1" w:themeFillTint="33"/>
          </w:tcPr>
          <w:p w14:paraId="3A6E6F60" w14:textId="77777777" w:rsidR="00961617" w:rsidRPr="002F5864" w:rsidRDefault="00961617" w:rsidP="0020771F">
            <w:pPr>
              <w:pStyle w:val="Tablebody2"/>
              <w:ind w:right="572"/>
              <w:rPr>
                <w:rFonts w:cstheme="minorHAnsi"/>
              </w:rPr>
            </w:pPr>
            <w:r w:rsidRPr="002F5864">
              <w:rPr>
                <w:rFonts w:cstheme="minorHAnsi"/>
              </w:rPr>
              <w:t>24.1</w:t>
            </w:r>
          </w:p>
        </w:tc>
        <w:tc>
          <w:tcPr>
            <w:tcW w:w="1896" w:type="dxa"/>
            <w:shd w:val="clear" w:color="auto" w:fill="E5E5E5" w:themeFill="background1" w:themeFillTint="33"/>
          </w:tcPr>
          <w:p w14:paraId="39B3787D" w14:textId="77777777" w:rsidR="00961617" w:rsidRPr="002F5864" w:rsidRDefault="00961617" w:rsidP="0020771F">
            <w:pPr>
              <w:pStyle w:val="Tablebody2"/>
              <w:rPr>
                <w:rFonts w:cstheme="minorHAnsi"/>
              </w:rPr>
            </w:pPr>
            <w:r w:rsidRPr="002F5864">
              <w:rPr>
                <w:rFonts w:cstheme="minorHAnsi"/>
              </w:rPr>
              <w:t>26.9</w:t>
            </w:r>
          </w:p>
        </w:tc>
      </w:tr>
      <w:tr w:rsidR="00961617" w:rsidRPr="002F5864" w14:paraId="12948695" w14:textId="77777777" w:rsidTr="00EE47DD">
        <w:tc>
          <w:tcPr>
            <w:tcW w:w="5159" w:type="dxa"/>
          </w:tcPr>
          <w:p w14:paraId="7BA1BCBF" w14:textId="77777777" w:rsidR="00961617" w:rsidRPr="002F5864" w:rsidRDefault="00961617" w:rsidP="0020771F">
            <w:pPr>
              <w:pStyle w:val="TableBody1"/>
              <w:rPr>
                <w:rFonts w:cstheme="minorHAnsi"/>
              </w:rPr>
            </w:pPr>
            <w:r w:rsidRPr="002F5864">
              <w:rPr>
                <w:rFonts w:cstheme="minorHAnsi"/>
              </w:rPr>
              <w:t>Good</w:t>
            </w:r>
            <w:r>
              <w:rPr>
                <w:rFonts w:cstheme="minorHAnsi"/>
              </w:rPr>
              <w:t xml:space="preserve"> </w:t>
            </w:r>
            <w:r w:rsidRPr="00B8309D">
              <w:rPr>
                <w:rFonts w:cstheme="minorHAnsi"/>
              </w:rPr>
              <w:t>English proficiency</w:t>
            </w:r>
          </w:p>
        </w:tc>
        <w:tc>
          <w:tcPr>
            <w:tcW w:w="1984" w:type="dxa"/>
          </w:tcPr>
          <w:p w14:paraId="06D2DFC1" w14:textId="77777777" w:rsidR="00961617" w:rsidRPr="002F5864" w:rsidRDefault="00961617" w:rsidP="0020771F">
            <w:pPr>
              <w:pStyle w:val="Tablebody2"/>
              <w:ind w:right="572"/>
              <w:rPr>
                <w:rFonts w:cstheme="minorHAnsi"/>
              </w:rPr>
            </w:pPr>
            <w:r w:rsidRPr="002F5864">
              <w:rPr>
                <w:rFonts w:cstheme="minorHAnsi"/>
              </w:rPr>
              <w:t>82.9</w:t>
            </w:r>
          </w:p>
        </w:tc>
        <w:tc>
          <w:tcPr>
            <w:tcW w:w="1896" w:type="dxa"/>
          </w:tcPr>
          <w:p w14:paraId="62DEA609" w14:textId="77777777" w:rsidR="00961617" w:rsidRPr="002F5864" w:rsidRDefault="00961617" w:rsidP="0020771F">
            <w:pPr>
              <w:pStyle w:val="Tablebody2"/>
              <w:rPr>
                <w:rFonts w:cstheme="minorHAnsi"/>
              </w:rPr>
            </w:pPr>
            <w:r w:rsidRPr="002F5864">
              <w:rPr>
                <w:rFonts w:cstheme="minorHAnsi"/>
              </w:rPr>
              <w:t>84.0</w:t>
            </w:r>
          </w:p>
        </w:tc>
      </w:tr>
      <w:tr w:rsidR="00961617" w:rsidRPr="002F5864" w14:paraId="40E1647F" w14:textId="77777777" w:rsidTr="00EE47DD">
        <w:tc>
          <w:tcPr>
            <w:tcW w:w="5159" w:type="dxa"/>
            <w:tcBorders>
              <w:bottom w:val="nil"/>
            </w:tcBorders>
            <w:shd w:val="clear" w:color="auto" w:fill="E5E5E5" w:themeFill="background1" w:themeFillTint="33"/>
          </w:tcPr>
          <w:p w14:paraId="66FBB767" w14:textId="77777777" w:rsidR="00961617" w:rsidRPr="002F5864" w:rsidRDefault="00961617" w:rsidP="0020771F">
            <w:pPr>
              <w:pStyle w:val="TableBody1"/>
              <w:rPr>
                <w:rFonts w:cstheme="minorHAnsi"/>
              </w:rPr>
            </w:pPr>
            <w:r w:rsidRPr="002F5864">
              <w:rPr>
                <w:rFonts w:cstheme="minorHAnsi"/>
              </w:rPr>
              <w:t>Mixed</w:t>
            </w:r>
            <w:r>
              <w:rPr>
                <w:rFonts w:cstheme="minorHAnsi"/>
              </w:rPr>
              <w:t xml:space="preserve"> </w:t>
            </w:r>
            <w:r w:rsidRPr="00B8309D">
              <w:rPr>
                <w:rFonts w:cstheme="minorHAnsi"/>
              </w:rPr>
              <w:t>English proficiency</w:t>
            </w:r>
          </w:p>
        </w:tc>
        <w:tc>
          <w:tcPr>
            <w:tcW w:w="1984" w:type="dxa"/>
            <w:tcBorders>
              <w:bottom w:val="nil"/>
            </w:tcBorders>
            <w:shd w:val="clear" w:color="auto" w:fill="E5E5E5" w:themeFill="background1" w:themeFillTint="33"/>
          </w:tcPr>
          <w:p w14:paraId="61B7C9E0" w14:textId="77777777" w:rsidR="00961617" w:rsidRPr="002F5864" w:rsidRDefault="00961617" w:rsidP="0020771F">
            <w:pPr>
              <w:pStyle w:val="Tablebody2"/>
              <w:ind w:right="572"/>
              <w:rPr>
                <w:rFonts w:cstheme="minorHAnsi"/>
              </w:rPr>
            </w:pPr>
            <w:r w:rsidRPr="002F5864">
              <w:rPr>
                <w:rFonts w:cstheme="minorHAnsi"/>
              </w:rPr>
              <w:t>12.3</w:t>
            </w:r>
          </w:p>
        </w:tc>
        <w:tc>
          <w:tcPr>
            <w:tcW w:w="1896" w:type="dxa"/>
            <w:tcBorders>
              <w:bottom w:val="nil"/>
            </w:tcBorders>
            <w:shd w:val="clear" w:color="auto" w:fill="E5E5E5" w:themeFill="background1" w:themeFillTint="33"/>
          </w:tcPr>
          <w:p w14:paraId="62C87FF2" w14:textId="77777777" w:rsidR="00961617" w:rsidRPr="002F5864" w:rsidRDefault="00961617" w:rsidP="0020771F">
            <w:pPr>
              <w:pStyle w:val="Tablebody2"/>
              <w:rPr>
                <w:rFonts w:cstheme="minorHAnsi"/>
              </w:rPr>
            </w:pPr>
            <w:r w:rsidRPr="002F5864">
              <w:rPr>
                <w:rFonts w:cstheme="minorHAnsi"/>
              </w:rPr>
              <w:t>11.2</w:t>
            </w:r>
          </w:p>
        </w:tc>
      </w:tr>
      <w:tr w:rsidR="00961617" w:rsidRPr="002F5864" w14:paraId="23991E47" w14:textId="77777777" w:rsidTr="00EE47DD">
        <w:tc>
          <w:tcPr>
            <w:tcW w:w="5159" w:type="dxa"/>
            <w:tcBorders>
              <w:bottom w:val="single" w:sz="4" w:space="0" w:color="auto"/>
            </w:tcBorders>
          </w:tcPr>
          <w:p w14:paraId="21D92019" w14:textId="77777777" w:rsidR="00961617" w:rsidRPr="002F5864" w:rsidRDefault="00961617" w:rsidP="0020771F">
            <w:pPr>
              <w:pStyle w:val="TableBody1"/>
              <w:rPr>
                <w:rFonts w:cstheme="minorHAnsi"/>
              </w:rPr>
            </w:pPr>
            <w:r w:rsidRPr="002F5864">
              <w:rPr>
                <w:rFonts w:cstheme="minorHAnsi"/>
              </w:rPr>
              <w:t>Poor</w:t>
            </w:r>
            <w:r>
              <w:rPr>
                <w:rFonts w:cstheme="minorHAnsi"/>
              </w:rPr>
              <w:t xml:space="preserve"> </w:t>
            </w:r>
            <w:r w:rsidRPr="00B8309D">
              <w:rPr>
                <w:rFonts w:cstheme="minorHAnsi"/>
              </w:rPr>
              <w:t>English proficiency</w:t>
            </w:r>
          </w:p>
        </w:tc>
        <w:tc>
          <w:tcPr>
            <w:tcW w:w="1984" w:type="dxa"/>
            <w:tcBorders>
              <w:bottom w:val="single" w:sz="4" w:space="0" w:color="auto"/>
            </w:tcBorders>
          </w:tcPr>
          <w:p w14:paraId="21B12F42" w14:textId="77777777" w:rsidR="00961617" w:rsidRPr="002F5864" w:rsidRDefault="00961617" w:rsidP="0020771F">
            <w:pPr>
              <w:pStyle w:val="Tablebody2"/>
              <w:ind w:right="572"/>
              <w:rPr>
                <w:rFonts w:cstheme="minorHAnsi"/>
              </w:rPr>
            </w:pPr>
            <w:r w:rsidRPr="002F5864">
              <w:rPr>
                <w:rFonts w:cstheme="minorHAnsi"/>
              </w:rPr>
              <w:t>4.8</w:t>
            </w:r>
          </w:p>
        </w:tc>
        <w:tc>
          <w:tcPr>
            <w:tcW w:w="1896" w:type="dxa"/>
            <w:tcBorders>
              <w:bottom w:val="single" w:sz="4" w:space="0" w:color="auto"/>
            </w:tcBorders>
          </w:tcPr>
          <w:p w14:paraId="256EB817" w14:textId="77777777" w:rsidR="00961617" w:rsidRPr="002F5864" w:rsidRDefault="00961617" w:rsidP="0020771F">
            <w:pPr>
              <w:pStyle w:val="Tablebody2"/>
              <w:rPr>
                <w:rFonts w:cstheme="minorHAnsi"/>
              </w:rPr>
            </w:pPr>
            <w:r w:rsidRPr="002F5864">
              <w:rPr>
                <w:rFonts w:cstheme="minorHAnsi"/>
              </w:rPr>
              <w:t>4.9</w:t>
            </w:r>
          </w:p>
        </w:tc>
      </w:tr>
    </w:tbl>
    <w:p w14:paraId="442B4E0D" w14:textId="77777777" w:rsidR="00961617" w:rsidRPr="00BE4344" w:rsidRDefault="00961617" w:rsidP="00961617">
      <w:pPr>
        <w:spacing w:before="120" w:after="0"/>
        <w:rPr>
          <w:b/>
          <w:sz w:val="20"/>
          <w:szCs w:val="20"/>
        </w:rPr>
      </w:pPr>
      <w:r w:rsidRPr="00BE4344">
        <w:rPr>
          <w:b/>
          <w:sz w:val="20"/>
          <w:szCs w:val="20"/>
        </w:rPr>
        <w:t>Average unemployment rate</w:t>
      </w:r>
      <w:r w:rsidR="00BE4344" w:rsidRPr="006A39ED">
        <w:rPr>
          <w:rFonts w:cstheme="minorHAnsi"/>
          <w:vertAlign w:val="superscript"/>
        </w:rPr>
        <w:t>(</w:t>
      </w:r>
      <w:r w:rsidR="00BE4344">
        <w:rPr>
          <w:rFonts w:cstheme="minorHAnsi"/>
          <w:vertAlign w:val="superscript"/>
        </w:rPr>
        <w:t>1</w:t>
      </w:r>
      <w:r w:rsidR="00BE4344" w:rsidRPr="006A39ED">
        <w:rPr>
          <w:rFonts w:cstheme="minorHAnsi"/>
          <w:vertAlign w:val="superscript"/>
        </w:rPr>
        <w:t>)</w:t>
      </w:r>
    </w:p>
    <w:tbl>
      <w:tblPr>
        <w:tblStyle w:val="DEEWRTable"/>
        <w:tblW w:w="9038" w:type="dxa"/>
        <w:tblBorders>
          <w:bottom w:val="none" w:sz="0" w:space="0" w:color="auto"/>
        </w:tblBorders>
        <w:tblLook w:val="0420" w:firstRow="1" w:lastRow="0" w:firstColumn="0" w:lastColumn="0" w:noHBand="0" w:noVBand="1"/>
      </w:tblPr>
      <w:tblGrid>
        <w:gridCol w:w="4786"/>
        <w:gridCol w:w="2593"/>
        <w:gridCol w:w="1659"/>
      </w:tblGrid>
      <w:tr w:rsidR="00D151DC" w:rsidRPr="002F5864" w14:paraId="3D2489AF" w14:textId="77777777" w:rsidTr="00EE47DD">
        <w:trPr>
          <w:cnfStyle w:val="100000000000" w:firstRow="1" w:lastRow="0" w:firstColumn="0" w:lastColumn="0" w:oddVBand="0" w:evenVBand="0" w:oddHBand="0" w:evenHBand="0" w:firstRowFirstColumn="0" w:firstRowLastColumn="0" w:lastRowFirstColumn="0" w:lastRowLastColumn="0"/>
        </w:trPr>
        <w:tc>
          <w:tcPr>
            <w:tcW w:w="4786" w:type="dxa"/>
            <w:shd w:val="clear" w:color="auto" w:fill="1E3D6B"/>
          </w:tcPr>
          <w:p w14:paraId="4C5E34C5" w14:textId="77777777" w:rsidR="00D151DC" w:rsidRPr="002F5864" w:rsidRDefault="00D151DC" w:rsidP="0020771F">
            <w:pPr>
              <w:pStyle w:val="TableBody1"/>
              <w:rPr>
                <w:rFonts w:cstheme="minorHAnsi"/>
              </w:rPr>
            </w:pPr>
            <w:bookmarkStart w:id="607" w:name="Title_A15b"/>
            <w:bookmarkEnd w:id="607"/>
          </w:p>
        </w:tc>
        <w:tc>
          <w:tcPr>
            <w:tcW w:w="2593" w:type="dxa"/>
            <w:shd w:val="clear" w:color="auto" w:fill="1E3D6B"/>
          </w:tcPr>
          <w:p w14:paraId="551B408F" w14:textId="77777777" w:rsidR="00D151DC" w:rsidRPr="002F5864" w:rsidRDefault="00D151DC" w:rsidP="0020771F">
            <w:pPr>
              <w:pStyle w:val="TableBoby3"/>
              <w:rPr>
                <w:rFonts w:cstheme="minorHAnsi"/>
              </w:rPr>
            </w:pPr>
            <w:r w:rsidRPr="002F5864">
              <w:rPr>
                <w:rFonts w:cstheme="minorHAnsi"/>
              </w:rPr>
              <w:t>Treatment group</w:t>
            </w:r>
            <w:r>
              <w:rPr>
                <w:rFonts w:cstheme="minorHAnsi"/>
              </w:rPr>
              <w:br/>
            </w:r>
            <w:r w:rsidRPr="002F5864">
              <w:rPr>
                <w:rFonts w:cstheme="minorHAnsi"/>
              </w:rPr>
              <w:t>JSA 2012</w:t>
            </w:r>
            <w:r>
              <w:rPr>
                <w:rFonts w:cstheme="minorHAnsi"/>
              </w:rPr>
              <w:br/>
              <w:t>(%)</w:t>
            </w:r>
          </w:p>
        </w:tc>
        <w:tc>
          <w:tcPr>
            <w:tcW w:w="1659" w:type="dxa"/>
            <w:shd w:val="clear" w:color="auto" w:fill="1E3D6B"/>
          </w:tcPr>
          <w:p w14:paraId="1188835F" w14:textId="77777777" w:rsidR="00D151DC" w:rsidRPr="002F5864" w:rsidRDefault="00D151DC" w:rsidP="0020771F">
            <w:pPr>
              <w:pStyle w:val="TableBoby3"/>
              <w:ind w:left="-89" w:right="-139"/>
              <w:rPr>
                <w:rFonts w:cstheme="minorHAnsi"/>
              </w:rPr>
            </w:pPr>
            <w:r w:rsidRPr="002F5864">
              <w:rPr>
                <w:rFonts w:cstheme="minorHAnsi"/>
              </w:rPr>
              <w:t>Comparison group</w:t>
            </w:r>
            <w:r>
              <w:rPr>
                <w:rFonts w:cstheme="minorHAnsi"/>
              </w:rPr>
              <w:br/>
            </w:r>
            <w:r w:rsidRPr="002F5864">
              <w:rPr>
                <w:rFonts w:cstheme="minorHAnsi"/>
              </w:rPr>
              <w:t>JSA 2009</w:t>
            </w:r>
            <w:r>
              <w:rPr>
                <w:rFonts w:cstheme="minorHAnsi"/>
              </w:rPr>
              <w:br/>
              <w:t>(%)</w:t>
            </w:r>
          </w:p>
        </w:tc>
      </w:tr>
      <w:tr w:rsidR="00961617" w:rsidRPr="00B8309D" w14:paraId="42349788" w14:textId="77777777" w:rsidTr="00EE47DD">
        <w:tc>
          <w:tcPr>
            <w:tcW w:w="4786" w:type="dxa"/>
            <w:tcBorders>
              <w:bottom w:val="single" w:sz="4" w:space="0" w:color="auto"/>
            </w:tcBorders>
          </w:tcPr>
          <w:p w14:paraId="3DC2E4ED" w14:textId="77777777" w:rsidR="00961617" w:rsidRPr="00B8309D" w:rsidRDefault="00961617" w:rsidP="00BE4344">
            <w:pPr>
              <w:pStyle w:val="TableBody1"/>
              <w:keepNext/>
              <w:keepLines/>
              <w:rPr>
                <w:rFonts w:cstheme="minorHAnsi"/>
              </w:rPr>
            </w:pPr>
            <w:r w:rsidRPr="00B8309D">
              <w:rPr>
                <w:rFonts w:cstheme="minorHAnsi"/>
              </w:rPr>
              <w:t>Average unemployment rate</w:t>
            </w:r>
            <w:r w:rsidR="00BE4344">
              <w:rPr>
                <w:rFonts w:cstheme="minorHAnsi"/>
                <w:vertAlign w:val="superscript"/>
              </w:rPr>
              <w:t xml:space="preserve"> </w:t>
            </w:r>
          </w:p>
        </w:tc>
        <w:tc>
          <w:tcPr>
            <w:tcW w:w="2593" w:type="dxa"/>
            <w:tcBorders>
              <w:bottom w:val="single" w:sz="4" w:space="0" w:color="auto"/>
            </w:tcBorders>
          </w:tcPr>
          <w:p w14:paraId="78D53694" w14:textId="77777777" w:rsidR="00961617" w:rsidRPr="00B8309D" w:rsidRDefault="00961617" w:rsidP="00EE47DD">
            <w:pPr>
              <w:pStyle w:val="Tablebody2"/>
              <w:keepNext/>
              <w:keepLines/>
              <w:ind w:right="885"/>
              <w:rPr>
                <w:rFonts w:cstheme="minorHAnsi"/>
              </w:rPr>
            </w:pPr>
            <w:r w:rsidRPr="00B8309D">
              <w:rPr>
                <w:rFonts w:cstheme="minorHAnsi"/>
              </w:rPr>
              <w:t>5.5</w:t>
            </w:r>
          </w:p>
        </w:tc>
        <w:tc>
          <w:tcPr>
            <w:tcW w:w="1659" w:type="dxa"/>
            <w:tcBorders>
              <w:bottom w:val="single" w:sz="4" w:space="0" w:color="auto"/>
            </w:tcBorders>
          </w:tcPr>
          <w:p w14:paraId="269BCDD8" w14:textId="77777777" w:rsidR="00961617" w:rsidRPr="00B8309D" w:rsidRDefault="00961617" w:rsidP="00EE47DD">
            <w:pPr>
              <w:pStyle w:val="Tablebody2"/>
              <w:keepNext/>
              <w:keepLines/>
              <w:ind w:right="498"/>
              <w:rPr>
                <w:rFonts w:cstheme="minorHAnsi"/>
              </w:rPr>
            </w:pPr>
            <w:r w:rsidRPr="00B8309D">
              <w:rPr>
                <w:rFonts w:cstheme="minorHAnsi"/>
              </w:rPr>
              <w:t>5.5</w:t>
            </w:r>
          </w:p>
        </w:tc>
      </w:tr>
    </w:tbl>
    <w:p w14:paraId="76A621DB" w14:textId="77777777" w:rsidR="00961617" w:rsidRPr="00BE4344" w:rsidRDefault="00961617" w:rsidP="00961617">
      <w:pPr>
        <w:spacing w:before="120" w:after="0"/>
        <w:rPr>
          <w:b/>
          <w:sz w:val="20"/>
          <w:szCs w:val="20"/>
        </w:rPr>
      </w:pPr>
      <w:r w:rsidRPr="00BE4344">
        <w:rPr>
          <w:b/>
          <w:sz w:val="20"/>
          <w:szCs w:val="20"/>
        </w:rPr>
        <w:t>Mean unemployment duration</w:t>
      </w:r>
      <w:r w:rsidR="00BE4344">
        <w:rPr>
          <w:rFonts w:cstheme="minorHAnsi"/>
          <w:vertAlign w:val="superscript"/>
        </w:rPr>
        <w:t xml:space="preserve"> </w:t>
      </w:r>
    </w:p>
    <w:tbl>
      <w:tblPr>
        <w:tblStyle w:val="DEEWRTable"/>
        <w:tblW w:w="9039" w:type="dxa"/>
        <w:tblBorders>
          <w:bottom w:val="none" w:sz="0" w:space="0" w:color="auto"/>
        </w:tblBorders>
        <w:tblLook w:val="0420" w:firstRow="1" w:lastRow="0" w:firstColumn="0" w:lastColumn="0" w:noHBand="0" w:noVBand="1"/>
      </w:tblPr>
      <w:tblGrid>
        <w:gridCol w:w="4786"/>
        <w:gridCol w:w="2410"/>
        <w:gridCol w:w="1843"/>
      </w:tblGrid>
      <w:tr w:rsidR="00D151DC" w:rsidRPr="002F5864" w14:paraId="11E8A138" w14:textId="77777777" w:rsidTr="00EE47DD">
        <w:trPr>
          <w:cnfStyle w:val="100000000000" w:firstRow="1" w:lastRow="0" w:firstColumn="0" w:lastColumn="0" w:oddVBand="0" w:evenVBand="0" w:oddHBand="0" w:evenHBand="0" w:firstRowFirstColumn="0" w:firstRowLastColumn="0" w:lastRowFirstColumn="0" w:lastRowLastColumn="0"/>
        </w:trPr>
        <w:tc>
          <w:tcPr>
            <w:tcW w:w="4786" w:type="dxa"/>
            <w:shd w:val="clear" w:color="auto" w:fill="1E3D6B"/>
          </w:tcPr>
          <w:p w14:paraId="5E6DCC83" w14:textId="77777777" w:rsidR="00D151DC" w:rsidRPr="002F5864" w:rsidRDefault="00D151DC" w:rsidP="0020771F">
            <w:pPr>
              <w:pStyle w:val="TableBody1"/>
              <w:rPr>
                <w:rFonts w:cstheme="minorHAnsi"/>
              </w:rPr>
            </w:pPr>
            <w:bookmarkStart w:id="608" w:name="Title_A15c"/>
            <w:bookmarkEnd w:id="608"/>
          </w:p>
        </w:tc>
        <w:tc>
          <w:tcPr>
            <w:tcW w:w="2410" w:type="dxa"/>
            <w:shd w:val="clear" w:color="auto" w:fill="1E3D6B"/>
          </w:tcPr>
          <w:p w14:paraId="354BA478" w14:textId="77777777" w:rsidR="00D151DC" w:rsidRPr="002F5864" w:rsidRDefault="00D151DC" w:rsidP="0020771F">
            <w:pPr>
              <w:pStyle w:val="TableBoby3"/>
              <w:rPr>
                <w:rFonts w:cstheme="minorHAnsi"/>
              </w:rPr>
            </w:pPr>
            <w:r w:rsidRPr="002F5864">
              <w:rPr>
                <w:rFonts w:cstheme="minorHAnsi"/>
              </w:rPr>
              <w:t>Treatment group</w:t>
            </w:r>
            <w:r>
              <w:rPr>
                <w:rFonts w:cstheme="minorHAnsi"/>
              </w:rPr>
              <w:br/>
            </w:r>
            <w:r w:rsidRPr="002F5864">
              <w:rPr>
                <w:rFonts w:cstheme="minorHAnsi"/>
              </w:rPr>
              <w:t>JSA 2012</w:t>
            </w:r>
            <w:r>
              <w:rPr>
                <w:rFonts w:cstheme="minorHAnsi"/>
              </w:rPr>
              <w:br/>
              <w:t>(months)</w:t>
            </w:r>
          </w:p>
        </w:tc>
        <w:tc>
          <w:tcPr>
            <w:tcW w:w="1843" w:type="dxa"/>
            <w:shd w:val="clear" w:color="auto" w:fill="1E3D6B"/>
          </w:tcPr>
          <w:p w14:paraId="31F15222" w14:textId="77777777" w:rsidR="00D151DC" w:rsidRPr="002F5864" w:rsidRDefault="00D151DC" w:rsidP="0020771F">
            <w:pPr>
              <w:pStyle w:val="TableBoby3"/>
              <w:ind w:left="-89" w:right="-139"/>
              <w:rPr>
                <w:rFonts w:cstheme="minorHAnsi"/>
              </w:rPr>
            </w:pPr>
            <w:r w:rsidRPr="002F5864">
              <w:rPr>
                <w:rFonts w:cstheme="minorHAnsi"/>
              </w:rPr>
              <w:t>Comparison group</w:t>
            </w:r>
            <w:r>
              <w:rPr>
                <w:rFonts w:cstheme="minorHAnsi"/>
              </w:rPr>
              <w:br/>
            </w:r>
            <w:r w:rsidRPr="002F5864">
              <w:rPr>
                <w:rFonts w:cstheme="minorHAnsi"/>
              </w:rPr>
              <w:t>JSA 2009</w:t>
            </w:r>
            <w:r>
              <w:rPr>
                <w:rFonts w:cstheme="minorHAnsi"/>
              </w:rPr>
              <w:br/>
              <w:t>(months)</w:t>
            </w:r>
          </w:p>
        </w:tc>
      </w:tr>
      <w:tr w:rsidR="00961617" w:rsidRPr="00B8309D" w14:paraId="477ECCDE" w14:textId="77777777" w:rsidTr="00EE47DD">
        <w:tc>
          <w:tcPr>
            <w:tcW w:w="4786" w:type="dxa"/>
            <w:tcBorders>
              <w:bottom w:val="single" w:sz="4" w:space="0" w:color="auto"/>
            </w:tcBorders>
          </w:tcPr>
          <w:p w14:paraId="247DA408" w14:textId="77777777" w:rsidR="00961617" w:rsidRPr="00B8309D" w:rsidRDefault="00961617" w:rsidP="0020771F">
            <w:pPr>
              <w:pStyle w:val="TableBody1"/>
              <w:keepNext/>
              <w:keepLines/>
              <w:rPr>
                <w:rFonts w:cstheme="minorHAnsi"/>
              </w:rPr>
            </w:pPr>
            <w:r w:rsidRPr="00B8309D">
              <w:rPr>
                <w:rFonts w:cstheme="minorHAnsi"/>
              </w:rPr>
              <w:t>Mean unemployment duration (months)</w:t>
            </w:r>
          </w:p>
        </w:tc>
        <w:tc>
          <w:tcPr>
            <w:tcW w:w="2410" w:type="dxa"/>
            <w:tcBorders>
              <w:bottom w:val="single" w:sz="4" w:space="0" w:color="auto"/>
            </w:tcBorders>
          </w:tcPr>
          <w:p w14:paraId="030A93B6" w14:textId="77777777" w:rsidR="00961617" w:rsidRPr="00B8309D" w:rsidRDefault="00961617" w:rsidP="0020771F">
            <w:pPr>
              <w:pStyle w:val="Tablebody2"/>
              <w:keepNext/>
              <w:keepLines/>
              <w:ind w:right="572"/>
              <w:rPr>
                <w:rFonts w:cstheme="minorHAnsi"/>
              </w:rPr>
            </w:pPr>
            <w:r w:rsidRPr="00B8309D">
              <w:rPr>
                <w:rFonts w:cstheme="minorHAnsi"/>
              </w:rPr>
              <w:t>103.6</w:t>
            </w:r>
          </w:p>
        </w:tc>
        <w:tc>
          <w:tcPr>
            <w:tcW w:w="1843" w:type="dxa"/>
            <w:tcBorders>
              <w:bottom w:val="single" w:sz="4" w:space="0" w:color="auto"/>
            </w:tcBorders>
          </w:tcPr>
          <w:p w14:paraId="47D16790" w14:textId="77777777" w:rsidR="00961617" w:rsidRPr="00B8309D" w:rsidRDefault="00961617" w:rsidP="0020771F">
            <w:pPr>
              <w:pStyle w:val="Tablebody2"/>
              <w:keepNext/>
              <w:keepLines/>
              <w:ind w:right="571"/>
              <w:rPr>
                <w:rFonts w:cstheme="minorHAnsi"/>
              </w:rPr>
            </w:pPr>
            <w:r w:rsidRPr="00B8309D">
              <w:rPr>
                <w:rFonts w:cstheme="minorHAnsi"/>
              </w:rPr>
              <w:t>104.9</w:t>
            </w:r>
          </w:p>
        </w:tc>
      </w:tr>
    </w:tbl>
    <w:p w14:paraId="66862B0D" w14:textId="77777777" w:rsidR="00961617" w:rsidRDefault="00961617" w:rsidP="00E13B5E">
      <w:pPr>
        <w:pStyle w:val="Notes"/>
      </w:pPr>
      <w:r w:rsidRPr="00E13B5E">
        <w:rPr>
          <w:b/>
        </w:rPr>
        <w:t>Notes</w:t>
      </w:r>
      <w:r w:rsidRPr="002F5864">
        <w:t>:</w:t>
      </w:r>
      <w:r w:rsidRPr="002F5864">
        <w:tab/>
      </w:r>
    </w:p>
    <w:p w14:paraId="442E79B9" w14:textId="77777777" w:rsidR="00961617" w:rsidRPr="00E5413A" w:rsidRDefault="00961617" w:rsidP="00E5413A">
      <w:pPr>
        <w:pStyle w:val="Notesnumbered"/>
        <w:numPr>
          <w:ilvl w:val="0"/>
          <w:numId w:val="256"/>
        </w:numPr>
      </w:pPr>
      <w:r w:rsidRPr="002F5864">
        <w:t xml:space="preserve">Based on job seeker’s </w:t>
      </w:r>
      <w:r w:rsidRPr="00E5413A">
        <w:t>local (Statistical Areas Level 4) unemployment rates, average over 18 months.</w:t>
      </w:r>
    </w:p>
    <w:p w14:paraId="46008C8B" w14:textId="77777777" w:rsidR="00961617" w:rsidRDefault="00961617" w:rsidP="00E5413A">
      <w:pPr>
        <w:pStyle w:val="Notesnumbered"/>
        <w:numPr>
          <w:ilvl w:val="0"/>
          <w:numId w:val="256"/>
        </w:numPr>
      </w:pPr>
      <w:r w:rsidRPr="00E5413A">
        <w:t>N=1,844 in each of the groups (trea</w:t>
      </w:r>
      <w:r>
        <w:t>tment and comparison).</w:t>
      </w:r>
    </w:p>
    <w:p w14:paraId="1E1C7E46" w14:textId="77777777" w:rsidR="00961617" w:rsidRPr="002F5864" w:rsidRDefault="00961617" w:rsidP="00E13B5E">
      <w:pPr>
        <w:pStyle w:val="Source"/>
      </w:pPr>
      <w:r w:rsidRPr="002F5864">
        <w:rPr>
          <w:b/>
        </w:rPr>
        <w:t>Source:</w:t>
      </w:r>
      <w:r w:rsidRPr="002F5864">
        <w:t xml:space="preserve"> </w:t>
      </w:r>
      <w:r w:rsidR="00E13B5E">
        <w:tab/>
      </w:r>
      <w:r w:rsidRPr="002F5864">
        <w:t>Department of Employment administrative data.</w:t>
      </w:r>
    </w:p>
    <w:p w14:paraId="46250BBC" w14:textId="77777777" w:rsidR="00961617" w:rsidRPr="002F5864" w:rsidRDefault="00864C5E" w:rsidP="00961617">
      <w:pPr>
        <w:pStyle w:val="Notes"/>
        <w:spacing w:after="240"/>
        <w:rPr>
          <w:rFonts w:cstheme="minorHAnsi"/>
        </w:rPr>
      </w:pPr>
      <w:hyperlink w:anchor="Place_A15" w:history="1">
        <w:r w:rsidR="005F7891" w:rsidRPr="005F7891">
          <w:rPr>
            <w:rStyle w:val="Hyperlink"/>
            <w:rFonts w:cstheme="minorHAnsi"/>
            <w:szCs w:val="18"/>
          </w:rPr>
          <w:t>Go to section 6.2.2</w:t>
        </w:r>
      </w:hyperlink>
      <w:r w:rsidR="005F7891" w:rsidRPr="002F5864">
        <w:rPr>
          <w:rFonts w:cstheme="minorHAnsi"/>
          <w:szCs w:val="18"/>
        </w:rPr>
        <w:t xml:space="preserve"> where this data is referenced.</w:t>
      </w:r>
    </w:p>
    <w:p w14:paraId="16401001" w14:textId="77777777" w:rsidR="00961617" w:rsidRPr="002F5864" w:rsidRDefault="00961617" w:rsidP="00961617">
      <w:pPr>
        <w:pStyle w:val="Sourceandnotetextmultiplenotes"/>
        <w:numPr>
          <w:ilvl w:val="0"/>
          <w:numId w:val="0"/>
        </w:numPr>
        <w:spacing w:before="40" w:after="200"/>
        <w:rPr>
          <w:rFonts w:cstheme="minorHAnsi"/>
        </w:rPr>
        <w:sectPr w:rsidR="00961617" w:rsidRPr="002F5864" w:rsidSect="00861BD8">
          <w:pgSz w:w="11907" w:h="16839" w:code="9"/>
          <w:pgMar w:top="1440" w:right="992" w:bottom="1440" w:left="1440" w:header="709" w:footer="284" w:gutter="0"/>
          <w:cols w:space="708"/>
          <w:docGrid w:linePitch="360"/>
        </w:sectPr>
      </w:pPr>
    </w:p>
    <w:p w14:paraId="32B2AEA3" w14:textId="77777777" w:rsidR="00961617" w:rsidRPr="002F5864" w:rsidRDefault="00961617" w:rsidP="00961617">
      <w:pPr>
        <w:pStyle w:val="Heading2"/>
        <w:rPr>
          <w:rFonts w:asciiTheme="minorHAnsi" w:hAnsiTheme="minorHAnsi" w:cstheme="minorHAnsi"/>
        </w:rPr>
      </w:pPr>
      <w:bookmarkStart w:id="609" w:name="_Toc450919358"/>
      <w:bookmarkStart w:id="610" w:name="_Toc22543181"/>
      <w:r w:rsidRPr="002F5864">
        <w:rPr>
          <w:rFonts w:asciiTheme="minorHAnsi" w:hAnsiTheme="minorHAnsi" w:cstheme="minorHAnsi"/>
        </w:rPr>
        <w:t>A2</w:t>
      </w:r>
      <w:r w:rsidRPr="002F5864">
        <w:rPr>
          <w:rFonts w:asciiTheme="minorHAnsi" w:hAnsiTheme="minorHAnsi" w:cstheme="minorHAnsi"/>
        </w:rPr>
        <w:tab/>
        <w:t>Other statistical tables</w:t>
      </w:r>
      <w:bookmarkEnd w:id="609"/>
      <w:bookmarkEnd w:id="610"/>
    </w:p>
    <w:p w14:paraId="0BE26681" w14:textId="77777777" w:rsidR="00961617" w:rsidRPr="002F0892" w:rsidRDefault="00961617" w:rsidP="00961617">
      <w:pPr>
        <w:pStyle w:val="TableheadingforappendixA1"/>
        <w:rPr>
          <w:rFonts w:cstheme="minorHAnsi"/>
          <w:szCs w:val="20"/>
        </w:rPr>
      </w:pPr>
      <w:bookmarkStart w:id="611" w:name="_Toc513129894"/>
      <w:r w:rsidRPr="002F0892">
        <w:rPr>
          <w:rFonts w:cstheme="minorHAnsi"/>
          <w:szCs w:val="20"/>
        </w:rPr>
        <w:t xml:space="preserve">Table A2.1: </w:t>
      </w:r>
      <w:r w:rsidR="00787397">
        <w:rPr>
          <w:rFonts w:cstheme="minorHAnsi"/>
          <w:szCs w:val="20"/>
        </w:rPr>
        <w:t>Active caseload</w:t>
      </w:r>
      <w:r w:rsidRPr="002F0892">
        <w:rPr>
          <w:rFonts w:cstheme="minorHAnsi"/>
          <w:szCs w:val="20"/>
        </w:rPr>
        <w:t>, July 2012 to June 2015 (number)</w:t>
      </w:r>
      <w:bookmarkEnd w:id="611"/>
    </w:p>
    <w:tbl>
      <w:tblPr>
        <w:tblW w:w="14160" w:type="dxa"/>
        <w:tblLook w:val="04A0" w:firstRow="1" w:lastRow="0" w:firstColumn="1" w:lastColumn="0" w:noHBand="0" w:noVBand="1"/>
      </w:tblPr>
      <w:tblGrid>
        <w:gridCol w:w="2167"/>
        <w:gridCol w:w="93"/>
        <w:gridCol w:w="1607"/>
        <w:gridCol w:w="93"/>
        <w:gridCol w:w="1607"/>
        <w:gridCol w:w="93"/>
        <w:gridCol w:w="1607"/>
        <w:gridCol w:w="93"/>
        <w:gridCol w:w="1607"/>
        <w:gridCol w:w="93"/>
        <w:gridCol w:w="1607"/>
        <w:gridCol w:w="93"/>
        <w:gridCol w:w="1607"/>
        <w:gridCol w:w="93"/>
        <w:gridCol w:w="1607"/>
        <w:gridCol w:w="93"/>
      </w:tblGrid>
      <w:tr w:rsidR="00961617" w:rsidRPr="002F0892" w14:paraId="14A0496B" w14:textId="77777777" w:rsidTr="0020771F">
        <w:trPr>
          <w:trHeight w:val="372"/>
          <w:tblHeader/>
        </w:trPr>
        <w:tc>
          <w:tcPr>
            <w:tcW w:w="2260" w:type="dxa"/>
            <w:gridSpan w:val="2"/>
            <w:shd w:val="clear" w:color="000000" w:fill="1E3D6B"/>
            <w:noWrap/>
            <w:vAlign w:val="center"/>
            <w:hideMark/>
          </w:tcPr>
          <w:p w14:paraId="07831AB0" w14:textId="77777777" w:rsidR="00961617" w:rsidRPr="002F0892" w:rsidRDefault="00961617" w:rsidP="0020771F">
            <w:pPr>
              <w:spacing w:after="0" w:line="240" w:lineRule="auto"/>
              <w:ind w:left="28"/>
              <w:rPr>
                <w:rFonts w:eastAsia="Times New Roman" w:cstheme="minorHAnsi"/>
                <w:b/>
                <w:bCs/>
                <w:color w:val="FFFFFF"/>
                <w:sz w:val="20"/>
                <w:szCs w:val="20"/>
                <w:lang w:eastAsia="en-AU"/>
              </w:rPr>
            </w:pPr>
            <w:bookmarkStart w:id="612" w:name="Title_A21"/>
            <w:bookmarkStart w:id="613" w:name="_Toc435695214"/>
            <w:bookmarkStart w:id="614" w:name="_Toc436142574"/>
            <w:bookmarkEnd w:id="612"/>
            <w:r w:rsidRPr="002F0892">
              <w:rPr>
                <w:rFonts w:eastAsia="Times New Roman" w:cstheme="minorHAnsi"/>
                <w:b/>
                <w:bCs/>
                <w:color w:val="FFFFFF"/>
                <w:sz w:val="20"/>
                <w:szCs w:val="20"/>
                <w:lang w:eastAsia="en-AU"/>
              </w:rPr>
              <w:t>Month</w:t>
            </w:r>
          </w:p>
        </w:tc>
        <w:tc>
          <w:tcPr>
            <w:tcW w:w="1700" w:type="dxa"/>
            <w:gridSpan w:val="2"/>
            <w:shd w:val="clear" w:color="000000" w:fill="1E3D6B"/>
            <w:noWrap/>
            <w:vAlign w:val="center"/>
            <w:hideMark/>
          </w:tcPr>
          <w:p w14:paraId="4BA391C7" w14:textId="77777777" w:rsidR="00961617" w:rsidRPr="002F0892" w:rsidRDefault="00961617" w:rsidP="0020771F">
            <w:pPr>
              <w:spacing w:after="0" w:line="240" w:lineRule="auto"/>
              <w:ind w:left="279"/>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Eligibility TBD</w:t>
            </w:r>
          </w:p>
        </w:tc>
        <w:tc>
          <w:tcPr>
            <w:tcW w:w="1700" w:type="dxa"/>
            <w:gridSpan w:val="2"/>
            <w:shd w:val="clear" w:color="000000" w:fill="1E3D6B"/>
            <w:noWrap/>
            <w:vAlign w:val="center"/>
            <w:hideMark/>
          </w:tcPr>
          <w:p w14:paraId="5D1C4FD7"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Stream 1 Limited</w:t>
            </w:r>
          </w:p>
        </w:tc>
        <w:tc>
          <w:tcPr>
            <w:tcW w:w="1700" w:type="dxa"/>
            <w:gridSpan w:val="2"/>
            <w:shd w:val="clear" w:color="000000" w:fill="1E3D6B"/>
            <w:noWrap/>
            <w:vAlign w:val="center"/>
            <w:hideMark/>
          </w:tcPr>
          <w:p w14:paraId="222FCF10"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Stream 1</w:t>
            </w:r>
          </w:p>
        </w:tc>
        <w:tc>
          <w:tcPr>
            <w:tcW w:w="1700" w:type="dxa"/>
            <w:gridSpan w:val="2"/>
            <w:shd w:val="clear" w:color="000000" w:fill="1E3D6B"/>
            <w:noWrap/>
            <w:vAlign w:val="center"/>
            <w:hideMark/>
          </w:tcPr>
          <w:p w14:paraId="1F275821"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Stream 2</w:t>
            </w:r>
          </w:p>
        </w:tc>
        <w:tc>
          <w:tcPr>
            <w:tcW w:w="1700" w:type="dxa"/>
            <w:gridSpan w:val="2"/>
            <w:shd w:val="clear" w:color="000000" w:fill="1E3D6B"/>
            <w:noWrap/>
            <w:vAlign w:val="center"/>
            <w:hideMark/>
          </w:tcPr>
          <w:p w14:paraId="436CB01F"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Stream 3</w:t>
            </w:r>
          </w:p>
        </w:tc>
        <w:tc>
          <w:tcPr>
            <w:tcW w:w="1700" w:type="dxa"/>
            <w:gridSpan w:val="2"/>
            <w:shd w:val="clear" w:color="000000" w:fill="1E3D6B"/>
            <w:noWrap/>
            <w:vAlign w:val="center"/>
            <w:hideMark/>
          </w:tcPr>
          <w:p w14:paraId="3BAD6FB3"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Stream 4</w:t>
            </w:r>
          </w:p>
        </w:tc>
        <w:tc>
          <w:tcPr>
            <w:tcW w:w="1700" w:type="dxa"/>
            <w:gridSpan w:val="2"/>
            <w:shd w:val="clear" w:color="000000" w:fill="1E3D6B"/>
            <w:noWrap/>
            <w:vAlign w:val="center"/>
            <w:hideMark/>
          </w:tcPr>
          <w:p w14:paraId="07A30916" w14:textId="77777777" w:rsidR="00961617" w:rsidRPr="002F0892" w:rsidRDefault="00961617" w:rsidP="0020771F">
            <w:pPr>
              <w:spacing w:after="0" w:line="240" w:lineRule="auto"/>
              <w:ind w:left="280"/>
              <w:jc w:val="center"/>
              <w:rPr>
                <w:rFonts w:eastAsia="Times New Roman" w:cstheme="minorHAnsi"/>
                <w:b/>
                <w:bCs/>
                <w:color w:val="FFFFFF"/>
                <w:sz w:val="20"/>
                <w:szCs w:val="20"/>
                <w:lang w:eastAsia="en-AU"/>
              </w:rPr>
            </w:pPr>
            <w:r w:rsidRPr="002F0892">
              <w:rPr>
                <w:rFonts w:eastAsia="Times New Roman" w:cstheme="minorHAnsi"/>
                <w:b/>
                <w:bCs/>
                <w:color w:val="FFFFFF"/>
                <w:sz w:val="20"/>
                <w:szCs w:val="20"/>
                <w:lang w:eastAsia="en-AU"/>
              </w:rPr>
              <w:t>Total</w:t>
            </w:r>
          </w:p>
        </w:tc>
      </w:tr>
      <w:tr w:rsidR="00961617" w:rsidRPr="002F0892" w14:paraId="2AD9BAA6" w14:textId="77777777" w:rsidTr="0020771F">
        <w:trPr>
          <w:gridAfter w:val="1"/>
          <w:wAfter w:w="93" w:type="dxa"/>
          <w:trHeight w:hRule="exact" w:val="397"/>
        </w:trPr>
        <w:tc>
          <w:tcPr>
            <w:tcW w:w="2167" w:type="dxa"/>
            <w:shd w:val="clear" w:color="auto" w:fill="auto"/>
            <w:noWrap/>
            <w:vAlign w:val="center"/>
            <w:hideMark/>
          </w:tcPr>
          <w:p w14:paraId="642D38BA"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July 2012</w:t>
            </w:r>
          </w:p>
        </w:tc>
        <w:tc>
          <w:tcPr>
            <w:tcW w:w="1700" w:type="dxa"/>
            <w:gridSpan w:val="2"/>
            <w:shd w:val="clear" w:color="auto" w:fill="auto"/>
            <w:noWrap/>
            <w:vAlign w:val="center"/>
            <w:hideMark/>
          </w:tcPr>
          <w:p w14:paraId="35E633E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10,393</w:t>
            </w:r>
          </w:p>
        </w:tc>
        <w:tc>
          <w:tcPr>
            <w:tcW w:w="1700" w:type="dxa"/>
            <w:gridSpan w:val="2"/>
            <w:shd w:val="clear" w:color="auto" w:fill="auto"/>
            <w:noWrap/>
            <w:vAlign w:val="center"/>
            <w:hideMark/>
          </w:tcPr>
          <w:p w14:paraId="5B60FF5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15,832</w:t>
            </w:r>
          </w:p>
        </w:tc>
        <w:tc>
          <w:tcPr>
            <w:tcW w:w="1700" w:type="dxa"/>
            <w:gridSpan w:val="2"/>
            <w:shd w:val="clear" w:color="auto" w:fill="auto"/>
            <w:noWrap/>
            <w:vAlign w:val="center"/>
            <w:hideMark/>
          </w:tcPr>
          <w:p w14:paraId="3330030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209,518</w:t>
            </w:r>
          </w:p>
        </w:tc>
        <w:tc>
          <w:tcPr>
            <w:tcW w:w="1700" w:type="dxa"/>
            <w:gridSpan w:val="2"/>
            <w:shd w:val="clear" w:color="auto" w:fill="auto"/>
            <w:noWrap/>
            <w:vAlign w:val="center"/>
            <w:hideMark/>
          </w:tcPr>
          <w:p w14:paraId="53F0B7E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181,278</w:t>
            </w:r>
          </w:p>
        </w:tc>
        <w:tc>
          <w:tcPr>
            <w:tcW w:w="1700" w:type="dxa"/>
            <w:gridSpan w:val="2"/>
            <w:shd w:val="clear" w:color="auto" w:fill="auto"/>
            <w:noWrap/>
            <w:vAlign w:val="center"/>
            <w:hideMark/>
          </w:tcPr>
          <w:p w14:paraId="54CCC22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161,520</w:t>
            </w:r>
          </w:p>
        </w:tc>
        <w:tc>
          <w:tcPr>
            <w:tcW w:w="1700" w:type="dxa"/>
            <w:gridSpan w:val="2"/>
            <w:shd w:val="clear" w:color="auto" w:fill="auto"/>
            <w:noWrap/>
            <w:vAlign w:val="center"/>
            <w:hideMark/>
          </w:tcPr>
          <w:p w14:paraId="4E41682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160,982</w:t>
            </w:r>
          </w:p>
        </w:tc>
        <w:tc>
          <w:tcPr>
            <w:tcW w:w="1700" w:type="dxa"/>
            <w:gridSpan w:val="2"/>
            <w:shd w:val="clear" w:color="auto" w:fill="auto"/>
            <w:noWrap/>
            <w:vAlign w:val="center"/>
            <w:hideMark/>
          </w:tcPr>
          <w:p w14:paraId="3E46528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739,523</w:t>
            </w:r>
          </w:p>
        </w:tc>
      </w:tr>
      <w:tr w:rsidR="00961617" w:rsidRPr="002F0892" w14:paraId="38F687DE" w14:textId="77777777" w:rsidTr="0020771F">
        <w:trPr>
          <w:gridAfter w:val="1"/>
          <w:wAfter w:w="93" w:type="dxa"/>
          <w:trHeight w:hRule="exact" w:val="397"/>
        </w:trPr>
        <w:tc>
          <w:tcPr>
            <w:tcW w:w="2167" w:type="dxa"/>
            <w:shd w:val="clear" w:color="auto" w:fill="E5E5E5" w:themeFill="background1" w:themeFillTint="33"/>
            <w:noWrap/>
            <w:vAlign w:val="center"/>
            <w:hideMark/>
          </w:tcPr>
          <w:p w14:paraId="7DDA3A75"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August 2012</w:t>
            </w:r>
          </w:p>
        </w:tc>
        <w:tc>
          <w:tcPr>
            <w:tcW w:w="1700" w:type="dxa"/>
            <w:gridSpan w:val="2"/>
            <w:shd w:val="clear" w:color="auto" w:fill="E5E5E5" w:themeFill="background1" w:themeFillTint="33"/>
            <w:noWrap/>
            <w:vAlign w:val="center"/>
            <w:hideMark/>
          </w:tcPr>
          <w:p w14:paraId="380197A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13,773</w:t>
            </w:r>
          </w:p>
        </w:tc>
        <w:tc>
          <w:tcPr>
            <w:tcW w:w="1700" w:type="dxa"/>
            <w:gridSpan w:val="2"/>
            <w:shd w:val="clear" w:color="auto" w:fill="E5E5E5" w:themeFill="background1" w:themeFillTint="33"/>
            <w:noWrap/>
            <w:vAlign w:val="center"/>
            <w:hideMark/>
          </w:tcPr>
          <w:p w14:paraId="302308E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15,636</w:t>
            </w:r>
          </w:p>
        </w:tc>
        <w:tc>
          <w:tcPr>
            <w:tcW w:w="1700" w:type="dxa"/>
            <w:gridSpan w:val="2"/>
            <w:shd w:val="clear" w:color="auto" w:fill="E5E5E5" w:themeFill="background1" w:themeFillTint="33"/>
            <w:noWrap/>
            <w:vAlign w:val="center"/>
            <w:hideMark/>
          </w:tcPr>
          <w:p w14:paraId="4B18703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209,231</w:t>
            </w:r>
          </w:p>
        </w:tc>
        <w:tc>
          <w:tcPr>
            <w:tcW w:w="1700" w:type="dxa"/>
            <w:gridSpan w:val="2"/>
            <w:shd w:val="clear" w:color="auto" w:fill="E5E5E5" w:themeFill="background1" w:themeFillTint="33"/>
            <w:noWrap/>
            <w:vAlign w:val="center"/>
            <w:hideMark/>
          </w:tcPr>
          <w:p w14:paraId="0395A49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179,721</w:t>
            </w:r>
          </w:p>
        </w:tc>
        <w:tc>
          <w:tcPr>
            <w:tcW w:w="1700" w:type="dxa"/>
            <w:gridSpan w:val="2"/>
            <w:shd w:val="clear" w:color="auto" w:fill="E5E5E5" w:themeFill="background1" w:themeFillTint="33"/>
            <w:noWrap/>
            <w:vAlign w:val="center"/>
            <w:hideMark/>
          </w:tcPr>
          <w:p w14:paraId="1ED891B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156,614</w:t>
            </w:r>
          </w:p>
        </w:tc>
        <w:tc>
          <w:tcPr>
            <w:tcW w:w="1700" w:type="dxa"/>
            <w:gridSpan w:val="2"/>
            <w:shd w:val="clear" w:color="auto" w:fill="E5E5E5" w:themeFill="background1" w:themeFillTint="33"/>
            <w:noWrap/>
            <w:vAlign w:val="center"/>
            <w:hideMark/>
          </w:tcPr>
          <w:p w14:paraId="755C122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160,588</w:t>
            </w:r>
          </w:p>
        </w:tc>
        <w:tc>
          <w:tcPr>
            <w:tcW w:w="1700" w:type="dxa"/>
            <w:gridSpan w:val="2"/>
            <w:shd w:val="clear" w:color="auto" w:fill="E5E5E5" w:themeFill="background1" w:themeFillTint="33"/>
            <w:noWrap/>
            <w:vAlign w:val="center"/>
            <w:hideMark/>
          </w:tcPr>
          <w:p w14:paraId="6830F36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735,563</w:t>
            </w:r>
          </w:p>
        </w:tc>
      </w:tr>
      <w:tr w:rsidR="00961617" w:rsidRPr="002F0892" w14:paraId="4A567FBB" w14:textId="77777777" w:rsidTr="0020771F">
        <w:trPr>
          <w:gridAfter w:val="1"/>
          <w:wAfter w:w="93" w:type="dxa"/>
          <w:trHeight w:hRule="exact" w:val="397"/>
        </w:trPr>
        <w:tc>
          <w:tcPr>
            <w:tcW w:w="2167" w:type="dxa"/>
            <w:shd w:val="clear" w:color="auto" w:fill="auto"/>
            <w:noWrap/>
            <w:vAlign w:val="center"/>
            <w:hideMark/>
          </w:tcPr>
          <w:p w14:paraId="64C71422"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September 2012</w:t>
            </w:r>
          </w:p>
        </w:tc>
        <w:tc>
          <w:tcPr>
            <w:tcW w:w="1700" w:type="dxa"/>
            <w:gridSpan w:val="2"/>
            <w:shd w:val="clear" w:color="auto" w:fill="auto"/>
            <w:noWrap/>
            <w:vAlign w:val="center"/>
            <w:hideMark/>
          </w:tcPr>
          <w:p w14:paraId="445C36F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13,743</w:t>
            </w:r>
          </w:p>
        </w:tc>
        <w:tc>
          <w:tcPr>
            <w:tcW w:w="1700" w:type="dxa"/>
            <w:gridSpan w:val="2"/>
            <w:shd w:val="clear" w:color="auto" w:fill="auto"/>
            <w:noWrap/>
            <w:vAlign w:val="center"/>
            <w:hideMark/>
          </w:tcPr>
          <w:p w14:paraId="20B4862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16,214</w:t>
            </w:r>
          </w:p>
        </w:tc>
        <w:tc>
          <w:tcPr>
            <w:tcW w:w="1700" w:type="dxa"/>
            <w:gridSpan w:val="2"/>
            <w:shd w:val="clear" w:color="auto" w:fill="auto"/>
            <w:noWrap/>
            <w:vAlign w:val="center"/>
            <w:hideMark/>
          </w:tcPr>
          <w:p w14:paraId="488C694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207,776</w:t>
            </w:r>
          </w:p>
        </w:tc>
        <w:tc>
          <w:tcPr>
            <w:tcW w:w="1700" w:type="dxa"/>
            <w:gridSpan w:val="2"/>
            <w:shd w:val="clear" w:color="auto" w:fill="auto"/>
            <w:noWrap/>
            <w:vAlign w:val="center"/>
            <w:hideMark/>
          </w:tcPr>
          <w:p w14:paraId="4DAEB49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178,070</w:t>
            </w:r>
          </w:p>
        </w:tc>
        <w:tc>
          <w:tcPr>
            <w:tcW w:w="1700" w:type="dxa"/>
            <w:gridSpan w:val="2"/>
            <w:shd w:val="clear" w:color="auto" w:fill="auto"/>
            <w:noWrap/>
            <w:vAlign w:val="center"/>
            <w:hideMark/>
          </w:tcPr>
          <w:p w14:paraId="4252AD6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154,588</w:t>
            </w:r>
          </w:p>
        </w:tc>
        <w:tc>
          <w:tcPr>
            <w:tcW w:w="1700" w:type="dxa"/>
            <w:gridSpan w:val="2"/>
            <w:shd w:val="clear" w:color="auto" w:fill="auto"/>
            <w:noWrap/>
            <w:vAlign w:val="center"/>
            <w:hideMark/>
          </w:tcPr>
          <w:p w14:paraId="78D2B96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160,627</w:t>
            </w:r>
          </w:p>
        </w:tc>
        <w:tc>
          <w:tcPr>
            <w:tcW w:w="1700" w:type="dxa"/>
            <w:gridSpan w:val="2"/>
            <w:shd w:val="clear" w:color="auto" w:fill="auto"/>
            <w:noWrap/>
            <w:vAlign w:val="center"/>
            <w:hideMark/>
          </w:tcPr>
          <w:p w14:paraId="4720A49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731,018</w:t>
            </w:r>
          </w:p>
        </w:tc>
      </w:tr>
      <w:tr w:rsidR="00961617" w:rsidRPr="002F0892" w14:paraId="2D64F6AA" w14:textId="77777777" w:rsidTr="0020771F">
        <w:trPr>
          <w:gridAfter w:val="1"/>
          <w:wAfter w:w="93" w:type="dxa"/>
          <w:trHeight w:hRule="exact" w:val="397"/>
        </w:trPr>
        <w:tc>
          <w:tcPr>
            <w:tcW w:w="2167" w:type="dxa"/>
            <w:shd w:val="clear" w:color="auto" w:fill="E5E5E5" w:themeFill="background1" w:themeFillTint="33"/>
            <w:noWrap/>
            <w:vAlign w:val="center"/>
            <w:hideMark/>
          </w:tcPr>
          <w:p w14:paraId="736F0B16"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October 2012</w:t>
            </w:r>
          </w:p>
        </w:tc>
        <w:tc>
          <w:tcPr>
            <w:tcW w:w="1700" w:type="dxa"/>
            <w:gridSpan w:val="2"/>
            <w:shd w:val="clear" w:color="auto" w:fill="E5E5E5" w:themeFill="background1" w:themeFillTint="33"/>
            <w:noWrap/>
            <w:vAlign w:val="center"/>
            <w:hideMark/>
          </w:tcPr>
          <w:p w14:paraId="0609494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13,109</w:t>
            </w:r>
          </w:p>
        </w:tc>
        <w:tc>
          <w:tcPr>
            <w:tcW w:w="1700" w:type="dxa"/>
            <w:gridSpan w:val="2"/>
            <w:shd w:val="clear" w:color="auto" w:fill="E5E5E5" w:themeFill="background1" w:themeFillTint="33"/>
            <w:noWrap/>
            <w:vAlign w:val="center"/>
            <w:hideMark/>
          </w:tcPr>
          <w:p w14:paraId="2D4BD24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16,750</w:t>
            </w:r>
          </w:p>
        </w:tc>
        <w:tc>
          <w:tcPr>
            <w:tcW w:w="1700" w:type="dxa"/>
            <w:gridSpan w:val="2"/>
            <w:shd w:val="clear" w:color="auto" w:fill="E5E5E5" w:themeFill="background1" w:themeFillTint="33"/>
            <w:noWrap/>
            <w:vAlign w:val="center"/>
            <w:hideMark/>
          </w:tcPr>
          <w:p w14:paraId="50CE9FD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208,215</w:t>
            </w:r>
          </w:p>
        </w:tc>
        <w:tc>
          <w:tcPr>
            <w:tcW w:w="1700" w:type="dxa"/>
            <w:gridSpan w:val="2"/>
            <w:shd w:val="clear" w:color="auto" w:fill="E5E5E5" w:themeFill="background1" w:themeFillTint="33"/>
            <w:noWrap/>
            <w:vAlign w:val="center"/>
            <w:hideMark/>
          </w:tcPr>
          <w:p w14:paraId="21D7083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177,165</w:t>
            </w:r>
          </w:p>
        </w:tc>
        <w:tc>
          <w:tcPr>
            <w:tcW w:w="1700" w:type="dxa"/>
            <w:gridSpan w:val="2"/>
            <w:shd w:val="clear" w:color="auto" w:fill="E5E5E5" w:themeFill="background1" w:themeFillTint="33"/>
            <w:noWrap/>
            <w:vAlign w:val="center"/>
            <w:hideMark/>
          </w:tcPr>
          <w:p w14:paraId="5162412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152,629</w:t>
            </w:r>
          </w:p>
        </w:tc>
        <w:tc>
          <w:tcPr>
            <w:tcW w:w="1700" w:type="dxa"/>
            <w:gridSpan w:val="2"/>
            <w:shd w:val="clear" w:color="auto" w:fill="E5E5E5" w:themeFill="background1" w:themeFillTint="33"/>
            <w:noWrap/>
            <w:vAlign w:val="center"/>
            <w:hideMark/>
          </w:tcPr>
          <w:p w14:paraId="4169561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160,668</w:t>
            </w:r>
          </w:p>
        </w:tc>
        <w:tc>
          <w:tcPr>
            <w:tcW w:w="1700" w:type="dxa"/>
            <w:gridSpan w:val="2"/>
            <w:shd w:val="clear" w:color="auto" w:fill="E5E5E5" w:themeFill="background1" w:themeFillTint="33"/>
            <w:noWrap/>
            <w:vAlign w:val="center"/>
            <w:hideMark/>
          </w:tcPr>
          <w:p w14:paraId="0118BF0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728,536</w:t>
            </w:r>
          </w:p>
        </w:tc>
      </w:tr>
      <w:tr w:rsidR="00961617" w:rsidRPr="002F0892" w14:paraId="78AC9AEA" w14:textId="77777777" w:rsidTr="0020771F">
        <w:trPr>
          <w:gridAfter w:val="1"/>
          <w:wAfter w:w="93" w:type="dxa"/>
          <w:trHeight w:hRule="exact" w:val="397"/>
        </w:trPr>
        <w:tc>
          <w:tcPr>
            <w:tcW w:w="2167" w:type="dxa"/>
            <w:shd w:val="clear" w:color="auto" w:fill="auto"/>
            <w:noWrap/>
            <w:vAlign w:val="center"/>
            <w:hideMark/>
          </w:tcPr>
          <w:p w14:paraId="1557950E"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November 2012</w:t>
            </w:r>
          </w:p>
        </w:tc>
        <w:tc>
          <w:tcPr>
            <w:tcW w:w="1700" w:type="dxa"/>
            <w:gridSpan w:val="2"/>
            <w:shd w:val="clear" w:color="auto" w:fill="auto"/>
            <w:noWrap/>
            <w:vAlign w:val="center"/>
            <w:hideMark/>
          </w:tcPr>
          <w:p w14:paraId="5BFDE90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12,739</w:t>
            </w:r>
          </w:p>
        </w:tc>
        <w:tc>
          <w:tcPr>
            <w:tcW w:w="1700" w:type="dxa"/>
            <w:gridSpan w:val="2"/>
            <w:shd w:val="clear" w:color="auto" w:fill="auto"/>
            <w:noWrap/>
            <w:vAlign w:val="center"/>
            <w:hideMark/>
          </w:tcPr>
          <w:p w14:paraId="36E196C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16,865</w:t>
            </w:r>
          </w:p>
        </w:tc>
        <w:tc>
          <w:tcPr>
            <w:tcW w:w="1700" w:type="dxa"/>
            <w:gridSpan w:val="2"/>
            <w:shd w:val="clear" w:color="auto" w:fill="auto"/>
            <w:noWrap/>
            <w:vAlign w:val="center"/>
            <w:hideMark/>
          </w:tcPr>
          <w:p w14:paraId="07635C8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210,989</w:t>
            </w:r>
          </w:p>
        </w:tc>
        <w:tc>
          <w:tcPr>
            <w:tcW w:w="1700" w:type="dxa"/>
            <w:gridSpan w:val="2"/>
            <w:shd w:val="clear" w:color="auto" w:fill="auto"/>
            <w:noWrap/>
            <w:vAlign w:val="center"/>
            <w:hideMark/>
          </w:tcPr>
          <w:p w14:paraId="09E0FB3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179,331</w:t>
            </w:r>
          </w:p>
        </w:tc>
        <w:tc>
          <w:tcPr>
            <w:tcW w:w="1700" w:type="dxa"/>
            <w:gridSpan w:val="2"/>
            <w:shd w:val="clear" w:color="auto" w:fill="auto"/>
            <w:noWrap/>
            <w:vAlign w:val="center"/>
            <w:hideMark/>
          </w:tcPr>
          <w:p w14:paraId="1712167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151,475</w:t>
            </w:r>
          </w:p>
        </w:tc>
        <w:tc>
          <w:tcPr>
            <w:tcW w:w="1700" w:type="dxa"/>
            <w:gridSpan w:val="2"/>
            <w:shd w:val="clear" w:color="auto" w:fill="auto"/>
            <w:noWrap/>
            <w:vAlign w:val="center"/>
            <w:hideMark/>
          </w:tcPr>
          <w:p w14:paraId="2BF5AB6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160,789</w:t>
            </w:r>
          </w:p>
        </w:tc>
        <w:tc>
          <w:tcPr>
            <w:tcW w:w="1700" w:type="dxa"/>
            <w:gridSpan w:val="2"/>
            <w:shd w:val="clear" w:color="auto" w:fill="auto"/>
            <w:noWrap/>
            <w:vAlign w:val="center"/>
            <w:hideMark/>
          </w:tcPr>
          <w:p w14:paraId="0ABC664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732,188</w:t>
            </w:r>
          </w:p>
        </w:tc>
      </w:tr>
      <w:tr w:rsidR="00961617" w:rsidRPr="002F0892" w14:paraId="0208BD5A" w14:textId="77777777" w:rsidTr="0020771F">
        <w:trPr>
          <w:gridAfter w:val="1"/>
          <w:wAfter w:w="93" w:type="dxa"/>
          <w:trHeight w:hRule="exact" w:val="397"/>
        </w:trPr>
        <w:tc>
          <w:tcPr>
            <w:tcW w:w="2167" w:type="dxa"/>
            <w:shd w:val="clear" w:color="auto" w:fill="E5E5E5" w:themeFill="background1" w:themeFillTint="33"/>
            <w:noWrap/>
            <w:vAlign w:val="center"/>
            <w:hideMark/>
          </w:tcPr>
          <w:p w14:paraId="10BFFD25"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December 2012</w:t>
            </w:r>
          </w:p>
        </w:tc>
        <w:tc>
          <w:tcPr>
            <w:tcW w:w="1700" w:type="dxa"/>
            <w:gridSpan w:val="2"/>
            <w:shd w:val="clear" w:color="auto" w:fill="E5E5E5" w:themeFill="background1" w:themeFillTint="33"/>
            <w:noWrap/>
            <w:vAlign w:val="center"/>
            <w:hideMark/>
          </w:tcPr>
          <w:p w14:paraId="305F2AE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6,107</w:t>
            </w:r>
          </w:p>
        </w:tc>
        <w:tc>
          <w:tcPr>
            <w:tcW w:w="1700" w:type="dxa"/>
            <w:gridSpan w:val="2"/>
            <w:shd w:val="clear" w:color="auto" w:fill="E5E5E5" w:themeFill="background1" w:themeFillTint="33"/>
            <w:noWrap/>
            <w:vAlign w:val="center"/>
            <w:hideMark/>
          </w:tcPr>
          <w:p w14:paraId="4DFE2ED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14,812</w:t>
            </w:r>
          </w:p>
        </w:tc>
        <w:tc>
          <w:tcPr>
            <w:tcW w:w="1700" w:type="dxa"/>
            <w:gridSpan w:val="2"/>
            <w:shd w:val="clear" w:color="auto" w:fill="E5E5E5" w:themeFill="background1" w:themeFillTint="33"/>
            <w:noWrap/>
            <w:vAlign w:val="center"/>
            <w:hideMark/>
          </w:tcPr>
          <w:p w14:paraId="2B58EF0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221,000</w:t>
            </w:r>
          </w:p>
        </w:tc>
        <w:tc>
          <w:tcPr>
            <w:tcW w:w="1700" w:type="dxa"/>
            <w:gridSpan w:val="2"/>
            <w:shd w:val="clear" w:color="auto" w:fill="E5E5E5" w:themeFill="background1" w:themeFillTint="33"/>
            <w:noWrap/>
            <w:vAlign w:val="center"/>
            <w:hideMark/>
          </w:tcPr>
          <w:p w14:paraId="0DD6234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183,011</w:t>
            </w:r>
          </w:p>
        </w:tc>
        <w:tc>
          <w:tcPr>
            <w:tcW w:w="1700" w:type="dxa"/>
            <w:gridSpan w:val="2"/>
            <w:shd w:val="clear" w:color="auto" w:fill="E5E5E5" w:themeFill="background1" w:themeFillTint="33"/>
            <w:noWrap/>
            <w:vAlign w:val="center"/>
            <w:hideMark/>
          </w:tcPr>
          <w:p w14:paraId="6B15195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160,616</w:t>
            </w:r>
          </w:p>
        </w:tc>
        <w:tc>
          <w:tcPr>
            <w:tcW w:w="1700" w:type="dxa"/>
            <w:gridSpan w:val="2"/>
            <w:shd w:val="clear" w:color="auto" w:fill="E5E5E5" w:themeFill="background1" w:themeFillTint="33"/>
            <w:noWrap/>
            <w:vAlign w:val="center"/>
            <w:hideMark/>
          </w:tcPr>
          <w:p w14:paraId="2378F1D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160,786</w:t>
            </w:r>
          </w:p>
        </w:tc>
        <w:tc>
          <w:tcPr>
            <w:tcW w:w="1700" w:type="dxa"/>
            <w:gridSpan w:val="2"/>
            <w:shd w:val="clear" w:color="auto" w:fill="E5E5E5" w:themeFill="background1" w:themeFillTint="33"/>
            <w:noWrap/>
            <w:vAlign w:val="center"/>
            <w:hideMark/>
          </w:tcPr>
          <w:p w14:paraId="71E1E48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746,332</w:t>
            </w:r>
          </w:p>
        </w:tc>
      </w:tr>
      <w:tr w:rsidR="00961617" w:rsidRPr="002F0892" w14:paraId="4AFFCFB8" w14:textId="77777777" w:rsidTr="0020771F">
        <w:trPr>
          <w:gridAfter w:val="1"/>
          <w:wAfter w:w="93" w:type="dxa"/>
          <w:trHeight w:hRule="exact" w:val="397"/>
        </w:trPr>
        <w:tc>
          <w:tcPr>
            <w:tcW w:w="2167" w:type="dxa"/>
            <w:shd w:val="clear" w:color="auto" w:fill="auto"/>
            <w:noWrap/>
            <w:vAlign w:val="center"/>
            <w:hideMark/>
          </w:tcPr>
          <w:p w14:paraId="2454E310"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January 2013</w:t>
            </w:r>
          </w:p>
        </w:tc>
        <w:tc>
          <w:tcPr>
            <w:tcW w:w="1700" w:type="dxa"/>
            <w:gridSpan w:val="2"/>
            <w:shd w:val="clear" w:color="auto" w:fill="auto"/>
            <w:noWrap/>
            <w:vAlign w:val="center"/>
            <w:hideMark/>
          </w:tcPr>
          <w:p w14:paraId="6797AD9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5,966</w:t>
            </w:r>
          </w:p>
        </w:tc>
        <w:tc>
          <w:tcPr>
            <w:tcW w:w="1700" w:type="dxa"/>
            <w:gridSpan w:val="2"/>
            <w:shd w:val="clear" w:color="auto" w:fill="auto"/>
            <w:noWrap/>
            <w:vAlign w:val="center"/>
            <w:hideMark/>
          </w:tcPr>
          <w:p w14:paraId="40EB3CF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16,095</w:t>
            </w:r>
          </w:p>
        </w:tc>
        <w:tc>
          <w:tcPr>
            <w:tcW w:w="1700" w:type="dxa"/>
            <w:gridSpan w:val="2"/>
            <w:shd w:val="clear" w:color="auto" w:fill="auto"/>
            <w:noWrap/>
            <w:vAlign w:val="center"/>
            <w:hideMark/>
          </w:tcPr>
          <w:p w14:paraId="1B8FAC8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238,857</w:t>
            </w:r>
          </w:p>
        </w:tc>
        <w:tc>
          <w:tcPr>
            <w:tcW w:w="1700" w:type="dxa"/>
            <w:gridSpan w:val="2"/>
            <w:shd w:val="clear" w:color="auto" w:fill="auto"/>
            <w:noWrap/>
            <w:vAlign w:val="center"/>
            <w:hideMark/>
          </w:tcPr>
          <w:p w14:paraId="71DA58C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192,300</w:t>
            </w:r>
          </w:p>
        </w:tc>
        <w:tc>
          <w:tcPr>
            <w:tcW w:w="1700" w:type="dxa"/>
            <w:gridSpan w:val="2"/>
            <w:shd w:val="clear" w:color="auto" w:fill="auto"/>
            <w:noWrap/>
            <w:vAlign w:val="center"/>
            <w:hideMark/>
          </w:tcPr>
          <w:p w14:paraId="608C00A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164,899</w:t>
            </w:r>
          </w:p>
        </w:tc>
        <w:tc>
          <w:tcPr>
            <w:tcW w:w="1700" w:type="dxa"/>
            <w:gridSpan w:val="2"/>
            <w:shd w:val="clear" w:color="auto" w:fill="auto"/>
            <w:noWrap/>
            <w:vAlign w:val="center"/>
            <w:hideMark/>
          </w:tcPr>
          <w:p w14:paraId="7601584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162,687</w:t>
            </w:r>
          </w:p>
        </w:tc>
        <w:tc>
          <w:tcPr>
            <w:tcW w:w="1700" w:type="dxa"/>
            <w:gridSpan w:val="2"/>
            <w:shd w:val="clear" w:color="auto" w:fill="auto"/>
            <w:noWrap/>
            <w:vAlign w:val="center"/>
            <w:hideMark/>
          </w:tcPr>
          <w:p w14:paraId="2CA4D80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780,804</w:t>
            </w:r>
          </w:p>
        </w:tc>
      </w:tr>
      <w:tr w:rsidR="00961617" w:rsidRPr="002F0892" w14:paraId="02ECBFB9" w14:textId="77777777" w:rsidTr="0020771F">
        <w:trPr>
          <w:gridAfter w:val="1"/>
          <w:wAfter w:w="93" w:type="dxa"/>
          <w:trHeight w:hRule="exact" w:val="397"/>
        </w:trPr>
        <w:tc>
          <w:tcPr>
            <w:tcW w:w="2167" w:type="dxa"/>
            <w:shd w:val="clear" w:color="auto" w:fill="E5E5E5" w:themeFill="background1" w:themeFillTint="33"/>
            <w:noWrap/>
            <w:vAlign w:val="center"/>
            <w:hideMark/>
          </w:tcPr>
          <w:p w14:paraId="52D09D82"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February 2013</w:t>
            </w:r>
          </w:p>
        </w:tc>
        <w:tc>
          <w:tcPr>
            <w:tcW w:w="1700" w:type="dxa"/>
            <w:gridSpan w:val="2"/>
            <w:shd w:val="clear" w:color="auto" w:fill="E5E5E5" w:themeFill="background1" w:themeFillTint="33"/>
            <w:noWrap/>
            <w:vAlign w:val="center"/>
            <w:hideMark/>
          </w:tcPr>
          <w:p w14:paraId="2837720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5,743</w:t>
            </w:r>
          </w:p>
        </w:tc>
        <w:tc>
          <w:tcPr>
            <w:tcW w:w="1700" w:type="dxa"/>
            <w:gridSpan w:val="2"/>
            <w:shd w:val="clear" w:color="auto" w:fill="E5E5E5" w:themeFill="background1" w:themeFillTint="33"/>
            <w:noWrap/>
            <w:vAlign w:val="center"/>
            <w:hideMark/>
          </w:tcPr>
          <w:p w14:paraId="721D217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18,232</w:t>
            </w:r>
          </w:p>
        </w:tc>
        <w:tc>
          <w:tcPr>
            <w:tcW w:w="1700" w:type="dxa"/>
            <w:gridSpan w:val="2"/>
            <w:shd w:val="clear" w:color="auto" w:fill="E5E5E5" w:themeFill="background1" w:themeFillTint="33"/>
            <w:noWrap/>
            <w:vAlign w:val="center"/>
            <w:hideMark/>
          </w:tcPr>
          <w:p w14:paraId="6298FC2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237,849</w:t>
            </w:r>
          </w:p>
        </w:tc>
        <w:tc>
          <w:tcPr>
            <w:tcW w:w="1700" w:type="dxa"/>
            <w:gridSpan w:val="2"/>
            <w:shd w:val="clear" w:color="auto" w:fill="E5E5E5" w:themeFill="background1" w:themeFillTint="33"/>
            <w:noWrap/>
            <w:vAlign w:val="center"/>
            <w:hideMark/>
          </w:tcPr>
          <w:p w14:paraId="220DAFF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193,599</w:t>
            </w:r>
          </w:p>
        </w:tc>
        <w:tc>
          <w:tcPr>
            <w:tcW w:w="1700" w:type="dxa"/>
            <w:gridSpan w:val="2"/>
            <w:shd w:val="clear" w:color="auto" w:fill="E5E5E5" w:themeFill="background1" w:themeFillTint="33"/>
            <w:noWrap/>
            <w:vAlign w:val="center"/>
            <w:hideMark/>
          </w:tcPr>
          <w:p w14:paraId="0223999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167,319</w:t>
            </w:r>
          </w:p>
        </w:tc>
        <w:tc>
          <w:tcPr>
            <w:tcW w:w="1700" w:type="dxa"/>
            <w:gridSpan w:val="2"/>
            <w:shd w:val="clear" w:color="auto" w:fill="E5E5E5" w:themeFill="background1" w:themeFillTint="33"/>
            <w:noWrap/>
            <w:vAlign w:val="center"/>
            <w:hideMark/>
          </w:tcPr>
          <w:p w14:paraId="2AC875C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162,472</w:t>
            </w:r>
          </w:p>
        </w:tc>
        <w:tc>
          <w:tcPr>
            <w:tcW w:w="1700" w:type="dxa"/>
            <w:gridSpan w:val="2"/>
            <w:shd w:val="clear" w:color="auto" w:fill="E5E5E5" w:themeFill="background1" w:themeFillTint="33"/>
            <w:noWrap/>
            <w:vAlign w:val="center"/>
            <w:hideMark/>
          </w:tcPr>
          <w:p w14:paraId="675A013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785,214</w:t>
            </w:r>
          </w:p>
        </w:tc>
      </w:tr>
      <w:tr w:rsidR="00961617" w:rsidRPr="002F0892" w14:paraId="099FF592" w14:textId="77777777" w:rsidTr="0020771F">
        <w:trPr>
          <w:gridAfter w:val="1"/>
          <w:wAfter w:w="93" w:type="dxa"/>
          <w:trHeight w:hRule="exact" w:val="397"/>
        </w:trPr>
        <w:tc>
          <w:tcPr>
            <w:tcW w:w="2167" w:type="dxa"/>
            <w:shd w:val="clear" w:color="auto" w:fill="auto"/>
            <w:noWrap/>
            <w:vAlign w:val="center"/>
            <w:hideMark/>
          </w:tcPr>
          <w:p w14:paraId="4F83C68A"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March 2013</w:t>
            </w:r>
          </w:p>
        </w:tc>
        <w:tc>
          <w:tcPr>
            <w:tcW w:w="1700" w:type="dxa"/>
            <w:gridSpan w:val="2"/>
            <w:shd w:val="clear" w:color="auto" w:fill="auto"/>
            <w:noWrap/>
            <w:vAlign w:val="center"/>
            <w:hideMark/>
          </w:tcPr>
          <w:p w14:paraId="0D648E0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5,446</w:t>
            </w:r>
          </w:p>
        </w:tc>
        <w:tc>
          <w:tcPr>
            <w:tcW w:w="1700" w:type="dxa"/>
            <w:gridSpan w:val="2"/>
            <w:shd w:val="clear" w:color="auto" w:fill="auto"/>
            <w:noWrap/>
            <w:vAlign w:val="center"/>
            <w:hideMark/>
          </w:tcPr>
          <w:p w14:paraId="65A9709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19,699</w:t>
            </w:r>
          </w:p>
        </w:tc>
        <w:tc>
          <w:tcPr>
            <w:tcW w:w="1700" w:type="dxa"/>
            <w:gridSpan w:val="2"/>
            <w:shd w:val="clear" w:color="auto" w:fill="auto"/>
            <w:noWrap/>
            <w:vAlign w:val="center"/>
            <w:hideMark/>
          </w:tcPr>
          <w:p w14:paraId="3052419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239,292</w:t>
            </w:r>
          </w:p>
        </w:tc>
        <w:tc>
          <w:tcPr>
            <w:tcW w:w="1700" w:type="dxa"/>
            <w:gridSpan w:val="2"/>
            <w:shd w:val="clear" w:color="auto" w:fill="auto"/>
            <w:noWrap/>
            <w:vAlign w:val="center"/>
            <w:hideMark/>
          </w:tcPr>
          <w:p w14:paraId="5EAA9EF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193,978</w:t>
            </w:r>
          </w:p>
        </w:tc>
        <w:tc>
          <w:tcPr>
            <w:tcW w:w="1700" w:type="dxa"/>
            <w:gridSpan w:val="2"/>
            <w:shd w:val="clear" w:color="auto" w:fill="auto"/>
            <w:noWrap/>
            <w:vAlign w:val="center"/>
            <w:hideMark/>
          </w:tcPr>
          <w:p w14:paraId="52A209A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167,771</w:t>
            </w:r>
          </w:p>
        </w:tc>
        <w:tc>
          <w:tcPr>
            <w:tcW w:w="1700" w:type="dxa"/>
            <w:gridSpan w:val="2"/>
            <w:shd w:val="clear" w:color="auto" w:fill="auto"/>
            <w:noWrap/>
            <w:vAlign w:val="center"/>
            <w:hideMark/>
          </w:tcPr>
          <w:p w14:paraId="2D5A33C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162,448</w:t>
            </w:r>
          </w:p>
        </w:tc>
        <w:tc>
          <w:tcPr>
            <w:tcW w:w="1700" w:type="dxa"/>
            <w:gridSpan w:val="2"/>
            <w:shd w:val="clear" w:color="auto" w:fill="auto"/>
            <w:noWrap/>
            <w:vAlign w:val="center"/>
            <w:hideMark/>
          </w:tcPr>
          <w:p w14:paraId="78810B6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788,634</w:t>
            </w:r>
          </w:p>
        </w:tc>
      </w:tr>
      <w:tr w:rsidR="00961617" w:rsidRPr="002F0892" w14:paraId="6F0C4486" w14:textId="77777777" w:rsidTr="0020771F">
        <w:trPr>
          <w:gridAfter w:val="1"/>
          <w:wAfter w:w="93" w:type="dxa"/>
          <w:trHeight w:hRule="exact" w:val="397"/>
        </w:trPr>
        <w:tc>
          <w:tcPr>
            <w:tcW w:w="2167" w:type="dxa"/>
            <w:shd w:val="clear" w:color="auto" w:fill="E5E5E5" w:themeFill="background1" w:themeFillTint="33"/>
            <w:noWrap/>
            <w:vAlign w:val="center"/>
            <w:hideMark/>
          </w:tcPr>
          <w:p w14:paraId="589C9284"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April 2013</w:t>
            </w:r>
          </w:p>
        </w:tc>
        <w:tc>
          <w:tcPr>
            <w:tcW w:w="1700" w:type="dxa"/>
            <w:gridSpan w:val="2"/>
            <w:shd w:val="clear" w:color="auto" w:fill="E5E5E5" w:themeFill="background1" w:themeFillTint="33"/>
            <w:noWrap/>
            <w:vAlign w:val="center"/>
            <w:hideMark/>
          </w:tcPr>
          <w:p w14:paraId="09ADBFC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5,077</w:t>
            </w:r>
          </w:p>
        </w:tc>
        <w:tc>
          <w:tcPr>
            <w:tcW w:w="1700" w:type="dxa"/>
            <w:gridSpan w:val="2"/>
            <w:shd w:val="clear" w:color="auto" w:fill="E5E5E5" w:themeFill="background1" w:themeFillTint="33"/>
            <w:noWrap/>
            <w:vAlign w:val="center"/>
            <w:hideMark/>
          </w:tcPr>
          <w:p w14:paraId="69A3D9E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19,798</w:t>
            </w:r>
          </w:p>
        </w:tc>
        <w:tc>
          <w:tcPr>
            <w:tcW w:w="1700" w:type="dxa"/>
            <w:gridSpan w:val="2"/>
            <w:shd w:val="clear" w:color="auto" w:fill="E5E5E5" w:themeFill="background1" w:themeFillTint="33"/>
            <w:noWrap/>
            <w:vAlign w:val="center"/>
            <w:hideMark/>
          </w:tcPr>
          <w:p w14:paraId="4DEABF1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241,678</w:t>
            </w:r>
          </w:p>
        </w:tc>
        <w:tc>
          <w:tcPr>
            <w:tcW w:w="1700" w:type="dxa"/>
            <w:gridSpan w:val="2"/>
            <w:shd w:val="clear" w:color="auto" w:fill="E5E5E5" w:themeFill="background1" w:themeFillTint="33"/>
            <w:noWrap/>
            <w:vAlign w:val="center"/>
            <w:hideMark/>
          </w:tcPr>
          <w:p w14:paraId="41B0D4B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194,006</w:t>
            </w:r>
          </w:p>
        </w:tc>
        <w:tc>
          <w:tcPr>
            <w:tcW w:w="1700" w:type="dxa"/>
            <w:gridSpan w:val="2"/>
            <w:shd w:val="clear" w:color="auto" w:fill="E5E5E5" w:themeFill="background1" w:themeFillTint="33"/>
            <w:noWrap/>
            <w:vAlign w:val="center"/>
            <w:hideMark/>
          </w:tcPr>
          <w:p w14:paraId="37DCDBF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167,265</w:t>
            </w:r>
          </w:p>
        </w:tc>
        <w:tc>
          <w:tcPr>
            <w:tcW w:w="1700" w:type="dxa"/>
            <w:gridSpan w:val="2"/>
            <w:shd w:val="clear" w:color="auto" w:fill="E5E5E5" w:themeFill="background1" w:themeFillTint="33"/>
            <w:noWrap/>
            <w:vAlign w:val="center"/>
            <w:hideMark/>
          </w:tcPr>
          <w:p w14:paraId="2EEEDBF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162,242</w:t>
            </w:r>
          </w:p>
        </w:tc>
        <w:tc>
          <w:tcPr>
            <w:tcW w:w="1700" w:type="dxa"/>
            <w:gridSpan w:val="2"/>
            <w:shd w:val="clear" w:color="auto" w:fill="E5E5E5" w:themeFill="background1" w:themeFillTint="33"/>
            <w:noWrap/>
            <w:vAlign w:val="center"/>
            <w:hideMark/>
          </w:tcPr>
          <w:p w14:paraId="1C79285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790,066</w:t>
            </w:r>
          </w:p>
        </w:tc>
      </w:tr>
      <w:tr w:rsidR="00961617" w:rsidRPr="002F0892" w14:paraId="379505F9" w14:textId="77777777" w:rsidTr="0020771F">
        <w:trPr>
          <w:gridAfter w:val="1"/>
          <w:wAfter w:w="93" w:type="dxa"/>
          <w:trHeight w:hRule="exact" w:val="397"/>
        </w:trPr>
        <w:tc>
          <w:tcPr>
            <w:tcW w:w="2167" w:type="dxa"/>
            <w:shd w:val="clear" w:color="auto" w:fill="auto"/>
            <w:noWrap/>
            <w:vAlign w:val="center"/>
            <w:hideMark/>
          </w:tcPr>
          <w:p w14:paraId="44ADC31D"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May 2013</w:t>
            </w:r>
          </w:p>
        </w:tc>
        <w:tc>
          <w:tcPr>
            <w:tcW w:w="1700" w:type="dxa"/>
            <w:gridSpan w:val="2"/>
            <w:shd w:val="clear" w:color="auto" w:fill="auto"/>
            <w:noWrap/>
            <w:vAlign w:val="center"/>
            <w:hideMark/>
          </w:tcPr>
          <w:p w14:paraId="592301E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4,819</w:t>
            </w:r>
          </w:p>
        </w:tc>
        <w:tc>
          <w:tcPr>
            <w:tcW w:w="1700" w:type="dxa"/>
            <w:gridSpan w:val="2"/>
            <w:shd w:val="clear" w:color="auto" w:fill="auto"/>
            <w:noWrap/>
            <w:vAlign w:val="center"/>
            <w:hideMark/>
          </w:tcPr>
          <w:p w14:paraId="2F0C067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18,440</w:t>
            </w:r>
          </w:p>
        </w:tc>
        <w:tc>
          <w:tcPr>
            <w:tcW w:w="1700" w:type="dxa"/>
            <w:gridSpan w:val="2"/>
            <w:shd w:val="clear" w:color="auto" w:fill="auto"/>
            <w:noWrap/>
            <w:vAlign w:val="center"/>
            <w:hideMark/>
          </w:tcPr>
          <w:p w14:paraId="7B616C2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243,128</w:t>
            </w:r>
          </w:p>
        </w:tc>
        <w:tc>
          <w:tcPr>
            <w:tcW w:w="1700" w:type="dxa"/>
            <w:gridSpan w:val="2"/>
            <w:shd w:val="clear" w:color="auto" w:fill="auto"/>
            <w:noWrap/>
            <w:vAlign w:val="center"/>
            <w:hideMark/>
          </w:tcPr>
          <w:p w14:paraId="6380163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195,556</w:t>
            </w:r>
          </w:p>
        </w:tc>
        <w:tc>
          <w:tcPr>
            <w:tcW w:w="1700" w:type="dxa"/>
            <w:gridSpan w:val="2"/>
            <w:shd w:val="clear" w:color="auto" w:fill="auto"/>
            <w:noWrap/>
            <w:vAlign w:val="center"/>
            <w:hideMark/>
          </w:tcPr>
          <w:p w14:paraId="43E0752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167,795</w:t>
            </w:r>
          </w:p>
        </w:tc>
        <w:tc>
          <w:tcPr>
            <w:tcW w:w="1700" w:type="dxa"/>
            <w:gridSpan w:val="2"/>
            <w:shd w:val="clear" w:color="auto" w:fill="auto"/>
            <w:noWrap/>
            <w:vAlign w:val="center"/>
            <w:hideMark/>
          </w:tcPr>
          <w:p w14:paraId="14FC003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162,662</w:t>
            </w:r>
          </w:p>
        </w:tc>
        <w:tc>
          <w:tcPr>
            <w:tcW w:w="1700" w:type="dxa"/>
            <w:gridSpan w:val="2"/>
            <w:shd w:val="clear" w:color="auto" w:fill="auto"/>
            <w:noWrap/>
            <w:vAlign w:val="center"/>
            <w:hideMark/>
          </w:tcPr>
          <w:p w14:paraId="22A1E32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792,400</w:t>
            </w:r>
          </w:p>
        </w:tc>
      </w:tr>
      <w:tr w:rsidR="00961617" w:rsidRPr="002F0892" w14:paraId="498980F2" w14:textId="77777777" w:rsidTr="0020771F">
        <w:trPr>
          <w:gridAfter w:val="1"/>
          <w:wAfter w:w="93" w:type="dxa"/>
          <w:trHeight w:hRule="exact" w:val="397"/>
        </w:trPr>
        <w:tc>
          <w:tcPr>
            <w:tcW w:w="2167" w:type="dxa"/>
            <w:shd w:val="clear" w:color="auto" w:fill="E5E5E5" w:themeFill="background1" w:themeFillTint="33"/>
            <w:noWrap/>
            <w:vAlign w:val="center"/>
            <w:hideMark/>
          </w:tcPr>
          <w:p w14:paraId="6B12E604"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June 2013</w:t>
            </w:r>
          </w:p>
        </w:tc>
        <w:tc>
          <w:tcPr>
            <w:tcW w:w="1700" w:type="dxa"/>
            <w:gridSpan w:val="2"/>
            <w:shd w:val="clear" w:color="auto" w:fill="E5E5E5" w:themeFill="background1" w:themeFillTint="33"/>
            <w:noWrap/>
            <w:vAlign w:val="center"/>
            <w:hideMark/>
          </w:tcPr>
          <w:p w14:paraId="4F0F090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4,242</w:t>
            </w:r>
          </w:p>
        </w:tc>
        <w:tc>
          <w:tcPr>
            <w:tcW w:w="1700" w:type="dxa"/>
            <w:gridSpan w:val="2"/>
            <w:shd w:val="clear" w:color="auto" w:fill="E5E5E5" w:themeFill="background1" w:themeFillTint="33"/>
            <w:noWrap/>
            <w:vAlign w:val="center"/>
            <w:hideMark/>
          </w:tcPr>
          <w:p w14:paraId="0ED97EC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16,864</w:t>
            </w:r>
          </w:p>
        </w:tc>
        <w:tc>
          <w:tcPr>
            <w:tcW w:w="1700" w:type="dxa"/>
            <w:gridSpan w:val="2"/>
            <w:shd w:val="clear" w:color="auto" w:fill="E5E5E5" w:themeFill="background1" w:themeFillTint="33"/>
            <w:noWrap/>
            <w:vAlign w:val="center"/>
            <w:hideMark/>
          </w:tcPr>
          <w:p w14:paraId="48E04A3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244,616</w:t>
            </w:r>
          </w:p>
        </w:tc>
        <w:tc>
          <w:tcPr>
            <w:tcW w:w="1700" w:type="dxa"/>
            <w:gridSpan w:val="2"/>
            <w:shd w:val="clear" w:color="auto" w:fill="E5E5E5" w:themeFill="background1" w:themeFillTint="33"/>
            <w:noWrap/>
            <w:vAlign w:val="center"/>
            <w:hideMark/>
          </w:tcPr>
          <w:p w14:paraId="5F8CF2B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192,915</w:t>
            </w:r>
          </w:p>
        </w:tc>
        <w:tc>
          <w:tcPr>
            <w:tcW w:w="1700" w:type="dxa"/>
            <w:gridSpan w:val="2"/>
            <w:shd w:val="clear" w:color="auto" w:fill="E5E5E5" w:themeFill="background1" w:themeFillTint="33"/>
            <w:noWrap/>
            <w:vAlign w:val="center"/>
            <w:hideMark/>
          </w:tcPr>
          <w:p w14:paraId="3D48D15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148,446</w:t>
            </w:r>
          </w:p>
        </w:tc>
        <w:tc>
          <w:tcPr>
            <w:tcW w:w="1700" w:type="dxa"/>
            <w:gridSpan w:val="2"/>
            <w:shd w:val="clear" w:color="auto" w:fill="E5E5E5" w:themeFill="background1" w:themeFillTint="33"/>
            <w:noWrap/>
            <w:vAlign w:val="center"/>
            <w:hideMark/>
          </w:tcPr>
          <w:p w14:paraId="2D93D58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155,158</w:t>
            </w:r>
          </w:p>
        </w:tc>
        <w:tc>
          <w:tcPr>
            <w:tcW w:w="1700" w:type="dxa"/>
            <w:gridSpan w:val="2"/>
            <w:shd w:val="clear" w:color="auto" w:fill="E5E5E5" w:themeFill="background1" w:themeFillTint="33"/>
            <w:noWrap/>
            <w:vAlign w:val="center"/>
            <w:hideMark/>
          </w:tcPr>
          <w:p w14:paraId="1B73EE4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762,241</w:t>
            </w:r>
          </w:p>
        </w:tc>
      </w:tr>
      <w:tr w:rsidR="00961617" w:rsidRPr="002F0892" w14:paraId="5E08BAC5" w14:textId="77777777" w:rsidTr="0020771F">
        <w:trPr>
          <w:gridAfter w:val="1"/>
          <w:wAfter w:w="93" w:type="dxa"/>
          <w:trHeight w:hRule="exact" w:val="397"/>
        </w:trPr>
        <w:tc>
          <w:tcPr>
            <w:tcW w:w="2167" w:type="dxa"/>
            <w:shd w:val="clear" w:color="auto" w:fill="auto"/>
            <w:noWrap/>
            <w:vAlign w:val="center"/>
            <w:hideMark/>
          </w:tcPr>
          <w:p w14:paraId="3B24AB9E"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July 2013</w:t>
            </w:r>
          </w:p>
        </w:tc>
        <w:tc>
          <w:tcPr>
            <w:tcW w:w="1700" w:type="dxa"/>
            <w:gridSpan w:val="2"/>
            <w:shd w:val="clear" w:color="auto" w:fill="auto"/>
            <w:noWrap/>
            <w:vAlign w:val="center"/>
            <w:hideMark/>
          </w:tcPr>
          <w:p w14:paraId="08D88ED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4,082</w:t>
            </w:r>
          </w:p>
        </w:tc>
        <w:tc>
          <w:tcPr>
            <w:tcW w:w="1700" w:type="dxa"/>
            <w:gridSpan w:val="2"/>
            <w:shd w:val="clear" w:color="auto" w:fill="auto"/>
            <w:noWrap/>
            <w:vAlign w:val="center"/>
            <w:hideMark/>
          </w:tcPr>
          <w:p w14:paraId="76ED6C2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15,588</w:t>
            </w:r>
          </w:p>
        </w:tc>
        <w:tc>
          <w:tcPr>
            <w:tcW w:w="1700" w:type="dxa"/>
            <w:gridSpan w:val="2"/>
            <w:shd w:val="clear" w:color="auto" w:fill="auto"/>
            <w:noWrap/>
            <w:vAlign w:val="center"/>
            <w:hideMark/>
          </w:tcPr>
          <w:p w14:paraId="0D5C0DE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244,226</w:t>
            </w:r>
          </w:p>
        </w:tc>
        <w:tc>
          <w:tcPr>
            <w:tcW w:w="1700" w:type="dxa"/>
            <w:gridSpan w:val="2"/>
            <w:shd w:val="clear" w:color="auto" w:fill="auto"/>
            <w:noWrap/>
            <w:vAlign w:val="center"/>
            <w:hideMark/>
          </w:tcPr>
          <w:p w14:paraId="1F8D639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193,537</w:t>
            </w:r>
          </w:p>
        </w:tc>
        <w:tc>
          <w:tcPr>
            <w:tcW w:w="1700" w:type="dxa"/>
            <w:gridSpan w:val="2"/>
            <w:shd w:val="clear" w:color="auto" w:fill="auto"/>
            <w:noWrap/>
            <w:vAlign w:val="center"/>
            <w:hideMark/>
          </w:tcPr>
          <w:p w14:paraId="0E32F63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148,985</w:t>
            </w:r>
          </w:p>
        </w:tc>
        <w:tc>
          <w:tcPr>
            <w:tcW w:w="1700" w:type="dxa"/>
            <w:gridSpan w:val="2"/>
            <w:shd w:val="clear" w:color="auto" w:fill="auto"/>
            <w:noWrap/>
            <w:vAlign w:val="center"/>
            <w:hideMark/>
          </w:tcPr>
          <w:p w14:paraId="541D868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155,798</w:t>
            </w:r>
          </w:p>
        </w:tc>
        <w:tc>
          <w:tcPr>
            <w:tcW w:w="1700" w:type="dxa"/>
            <w:gridSpan w:val="2"/>
            <w:shd w:val="clear" w:color="auto" w:fill="auto"/>
            <w:noWrap/>
            <w:vAlign w:val="center"/>
            <w:hideMark/>
          </w:tcPr>
          <w:p w14:paraId="0BBFF43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762,216</w:t>
            </w:r>
          </w:p>
        </w:tc>
      </w:tr>
      <w:tr w:rsidR="00961617" w:rsidRPr="002F0892" w14:paraId="0A0862EF" w14:textId="77777777" w:rsidTr="0020771F">
        <w:trPr>
          <w:gridAfter w:val="1"/>
          <w:wAfter w:w="93" w:type="dxa"/>
          <w:trHeight w:hRule="exact" w:val="397"/>
        </w:trPr>
        <w:tc>
          <w:tcPr>
            <w:tcW w:w="2167" w:type="dxa"/>
            <w:shd w:val="clear" w:color="auto" w:fill="E5E5E5" w:themeFill="background1" w:themeFillTint="33"/>
            <w:noWrap/>
            <w:vAlign w:val="center"/>
            <w:hideMark/>
          </w:tcPr>
          <w:p w14:paraId="0FF1FAC6"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August 2013</w:t>
            </w:r>
          </w:p>
        </w:tc>
        <w:tc>
          <w:tcPr>
            <w:tcW w:w="1700" w:type="dxa"/>
            <w:gridSpan w:val="2"/>
            <w:shd w:val="clear" w:color="auto" w:fill="E5E5E5" w:themeFill="background1" w:themeFillTint="33"/>
            <w:noWrap/>
            <w:vAlign w:val="center"/>
            <w:hideMark/>
          </w:tcPr>
          <w:p w14:paraId="512E444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3,960</w:t>
            </w:r>
          </w:p>
        </w:tc>
        <w:tc>
          <w:tcPr>
            <w:tcW w:w="1700" w:type="dxa"/>
            <w:gridSpan w:val="2"/>
            <w:shd w:val="clear" w:color="auto" w:fill="E5E5E5" w:themeFill="background1" w:themeFillTint="33"/>
            <w:noWrap/>
            <w:vAlign w:val="center"/>
            <w:hideMark/>
          </w:tcPr>
          <w:p w14:paraId="76FE93D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14,075</w:t>
            </w:r>
          </w:p>
        </w:tc>
        <w:tc>
          <w:tcPr>
            <w:tcW w:w="1700" w:type="dxa"/>
            <w:gridSpan w:val="2"/>
            <w:shd w:val="clear" w:color="auto" w:fill="E5E5E5" w:themeFill="background1" w:themeFillTint="33"/>
            <w:noWrap/>
            <w:vAlign w:val="center"/>
            <w:hideMark/>
          </w:tcPr>
          <w:p w14:paraId="1F7B5BF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242,376</w:t>
            </w:r>
          </w:p>
        </w:tc>
        <w:tc>
          <w:tcPr>
            <w:tcW w:w="1700" w:type="dxa"/>
            <w:gridSpan w:val="2"/>
            <w:shd w:val="clear" w:color="auto" w:fill="E5E5E5" w:themeFill="background1" w:themeFillTint="33"/>
            <w:noWrap/>
            <w:vAlign w:val="center"/>
            <w:hideMark/>
          </w:tcPr>
          <w:p w14:paraId="5A8465C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193,115</w:t>
            </w:r>
          </w:p>
        </w:tc>
        <w:tc>
          <w:tcPr>
            <w:tcW w:w="1700" w:type="dxa"/>
            <w:gridSpan w:val="2"/>
            <w:shd w:val="clear" w:color="auto" w:fill="E5E5E5" w:themeFill="background1" w:themeFillTint="33"/>
            <w:noWrap/>
            <w:vAlign w:val="center"/>
            <w:hideMark/>
          </w:tcPr>
          <w:p w14:paraId="24425D7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149,340</w:t>
            </w:r>
          </w:p>
        </w:tc>
        <w:tc>
          <w:tcPr>
            <w:tcW w:w="1700" w:type="dxa"/>
            <w:gridSpan w:val="2"/>
            <w:shd w:val="clear" w:color="auto" w:fill="E5E5E5" w:themeFill="background1" w:themeFillTint="33"/>
            <w:noWrap/>
            <w:vAlign w:val="center"/>
            <w:hideMark/>
          </w:tcPr>
          <w:p w14:paraId="2108589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155,884</w:t>
            </w:r>
          </w:p>
        </w:tc>
        <w:tc>
          <w:tcPr>
            <w:tcW w:w="1700" w:type="dxa"/>
            <w:gridSpan w:val="2"/>
            <w:shd w:val="clear" w:color="auto" w:fill="E5E5E5" w:themeFill="background1" w:themeFillTint="33"/>
            <w:noWrap/>
            <w:vAlign w:val="center"/>
            <w:hideMark/>
          </w:tcPr>
          <w:p w14:paraId="583BD28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758,750</w:t>
            </w:r>
          </w:p>
        </w:tc>
      </w:tr>
      <w:tr w:rsidR="00961617" w:rsidRPr="002F0892" w14:paraId="2732BADB" w14:textId="77777777" w:rsidTr="0020771F">
        <w:trPr>
          <w:gridAfter w:val="1"/>
          <w:wAfter w:w="93" w:type="dxa"/>
          <w:trHeight w:hRule="exact" w:val="397"/>
        </w:trPr>
        <w:tc>
          <w:tcPr>
            <w:tcW w:w="2167" w:type="dxa"/>
            <w:shd w:val="clear" w:color="auto" w:fill="auto"/>
            <w:noWrap/>
            <w:vAlign w:val="center"/>
            <w:hideMark/>
          </w:tcPr>
          <w:p w14:paraId="7EC80EC9"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September 2013</w:t>
            </w:r>
          </w:p>
        </w:tc>
        <w:tc>
          <w:tcPr>
            <w:tcW w:w="1700" w:type="dxa"/>
            <w:gridSpan w:val="2"/>
            <w:shd w:val="clear" w:color="auto" w:fill="auto"/>
            <w:noWrap/>
            <w:vAlign w:val="center"/>
            <w:hideMark/>
          </w:tcPr>
          <w:p w14:paraId="5BEC3C6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3,755</w:t>
            </w:r>
          </w:p>
        </w:tc>
        <w:tc>
          <w:tcPr>
            <w:tcW w:w="1700" w:type="dxa"/>
            <w:gridSpan w:val="2"/>
            <w:shd w:val="clear" w:color="auto" w:fill="auto"/>
            <w:noWrap/>
            <w:vAlign w:val="center"/>
            <w:hideMark/>
          </w:tcPr>
          <w:p w14:paraId="10D6910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13,120</w:t>
            </w:r>
          </w:p>
        </w:tc>
        <w:tc>
          <w:tcPr>
            <w:tcW w:w="1700" w:type="dxa"/>
            <w:gridSpan w:val="2"/>
            <w:shd w:val="clear" w:color="auto" w:fill="auto"/>
            <w:noWrap/>
            <w:vAlign w:val="center"/>
            <w:hideMark/>
          </w:tcPr>
          <w:p w14:paraId="1287010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243,708</w:t>
            </w:r>
          </w:p>
        </w:tc>
        <w:tc>
          <w:tcPr>
            <w:tcW w:w="1700" w:type="dxa"/>
            <w:gridSpan w:val="2"/>
            <w:shd w:val="clear" w:color="auto" w:fill="auto"/>
            <w:noWrap/>
            <w:vAlign w:val="center"/>
            <w:hideMark/>
          </w:tcPr>
          <w:p w14:paraId="603E4B1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192,676</w:t>
            </w:r>
          </w:p>
        </w:tc>
        <w:tc>
          <w:tcPr>
            <w:tcW w:w="1700" w:type="dxa"/>
            <w:gridSpan w:val="2"/>
            <w:shd w:val="clear" w:color="auto" w:fill="auto"/>
            <w:noWrap/>
            <w:vAlign w:val="center"/>
            <w:hideMark/>
          </w:tcPr>
          <w:p w14:paraId="50D2C4D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149,731</w:t>
            </w:r>
          </w:p>
        </w:tc>
        <w:tc>
          <w:tcPr>
            <w:tcW w:w="1700" w:type="dxa"/>
            <w:gridSpan w:val="2"/>
            <w:shd w:val="clear" w:color="auto" w:fill="auto"/>
            <w:noWrap/>
            <w:vAlign w:val="center"/>
            <w:hideMark/>
          </w:tcPr>
          <w:p w14:paraId="40D7052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155,980</w:t>
            </w:r>
          </w:p>
        </w:tc>
        <w:tc>
          <w:tcPr>
            <w:tcW w:w="1700" w:type="dxa"/>
            <w:gridSpan w:val="2"/>
            <w:shd w:val="clear" w:color="auto" w:fill="auto"/>
            <w:noWrap/>
            <w:vAlign w:val="center"/>
            <w:hideMark/>
          </w:tcPr>
          <w:p w14:paraId="13EDDC8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758,970</w:t>
            </w:r>
          </w:p>
        </w:tc>
      </w:tr>
      <w:tr w:rsidR="00961617" w:rsidRPr="002F0892" w14:paraId="36ED1E3D" w14:textId="77777777" w:rsidTr="0020771F">
        <w:trPr>
          <w:gridAfter w:val="1"/>
          <w:wAfter w:w="93" w:type="dxa"/>
          <w:trHeight w:hRule="exact" w:val="397"/>
        </w:trPr>
        <w:tc>
          <w:tcPr>
            <w:tcW w:w="2167" w:type="dxa"/>
            <w:shd w:val="clear" w:color="auto" w:fill="E5E5E5" w:themeFill="background1" w:themeFillTint="33"/>
            <w:noWrap/>
            <w:vAlign w:val="center"/>
            <w:hideMark/>
          </w:tcPr>
          <w:p w14:paraId="60372EC9"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October 2013</w:t>
            </w:r>
          </w:p>
        </w:tc>
        <w:tc>
          <w:tcPr>
            <w:tcW w:w="1700" w:type="dxa"/>
            <w:gridSpan w:val="2"/>
            <w:shd w:val="clear" w:color="auto" w:fill="E5E5E5" w:themeFill="background1" w:themeFillTint="33"/>
            <w:noWrap/>
            <w:vAlign w:val="center"/>
            <w:hideMark/>
          </w:tcPr>
          <w:p w14:paraId="400ABCF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3,625</w:t>
            </w:r>
          </w:p>
        </w:tc>
        <w:tc>
          <w:tcPr>
            <w:tcW w:w="1700" w:type="dxa"/>
            <w:gridSpan w:val="2"/>
            <w:shd w:val="clear" w:color="auto" w:fill="E5E5E5" w:themeFill="background1" w:themeFillTint="33"/>
            <w:noWrap/>
            <w:vAlign w:val="center"/>
            <w:hideMark/>
          </w:tcPr>
          <w:p w14:paraId="76FF674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12,287</w:t>
            </w:r>
          </w:p>
        </w:tc>
        <w:tc>
          <w:tcPr>
            <w:tcW w:w="1700" w:type="dxa"/>
            <w:gridSpan w:val="2"/>
            <w:shd w:val="clear" w:color="auto" w:fill="E5E5E5" w:themeFill="background1" w:themeFillTint="33"/>
            <w:noWrap/>
            <w:vAlign w:val="center"/>
            <w:hideMark/>
          </w:tcPr>
          <w:p w14:paraId="3F2A070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246,610</w:t>
            </w:r>
          </w:p>
        </w:tc>
        <w:tc>
          <w:tcPr>
            <w:tcW w:w="1700" w:type="dxa"/>
            <w:gridSpan w:val="2"/>
            <w:shd w:val="clear" w:color="auto" w:fill="E5E5E5" w:themeFill="background1" w:themeFillTint="33"/>
            <w:noWrap/>
            <w:vAlign w:val="center"/>
            <w:hideMark/>
          </w:tcPr>
          <w:p w14:paraId="4A5D6C1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191,091</w:t>
            </w:r>
          </w:p>
        </w:tc>
        <w:tc>
          <w:tcPr>
            <w:tcW w:w="1700" w:type="dxa"/>
            <w:gridSpan w:val="2"/>
            <w:shd w:val="clear" w:color="auto" w:fill="E5E5E5" w:themeFill="background1" w:themeFillTint="33"/>
            <w:noWrap/>
            <w:vAlign w:val="center"/>
            <w:hideMark/>
          </w:tcPr>
          <w:p w14:paraId="7D089D8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148,524</w:t>
            </w:r>
          </w:p>
        </w:tc>
        <w:tc>
          <w:tcPr>
            <w:tcW w:w="1700" w:type="dxa"/>
            <w:gridSpan w:val="2"/>
            <w:shd w:val="clear" w:color="auto" w:fill="E5E5E5" w:themeFill="background1" w:themeFillTint="33"/>
            <w:noWrap/>
            <w:vAlign w:val="center"/>
            <w:hideMark/>
          </w:tcPr>
          <w:p w14:paraId="4E90F2F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155,609</w:t>
            </w:r>
          </w:p>
        </w:tc>
        <w:tc>
          <w:tcPr>
            <w:tcW w:w="1700" w:type="dxa"/>
            <w:gridSpan w:val="2"/>
            <w:shd w:val="clear" w:color="auto" w:fill="E5E5E5" w:themeFill="background1" w:themeFillTint="33"/>
            <w:noWrap/>
            <w:vAlign w:val="center"/>
            <w:hideMark/>
          </w:tcPr>
          <w:p w14:paraId="29C6490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757,746</w:t>
            </w:r>
          </w:p>
        </w:tc>
      </w:tr>
      <w:tr w:rsidR="00961617" w:rsidRPr="002F0892" w14:paraId="3FBC3512" w14:textId="77777777" w:rsidTr="0020771F">
        <w:trPr>
          <w:gridAfter w:val="1"/>
          <w:wAfter w:w="93" w:type="dxa"/>
          <w:trHeight w:hRule="exact" w:val="397"/>
        </w:trPr>
        <w:tc>
          <w:tcPr>
            <w:tcW w:w="2167" w:type="dxa"/>
            <w:shd w:val="clear" w:color="auto" w:fill="auto"/>
            <w:noWrap/>
            <w:vAlign w:val="center"/>
            <w:hideMark/>
          </w:tcPr>
          <w:p w14:paraId="41ADCB93"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November 2013</w:t>
            </w:r>
          </w:p>
        </w:tc>
        <w:tc>
          <w:tcPr>
            <w:tcW w:w="1700" w:type="dxa"/>
            <w:gridSpan w:val="2"/>
            <w:shd w:val="clear" w:color="auto" w:fill="auto"/>
            <w:noWrap/>
            <w:vAlign w:val="center"/>
            <w:hideMark/>
          </w:tcPr>
          <w:p w14:paraId="43678FD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3,543</w:t>
            </w:r>
          </w:p>
        </w:tc>
        <w:tc>
          <w:tcPr>
            <w:tcW w:w="1700" w:type="dxa"/>
            <w:gridSpan w:val="2"/>
            <w:shd w:val="clear" w:color="auto" w:fill="auto"/>
            <w:noWrap/>
            <w:vAlign w:val="center"/>
            <w:hideMark/>
          </w:tcPr>
          <w:p w14:paraId="7705B88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11,630</w:t>
            </w:r>
          </w:p>
        </w:tc>
        <w:tc>
          <w:tcPr>
            <w:tcW w:w="1700" w:type="dxa"/>
            <w:gridSpan w:val="2"/>
            <w:shd w:val="clear" w:color="auto" w:fill="auto"/>
            <w:noWrap/>
            <w:vAlign w:val="center"/>
            <w:hideMark/>
          </w:tcPr>
          <w:p w14:paraId="31848D8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252,685</w:t>
            </w:r>
          </w:p>
        </w:tc>
        <w:tc>
          <w:tcPr>
            <w:tcW w:w="1700" w:type="dxa"/>
            <w:gridSpan w:val="2"/>
            <w:shd w:val="clear" w:color="auto" w:fill="auto"/>
            <w:noWrap/>
            <w:vAlign w:val="center"/>
            <w:hideMark/>
          </w:tcPr>
          <w:p w14:paraId="4535308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192,211</w:t>
            </w:r>
          </w:p>
        </w:tc>
        <w:tc>
          <w:tcPr>
            <w:tcW w:w="1700" w:type="dxa"/>
            <w:gridSpan w:val="2"/>
            <w:shd w:val="clear" w:color="auto" w:fill="auto"/>
            <w:noWrap/>
            <w:vAlign w:val="center"/>
            <w:hideMark/>
          </w:tcPr>
          <w:p w14:paraId="2494954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148,346</w:t>
            </w:r>
          </w:p>
        </w:tc>
        <w:tc>
          <w:tcPr>
            <w:tcW w:w="1700" w:type="dxa"/>
            <w:gridSpan w:val="2"/>
            <w:shd w:val="clear" w:color="auto" w:fill="auto"/>
            <w:noWrap/>
            <w:vAlign w:val="center"/>
            <w:hideMark/>
          </w:tcPr>
          <w:p w14:paraId="732E6DA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155,461</w:t>
            </w:r>
          </w:p>
        </w:tc>
        <w:tc>
          <w:tcPr>
            <w:tcW w:w="1700" w:type="dxa"/>
            <w:gridSpan w:val="2"/>
            <w:shd w:val="clear" w:color="auto" w:fill="auto"/>
            <w:noWrap/>
            <w:vAlign w:val="center"/>
            <w:hideMark/>
          </w:tcPr>
          <w:p w14:paraId="57324CE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763,876</w:t>
            </w:r>
          </w:p>
        </w:tc>
      </w:tr>
      <w:tr w:rsidR="00961617" w:rsidRPr="002F0892" w14:paraId="2248558F" w14:textId="77777777" w:rsidTr="0020771F">
        <w:trPr>
          <w:gridAfter w:val="1"/>
          <w:wAfter w:w="93" w:type="dxa"/>
          <w:trHeight w:hRule="exact" w:val="397"/>
        </w:trPr>
        <w:tc>
          <w:tcPr>
            <w:tcW w:w="2167" w:type="dxa"/>
            <w:shd w:val="clear" w:color="auto" w:fill="E5E5E5" w:themeFill="background1" w:themeFillTint="33"/>
            <w:noWrap/>
            <w:vAlign w:val="center"/>
            <w:hideMark/>
          </w:tcPr>
          <w:p w14:paraId="324CCB82"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December 2013</w:t>
            </w:r>
          </w:p>
        </w:tc>
        <w:tc>
          <w:tcPr>
            <w:tcW w:w="1700" w:type="dxa"/>
            <w:gridSpan w:val="2"/>
            <w:shd w:val="clear" w:color="auto" w:fill="E5E5E5" w:themeFill="background1" w:themeFillTint="33"/>
            <w:noWrap/>
            <w:vAlign w:val="center"/>
            <w:hideMark/>
          </w:tcPr>
          <w:p w14:paraId="4727F72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3,571</w:t>
            </w:r>
          </w:p>
        </w:tc>
        <w:tc>
          <w:tcPr>
            <w:tcW w:w="1700" w:type="dxa"/>
            <w:gridSpan w:val="2"/>
            <w:shd w:val="clear" w:color="auto" w:fill="E5E5E5" w:themeFill="background1" w:themeFillTint="33"/>
            <w:noWrap/>
            <w:vAlign w:val="center"/>
            <w:hideMark/>
          </w:tcPr>
          <w:p w14:paraId="634113C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10,323</w:t>
            </w:r>
          </w:p>
        </w:tc>
        <w:tc>
          <w:tcPr>
            <w:tcW w:w="1700" w:type="dxa"/>
            <w:gridSpan w:val="2"/>
            <w:shd w:val="clear" w:color="auto" w:fill="E5E5E5" w:themeFill="background1" w:themeFillTint="33"/>
            <w:noWrap/>
            <w:vAlign w:val="center"/>
            <w:hideMark/>
          </w:tcPr>
          <w:p w14:paraId="52A0316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262,517</w:t>
            </w:r>
          </w:p>
        </w:tc>
        <w:tc>
          <w:tcPr>
            <w:tcW w:w="1700" w:type="dxa"/>
            <w:gridSpan w:val="2"/>
            <w:shd w:val="clear" w:color="auto" w:fill="E5E5E5" w:themeFill="background1" w:themeFillTint="33"/>
            <w:noWrap/>
            <w:vAlign w:val="center"/>
            <w:hideMark/>
          </w:tcPr>
          <w:p w14:paraId="6694F9A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195,167</w:t>
            </w:r>
          </w:p>
        </w:tc>
        <w:tc>
          <w:tcPr>
            <w:tcW w:w="1700" w:type="dxa"/>
            <w:gridSpan w:val="2"/>
            <w:shd w:val="clear" w:color="auto" w:fill="E5E5E5" w:themeFill="background1" w:themeFillTint="33"/>
            <w:noWrap/>
            <w:vAlign w:val="center"/>
            <w:hideMark/>
          </w:tcPr>
          <w:p w14:paraId="7C3ACB2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147,707</w:t>
            </w:r>
          </w:p>
        </w:tc>
        <w:tc>
          <w:tcPr>
            <w:tcW w:w="1700" w:type="dxa"/>
            <w:gridSpan w:val="2"/>
            <w:shd w:val="clear" w:color="auto" w:fill="E5E5E5" w:themeFill="background1" w:themeFillTint="33"/>
            <w:noWrap/>
            <w:vAlign w:val="center"/>
            <w:hideMark/>
          </w:tcPr>
          <w:p w14:paraId="769022D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 xml:space="preserve">154,564 </w:t>
            </w:r>
          </w:p>
        </w:tc>
        <w:tc>
          <w:tcPr>
            <w:tcW w:w="1700" w:type="dxa"/>
            <w:gridSpan w:val="2"/>
            <w:shd w:val="clear" w:color="auto" w:fill="E5E5E5" w:themeFill="background1" w:themeFillTint="33"/>
            <w:noWrap/>
            <w:vAlign w:val="center"/>
            <w:hideMark/>
          </w:tcPr>
          <w:p w14:paraId="1296124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773,849</w:t>
            </w:r>
          </w:p>
        </w:tc>
      </w:tr>
      <w:tr w:rsidR="00961617" w:rsidRPr="002F0892" w14:paraId="7115F77F" w14:textId="77777777" w:rsidTr="0020771F">
        <w:trPr>
          <w:gridAfter w:val="1"/>
          <w:wAfter w:w="93" w:type="dxa"/>
          <w:trHeight w:hRule="exact" w:val="397"/>
        </w:trPr>
        <w:tc>
          <w:tcPr>
            <w:tcW w:w="2167" w:type="dxa"/>
            <w:shd w:val="clear" w:color="auto" w:fill="auto"/>
            <w:noWrap/>
            <w:vAlign w:val="center"/>
            <w:hideMark/>
          </w:tcPr>
          <w:p w14:paraId="4C071D06"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January 2014</w:t>
            </w:r>
          </w:p>
        </w:tc>
        <w:tc>
          <w:tcPr>
            <w:tcW w:w="1700" w:type="dxa"/>
            <w:gridSpan w:val="2"/>
            <w:shd w:val="clear" w:color="auto" w:fill="auto"/>
            <w:noWrap/>
            <w:vAlign w:val="center"/>
            <w:hideMark/>
          </w:tcPr>
          <w:p w14:paraId="47F1535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3,491</w:t>
            </w:r>
          </w:p>
        </w:tc>
        <w:tc>
          <w:tcPr>
            <w:tcW w:w="1700" w:type="dxa"/>
            <w:gridSpan w:val="2"/>
            <w:shd w:val="clear" w:color="auto" w:fill="auto"/>
            <w:noWrap/>
            <w:vAlign w:val="center"/>
            <w:hideMark/>
          </w:tcPr>
          <w:p w14:paraId="1017C4A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10,988</w:t>
            </w:r>
          </w:p>
        </w:tc>
        <w:tc>
          <w:tcPr>
            <w:tcW w:w="1700" w:type="dxa"/>
            <w:gridSpan w:val="2"/>
            <w:shd w:val="clear" w:color="auto" w:fill="auto"/>
            <w:noWrap/>
            <w:vAlign w:val="center"/>
            <w:hideMark/>
          </w:tcPr>
          <w:p w14:paraId="7ADFA7B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281,541</w:t>
            </w:r>
          </w:p>
        </w:tc>
        <w:tc>
          <w:tcPr>
            <w:tcW w:w="1700" w:type="dxa"/>
            <w:gridSpan w:val="2"/>
            <w:shd w:val="clear" w:color="auto" w:fill="auto"/>
            <w:noWrap/>
            <w:vAlign w:val="center"/>
            <w:hideMark/>
          </w:tcPr>
          <w:p w14:paraId="7131CCA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200,792</w:t>
            </w:r>
          </w:p>
        </w:tc>
        <w:tc>
          <w:tcPr>
            <w:tcW w:w="1700" w:type="dxa"/>
            <w:gridSpan w:val="2"/>
            <w:shd w:val="clear" w:color="auto" w:fill="auto"/>
            <w:noWrap/>
            <w:vAlign w:val="center"/>
            <w:hideMark/>
          </w:tcPr>
          <w:p w14:paraId="1E8607D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149,254</w:t>
            </w:r>
          </w:p>
        </w:tc>
        <w:tc>
          <w:tcPr>
            <w:tcW w:w="1700" w:type="dxa"/>
            <w:gridSpan w:val="2"/>
            <w:shd w:val="clear" w:color="auto" w:fill="auto"/>
            <w:noWrap/>
            <w:vAlign w:val="center"/>
            <w:hideMark/>
          </w:tcPr>
          <w:p w14:paraId="16E80B8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155,945</w:t>
            </w:r>
          </w:p>
        </w:tc>
        <w:tc>
          <w:tcPr>
            <w:tcW w:w="1700" w:type="dxa"/>
            <w:gridSpan w:val="2"/>
            <w:shd w:val="clear" w:color="auto" w:fill="auto"/>
            <w:noWrap/>
            <w:vAlign w:val="center"/>
            <w:hideMark/>
          </w:tcPr>
          <w:p w14:paraId="5F0F82B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802,011</w:t>
            </w:r>
          </w:p>
        </w:tc>
      </w:tr>
      <w:tr w:rsidR="00961617" w:rsidRPr="002F0892" w14:paraId="6D80370D" w14:textId="77777777" w:rsidTr="0020771F">
        <w:trPr>
          <w:gridAfter w:val="1"/>
          <w:wAfter w:w="93" w:type="dxa"/>
          <w:trHeight w:hRule="exact" w:val="397"/>
        </w:trPr>
        <w:tc>
          <w:tcPr>
            <w:tcW w:w="2167" w:type="dxa"/>
            <w:shd w:val="clear" w:color="auto" w:fill="E5E5E5" w:themeFill="background1" w:themeFillTint="33"/>
            <w:noWrap/>
            <w:vAlign w:val="center"/>
            <w:hideMark/>
          </w:tcPr>
          <w:p w14:paraId="72C4C79B"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February 2014</w:t>
            </w:r>
          </w:p>
        </w:tc>
        <w:tc>
          <w:tcPr>
            <w:tcW w:w="1700" w:type="dxa"/>
            <w:gridSpan w:val="2"/>
            <w:shd w:val="clear" w:color="auto" w:fill="E5E5E5" w:themeFill="background1" w:themeFillTint="33"/>
            <w:noWrap/>
            <w:vAlign w:val="center"/>
            <w:hideMark/>
          </w:tcPr>
          <w:p w14:paraId="022A8AE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3,528</w:t>
            </w:r>
          </w:p>
        </w:tc>
        <w:tc>
          <w:tcPr>
            <w:tcW w:w="1700" w:type="dxa"/>
            <w:gridSpan w:val="2"/>
            <w:shd w:val="clear" w:color="auto" w:fill="E5E5E5" w:themeFill="background1" w:themeFillTint="33"/>
            <w:noWrap/>
            <w:vAlign w:val="center"/>
            <w:hideMark/>
          </w:tcPr>
          <w:p w14:paraId="351FBB0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12,340</w:t>
            </w:r>
          </w:p>
        </w:tc>
        <w:tc>
          <w:tcPr>
            <w:tcW w:w="1700" w:type="dxa"/>
            <w:gridSpan w:val="2"/>
            <w:shd w:val="clear" w:color="auto" w:fill="E5E5E5" w:themeFill="background1" w:themeFillTint="33"/>
            <w:noWrap/>
            <w:vAlign w:val="center"/>
            <w:hideMark/>
          </w:tcPr>
          <w:p w14:paraId="1D56BFB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286,043</w:t>
            </w:r>
          </w:p>
        </w:tc>
        <w:tc>
          <w:tcPr>
            <w:tcW w:w="1700" w:type="dxa"/>
            <w:gridSpan w:val="2"/>
            <w:shd w:val="clear" w:color="auto" w:fill="E5E5E5" w:themeFill="background1" w:themeFillTint="33"/>
            <w:noWrap/>
            <w:vAlign w:val="center"/>
            <w:hideMark/>
          </w:tcPr>
          <w:p w14:paraId="24063EA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201,810</w:t>
            </w:r>
          </w:p>
        </w:tc>
        <w:tc>
          <w:tcPr>
            <w:tcW w:w="1700" w:type="dxa"/>
            <w:gridSpan w:val="2"/>
            <w:shd w:val="clear" w:color="auto" w:fill="E5E5E5" w:themeFill="background1" w:themeFillTint="33"/>
            <w:noWrap/>
            <w:vAlign w:val="center"/>
            <w:hideMark/>
          </w:tcPr>
          <w:p w14:paraId="1E9E5EB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149,831</w:t>
            </w:r>
          </w:p>
        </w:tc>
        <w:tc>
          <w:tcPr>
            <w:tcW w:w="1700" w:type="dxa"/>
            <w:gridSpan w:val="2"/>
            <w:shd w:val="clear" w:color="auto" w:fill="E5E5E5" w:themeFill="background1" w:themeFillTint="33"/>
            <w:noWrap/>
            <w:vAlign w:val="center"/>
            <w:hideMark/>
          </w:tcPr>
          <w:p w14:paraId="3CA4685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155,906</w:t>
            </w:r>
          </w:p>
        </w:tc>
        <w:tc>
          <w:tcPr>
            <w:tcW w:w="1700" w:type="dxa"/>
            <w:gridSpan w:val="2"/>
            <w:shd w:val="clear" w:color="auto" w:fill="E5E5E5" w:themeFill="background1" w:themeFillTint="33"/>
            <w:noWrap/>
            <w:vAlign w:val="center"/>
            <w:hideMark/>
          </w:tcPr>
          <w:p w14:paraId="0A43FE5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809,458</w:t>
            </w:r>
          </w:p>
        </w:tc>
      </w:tr>
      <w:tr w:rsidR="00961617" w:rsidRPr="002F0892" w14:paraId="39CCC89D" w14:textId="77777777" w:rsidTr="0020771F">
        <w:trPr>
          <w:gridAfter w:val="1"/>
          <w:wAfter w:w="93" w:type="dxa"/>
          <w:trHeight w:hRule="exact" w:val="397"/>
        </w:trPr>
        <w:tc>
          <w:tcPr>
            <w:tcW w:w="2167" w:type="dxa"/>
            <w:shd w:val="clear" w:color="auto" w:fill="auto"/>
            <w:noWrap/>
            <w:vAlign w:val="center"/>
            <w:hideMark/>
          </w:tcPr>
          <w:p w14:paraId="6ACCCE74"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March 2014</w:t>
            </w:r>
          </w:p>
        </w:tc>
        <w:tc>
          <w:tcPr>
            <w:tcW w:w="1700" w:type="dxa"/>
            <w:gridSpan w:val="2"/>
            <w:shd w:val="clear" w:color="auto" w:fill="auto"/>
            <w:noWrap/>
            <w:vAlign w:val="center"/>
            <w:hideMark/>
          </w:tcPr>
          <w:p w14:paraId="4E19252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3,247</w:t>
            </w:r>
          </w:p>
        </w:tc>
        <w:tc>
          <w:tcPr>
            <w:tcW w:w="1700" w:type="dxa"/>
            <w:gridSpan w:val="2"/>
            <w:shd w:val="clear" w:color="auto" w:fill="auto"/>
            <w:noWrap/>
            <w:vAlign w:val="center"/>
            <w:hideMark/>
          </w:tcPr>
          <w:p w14:paraId="35B37AD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13,356</w:t>
            </w:r>
          </w:p>
        </w:tc>
        <w:tc>
          <w:tcPr>
            <w:tcW w:w="1700" w:type="dxa"/>
            <w:gridSpan w:val="2"/>
            <w:shd w:val="clear" w:color="auto" w:fill="auto"/>
            <w:noWrap/>
            <w:vAlign w:val="center"/>
            <w:hideMark/>
          </w:tcPr>
          <w:p w14:paraId="417BBDD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284,703</w:t>
            </w:r>
          </w:p>
        </w:tc>
        <w:tc>
          <w:tcPr>
            <w:tcW w:w="1700" w:type="dxa"/>
            <w:gridSpan w:val="2"/>
            <w:shd w:val="clear" w:color="auto" w:fill="auto"/>
            <w:noWrap/>
            <w:vAlign w:val="center"/>
            <w:hideMark/>
          </w:tcPr>
          <w:p w14:paraId="432E4B4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200,478</w:t>
            </w:r>
          </w:p>
        </w:tc>
        <w:tc>
          <w:tcPr>
            <w:tcW w:w="1700" w:type="dxa"/>
            <w:gridSpan w:val="2"/>
            <w:shd w:val="clear" w:color="auto" w:fill="auto"/>
            <w:noWrap/>
            <w:vAlign w:val="center"/>
            <w:hideMark/>
          </w:tcPr>
          <w:p w14:paraId="620BA84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149,811</w:t>
            </w:r>
          </w:p>
        </w:tc>
        <w:tc>
          <w:tcPr>
            <w:tcW w:w="1700" w:type="dxa"/>
            <w:gridSpan w:val="2"/>
            <w:shd w:val="clear" w:color="auto" w:fill="auto"/>
            <w:noWrap/>
            <w:vAlign w:val="center"/>
            <w:hideMark/>
          </w:tcPr>
          <w:p w14:paraId="7443ADC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155,175</w:t>
            </w:r>
          </w:p>
        </w:tc>
        <w:tc>
          <w:tcPr>
            <w:tcW w:w="1700" w:type="dxa"/>
            <w:gridSpan w:val="2"/>
            <w:shd w:val="clear" w:color="auto" w:fill="auto"/>
            <w:noWrap/>
            <w:vAlign w:val="center"/>
            <w:hideMark/>
          </w:tcPr>
          <w:p w14:paraId="636F243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806,770</w:t>
            </w:r>
          </w:p>
        </w:tc>
      </w:tr>
      <w:tr w:rsidR="00961617" w:rsidRPr="002F0892" w14:paraId="12C412D0" w14:textId="77777777" w:rsidTr="0020771F">
        <w:trPr>
          <w:gridAfter w:val="1"/>
          <w:wAfter w:w="93" w:type="dxa"/>
          <w:trHeight w:hRule="exact" w:val="397"/>
        </w:trPr>
        <w:tc>
          <w:tcPr>
            <w:tcW w:w="2167" w:type="dxa"/>
            <w:shd w:val="clear" w:color="auto" w:fill="E5E5E5" w:themeFill="background1" w:themeFillTint="33"/>
            <w:noWrap/>
            <w:vAlign w:val="center"/>
            <w:hideMark/>
          </w:tcPr>
          <w:p w14:paraId="00391431"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April 2014</w:t>
            </w:r>
          </w:p>
        </w:tc>
        <w:tc>
          <w:tcPr>
            <w:tcW w:w="1700" w:type="dxa"/>
            <w:gridSpan w:val="2"/>
            <w:shd w:val="clear" w:color="auto" w:fill="E5E5E5" w:themeFill="background1" w:themeFillTint="33"/>
            <w:noWrap/>
            <w:vAlign w:val="center"/>
            <w:hideMark/>
          </w:tcPr>
          <w:p w14:paraId="28C8578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2,487</w:t>
            </w:r>
          </w:p>
        </w:tc>
        <w:tc>
          <w:tcPr>
            <w:tcW w:w="1700" w:type="dxa"/>
            <w:gridSpan w:val="2"/>
            <w:shd w:val="clear" w:color="auto" w:fill="E5E5E5" w:themeFill="background1" w:themeFillTint="33"/>
            <w:noWrap/>
            <w:vAlign w:val="center"/>
            <w:hideMark/>
          </w:tcPr>
          <w:p w14:paraId="28D25A3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13,264</w:t>
            </w:r>
          </w:p>
        </w:tc>
        <w:tc>
          <w:tcPr>
            <w:tcW w:w="1700" w:type="dxa"/>
            <w:gridSpan w:val="2"/>
            <w:shd w:val="clear" w:color="auto" w:fill="E5E5E5" w:themeFill="background1" w:themeFillTint="33"/>
            <w:noWrap/>
            <w:vAlign w:val="center"/>
            <w:hideMark/>
          </w:tcPr>
          <w:p w14:paraId="28DCC4F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284,034</w:t>
            </w:r>
          </w:p>
        </w:tc>
        <w:tc>
          <w:tcPr>
            <w:tcW w:w="1700" w:type="dxa"/>
            <w:gridSpan w:val="2"/>
            <w:shd w:val="clear" w:color="auto" w:fill="E5E5E5" w:themeFill="background1" w:themeFillTint="33"/>
            <w:noWrap/>
            <w:vAlign w:val="center"/>
            <w:hideMark/>
          </w:tcPr>
          <w:p w14:paraId="387D9D7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199,840</w:t>
            </w:r>
          </w:p>
        </w:tc>
        <w:tc>
          <w:tcPr>
            <w:tcW w:w="1700" w:type="dxa"/>
            <w:gridSpan w:val="2"/>
            <w:shd w:val="clear" w:color="auto" w:fill="E5E5E5" w:themeFill="background1" w:themeFillTint="33"/>
            <w:noWrap/>
            <w:vAlign w:val="center"/>
            <w:hideMark/>
          </w:tcPr>
          <w:p w14:paraId="460E8E4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148,695</w:t>
            </w:r>
          </w:p>
        </w:tc>
        <w:tc>
          <w:tcPr>
            <w:tcW w:w="1700" w:type="dxa"/>
            <w:gridSpan w:val="2"/>
            <w:shd w:val="clear" w:color="auto" w:fill="E5E5E5" w:themeFill="background1" w:themeFillTint="33"/>
            <w:noWrap/>
            <w:vAlign w:val="center"/>
            <w:hideMark/>
          </w:tcPr>
          <w:p w14:paraId="3774646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155,088</w:t>
            </w:r>
          </w:p>
        </w:tc>
        <w:tc>
          <w:tcPr>
            <w:tcW w:w="1700" w:type="dxa"/>
            <w:gridSpan w:val="2"/>
            <w:shd w:val="clear" w:color="auto" w:fill="E5E5E5" w:themeFill="background1" w:themeFillTint="33"/>
            <w:noWrap/>
            <w:vAlign w:val="center"/>
            <w:hideMark/>
          </w:tcPr>
          <w:p w14:paraId="073B8E0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803,408</w:t>
            </w:r>
          </w:p>
        </w:tc>
      </w:tr>
      <w:tr w:rsidR="00961617" w:rsidRPr="002F0892" w14:paraId="0A7470A4" w14:textId="77777777" w:rsidTr="0020771F">
        <w:trPr>
          <w:gridAfter w:val="1"/>
          <w:wAfter w:w="93" w:type="dxa"/>
          <w:trHeight w:hRule="exact" w:val="397"/>
        </w:trPr>
        <w:tc>
          <w:tcPr>
            <w:tcW w:w="2167" w:type="dxa"/>
            <w:shd w:val="clear" w:color="auto" w:fill="auto"/>
            <w:noWrap/>
            <w:vAlign w:val="center"/>
            <w:hideMark/>
          </w:tcPr>
          <w:p w14:paraId="0712637F"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May 2014</w:t>
            </w:r>
          </w:p>
        </w:tc>
        <w:tc>
          <w:tcPr>
            <w:tcW w:w="1700" w:type="dxa"/>
            <w:gridSpan w:val="2"/>
            <w:shd w:val="clear" w:color="auto" w:fill="auto"/>
            <w:noWrap/>
            <w:vAlign w:val="center"/>
            <w:hideMark/>
          </w:tcPr>
          <w:p w14:paraId="677FBFD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2,281</w:t>
            </w:r>
          </w:p>
        </w:tc>
        <w:tc>
          <w:tcPr>
            <w:tcW w:w="1700" w:type="dxa"/>
            <w:gridSpan w:val="2"/>
            <w:shd w:val="clear" w:color="auto" w:fill="auto"/>
            <w:noWrap/>
            <w:vAlign w:val="center"/>
            <w:hideMark/>
          </w:tcPr>
          <w:p w14:paraId="2AF0CBD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12,536</w:t>
            </w:r>
          </w:p>
        </w:tc>
        <w:tc>
          <w:tcPr>
            <w:tcW w:w="1700" w:type="dxa"/>
            <w:gridSpan w:val="2"/>
            <w:shd w:val="clear" w:color="auto" w:fill="auto"/>
            <w:noWrap/>
            <w:vAlign w:val="center"/>
            <w:hideMark/>
          </w:tcPr>
          <w:p w14:paraId="72C7E9C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288,386</w:t>
            </w:r>
          </w:p>
        </w:tc>
        <w:tc>
          <w:tcPr>
            <w:tcW w:w="1700" w:type="dxa"/>
            <w:gridSpan w:val="2"/>
            <w:shd w:val="clear" w:color="auto" w:fill="auto"/>
            <w:noWrap/>
            <w:vAlign w:val="center"/>
            <w:hideMark/>
          </w:tcPr>
          <w:p w14:paraId="7A60D48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200,745</w:t>
            </w:r>
          </w:p>
        </w:tc>
        <w:tc>
          <w:tcPr>
            <w:tcW w:w="1700" w:type="dxa"/>
            <w:gridSpan w:val="2"/>
            <w:shd w:val="clear" w:color="auto" w:fill="auto"/>
            <w:noWrap/>
            <w:vAlign w:val="center"/>
            <w:hideMark/>
          </w:tcPr>
          <w:p w14:paraId="6FC7344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148,918</w:t>
            </w:r>
          </w:p>
        </w:tc>
        <w:tc>
          <w:tcPr>
            <w:tcW w:w="1700" w:type="dxa"/>
            <w:gridSpan w:val="2"/>
            <w:shd w:val="clear" w:color="auto" w:fill="auto"/>
            <w:noWrap/>
            <w:vAlign w:val="center"/>
            <w:hideMark/>
          </w:tcPr>
          <w:p w14:paraId="482CBEB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155,577</w:t>
            </w:r>
          </w:p>
        </w:tc>
        <w:tc>
          <w:tcPr>
            <w:tcW w:w="1700" w:type="dxa"/>
            <w:gridSpan w:val="2"/>
            <w:shd w:val="clear" w:color="auto" w:fill="auto"/>
            <w:noWrap/>
            <w:vAlign w:val="center"/>
            <w:hideMark/>
          </w:tcPr>
          <w:p w14:paraId="779E2EC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808,443</w:t>
            </w:r>
          </w:p>
        </w:tc>
      </w:tr>
      <w:tr w:rsidR="00961617" w:rsidRPr="002F0892" w14:paraId="6DBA6F4E" w14:textId="77777777" w:rsidTr="0020771F">
        <w:trPr>
          <w:gridAfter w:val="1"/>
          <w:wAfter w:w="93" w:type="dxa"/>
          <w:trHeight w:hRule="exact" w:val="397"/>
        </w:trPr>
        <w:tc>
          <w:tcPr>
            <w:tcW w:w="2167" w:type="dxa"/>
            <w:shd w:val="clear" w:color="auto" w:fill="E5E5E5" w:themeFill="background1" w:themeFillTint="33"/>
            <w:noWrap/>
            <w:vAlign w:val="center"/>
            <w:hideMark/>
          </w:tcPr>
          <w:p w14:paraId="301204D8"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June 2014</w:t>
            </w:r>
          </w:p>
        </w:tc>
        <w:tc>
          <w:tcPr>
            <w:tcW w:w="1700" w:type="dxa"/>
            <w:gridSpan w:val="2"/>
            <w:shd w:val="clear" w:color="auto" w:fill="E5E5E5" w:themeFill="background1" w:themeFillTint="33"/>
            <w:noWrap/>
            <w:vAlign w:val="center"/>
            <w:hideMark/>
          </w:tcPr>
          <w:p w14:paraId="3E508DF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2,201</w:t>
            </w:r>
          </w:p>
        </w:tc>
        <w:tc>
          <w:tcPr>
            <w:tcW w:w="1700" w:type="dxa"/>
            <w:gridSpan w:val="2"/>
            <w:shd w:val="clear" w:color="auto" w:fill="E5E5E5" w:themeFill="background1" w:themeFillTint="33"/>
            <w:noWrap/>
            <w:vAlign w:val="center"/>
            <w:hideMark/>
          </w:tcPr>
          <w:p w14:paraId="3362F8C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12,424</w:t>
            </w:r>
          </w:p>
        </w:tc>
        <w:tc>
          <w:tcPr>
            <w:tcW w:w="1700" w:type="dxa"/>
            <w:gridSpan w:val="2"/>
            <w:shd w:val="clear" w:color="auto" w:fill="E5E5E5" w:themeFill="background1" w:themeFillTint="33"/>
            <w:noWrap/>
            <w:vAlign w:val="center"/>
            <w:hideMark/>
          </w:tcPr>
          <w:p w14:paraId="76EDA42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288,573</w:t>
            </w:r>
          </w:p>
        </w:tc>
        <w:tc>
          <w:tcPr>
            <w:tcW w:w="1700" w:type="dxa"/>
            <w:gridSpan w:val="2"/>
            <w:shd w:val="clear" w:color="auto" w:fill="E5E5E5" w:themeFill="background1" w:themeFillTint="33"/>
            <w:noWrap/>
            <w:vAlign w:val="center"/>
            <w:hideMark/>
          </w:tcPr>
          <w:p w14:paraId="15C06F0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200,879</w:t>
            </w:r>
          </w:p>
        </w:tc>
        <w:tc>
          <w:tcPr>
            <w:tcW w:w="1700" w:type="dxa"/>
            <w:gridSpan w:val="2"/>
            <w:shd w:val="clear" w:color="auto" w:fill="E5E5E5" w:themeFill="background1" w:themeFillTint="33"/>
            <w:noWrap/>
            <w:vAlign w:val="center"/>
            <w:hideMark/>
          </w:tcPr>
          <w:p w14:paraId="12700BD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149,526</w:t>
            </w:r>
          </w:p>
        </w:tc>
        <w:tc>
          <w:tcPr>
            <w:tcW w:w="1700" w:type="dxa"/>
            <w:gridSpan w:val="2"/>
            <w:shd w:val="clear" w:color="auto" w:fill="E5E5E5" w:themeFill="background1" w:themeFillTint="33"/>
            <w:noWrap/>
            <w:vAlign w:val="center"/>
            <w:hideMark/>
          </w:tcPr>
          <w:p w14:paraId="6F8284E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155,705</w:t>
            </w:r>
          </w:p>
        </w:tc>
        <w:tc>
          <w:tcPr>
            <w:tcW w:w="1700" w:type="dxa"/>
            <w:gridSpan w:val="2"/>
            <w:shd w:val="clear" w:color="auto" w:fill="E5E5E5" w:themeFill="background1" w:themeFillTint="33"/>
            <w:noWrap/>
            <w:vAlign w:val="center"/>
            <w:hideMark/>
          </w:tcPr>
          <w:p w14:paraId="7D31774B"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809,308</w:t>
            </w:r>
          </w:p>
        </w:tc>
      </w:tr>
      <w:tr w:rsidR="00961617" w:rsidRPr="002F0892" w14:paraId="52D3F770" w14:textId="77777777" w:rsidTr="0020771F">
        <w:trPr>
          <w:gridAfter w:val="1"/>
          <w:wAfter w:w="93" w:type="dxa"/>
          <w:trHeight w:hRule="exact" w:val="397"/>
        </w:trPr>
        <w:tc>
          <w:tcPr>
            <w:tcW w:w="2167" w:type="dxa"/>
            <w:shd w:val="clear" w:color="auto" w:fill="auto"/>
            <w:noWrap/>
            <w:vAlign w:val="center"/>
            <w:hideMark/>
          </w:tcPr>
          <w:p w14:paraId="244CF54E"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July 2014</w:t>
            </w:r>
          </w:p>
        </w:tc>
        <w:tc>
          <w:tcPr>
            <w:tcW w:w="1700" w:type="dxa"/>
            <w:gridSpan w:val="2"/>
            <w:shd w:val="clear" w:color="auto" w:fill="auto"/>
            <w:noWrap/>
            <w:vAlign w:val="center"/>
            <w:hideMark/>
          </w:tcPr>
          <w:p w14:paraId="376B6F7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2,076</w:t>
            </w:r>
          </w:p>
        </w:tc>
        <w:tc>
          <w:tcPr>
            <w:tcW w:w="1700" w:type="dxa"/>
            <w:gridSpan w:val="2"/>
            <w:shd w:val="clear" w:color="auto" w:fill="auto"/>
            <w:noWrap/>
            <w:vAlign w:val="center"/>
            <w:hideMark/>
          </w:tcPr>
          <w:p w14:paraId="2F9F7ED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12,791</w:t>
            </w:r>
          </w:p>
        </w:tc>
        <w:tc>
          <w:tcPr>
            <w:tcW w:w="1700" w:type="dxa"/>
            <w:gridSpan w:val="2"/>
            <w:shd w:val="clear" w:color="auto" w:fill="auto"/>
            <w:noWrap/>
            <w:vAlign w:val="center"/>
            <w:hideMark/>
          </w:tcPr>
          <w:p w14:paraId="14D300A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284,069</w:t>
            </w:r>
          </w:p>
        </w:tc>
        <w:tc>
          <w:tcPr>
            <w:tcW w:w="1700" w:type="dxa"/>
            <w:gridSpan w:val="2"/>
            <w:shd w:val="clear" w:color="auto" w:fill="auto"/>
            <w:noWrap/>
            <w:vAlign w:val="center"/>
            <w:hideMark/>
          </w:tcPr>
          <w:p w14:paraId="7DCD307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201,227</w:t>
            </w:r>
          </w:p>
        </w:tc>
        <w:tc>
          <w:tcPr>
            <w:tcW w:w="1700" w:type="dxa"/>
            <w:gridSpan w:val="2"/>
            <w:shd w:val="clear" w:color="auto" w:fill="auto"/>
            <w:noWrap/>
            <w:vAlign w:val="center"/>
            <w:hideMark/>
          </w:tcPr>
          <w:p w14:paraId="43C8C2E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149,728</w:t>
            </w:r>
          </w:p>
        </w:tc>
        <w:tc>
          <w:tcPr>
            <w:tcW w:w="1700" w:type="dxa"/>
            <w:gridSpan w:val="2"/>
            <w:shd w:val="clear" w:color="auto" w:fill="auto"/>
            <w:noWrap/>
            <w:vAlign w:val="center"/>
            <w:hideMark/>
          </w:tcPr>
          <w:p w14:paraId="07EA265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156,699</w:t>
            </w:r>
          </w:p>
        </w:tc>
        <w:tc>
          <w:tcPr>
            <w:tcW w:w="1700" w:type="dxa"/>
            <w:gridSpan w:val="2"/>
            <w:shd w:val="clear" w:color="auto" w:fill="auto"/>
            <w:noWrap/>
            <w:vAlign w:val="center"/>
            <w:hideMark/>
          </w:tcPr>
          <w:p w14:paraId="3CCE565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806,590</w:t>
            </w:r>
          </w:p>
        </w:tc>
      </w:tr>
      <w:tr w:rsidR="00961617" w:rsidRPr="002F0892" w14:paraId="5CDEF100" w14:textId="77777777" w:rsidTr="0020771F">
        <w:trPr>
          <w:gridAfter w:val="1"/>
          <w:wAfter w:w="93" w:type="dxa"/>
          <w:trHeight w:hRule="exact" w:val="397"/>
        </w:trPr>
        <w:tc>
          <w:tcPr>
            <w:tcW w:w="2167" w:type="dxa"/>
            <w:shd w:val="clear" w:color="auto" w:fill="E5E5E5" w:themeFill="background1" w:themeFillTint="33"/>
            <w:noWrap/>
            <w:vAlign w:val="center"/>
            <w:hideMark/>
          </w:tcPr>
          <w:p w14:paraId="28C872BC"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August 2014</w:t>
            </w:r>
          </w:p>
        </w:tc>
        <w:tc>
          <w:tcPr>
            <w:tcW w:w="1700" w:type="dxa"/>
            <w:gridSpan w:val="2"/>
            <w:shd w:val="clear" w:color="auto" w:fill="E5E5E5" w:themeFill="background1" w:themeFillTint="33"/>
            <w:noWrap/>
            <w:vAlign w:val="center"/>
            <w:hideMark/>
          </w:tcPr>
          <w:p w14:paraId="2CE6511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1,992</w:t>
            </w:r>
          </w:p>
        </w:tc>
        <w:tc>
          <w:tcPr>
            <w:tcW w:w="1700" w:type="dxa"/>
            <w:gridSpan w:val="2"/>
            <w:shd w:val="clear" w:color="auto" w:fill="E5E5E5" w:themeFill="background1" w:themeFillTint="33"/>
            <w:noWrap/>
            <w:vAlign w:val="center"/>
            <w:hideMark/>
          </w:tcPr>
          <w:p w14:paraId="1AC2B5E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11,758</w:t>
            </w:r>
          </w:p>
        </w:tc>
        <w:tc>
          <w:tcPr>
            <w:tcW w:w="1700" w:type="dxa"/>
            <w:gridSpan w:val="2"/>
            <w:shd w:val="clear" w:color="auto" w:fill="E5E5E5" w:themeFill="background1" w:themeFillTint="33"/>
            <w:noWrap/>
            <w:vAlign w:val="center"/>
            <w:hideMark/>
          </w:tcPr>
          <w:p w14:paraId="3ACA309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280,563</w:t>
            </w:r>
          </w:p>
        </w:tc>
        <w:tc>
          <w:tcPr>
            <w:tcW w:w="1700" w:type="dxa"/>
            <w:gridSpan w:val="2"/>
            <w:shd w:val="clear" w:color="auto" w:fill="E5E5E5" w:themeFill="background1" w:themeFillTint="33"/>
            <w:noWrap/>
            <w:vAlign w:val="center"/>
            <w:hideMark/>
          </w:tcPr>
          <w:p w14:paraId="79B8105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198,022</w:t>
            </w:r>
          </w:p>
        </w:tc>
        <w:tc>
          <w:tcPr>
            <w:tcW w:w="1700" w:type="dxa"/>
            <w:gridSpan w:val="2"/>
            <w:shd w:val="clear" w:color="auto" w:fill="E5E5E5" w:themeFill="background1" w:themeFillTint="33"/>
            <w:noWrap/>
            <w:vAlign w:val="center"/>
            <w:hideMark/>
          </w:tcPr>
          <w:p w14:paraId="2557A58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144,478</w:t>
            </w:r>
          </w:p>
        </w:tc>
        <w:tc>
          <w:tcPr>
            <w:tcW w:w="1700" w:type="dxa"/>
            <w:gridSpan w:val="2"/>
            <w:shd w:val="clear" w:color="auto" w:fill="E5E5E5" w:themeFill="background1" w:themeFillTint="33"/>
            <w:noWrap/>
            <w:vAlign w:val="center"/>
            <w:hideMark/>
          </w:tcPr>
          <w:p w14:paraId="2E75463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157,228</w:t>
            </w:r>
          </w:p>
        </w:tc>
        <w:tc>
          <w:tcPr>
            <w:tcW w:w="1700" w:type="dxa"/>
            <w:gridSpan w:val="2"/>
            <w:shd w:val="clear" w:color="auto" w:fill="E5E5E5" w:themeFill="background1" w:themeFillTint="33"/>
            <w:noWrap/>
            <w:vAlign w:val="center"/>
            <w:hideMark/>
          </w:tcPr>
          <w:p w14:paraId="64138B9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794,041</w:t>
            </w:r>
          </w:p>
        </w:tc>
      </w:tr>
      <w:tr w:rsidR="00961617" w:rsidRPr="002F0892" w14:paraId="417DF89F" w14:textId="77777777" w:rsidTr="0020771F">
        <w:trPr>
          <w:gridAfter w:val="1"/>
          <w:wAfter w:w="93" w:type="dxa"/>
          <w:trHeight w:hRule="exact" w:val="397"/>
        </w:trPr>
        <w:tc>
          <w:tcPr>
            <w:tcW w:w="2167" w:type="dxa"/>
            <w:shd w:val="clear" w:color="auto" w:fill="auto"/>
            <w:noWrap/>
            <w:vAlign w:val="center"/>
            <w:hideMark/>
          </w:tcPr>
          <w:p w14:paraId="6FD08256"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September 2014</w:t>
            </w:r>
          </w:p>
        </w:tc>
        <w:tc>
          <w:tcPr>
            <w:tcW w:w="1700" w:type="dxa"/>
            <w:gridSpan w:val="2"/>
            <w:shd w:val="clear" w:color="auto" w:fill="auto"/>
            <w:noWrap/>
            <w:vAlign w:val="center"/>
            <w:hideMark/>
          </w:tcPr>
          <w:p w14:paraId="2D25085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1,938</w:t>
            </w:r>
          </w:p>
        </w:tc>
        <w:tc>
          <w:tcPr>
            <w:tcW w:w="1700" w:type="dxa"/>
            <w:gridSpan w:val="2"/>
            <w:shd w:val="clear" w:color="auto" w:fill="auto"/>
            <w:noWrap/>
            <w:vAlign w:val="center"/>
            <w:hideMark/>
          </w:tcPr>
          <w:p w14:paraId="00BCD4A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11,263</w:t>
            </w:r>
          </w:p>
        </w:tc>
        <w:tc>
          <w:tcPr>
            <w:tcW w:w="1700" w:type="dxa"/>
            <w:gridSpan w:val="2"/>
            <w:shd w:val="clear" w:color="auto" w:fill="auto"/>
            <w:noWrap/>
            <w:vAlign w:val="center"/>
            <w:hideMark/>
          </w:tcPr>
          <w:p w14:paraId="6736101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273,983</w:t>
            </w:r>
          </w:p>
        </w:tc>
        <w:tc>
          <w:tcPr>
            <w:tcW w:w="1700" w:type="dxa"/>
            <w:gridSpan w:val="2"/>
            <w:shd w:val="clear" w:color="auto" w:fill="auto"/>
            <w:noWrap/>
            <w:vAlign w:val="center"/>
            <w:hideMark/>
          </w:tcPr>
          <w:p w14:paraId="2013EF8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195,618</w:t>
            </w:r>
          </w:p>
        </w:tc>
        <w:tc>
          <w:tcPr>
            <w:tcW w:w="1700" w:type="dxa"/>
            <w:gridSpan w:val="2"/>
            <w:shd w:val="clear" w:color="auto" w:fill="auto"/>
            <w:noWrap/>
            <w:vAlign w:val="center"/>
            <w:hideMark/>
          </w:tcPr>
          <w:p w14:paraId="37D9546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143,407</w:t>
            </w:r>
          </w:p>
        </w:tc>
        <w:tc>
          <w:tcPr>
            <w:tcW w:w="1700" w:type="dxa"/>
            <w:gridSpan w:val="2"/>
            <w:shd w:val="clear" w:color="auto" w:fill="auto"/>
            <w:noWrap/>
            <w:vAlign w:val="center"/>
            <w:hideMark/>
          </w:tcPr>
          <w:p w14:paraId="2786DF8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156,777</w:t>
            </w:r>
          </w:p>
        </w:tc>
        <w:tc>
          <w:tcPr>
            <w:tcW w:w="1700" w:type="dxa"/>
            <w:gridSpan w:val="2"/>
            <w:shd w:val="clear" w:color="auto" w:fill="auto"/>
            <w:noWrap/>
            <w:vAlign w:val="center"/>
            <w:hideMark/>
          </w:tcPr>
          <w:p w14:paraId="7C3968F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782,986</w:t>
            </w:r>
          </w:p>
        </w:tc>
      </w:tr>
      <w:tr w:rsidR="00961617" w:rsidRPr="002F0892" w14:paraId="4B2D2032" w14:textId="77777777" w:rsidTr="0020771F">
        <w:trPr>
          <w:gridAfter w:val="1"/>
          <w:wAfter w:w="93" w:type="dxa"/>
          <w:trHeight w:hRule="exact" w:val="397"/>
        </w:trPr>
        <w:tc>
          <w:tcPr>
            <w:tcW w:w="2167" w:type="dxa"/>
            <w:shd w:val="clear" w:color="auto" w:fill="E5E5E5" w:themeFill="background1" w:themeFillTint="33"/>
            <w:noWrap/>
            <w:vAlign w:val="center"/>
            <w:hideMark/>
          </w:tcPr>
          <w:p w14:paraId="18B7BA84"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October 2014</w:t>
            </w:r>
          </w:p>
        </w:tc>
        <w:tc>
          <w:tcPr>
            <w:tcW w:w="1700" w:type="dxa"/>
            <w:gridSpan w:val="2"/>
            <w:shd w:val="clear" w:color="auto" w:fill="E5E5E5" w:themeFill="background1" w:themeFillTint="33"/>
            <w:noWrap/>
            <w:vAlign w:val="center"/>
            <w:hideMark/>
          </w:tcPr>
          <w:p w14:paraId="5B7B09C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2,026</w:t>
            </w:r>
          </w:p>
        </w:tc>
        <w:tc>
          <w:tcPr>
            <w:tcW w:w="1700" w:type="dxa"/>
            <w:gridSpan w:val="2"/>
            <w:shd w:val="clear" w:color="auto" w:fill="E5E5E5" w:themeFill="background1" w:themeFillTint="33"/>
            <w:noWrap/>
            <w:vAlign w:val="center"/>
            <w:hideMark/>
          </w:tcPr>
          <w:p w14:paraId="1A322CF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10,557</w:t>
            </w:r>
          </w:p>
        </w:tc>
        <w:tc>
          <w:tcPr>
            <w:tcW w:w="1700" w:type="dxa"/>
            <w:gridSpan w:val="2"/>
            <w:shd w:val="clear" w:color="auto" w:fill="E5E5E5" w:themeFill="background1" w:themeFillTint="33"/>
            <w:noWrap/>
            <w:vAlign w:val="center"/>
            <w:hideMark/>
          </w:tcPr>
          <w:p w14:paraId="11F4099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265,914</w:t>
            </w:r>
          </w:p>
        </w:tc>
        <w:tc>
          <w:tcPr>
            <w:tcW w:w="1700" w:type="dxa"/>
            <w:gridSpan w:val="2"/>
            <w:shd w:val="clear" w:color="auto" w:fill="E5E5E5" w:themeFill="background1" w:themeFillTint="33"/>
            <w:noWrap/>
            <w:vAlign w:val="center"/>
            <w:hideMark/>
          </w:tcPr>
          <w:p w14:paraId="5A2114D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197,967</w:t>
            </w:r>
          </w:p>
        </w:tc>
        <w:tc>
          <w:tcPr>
            <w:tcW w:w="1700" w:type="dxa"/>
            <w:gridSpan w:val="2"/>
            <w:shd w:val="clear" w:color="auto" w:fill="E5E5E5" w:themeFill="background1" w:themeFillTint="33"/>
            <w:noWrap/>
            <w:vAlign w:val="center"/>
            <w:hideMark/>
          </w:tcPr>
          <w:p w14:paraId="42284E6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150,025</w:t>
            </w:r>
          </w:p>
        </w:tc>
        <w:tc>
          <w:tcPr>
            <w:tcW w:w="1700" w:type="dxa"/>
            <w:gridSpan w:val="2"/>
            <w:shd w:val="clear" w:color="auto" w:fill="E5E5E5" w:themeFill="background1" w:themeFillTint="33"/>
            <w:noWrap/>
            <w:vAlign w:val="center"/>
            <w:hideMark/>
          </w:tcPr>
          <w:p w14:paraId="1F555D6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156,914</w:t>
            </w:r>
          </w:p>
        </w:tc>
        <w:tc>
          <w:tcPr>
            <w:tcW w:w="1700" w:type="dxa"/>
            <w:gridSpan w:val="2"/>
            <w:shd w:val="clear" w:color="auto" w:fill="E5E5E5" w:themeFill="background1" w:themeFillTint="33"/>
            <w:noWrap/>
            <w:vAlign w:val="center"/>
            <w:hideMark/>
          </w:tcPr>
          <w:p w14:paraId="28EDF06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783,403</w:t>
            </w:r>
          </w:p>
        </w:tc>
      </w:tr>
      <w:tr w:rsidR="00961617" w:rsidRPr="002F0892" w14:paraId="391A4D1E" w14:textId="77777777" w:rsidTr="0020771F">
        <w:trPr>
          <w:gridAfter w:val="1"/>
          <w:wAfter w:w="93" w:type="dxa"/>
          <w:trHeight w:hRule="exact" w:val="397"/>
        </w:trPr>
        <w:tc>
          <w:tcPr>
            <w:tcW w:w="2167" w:type="dxa"/>
            <w:shd w:val="clear" w:color="auto" w:fill="auto"/>
            <w:noWrap/>
            <w:vAlign w:val="center"/>
            <w:hideMark/>
          </w:tcPr>
          <w:p w14:paraId="1D390A83"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November 2014</w:t>
            </w:r>
          </w:p>
        </w:tc>
        <w:tc>
          <w:tcPr>
            <w:tcW w:w="1700" w:type="dxa"/>
            <w:gridSpan w:val="2"/>
            <w:shd w:val="clear" w:color="auto" w:fill="auto"/>
            <w:noWrap/>
            <w:vAlign w:val="center"/>
            <w:hideMark/>
          </w:tcPr>
          <w:p w14:paraId="3055101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1,932</w:t>
            </w:r>
          </w:p>
        </w:tc>
        <w:tc>
          <w:tcPr>
            <w:tcW w:w="1700" w:type="dxa"/>
            <w:gridSpan w:val="2"/>
            <w:shd w:val="clear" w:color="auto" w:fill="auto"/>
            <w:noWrap/>
            <w:vAlign w:val="center"/>
            <w:hideMark/>
          </w:tcPr>
          <w:p w14:paraId="4A572DA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10,451</w:t>
            </w:r>
          </w:p>
        </w:tc>
        <w:tc>
          <w:tcPr>
            <w:tcW w:w="1700" w:type="dxa"/>
            <w:gridSpan w:val="2"/>
            <w:shd w:val="clear" w:color="auto" w:fill="auto"/>
            <w:noWrap/>
            <w:vAlign w:val="center"/>
            <w:hideMark/>
          </w:tcPr>
          <w:p w14:paraId="0D7F3DB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268,097</w:t>
            </w:r>
          </w:p>
        </w:tc>
        <w:tc>
          <w:tcPr>
            <w:tcW w:w="1700" w:type="dxa"/>
            <w:gridSpan w:val="2"/>
            <w:shd w:val="clear" w:color="auto" w:fill="auto"/>
            <w:noWrap/>
            <w:vAlign w:val="center"/>
            <w:hideMark/>
          </w:tcPr>
          <w:p w14:paraId="656EFAA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198,283</w:t>
            </w:r>
          </w:p>
        </w:tc>
        <w:tc>
          <w:tcPr>
            <w:tcW w:w="1700" w:type="dxa"/>
            <w:gridSpan w:val="2"/>
            <w:shd w:val="clear" w:color="auto" w:fill="auto"/>
            <w:noWrap/>
            <w:vAlign w:val="center"/>
            <w:hideMark/>
          </w:tcPr>
          <w:p w14:paraId="6D92D7D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150,385</w:t>
            </w:r>
          </w:p>
        </w:tc>
        <w:tc>
          <w:tcPr>
            <w:tcW w:w="1700" w:type="dxa"/>
            <w:gridSpan w:val="2"/>
            <w:shd w:val="clear" w:color="auto" w:fill="auto"/>
            <w:noWrap/>
            <w:vAlign w:val="center"/>
            <w:hideMark/>
          </w:tcPr>
          <w:p w14:paraId="356E767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156,933</w:t>
            </w:r>
          </w:p>
        </w:tc>
        <w:tc>
          <w:tcPr>
            <w:tcW w:w="1700" w:type="dxa"/>
            <w:gridSpan w:val="2"/>
            <w:shd w:val="clear" w:color="auto" w:fill="auto"/>
            <w:noWrap/>
            <w:vAlign w:val="center"/>
            <w:hideMark/>
          </w:tcPr>
          <w:p w14:paraId="69C4AC7E"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786,081</w:t>
            </w:r>
          </w:p>
        </w:tc>
      </w:tr>
      <w:tr w:rsidR="00961617" w:rsidRPr="002F0892" w14:paraId="62D9F0C7" w14:textId="77777777" w:rsidTr="0020771F">
        <w:trPr>
          <w:gridAfter w:val="1"/>
          <w:wAfter w:w="93" w:type="dxa"/>
          <w:trHeight w:hRule="exact" w:val="397"/>
        </w:trPr>
        <w:tc>
          <w:tcPr>
            <w:tcW w:w="2167" w:type="dxa"/>
            <w:shd w:val="clear" w:color="auto" w:fill="E5E5E5" w:themeFill="background1" w:themeFillTint="33"/>
            <w:noWrap/>
            <w:vAlign w:val="center"/>
            <w:hideMark/>
          </w:tcPr>
          <w:p w14:paraId="410D4E97"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December 2014</w:t>
            </w:r>
          </w:p>
        </w:tc>
        <w:tc>
          <w:tcPr>
            <w:tcW w:w="1700" w:type="dxa"/>
            <w:gridSpan w:val="2"/>
            <w:shd w:val="clear" w:color="auto" w:fill="E5E5E5" w:themeFill="background1" w:themeFillTint="33"/>
            <w:noWrap/>
            <w:vAlign w:val="center"/>
            <w:hideMark/>
          </w:tcPr>
          <w:p w14:paraId="368CD6C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2,064</w:t>
            </w:r>
          </w:p>
        </w:tc>
        <w:tc>
          <w:tcPr>
            <w:tcW w:w="1700" w:type="dxa"/>
            <w:gridSpan w:val="2"/>
            <w:shd w:val="clear" w:color="auto" w:fill="E5E5E5" w:themeFill="background1" w:themeFillTint="33"/>
            <w:noWrap/>
            <w:vAlign w:val="center"/>
            <w:hideMark/>
          </w:tcPr>
          <w:p w14:paraId="5417E3D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9,893</w:t>
            </w:r>
          </w:p>
        </w:tc>
        <w:tc>
          <w:tcPr>
            <w:tcW w:w="1700" w:type="dxa"/>
            <w:gridSpan w:val="2"/>
            <w:shd w:val="clear" w:color="auto" w:fill="E5E5E5" w:themeFill="background1" w:themeFillTint="33"/>
            <w:noWrap/>
            <w:vAlign w:val="center"/>
            <w:hideMark/>
          </w:tcPr>
          <w:p w14:paraId="338D53C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276,659</w:t>
            </w:r>
          </w:p>
        </w:tc>
        <w:tc>
          <w:tcPr>
            <w:tcW w:w="1700" w:type="dxa"/>
            <w:gridSpan w:val="2"/>
            <w:shd w:val="clear" w:color="auto" w:fill="E5E5E5" w:themeFill="background1" w:themeFillTint="33"/>
            <w:noWrap/>
            <w:vAlign w:val="center"/>
            <w:hideMark/>
          </w:tcPr>
          <w:p w14:paraId="4FD3BF8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200,143</w:t>
            </w:r>
          </w:p>
        </w:tc>
        <w:tc>
          <w:tcPr>
            <w:tcW w:w="1700" w:type="dxa"/>
            <w:gridSpan w:val="2"/>
            <w:shd w:val="clear" w:color="auto" w:fill="E5E5E5" w:themeFill="background1" w:themeFillTint="33"/>
            <w:noWrap/>
            <w:vAlign w:val="center"/>
            <w:hideMark/>
          </w:tcPr>
          <w:p w14:paraId="096672E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149,840</w:t>
            </w:r>
          </w:p>
        </w:tc>
        <w:tc>
          <w:tcPr>
            <w:tcW w:w="1700" w:type="dxa"/>
            <w:gridSpan w:val="2"/>
            <w:shd w:val="clear" w:color="auto" w:fill="E5E5E5" w:themeFill="background1" w:themeFillTint="33"/>
            <w:noWrap/>
            <w:vAlign w:val="center"/>
            <w:hideMark/>
          </w:tcPr>
          <w:p w14:paraId="3A530D3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156,193</w:t>
            </w:r>
          </w:p>
        </w:tc>
        <w:tc>
          <w:tcPr>
            <w:tcW w:w="1700" w:type="dxa"/>
            <w:gridSpan w:val="2"/>
            <w:shd w:val="clear" w:color="auto" w:fill="E5E5E5" w:themeFill="background1" w:themeFillTint="33"/>
            <w:noWrap/>
            <w:vAlign w:val="center"/>
            <w:hideMark/>
          </w:tcPr>
          <w:p w14:paraId="1F2ED62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794,792</w:t>
            </w:r>
          </w:p>
        </w:tc>
      </w:tr>
      <w:tr w:rsidR="00961617" w:rsidRPr="002F0892" w14:paraId="1AE91DFB" w14:textId="77777777" w:rsidTr="0020771F">
        <w:trPr>
          <w:gridAfter w:val="1"/>
          <w:wAfter w:w="93" w:type="dxa"/>
          <w:trHeight w:hRule="exact" w:val="397"/>
        </w:trPr>
        <w:tc>
          <w:tcPr>
            <w:tcW w:w="2167" w:type="dxa"/>
            <w:shd w:val="clear" w:color="auto" w:fill="auto"/>
            <w:noWrap/>
            <w:vAlign w:val="center"/>
            <w:hideMark/>
          </w:tcPr>
          <w:p w14:paraId="5DF6E9FE"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January 2015</w:t>
            </w:r>
          </w:p>
        </w:tc>
        <w:tc>
          <w:tcPr>
            <w:tcW w:w="1700" w:type="dxa"/>
            <w:gridSpan w:val="2"/>
            <w:shd w:val="clear" w:color="auto" w:fill="auto"/>
            <w:noWrap/>
            <w:vAlign w:val="center"/>
            <w:hideMark/>
          </w:tcPr>
          <w:p w14:paraId="647B9E1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2,056</w:t>
            </w:r>
          </w:p>
        </w:tc>
        <w:tc>
          <w:tcPr>
            <w:tcW w:w="1700" w:type="dxa"/>
            <w:gridSpan w:val="2"/>
            <w:shd w:val="clear" w:color="auto" w:fill="auto"/>
            <w:noWrap/>
            <w:vAlign w:val="center"/>
            <w:hideMark/>
          </w:tcPr>
          <w:p w14:paraId="756D035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10,325</w:t>
            </w:r>
          </w:p>
        </w:tc>
        <w:tc>
          <w:tcPr>
            <w:tcW w:w="1700" w:type="dxa"/>
            <w:gridSpan w:val="2"/>
            <w:shd w:val="clear" w:color="auto" w:fill="auto"/>
            <w:noWrap/>
            <w:vAlign w:val="center"/>
            <w:hideMark/>
          </w:tcPr>
          <w:p w14:paraId="72260DC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294,700</w:t>
            </w:r>
          </w:p>
        </w:tc>
        <w:tc>
          <w:tcPr>
            <w:tcW w:w="1700" w:type="dxa"/>
            <w:gridSpan w:val="2"/>
            <w:shd w:val="clear" w:color="auto" w:fill="auto"/>
            <w:noWrap/>
            <w:vAlign w:val="center"/>
            <w:hideMark/>
          </w:tcPr>
          <w:p w14:paraId="38EB57C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204,983</w:t>
            </w:r>
          </w:p>
        </w:tc>
        <w:tc>
          <w:tcPr>
            <w:tcW w:w="1700" w:type="dxa"/>
            <w:gridSpan w:val="2"/>
            <w:shd w:val="clear" w:color="auto" w:fill="auto"/>
            <w:noWrap/>
            <w:vAlign w:val="center"/>
            <w:hideMark/>
          </w:tcPr>
          <w:p w14:paraId="3793F21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151,759</w:t>
            </w:r>
          </w:p>
        </w:tc>
        <w:tc>
          <w:tcPr>
            <w:tcW w:w="1700" w:type="dxa"/>
            <w:gridSpan w:val="2"/>
            <w:shd w:val="clear" w:color="auto" w:fill="auto"/>
            <w:noWrap/>
            <w:vAlign w:val="center"/>
            <w:hideMark/>
          </w:tcPr>
          <w:p w14:paraId="41BC4DE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157,458</w:t>
            </w:r>
          </w:p>
        </w:tc>
        <w:tc>
          <w:tcPr>
            <w:tcW w:w="1700" w:type="dxa"/>
            <w:gridSpan w:val="2"/>
            <w:shd w:val="clear" w:color="auto" w:fill="auto"/>
            <w:noWrap/>
            <w:vAlign w:val="center"/>
            <w:hideMark/>
          </w:tcPr>
          <w:p w14:paraId="70056B0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821,281</w:t>
            </w:r>
          </w:p>
        </w:tc>
      </w:tr>
      <w:tr w:rsidR="00961617" w:rsidRPr="002F0892" w14:paraId="2107E020" w14:textId="77777777" w:rsidTr="0020771F">
        <w:trPr>
          <w:gridAfter w:val="1"/>
          <w:wAfter w:w="93" w:type="dxa"/>
          <w:trHeight w:hRule="exact" w:val="397"/>
        </w:trPr>
        <w:tc>
          <w:tcPr>
            <w:tcW w:w="2167" w:type="dxa"/>
            <w:shd w:val="clear" w:color="auto" w:fill="E5E5E5" w:themeFill="background1" w:themeFillTint="33"/>
            <w:noWrap/>
            <w:vAlign w:val="center"/>
            <w:hideMark/>
          </w:tcPr>
          <w:p w14:paraId="7C2FDFA6"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February 2015</w:t>
            </w:r>
          </w:p>
        </w:tc>
        <w:tc>
          <w:tcPr>
            <w:tcW w:w="1700" w:type="dxa"/>
            <w:gridSpan w:val="2"/>
            <w:shd w:val="clear" w:color="auto" w:fill="E5E5E5" w:themeFill="background1" w:themeFillTint="33"/>
            <w:noWrap/>
            <w:vAlign w:val="center"/>
            <w:hideMark/>
          </w:tcPr>
          <w:p w14:paraId="53A3EFB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1,943</w:t>
            </w:r>
          </w:p>
        </w:tc>
        <w:tc>
          <w:tcPr>
            <w:tcW w:w="1700" w:type="dxa"/>
            <w:gridSpan w:val="2"/>
            <w:shd w:val="clear" w:color="auto" w:fill="E5E5E5" w:themeFill="background1" w:themeFillTint="33"/>
            <w:noWrap/>
            <w:vAlign w:val="center"/>
            <w:hideMark/>
          </w:tcPr>
          <w:p w14:paraId="53304EF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10,982</w:t>
            </w:r>
          </w:p>
        </w:tc>
        <w:tc>
          <w:tcPr>
            <w:tcW w:w="1700" w:type="dxa"/>
            <w:gridSpan w:val="2"/>
            <w:shd w:val="clear" w:color="auto" w:fill="E5E5E5" w:themeFill="background1" w:themeFillTint="33"/>
            <w:noWrap/>
            <w:vAlign w:val="center"/>
            <w:hideMark/>
          </w:tcPr>
          <w:p w14:paraId="7F5253D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297,780</w:t>
            </w:r>
          </w:p>
        </w:tc>
        <w:tc>
          <w:tcPr>
            <w:tcW w:w="1700" w:type="dxa"/>
            <w:gridSpan w:val="2"/>
            <w:shd w:val="clear" w:color="auto" w:fill="E5E5E5" w:themeFill="background1" w:themeFillTint="33"/>
            <w:noWrap/>
            <w:vAlign w:val="center"/>
            <w:hideMark/>
          </w:tcPr>
          <w:p w14:paraId="146821F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206,556</w:t>
            </w:r>
          </w:p>
        </w:tc>
        <w:tc>
          <w:tcPr>
            <w:tcW w:w="1700" w:type="dxa"/>
            <w:gridSpan w:val="2"/>
            <w:shd w:val="clear" w:color="auto" w:fill="E5E5E5" w:themeFill="background1" w:themeFillTint="33"/>
            <w:noWrap/>
            <w:vAlign w:val="center"/>
            <w:hideMark/>
          </w:tcPr>
          <w:p w14:paraId="79EC1B7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153,439</w:t>
            </w:r>
          </w:p>
        </w:tc>
        <w:tc>
          <w:tcPr>
            <w:tcW w:w="1700" w:type="dxa"/>
            <w:gridSpan w:val="2"/>
            <w:shd w:val="clear" w:color="auto" w:fill="E5E5E5" w:themeFill="background1" w:themeFillTint="33"/>
            <w:noWrap/>
            <w:vAlign w:val="center"/>
            <w:hideMark/>
          </w:tcPr>
          <w:p w14:paraId="71E634B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158,152</w:t>
            </w:r>
          </w:p>
        </w:tc>
        <w:tc>
          <w:tcPr>
            <w:tcW w:w="1700" w:type="dxa"/>
            <w:gridSpan w:val="2"/>
            <w:shd w:val="clear" w:color="auto" w:fill="E5E5E5" w:themeFill="background1" w:themeFillTint="33"/>
            <w:noWrap/>
            <w:vAlign w:val="center"/>
            <w:hideMark/>
          </w:tcPr>
          <w:p w14:paraId="278128D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828,852</w:t>
            </w:r>
          </w:p>
        </w:tc>
      </w:tr>
      <w:tr w:rsidR="00961617" w:rsidRPr="002F0892" w14:paraId="617FFFF8" w14:textId="77777777" w:rsidTr="0020771F">
        <w:trPr>
          <w:gridAfter w:val="1"/>
          <w:wAfter w:w="93" w:type="dxa"/>
          <w:trHeight w:hRule="exact" w:val="397"/>
        </w:trPr>
        <w:tc>
          <w:tcPr>
            <w:tcW w:w="2167" w:type="dxa"/>
            <w:shd w:val="clear" w:color="auto" w:fill="auto"/>
            <w:noWrap/>
            <w:vAlign w:val="center"/>
            <w:hideMark/>
          </w:tcPr>
          <w:p w14:paraId="462DEB50"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March 2015</w:t>
            </w:r>
          </w:p>
        </w:tc>
        <w:tc>
          <w:tcPr>
            <w:tcW w:w="1700" w:type="dxa"/>
            <w:gridSpan w:val="2"/>
            <w:shd w:val="clear" w:color="auto" w:fill="auto"/>
            <w:noWrap/>
            <w:vAlign w:val="center"/>
            <w:hideMark/>
          </w:tcPr>
          <w:p w14:paraId="6AA9450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1,808</w:t>
            </w:r>
          </w:p>
        </w:tc>
        <w:tc>
          <w:tcPr>
            <w:tcW w:w="1700" w:type="dxa"/>
            <w:gridSpan w:val="2"/>
            <w:shd w:val="clear" w:color="auto" w:fill="auto"/>
            <w:noWrap/>
            <w:vAlign w:val="center"/>
            <w:hideMark/>
          </w:tcPr>
          <w:p w14:paraId="7ACA567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11,566</w:t>
            </w:r>
          </w:p>
        </w:tc>
        <w:tc>
          <w:tcPr>
            <w:tcW w:w="1700" w:type="dxa"/>
            <w:gridSpan w:val="2"/>
            <w:shd w:val="clear" w:color="auto" w:fill="auto"/>
            <w:noWrap/>
            <w:vAlign w:val="center"/>
            <w:hideMark/>
          </w:tcPr>
          <w:p w14:paraId="3F63F82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295,707</w:t>
            </w:r>
          </w:p>
        </w:tc>
        <w:tc>
          <w:tcPr>
            <w:tcW w:w="1700" w:type="dxa"/>
            <w:gridSpan w:val="2"/>
            <w:shd w:val="clear" w:color="auto" w:fill="auto"/>
            <w:noWrap/>
            <w:vAlign w:val="center"/>
            <w:hideMark/>
          </w:tcPr>
          <w:p w14:paraId="79340A2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205,388</w:t>
            </w:r>
          </w:p>
        </w:tc>
        <w:tc>
          <w:tcPr>
            <w:tcW w:w="1700" w:type="dxa"/>
            <w:gridSpan w:val="2"/>
            <w:shd w:val="clear" w:color="auto" w:fill="auto"/>
            <w:noWrap/>
            <w:vAlign w:val="center"/>
            <w:hideMark/>
          </w:tcPr>
          <w:p w14:paraId="5C7611B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153,553</w:t>
            </w:r>
          </w:p>
        </w:tc>
        <w:tc>
          <w:tcPr>
            <w:tcW w:w="1700" w:type="dxa"/>
            <w:gridSpan w:val="2"/>
            <w:shd w:val="clear" w:color="auto" w:fill="auto"/>
            <w:noWrap/>
            <w:vAlign w:val="center"/>
            <w:hideMark/>
          </w:tcPr>
          <w:p w14:paraId="3891B50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157,384</w:t>
            </w:r>
          </w:p>
        </w:tc>
        <w:tc>
          <w:tcPr>
            <w:tcW w:w="1700" w:type="dxa"/>
            <w:gridSpan w:val="2"/>
            <w:shd w:val="clear" w:color="auto" w:fill="auto"/>
            <w:noWrap/>
            <w:vAlign w:val="center"/>
            <w:hideMark/>
          </w:tcPr>
          <w:p w14:paraId="48D9AAF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825,406</w:t>
            </w:r>
          </w:p>
        </w:tc>
      </w:tr>
      <w:tr w:rsidR="00961617" w:rsidRPr="002F0892" w14:paraId="58A5A257" w14:textId="77777777" w:rsidTr="0020771F">
        <w:trPr>
          <w:gridAfter w:val="1"/>
          <w:wAfter w:w="93" w:type="dxa"/>
          <w:trHeight w:hRule="exact" w:val="397"/>
        </w:trPr>
        <w:tc>
          <w:tcPr>
            <w:tcW w:w="2167" w:type="dxa"/>
            <w:shd w:val="clear" w:color="auto" w:fill="E5E5E5" w:themeFill="background1" w:themeFillTint="33"/>
            <w:noWrap/>
            <w:vAlign w:val="center"/>
            <w:hideMark/>
          </w:tcPr>
          <w:p w14:paraId="068BC92E"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April 2015</w:t>
            </w:r>
          </w:p>
        </w:tc>
        <w:tc>
          <w:tcPr>
            <w:tcW w:w="1700" w:type="dxa"/>
            <w:gridSpan w:val="2"/>
            <w:shd w:val="clear" w:color="auto" w:fill="E5E5E5" w:themeFill="background1" w:themeFillTint="33"/>
            <w:noWrap/>
            <w:vAlign w:val="center"/>
            <w:hideMark/>
          </w:tcPr>
          <w:p w14:paraId="3BB19565"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1,798</w:t>
            </w:r>
          </w:p>
        </w:tc>
        <w:tc>
          <w:tcPr>
            <w:tcW w:w="1700" w:type="dxa"/>
            <w:gridSpan w:val="2"/>
            <w:shd w:val="clear" w:color="auto" w:fill="E5E5E5" w:themeFill="background1" w:themeFillTint="33"/>
            <w:noWrap/>
            <w:vAlign w:val="center"/>
            <w:hideMark/>
          </w:tcPr>
          <w:p w14:paraId="26BD1990"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11,680</w:t>
            </w:r>
          </w:p>
        </w:tc>
        <w:tc>
          <w:tcPr>
            <w:tcW w:w="1700" w:type="dxa"/>
            <w:gridSpan w:val="2"/>
            <w:shd w:val="clear" w:color="auto" w:fill="E5E5E5" w:themeFill="background1" w:themeFillTint="33"/>
            <w:noWrap/>
            <w:vAlign w:val="center"/>
            <w:hideMark/>
          </w:tcPr>
          <w:p w14:paraId="3F8A62E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294,395</w:t>
            </w:r>
          </w:p>
        </w:tc>
        <w:tc>
          <w:tcPr>
            <w:tcW w:w="1700" w:type="dxa"/>
            <w:gridSpan w:val="2"/>
            <w:shd w:val="clear" w:color="auto" w:fill="E5E5E5" w:themeFill="background1" w:themeFillTint="33"/>
            <w:noWrap/>
            <w:vAlign w:val="center"/>
            <w:hideMark/>
          </w:tcPr>
          <w:p w14:paraId="3B02387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204,208</w:t>
            </w:r>
          </w:p>
        </w:tc>
        <w:tc>
          <w:tcPr>
            <w:tcW w:w="1700" w:type="dxa"/>
            <w:gridSpan w:val="2"/>
            <w:shd w:val="clear" w:color="auto" w:fill="E5E5E5" w:themeFill="background1" w:themeFillTint="33"/>
            <w:noWrap/>
            <w:vAlign w:val="center"/>
            <w:hideMark/>
          </w:tcPr>
          <w:p w14:paraId="5F3C7482"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153,052</w:t>
            </w:r>
          </w:p>
        </w:tc>
        <w:tc>
          <w:tcPr>
            <w:tcW w:w="1700" w:type="dxa"/>
            <w:gridSpan w:val="2"/>
            <w:shd w:val="clear" w:color="auto" w:fill="E5E5E5" w:themeFill="background1" w:themeFillTint="33"/>
            <w:noWrap/>
            <w:vAlign w:val="center"/>
            <w:hideMark/>
          </w:tcPr>
          <w:p w14:paraId="2D4E8C2C"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156,663</w:t>
            </w:r>
          </w:p>
        </w:tc>
        <w:tc>
          <w:tcPr>
            <w:tcW w:w="1700" w:type="dxa"/>
            <w:gridSpan w:val="2"/>
            <w:shd w:val="clear" w:color="auto" w:fill="E5E5E5" w:themeFill="background1" w:themeFillTint="33"/>
            <w:noWrap/>
            <w:vAlign w:val="center"/>
            <w:hideMark/>
          </w:tcPr>
          <w:p w14:paraId="396451DF"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821,796</w:t>
            </w:r>
          </w:p>
        </w:tc>
      </w:tr>
      <w:tr w:rsidR="00961617" w:rsidRPr="002F0892" w14:paraId="6BC345B5" w14:textId="77777777" w:rsidTr="0020771F">
        <w:trPr>
          <w:gridAfter w:val="1"/>
          <w:wAfter w:w="93" w:type="dxa"/>
          <w:trHeight w:hRule="exact" w:val="397"/>
        </w:trPr>
        <w:tc>
          <w:tcPr>
            <w:tcW w:w="2167" w:type="dxa"/>
            <w:shd w:val="clear" w:color="auto" w:fill="auto"/>
            <w:noWrap/>
            <w:vAlign w:val="center"/>
            <w:hideMark/>
          </w:tcPr>
          <w:p w14:paraId="6551C4A3"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May 2015</w:t>
            </w:r>
          </w:p>
        </w:tc>
        <w:tc>
          <w:tcPr>
            <w:tcW w:w="1700" w:type="dxa"/>
            <w:gridSpan w:val="2"/>
            <w:shd w:val="clear" w:color="auto" w:fill="auto"/>
            <w:noWrap/>
            <w:vAlign w:val="center"/>
            <w:hideMark/>
          </w:tcPr>
          <w:p w14:paraId="0CF183A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1,770</w:t>
            </w:r>
          </w:p>
        </w:tc>
        <w:tc>
          <w:tcPr>
            <w:tcW w:w="1700" w:type="dxa"/>
            <w:gridSpan w:val="2"/>
            <w:shd w:val="clear" w:color="auto" w:fill="auto"/>
            <w:noWrap/>
            <w:vAlign w:val="center"/>
            <w:hideMark/>
          </w:tcPr>
          <w:p w14:paraId="28552AE3"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11,269</w:t>
            </w:r>
          </w:p>
        </w:tc>
        <w:tc>
          <w:tcPr>
            <w:tcW w:w="1700" w:type="dxa"/>
            <w:gridSpan w:val="2"/>
            <w:shd w:val="clear" w:color="auto" w:fill="auto"/>
            <w:noWrap/>
            <w:vAlign w:val="center"/>
            <w:hideMark/>
          </w:tcPr>
          <w:p w14:paraId="665B124A"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292,698</w:t>
            </w:r>
          </w:p>
        </w:tc>
        <w:tc>
          <w:tcPr>
            <w:tcW w:w="1700" w:type="dxa"/>
            <w:gridSpan w:val="2"/>
            <w:shd w:val="clear" w:color="auto" w:fill="auto"/>
            <w:noWrap/>
            <w:vAlign w:val="center"/>
            <w:hideMark/>
          </w:tcPr>
          <w:p w14:paraId="4ED99A3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201,950</w:t>
            </w:r>
          </w:p>
        </w:tc>
        <w:tc>
          <w:tcPr>
            <w:tcW w:w="1700" w:type="dxa"/>
            <w:gridSpan w:val="2"/>
            <w:shd w:val="clear" w:color="auto" w:fill="auto"/>
            <w:noWrap/>
            <w:vAlign w:val="center"/>
            <w:hideMark/>
          </w:tcPr>
          <w:p w14:paraId="0CFD269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152,608</w:t>
            </w:r>
          </w:p>
        </w:tc>
        <w:tc>
          <w:tcPr>
            <w:tcW w:w="1700" w:type="dxa"/>
            <w:gridSpan w:val="2"/>
            <w:shd w:val="clear" w:color="auto" w:fill="auto"/>
            <w:noWrap/>
            <w:vAlign w:val="center"/>
            <w:hideMark/>
          </w:tcPr>
          <w:p w14:paraId="66BD373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155,904</w:t>
            </w:r>
          </w:p>
        </w:tc>
        <w:tc>
          <w:tcPr>
            <w:tcW w:w="1700" w:type="dxa"/>
            <w:gridSpan w:val="2"/>
            <w:shd w:val="clear" w:color="auto" w:fill="auto"/>
            <w:noWrap/>
            <w:vAlign w:val="center"/>
            <w:hideMark/>
          </w:tcPr>
          <w:p w14:paraId="03FBBE61"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816,199</w:t>
            </w:r>
          </w:p>
        </w:tc>
      </w:tr>
      <w:tr w:rsidR="00961617" w:rsidRPr="002F0892" w14:paraId="12A6DCE6" w14:textId="77777777" w:rsidTr="0020771F">
        <w:trPr>
          <w:gridAfter w:val="1"/>
          <w:wAfter w:w="93" w:type="dxa"/>
          <w:trHeight w:hRule="exact" w:val="397"/>
        </w:trPr>
        <w:tc>
          <w:tcPr>
            <w:tcW w:w="2167" w:type="dxa"/>
            <w:tcBorders>
              <w:bottom w:val="single" w:sz="4" w:space="0" w:color="auto"/>
            </w:tcBorders>
            <w:shd w:val="clear" w:color="auto" w:fill="E5E5E5" w:themeFill="background1" w:themeFillTint="33"/>
            <w:noWrap/>
            <w:vAlign w:val="center"/>
            <w:hideMark/>
          </w:tcPr>
          <w:p w14:paraId="3D5632FB" w14:textId="77777777" w:rsidR="00961617" w:rsidRPr="002F0892" w:rsidRDefault="00961617" w:rsidP="0020771F">
            <w:pPr>
              <w:spacing w:after="0" w:line="240" w:lineRule="auto"/>
              <w:rPr>
                <w:rFonts w:eastAsia="Times New Roman" w:cstheme="minorHAnsi"/>
                <w:color w:val="000000"/>
                <w:sz w:val="20"/>
                <w:szCs w:val="20"/>
                <w:lang w:eastAsia="en-AU"/>
              </w:rPr>
            </w:pPr>
            <w:r w:rsidRPr="002F0892">
              <w:rPr>
                <w:rFonts w:eastAsia="Times New Roman" w:cstheme="minorHAnsi"/>
                <w:color w:val="000000"/>
                <w:sz w:val="20"/>
                <w:szCs w:val="20"/>
                <w:lang w:eastAsia="en-AU"/>
              </w:rPr>
              <w:t>June 2015</w:t>
            </w:r>
          </w:p>
        </w:tc>
        <w:tc>
          <w:tcPr>
            <w:tcW w:w="1700" w:type="dxa"/>
            <w:gridSpan w:val="2"/>
            <w:tcBorders>
              <w:bottom w:val="single" w:sz="4" w:space="0" w:color="auto"/>
            </w:tcBorders>
            <w:shd w:val="clear" w:color="auto" w:fill="E5E5E5" w:themeFill="background1" w:themeFillTint="33"/>
            <w:noWrap/>
            <w:vAlign w:val="center"/>
            <w:hideMark/>
          </w:tcPr>
          <w:p w14:paraId="2EEE955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1,895</w:t>
            </w:r>
          </w:p>
        </w:tc>
        <w:tc>
          <w:tcPr>
            <w:tcW w:w="1700" w:type="dxa"/>
            <w:gridSpan w:val="2"/>
            <w:tcBorders>
              <w:bottom w:val="single" w:sz="4" w:space="0" w:color="auto"/>
            </w:tcBorders>
            <w:shd w:val="clear" w:color="auto" w:fill="E5E5E5" w:themeFill="background1" w:themeFillTint="33"/>
            <w:noWrap/>
            <w:vAlign w:val="center"/>
            <w:hideMark/>
          </w:tcPr>
          <w:p w14:paraId="11E3C908"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10,945</w:t>
            </w:r>
          </w:p>
        </w:tc>
        <w:tc>
          <w:tcPr>
            <w:tcW w:w="1700" w:type="dxa"/>
            <w:gridSpan w:val="2"/>
            <w:tcBorders>
              <w:bottom w:val="single" w:sz="4" w:space="0" w:color="auto"/>
            </w:tcBorders>
            <w:shd w:val="clear" w:color="auto" w:fill="E5E5E5" w:themeFill="background1" w:themeFillTint="33"/>
            <w:noWrap/>
            <w:vAlign w:val="center"/>
            <w:hideMark/>
          </w:tcPr>
          <w:p w14:paraId="6AA3E1A4"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290,594</w:t>
            </w:r>
          </w:p>
        </w:tc>
        <w:tc>
          <w:tcPr>
            <w:tcW w:w="1700" w:type="dxa"/>
            <w:gridSpan w:val="2"/>
            <w:tcBorders>
              <w:bottom w:val="single" w:sz="4" w:space="0" w:color="auto"/>
            </w:tcBorders>
            <w:shd w:val="clear" w:color="auto" w:fill="E5E5E5" w:themeFill="background1" w:themeFillTint="33"/>
            <w:noWrap/>
            <w:vAlign w:val="center"/>
            <w:hideMark/>
          </w:tcPr>
          <w:p w14:paraId="2C143116"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199,401</w:t>
            </w:r>
          </w:p>
        </w:tc>
        <w:tc>
          <w:tcPr>
            <w:tcW w:w="1700" w:type="dxa"/>
            <w:gridSpan w:val="2"/>
            <w:tcBorders>
              <w:bottom w:val="single" w:sz="4" w:space="0" w:color="auto"/>
            </w:tcBorders>
            <w:shd w:val="clear" w:color="auto" w:fill="E5E5E5" w:themeFill="background1" w:themeFillTint="33"/>
            <w:noWrap/>
            <w:vAlign w:val="center"/>
            <w:hideMark/>
          </w:tcPr>
          <w:p w14:paraId="1DABF109"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150,996</w:t>
            </w:r>
          </w:p>
        </w:tc>
        <w:tc>
          <w:tcPr>
            <w:tcW w:w="1700" w:type="dxa"/>
            <w:gridSpan w:val="2"/>
            <w:tcBorders>
              <w:bottom w:val="single" w:sz="4" w:space="0" w:color="auto"/>
            </w:tcBorders>
            <w:shd w:val="clear" w:color="auto" w:fill="E5E5E5" w:themeFill="background1" w:themeFillTint="33"/>
            <w:noWrap/>
            <w:vAlign w:val="center"/>
            <w:hideMark/>
          </w:tcPr>
          <w:p w14:paraId="684AAA27"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155,358</w:t>
            </w:r>
          </w:p>
        </w:tc>
        <w:tc>
          <w:tcPr>
            <w:tcW w:w="1700" w:type="dxa"/>
            <w:gridSpan w:val="2"/>
            <w:tcBorders>
              <w:bottom w:val="single" w:sz="4" w:space="0" w:color="auto"/>
            </w:tcBorders>
            <w:shd w:val="clear" w:color="auto" w:fill="E5E5E5" w:themeFill="background1" w:themeFillTint="33"/>
            <w:noWrap/>
            <w:vAlign w:val="center"/>
            <w:hideMark/>
          </w:tcPr>
          <w:p w14:paraId="136E89BD" w14:textId="77777777" w:rsidR="00961617" w:rsidRPr="002F0892" w:rsidRDefault="00961617" w:rsidP="0020771F">
            <w:pPr>
              <w:spacing w:after="0" w:line="240" w:lineRule="auto"/>
              <w:jc w:val="right"/>
              <w:rPr>
                <w:rFonts w:eastAsia="Times New Roman" w:cstheme="minorHAnsi"/>
                <w:color w:val="000000"/>
                <w:sz w:val="20"/>
                <w:szCs w:val="20"/>
                <w:lang w:eastAsia="en-AU"/>
              </w:rPr>
            </w:pPr>
            <w:r w:rsidRPr="002F0892">
              <w:rPr>
                <w:rFonts w:eastAsia="Times New Roman" w:cstheme="minorHAnsi"/>
                <w:color w:val="000000"/>
                <w:sz w:val="20"/>
                <w:szCs w:val="20"/>
                <w:lang w:eastAsia="en-AU"/>
              </w:rPr>
              <w:t>809,189</w:t>
            </w:r>
          </w:p>
        </w:tc>
      </w:tr>
    </w:tbl>
    <w:p w14:paraId="267510BD" w14:textId="77777777" w:rsidR="00961617" w:rsidRPr="002F5864" w:rsidRDefault="00961617" w:rsidP="00E13B5E">
      <w:pPr>
        <w:pStyle w:val="Notes"/>
        <w:rPr>
          <w:noProof/>
        </w:rPr>
      </w:pPr>
      <w:r w:rsidRPr="002F5864">
        <w:rPr>
          <w:b/>
          <w:noProof/>
        </w:rPr>
        <w:t>Note:</w:t>
      </w:r>
      <w:r w:rsidRPr="002F5864">
        <w:rPr>
          <w:noProof/>
        </w:rPr>
        <w:t xml:space="preserve"> </w:t>
      </w:r>
      <w:r w:rsidRPr="002F5864">
        <w:rPr>
          <w:noProof/>
        </w:rPr>
        <w:tab/>
        <w:t>Data as at 30 June 2015.</w:t>
      </w:r>
    </w:p>
    <w:p w14:paraId="740FEA70" w14:textId="77777777" w:rsidR="00961617" w:rsidRPr="002F5864" w:rsidRDefault="00961617" w:rsidP="00E13B5E">
      <w:pPr>
        <w:pStyle w:val="Source"/>
        <w:rPr>
          <w:b/>
        </w:rPr>
      </w:pPr>
      <w:r w:rsidRPr="002F5864">
        <w:rPr>
          <w:b/>
        </w:rPr>
        <w:t>Source:</w:t>
      </w:r>
      <w:r w:rsidRPr="002F5864">
        <w:t xml:space="preserve"> </w:t>
      </w:r>
      <w:r w:rsidRPr="002F5864">
        <w:tab/>
        <w:t>Department of Employment administrative data</w:t>
      </w:r>
      <w:r w:rsidRPr="002F5864">
        <w:rPr>
          <w:b/>
        </w:rPr>
        <w:t>.</w:t>
      </w:r>
    </w:p>
    <w:p w14:paraId="21A1CB57" w14:textId="77777777" w:rsidR="00961617" w:rsidRPr="002F5864" w:rsidRDefault="00864C5E" w:rsidP="00961617">
      <w:pPr>
        <w:spacing w:before="120"/>
        <w:rPr>
          <w:rFonts w:cstheme="minorHAnsi"/>
          <w:sz w:val="18"/>
          <w:szCs w:val="18"/>
        </w:rPr>
      </w:pPr>
      <w:hyperlink w:anchor="Place_A21" w:history="1">
        <w:r w:rsidR="00961617" w:rsidRPr="004A74AA">
          <w:rPr>
            <w:rStyle w:val="Hyperlink"/>
            <w:rFonts w:cstheme="minorHAnsi"/>
            <w:sz w:val="18"/>
            <w:szCs w:val="18"/>
          </w:rPr>
          <w:t>Return to Figure 2.1</w:t>
        </w:r>
      </w:hyperlink>
      <w:r w:rsidR="00961617" w:rsidRPr="002F5864">
        <w:rPr>
          <w:rFonts w:cstheme="minorHAnsi"/>
          <w:sz w:val="18"/>
          <w:szCs w:val="18"/>
        </w:rPr>
        <w:t xml:space="preserve"> where this data is referenced.</w:t>
      </w:r>
    </w:p>
    <w:p w14:paraId="57029DCC" w14:textId="77777777" w:rsidR="00961617" w:rsidRPr="002F5864" w:rsidRDefault="00961617" w:rsidP="00961617">
      <w:pPr>
        <w:rPr>
          <w:rFonts w:eastAsiaTheme="majorEastAsia" w:cstheme="minorHAnsi"/>
          <w:b/>
          <w:i/>
          <w:sz w:val="20"/>
        </w:rPr>
      </w:pPr>
      <w:r w:rsidRPr="002F5864">
        <w:rPr>
          <w:rFonts w:eastAsiaTheme="majorEastAsia" w:cstheme="minorHAnsi"/>
        </w:rPr>
        <w:br w:type="page"/>
      </w:r>
    </w:p>
    <w:p w14:paraId="1A6C891B" w14:textId="77777777" w:rsidR="00961617" w:rsidRPr="002F5864" w:rsidRDefault="00961617" w:rsidP="00961617">
      <w:pPr>
        <w:pStyle w:val="TableheadingforappendixA1"/>
        <w:rPr>
          <w:rFonts w:cstheme="minorHAnsi"/>
        </w:rPr>
      </w:pPr>
      <w:bookmarkStart w:id="615" w:name="_Toc513129895"/>
      <w:r w:rsidRPr="002F5864">
        <w:rPr>
          <w:rFonts w:cstheme="minorHAnsi"/>
        </w:rPr>
        <w:t>Table A2.2:</w:t>
      </w:r>
      <w:bookmarkEnd w:id="613"/>
      <w:bookmarkEnd w:id="614"/>
      <w:r w:rsidRPr="002F5864">
        <w:rPr>
          <w:rFonts w:cstheme="minorHAnsi"/>
        </w:rPr>
        <w:t xml:space="preserve"> </w:t>
      </w:r>
      <w:r w:rsidR="00B34DB1">
        <w:rPr>
          <w:rFonts w:cstheme="minorHAnsi"/>
        </w:rPr>
        <w:t>Number of days taken for</w:t>
      </w:r>
      <w:r w:rsidRPr="002F5864">
        <w:rPr>
          <w:rFonts w:cstheme="minorHAnsi"/>
        </w:rPr>
        <w:t xml:space="preserve"> job seekers </w:t>
      </w:r>
      <w:r w:rsidR="00B34DB1">
        <w:rPr>
          <w:rFonts w:cstheme="minorHAnsi"/>
        </w:rPr>
        <w:t xml:space="preserve">to commence </w:t>
      </w:r>
      <w:r w:rsidRPr="002F5864">
        <w:rPr>
          <w:rFonts w:cstheme="minorHAnsi"/>
        </w:rPr>
        <w:t>after registration (</w:t>
      </w:r>
      <w:r w:rsidR="00B34DB1">
        <w:rPr>
          <w:rFonts w:cstheme="minorHAnsi"/>
        </w:rPr>
        <w:t>per cent</w:t>
      </w:r>
      <w:r w:rsidRPr="002F5864">
        <w:rPr>
          <w:rFonts w:cstheme="minorHAnsi"/>
        </w:rPr>
        <w:t>)</w:t>
      </w:r>
      <w:bookmarkEnd w:id="615"/>
    </w:p>
    <w:p w14:paraId="50D49D29" w14:textId="77777777" w:rsidR="00961617" w:rsidRPr="00787397" w:rsidRDefault="00961617" w:rsidP="00961617">
      <w:pPr>
        <w:spacing w:before="120" w:after="0"/>
        <w:rPr>
          <w:rFonts w:cstheme="minorHAnsi"/>
          <w:b/>
          <w:sz w:val="20"/>
          <w:szCs w:val="20"/>
        </w:rPr>
      </w:pPr>
      <w:r w:rsidRPr="00787397">
        <w:rPr>
          <w:rFonts w:cstheme="minorHAnsi"/>
          <w:b/>
          <w:sz w:val="20"/>
          <w:szCs w:val="20"/>
        </w:rPr>
        <w:t>JSA 2009</w:t>
      </w:r>
    </w:p>
    <w:tbl>
      <w:tblPr>
        <w:tblW w:w="14616" w:type="dxa"/>
        <w:tblInd w:w="93" w:type="dxa"/>
        <w:tblLayout w:type="fixed"/>
        <w:tblLook w:val="04A0" w:firstRow="1" w:lastRow="0" w:firstColumn="1" w:lastColumn="0" w:noHBand="0" w:noVBand="1"/>
      </w:tblPr>
      <w:tblGrid>
        <w:gridCol w:w="960"/>
        <w:gridCol w:w="1323"/>
        <w:gridCol w:w="1373"/>
        <w:gridCol w:w="1412"/>
        <w:gridCol w:w="1418"/>
        <w:gridCol w:w="1500"/>
        <w:gridCol w:w="1373"/>
        <w:gridCol w:w="1379"/>
        <w:gridCol w:w="1326"/>
        <w:gridCol w:w="1276"/>
        <w:gridCol w:w="1276"/>
      </w:tblGrid>
      <w:tr w:rsidR="00961617" w:rsidRPr="00545C7F" w14:paraId="4AF99A79" w14:textId="77777777" w:rsidTr="0020771F">
        <w:trPr>
          <w:trHeight w:val="540"/>
          <w:tblHeader/>
        </w:trPr>
        <w:tc>
          <w:tcPr>
            <w:tcW w:w="960" w:type="dxa"/>
            <w:shd w:val="clear" w:color="auto" w:fill="1E3D6B"/>
            <w:vAlign w:val="center"/>
            <w:hideMark/>
          </w:tcPr>
          <w:p w14:paraId="079E0B42"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bookmarkStart w:id="616" w:name="Title_A22a"/>
            <w:bookmarkEnd w:id="616"/>
            <w:r w:rsidRPr="00545C7F">
              <w:rPr>
                <w:rFonts w:eastAsia="Times New Roman" w:cstheme="minorHAnsi"/>
                <w:b/>
                <w:bCs/>
                <w:color w:val="FFFFFF" w:themeColor="background2"/>
                <w:sz w:val="20"/>
                <w:szCs w:val="20"/>
                <w:lang w:eastAsia="en-AU"/>
              </w:rPr>
              <w:t>Days</w:t>
            </w:r>
          </w:p>
        </w:tc>
        <w:tc>
          <w:tcPr>
            <w:tcW w:w="1323" w:type="dxa"/>
            <w:shd w:val="clear" w:color="auto" w:fill="1E3D6B"/>
            <w:vAlign w:val="center"/>
            <w:hideMark/>
          </w:tcPr>
          <w:p w14:paraId="5522A2E4"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1</w:t>
            </w:r>
            <w:r w:rsidRPr="00545C7F">
              <w:rPr>
                <w:rFonts w:eastAsia="Times New Roman" w:cstheme="minorHAnsi"/>
                <w:b/>
                <w:bCs/>
                <w:color w:val="FFFFFF" w:themeColor="background2"/>
                <w:sz w:val="20"/>
                <w:szCs w:val="20"/>
                <w:lang w:eastAsia="en-AU"/>
              </w:rPr>
              <w:br/>
              <w:t>Not RapidConnect</w:t>
            </w:r>
          </w:p>
        </w:tc>
        <w:tc>
          <w:tcPr>
            <w:tcW w:w="1373" w:type="dxa"/>
            <w:shd w:val="clear" w:color="auto" w:fill="1E3D6B"/>
            <w:vAlign w:val="center"/>
            <w:hideMark/>
          </w:tcPr>
          <w:p w14:paraId="2CCFDC59"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1</w:t>
            </w:r>
            <w:r w:rsidRPr="00545C7F">
              <w:rPr>
                <w:rFonts w:eastAsia="Times New Roman" w:cstheme="minorHAnsi"/>
                <w:b/>
                <w:bCs/>
                <w:color w:val="FFFFFF" w:themeColor="background2"/>
                <w:sz w:val="20"/>
                <w:szCs w:val="20"/>
                <w:lang w:eastAsia="en-AU"/>
              </w:rPr>
              <w:br/>
              <w:t>RapidConnect</w:t>
            </w:r>
          </w:p>
        </w:tc>
        <w:tc>
          <w:tcPr>
            <w:tcW w:w="1412" w:type="dxa"/>
            <w:shd w:val="clear" w:color="auto" w:fill="1E3D6B"/>
            <w:vAlign w:val="center"/>
            <w:hideMark/>
          </w:tcPr>
          <w:p w14:paraId="3D44FBCD"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2</w:t>
            </w:r>
            <w:r w:rsidRPr="00545C7F">
              <w:rPr>
                <w:rFonts w:eastAsia="Times New Roman" w:cstheme="minorHAnsi"/>
                <w:b/>
                <w:bCs/>
                <w:color w:val="FFFFFF" w:themeColor="background2"/>
                <w:sz w:val="20"/>
                <w:szCs w:val="20"/>
                <w:lang w:eastAsia="en-AU"/>
              </w:rPr>
              <w:br/>
              <w:t>Not RapidConnect</w:t>
            </w:r>
          </w:p>
        </w:tc>
        <w:tc>
          <w:tcPr>
            <w:tcW w:w="1418" w:type="dxa"/>
            <w:shd w:val="clear" w:color="auto" w:fill="1E3D6B"/>
            <w:vAlign w:val="center"/>
            <w:hideMark/>
          </w:tcPr>
          <w:p w14:paraId="1A7CCD87"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2</w:t>
            </w:r>
            <w:r w:rsidRPr="00545C7F">
              <w:rPr>
                <w:rFonts w:eastAsia="Times New Roman" w:cstheme="minorHAnsi"/>
                <w:b/>
                <w:bCs/>
                <w:color w:val="FFFFFF" w:themeColor="background2"/>
                <w:sz w:val="20"/>
                <w:szCs w:val="20"/>
                <w:lang w:eastAsia="en-AU"/>
              </w:rPr>
              <w:br/>
              <w:t>RapidConnect</w:t>
            </w:r>
          </w:p>
        </w:tc>
        <w:tc>
          <w:tcPr>
            <w:tcW w:w="1500" w:type="dxa"/>
            <w:shd w:val="clear" w:color="auto" w:fill="1E3D6B"/>
            <w:vAlign w:val="center"/>
            <w:hideMark/>
          </w:tcPr>
          <w:p w14:paraId="40E576A8"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3</w:t>
            </w:r>
            <w:r w:rsidRPr="00545C7F">
              <w:rPr>
                <w:rFonts w:eastAsia="Times New Roman" w:cstheme="minorHAnsi"/>
                <w:b/>
                <w:bCs/>
                <w:color w:val="FFFFFF" w:themeColor="background2"/>
                <w:sz w:val="20"/>
                <w:szCs w:val="20"/>
                <w:lang w:eastAsia="en-AU"/>
              </w:rPr>
              <w:br/>
              <w:t>Not RapidConnect</w:t>
            </w:r>
          </w:p>
        </w:tc>
        <w:tc>
          <w:tcPr>
            <w:tcW w:w="1373" w:type="dxa"/>
            <w:shd w:val="clear" w:color="auto" w:fill="1E3D6B"/>
            <w:vAlign w:val="center"/>
            <w:hideMark/>
          </w:tcPr>
          <w:p w14:paraId="3E05D0DD"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3</w:t>
            </w:r>
            <w:r w:rsidRPr="00545C7F">
              <w:rPr>
                <w:rFonts w:eastAsia="Times New Roman" w:cstheme="minorHAnsi"/>
                <w:b/>
                <w:bCs/>
                <w:color w:val="FFFFFF" w:themeColor="background2"/>
                <w:sz w:val="20"/>
                <w:szCs w:val="20"/>
                <w:lang w:eastAsia="en-AU"/>
              </w:rPr>
              <w:br/>
              <w:t>RapidConnect</w:t>
            </w:r>
          </w:p>
        </w:tc>
        <w:tc>
          <w:tcPr>
            <w:tcW w:w="1379" w:type="dxa"/>
            <w:shd w:val="clear" w:color="auto" w:fill="1E3D6B"/>
            <w:vAlign w:val="center"/>
            <w:hideMark/>
          </w:tcPr>
          <w:p w14:paraId="002A9338"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4</w:t>
            </w:r>
            <w:r w:rsidRPr="00545C7F">
              <w:rPr>
                <w:rFonts w:eastAsia="Times New Roman" w:cstheme="minorHAnsi"/>
                <w:b/>
                <w:bCs/>
                <w:color w:val="FFFFFF" w:themeColor="background2"/>
                <w:sz w:val="20"/>
                <w:szCs w:val="20"/>
                <w:lang w:eastAsia="en-AU"/>
              </w:rPr>
              <w:br/>
              <w:t>Not RapidConnect</w:t>
            </w:r>
          </w:p>
        </w:tc>
        <w:tc>
          <w:tcPr>
            <w:tcW w:w="1326" w:type="dxa"/>
            <w:shd w:val="clear" w:color="auto" w:fill="1E3D6B"/>
            <w:vAlign w:val="center"/>
            <w:hideMark/>
          </w:tcPr>
          <w:p w14:paraId="7C5E7227"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4</w:t>
            </w:r>
            <w:r w:rsidRPr="00545C7F">
              <w:rPr>
                <w:rFonts w:eastAsia="Times New Roman" w:cstheme="minorHAnsi"/>
                <w:b/>
                <w:bCs/>
                <w:color w:val="FFFFFF" w:themeColor="background2"/>
                <w:sz w:val="20"/>
                <w:szCs w:val="20"/>
                <w:lang w:eastAsia="en-AU"/>
              </w:rPr>
              <w:br/>
              <w:t>RapidConnect</w:t>
            </w:r>
          </w:p>
        </w:tc>
        <w:tc>
          <w:tcPr>
            <w:tcW w:w="1276" w:type="dxa"/>
            <w:shd w:val="clear" w:color="auto" w:fill="1E3D6B"/>
            <w:vAlign w:val="center"/>
            <w:hideMark/>
          </w:tcPr>
          <w:p w14:paraId="4E4E45D1"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Total</w:t>
            </w:r>
            <w:r w:rsidRPr="00545C7F">
              <w:rPr>
                <w:rFonts w:eastAsia="Times New Roman" w:cstheme="minorHAnsi"/>
                <w:b/>
                <w:bCs/>
                <w:color w:val="FFFFFF" w:themeColor="background2"/>
                <w:sz w:val="20"/>
                <w:szCs w:val="20"/>
                <w:lang w:eastAsia="en-AU"/>
              </w:rPr>
              <w:br/>
              <w:t>Not RapidConnect</w:t>
            </w:r>
          </w:p>
        </w:tc>
        <w:tc>
          <w:tcPr>
            <w:tcW w:w="1276" w:type="dxa"/>
            <w:shd w:val="clear" w:color="auto" w:fill="1E3D6B"/>
            <w:vAlign w:val="center"/>
            <w:hideMark/>
          </w:tcPr>
          <w:p w14:paraId="2BD950B3"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Total</w:t>
            </w:r>
            <w:r w:rsidRPr="00545C7F">
              <w:rPr>
                <w:rFonts w:eastAsia="Times New Roman" w:cstheme="minorHAnsi"/>
                <w:b/>
                <w:bCs/>
                <w:color w:val="FFFFFF" w:themeColor="background2"/>
                <w:sz w:val="20"/>
                <w:szCs w:val="20"/>
                <w:lang w:eastAsia="en-AU"/>
              </w:rPr>
              <w:br/>
              <w:t>RapidConnect</w:t>
            </w:r>
          </w:p>
        </w:tc>
      </w:tr>
      <w:tr w:rsidR="00961617" w:rsidRPr="00545C7F" w14:paraId="0AE3ACD7" w14:textId="77777777" w:rsidTr="0020771F">
        <w:trPr>
          <w:trHeight w:hRule="exact" w:val="284"/>
        </w:trPr>
        <w:tc>
          <w:tcPr>
            <w:tcW w:w="960" w:type="dxa"/>
            <w:tcBorders>
              <w:left w:val="nil"/>
              <w:bottom w:val="nil"/>
              <w:right w:val="nil"/>
            </w:tcBorders>
            <w:shd w:val="clear" w:color="auto" w:fill="auto"/>
            <w:noWrap/>
            <w:vAlign w:val="center"/>
            <w:hideMark/>
          </w:tcPr>
          <w:p w14:paraId="64A7FD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323" w:type="dxa"/>
            <w:tcBorders>
              <w:left w:val="nil"/>
              <w:bottom w:val="nil"/>
              <w:right w:val="nil"/>
            </w:tcBorders>
            <w:shd w:val="clear" w:color="auto" w:fill="auto"/>
            <w:noWrap/>
            <w:vAlign w:val="center"/>
            <w:hideMark/>
          </w:tcPr>
          <w:p w14:paraId="1BBBE1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373" w:type="dxa"/>
            <w:tcBorders>
              <w:left w:val="nil"/>
              <w:bottom w:val="nil"/>
              <w:right w:val="nil"/>
            </w:tcBorders>
            <w:shd w:val="clear" w:color="auto" w:fill="auto"/>
            <w:noWrap/>
            <w:vAlign w:val="center"/>
            <w:hideMark/>
          </w:tcPr>
          <w:p w14:paraId="11C18E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2" w:type="dxa"/>
            <w:tcBorders>
              <w:left w:val="nil"/>
              <w:bottom w:val="nil"/>
              <w:right w:val="nil"/>
            </w:tcBorders>
            <w:shd w:val="clear" w:color="auto" w:fill="auto"/>
            <w:noWrap/>
            <w:vAlign w:val="center"/>
            <w:hideMark/>
          </w:tcPr>
          <w:p w14:paraId="4992AB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8" w:type="dxa"/>
            <w:tcBorders>
              <w:left w:val="nil"/>
              <w:bottom w:val="nil"/>
              <w:right w:val="nil"/>
            </w:tcBorders>
            <w:shd w:val="clear" w:color="auto" w:fill="auto"/>
            <w:noWrap/>
            <w:vAlign w:val="center"/>
            <w:hideMark/>
          </w:tcPr>
          <w:p w14:paraId="1ACCE0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00" w:type="dxa"/>
            <w:tcBorders>
              <w:left w:val="nil"/>
              <w:bottom w:val="nil"/>
              <w:right w:val="nil"/>
            </w:tcBorders>
            <w:shd w:val="clear" w:color="auto" w:fill="auto"/>
            <w:noWrap/>
            <w:vAlign w:val="center"/>
            <w:hideMark/>
          </w:tcPr>
          <w:p w14:paraId="40CC53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373" w:type="dxa"/>
            <w:tcBorders>
              <w:left w:val="nil"/>
              <w:bottom w:val="nil"/>
              <w:right w:val="nil"/>
            </w:tcBorders>
            <w:shd w:val="clear" w:color="auto" w:fill="auto"/>
            <w:noWrap/>
            <w:vAlign w:val="center"/>
            <w:hideMark/>
          </w:tcPr>
          <w:p w14:paraId="799A21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379" w:type="dxa"/>
            <w:tcBorders>
              <w:left w:val="nil"/>
              <w:bottom w:val="nil"/>
              <w:right w:val="nil"/>
            </w:tcBorders>
            <w:shd w:val="clear" w:color="auto" w:fill="auto"/>
            <w:noWrap/>
            <w:vAlign w:val="center"/>
            <w:hideMark/>
          </w:tcPr>
          <w:p w14:paraId="2913D6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326" w:type="dxa"/>
            <w:tcBorders>
              <w:left w:val="nil"/>
              <w:bottom w:val="nil"/>
              <w:right w:val="nil"/>
            </w:tcBorders>
            <w:shd w:val="clear" w:color="auto" w:fill="auto"/>
            <w:noWrap/>
            <w:vAlign w:val="center"/>
            <w:hideMark/>
          </w:tcPr>
          <w:p w14:paraId="7925BE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tcBorders>
              <w:left w:val="nil"/>
              <w:bottom w:val="nil"/>
              <w:right w:val="nil"/>
            </w:tcBorders>
            <w:shd w:val="clear" w:color="auto" w:fill="auto"/>
            <w:noWrap/>
            <w:vAlign w:val="center"/>
            <w:hideMark/>
          </w:tcPr>
          <w:p w14:paraId="3817E6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tcBorders>
              <w:left w:val="nil"/>
              <w:bottom w:val="nil"/>
              <w:right w:val="nil"/>
            </w:tcBorders>
            <w:shd w:val="clear" w:color="auto" w:fill="auto"/>
            <w:noWrap/>
            <w:vAlign w:val="center"/>
            <w:hideMark/>
          </w:tcPr>
          <w:p w14:paraId="07E22CF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6ABB955B"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B6A74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323" w:type="dxa"/>
            <w:tcBorders>
              <w:top w:val="nil"/>
              <w:left w:val="nil"/>
              <w:bottom w:val="nil"/>
              <w:right w:val="nil"/>
            </w:tcBorders>
            <w:shd w:val="clear" w:color="auto" w:fill="E5E5E5" w:themeFill="background1" w:themeFillTint="33"/>
            <w:noWrap/>
            <w:vAlign w:val="center"/>
            <w:hideMark/>
          </w:tcPr>
          <w:p w14:paraId="1E1439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11.54</w:t>
            </w:r>
          </w:p>
        </w:tc>
        <w:tc>
          <w:tcPr>
            <w:tcW w:w="1373" w:type="dxa"/>
            <w:tcBorders>
              <w:top w:val="nil"/>
              <w:left w:val="nil"/>
              <w:bottom w:val="nil"/>
              <w:right w:val="nil"/>
            </w:tcBorders>
            <w:shd w:val="clear" w:color="auto" w:fill="E5E5E5" w:themeFill="background1" w:themeFillTint="33"/>
            <w:noWrap/>
            <w:vAlign w:val="center"/>
            <w:hideMark/>
          </w:tcPr>
          <w:p w14:paraId="08F982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12.24</w:t>
            </w:r>
          </w:p>
        </w:tc>
        <w:tc>
          <w:tcPr>
            <w:tcW w:w="1412" w:type="dxa"/>
            <w:tcBorders>
              <w:top w:val="nil"/>
              <w:left w:val="nil"/>
              <w:bottom w:val="nil"/>
              <w:right w:val="nil"/>
            </w:tcBorders>
            <w:shd w:val="clear" w:color="auto" w:fill="E5E5E5" w:themeFill="background1" w:themeFillTint="33"/>
            <w:noWrap/>
            <w:vAlign w:val="center"/>
            <w:hideMark/>
          </w:tcPr>
          <w:p w14:paraId="670C6D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14.27</w:t>
            </w:r>
          </w:p>
        </w:tc>
        <w:tc>
          <w:tcPr>
            <w:tcW w:w="1418" w:type="dxa"/>
            <w:tcBorders>
              <w:top w:val="nil"/>
              <w:left w:val="nil"/>
              <w:bottom w:val="nil"/>
              <w:right w:val="nil"/>
            </w:tcBorders>
            <w:shd w:val="clear" w:color="auto" w:fill="E5E5E5" w:themeFill="background1" w:themeFillTint="33"/>
            <w:noWrap/>
            <w:vAlign w:val="center"/>
            <w:hideMark/>
          </w:tcPr>
          <w:p w14:paraId="62D592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15.49</w:t>
            </w:r>
          </w:p>
        </w:tc>
        <w:tc>
          <w:tcPr>
            <w:tcW w:w="1500" w:type="dxa"/>
            <w:tcBorders>
              <w:top w:val="nil"/>
              <w:left w:val="nil"/>
              <w:bottom w:val="nil"/>
              <w:right w:val="nil"/>
            </w:tcBorders>
            <w:shd w:val="clear" w:color="auto" w:fill="E5E5E5" w:themeFill="background1" w:themeFillTint="33"/>
            <w:noWrap/>
            <w:vAlign w:val="center"/>
            <w:hideMark/>
          </w:tcPr>
          <w:p w14:paraId="364FCB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18.67</w:t>
            </w:r>
          </w:p>
        </w:tc>
        <w:tc>
          <w:tcPr>
            <w:tcW w:w="1373" w:type="dxa"/>
            <w:tcBorders>
              <w:top w:val="nil"/>
              <w:left w:val="nil"/>
              <w:bottom w:val="nil"/>
              <w:right w:val="nil"/>
            </w:tcBorders>
            <w:shd w:val="clear" w:color="auto" w:fill="E5E5E5" w:themeFill="background1" w:themeFillTint="33"/>
            <w:noWrap/>
            <w:vAlign w:val="center"/>
            <w:hideMark/>
          </w:tcPr>
          <w:p w14:paraId="2E36D1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21.35</w:t>
            </w:r>
          </w:p>
        </w:tc>
        <w:tc>
          <w:tcPr>
            <w:tcW w:w="1379" w:type="dxa"/>
            <w:tcBorders>
              <w:top w:val="nil"/>
              <w:left w:val="nil"/>
              <w:bottom w:val="nil"/>
              <w:right w:val="nil"/>
            </w:tcBorders>
            <w:shd w:val="clear" w:color="auto" w:fill="E5E5E5" w:themeFill="background1" w:themeFillTint="33"/>
            <w:noWrap/>
            <w:vAlign w:val="center"/>
            <w:hideMark/>
          </w:tcPr>
          <w:p w14:paraId="0807E3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14.23</w:t>
            </w:r>
          </w:p>
        </w:tc>
        <w:tc>
          <w:tcPr>
            <w:tcW w:w="1326" w:type="dxa"/>
            <w:tcBorders>
              <w:top w:val="nil"/>
              <w:left w:val="nil"/>
              <w:bottom w:val="nil"/>
              <w:right w:val="nil"/>
            </w:tcBorders>
            <w:shd w:val="clear" w:color="auto" w:fill="E5E5E5" w:themeFill="background1" w:themeFillTint="33"/>
            <w:noWrap/>
            <w:vAlign w:val="center"/>
            <w:hideMark/>
          </w:tcPr>
          <w:p w14:paraId="31C069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21.12</w:t>
            </w:r>
          </w:p>
        </w:tc>
        <w:tc>
          <w:tcPr>
            <w:tcW w:w="1276" w:type="dxa"/>
            <w:tcBorders>
              <w:top w:val="nil"/>
              <w:left w:val="nil"/>
              <w:bottom w:val="nil"/>
              <w:right w:val="nil"/>
            </w:tcBorders>
            <w:shd w:val="clear" w:color="auto" w:fill="E5E5E5" w:themeFill="background1" w:themeFillTint="33"/>
            <w:noWrap/>
            <w:vAlign w:val="center"/>
            <w:hideMark/>
          </w:tcPr>
          <w:p w14:paraId="3D8E8D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13.04</w:t>
            </w:r>
          </w:p>
        </w:tc>
        <w:tc>
          <w:tcPr>
            <w:tcW w:w="1276" w:type="dxa"/>
            <w:tcBorders>
              <w:top w:val="nil"/>
              <w:left w:val="nil"/>
              <w:bottom w:val="nil"/>
              <w:right w:val="nil"/>
            </w:tcBorders>
            <w:shd w:val="clear" w:color="auto" w:fill="E5E5E5" w:themeFill="background1" w:themeFillTint="33"/>
            <w:noWrap/>
            <w:vAlign w:val="center"/>
            <w:hideMark/>
          </w:tcPr>
          <w:p w14:paraId="20C6190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12.60</w:t>
            </w:r>
          </w:p>
        </w:tc>
      </w:tr>
      <w:tr w:rsidR="00961617" w:rsidRPr="00545C7F" w14:paraId="32FFFE3D" w14:textId="77777777" w:rsidTr="0020771F">
        <w:trPr>
          <w:trHeight w:hRule="exact" w:val="284"/>
        </w:trPr>
        <w:tc>
          <w:tcPr>
            <w:tcW w:w="960" w:type="dxa"/>
            <w:tcBorders>
              <w:top w:val="nil"/>
              <w:left w:val="nil"/>
              <w:bottom w:val="nil"/>
              <w:right w:val="nil"/>
            </w:tcBorders>
            <w:shd w:val="clear" w:color="auto" w:fill="auto"/>
            <w:noWrap/>
            <w:vAlign w:val="center"/>
            <w:hideMark/>
          </w:tcPr>
          <w:p w14:paraId="395DC6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323" w:type="dxa"/>
            <w:tcBorders>
              <w:top w:val="nil"/>
              <w:left w:val="nil"/>
              <w:bottom w:val="nil"/>
              <w:right w:val="nil"/>
            </w:tcBorders>
            <w:shd w:val="clear" w:color="auto" w:fill="auto"/>
            <w:noWrap/>
            <w:vAlign w:val="center"/>
            <w:hideMark/>
          </w:tcPr>
          <w:p w14:paraId="5D954C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20.79</w:t>
            </w:r>
          </w:p>
        </w:tc>
        <w:tc>
          <w:tcPr>
            <w:tcW w:w="1373" w:type="dxa"/>
            <w:tcBorders>
              <w:top w:val="nil"/>
              <w:left w:val="nil"/>
              <w:bottom w:val="nil"/>
              <w:right w:val="nil"/>
            </w:tcBorders>
            <w:shd w:val="clear" w:color="auto" w:fill="auto"/>
            <w:noWrap/>
            <w:vAlign w:val="center"/>
            <w:hideMark/>
          </w:tcPr>
          <w:p w14:paraId="439685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47.48</w:t>
            </w:r>
          </w:p>
        </w:tc>
        <w:tc>
          <w:tcPr>
            <w:tcW w:w="1412" w:type="dxa"/>
            <w:tcBorders>
              <w:top w:val="nil"/>
              <w:left w:val="nil"/>
              <w:bottom w:val="nil"/>
              <w:right w:val="nil"/>
            </w:tcBorders>
            <w:shd w:val="clear" w:color="auto" w:fill="auto"/>
            <w:noWrap/>
            <w:vAlign w:val="center"/>
            <w:hideMark/>
          </w:tcPr>
          <w:p w14:paraId="0080CE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23.01</w:t>
            </w:r>
          </w:p>
        </w:tc>
        <w:tc>
          <w:tcPr>
            <w:tcW w:w="1418" w:type="dxa"/>
            <w:tcBorders>
              <w:top w:val="nil"/>
              <w:left w:val="nil"/>
              <w:bottom w:val="nil"/>
              <w:right w:val="nil"/>
            </w:tcBorders>
            <w:shd w:val="clear" w:color="auto" w:fill="auto"/>
            <w:noWrap/>
            <w:vAlign w:val="center"/>
            <w:hideMark/>
          </w:tcPr>
          <w:p w14:paraId="6891BB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43.90</w:t>
            </w:r>
          </w:p>
        </w:tc>
        <w:tc>
          <w:tcPr>
            <w:tcW w:w="1500" w:type="dxa"/>
            <w:tcBorders>
              <w:top w:val="nil"/>
              <w:left w:val="nil"/>
              <w:bottom w:val="nil"/>
              <w:right w:val="nil"/>
            </w:tcBorders>
            <w:shd w:val="clear" w:color="auto" w:fill="auto"/>
            <w:noWrap/>
            <w:vAlign w:val="center"/>
            <w:hideMark/>
          </w:tcPr>
          <w:p w14:paraId="39D1B2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28.29</w:t>
            </w:r>
          </w:p>
        </w:tc>
        <w:tc>
          <w:tcPr>
            <w:tcW w:w="1373" w:type="dxa"/>
            <w:tcBorders>
              <w:top w:val="nil"/>
              <w:left w:val="nil"/>
              <w:bottom w:val="nil"/>
              <w:right w:val="nil"/>
            </w:tcBorders>
            <w:shd w:val="clear" w:color="auto" w:fill="auto"/>
            <w:noWrap/>
            <w:vAlign w:val="center"/>
            <w:hideMark/>
          </w:tcPr>
          <w:p w14:paraId="3CAF32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48.80</w:t>
            </w:r>
          </w:p>
        </w:tc>
        <w:tc>
          <w:tcPr>
            <w:tcW w:w="1379" w:type="dxa"/>
            <w:tcBorders>
              <w:top w:val="nil"/>
              <w:left w:val="nil"/>
              <w:bottom w:val="nil"/>
              <w:right w:val="nil"/>
            </w:tcBorders>
            <w:shd w:val="clear" w:color="auto" w:fill="auto"/>
            <w:noWrap/>
            <w:vAlign w:val="center"/>
            <w:hideMark/>
          </w:tcPr>
          <w:p w14:paraId="284003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15.82</w:t>
            </w:r>
          </w:p>
        </w:tc>
        <w:tc>
          <w:tcPr>
            <w:tcW w:w="1326" w:type="dxa"/>
            <w:tcBorders>
              <w:top w:val="nil"/>
              <w:left w:val="nil"/>
              <w:bottom w:val="nil"/>
              <w:right w:val="nil"/>
            </w:tcBorders>
            <w:shd w:val="clear" w:color="auto" w:fill="auto"/>
            <w:noWrap/>
            <w:vAlign w:val="center"/>
            <w:hideMark/>
          </w:tcPr>
          <w:p w14:paraId="3ADEF1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50.00</w:t>
            </w:r>
          </w:p>
        </w:tc>
        <w:tc>
          <w:tcPr>
            <w:tcW w:w="1276" w:type="dxa"/>
            <w:tcBorders>
              <w:top w:val="nil"/>
              <w:left w:val="nil"/>
              <w:bottom w:val="nil"/>
              <w:right w:val="nil"/>
            </w:tcBorders>
            <w:shd w:val="clear" w:color="auto" w:fill="auto"/>
            <w:noWrap/>
            <w:vAlign w:val="center"/>
            <w:hideMark/>
          </w:tcPr>
          <w:p w14:paraId="15EDD6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21.75</w:t>
            </w:r>
          </w:p>
        </w:tc>
        <w:tc>
          <w:tcPr>
            <w:tcW w:w="1276" w:type="dxa"/>
            <w:tcBorders>
              <w:top w:val="nil"/>
              <w:left w:val="nil"/>
              <w:bottom w:val="nil"/>
              <w:right w:val="nil"/>
            </w:tcBorders>
            <w:shd w:val="clear" w:color="auto" w:fill="auto"/>
            <w:noWrap/>
            <w:vAlign w:val="center"/>
            <w:hideMark/>
          </w:tcPr>
          <w:p w14:paraId="605188F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47.21</w:t>
            </w:r>
          </w:p>
        </w:tc>
      </w:tr>
      <w:tr w:rsidR="00961617" w:rsidRPr="00545C7F" w14:paraId="48B52962"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1C93E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323" w:type="dxa"/>
            <w:tcBorders>
              <w:top w:val="nil"/>
              <w:left w:val="nil"/>
              <w:bottom w:val="nil"/>
              <w:right w:val="nil"/>
            </w:tcBorders>
            <w:shd w:val="clear" w:color="auto" w:fill="E5E5E5" w:themeFill="background1" w:themeFillTint="33"/>
            <w:noWrap/>
            <w:vAlign w:val="center"/>
            <w:hideMark/>
          </w:tcPr>
          <w:p w14:paraId="407C2E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25.40</w:t>
            </w:r>
          </w:p>
        </w:tc>
        <w:tc>
          <w:tcPr>
            <w:tcW w:w="1373" w:type="dxa"/>
            <w:tcBorders>
              <w:top w:val="nil"/>
              <w:left w:val="nil"/>
              <w:bottom w:val="nil"/>
              <w:right w:val="nil"/>
            </w:tcBorders>
            <w:shd w:val="clear" w:color="auto" w:fill="E5E5E5" w:themeFill="background1" w:themeFillTint="33"/>
            <w:noWrap/>
            <w:vAlign w:val="center"/>
            <w:hideMark/>
          </w:tcPr>
          <w:p w14:paraId="771466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60.92</w:t>
            </w:r>
          </w:p>
        </w:tc>
        <w:tc>
          <w:tcPr>
            <w:tcW w:w="1412" w:type="dxa"/>
            <w:tcBorders>
              <w:top w:val="nil"/>
              <w:left w:val="nil"/>
              <w:bottom w:val="nil"/>
              <w:right w:val="nil"/>
            </w:tcBorders>
            <w:shd w:val="clear" w:color="auto" w:fill="E5E5E5" w:themeFill="background1" w:themeFillTint="33"/>
            <w:noWrap/>
            <w:vAlign w:val="center"/>
            <w:hideMark/>
          </w:tcPr>
          <w:p w14:paraId="64A9F1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28.01</w:t>
            </w:r>
          </w:p>
        </w:tc>
        <w:tc>
          <w:tcPr>
            <w:tcW w:w="1418" w:type="dxa"/>
            <w:tcBorders>
              <w:top w:val="nil"/>
              <w:left w:val="nil"/>
              <w:bottom w:val="nil"/>
              <w:right w:val="nil"/>
            </w:tcBorders>
            <w:shd w:val="clear" w:color="auto" w:fill="E5E5E5" w:themeFill="background1" w:themeFillTint="33"/>
            <w:noWrap/>
            <w:vAlign w:val="center"/>
            <w:hideMark/>
          </w:tcPr>
          <w:p w14:paraId="66A6C6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56.55</w:t>
            </w:r>
          </w:p>
        </w:tc>
        <w:tc>
          <w:tcPr>
            <w:tcW w:w="1500" w:type="dxa"/>
            <w:tcBorders>
              <w:top w:val="nil"/>
              <w:left w:val="nil"/>
              <w:bottom w:val="nil"/>
              <w:right w:val="nil"/>
            </w:tcBorders>
            <w:shd w:val="clear" w:color="auto" w:fill="E5E5E5" w:themeFill="background1" w:themeFillTint="33"/>
            <w:noWrap/>
            <w:vAlign w:val="center"/>
            <w:hideMark/>
          </w:tcPr>
          <w:p w14:paraId="2712C0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33.68</w:t>
            </w:r>
          </w:p>
        </w:tc>
        <w:tc>
          <w:tcPr>
            <w:tcW w:w="1373" w:type="dxa"/>
            <w:tcBorders>
              <w:top w:val="nil"/>
              <w:left w:val="nil"/>
              <w:bottom w:val="nil"/>
              <w:right w:val="nil"/>
            </w:tcBorders>
            <w:shd w:val="clear" w:color="auto" w:fill="E5E5E5" w:themeFill="background1" w:themeFillTint="33"/>
            <w:noWrap/>
            <w:vAlign w:val="center"/>
            <w:hideMark/>
          </w:tcPr>
          <w:p w14:paraId="15694B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60.89</w:t>
            </w:r>
          </w:p>
        </w:tc>
        <w:tc>
          <w:tcPr>
            <w:tcW w:w="1379" w:type="dxa"/>
            <w:tcBorders>
              <w:top w:val="nil"/>
              <w:left w:val="nil"/>
              <w:bottom w:val="nil"/>
              <w:right w:val="nil"/>
            </w:tcBorders>
            <w:shd w:val="clear" w:color="auto" w:fill="E5E5E5" w:themeFill="background1" w:themeFillTint="33"/>
            <w:noWrap/>
            <w:vAlign w:val="center"/>
            <w:hideMark/>
          </w:tcPr>
          <w:p w14:paraId="038175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16.90</w:t>
            </w:r>
          </w:p>
        </w:tc>
        <w:tc>
          <w:tcPr>
            <w:tcW w:w="1326" w:type="dxa"/>
            <w:tcBorders>
              <w:top w:val="nil"/>
              <w:left w:val="nil"/>
              <w:bottom w:val="nil"/>
              <w:right w:val="nil"/>
            </w:tcBorders>
            <w:shd w:val="clear" w:color="auto" w:fill="E5E5E5" w:themeFill="background1" w:themeFillTint="33"/>
            <w:noWrap/>
            <w:vAlign w:val="center"/>
            <w:hideMark/>
          </w:tcPr>
          <w:p w14:paraId="18956F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58.19</w:t>
            </w:r>
          </w:p>
        </w:tc>
        <w:tc>
          <w:tcPr>
            <w:tcW w:w="1276" w:type="dxa"/>
            <w:tcBorders>
              <w:top w:val="nil"/>
              <w:left w:val="nil"/>
              <w:bottom w:val="nil"/>
              <w:right w:val="nil"/>
            </w:tcBorders>
            <w:shd w:val="clear" w:color="auto" w:fill="E5E5E5" w:themeFill="background1" w:themeFillTint="33"/>
            <w:noWrap/>
            <w:vAlign w:val="center"/>
            <w:hideMark/>
          </w:tcPr>
          <w:p w14:paraId="37ECAE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26.34</w:t>
            </w:r>
          </w:p>
        </w:tc>
        <w:tc>
          <w:tcPr>
            <w:tcW w:w="1276" w:type="dxa"/>
            <w:tcBorders>
              <w:top w:val="nil"/>
              <w:left w:val="nil"/>
              <w:bottom w:val="nil"/>
              <w:right w:val="nil"/>
            </w:tcBorders>
            <w:shd w:val="clear" w:color="auto" w:fill="E5E5E5" w:themeFill="background1" w:themeFillTint="33"/>
            <w:noWrap/>
            <w:vAlign w:val="center"/>
            <w:hideMark/>
          </w:tcPr>
          <w:p w14:paraId="0DF9F192"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60.55</w:t>
            </w:r>
          </w:p>
        </w:tc>
      </w:tr>
      <w:tr w:rsidR="00961617" w:rsidRPr="00545C7F" w14:paraId="4D49A7EE" w14:textId="77777777" w:rsidTr="0020771F">
        <w:trPr>
          <w:trHeight w:hRule="exact" w:val="284"/>
        </w:trPr>
        <w:tc>
          <w:tcPr>
            <w:tcW w:w="960" w:type="dxa"/>
            <w:tcBorders>
              <w:top w:val="nil"/>
              <w:left w:val="nil"/>
              <w:bottom w:val="nil"/>
              <w:right w:val="nil"/>
            </w:tcBorders>
            <w:shd w:val="clear" w:color="auto" w:fill="auto"/>
            <w:noWrap/>
            <w:vAlign w:val="center"/>
            <w:hideMark/>
          </w:tcPr>
          <w:p w14:paraId="690169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323" w:type="dxa"/>
            <w:tcBorders>
              <w:top w:val="nil"/>
              <w:left w:val="nil"/>
              <w:bottom w:val="nil"/>
              <w:right w:val="nil"/>
            </w:tcBorders>
            <w:shd w:val="clear" w:color="auto" w:fill="auto"/>
            <w:noWrap/>
            <w:vAlign w:val="center"/>
            <w:hideMark/>
          </w:tcPr>
          <w:p w14:paraId="7627C0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29.82</w:t>
            </w:r>
          </w:p>
        </w:tc>
        <w:tc>
          <w:tcPr>
            <w:tcW w:w="1373" w:type="dxa"/>
            <w:tcBorders>
              <w:top w:val="nil"/>
              <w:left w:val="nil"/>
              <w:bottom w:val="nil"/>
              <w:right w:val="nil"/>
            </w:tcBorders>
            <w:shd w:val="clear" w:color="auto" w:fill="auto"/>
            <w:noWrap/>
            <w:vAlign w:val="center"/>
            <w:hideMark/>
          </w:tcPr>
          <w:p w14:paraId="6DFEE8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71.96</w:t>
            </w:r>
          </w:p>
        </w:tc>
        <w:tc>
          <w:tcPr>
            <w:tcW w:w="1412" w:type="dxa"/>
            <w:tcBorders>
              <w:top w:val="nil"/>
              <w:left w:val="nil"/>
              <w:bottom w:val="nil"/>
              <w:right w:val="nil"/>
            </w:tcBorders>
            <w:shd w:val="clear" w:color="auto" w:fill="auto"/>
            <w:noWrap/>
            <w:vAlign w:val="center"/>
            <w:hideMark/>
          </w:tcPr>
          <w:p w14:paraId="67291D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32.35</w:t>
            </w:r>
          </w:p>
        </w:tc>
        <w:tc>
          <w:tcPr>
            <w:tcW w:w="1418" w:type="dxa"/>
            <w:tcBorders>
              <w:top w:val="nil"/>
              <w:left w:val="nil"/>
              <w:bottom w:val="nil"/>
              <w:right w:val="nil"/>
            </w:tcBorders>
            <w:shd w:val="clear" w:color="auto" w:fill="auto"/>
            <w:noWrap/>
            <w:vAlign w:val="center"/>
            <w:hideMark/>
          </w:tcPr>
          <w:p w14:paraId="2F553D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67.21</w:t>
            </w:r>
          </w:p>
        </w:tc>
        <w:tc>
          <w:tcPr>
            <w:tcW w:w="1500" w:type="dxa"/>
            <w:tcBorders>
              <w:top w:val="nil"/>
              <w:left w:val="nil"/>
              <w:bottom w:val="nil"/>
              <w:right w:val="nil"/>
            </w:tcBorders>
            <w:shd w:val="clear" w:color="auto" w:fill="auto"/>
            <w:noWrap/>
            <w:vAlign w:val="center"/>
            <w:hideMark/>
          </w:tcPr>
          <w:p w14:paraId="741EA8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38.36</w:t>
            </w:r>
          </w:p>
        </w:tc>
        <w:tc>
          <w:tcPr>
            <w:tcW w:w="1373" w:type="dxa"/>
            <w:tcBorders>
              <w:top w:val="nil"/>
              <w:left w:val="nil"/>
              <w:bottom w:val="nil"/>
              <w:right w:val="nil"/>
            </w:tcBorders>
            <w:shd w:val="clear" w:color="auto" w:fill="auto"/>
            <w:noWrap/>
            <w:vAlign w:val="center"/>
            <w:hideMark/>
          </w:tcPr>
          <w:p w14:paraId="572450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70.26</w:t>
            </w:r>
          </w:p>
        </w:tc>
        <w:tc>
          <w:tcPr>
            <w:tcW w:w="1379" w:type="dxa"/>
            <w:tcBorders>
              <w:top w:val="nil"/>
              <w:left w:val="nil"/>
              <w:bottom w:val="nil"/>
              <w:right w:val="nil"/>
            </w:tcBorders>
            <w:shd w:val="clear" w:color="auto" w:fill="auto"/>
            <w:noWrap/>
            <w:vAlign w:val="center"/>
            <w:hideMark/>
          </w:tcPr>
          <w:p w14:paraId="2727A0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17.84</w:t>
            </w:r>
          </w:p>
        </w:tc>
        <w:tc>
          <w:tcPr>
            <w:tcW w:w="1326" w:type="dxa"/>
            <w:tcBorders>
              <w:top w:val="nil"/>
              <w:left w:val="nil"/>
              <w:bottom w:val="nil"/>
              <w:right w:val="nil"/>
            </w:tcBorders>
            <w:shd w:val="clear" w:color="auto" w:fill="auto"/>
            <w:noWrap/>
            <w:vAlign w:val="center"/>
            <w:hideMark/>
          </w:tcPr>
          <w:p w14:paraId="3652EA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68.53</w:t>
            </w:r>
          </w:p>
        </w:tc>
        <w:tc>
          <w:tcPr>
            <w:tcW w:w="1276" w:type="dxa"/>
            <w:tcBorders>
              <w:top w:val="nil"/>
              <w:left w:val="nil"/>
              <w:bottom w:val="nil"/>
              <w:right w:val="nil"/>
            </w:tcBorders>
            <w:shd w:val="clear" w:color="auto" w:fill="auto"/>
            <w:noWrap/>
            <w:vAlign w:val="center"/>
            <w:hideMark/>
          </w:tcPr>
          <w:p w14:paraId="25EF44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30.56</w:t>
            </w:r>
          </w:p>
        </w:tc>
        <w:tc>
          <w:tcPr>
            <w:tcW w:w="1276" w:type="dxa"/>
            <w:tcBorders>
              <w:top w:val="nil"/>
              <w:left w:val="nil"/>
              <w:bottom w:val="nil"/>
              <w:right w:val="nil"/>
            </w:tcBorders>
            <w:shd w:val="clear" w:color="auto" w:fill="auto"/>
            <w:noWrap/>
            <w:vAlign w:val="center"/>
            <w:hideMark/>
          </w:tcPr>
          <w:p w14:paraId="67268F0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71.55</w:t>
            </w:r>
          </w:p>
        </w:tc>
      </w:tr>
      <w:tr w:rsidR="00961617" w:rsidRPr="00545C7F" w14:paraId="27E993B7"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DBC2B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323" w:type="dxa"/>
            <w:tcBorders>
              <w:top w:val="nil"/>
              <w:left w:val="nil"/>
              <w:bottom w:val="nil"/>
              <w:right w:val="nil"/>
            </w:tcBorders>
            <w:shd w:val="clear" w:color="auto" w:fill="E5E5E5" w:themeFill="background1" w:themeFillTint="33"/>
            <w:noWrap/>
            <w:vAlign w:val="center"/>
            <w:hideMark/>
          </w:tcPr>
          <w:p w14:paraId="56E294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33.38</w:t>
            </w:r>
          </w:p>
        </w:tc>
        <w:tc>
          <w:tcPr>
            <w:tcW w:w="1373" w:type="dxa"/>
            <w:tcBorders>
              <w:top w:val="nil"/>
              <w:left w:val="nil"/>
              <w:bottom w:val="nil"/>
              <w:right w:val="nil"/>
            </w:tcBorders>
            <w:shd w:val="clear" w:color="auto" w:fill="E5E5E5" w:themeFill="background1" w:themeFillTint="33"/>
            <w:noWrap/>
            <w:vAlign w:val="center"/>
            <w:hideMark/>
          </w:tcPr>
          <w:p w14:paraId="4D7A44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80.09</w:t>
            </w:r>
          </w:p>
        </w:tc>
        <w:tc>
          <w:tcPr>
            <w:tcW w:w="1412" w:type="dxa"/>
            <w:tcBorders>
              <w:top w:val="nil"/>
              <w:left w:val="nil"/>
              <w:bottom w:val="nil"/>
              <w:right w:val="nil"/>
            </w:tcBorders>
            <w:shd w:val="clear" w:color="auto" w:fill="E5E5E5" w:themeFill="background1" w:themeFillTint="33"/>
            <w:noWrap/>
            <w:vAlign w:val="center"/>
            <w:hideMark/>
          </w:tcPr>
          <w:p w14:paraId="66A9F6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35.84</w:t>
            </w:r>
          </w:p>
        </w:tc>
        <w:tc>
          <w:tcPr>
            <w:tcW w:w="1418" w:type="dxa"/>
            <w:tcBorders>
              <w:top w:val="nil"/>
              <w:left w:val="nil"/>
              <w:bottom w:val="nil"/>
              <w:right w:val="nil"/>
            </w:tcBorders>
            <w:shd w:val="clear" w:color="auto" w:fill="E5E5E5" w:themeFill="background1" w:themeFillTint="33"/>
            <w:noWrap/>
            <w:vAlign w:val="center"/>
            <w:hideMark/>
          </w:tcPr>
          <w:p w14:paraId="2155AE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74.80</w:t>
            </w:r>
          </w:p>
        </w:tc>
        <w:tc>
          <w:tcPr>
            <w:tcW w:w="1500" w:type="dxa"/>
            <w:tcBorders>
              <w:top w:val="nil"/>
              <w:left w:val="nil"/>
              <w:bottom w:val="nil"/>
              <w:right w:val="nil"/>
            </w:tcBorders>
            <w:shd w:val="clear" w:color="auto" w:fill="E5E5E5" w:themeFill="background1" w:themeFillTint="33"/>
            <w:noWrap/>
            <w:vAlign w:val="center"/>
            <w:hideMark/>
          </w:tcPr>
          <w:p w14:paraId="6F137C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42.33</w:t>
            </w:r>
          </w:p>
        </w:tc>
        <w:tc>
          <w:tcPr>
            <w:tcW w:w="1373" w:type="dxa"/>
            <w:tcBorders>
              <w:top w:val="nil"/>
              <w:left w:val="nil"/>
              <w:bottom w:val="nil"/>
              <w:right w:val="nil"/>
            </w:tcBorders>
            <w:shd w:val="clear" w:color="auto" w:fill="E5E5E5" w:themeFill="background1" w:themeFillTint="33"/>
            <w:noWrap/>
            <w:vAlign w:val="center"/>
            <w:hideMark/>
          </w:tcPr>
          <w:p w14:paraId="59AA6F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76.47</w:t>
            </w:r>
          </w:p>
        </w:tc>
        <w:tc>
          <w:tcPr>
            <w:tcW w:w="1379" w:type="dxa"/>
            <w:tcBorders>
              <w:top w:val="nil"/>
              <w:left w:val="nil"/>
              <w:bottom w:val="nil"/>
              <w:right w:val="nil"/>
            </w:tcBorders>
            <w:shd w:val="clear" w:color="auto" w:fill="E5E5E5" w:themeFill="background1" w:themeFillTint="33"/>
            <w:noWrap/>
            <w:vAlign w:val="center"/>
            <w:hideMark/>
          </w:tcPr>
          <w:p w14:paraId="7A78B8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19.07</w:t>
            </w:r>
          </w:p>
        </w:tc>
        <w:tc>
          <w:tcPr>
            <w:tcW w:w="1326" w:type="dxa"/>
            <w:tcBorders>
              <w:top w:val="nil"/>
              <w:left w:val="nil"/>
              <w:bottom w:val="nil"/>
              <w:right w:val="nil"/>
            </w:tcBorders>
            <w:shd w:val="clear" w:color="auto" w:fill="E5E5E5" w:themeFill="background1" w:themeFillTint="33"/>
            <w:noWrap/>
            <w:vAlign w:val="center"/>
            <w:hideMark/>
          </w:tcPr>
          <w:p w14:paraId="044A7F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74.57</w:t>
            </w:r>
          </w:p>
        </w:tc>
        <w:tc>
          <w:tcPr>
            <w:tcW w:w="1276" w:type="dxa"/>
            <w:tcBorders>
              <w:top w:val="nil"/>
              <w:left w:val="nil"/>
              <w:bottom w:val="nil"/>
              <w:right w:val="nil"/>
            </w:tcBorders>
            <w:shd w:val="clear" w:color="auto" w:fill="E5E5E5" w:themeFill="background1" w:themeFillTint="33"/>
            <w:noWrap/>
            <w:vAlign w:val="center"/>
            <w:hideMark/>
          </w:tcPr>
          <w:p w14:paraId="391402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34.01</w:t>
            </w:r>
          </w:p>
        </w:tc>
        <w:tc>
          <w:tcPr>
            <w:tcW w:w="1276" w:type="dxa"/>
            <w:tcBorders>
              <w:top w:val="nil"/>
              <w:left w:val="nil"/>
              <w:bottom w:val="nil"/>
              <w:right w:val="nil"/>
            </w:tcBorders>
            <w:shd w:val="clear" w:color="auto" w:fill="E5E5E5" w:themeFill="background1" w:themeFillTint="33"/>
            <w:noWrap/>
            <w:vAlign w:val="center"/>
            <w:hideMark/>
          </w:tcPr>
          <w:p w14:paraId="4FA27ED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79.62</w:t>
            </w:r>
          </w:p>
        </w:tc>
      </w:tr>
      <w:tr w:rsidR="00961617" w:rsidRPr="00545C7F" w14:paraId="6F0AE7EA" w14:textId="77777777" w:rsidTr="0020771F">
        <w:trPr>
          <w:trHeight w:hRule="exact" w:val="284"/>
        </w:trPr>
        <w:tc>
          <w:tcPr>
            <w:tcW w:w="960" w:type="dxa"/>
            <w:tcBorders>
              <w:top w:val="nil"/>
              <w:left w:val="nil"/>
              <w:bottom w:val="nil"/>
              <w:right w:val="nil"/>
            </w:tcBorders>
            <w:shd w:val="clear" w:color="auto" w:fill="auto"/>
            <w:noWrap/>
            <w:vAlign w:val="center"/>
            <w:hideMark/>
          </w:tcPr>
          <w:p w14:paraId="46D4AC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323" w:type="dxa"/>
            <w:tcBorders>
              <w:top w:val="nil"/>
              <w:left w:val="nil"/>
              <w:bottom w:val="nil"/>
              <w:right w:val="nil"/>
            </w:tcBorders>
            <w:shd w:val="clear" w:color="auto" w:fill="auto"/>
            <w:noWrap/>
            <w:vAlign w:val="center"/>
            <w:hideMark/>
          </w:tcPr>
          <w:p w14:paraId="67EA55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36.49</w:t>
            </w:r>
          </w:p>
        </w:tc>
        <w:tc>
          <w:tcPr>
            <w:tcW w:w="1373" w:type="dxa"/>
            <w:tcBorders>
              <w:top w:val="nil"/>
              <w:left w:val="nil"/>
              <w:bottom w:val="nil"/>
              <w:right w:val="nil"/>
            </w:tcBorders>
            <w:shd w:val="clear" w:color="auto" w:fill="auto"/>
            <w:noWrap/>
            <w:vAlign w:val="center"/>
            <w:hideMark/>
          </w:tcPr>
          <w:p w14:paraId="23ED9F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85.37</w:t>
            </w:r>
          </w:p>
        </w:tc>
        <w:tc>
          <w:tcPr>
            <w:tcW w:w="1412" w:type="dxa"/>
            <w:tcBorders>
              <w:top w:val="nil"/>
              <w:left w:val="nil"/>
              <w:bottom w:val="nil"/>
              <w:right w:val="nil"/>
            </w:tcBorders>
            <w:shd w:val="clear" w:color="auto" w:fill="auto"/>
            <w:noWrap/>
            <w:vAlign w:val="center"/>
            <w:hideMark/>
          </w:tcPr>
          <w:p w14:paraId="6E0B3B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39.37</w:t>
            </w:r>
          </w:p>
        </w:tc>
        <w:tc>
          <w:tcPr>
            <w:tcW w:w="1418" w:type="dxa"/>
            <w:tcBorders>
              <w:top w:val="nil"/>
              <w:left w:val="nil"/>
              <w:bottom w:val="nil"/>
              <w:right w:val="nil"/>
            </w:tcBorders>
            <w:shd w:val="clear" w:color="auto" w:fill="auto"/>
            <w:noWrap/>
            <w:vAlign w:val="center"/>
            <w:hideMark/>
          </w:tcPr>
          <w:p w14:paraId="40088B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80.26</w:t>
            </w:r>
          </w:p>
        </w:tc>
        <w:tc>
          <w:tcPr>
            <w:tcW w:w="1500" w:type="dxa"/>
            <w:tcBorders>
              <w:top w:val="nil"/>
              <w:left w:val="nil"/>
              <w:bottom w:val="nil"/>
              <w:right w:val="nil"/>
            </w:tcBorders>
            <w:shd w:val="clear" w:color="auto" w:fill="auto"/>
            <w:noWrap/>
            <w:vAlign w:val="center"/>
            <w:hideMark/>
          </w:tcPr>
          <w:p w14:paraId="22DFC1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46.38</w:t>
            </w:r>
          </w:p>
        </w:tc>
        <w:tc>
          <w:tcPr>
            <w:tcW w:w="1373" w:type="dxa"/>
            <w:tcBorders>
              <w:top w:val="nil"/>
              <w:left w:val="nil"/>
              <w:bottom w:val="nil"/>
              <w:right w:val="nil"/>
            </w:tcBorders>
            <w:shd w:val="clear" w:color="auto" w:fill="auto"/>
            <w:noWrap/>
            <w:vAlign w:val="center"/>
            <w:hideMark/>
          </w:tcPr>
          <w:p w14:paraId="7D2053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83.22</w:t>
            </w:r>
          </w:p>
        </w:tc>
        <w:tc>
          <w:tcPr>
            <w:tcW w:w="1379" w:type="dxa"/>
            <w:tcBorders>
              <w:top w:val="nil"/>
              <w:left w:val="nil"/>
              <w:bottom w:val="nil"/>
              <w:right w:val="nil"/>
            </w:tcBorders>
            <w:shd w:val="clear" w:color="auto" w:fill="auto"/>
            <w:noWrap/>
            <w:vAlign w:val="center"/>
            <w:hideMark/>
          </w:tcPr>
          <w:p w14:paraId="5C3244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20.12</w:t>
            </w:r>
          </w:p>
        </w:tc>
        <w:tc>
          <w:tcPr>
            <w:tcW w:w="1326" w:type="dxa"/>
            <w:tcBorders>
              <w:top w:val="nil"/>
              <w:left w:val="nil"/>
              <w:bottom w:val="nil"/>
              <w:right w:val="nil"/>
            </w:tcBorders>
            <w:shd w:val="clear" w:color="auto" w:fill="auto"/>
            <w:noWrap/>
            <w:vAlign w:val="center"/>
            <w:hideMark/>
          </w:tcPr>
          <w:p w14:paraId="0F8D15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78.88</w:t>
            </w:r>
          </w:p>
        </w:tc>
        <w:tc>
          <w:tcPr>
            <w:tcW w:w="1276" w:type="dxa"/>
            <w:tcBorders>
              <w:top w:val="nil"/>
              <w:left w:val="nil"/>
              <w:bottom w:val="nil"/>
              <w:right w:val="nil"/>
            </w:tcBorders>
            <w:shd w:val="clear" w:color="auto" w:fill="auto"/>
            <w:noWrap/>
            <w:vAlign w:val="center"/>
            <w:hideMark/>
          </w:tcPr>
          <w:p w14:paraId="3276BC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37.19</w:t>
            </w:r>
          </w:p>
        </w:tc>
        <w:tc>
          <w:tcPr>
            <w:tcW w:w="1276" w:type="dxa"/>
            <w:tcBorders>
              <w:top w:val="nil"/>
              <w:left w:val="nil"/>
              <w:bottom w:val="nil"/>
              <w:right w:val="nil"/>
            </w:tcBorders>
            <w:shd w:val="clear" w:color="auto" w:fill="auto"/>
            <w:noWrap/>
            <w:vAlign w:val="center"/>
            <w:hideMark/>
          </w:tcPr>
          <w:p w14:paraId="1024CE4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84.92</w:t>
            </w:r>
          </w:p>
        </w:tc>
      </w:tr>
      <w:tr w:rsidR="00961617" w:rsidRPr="00545C7F" w14:paraId="66593F55"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06FDF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323" w:type="dxa"/>
            <w:tcBorders>
              <w:top w:val="nil"/>
              <w:left w:val="nil"/>
              <w:bottom w:val="nil"/>
              <w:right w:val="nil"/>
            </w:tcBorders>
            <w:shd w:val="clear" w:color="auto" w:fill="E5E5E5" w:themeFill="background1" w:themeFillTint="33"/>
            <w:noWrap/>
            <w:vAlign w:val="center"/>
            <w:hideMark/>
          </w:tcPr>
          <w:p w14:paraId="2EE166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39.38</w:t>
            </w:r>
          </w:p>
        </w:tc>
        <w:tc>
          <w:tcPr>
            <w:tcW w:w="1373" w:type="dxa"/>
            <w:tcBorders>
              <w:top w:val="nil"/>
              <w:left w:val="nil"/>
              <w:bottom w:val="nil"/>
              <w:right w:val="nil"/>
            </w:tcBorders>
            <w:shd w:val="clear" w:color="auto" w:fill="E5E5E5" w:themeFill="background1" w:themeFillTint="33"/>
            <w:noWrap/>
            <w:vAlign w:val="center"/>
            <w:hideMark/>
          </w:tcPr>
          <w:p w14:paraId="18304E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89.19</w:t>
            </w:r>
          </w:p>
        </w:tc>
        <w:tc>
          <w:tcPr>
            <w:tcW w:w="1412" w:type="dxa"/>
            <w:tcBorders>
              <w:top w:val="nil"/>
              <w:left w:val="nil"/>
              <w:bottom w:val="nil"/>
              <w:right w:val="nil"/>
            </w:tcBorders>
            <w:shd w:val="clear" w:color="auto" w:fill="E5E5E5" w:themeFill="background1" w:themeFillTint="33"/>
            <w:noWrap/>
            <w:vAlign w:val="center"/>
            <w:hideMark/>
          </w:tcPr>
          <w:p w14:paraId="105015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42.47</w:t>
            </w:r>
          </w:p>
        </w:tc>
        <w:tc>
          <w:tcPr>
            <w:tcW w:w="1418" w:type="dxa"/>
            <w:tcBorders>
              <w:top w:val="nil"/>
              <w:left w:val="nil"/>
              <w:bottom w:val="nil"/>
              <w:right w:val="nil"/>
            </w:tcBorders>
            <w:shd w:val="clear" w:color="auto" w:fill="E5E5E5" w:themeFill="background1" w:themeFillTint="33"/>
            <w:noWrap/>
            <w:vAlign w:val="center"/>
            <w:hideMark/>
          </w:tcPr>
          <w:p w14:paraId="6B45E2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85.10</w:t>
            </w:r>
          </w:p>
        </w:tc>
        <w:tc>
          <w:tcPr>
            <w:tcW w:w="1500" w:type="dxa"/>
            <w:tcBorders>
              <w:top w:val="nil"/>
              <w:left w:val="nil"/>
              <w:bottom w:val="nil"/>
              <w:right w:val="nil"/>
            </w:tcBorders>
            <w:shd w:val="clear" w:color="auto" w:fill="E5E5E5" w:themeFill="background1" w:themeFillTint="33"/>
            <w:noWrap/>
            <w:vAlign w:val="center"/>
            <w:hideMark/>
          </w:tcPr>
          <w:p w14:paraId="72FD1C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49.62</w:t>
            </w:r>
          </w:p>
        </w:tc>
        <w:tc>
          <w:tcPr>
            <w:tcW w:w="1373" w:type="dxa"/>
            <w:tcBorders>
              <w:top w:val="nil"/>
              <w:left w:val="nil"/>
              <w:bottom w:val="nil"/>
              <w:right w:val="nil"/>
            </w:tcBorders>
            <w:shd w:val="clear" w:color="auto" w:fill="E5E5E5" w:themeFill="background1" w:themeFillTint="33"/>
            <w:noWrap/>
            <w:vAlign w:val="center"/>
            <w:hideMark/>
          </w:tcPr>
          <w:p w14:paraId="732C11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86.71</w:t>
            </w:r>
          </w:p>
        </w:tc>
        <w:tc>
          <w:tcPr>
            <w:tcW w:w="1379" w:type="dxa"/>
            <w:tcBorders>
              <w:top w:val="nil"/>
              <w:left w:val="nil"/>
              <w:bottom w:val="nil"/>
              <w:right w:val="nil"/>
            </w:tcBorders>
            <w:shd w:val="clear" w:color="auto" w:fill="E5E5E5" w:themeFill="background1" w:themeFillTint="33"/>
            <w:noWrap/>
            <w:vAlign w:val="center"/>
            <w:hideMark/>
          </w:tcPr>
          <w:p w14:paraId="7CA81F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21.25</w:t>
            </w:r>
          </w:p>
        </w:tc>
        <w:tc>
          <w:tcPr>
            <w:tcW w:w="1326" w:type="dxa"/>
            <w:tcBorders>
              <w:top w:val="nil"/>
              <w:left w:val="nil"/>
              <w:bottom w:val="nil"/>
              <w:right w:val="nil"/>
            </w:tcBorders>
            <w:shd w:val="clear" w:color="auto" w:fill="E5E5E5" w:themeFill="background1" w:themeFillTint="33"/>
            <w:noWrap/>
            <w:vAlign w:val="center"/>
            <w:hideMark/>
          </w:tcPr>
          <w:p w14:paraId="58C602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84.48</w:t>
            </w:r>
          </w:p>
        </w:tc>
        <w:tc>
          <w:tcPr>
            <w:tcW w:w="1276" w:type="dxa"/>
            <w:tcBorders>
              <w:top w:val="nil"/>
              <w:left w:val="nil"/>
              <w:bottom w:val="nil"/>
              <w:right w:val="nil"/>
            </w:tcBorders>
            <w:shd w:val="clear" w:color="auto" w:fill="E5E5E5" w:themeFill="background1" w:themeFillTint="33"/>
            <w:noWrap/>
            <w:vAlign w:val="center"/>
            <w:hideMark/>
          </w:tcPr>
          <w:p w14:paraId="3F55ED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40.07</w:t>
            </w:r>
          </w:p>
        </w:tc>
        <w:tc>
          <w:tcPr>
            <w:tcW w:w="1276" w:type="dxa"/>
            <w:tcBorders>
              <w:top w:val="nil"/>
              <w:left w:val="nil"/>
              <w:bottom w:val="nil"/>
              <w:right w:val="nil"/>
            </w:tcBorders>
            <w:shd w:val="clear" w:color="auto" w:fill="E5E5E5" w:themeFill="background1" w:themeFillTint="33"/>
            <w:noWrap/>
            <w:vAlign w:val="center"/>
            <w:hideMark/>
          </w:tcPr>
          <w:p w14:paraId="5E7C6C72"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88.82</w:t>
            </w:r>
          </w:p>
        </w:tc>
      </w:tr>
      <w:tr w:rsidR="00961617" w:rsidRPr="00545C7F" w14:paraId="0ECB9D3E"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08DF8B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323" w:type="dxa"/>
            <w:tcBorders>
              <w:top w:val="nil"/>
              <w:left w:val="nil"/>
              <w:bottom w:val="nil"/>
              <w:right w:val="nil"/>
            </w:tcBorders>
            <w:shd w:val="clear" w:color="auto" w:fill="FFFFFF" w:themeFill="background2"/>
            <w:noWrap/>
            <w:vAlign w:val="center"/>
            <w:hideMark/>
          </w:tcPr>
          <w:p w14:paraId="02FC5A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42.94</w:t>
            </w:r>
          </w:p>
        </w:tc>
        <w:tc>
          <w:tcPr>
            <w:tcW w:w="1373" w:type="dxa"/>
            <w:tcBorders>
              <w:top w:val="nil"/>
              <w:left w:val="nil"/>
              <w:bottom w:val="nil"/>
              <w:right w:val="nil"/>
            </w:tcBorders>
            <w:shd w:val="clear" w:color="auto" w:fill="FFFFFF" w:themeFill="background2"/>
            <w:noWrap/>
            <w:vAlign w:val="center"/>
            <w:hideMark/>
          </w:tcPr>
          <w:p w14:paraId="262CD2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92.49</w:t>
            </w:r>
          </w:p>
        </w:tc>
        <w:tc>
          <w:tcPr>
            <w:tcW w:w="1412" w:type="dxa"/>
            <w:tcBorders>
              <w:top w:val="nil"/>
              <w:left w:val="nil"/>
              <w:bottom w:val="nil"/>
              <w:right w:val="nil"/>
            </w:tcBorders>
            <w:shd w:val="clear" w:color="auto" w:fill="FFFFFF" w:themeFill="background2"/>
            <w:noWrap/>
            <w:vAlign w:val="center"/>
            <w:hideMark/>
          </w:tcPr>
          <w:p w14:paraId="20893C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45.92</w:t>
            </w:r>
          </w:p>
        </w:tc>
        <w:tc>
          <w:tcPr>
            <w:tcW w:w="1418" w:type="dxa"/>
            <w:tcBorders>
              <w:top w:val="nil"/>
              <w:left w:val="nil"/>
              <w:bottom w:val="nil"/>
              <w:right w:val="nil"/>
            </w:tcBorders>
            <w:shd w:val="clear" w:color="auto" w:fill="FFFFFF" w:themeFill="background2"/>
            <w:noWrap/>
            <w:vAlign w:val="center"/>
            <w:hideMark/>
          </w:tcPr>
          <w:p w14:paraId="4BE8DE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88.92</w:t>
            </w:r>
          </w:p>
        </w:tc>
        <w:tc>
          <w:tcPr>
            <w:tcW w:w="1500" w:type="dxa"/>
            <w:tcBorders>
              <w:top w:val="nil"/>
              <w:left w:val="nil"/>
              <w:bottom w:val="nil"/>
              <w:right w:val="nil"/>
            </w:tcBorders>
            <w:shd w:val="clear" w:color="auto" w:fill="FFFFFF" w:themeFill="background2"/>
            <w:noWrap/>
            <w:vAlign w:val="center"/>
            <w:hideMark/>
          </w:tcPr>
          <w:p w14:paraId="3F9DB3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53.15</w:t>
            </w:r>
          </w:p>
        </w:tc>
        <w:tc>
          <w:tcPr>
            <w:tcW w:w="1373" w:type="dxa"/>
            <w:tcBorders>
              <w:top w:val="nil"/>
              <w:left w:val="nil"/>
              <w:bottom w:val="nil"/>
              <w:right w:val="nil"/>
            </w:tcBorders>
            <w:shd w:val="clear" w:color="auto" w:fill="FFFFFF" w:themeFill="background2"/>
            <w:noWrap/>
            <w:vAlign w:val="center"/>
            <w:hideMark/>
          </w:tcPr>
          <w:p w14:paraId="1FF3CC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89.65</w:t>
            </w:r>
          </w:p>
        </w:tc>
        <w:tc>
          <w:tcPr>
            <w:tcW w:w="1379" w:type="dxa"/>
            <w:tcBorders>
              <w:top w:val="nil"/>
              <w:left w:val="nil"/>
              <w:bottom w:val="nil"/>
              <w:right w:val="nil"/>
            </w:tcBorders>
            <w:shd w:val="clear" w:color="auto" w:fill="FFFFFF" w:themeFill="background2"/>
            <w:noWrap/>
            <w:vAlign w:val="center"/>
            <w:hideMark/>
          </w:tcPr>
          <w:p w14:paraId="66FB90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22.60</w:t>
            </w:r>
          </w:p>
        </w:tc>
        <w:tc>
          <w:tcPr>
            <w:tcW w:w="1326" w:type="dxa"/>
            <w:tcBorders>
              <w:top w:val="nil"/>
              <w:left w:val="nil"/>
              <w:bottom w:val="nil"/>
              <w:right w:val="nil"/>
            </w:tcBorders>
            <w:shd w:val="clear" w:color="auto" w:fill="FFFFFF" w:themeFill="background2"/>
            <w:noWrap/>
            <w:vAlign w:val="center"/>
            <w:hideMark/>
          </w:tcPr>
          <w:p w14:paraId="5BDE61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88.79</w:t>
            </w:r>
          </w:p>
        </w:tc>
        <w:tc>
          <w:tcPr>
            <w:tcW w:w="1276" w:type="dxa"/>
            <w:tcBorders>
              <w:top w:val="nil"/>
              <w:left w:val="nil"/>
              <w:bottom w:val="nil"/>
              <w:right w:val="nil"/>
            </w:tcBorders>
            <w:shd w:val="clear" w:color="auto" w:fill="FFFFFF" w:themeFill="background2"/>
            <w:noWrap/>
            <w:vAlign w:val="center"/>
            <w:hideMark/>
          </w:tcPr>
          <w:p w14:paraId="7D4025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43.47</w:t>
            </w:r>
          </w:p>
        </w:tc>
        <w:tc>
          <w:tcPr>
            <w:tcW w:w="1276" w:type="dxa"/>
            <w:tcBorders>
              <w:top w:val="nil"/>
              <w:left w:val="nil"/>
              <w:bottom w:val="nil"/>
              <w:right w:val="nil"/>
            </w:tcBorders>
            <w:shd w:val="clear" w:color="auto" w:fill="FFFFFF" w:themeFill="background2"/>
            <w:noWrap/>
            <w:vAlign w:val="center"/>
            <w:hideMark/>
          </w:tcPr>
          <w:p w14:paraId="20E86732"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92.17</w:t>
            </w:r>
          </w:p>
        </w:tc>
      </w:tr>
      <w:tr w:rsidR="00961617" w:rsidRPr="00545C7F" w14:paraId="7058C2A6"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45C10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323" w:type="dxa"/>
            <w:tcBorders>
              <w:top w:val="nil"/>
              <w:left w:val="nil"/>
              <w:bottom w:val="nil"/>
              <w:right w:val="nil"/>
            </w:tcBorders>
            <w:shd w:val="clear" w:color="auto" w:fill="E5E5E5" w:themeFill="background1" w:themeFillTint="33"/>
            <w:noWrap/>
            <w:vAlign w:val="center"/>
            <w:hideMark/>
          </w:tcPr>
          <w:p w14:paraId="4AE6EC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45.67</w:t>
            </w:r>
          </w:p>
        </w:tc>
        <w:tc>
          <w:tcPr>
            <w:tcW w:w="1373" w:type="dxa"/>
            <w:tcBorders>
              <w:top w:val="nil"/>
              <w:left w:val="nil"/>
              <w:bottom w:val="nil"/>
              <w:right w:val="nil"/>
            </w:tcBorders>
            <w:shd w:val="clear" w:color="auto" w:fill="E5E5E5" w:themeFill="background1" w:themeFillTint="33"/>
            <w:noWrap/>
            <w:vAlign w:val="center"/>
            <w:hideMark/>
          </w:tcPr>
          <w:p w14:paraId="1815EC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94.23</w:t>
            </w:r>
          </w:p>
        </w:tc>
        <w:tc>
          <w:tcPr>
            <w:tcW w:w="1412" w:type="dxa"/>
            <w:tcBorders>
              <w:top w:val="nil"/>
              <w:left w:val="nil"/>
              <w:bottom w:val="nil"/>
              <w:right w:val="nil"/>
            </w:tcBorders>
            <w:shd w:val="clear" w:color="auto" w:fill="E5E5E5" w:themeFill="background1" w:themeFillTint="33"/>
            <w:noWrap/>
            <w:vAlign w:val="center"/>
            <w:hideMark/>
          </w:tcPr>
          <w:p w14:paraId="1C1BE7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48.35</w:t>
            </w:r>
          </w:p>
        </w:tc>
        <w:tc>
          <w:tcPr>
            <w:tcW w:w="1418" w:type="dxa"/>
            <w:tcBorders>
              <w:top w:val="nil"/>
              <w:left w:val="nil"/>
              <w:bottom w:val="nil"/>
              <w:right w:val="nil"/>
            </w:tcBorders>
            <w:shd w:val="clear" w:color="auto" w:fill="E5E5E5" w:themeFill="background1" w:themeFillTint="33"/>
            <w:noWrap/>
            <w:vAlign w:val="center"/>
            <w:hideMark/>
          </w:tcPr>
          <w:p w14:paraId="758E80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91.38</w:t>
            </w:r>
          </w:p>
        </w:tc>
        <w:tc>
          <w:tcPr>
            <w:tcW w:w="1500" w:type="dxa"/>
            <w:tcBorders>
              <w:top w:val="nil"/>
              <w:left w:val="nil"/>
              <w:bottom w:val="nil"/>
              <w:right w:val="nil"/>
            </w:tcBorders>
            <w:shd w:val="clear" w:color="auto" w:fill="E5E5E5" w:themeFill="background1" w:themeFillTint="33"/>
            <w:noWrap/>
            <w:vAlign w:val="center"/>
            <w:hideMark/>
          </w:tcPr>
          <w:p w14:paraId="76D495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55.47</w:t>
            </w:r>
          </w:p>
        </w:tc>
        <w:tc>
          <w:tcPr>
            <w:tcW w:w="1373" w:type="dxa"/>
            <w:tcBorders>
              <w:top w:val="nil"/>
              <w:left w:val="nil"/>
              <w:bottom w:val="nil"/>
              <w:right w:val="nil"/>
            </w:tcBorders>
            <w:shd w:val="clear" w:color="auto" w:fill="E5E5E5" w:themeFill="background1" w:themeFillTint="33"/>
            <w:noWrap/>
            <w:vAlign w:val="center"/>
            <w:hideMark/>
          </w:tcPr>
          <w:p w14:paraId="54780A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90.96</w:t>
            </w:r>
          </w:p>
        </w:tc>
        <w:tc>
          <w:tcPr>
            <w:tcW w:w="1379" w:type="dxa"/>
            <w:tcBorders>
              <w:top w:val="nil"/>
              <w:left w:val="nil"/>
              <w:bottom w:val="nil"/>
              <w:right w:val="nil"/>
            </w:tcBorders>
            <w:shd w:val="clear" w:color="auto" w:fill="E5E5E5" w:themeFill="background1" w:themeFillTint="33"/>
            <w:noWrap/>
            <w:vAlign w:val="center"/>
            <w:hideMark/>
          </w:tcPr>
          <w:p w14:paraId="1C30B5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23.81</w:t>
            </w:r>
          </w:p>
        </w:tc>
        <w:tc>
          <w:tcPr>
            <w:tcW w:w="1326" w:type="dxa"/>
            <w:tcBorders>
              <w:top w:val="nil"/>
              <w:left w:val="nil"/>
              <w:bottom w:val="nil"/>
              <w:right w:val="nil"/>
            </w:tcBorders>
            <w:shd w:val="clear" w:color="auto" w:fill="E5E5E5" w:themeFill="background1" w:themeFillTint="33"/>
            <w:noWrap/>
            <w:vAlign w:val="center"/>
            <w:hideMark/>
          </w:tcPr>
          <w:p w14:paraId="13BEDE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90.09</w:t>
            </w:r>
          </w:p>
        </w:tc>
        <w:tc>
          <w:tcPr>
            <w:tcW w:w="1276" w:type="dxa"/>
            <w:tcBorders>
              <w:top w:val="nil"/>
              <w:left w:val="nil"/>
              <w:bottom w:val="nil"/>
              <w:right w:val="nil"/>
            </w:tcBorders>
            <w:shd w:val="clear" w:color="auto" w:fill="E5E5E5" w:themeFill="background1" w:themeFillTint="33"/>
            <w:noWrap/>
            <w:vAlign w:val="center"/>
            <w:hideMark/>
          </w:tcPr>
          <w:p w14:paraId="1C63B8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46.00</w:t>
            </w:r>
          </w:p>
        </w:tc>
        <w:tc>
          <w:tcPr>
            <w:tcW w:w="1276" w:type="dxa"/>
            <w:tcBorders>
              <w:top w:val="nil"/>
              <w:left w:val="nil"/>
              <w:bottom w:val="nil"/>
              <w:right w:val="nil"/>
            </w:tcBorders>
            <w:shd w:val="clear" w:color="auto" w:fill="E5E5E5" w:themeFill="background1" w:themeFillTint="33"/>
            <w:noWrap/>
            <w:vAlign w:val="center"/>
            <w:hideMark/>
          </w:tcPr>
          <w:p w14:paraId="38A0152A"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93.96</w:t>
            </w:r>
          </w:p>
        </w:tc>
      </w:tr>
      <w:tr w:rsidR="00961617" w:rsidRPr="00545C7F" w14:paraId="4AC365D9" w14:textId="77777777" w:rsidTr="0020771F">
        <w:trPr>
          <w:trHeight w:hRule="exact" w:val="284"/>
        </w:trPr>
        <w:tc>
          <w:tcPr>
            <w:tcW w:w="960" w:type="dxa"/>
            <w:tcBorders>
              <w:top w:val="nil"/>
              <w:left w:val="nil"/>
              <w:bottom w:val="nil"/>
              <w:right w:val="nil"/>
            </w:tcBorders>
            <w:shd w:val="clear" w:color="auto" w:fill="auto"/>
            <w:noWrap/>
            <w:vAlign w:val="center"/>
            <w:hideMark/>
          </w:tcPr>
          <w:p w14:paraId="183044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323" w:type="dxa"/>
            <w:tcBorders>
              <w:top w:val="nil"/>
              <w:left w:val="nil"/>
              <w:bottom w:val="nil"/>
              <w:right w:val="nil"/>
            </w:tcBorders>
            <w:shd w:val="clear" w:color="auto" w:fill="auto"/>
            <w:noWrap/>
            <w:vAlign w:val="center"/>
            <w:hideMark/>
          </w:tcPr>
          <w:p w14:paraId="0EC884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47.67</w:t>
            </w:r>
          </w:p>
        </w:tc>
        <w:tc>
          <w:tcPr>
            <w:tcW w:w="1373" w:type="dxa"/>
            <w:tcBorders>
              <w:top w:val="nil"/>
              <w:left w:val="nil"/>
              <w:bottom w:val="nil"/>
              <w:right w:val="nil"/>
            </w:tcBorders>
            <w:shd w:val="clear" w:color="auto" w:fill="auto"/>
            <w:noWrap/>
            <w:vAlign w:val="center"/>
            <w:hideMark/>
          </w:tcPr>
          <w:p w14:paraId="3D9138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95.20</w:t>
            </w:r>
          </w:p>
        </w:tc>
        <w:tc>
          <w:tcPr>
            <w:tcW w:w="1412" w:type="dxa"/>
            <w:tcBorders>
              <w:top w:val="nil"/>
              <w:left w:val="nil"/>
              <w:bottom w:val="nil"/>
              <w:right w:val="nil"/>
            </w:tcBorders>
            <w:shd w:val="clear" w:color="auto" w:fill="auto"/>
            <w:noWrap/>
            <w:vAlign w:val="center"/>
            <w:hideMark/>
          </w:tcPr>
          <w:p w14:paraId="073B65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50.16</w:t>
            </w:r>
          </w:p>
        </w:tc>
        <w:tc>
          <w:tcPr>
            <w:tcW w:w="1418" w:type="dxa"/>
            <w:tcBorders>
              <w:top w:val="nil"/>
              <w:left w:val="nil"/>
              <w:bottom w:val="nil"/>
              <w:right w:val="nil"/>
            </w:tcBorders>
            <w:shd w:val="clear" w:color="auto" w:fill="auto"/>
            <w:noWrap/>
            <w:vAlign w:val="center"/>
            <w:hideMark/>
          </w:tcPr>
          <w:p w14:paraId="0CA3B0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92.89</w:t>
            </w:r>
          </w:p>
        </w:tc>
        <w:tc>
          <w:tcPr>
            <w:tcW w:w="1500" w:type="dxa"/>
            <w:tcBorders>
              <w:top w:val="nil"/>
              <w:left w:val="nil"/>
              <w:bottom w:val="nil"/>
              <w:right w:val="nil"/>
            </w:tcBorders>
            <w:shd w:val="clear" w:color="auto" w:fill="auto"/>
            <w:noWrap/>
            <w:vAlign w:val="center"/>
            <w:hideMark/>
          </w:tcPr>
          <w:p w14:paraId="7EB529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57.28</w:t>
            </w:r>
          </w:p>
        </w:tc>
        <w:tc>
          <w:tcPr>
            <w:tcW w:w="1373" w:type="dxa"/>
            <w:tcBorders>
              <w:top w:val="nil"/>
              <w:left w:val="nil"/>
              <w:bottom w:val="nil"/>
              <w:right w:val="nil"/>
            </w:tcBorders>
            <w:shd w:val="clear" w:color="auto" w:fill="auto"/>
            <w:noWrap/>
            <w:vAlign w:val="center"/>
            <w:hideMark/>
          </w:tcPr>
          <w:p w14:paraId="070911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92.59</w:t>
            </w:r>
          </w:p>
        </w:tc>
        <w:tc>
          <w:tcPr>
            <w:tcW w:w="1379" w:type="dxa"/>
            <w:tcBorders>
              <w:top w:val="nil"/>
              <w:left w:val="nil"/>
              <w:bottom w:val="nil"/>
              <w:right w:val="nil"/>
            </w:tcBorders>
            <w:shd w:val="clear" w:color="auto" w:fill="auto"/>
            <w:noWrap/>
            <w:vAlign w:val="center"/>
            <w:hideMark/>
          </w:tcPr>
          <w:p w14:paraId="020427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24.80</w:t>
            </w:r>
          </w:p>
        </w:tc>
        <w:tc>
          <w:tcPr>
            <w:tcW w:w="1326" w:type="dxa"/>
            <w:tcBorders>
              <w:top w:val="nil"/>
              <w:left w:val="nil"/>
              <w:bottom w:val="nil"/>
              <w:right w:val="nil"/>
            </w:tcBorders>
            <w:shd w:val="clear" w:color="auto" w:fill="auto"/>
            <w:noWrap/>
            <w:vAlign w:val="center"/>
            <w:hideMark/>
          </w:tcPr>
          <w:p w14:paraId="746FE8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90.09</w:t>
            </w:r>
          </w:p>
        </w:tc>
        <w:tc>
          <w:tcPr>
            <w:tcW w:w="1276" w:type="dxa"/>
            <w:tcBorders>
              <w:top w:val="nil"/>
              <w:left w:val="nil"/>
              <w:bottom w:val="nil"/>
              <w:right w:val="nil"/>
            </w:tcBorders>
            <w:shd w:val="clear" w:color="auto" w:fill="auto"/>
            <w:noWrap/>
            <w:vAlign w:val="center"/>
            <w:hideMark/>
          </w:tcPr>
          <w:p w14:paraId="04411B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47.88</w:t>
            </w:r>
          </w:p>
        </w:tc>
        <w:tc>
          <w:tcPr>
            <w:tcW w:w="1276" w:type="dxa"/>
            <w:tcBorders>
              <w:top w:val="nil"/>
              <w:left w:val="nil"/>
              <w:bottom w:val="nil"/>
              <w:right w:val="nil"/>
            </w:tcBorders>
            <w:shd w:val="clear" w:color="auto" w:fill="auto"/>
            <w:noWrap/>
            <w:vAlign w:val="center"/>
            <w:hideMark/>
          </w:tcPr>
          <w:p w14:paraId="50CC5AC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94.98</w:t>
            </w:r>
          </w:p>
        </w:tc>
      </w:tr>
      <w:tr w:rsidR="00961617" w:rsidRPr="00545C7F" w14:paraId="15F163CD"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452722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323" w:type="dxa"/>
            <w:tcBorders>
              <w:top w:val="nil"/>
              <w:left w:val="nil"/>
              <w:bottom w:val="nil"/>
              <w:right w:val="nil"/>
            </w:tcBorders>
            <w:shd w:val="clear" w:color="auto" w:fill="E5E5E5" w:themeFill="background1" w:themeFillTint="33"/>
            <w:noWrap/>
            <w:vAlign w:val="center"/>
            <w:hideMark/>
          </w:tcPr>
          <w:p w14:paraId="096B2A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49.63</w:t>
            </w:r>
          </w:p>
        </w:tc>
        <w:tc>
          <w:tcPr>
            <w:tcW w:w="1373" w:type="dxa"/>
            <w:tcBorders>
              <w:top w:val="nil"/>
              <w:left w:val="nil"/>
              <w:bottom w:val="nil"/>
              <w:right w:val="nil"/>
            </w:tcBorders>
            <w:shd w:val="clear" w:color="auto" w:fill="E5E5E5" w:themeFill="background1" w:themeFillTint="33"/>
            <w:noWrap/>
            <w:vAlign w:val="center"/>
            <w:hideMark/>
          </w:tcPr>
          <w:p w14:paraId="6F42E7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96.02</w:t>
            </w:r>
          </w:p>
        </w:tc>
        <w:tc>
          <w:tcPr>
            <w:tcW w:w="1412" w:type="dxa"/>
            <w:tcBorders>
              <w:top w:val="nil"/>
              <w:left w:val="nil"/>
              <w:bottom w:val="nil"/>
              <w:right w:val="nil"/>
            </w:tcBorders>
            <w:shd w:val="clear" w:color="auto" w:fill="E5E5E5" w:themeFill="background1" w:themeFillTint="33"/>
            <w:noWrap/>
            <w:vAlign w:val="center"/>
            <w:hideMark/>
          </w:tcPr>
          <w:p w14:paraId="74AA7D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52.01</w:t>
            </w:r>
          </w:p>
        </w:tc>
        <w:tc>
          <w:tcPr>
            <w:tcW w:w="1418" w:type="dxa"/>
            <w:tcBorders>
              <w:top w:val="nil"/>
              <w:left w:val="nil"/>
              <w:bottom w:val="nil"/>
              <w:right w:val="nil"/>
            </w:tcBorders>
            <w:shd w:val="clear" w:color="auto" w:fill="E5E5E5" w:themeFill="background1" w:themeFillTint="33"/>
            <w:noWrap/>
            <w:vAlign w:val="center"/>
            <w:hideMark/>
          </w:tcPr>
          <w:p w14:paraId="4B9BFD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93.94</w:t>
            </w:r>
          </w:p>
        </w:tc>
        <w:tc>
          <w:tcPr>
            <w:tcW w:w="1500" w:type="dxa"/>
            <w:tcBorders>
              <w:top w:val="nil"/>
              <w:left w:val="nil"/>
              <w:bottom w:val="nil"/>
              <w:right w:val="nil"/>
            </w:tcBorders>
            <w:shd w:val="clear" w:color="auto" w:fill="E5E5E5" w:themeFill="background1" w:themeFillTint="33"/>
            <w:noWrap/>
            <w:vAlign w:val="center"/>
            <w:hideMark/>
          </w:tcPr>
          <w:p w14:paraId="3A6BE9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58.64</w:t>
            </w:r>
          </w:p>
        </w:tc>
        <w:tc>
          <w:tcPr>
            <w:tcW w:w="1373" w:type="dxa"/>
            <w:tcBorders>
              <w:top w:val="nil"/>
              <w:left w:val="nil"/>
              <w:bottom w:val="nil"/>
              <w:right w:val="nil"/>
            </w:tcBorders>
            <w:shd w:val="clear" w:color="auto" w:fill="E5E5E5" w:themeFill="background1" w:themeFillTint="33"/>
            <w:noWrap/>
            <w:vAlign w:val="center"/>
            <w:hideMark/>
          </w:tcPr>
          <w:p w14:paraId="58E1AA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93.57</w:t>
            </w:r>
          </w:p>
        </w:tc>
        <w:tc>
          <w:tcPr>
            <w:tcW w:w="1379" w:type="dxa"/>
            <w:tcBorders>
              <w:top w:val="nil"/>
              <w:left w:val="nil"/>
              <w:bottom w:val="nil"/>
              <w:right w:val="nil"/>
            </w:tcBorders>
            <w:shd w:val="clear" w:color="auto" w:fill="E5E5E5" w:themeFill="background1" w:themeFillTint="33"/>
            <w:noWrap/>
            <w:vAlign w:val="center"/>
            <w:hideMark/>
          </w:tcPr>
          <w:p w14:paraId="646727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25.77</w:t>
            </w:r>
          </w:p>
        </w:tc>
        <w:tc>
          <w:tcPr>
            <w:tcW w:w="1326" w:type="dxa"/>
            <w:tcBorders>
              <w:top w:val="nil"/>
              <w:left w:val="nil"/>
              <w:bottom w:val="nil"/>
              <w:right w:val="nil"/>
            </w:tcBorders>
            <w:shd w:val="clear" w:color="auto" w:fill="E5E5E5" w:themeFill="background1" w:themeFillTint="33"/>
            <w:noWrap/>
            <w:vAlign w:val="center"/>
            <w:hideMark/>
          </w:tcPr>
          <w:p w14:paraId="645ABF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91.81</w:t>
            </w:r>
          </w:p>
        </w:tc>
        <w:tc>
          <w:tcPr>
            <w:tcW w:w="1276" w:type="dxa"/>
            <w:tcBorders>
              <w:top w:val="nil"/>
              <w:left w:val="nil"/>
              <w:bottom w:val="nil"/>
              <w:right w:val="nil"/>
            </w:tcBorders>
            <w:shd w:val="clear" w:color="auto" w:fill="E5E5E5" w:themeFill="background1" w:themeFillTint="33"/>
            <w:noWrap/>
            <w:vAlign w:val="center"/>
            <w:hideMark/>
          </w:tcPr>
          <w:p w14:paraId="086559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49.70</w:t>
            </w:r>
          </w:p>
        </w:tc>
        <w:tc>
          <w:tcPr>
            <w:tcW w:w="1276" w:type="dxa"/>
            <w:tcBorders>
              <w:top w:val="nil"/>
              <w:left w:val="nil"/>
              <w:bottom w:val="nil"/>
              <w:right w:val="nil"/>
            </w:tcBorders>
            <w:shd w:val="clear" w:color="auto" w:fill="E5E5E5" w:themeFill="background1" w:themeFillTint="33"/>
            <w:noWrap/>
            <w:vAlign w:val="center"/>
            <w:hideMark/>
          </w:tcPr>
          <w:p w14:paraId="332B0F2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95.82</w:t>
            </w:r>
          </w:p>
        </w:tc>
      </w:tr>
      <w:tr w:rsidR="00961617" w:rsidRPr="00545C7F" w14:paraId="1212A511" w14:textId="77777777" w:rsidTr="0020771F">
        <w:trPr>
          <w:trHeight w:hRule="exact" w:val="284"/>
        </w:trPr>
        <w:tc>
          <w:tcPr>
            <w:tcW w:w="960" w:type="dxa"/>
            <w:tcBorders>
              <w:top w:val="nil"/>
              <w:left w:val="nil"/>
              <w:bottom w:val="nil"/>
              <w:right w:val="nil"/>
            </w:tcBorders>
            <w:shd w:val="clear" w:color="auto" w:fill="auto"/>
            <w:noWrap/>
            <w:vAlign w:val="center"/>
            <w:hideMark/>
          </w:tcPr>
          <w:p w14:paraId="688E63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323" w:type="dxa"/>
            <w:tcBorders>
              <w:top w:val="nil"/>
              <w:left w:val="nil"/>
              <w:bottom w:val="nil"/>
              <w:right w:val="nil"/>
            </w:tcBorders>
            <w:shd w:val="clear" w:color="auto" w:fill="auto"/>
            <w:noWrap/>
            <w:vAlign w:val="center"/>
            <w:hideMark/>
          </w:tcPr>
          <w:p w14:paraId="3979B5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51.45</w:t>
            </w:r>
          </w:p>
        </w:tc>
        <w:tc>
          <w:tcPr>
            <w:tcW w:w="1373" w:type="dxa"/>
            <w:tcBorders>
              <w:top w:val="nil"/>
              <w:left w:val="nil"/>
              <w:bottom w:val="nil"/>
              <w:right w:val="nil"/>
            </w:tcBorders>
            <w:shd w:val="clear" w:color="auto" w:fill="auto"/>
            <w:noWrap/>
            <w:vAlign w:val="center"/>
            <w:hideMark/>
          </w:tcPr>
          <w:p w14:paraId="0D410E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96.76</w:t>
            </w:r>
          </w:p>
        </w:tc>
        <w:tc>
          <w:tcPr>
            <w:tcW w:w="1412" w:type="dxa"/>
            <w:tcBorders>
              <w:top w:val="nil"/>
              <w:left w:val="nil"/>
              <w:bottom w:val="nil"/>
              <w:right w:val="nil"/>
            </w:tcBorders>
            <w:shd w:val="clear" w:color="auto" w:fill="auto"/>
            <w:noWrap/>
            <w:vAlign w:val="center"/>
            <w:hideMark/>
          </w:tcPr>
          <w:p w14:paraId="13D852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53.71</w:t>
            </w:r>
          </w:p>
        </w:tc>
        <w:tc>
          <w:tcPr>
            <w:tcW w:w="1418" w:type="dxa"/>
            <w:tcBorders>
              <w:top w:val="nil"/>
              <w:left w:val="nil"/>
              <w:bottom w:val="nil"/>
              <w:right w:val="nil"/>
            </w:tcBorders>
            <w:shd w:val="clear" w:color="auto" w:fill="auto"/>
            <w:noWrap/>
            <w:vAlign w:val="center"/>
            <w:hideMark/>
          </w:tcPr>
          <w:p w14:paraId="6CE3B3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94.72</w:t>
            </w:r>
          </w:p>
        </w:tc>
        <w:tc>
          <w:tcPr>
            <w:tcW w:w="1500" w:type="dxa"/>
            <w:tcBorders>
              <w:top w:val="nil"/>
              <w:left w:val="nil"/>
              <w:bottom w:val="nil"/>
              <w:right w:val="nil"/>
            </w:tcBorders>
            <w:shd w:val="clear" w:color="auto" w:fill="auto"/>
            <w:noWrap/>
            <w:vAlign w:val="center"/>
            <w:hideMark/>
          </w:tcPr>
          <w:p w14:paraId="766846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60.06</w:t>
            </w:r>
          </w:p>
        </w:tc>
        <w:tc>
          <w:tcPr>
            <w:tcW w:w="1373" w:type="dxa"/>
            <w:tcBorders>
              <w:top w:val="nil"/>
              <w:left w:val="nil"/>
              <w:bottom w:val="nil"/>
              <w:right w:val="nil"/>
            </w:tcBorders>
            <w:shd w:val="clear" w:color="auto" w:fill="auto"/>
            <w:noWrap/>
            <w:vAlign w:val="center"/>
            <w:hideMark/>
          </w:tcPr>
          <w:p w14:paraId="1973E2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94.44</w:t>
            </w:r>
          </w:p>
        </w:tc>
        <w:tc>
          <w:tcPr>
            <w:tcW w:w="1379" w:type="dxa"/>
            <w:tcBorders>
              <w:top w:val="nil"/>
              <w:left w:val="nil"/>
              <w:bottom w:val="nil"/>
              <w:right w:val="nil"/>
            </w:tcBorders>
            <w:shd w:val="clear" w:color="auto" w:fill="auto"/>
            <w:noWrap/>
            <w:vAlign w:val="center"/>
            <w:hideMark/>
          </w:tcPr>
          <w:p w14:paraId="0DB9D5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27.17</w:t>
            </w:r>
          </w:p>
        </w:tc>
        <w:tc>
          <w:tcPr>
            <w:tcW w:w="1326" w:type="dxa"/>
            <w:tcBorders>
              <w:top w:val="nil"/>
              <w:left w:val="nil"/>
              <w:bottom w:val="nil"/>
              <w:right w:val="nil"/>
            </w:tcBorders>
            <w:shd w:val="clear" w:color="auto" w:fill="auto"/>
            <w:noWrap/>
            <w:vAlign w:val="center"/>
            <w:hideMark/>
          </w:tcPr>
          <w:p w14:paraId="2D3536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91.81</w:t>
            </w:r>
          </w:p>
        </w:tc>
        <w:tc>
          <w:tcPr>
            <w:tcW w:w="1276" w:type="dxa"/>
            <w:tcBorders>
              <w:top w:val="nil"/>
              <w:left w:val="nil"/>
              <w:bottom w:val="nil"/>
              <w:right w:val="nil"/>
            </w:tcBorders>
            <w:shd w:val="clear" w:color="auto" w:fill="auto"/>
            <w:noWrap/>
            <w:vAlign w:val="center"/>
            <w:hideMark/>
          </w:tcPr>
          <w:p w14:paraId="6D8473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51.43</w:t>
            </w:r>
          </w:p>
        </w:tc>
        <w:tc>
          <w:tcPr>
            <w:tcW w:w="1276" w:type="dxa"/>
            <w:tcBorders>
              <w:top w:val="nil"/>
              <w:left w:val="nil"/>
              <w:bottom w:val="nil"/>
              <w:right w:val="nil"/>
            </w:tcBorders>
            <w:shd w:val="clear" w:color="auto" w:fill="auto"/>
            <w:noWrap/>
            <w:vAlign w:val="center"/>
            <w:hideMark/>
          </w:tcPr>
          <w:p w14:paraId="0D5F0A1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96.56</w:t>
            </w:r>
          </w:p>
        </w:tc>
      </w:tr>
      <w:tr w:rsidR="00961617" w:rsidRPr="00545C7F" w14:paraId="23D8290F"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05344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323" w:type="dxa"/>
            <w:tcBorders>
              <w:top w:val="nil"/>
              <w:left w:val="nil"/>
              <w:bottom w:val="nil"/>
              <w:right w:val="nil"/>
            </w:tcBorders>
            <w:shd w:val="clear" w:color="auto" w:fill="E5E5E5" w:themeFill="background1" w:themeFillTint="33"/>
            <w:noWrap/>
            <w:vAlign w:val="center"/>
            <w:hideMark/>
          </w:tcPr>
          <w:p w14:paraId="4566C6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53.28</w:t>
            </w:r>
          </w:p>
        </w:tc>
        <w:tc>
          <w:tcPr>
            <w:tcW w:w="1373" w:type="dxa"/>
            <w:tcBorders>
              <w:top w:val="nil"/>
              <w:left w:val="nil"/>
              <w:bottom w:val="nil"/>
              <w:right w:val="nil"/>
            </w:tcBorders>
            <w:shd w:val="clear" w:color="auto" w:fill="E5E5E5" w:themeFill="background1" w:themeFillTint="33"/>
            <w:noWrap/>
            <w:vAlign w:val="center"/>
            <w:hideMark/>
          </w:tcPr>
          <w:p w14:paraId="12E72C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97.45</w:t>
            </w:r>
          </w:p>
        </w:tc>
        <w:tc>
          <w:tcPr>
            <w:tcW w:w="1412" w:type="dxa"/>
            <w:tcBorders>
              <w:top w:val="nil"/>
              <w:left w:val="nil"/>
              <w:bottom w:val="nil"/>
              <w:right w:val="nil"/>
            </w:tcBorders>
            <w:shd w:val="clear" w:color="auto" w:fill="E5E5E5" w:themeFill="background1" w:themeFillTint="33"/>
            <w:noWrap/>
            <w:vAlign w:val="center"/>
            <w:hideMark/>
          </w:tcPr>
          <w:p w14:paraId="49ACAB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55.47</w:t>
            </w:r>
          </w:p>
        </w:tc>
        <w:tc>
          <w:tcPr>
            <w:tcW w:w="1418" w:type="dxa"/>
            <w:tcBorders>
              <w:top w:val="nil"/>
              <w:left w:val="nil"/>
              <w:bottom w:val="nil"/>
              <w:right w:val="nil"/>
            </w:tcBorders>
            <w:shd w:val="clear" w:color="auto" w:fill="E5E5E5" w:themeFill="background1" w:themeFillTint="33"/>
            <w:noWrap/>
            <w:vAlign w:val="center"/>
            <w:hideMark/>
          </w:tcPr>
          <w:p w14:paraId="003286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95.73</w:t>
            </w:r>
          </w:p>
        </w:tc>
        <w:tc>
          <w:tcPr>
            <w:tcW w:w="1500" w:type="dxa"/>
            <w:tcBorders>
              <w:top w:val="nil"/>
              <w:left w:val="nil"/>
              <w:bottom w:val="nil"/>
              <w:right w:val="nil"/>
            </w:tcBorders>
            <w:shd w:val="clear" w:color="auto" w:fill="E5E5E5" w:themeFill="background1" w:themeFillTint="33"/>
            <w:noWrap/>
            <w:vAlign w:val="center"/>
            <w:hideMark/>
          </w:tcPr>
          <w:p w14:paraId="2D5EA4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61.51</w:t>
            </w:r>
          </w:p>
        </w:tc>
        <w:tc>
          <w:tcPr>
            <w:tcW w:w="1373" w:type="dxa"/>
            <w:tcBorders>
              <w:top w:val="nil"/>
              <w:left w:val="nil"/>
              <w:bottom w:val="nil"/>
              <w:right w:val="nil"/>
            </w:tcBorders>
            <w:shd w:val="clear" w:color="auto" w:fill="E5E5E5" w:themeFill="background1" w:themeFillTint="33"/>
            <w:noWrap/>
            <w:vAlign w:val="center"/>
            <w:hideMark/>
          </w:tcPr>
          <w:p w14:paraId="22DCB7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95.32</w:t>
            </w:r>
          </w:p>
        </w:tc>
        <w:tc>
          <w:tcPr>
            <w:tcW w:w="1379" w:type="dxa"/>
            <w:tcBorders>
              <w:top w:val="nil"/>
              <w:left w:val="nil"/>
              <w:bottom w:val="nil"/>
              <w:right w:val="nil"/>
            </w:tcBorders>
            <w:shd w:val="clear" w:color="auto" w:fill="E5E5E5" w:themeFill="background1" w:themeFillTint="33"/>
            <w:noWrap/>
            <w:vAlign w:val="center"/>
            <w:hideMark/>
          </w:tcPr>
          <w:p w14:paraId="0888F8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28.87</w:t>
            </w:r>
          </w:p>
        </w:tc>
        <w:tc>
          <w:tcPr>
            <w:tcW w:w="1326" w:type="dxa"/>
            <w:tcBorders>
              <w:top w:val="nil"/>
              <w:left w:val="nil"/>
              <w:bottom w:val="nil"/>
              <w:right w:val="nil"/>
            </w:tcBorders>
            <w:shd w:val="clear" w:color="auto" w:fill="E5E5E5" w:themeFill="background1" w:themeFillTint="33"/>
            <w:noWrap/>
            <w:vAlign w:val="center"/>
            <w:hideMark/>
          </w:tcPr>
          <w:p w14:paraId="09B16A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93.10</w:t>
            </w:r>
          </w:p>
        </w:tc>
        <w:tc>
          <w:tcPr>
            <w:tcW w:w="1276" w:type="dxa"/>
            <w:tcBorders>
              <w:top w:val="nil"/>
              <w:left w:val="nil"/>
              <w:bottom w:val="nil"/>
              <w:right w:val="nil"/>
            </w:tcBorders>
            <w:shd w:val="clear" w:color="auto" w:fill="E5E5E5" w:themeFill="background1" w:themeFillTint="33"/>
            <w:noWrap/>
            <w:vAlign w:val="center"/>
            <w:hideMark/>
          </w:tcPr>
          <w:p w14:paraId="764C35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53.20</w:t>
            </w:r>
          </w:p>
        </w:tc>
        <w:tc>
          <w:tcPr>
            <w:tcW w:w="1276" w:type="dxa"/>
            <w:tcBorders>
              <w:top w:val="nil"/>
              <w:left w:val="nil"/>
              <w:bottom w:val="nil"/>
              <w:right w:val="nil"/>
            </w:tcBorders>
            <w:shd w:val="clear" w:color="auto" w:fill="E5E5E5" w:themeFill="background1" w:themeFillTint="33"/>
            <w:noWrap/>
            <w:vAlign w:val="center"/>
            <w:hideMark/>
          </w:tcPr>
          <w:p w14:paraId="64A4DDA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97.28</w:t>
            </w:r>
          </w:p>
        </w:tc>
      </w:tr>
      <w:tr w:rsidR="00961617" w:rsidRPr="00545C7F" w14:paraId="2FCAB9C3" w14:textId="77777777" w:rsidTr="0020771F">
        <w:trPr>
          <w:trHeight w:hRule="exact" w:val="284"/>
        </w:trPr>
        <w:tc>
          <w:tcPr>
            <w:tcW w:w="960" w:type="dxa"/>
            <w:tcBorders>
              <w:top w:val="nil"/>
              <w:left w:val="nil"/>
              <w:bottom w:val="nil"/>
              <w:right w:val="nil"/>
            </w:tcBorders>
            <w:shd w:val="clear" w:color="auto" w:fill="auto"/>
            <w:noWrap/>
            <w:vAlign w:val="center"/>
            <w:hideMark/>
          </w:tcPr>
          <w:p w14:paraId="36ABF2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323" w:type="dxa"/>
            <w:tcBorders>
              <w:top w:val="nil"/>
              <w:left w:val="nil"/>
              <w:bottom w:val="nil"/>
              <w:right w:val="nil"/>
            </w:tcBorders>
            <w:shd w:val="clear" w:color="auto" w:fill="auto"/>
            <w:noWrap/>
            <w:vAlign w:val="center"/>
            <w:hideMark/>
          </w:tcPr>
          <w:p w14:paraId="7D89A2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55.62</w:t>
            </w:r>
          </w:p>
        </w:tc>
        <w:tc>
          <w:tcPr>
            <w:tcW w:w="1373" w:type="dxa"/>
            <w:tcBorders>
              <w:top w:val="nil"/>
              <w:left w:val="nil"/>
              <w:bottom w:val="nil"/>
              <w:right w:val="nil"/>
            </w:tcBorders>
            <w:shd w:val="clear" w:color="auto" w:fill="auto"/>
            <w:noWrap/>
            <w:vAlign w:val="center"/>
            <w:hideMark/>
          </w:tcPr>
          <w:p w14:paraId="242FB9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98.12</w:t>
            </w:r>
          </w:p>
        </w:tc>
        <w:tc>
          <w:tcPr>
            <w:tcW w:w="1412" w:type="dxa"/>
            <w:tcBorders>
              <w:top w:val="nil"/>
              <w:left w:val="nil"/>
              <w:bottom w:val="nil"/>
              <w:right w:val="nil"/>
            </w:tcBorders>
            <w:shd w:val="clear" w:color="auto" w:fill="auto"/>
            <w:noWrap/>
            <w:vAlign w:val="center"/>
            <w:hideMark/>
          </w:tcPr>
          <w:p w14:paraId="55FC73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57.64</w:t>
            </w:r>
          </w:p>
        </w:tc>
        <w:tc>
          <w:tcPr>
            <w:tcW w:w="1418" w:type="dxa"/>
            <w:tcBorders>
              <w:top w:val="nil"/>
              <w:left w:val="nil"/>
              <w:bottom w:val="nil"/>
              <w:right w:val="nil"/>
            </w:tcBorders>
            <w:shd w:val="clear" w:color="auto" w:fill="auto"/>
            <w:noWrap/>
            <w:vAlign w:val="center"/>
            <w:hideMark/>
          </w:tcPr>
          <w:p w14:paraId="50F208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96.65</w:t>
            </w:r>
          </w:p>
        </w:tc>
        <w:tc>
          <w:tcPr>
            <w:tcW w:w="1500" w:type="dxa"/>
            <w:tcBorders>
              <w:top w:val="nil"/>
              <w:left w:val="nil"/>
              <w:bottom w:val="nil"/>
              <w:right w:val="nil"/>
            </w:tcBorders>
            <w:shd w:val="clear" w:color="auto" w:fill="auto"/>
            <w:noWrap/>
            <w:vAlign w:val="center"/>
            <w:hideMark/>
          </w:tcPr>
          <w:p w14:paraId="704308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63.25</w:t>
            </w:r>
          </w:p>
        </w:tc>
        <w:tc>
          <w:tcPr>
            <w:tcW w:w="1373" w:type="dxa"/>
            <w:tcBorders>
              <w:top w:val="nil"/>
              <w:left w:val="nil"/>
              <w:bottom w:val="nil"/>
              <w:right w:val="nil"/>
            </w:tcBorders>
            <w:shd w:val="clear" w:color="auto" w:fill="auto"/>
            <w:noWrap/>
            <w:vAlign w:val="center"/>
            <w:hideMark/>
          </w:tcPr>
          <w:p w14:paraId="56B545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96.51</w:t>
            </w:r>
          </w:p>
        </w:tc>
        <w:tc>
          <w:tcPr>
            <w:tcW w:w="1379" w:type="dxa"/>
            <w:tcBorders>
              <w:top w:val="nil"/>
              <w:left w:val="nil"/>
              <w:bottom w:val="nil"/>
              <w:right w:val="nil"/>
            </w:tcBorders>
            <w:shd w:val="clear" w:color="auto" w:fill="auto"/>
            <w:noWrap/>
            <w:vAlign w:val="center"/>
            <w:hideMark/>
          </w:tcPr>
          <w:p w14:paraId="0348DB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30.45</w:t>
            </w:r>
          </w:p>
        </w:tc>
        <w:tc>
          <w:tcPr>
            <w:tcW w:w="1326" w:type="dxa"/>
            <w:tcBorders>
              <w:top w:val="nil"/>
              <w:left w:val="nil"/>
              <w:bottom w:val="nil"/>
              <w:right w:val="nil"/>
            </w:tcBorders>
            <w:shd w:val="clear" w:color="auto" w:fill="auto"/>
            <w:noWrap/>
            <w:vAlign w:val="center"/>
            <w:hideMark/>
          </w:tcPr>
          <w:p w14:paraId="1D0B84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95.26</w:t>
            </w:r>
          </w:p>
        </w:tc>
        <w:tc>
          <w:tcPr>
            <w:tcW w:w="1276" w:type="dxa"/>
            <w:tcBorders>
              <w:top w:val="nil"/>
              <w:left w:val="nil"/>
              <w:bottom w:val="nil"/>
              <w:right w:val="nil"/>
            </w:tcBorders>
            <w:shd w:val="clear" w:color="auto" w:fill="auto"/>
            <w:noWrap/>
            <w:vAlign w:val="center"/>
            <w:hideMark/>
          </w:tcPr>
          <w:p w14:paraId="5DD821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55.40</w:t>
            </w:r>
          </w:p>
        </w:tc>
        <w:tc>
          <w:tcPr>
            <w:tcW w:w="1276" w:type="dxa"/>
            <w:tcBorders>
              <w:top w:val="nil"/>
              <w:left w:val="nil"/>
              <w:bottom w:val="nil"/>
              <w:right w:val="nil"/>
            </w:tcBorders>
            <w:shd w:val="clear" w:color="auto" w:fill="auto"/>
            <w:noWrap/>
            <w:vAlign w:val="center"/>
            <w:hideMark/>
          </w:tcPr>
          <w:p w14:paraId="4787621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97.98</w:t>
            </w:r>
          </w:p>
        </w:tc>
      </w:tr>
      <w:tr w:rsidR="00961617" w:rsidRPr="00545C7F" w14:paraId="13FCE067"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F454A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323" w:type="dxa"/>
            <w:tcBorders>
              <w:top w:val="nil"/>
              <w:left w:val="nil"/>
              <w:bottom w:val="nil"/>
              <w:right w:val="nil"/>
            </w:tcBorders>
            <w:shd w:val="clear" w:color="auto" w:fill="E5E5E5" w:themeFill="background1" w:themeFillTint="33"/>
            <w:noWrap/>
            <w:vAlign w:val="center"/>
            <w:hideMark/>
          </w:tcPr>
          <w:p w14:paraId="7048EA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58.61</w:t>
            </w:r>
          </w:p>
        </w:tc>
        <w:tc>
          <w:tcPr>
            <w:tcW w:w="1373" w:type="dxa"/>
            <w:tcBorders>
              <w:top w:val="nil"/>
              <w:left w:val="nil"/>
              <w:bottom w:val="nil"/>
              <w:right w:val="nil"/>
            </w:tcBorders>
            <w:shd w:val="clear" w:color="auto" w:fill="E5E5E5" w:themeFill="background1" w:themeFillTint="33"/>
            <w:noWrap/>
            <w:vAlign w:val="center"/>
            <w:hideMark/>
          </w:tcPr>
          <w:p w14:paraId="386B02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98.77</w:t>
            </w:r>
          </w:p>
        </w:tc>
        <w:tc>
          <w:tcPr>
            <w:tcW w:w="1412" w:type="dxa"/>
            <w:tcBorders>
              <w:top w:val="nil"/>
              <w:left w:val="nil"/>
              <w:bottom w:val="nil"/>
              <w:right w:val="nil"/>
            </w:tcBorders>
            <w:shd w:val="clear" w:color="auto" w:fill="E5E5E5" w:themeFill="background1" w:themeFillTint="33"/>
            <w:noWrap/>
            <w:vAlign w:val="center"/>
            <w:hideMark/>
          </w:tcPr>
          <w:p w14:paraId="7C4579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60.20</w:t>
            </w:r>
          </w:p>
        </w:tc>
        <w:tc>
          <w:tcPr>
            <w:tcW w:w="1418" w:type="dxa"/>
            <w:tcBorders>
              <w:top w:val="nil"/>
              <w:left w:val="nil"/>
              <w:bottom w:val="nil"/>
              <w:right w:val="nil"/>
            </w:tcBorders>
            <w:shd w:val="clear" w:color="auto" w:fill="E5E5E5" w:themeFill="background1" w:themeFillTint="33"/>
            <w:noWrap/>
            <w:vAlign w:val="center"/>
            <w:hideMark/>
          </w:tcPr>
          <w:p w14:paraId="105DAD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97.27</w:t>
            </w:r>
          </w:p>
        </w:tc>
        <w:tc>
          <w:tcPr>
            <w:tcW w:w="1500" w:type="dxa"/>
            <w:tcBorders>
              <w:top w:val="nil"/>
              <w:left w:val="nil"/>
              <w:bottom w:val="nil"/>
              <w:right w:val="nil"/>
            </w:tcBorders>
            <w:shd w:val="clear" w:color="auto" w:fill="E5E5E5" w:themeFill="background1" w:themeFillTint="33"/>
            <w:noWrap/>
            <w:vAlign w:val="center"/>
            <w:hideMark/>
          </w:tcPr>
          <w:p w14:paraId="74DB71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65.29</w:t>
            </w:r>
          </w:p>
        </w:tc>
        <w:tc>
          <w:tcPr>
            <w:tcW w:w="1373" w:type="dxa"/>
            <w:tcBorders>
              <w:top w:val="nil"/>
              <w:left w:val="nil"/>
              <w:bottom w:val="nil"/>
              <w:right w:val="nil"/>
            </w:tcBorders>
            <w:shd w:val="clear" w:color="auto" w:fill="E5E5E5" w:themeFill="background1" w:themeFillTint="33"/>
            <w:noWrap/>
            <w:vAlign w:val="center"/>
            <w:hideMark/>
          </w:tcPr>
          <w:p w14:paraId="21A0FE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97.28</w:t>
            </w:r>
          </w:p>
        </w:tc>
        <w:tc>
          <w:tcPr>
            <w:tcW w:w="1379" w:type="dxa"/>
            <w:tcBorders>
              <w:top w:val="nil"/>
              <w:left w:val="nil"/>
              <w:bottom w:val="nil"/>
              <w:right w:val="nil"/>
            </w:tcBorders>
            <w:shd w:val="clear" w:color="auto" w:fill="E5E5E5" w:themeFill="background1" w:themeFillTint="33"/>
            <w:noWrap/>
            <w:vAlign w:val="center"/>
            <w:hideMark/>
          </w:tcPr>
          <w:p w14:paraId="383F17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33.25</w:t>
            </w:r>
          </w:p>
        </w:tc>
        <w:tc>
          <w:tcPr>
            <w:tcW w:w="1326" w:type="dxa"/>
            <w:tcBorders>
              <w:top w:val="nil"/>
              <w:left w:val="nil"/>
              <w:bottom w:val="nil"/>
              <w:right w:val="nil"/>
            </w:tcBorders>
            <w:shd w:val="clear" w:color="auto" w:fill="E5E5E5" w:themeFill="background1" w:themeFillTint="33"/>
            <w:noWrap/>
            <w:vAlign w:val="center"/>
            <w:hideMark/>
          </w:tcPr>
          <w:p w14:paraId="676468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96.12</w:t>
            </w:r>
          </w:p>
        </w:tc>
        <w:tc>
          <w:tcPr>
            <w:tcW w:w="1276" w:type="dxa"/>
            <w:tcBorders>
              <w:top w:val="nil"/>
              <w:left w:val="nil"/>
              <w:bottom w:val="nil"/>
              <w:right w:val="nil"/>
            </w:tcBorders>
            <w:shd w:val="clear" w:color="auto" w:fill="E5E5E5" w:themeFill="background1" w:themeFillTint="33"/>
            <w:noWrap/>
            <w:vAlign w:val="center"/>
            <w:hideMark/>
          </w:tcPr>
          <w:p w14:paraId="11FF41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58.19</w:t>
            </w:r>
          </w:p>
        </w:tc>
        <w:tc>
          <w:tcPr>
            <w:tcW w:w="1276" w:type="dxa"/>
            <w:tcBorders>
              <w:top w:val="nil"/>
              <w:left w:val="nil"/>
              <w:bottom w:val="nil"/>
              <w:right w:val="nil"/>
            </w:tcBorders>
            <w:shd w:val="clear" w:color="auto" w:fill="E5E5E5" w:themeFill="background1" w:themeFillTint="33"/>
            <w:noWrap/>
            <w:vAlign w:val="center"/>
            <w:hideMark/>
          </w:tcPr>
          <w:p w14:paraId="087BE49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98.63</w:t>
            </w:r>
          </w:p>
        </w:tc>
      </w:tr>
      <w:tr w:rsidR="00961617" w:rsidRPr="00545C7F" w14:paraId="632C3364" w14:textId="77777777" w:rsidTr="0020771F">
        <w:trPr>
          <w:trHeight w:hRule="exact" w:val="284"/>
        </w:trPr>
        <w:tc>
          <w:tcPr>
            <w:tcW w:w="960" w:type="dxa"/>
            <w:tcBorders>
              <w:top w:val="nil"/>
              <w:left w:val="nil"/>
              <w:bottom w:val="nil"/>
              <w:right w:val="nil"/>
            </w:tcBorders>
            <w:shd w:val="clear" w:color="auto" w:fill="auto"/>
            <w:noWrap/>
            <w:vAlign w:val="center"/>
            <w:hideMark/>
          </w:tcPr>
          <w:p w14:paraId="673992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323" w:type="dxa"/>
            <w:tcBorders>
              <w:top w:val="nil"/>
              <w:left w:val="nil"/>
              <w:bottom w:val="nil"/>
              <w:right w:val="nil"/>
            </w:tcBorders>
            <w:shd w:val="clear" w:color="auto" w:fill="auto"/>
            <w:noWrap/>
            <w:vAlign w:val="center"/>
            <w:hideMark/>
          </w:tcPr>
          <w:p w14:paraId="26BDE1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60.90</w:t>
            </w:r>
          </w:p>
        </w:tc>
        <w:tc>
          <w:tcPr>
            <w:tcW w:w="1373" w:type="dxa"/>
            <w:tcBorders>
              <w:top w:val="nil"/>
              <w:left w:val="nil"/>
              <w:bottom w:val="nil"/>
              <w:right w:val="nil"/>
            </w:tcBorders>
            <w:shd w:val="clear" w:color="auto" w:fill="auto"/>
            <w:noWrap/>
            <w:vAlign w:val="center"/>
            <w:hideMark/>
          </w:tcPr>
          <w:p w14:paraId="5D83AA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99.05</w:t>
            </w:r>
          </w:p>
        </w:tc>
        <w:tc>
          <w:tcPr>
            <w:tcW w:w="1412" w:type="dxa"/>
            <w:tcBorders>
              <w:top w:val="nil"/>
              <w:left w:val="nil"/>
              <w:bottom w:val="nil"/>
              <w:right w:val="nil"/>
            </w:tcBorders>
            <w:shd w:val="clear" w:color="auto" w:fill="auto"/>
            <w:noWrap/>
            <w:vAlign w:val="center"/>
            <w:hideMark/>
          </w:tcPr>
          <w:p w14:paraId="1F34CC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61.95</w:t>
            </w:r>
          </w:p>
        </w:tc>
        <w:tc>
          <w:tcPr>
            <w:tcW w:w="1418" w:type="dxa"/>
            <w:tcBorders>
              <w:top w:val="nil"/>
              <w:left w:val="nil"/>
              <w:bottom w:val="nil"/>
              <w:right w:val="nil"/>
            </w:tcBorders>
            <w:shd w:val="clear" w:color="auto" w:fill="auto"/>
            <w:noWrap/>
            <w:vAlign w:val="center"/>
            <w:hideMark/>
          </w:tcPr>
          <w:p w14:paraId="47A3D1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97.73</w:t>
            </w:r>
          </w:p>
        </w:tc>
        <w:tc>
          <w:tcPr>
            <w:tcW w:w="1500" w:type="dxa"/>
            <w:tcBorders>
              <w:top w:val="nil"/>
              <w:left w:val="nil"/>
              <w:bottom w:val="nil"/>
              <w:right w:val="nil"/>
            </w:tcBorders>
            <w:shd w:val="clear" w:color="auto" w:fill="auto"/>
            <w:noWrap/>
            <w:vAlign w:val="center"/>
            <w:hideMark/>
          </w:tcPr>
          <w:p w14:paraId="72A974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67.03</w:t>
            </w:r>
          </w:p>
        </w:tc>
        <w:tc>
          <w:tcPr>
            <w:tcW w:w="1373" w:type="dxa"/>
            <w:tcBorders>
              <w:top w:val="nil"/>
              <w:left w:val="nil"/>
              <w:bottom w:val="nil"/>
              <w:right w:val="nil"/>
            </w:tcBorders>
            <w:shd w:val="clear" w:color="auto" w:fill="auto"/>
            <w:noWrap/>
            <w:vAlign w:val="center"/>
            <w:hideMark/>
          </w:tcPr>
          <w:p w14:paraId="69DE41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97.71</w:t>
            </w:r>
          </w:p>
        </w:tc>
        <w:tc>
          <w:tcPr>
            <w:tcW w:w="1379" w:type="dxa"/>
            <w:tcBorders>
              <w:top w:val="nil"/>
              <w:left w:val="nil"/>
              <w:bottom w:val="nil"/>
              <w:right w:val="nil"/>
            </w:tcBorders>
            <w:shd w:val="clear" w:color="auto" w:fill="auto"/>
            <w:noWrap/>
            <w:vAlign w:val="center"/>
            <w:hideMark/>
          </w:tcPr>
          <w:p w14:paraId="0E781B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35.38</w:t>
            </w:r>
          </w:p>
        </w:tc>
        <w:tc>
          <w:tcPr>
            <w:tcW w:w="1326" w:type="dxa"/>
            <w:tcBorders>
              <w:top w:val="nil"/>
              <w:left w:val="nil"/>
              <w:bottom w:val="nil"/>
              <w:right w:val="nil"/>
            </w:tcBorders>
            <w:shd w:val="clear" w:color="auto" w:fill="auto"/>
            <w:noWrap/>
            <w:vAlign w:val="center"/>
            <w:hideMark/>
          </w:tcPr>
          <w:p w14:paraId="30D5B5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96.55</w:t>
            </w:r>
          </w:p>
        </w:tc>
        <w:tc>
          <w:tcPr>
            <w:tcW w:w="1276" w:type="dxa"/>
            <w:tcBorders>
              <w:top w:val="nil"/>
              <w:left w:val="nil"/>
              <w:bottom w:val="nil"/>
              <w:right w:val="nil"/>
            </w:tcBorders>
            <w:shd w:val="clear" w:color="auto" w:fill="auto"/>
            <w:noWrap/>
            <w:vAlign w:val="center"/>
            <w:hideMark/>
          </w:tcPr>
          <w:p w14:paraId="11ABBE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60.28</w:t>
            </w:r>
          </w:p>
        </w:tc>
        <w:tc>
          <w:tcPr>
            <w:tcW w:w="1276" w:type="dxa"/>
            <w:tcBorders>
              <w:top w:val="nil"/>
              <w:left w:val="nil"/>
              <w:bottom w:val="nil"/>
              <w:right w:val="nil"/>
            </w:tcBorders>
            <w:shd w:val="clear" w:color="auto" w:fill="auto"/>
            <w:noWrap/>
            <w:vAlign w:val="center"/>
            <w:hideMark/>
          </w:tcPr>
          <w:p w14:paraId="04C3B61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98.93</w:t>
            </w:r>
          </w:p>
        </w:tc>
      </w:tr>
      <w:tr w:rsidR="00961617" w:rsidRPr="00545C7F" w14:paraId="4A282216"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1BC6A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323" w:type="dxa"/>
            <w:tcBorders>
              <w:top w:val="nil"/>
              <w:left w:val="nil"/>
              <w:bottom w:val="nil"/>
              <w:right w:val="nil"/>
            </w:tcBorders>
            <w:shd w:val="clear" w:color="auto" w:fill="E5E5E5" w:themeFill="background1" w:themeFillTint="33"/>
            <w:noWrap/>
            <w:vAlign w:val="center"/>
            <w:hideMark/>
          </w:tcPr>
          <w:p w14:paraId="244615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62.57</w:t>
            </w:r>
          </w:p>
        </w:tc>
        <w:tc>
          <w:tcPr>
            <w:tcW w:w="1373" w:type="dxa"/>
            <w:tcBorders>
              <w:top w:val="nil"/>
              <w:left w:val="nil"/>
              <w:bottom w:val="nil"/>
              <w:right w:val="nil"/>
            </w:tcBorders>
            <w:shd w:val="clear" w:color="auto" w:fill="E5E5E5" w:themeFill="background1" w:themeFillTint="33"/>
            <w:noWrap/>
            <w:vAlign w:val="center"/>
            <w:hideMark/>
          </w:tcPr>
          <w:p w14:paraId="2FB9D5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99.19</w:t>
            </w:r>
          </w:p>
        </w:tc>
        <w:tc>
          <w:tcPr>
            <w:tcW w:w="1412" w:type="dxa"/>
            <w:tcBorders>
              <w:top w:val="nil"/>
              <w:left w:val="nil"/>
              <w:bottom w:val="nil"/>
              <w:right w:val="nil"/>
            </w:tcBorders>
            <w:shd w:val="clear" w:color="auto" w:fill="E5E5E5" w:themeFill="background1" w:themeFillTint="33"/>
            <w:noWrap/>
            <w:vAlign w:val="center"/>
            <w:hideMark/>
          </w:tcPr>
          <w:p w14:paraId="074078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63.38</w:t>
            </w:r>
          </w:p>
        </w:tc>
        <w:tc>
          <w:tcPr>
            <w:tcW w:w="1418" w:type="dxa"/>
            <w:tcBorders>
              <w:top w:val="nil"/>
              <w:left w:val="nil"/>
              <w:bottom w:val="nil"/>
              <w:right w:val="nil"/>
            </w:tcBorders>
            <w:shd w:val="clear" w:color="auto" w:fill="E5E5E5" w:themeFill="background1" w:themeFillTint="33"/>
            <w:noWrap/>
            <w:vAlign w:val="center"/>
            <w:hideMark/>
          </w:tcPr>
          <w:p w14:paraId="4F6BE5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98.05</w:t>
            </w:r>
          </w:p>
        </w:tc>
        <w:tc>
          <w:tcPr>
            <w:tcW w:w="1500" w:type="dxa"/>
            <w:tcBorders>
              <w:top w:val="nil"/>
              <w:left w:val="nil"/>
              <w:bottom w:val="nil"/>
              <w:right w:val="nil"/>
            </w:tcBorders>
            <w:shd w:val="clear" w:color="auto" w:fill="E5E5E5" w:themeFill="background1" w:themeFillTint="33"/>
            <w:noWrap/>
            <w:vAlign w:val="center"/>
            <w:hideMark/>
          </w:tcPr>
          <w:p w14:paraId="794B86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68.05</w:t>
            </w:r>
          </w:p>
        </w:tc>
        <w:tc>
          <w:tcPr>
            <w:tcW w:w="1373" w:type="dxa"/>
            <w:tcBorders>
              <w:top w:val="nil"/>
              <w:left w:val="nil"/>
              <w:bottom w:val="nil"/>
              <w:right w:val="nil"/>
            </w:tcBorders>
            <w:shd w:val="clear" w:color="auto" w:fill="E5E5E5" w:themeFill="background1" w:themeFillTint="33"/>
            <w:noWrap/>
            <w:vAlign w:val="center"/>
            <w:hideMark/>
          </w:tcPr>
          <w:p w14:paraId="61716C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97.93</w:t>
            </w:r>
          </w:p>
        </w:tc>
        <w:tc>
          <w:tcPr>
            <w:tcW w:w="1379" w:type="dxa"/>
            <w:tcBorders>
              <w:top w:val="nil"/>
              <w:left w:val="nil"/>
              <w:bottom w:val="nil"/>
              <w:right w:val="nil"/>
            </w:tcBorders>
            <w:shd w:val="clear" w:color="auto" w:fill="E5E5E5" w:themeFill="background1" w:themeFillTint="33"/>
            <w:noWrap/>
            <w:vAlign w:val="center"/>
            <w:hideMark/>
          </w:tcPr>
          <w:p w14:paraId="575B4C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36.78</w:t>
            </w:r>
          </w:p>
        </w:tc>
        <w:tc>
          <w:tcPr>
            <w:tcW w:w="1326" w:type="dxa"/>
            <w:tcBorders>
              <w:top w:val="nil"/>
              <w:left w:val="nil"/>
              <w:bottom w:val="nil"/>
              <w:right w:val="nil"/>
            </w:tcBorders>
            <w:shd w:val="clear" w:color="auto" w:fill="E5E5E5" w:themeFill="background1" w:themeFillTint="33"/>
            <w:noWrap/>
            <w:vAlign w:val="center"/>
            <w:hideMark/>
          </w:tcPr>
          <w:p w14:paraId="6491BB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96.98</w:t>
            </w:r>
          </w:p>
        </w:tc>
        <w:tc>
          <w:tcPr>
            <w:tcW w:w="1276" w:type="dxa"/>
            <w:tcBorders>
              <w:top w:val="nil"/>
              <w:left w:val="nil"/>
              <w:bottom w:val="nil"/>
              <w:right w:val="nil"/>
            </w:tcBorders>
            <w:shd w:val="clear" w:color="auto" w:fill="E5E5E5" w:themeFill="background1" w:themeFillTint="33"/>
            <w:noWrap/>
            <w:vAlign w:val="center"/>
            <w:hideMark/>
          </w:tcPr>
          <w:p w14:paraId="45C321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61.81</w:t>
            </w:r>
          </w:p>
        </w:tc>
        <w:tc>
          <w:tcPr>
            <w:tcW w:w="1276" w:type="dxa"/>
            <w:tcBorders>
              <w:top w:val="nil"/>
              <w:left w:val="nil"/>
              <w:bottom w:val="nil"/>
              <w:right w:val="nil"/>
            </w:tcBorders>
            <w:shd w:val="clear" w:color="auto" w:fill="E5E5E5" w:themeFill="background1" w:themeFillTint="33"/>
            <w:noWrap/>
            <w:vAlign w:val="center"/>
            <w:hideMark/>
          </w:tcPr>
          <w:p w14:paraId="69F72A8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99.08</w:t>
            </w:r>
          </w:p>
        </w:tc>
      </w:tr>
      <w:tr w:rsidR="00961617" w:rsidRPr="00545C7F" w14:paraId="4E32D2D5" w14:textId="77777777" w:rsidTr="0020771F">
        <w:trPr>
          <w:trHeight w:hRule="exact" w:val="284"/>
        </w:trPr>
        <w:tc>
          <w:tcPr>
            <w:tcW w:w="960" w:type="dxa"/>
            <w:tcBorders>
              <w:top w:val="nil"/>
              <w:left w:val="nil"/>
              <w:bottom w:val="nil"/>
              <w:right w:val="nil"/>
            </w:tcBorders>
            <w:shd w:val="clear" w:color="auto" w:fill="auto"/>
            <w:noWrap/>
            <w:vAlign w:val="center"/>
            <w:hideMark/>
          </w:tcPr>
          <w:p w14:paraId="00B08F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323" w:type="dxa"/>
            <w:tcBorders>
              <w:top w:val="nil"/>
              <w:left w:val="nil"/>
              <w:bottom w:val="nil"/>
              <w:right w:val="nil"/>
            </w:tcBorders>
            <w:shd w:val="clear" w:color="auto" w:fill="auto"/>
            <w:noWrap/>
            <w:vAlign w:val="center"/>
            <w:hideMark/>
          </w:tcPr>
          <w:p w14:paraId="106C65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64.08</w:t>
            </w:r>
          </w:p>
        </w:tc>
        <w:tc>
          <w:tcPr>
            <w:tcW w:w="1373" w:type="dxa"/>
            <w:tcBorders>
              <w:top w:val="nil"/>
              <w:left w:val="nil"/>
              <w:bottom w:val="nil"/>
              <w:right w:val="nil"/>
            </w:tcBorders>
            <w:shd w:val="clear" w:color="auto" w:fill="auto"/>
            <w:noWrap/>
            <w:vAlign w:val="center"/>
            <w:hideMark/>
          </w:tcPr>
          <w:p w14:paraId="298A23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99.31</w:t>
            </w:r>
          </w:p>
        </w:tc>
        <w:tc>
          <w:tcPr>
            <w:tcW w:w="1412" w:type="dxa"/>
            <w:tcBorders>
              <w:top w:val="nil"/>
              <w:left w:val="nil"/>
              <w:bottom w:val="nil"/>
              <w:right w:val="nil"/>
            </w:tcBorders>
            <w:shd w:val="clear" w:color="auto" w:fill="auto"/>
            <w:noWrap/>
            <w:vAlign w:val="center"/>
            <w:hideMark/>
          </w:tcPr>
          <w:p w14:paraId="3390C7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64.69</w:t>
            </w:r>
          </w:p>
        </w:tc>
        <w:tc>
          <w:tcPr>
            <w:tcW w:w="1418" w:type="dxa"/>
            <w:tcBorders>
              <w:top w:val="nil"/>
              <w:left w:val="nil"/>
              <w:bottom w:val="nil"/>
              <w:right w:val="nil"/>
            </w:tcBorders>
            <w:shd w:val="clear" w:color="auto" w:fill="auto"/>
            <w:noWrap/>
            <w:vAlign w:val="center"/>
            <w:hideMark/>
          </w:tcPr>
          <w:p w14:paraId="543F62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98.35</w:t>
            </w:r>
          </w:p>
        </w:tc>
        <w:tc>
          <w:tcPr>
            <w:tcW w:w="1500" w:type="dxa"/>
            <w:tcBorders>
              <w:top w:val="nil"/>
              <w:left w:val="nil"/>
              <w:bottom w:val="nil"/>
              <w:right w:val="nil"/>
            </w:tcBorders>
            <w:shd w:val="clear" w:color="auto" w:fill="auto"/>
            <w:noWrap/>
            <w:vAlign w:val="center"/>
            <w:hideMark/>
          </w:tcPr>
          <w:p w14:paraId="1EB845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69.34</w:t>
            </w:r>
          </w:p>
        </w:tc>
        <w:tc>
          <w:tcPr>
            <w:tcW w:w="1373" w:type="dxa"/>
            <w:tcBorders>
              <w:top w:val="nil"/>
              <w:left w:val="nil"/>
              <w:bottom w:val="nil"/>
              <w:right w:val="nil"/>
            </w:tcBorders>
            <w:shd w:val="clear" w:color="auto" w:fill="auto"/>
            <w:noWrap/>
            <w:vAlign w:val="center"/>
            <w:hideMark/>
          </w:tcPr>
          <w:p w14:paraId="1E4C0A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98.37</w:t>
            </w:r>
          </w:p>
        </w:tc>
        <w:tc>
          <w:tcPr>
            <w:tcW w:w="1379" w:type="dxa"/>
            <w:tcBorders>
              <w:top w:val="nil"/>
              <w:left w:val="nil"/>
              <w:bottom w:val="nil"/>
              <w:right w:val="nil"/>
            </w:tcBorders>
            <w:shd w:val="clear" w:color="auto" w:fill="auto"/>
            <w:noWrap/>
            <w:vAlign w:val="center"/>
            <w:hideMark/>
          </w:tcPr>
          <w:p w14:paraId="663E17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38.23</w:t>
            </w:r>
          </w:p>
        </w:tc>
        <w:tc>
          <w:tcPr>
            <w:tcW w:w="1326" w:type="dxa"/>
            <w:tcBorders>
              <w:top w:val="nil"/>
              <w:left w:val="nil"/>
              <w:bottom w:val="nil"/>
              <w:right w:val="nil"/>
            </w:tcBorders>
            <w:shd w:val="clear" w:color="auto" w:fill="auto"/>
            <w:noWrap/>
            <w:vAlign w:val="center"/>
            <w:hideMark/>
          </w:tcPr>
          <w:p w14:paraId="77126D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97.41</w:t>
            </w:r>
          </w:p>
        </w:tc>
        <w:tc>
          <w:tcPr>
            <w:tcW w:w="1276" w:type="dxa"/>
            <w:tcBorders>
              <w:top w:val="nil"/>
              <w:left w:val="nil"/>
              <w:bottom w:val="nil"/>
              <w:right w:val="nil"/>
            </w:tcBorders>
            <w:shd w:val="clear" w:color="auto" w:fill="auto"/>
            <w:noWrap/>
            <w:vAlign w:val="center"/>
            <w:hideMark/>
          </w:tcPr>
          <w:p w14:paraId="18FCBC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63.25</w:t>
            </w:r>
          </w:p>
        </w:tc>
        <w:tc>
          <w:tcPr>
            <w:tcW w:w="1276" w:type="dxa"/>
            <w:tcBorders>
              <w:top w:val="nil"/>
              <w:left w:val="nil"/>
              <w:bottom w:val="nil"/>
              <w:right w:val="nil"/>
            </w:tcBorders>
            <w:shd w:val="clear" w:color="auto" w:fill="auto"/>
            <w:noWrap/>
            <w:vAlign w:val="center"/>
            <w:hideMark/>
          </w:tcPr>
          <w:p w14:paraId="32C517E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99.22</w:t>
            </w:r>
          </w:p>
        </w:tc>
      </w:tr>
      <w:tr w:rsidR="00961617" w:rsidRPr="00545C7F" w14:paraId="27B2591C"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ECF0E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323" w:type="dxa"/>
            <w:tcBorders>
              <w:top w:val="nil"/>
              <w:left w:val="nil"/>
              <w:bottom w:val="nil"/>
              <w:right w:val="nil"/>
            </w:tcBorders>
            <w:shd w:val="clear" w:color="auto" w:fill="E5E5E5" w:themeFill="background1" w:themeFillTint="33"/>
            <w:noWrap/>
            <w:vAlign w:val="center"/>
            <w:hideMark/>
          </w:tcPr>
          <w:p w14:paraId="3859AB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65.32</w:t>
            </w:r>
          </w:p>
        </w:tc>
        <w:tc>
          <w:tcPr>
            <w:tcW w:w="1373" w:type="dxa"/>
            <w:tcBorders>
              <w:top w:val="nil"/>
              <w:left w:val="nil"/>
              <w:bottom w:val="nil"/>
              <w:right w:val="nil"/>
            </w:tcBorders>
            <w:shd w:val="clear" w:color="auto" w:fill="E5E5E5" w:themeFill="background1" w:themeFillTint="33"/>
            <w:noWrap/>
            <w:vAlign w:val="center"/>
            <w:hideMark/>
          </w:tcPr>
          <w:p w14:paraId="630539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99.42</w:t>
            </w:r>
          </w:p>
        </w:tc>
        <w:tc>
          <w:tcPr>
            <w:tcW w:w="1412" w:type="dxa"/>
            <w:tcBorders>
              <w:top w:val="nil"/>
              <w:left w:val="nil"/>
              <w:bottom w:val="nil"/>
              <w:right w:val="nil"/>
            </w:tcBorders>
            <w:shd w:val="clear" w:color="auto" w:fill="E5E5E5" w:themeFill="background1" w:themeFillTint="33"/>
            <w:noWrap/>
            <w:vAlign w:val="center"/>
            <w:hideMark/>
          </w:tcPr>
          <w:p w14:paraId="5A7F44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65.97</w:t>
            </w:r>
          </w:p>
        </w:tc>
        <w:tc>
          <w:tcPr>
            <w:tcW w:w="1418" w:type="dxa"/>
            <w:tcBorders>
              <w:top w:val="nil"/>
              <w:left w:val="nil"/>
              <w:bottom w:val="nil"/>
              <w:right w:val="nil"/>
            </w:tcBorders>
            <w:shd w:val="clear" w:color="auto" w:fill="E5E5E5" w:themeFill="background1" w:themeFillTint="33"/>
            <w:noWrap/>
            <w:vAlign w:val="center"/>
            <w:hideMark/>
          </w:tcPr>
          <w:p w14:paraId="5F71CD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98.49</w:t>
            </w:r>
          </w:p>
        </w:tc>
        <w:tc>
          <w:tcPr>
            <w:tcW w:w="1500" w:type="dxa"/>
            <w:tcBorders>
              <w:top w:val="nil"/>
              <w:left w:val="nil"/>
              <w:bottom w:val="nil"/>
              <w:right w:val="nil"/>
            </w:tcBorders>
            <w:shd w:val="clear" w:color="auto" w:fill="E5E5E5" w:themeFill="background1" w:themeFillTint="33"/>
            <w:noWrap/>
            <w:vAlign w:val="center"/>
            <w:hideMark/>
          </w:tcPr>
          <w:p w14:paraId="2BE5FD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70.37</w:t>
            </w:r>
          </w:p>
        </w:tc>
        <w:tc>
          <w:tcPr>
            <w:tcW w:w="1373" w:type="dxa"/>
            <w:tcBorders>
              <w:top w:val="nil"/>
              <w:left w:val="nil"/>
              <w:bottom w:val="nil"/>
              <w:right w:val="nil"/>
            </w:tcBorders>
            <w:shd w:val="clear" w:color="auto" w:fill="E5E5E5" w:themeFill="background1" w:themeFillTint="33"/>
            <w:noWrap/>
            <w:vAlign w:val="center"/>
            <w:hideMark/>
          </w:tcPr>
          <w:p w14:paraId="313502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98.47</w:t>
            </w:r>
          </w:p>
        </w:tc>
        <w:tc>
          <w:tcPr>
            <w:tcW w:w="1379" w:type="dxa"/>
            <w:tcBorders>
              <w:top w:val="nil"/>
              <w:left w:val="nil"/>
              <w:bottom w:val="nil"/>
              <w:right w:val="nil"/>
            </w:tcBorders>
            <w:shd w:val="clear" w:color="auto" w:fill="E5E5E5" w:themeFill="background1" w:themeFillTint="33"/>
            <w:noWrap/>
            <w:vAlign w:val="center"/>
            <w:hideMark/>
          </w:tcPr>
          <w:p w14:paraId="59A3E6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39.52</w:t>
            </w:r>
          </w:p>
        </w:tc>
        <w:tc>
          <w:tcPr>
            <w:tcW w:w="1326" w:type="dxa"/>
            <w:tcBorders>
              <w:top w:val="nil"/>
              <w:left w:val="nil"/>
              <w:bottom w:val="nil"/>
              <w:right w:val="nil"/>
            </w:tcBorders>
            <w:shd w:val="clear" w:color="auto" w:fill="E5E5E5" w:themeFill="background1" w:themeFillTint="33"/>
            <w:noWrap/>
            <w:vAlign w:val="center"/>
            <w:hideMark/>
          </w:tcPr>
          <w:p w14:paraId="7FC439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97.41</w:t>
            </w:r>
          </w:p>
        </w:tc>
        <w:tc>
          <w:tcPr>
            <w:tcW w:w="1276" w:type="dxa"/>
            <w:tcBorders>
              <w:top w:val="nil"/>
              <w:left w:val="nil"/>
              <w:bottom w:val="nil"/>
              <w:right w:val="nil"/>
            </w:tcBorders>
            <w:shd w:val="clear" w:color="auto" w:fill="E5E5E5" w:themeFill="background1" w:themeFillTint="33"/>
            <w:noWrap/>
            <w:vAlign w:val="center"/>
            <w:hideMark/>
          </w:tcPr>
          <w:p w14:paraId="25ED3B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64.48</w:t>
            </w:r>
          </w:p>
        </w:tc>
        <w:tc>
          <w:tcPr>
            <w:tcW w:w="1276" w:type="dxa"/>
            <w:tcBorders>
              <w:top w:val="nil"/>
              <w:left w:val="nil"/>
              <w:bottom w:val="nil"/>
              <w:right w:val="nil"/>
            </w:tcBorders>
            <w:shd w:val="clear" w:color="auto" w:fill="E5E5E5" w:themeFill="background1" w:themeFillTint="33"/>
            <w:noWrap/>
            <w:vAlign w:val="center"/>
            <w:hideMark/>
          </w:tcPr>
          <w:p w14:paraId="190D20D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99.33</w:t>
            </w:r>
          </w:p>
        </w:tc>
      </w:tr>
      <w:tr w:rsidR="00961617" w:rsidRPr="00545C7F" w14:paraId="532CB93E" w14:textId="77777777" w:rsidTr="0020771F">
        <w:trPr>
          <w:trHeight w:hRule="exact" w:val="284"/>
        </w:trPr>
        <w:tc>
          <w:tcPr>
            <w:tcW w:w="960" w:type="dxa"/>
            <w:tcBorders>
              <w:top w:val="nil"/>
              <w:left w:val="nil"/>
              <w:bottom w:val="nil"/>
              <w:right w:val="nil"/>
            </w:tcBorders>
            <w:shd w:val="clear" w:color="auto" w:fill="auto"/>
            <w:noWrap/>
            <w:vAlign w:val="center"/>
            <w:hideMark/>
          </w:tcPr>
          <w:p w14:paraId="001162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323" w:type="dxa"/>
            <w:tcBorders>
              <w:top w:val="nil"/>
              <w:left w:val="nil"/>
              <w:bottom w:val="nil"/>
              <w:right w:val="nil"/>
            </w:tcBorders>
            <w:shd w:val="clear" w:color="auto" w:fill="auto"/>
            <w:noWrap/>
            <w:vAlign w:val="center"/>
            <w:hideMark/>
          </w:tcPr>
          <w:p w14:paraId="35EBBF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66.64</w:t>
            </w:r>
          </w:p>
        </w:tc>
        <w:tc>
          <w:tcPr>
            <w:tcW w:w="1373" w:type="dxa"/>
            <w:tcBorders>
              <w:top w:val="nil"/>
              <w:left w:val="nil"/>
              <w:bottom w:val="nil"/>
              <w:right w:val="nil"/>
            </w:tcBorders>
            <w:shd w:val="clear" w:color="auto" w:fill="auto"/>
            <w:noWrap/>
            <w:vAlign w:val="center"/>
            <w:hideMark/>
          </w:tcPr>
          <w:p w14:paraId="302FB9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99.50</w:t>
            </w:r>
          </w:p>
        </w:tc>
        <w:tc>
          <w:tcPr>
            <w:tcW w:w="1412" w:type="dxa"/>
            <w:tcBorders>
              <w:top w:val="nil"/>
              <w:left w:val="nil"/>
              <w:bottom w:val="nil"/>
              <w:right w:val="nil"/>
            </w:tcBorders>
            <w:shd w:val="clear" w:color="auto" w:fill="auto"/>
            <w:noWrap/>
            <w:vAlign w:val="center"/>
            <w:hideMark/>
          </w:tcPr>
          <w:p w14:paraId="31F3E9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67.14</w:t>
            </w:r>
          </w:p>
        </w:tc>
        <w:tc>
          <w:tcPr>
            <w:tcW w:w="1418" w:type="dxa"/>
            <w:tcBorders>
              <w:top w:val="nil"/>
              <w:left w:val="nil"/>
              <w:bottom w:val="nil"/>
              <w:right w:val="nil"/>
            </w:tcBorders>
            <w:shd w:val="clear" w:color="auto" w:fill="auto"/>
            <w:noWrap/>
            <w:vAlign w:val="center"/>
            <w:hideMark/>
          </w:tcPr>
          <w:p w14:paraId="7543A6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98.70</w:t>
            </w:r>
          </w:p>
        </w:tc>
        <w:tc>
          <w:tcPr>
            <w:tcW w:w="1500" w:type="dxa"/>
            <w:tcBorders>
              <w:top w:val="nil"/>
              <w:left w:val="nil"/>
              <w:bottom w:val="nil"/>
              <w:right w:val="nil"/>
            </w:tcBorders>
            <w:shd w:val="clear" w:color="auto" w:fill="auto"/>
            <w:noWrap/>
            <w:vAlign w:val="center"/>
            <w:hideMark/>
          </w:tcPr>
          <w:p w14:paraId="3F61E9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71.41</w:t>
            </w:r>
          </w:p>
        </w:tc>
        <w:tc>
          <w:tcPr>
            <w:tcW w:w="1373" w:type="dxa"/>
            <w:tcBorders>
              <w:top w:val="nil"/>
              <w:left w:val="nil"/>
              <w:bottom w:val="nil"/>
              <w:right w:val="nil"/>
            </w:tcBorders>
            <w:shd w:val="clear" w:color="auto" w:fill="auto"/>
            <w:noWrap/>
            <w:vAlign w:val="center"/>
            <w:hideMark/>
          </w:tcPr>
          <w:p w14:paraId="2A4A78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98.91</w:t>
            </w:r>
          </w:p>
        </w:tc>
        <w:tc>
          <w:tcPr>
            <w:tcW w:w="1379" w:type="dxa"/>
            <w:tcBorders>
              <w:top w:val="nil"/>
              <w:left w:val="nil"/>
              <w:bottom w:val="nil"/>
              <w:right w:val="nil"/>
            </w:tcBorders>
            <w:shd w:val="clear" w:color="auto" w:fill="auto"/>
            <w:noWrap/>
            <w:vAlign w:val="center"/>
            <w:hideMark/>
          </w:tcPr>
          <w:p w14:paraId="060761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41.03</w:t>
            </w:r>
          </w:p>
        </w:tc>
        <w:tc>
          <w:tcPr>
            <w:tcW w:w="1326" w:type="dxa"/>
            <w:tcBorders>
              <w:top w:val="nil"/>
              <w:left w:val="nil"/>
              <w:bottom w:val="nil"/>
              <w:right w:val="nil"/>
            </w:tcBorders>
            <w:shd w:val="clear" w:color="auto" w:fill="auto"/>
            <w:noWrap/>
            <w:vAlign w:val="center"/>
            <w:hideMark/>
          </w:tcPr>
          <w:p w14:paraId="643345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97.41</w:t>
            </w:r>
          </w:p>
        </w:tc>
        <w:tc>
          <w:tcPr>
            <w:tcW w:w="1276" w:type="dxa"/>
            <w:tcBorders>
              <w:top w:val="nil"/>
              <w:left w:val="nil"/>
              <w:bottom w:val="nil"/>
              <w:right w:val="nil"/>
            </w:tcBorders>
            <w:shd w:val="clear" w:color="auto" w:fill="auto"/>
            <w:noWrap/>
            <w:vAlign w:val="center"/>
            <w:hideMark/>
          </w:tcPr>
          <w:p w14:paraId="1DF3E6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65.75</w:t>
            </w:r>
          </w:p>
        </w:tc>
        <w:tc>
          <w:tcPr>
            <w:tcW w:w="1276" w:type="dxa"/>
            <w:tcBorders>
              <w:top w:val="nil"/>
              <w:left w:val="nil"/>
              <w:bottom w:val="nil"/>
              <w:right w:val="nil"/>
            </w:tcBorders>
            <w:shd w:val="clear" w:color="auto" w:fill="auto"/>
            <w:noWrap/>
            <w:vAlign w:val="center"/>
            <w:hideMark/>
          </w:tcPr>
          <w:p w14:paraId="30D76AE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99.42</w:t>
            </w:r>
          </w:p>
        </w:tc>
      </w:tr>
      <w:tr w:rsidR="00961617" w:rsidRPr="00545C7F" w14:paraId="7588D8B9"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5CB68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323" w:type="dxa"/>
            <w:tcBorders>
              <w:top w:val="nil"/>
              <w:left w:val="nil"/>
              <w:bottom w:val="nil"/>
              <w:right w:val="nil"/>
            </w:tcBorders>
            <w:shd w:val="clear" w:color="auto" w:fill="E5E5E5" w:themeFill="background1" w:themeFillTint="33"/>
            <w:noWrap/>
            <w:vAlign w:val="center"/>
            <w:hideMark/>
          </w:tcPr>
          <w:p w14:paraId="1774BC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68.23</w:t>
            </w:r>
          </w:p>
        </w:tc>
        <w:tc>
          <w:tcPr>
            <w:tcW w:w="1373" w:type="dxa"/>
            <w:tcBorders>
              <w:top w:val="nil"/>
              <w:left w:val="nil"/>
              <w:bottom w:val="nil"/>
              <w:right w:val="nil"/>
            </w:tcBorders>
            <w:shd w:val="clear" w:color="auto" w:fill="E5E5E5" w:themeFill="background1" w:themeFillTint="33"/>
            <w:noWrap/>
            <w:vAlign w:val="center"/>
            <w:hideMark/>
          </w:tcPr>
          <w:p w14:paraId="7469ED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99.59</w:t>
            </w:r>
          </w:p>
        </w:tc>
        <w:tc>
          <w:tcPr>
            <w:tcW w:w="1412" w:type="dxa"/>
            <w:tcBorders>
              <w:top w:val="nil"/>
              <w:left w:val="nil"/>
              <w:bottom w:val="nil"/>
              <w:right w:val="nil"/>
            </w:tcBorders>
            <w:shd w:val="clear" w:color="auto" w:fill="E5E5E5" w:themeFill="background1" w:themeFillTint="33"/>
            <w:noWrap/>
            <w:vAlign w:val="center"/>
            <w:hideMark/>
          </w:tcPr>
          <w:p w14:paraId="1ED4EB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68.44</w:t>
            </w:r>
          </w:p>
        </w:tc>
        <w:tc>
          <w:tcPr>
            <w:tcW w:w="1418" w:type="dxa"/>
            <w:tcBorders>
              <w:top w:val="nil"/>
              <w:left w:val="nil"/>
              <w:bottom w:val="nil"/>
              <w:right w:val="nil"/>
            </w:tcBorders>
            <w:shd w:val="clear" w:color="auto" w:fill="E5E5E5" w:themeFill="background1" w:themeFillTint="33"/>
            <w:noWrap/>
            <w:vAlign w:val="center"/>
            <w:hideMark/>
          </w:tcPr>
          <w:p w14:paraId="69569F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98.91</w:t>
            </w:r>
          </w:p>
        </w:tc>
        <w:tc>
          <w:tcPr>
            <w:tcW w:w="1500" w:type="dxa"/>
            <w:tcBorders>
              <w:top w:val="nil"/>
              <w:left w:val="nil"/>
              <w:bottom w:val="nil"/>
              <w:right w:val="nil"/>
            </w:tcBorders>
            <w:shd w:val="clear" w:color="auto" w:fill="E5E5E5" w:themeFill="background1" w:themeFillTint="33"/>
            <w:noWrap/>
            <w:vAlign w:val="center"/>
            <w:hideMark/>
          </w:tcPr>
          <w:p w14:paraId="3B2A86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72.60</w:t>
            </w:r>
          </w:p>
        </w:tc>
        <w:tc>
          <w:tcPr>
            <w:tcW w:w="1373" w:type="dxa"/>
            <w:tcBorders>
              <w:top w:val="nil"/>
              <w:left w:val="nil"/>
              <w:bottom w:val="nil"/>
              <w:right w:val="nil"/>
            </w:tcBorders>
            <w:shd w:val="clear" w:color="auto" w:fill="E5E5E5" w:themeFill="background1" w:themeFillTint="33"/>
            <w:noWrap/>
            <w:vAlign w:val="center"/>
            <w:hideMark/>
          </w:tcPr>
          <w:p w14:paraId="6987C5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99.02</w:t>
            </w:r>
          </w:p>
        </w:tc>
        <w:tc>
          <w:tcPr>
            <w:tcW w:w="1379" w:type="dxa"/>
            <w:tcBorders>
              <w:top w:val="nil"/>
              <w:left w:val="nil"/>
              <w:bottom w:val="nil"/>
              <w:right w:val="nil"/>
            </w:tcBorders>
            <w:shd w:val="clear" w:color="auto" w:fill="E5E5E5" w:themeFill="background1" w:themeFillTint="33"/>
            <w:noWrap/>
            <w:vAlign w:val="center"/>
            <w:hideMark/>
          </w:tcPr>
          <w:p w14:paraId="18A947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42.72</w:t>
            </w:r>
          </w:p>
        </w:tc>
        <w:tc>
          <w:tcPr>
            <w:tcW w:w="1326" w:type="dxa"/>
            <w:tcBorders>
              <w:top w:val="nil"/>
              <w:left w:val="nil"/>
              <w:bottom w:val="nil"/>
              <w:right w:val="nil"/>
            </w:tcBorders>
            <w:shd w:val="clear" w:color="auto" w:fill="E5E5E5" w:themeFill="background1" w:themeFillTint="33"/>
            <w:noWrap/>
            <w:vAlign w:val="center"/>
            <w:hideMark/>
          </w:tcPr>
          <w:p w14:paraId="313871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97.41</w:t>
            </w:r>
          </w:p>
        </w:tc>
        <w:tc>
          <w:tcPr>
            <w:tcW w:w="1276" w:type="dxa"/>
            <w:tcBorders>
              <w:top w:val="nil"/>
              <w:left w:val="nil"/>
              <w:bottom w:val="nil"/>
              <w:right w:val="nil"/>
            </w:tcBorders>
            <w:shd w:val="clear" w:color="auto" w:fill="E5E5E5" w:themeFill="background1" w:themeFillTint="33"/>
            <w:noWrap/>
            <w:vAlign w:val="center"/>
            <w:hideMark/>
          </w:tcPr>
          <w:p w14:paraId="5D730C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67.23</w:t>
            </w:r>
          </w:p>
        </w:tc>
        <w:tc>
          <w:tcPr>
            <w:tcW w:w="1276" w:type="dxa"/>
            <w:tcBorders>
              <w:top w:val="nil"/>
              <w:left w:val="nil"/>
              <w:bottom w:val="nil"/>
              <w:right w:val="nil"/>
            </w:tcBorders>
            <w:shd w:val="clear" w:color="auto" w:fill="E5E5E5" w:themeFill="background1" w:themeFillTint="33"/>
            <w:noWrap/>
            <w:vAlign w:val="center"/>
            <w:hideMark/>
          </w:tcPr>
          <w:p w14:paraId="21C3F488"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99.52</w:t>
            </w:r>
          </w:p>
        </w:tc>
      </w:tr>
      <w:tr w:rsidR="00961617" w:rsidRPr="00545C7F" w14:paraId="42A3CC97" w14:textId="77777777" w:rsidTr="0020771F">
        <w:trPr>
          <w:trHeight w:hRule="exact" w:val="284"/>
        </w:trPr>
        <w:tc>
          <w:tcPr>
            <w:tcW w:w="960" w:type="dxa"/>
            <w:tcBorders>
              <w:top w:val="nil"/>
              <w:left w:val="nil"/>
              <w:bottom w:val="nil"/>
              <w:right w:val="nil"/>
            </w:tcBorders>
            <w:shd w:val="clear" w:color="auto" w:fill="auto"/>
            <w:noWrap/>
            <w:vAlign w:val="center"/>
            <w:hideMark/>
          </w:tcPr>
          <w:p w14:paraId="1DEF30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323" w:type="dxa"/>
            <w:tcBorders>
              <w:top w:val="nil"/>
              <w:left w:val="nil"/>
              <w:bottom w:val="nil"/>
              <w:right w:val="nil"/>
            </w:tcBorders>
            <w:shd w:val="clear" w:color="auto" w:fill="auto"/>
            <w:noWrap/>
            <w:vAlign w:val="center"/>
            <w:hideMark/>
          </w:tcPr>
          <w:p w14:paraId="7C305B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70.02</w:t>
            </w:r>
          </w:p>
        </w:tc>
        <w:tc>
          <w:tcPr>
            <w:tcW w:w="1373" w:type="dxa"/>
            <w:tcBorders>
              <w:top w:val="nil"/>
              <w:left w:val="nil"/>
              <w:bottom w:val="nil"/>
              <w:right w:val="nil"/>
            </w:tcBorders>
            <w:shd w:val="clear" w:color="auto" w:fill="auto"/>
            <w:noWrap/>
            <w:vAlign w:val="center"/>
            <w:hideMark/>
          </w:tcPr>
          <w:p w14:paraId="66436E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99.69</w:t>
            </w:r>
          </w:p>
        </w:tc>
        <w:tc>
          <w:tcPr>
            <w:tcW w:w="1412" w:type="dxa"/>
            <w:tcBorders>
              <w:top w:val="nil"/>
              <w:left w:val="nil"/>
              <w:bottom w:val="nil"/>
              <w:right w:val="nil"/>
            </w:tcBorders>
            <w:shd w:val="clear" w:color="auto" w:fill="auto"/>
            <w:noWrap/>
            <w:vAlign w:val="center"/>
            <w:hideMark/>
          </w:tcPr>
          <w:p w14:paraId="43E223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70.08</w:t>
            </w:r>
          </w:p>
        </w:tc>
        <w:tc>
          <w:tcPr>
            <w:tcW w:w="1418" w:type="dxa"/>
            <w:tcBorders>
              <w:top w:val="nil"/>
              <w:left w:val="nil"/>
              <w:bottom w:val="nil"/>
              <w:right w:val="nil"/>
            </w:tcBorders>
            <w:shd w:val="clear" w:color="auto" w:fill="auto"/>
            <w:noWrap/>
            <w:vAlign w:val="center"/>
            <w:hideMark/>
          </w:tcPr>
          <w:p w14:paraId="556839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99.15</w:t>
            </w:r>
          </w:p>
        </w:tc>
        <w:tc>
          <w:tcPr>
            <w:tcW w:w="1500" w:type="dxa"/>
            <w:tcBorders>
              <w:top w:val="nil"/>
              <w:left w:val="nil"/>
              <w:bottom w:val="nil"/>
              <w:right w:val="nil"/>
            </w:tcBorders>
            <w:shd w:val="clear" w:color="auto" w:fill="auto"/>
            <w:noWrap/>
            <w:vAlign w:val="center"/>
            <w:hideMark/>
          </w:tcPr>
          <w:p w14:paraId="1A6F63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74.02</w:t>
            </w:r>
          </w:p>
        </w:tc>
        <w:tc>
          <w:tcPr>
            <w:tcW w:w="1373" w:type="dxa"/>
            <w:tcBorders>
              <w:top w:val="nil"/>
              <w:left w:val="nil"/>
              <w:bottom w:val="nil"/>
              <w:right w:val="nil"/>
            </w:tcBorders>
            <w:shd w:val="clear" w:color="auto" w:fill="auto"/>
            <w:noWrap/>
            <w:vAlign w:val="center"/>
            <w:hideMark/>
          </w:tcPr>
          <w:p w14:paraId="3E3A0D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99.24</w:t>
            </w:r>
          </w:p>
        </w:tc>
        <w:tc>
          <w:tcPr>
            <w:tcW w:w="1379" w:type="dxa"/>
            <w:tcBorders>
              <w:top w:val="nil"/>
              <w:left w:val="nil"/>
              <w:bottom w:val="nil"/>
              <w:right w:val="nil"/>
            </w:tcBorders>
            <w:shd w:val="clear" w:color="auto" w:fill="auto"/>
            <w:noWrap/>
            <w:vAlign w:val="center"/>
            <w:hideMark/>
          </w:tcPr>
          <w:p w14:paraId="5427A9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45.17</w:t>
            </w:r>
          </w:p>
        </w:tc>
        <w:tc>
          <w:tcPr>
            <w:tcW w:w="1326" w:type="dxa"/>
            <w:tcBorders>
              <w:top w:val="nil"/>
              <w:left w:val="nil"/>
              <w:bottom w:val="nil"/>
              <w:right w:val="nil"/>
            </w:tcBorders>
            <w:shd w:val="clear" w:color="auto" w:fill="auto"/>
            <w:noWrap/>
            <w:vAlign w:val="center"/>
            <w:hideMark/>
          </w:tcPr>
          <w:p w14:paraId="109F73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97.84</w:t>
            </w:r>
          </w:p>
        </w:tc>
        <w:tc>
          <w:tcPr>
            <w:tcW w:w="1276" w:type="dxa"/>
            <w:tcBorders>
              <w:top w:val="nil"/>
              <w:left w:val="nil"/>
              <w:bottom w:val="nil"/>
              <w:right w:val="nil"/>
            </w:tcBorders>
            <w:shd w:val="clear" w:color="auto" w:fill="auto"/>
            <w:noWrap/>
            <w:vAlign w:val="center"/>
            <w:hideMark/>
          </w:tcPr>
          <w:p w14:paraId="502ACF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68.99</w:t>
            </w:r>
          </w:p>
        </w:tc>
        <w:tc>
          <w:tcPr>
            <w:tcW w:w="1276" w:type="dxa"/>
            <w:tcBorders>
              <w:top w:val="nil"/>
              <w:left w:val="nil"/>
              <w:bottom w:val="nil"/>
              <w:right w:val="nil"/>
            </w:tcBorders>
            <w:shd w:val="clear" w:color="auto" w:fill="auto"/>
            <w:noWrap/>
            <w:vAlign w:val="center"/>
            <w:hideMark/>
          </w:tcPr>
          <w:p w14:paraId="155D982E"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99.64</w:t>
            </w:r>
          </w:p>
        </w:tc>
      </w:tr>
      <w:tr w:rsidR="00961617" w:rsidRPr="00545C7F" w14:paraId="35EB91D5"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0EC99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323" w:type="dxa"/>
            <w:tcBorders>
              <w:top w:val="nil"/>
              <w:left w:val="nil"/>
              <w:bottom w:val="nil"/>
              <w:right w:val="nil"/>
            </w:tcBorders>
            <w:shd w:val="clear" w:color="auto" w:fill="E5E5E5" w:themeFill="background1" w:themeFillTint="33"/>
            <w:noWrap/>
            <w:vAlign w:val="center"/>
            <w:hideMark/>
          </w:tcPr>
          <w:p w14:paraId="2FC297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71.44</w:t>
            </w:r>
          </w:p>
        </w:tc>
        <w:tc>
          <w:tcPr>
            <w:tcW w:w="1373" w:type="dxa"/>
            <w:tcBorders>
              <w:top w:val="nil"/>
              <w:left w:val="nil"/>
              <w:bottom w:val="nil"/>
              <w:right w:val="nil"/>
            </w:tcBorders>
            <w:shd w:val="clear" w:color="auto" w:fill="E5E5E5" w:themeFill="background1" w:themeFillTint="33"/>
            <w:noWrap/>
            <w:vAlign w:val="center"/>
            <w:hideMark/>
          </w:tcPr>
          <w:p w14:paraId="5746C2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99.74</w:t>
            </w:r>
          </w:p>
        </w:tc>
        <w:tc>
          <w:tcPr>
            <w:tcW w:w="1412" w:type="dxa"/>
            <w:tcBorders>
              <w:top w:val="nil"/>
              <w:left w:val="nil"/>
              <w:bottom w:val="nil"/>
              <w:right w:val="nil"/>
            </w:tcBorders>
            <w:shd w:val="clear" w:color="auto" w:fill="E5E5E5" w:themeFill="background1" w:themeFillTint="33"/>
            <w:noWrap/>
            <w:vAlign w:val="center"/>
            <w:hideMark/>
          </w:tcPr>
          <w:p w14:paraId="50AC34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71.47</w:t>
            </w:r>
          </w:p>
        </w:tc>
        <w:tc>
          <w:tcPr>
            <w:tcW w:w="1418" w:type="dxa"/>
            <w:tcBorders>
              <w:top w:val="nil"/>
              <w:left w:val="nil"/>
              <w:bottom w:val="nil"/>
              <w:right w:val="nil"/>
            </w:tcBorders>
            <w:shd w:val="clear" w:color="auto" w:fill="E5E5E5" w:themeFill="background1" w:themeFillTint="33"/>
            <w:noWrap/>
            <w:vAlign w:val="center"/>
            <w:hideMark/>
          </w:tcPr>
          <w:p w14:paraId="795A65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99.35</w:t>
            </w:r>
          </w:p>
        </w:tc>
        <w:tc>
          <w:tcPr>
            <w:tcW w:w="1500" w:type="dxa"/>
            <w:tcBorders>
              <w:top w:val="nil"/>
              <w:left w:val="nil"/>
              <w:bottom w:val="nil"/>
              <w:right w:val="nil"/>
            </w:tcBorders>
            <w:shd w:val="clear" w:color="auto" w:fill="E5E5E5" w:themeFill="background1" w:themeFillTint="33"/>
            <w:noWrap/>
            <w:vAlign w:val="center"/>
            <w:hideMark/>
          </w:tcPr>
          <w:p w14:paraId="1C0555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75.14</w:t>
            </w:r>
          </w:p>
        </w:tc>
        <w:tc>
          <w:tcPr>
            <w:tcW w:w="1373" w:type="dxa"/>
            <w:tcBorders>
              <w:top w:val="nil"/>
              <w:left w:val="nil"/>
              <w:bottom w:val="nil"/>
              <w:right w:val="nil"/>
            </w:tcBorders>
            <w:shd w:val="clear" w:color="auto" w:fill="E5E5E5" w:themeFill="background1" w:themeFillTint="33"/>
            <w:noWrap/>
            <w:vAlign w:val="center"/>
            <w:hideMark/>
          </w:tcPr>
          <w:p w14:paraId="13AEA5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99.35</w:t>
            </w:r>
          </w:p>
        </w:tc>
        <w:tc>
          <w:tcPr>
            <w:tcW w:w="1379" w:type="dxa"/>
            <w:tcBorders>
              <w:top w:val="nil"/>
              <w:left w:val="nil"/>
              <w:bottom w:val="nil"/>
              <w:right w:val="nil"/>
            </w:tcBorders>
            <w:shd w:val="clear" w:color="auto" w:fill="E5E5E5" w:themeFill="background1" w:themeFillTint="33"/>
            <w:noWrap/>
            <w:vAlign w:val="center"/>
            <w:hideMark/>
          </w:tcPr>
          <w:p w14:paraId="2E00FC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47.13</w:t>
            </w:r>
          </w:p>
        </w:tc>
        <w:tc>
          <w:tcPr>
            <w:tcW w:w="1326" w:type="dxa"/>
            <w:tcBorders>
              <w:top w:val="nil"/>
              <w:left w:val="nil"/>
              <w:bottom w:val="nil"/>
              <w:right w:val="nil"/>
            </w:tcBorders>
            <w:shd w:val="clear" w:color="auto" w:fill="E5E5E5" w:themeFill="background1" w:themeFillTint="33"/>
            <w:noWrap/>
            <w:vAlign w:val="center"/>
            <w:hideMark/>
          </w:tcPr>
          <w:p w14:paraId="76D78F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98.28</w:t>
            </w:r>
          </w:p>
        </w:tc>
        <w:tc>
          <w:tcPr>
            <w:tcW w:w="1276" w:type="dxa"/>
            <w:tcBorders>
              <w:top w:val="nil"/>
              <w:left w:val="nil"/>
              <w:bottom w:val="nil"/>
              <w:right w:val="nil"/>
            </w:tcBorders>
            <w:shd w:val="clear" w:color="auto" w:fill="E5E5E5" w:themeFill="background1" w:themeFillTint="33"/>
            <w:noWrap/>
            <w:vAlign w:val="center"/>
            <w:hideMark/>
          </w:tcPr>
          <w:p w14:paraId="469CDE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70.41</w:t>
            </w:r>
          </w:p>
        </w:tc>
        <w:tc>
          <w:tcPr>
            <w:tcW w:w="1276" w:type="dxa"/>
            <w:tcBorders>
              <w:top w:val="nil"/>
              <w:left w:val="nil"/>
              <w:bottom w:val="nil"/>
              <w:right w:val="nil"/>
            </w:tcBorders>
            <w:shd w:val="clear" w:color="auto" w:fill="E5E5E5" w:themeFill="background1" w:themeFillTint="33"/>
            <w:noWrap/>
            <w:vAlign w:val="center"/>
            <w:hideMark/>
          </w:tcPr>
          <w:p w14:paraId="0B0E129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99.70</w:t>
            </w:r>
          </w:p>
        </w:tc>
      </w:tr>
      <w:tr w:rsidR="00961617" w:rsidRPr="00545C7F" w14:paraId="7EDD0282" w14:textId="77777777" w:rsidTr="0020771F">
        <w:trPr>
          <w:trHeight w:hRule="exact" w:val="284"/>
        </w:trPr>
        <w:tc>
          <w:tcPr>
            <w:tcW w:w="960" w:type="dxa"/>
            <w:tcBorders>
              <w:top w:val="nil"/>
              <w:left w:val="nil"/>
              <w:bottom w:val="nil"/>
              <w:right w:val="nil"/>
            </w:tcBorders>
            <w:shd w:val="clear" w:color="auto" w:fill="auto"/>
            <w:noWrap/>
            <w:vAlign w:val="center"/>
            <w:hideMark/>
          </w:tcPr>
          <w:p w14:paraId="294658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323" w:type="dxa"/>
            <w:tcBorders>
              <w:top w:val="nil"/>
              <w:left w:val="nil"/>
              <w:bottom w:val="nil"/>
              <w:right w:val="nil"/>
            </w:tcBorders>
            <w:shd w:val="clear" w:color="auto" w:fill="auto"/>
            <w:noWrap/>
            <w:vAlign w:val="center"/>
            <w:hideMark/>
          </w:tcPr>
          <w:p w14:paraId="0AC18C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72.43</w:t>
            </w:r>
          </w:p>
        </w:tc>
        <w:tc>
          <w:tcPr>
            <w:tcW w:w="1373" w:type="dxa"/>
            <w:tcBorders>
              <w:top w:val="nil"/>
              <w:left w:val="nil"/>
              <w:bottom w:val="nil"/>
              <w:right w:val="nil"/>
            </w:tcBorders>
            <w:shd w:val="clear" w:color="auto" w:fill="auto"/>
            <w:noWrap/>
            <w:vAlign w:val="center"/>
            <w:hideMark/>
          </w:tcPr>
          <w:p w14:paraId="3E2E1C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99.77</w:t>
            </w:r>
          </w:p>
        </w:tc>
        <w:tc>
          <w:tcPr>
            <w:tcW w:w="1412" w:type="dxa"/>
            <w:tcBorders>
              <w:top w:val="nil"/>
              <w:left w:val="nil"/>
              <w:bottom w:val="nil"/>
              <w:right w:val="nil"/>
            </w:tcBorders>
            <w:shd w:val="clear" w:color="auto" w:fill="auto"/>
            <w:noWrap/>
            <w:vAlign w:val="center"/>
            <w:hideMark/>
          </w:tcPr>
          <w:p w14:paraId="09FE11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72.43</w:t>
            </w:r>
          </w:p>
        </w:tc>
        <w:tc>
          <w:tcPr>
            <w:tcW w:w="1418" w:type="dxa"/>
            <w:tcBorders>
              <w:top w:val="nil"/>
              <w:left w:val="nil"/>
              <w:bottom w:val="nil"/>
              <w:right w:val="nil"/>
            </w:tcBorders>
            <w:shd w:val="clear" w:color="auto" w:fill="auto"/>
            <w:noWrap/>
            <w:vAlign w:val="center"/>
            <w:hideMark/>
          </w:tcPr>
          <w:p w14:paraId="72EC5E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99.49</w:t>
            </w:r>
          </w:p>
        </w:tc>
        <w:tc>
          <w:tcPr>
            <w:tcW w:w="1500" w:type="dxa"/>
            <w:tcBorders>
              <w:top w:val="nil"/>
              <w:left w:val="nil"/>
              <w:bottom w:val="nil"/>
              <w:right w:val="nil"/>
            </w:tcBorders>
            <w:shd w:val="clear" w:color="auto" w:fill="auto"/>
            <w:noWrap/>
            <w:vAlign w:val="center"/>
            <w:hideMark/>
          </w:tcPr>
          <w:p w14:paraId="70E770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76.11</w:t>
            </w:r>
          </w:p>
        </w:tc>
        <w:tc>
          <w:tcPr>
            <w:tcW w:w="1373" w:type="dxa"/>
            <w:tcBorders>
              <w:top w:val="nil"/>
              <w:left w:val="nil"/>
              <w:bottom w:val="nil"/>
              <w:right w:val="nil"/>
            </w:tcBorders>
            <w:shd w:val="clear" w:color="auto" w:fill="auto"/>
            <w:noWrap/>
            <w:vAlign w:val="center"/>
            <w:hideMark/>
          </w:tcPr>
          <w:p w14:paraId="79E0FA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99.35</w:t>
            </w:r>
          </w:p>
        </w:tc>
        <w:tc>
          <w:tcPr>
            <w:tcW w:w="1379" w:type="dxa"/>
            <w:tcBorders>
              <w:top w:val="nil"/>
              <w:left w:val="nil"/>
              <w:bottom w:val="nil"/>
              <w:right w:val="nil"/>
            </w:tcBorders>
            <w:shd w:val="clear" w:color="auto" w:fill="auto"/>
            <w:noWrap/>
            <w:vAlign w:val="center"/>
            <w:hideMark/>
          </w:tcPr>
          <w:p w14:paraId="4705D0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48.37</w:t>
            </w:r>
          </w:p>
        </w:tc>
        <w:tc>
          <w:tcPr>
            <w:tcW w:w="1326" w:type="dxa"/>
            <w:tcBorders>
              <w:top w:val="nil"/>
              <w:left w:val="nil"/>
              <w:bottom w:val="nil"/>
              <w:right w:val="nil"/>
            </w:tcBorders>
            <w:shd w:val="clear" w:color="auto" w:fill="auto"/>
            <w:noWrap/>
            <w:vAlign w:val="center"/>
            <w:hideMark/>
          </w:tcPr>
          <w:p w14:paraId="4517BA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98.28</w:t>
            </w:r>
          </w:p>
        </w:tc>
        <w:tc>
          <w:tcPr>
            <w:tcW w:w="1276" w:type="dxa"/>
            <w:tcBorders>
              <w:top w:val="nil"/>
              <w:left w:val="nil"/>
              <w:bottom w:val="nil"/>
              <w:right w:val="nil"/>
            </w:tcBorders>
            <w:shd w:val="clear" w:color="auto" w:fill="auto"/>
            <w:noWrap/>
            <w:vAlign w:val="center"/>
            <w:hideMark/>
          </w:tcPr>
          <w:p w14:paraId="3A6379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71.40</w:t>
            </w:r>
          </w:p>
        </w:tc>
        <w:tc>
          <w:tcPr>
            <w:tcW w:w="1276" w:type="dxa"/>
            <w:tcBorders>
              <w:top w:val="nil"/>
              <w:left w:val="nil"/>
              <w:bottom w:val="nil"/>
              <w:right w:val="nil"/>
            </w:tcBorders>
            <w:shd w:val="clear" w:color="auto" w:fill="auto"/>
            <w:noWrap/>
            <w:vAlign w:val="center"/>
            <w:hideMark/>
          </w:tcPr>
          <w:p w14:paraId="152D1DC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99.74</w:t>
            </w:r>
          </w:p>
        </w:tc>
      </w:tr>
      <w:tr w:rsidR="00961617" w:rsidRPr="00545C7F" w14:paraId="781E5928"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FB628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323" w:type="dxa"/>
            <w:tcBorders>
              <w:top w:val="nil"/>
              <w:left w:val="nil"/>
              <w:bottom w:val="nil"/>
              <w:right w:val="nil"/>
            </w:tcBorders>
            <w:shd w:val="clear" w:color="auto" w:fill="E5E5E5" w:themeFill="background1" w:themeFillTint="33"/>
            <w:noWrap/>
            <w:vAlign w:val="center"/>
            <w:hideMark/>
          </w:tcPr>
          <w:p w14:paraId="0A3E24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73.41</w:t>
            </w:r>
          </w:p>
        </w:tc>
        <w:tc>
          <w:tcPr>
            <w:tcW w:w="1373" w:type="dxa"/>
            <w:tcBorders>
              <w:top w:val="nil"/>
              <w:left w:val="nil"/>
              <w:bottom w:val="nil"/>
              <w:right w:val="nil"/>
            </w:tcBorders>
            <w:shd w:val="clear" w:color="auto" w:fill="E5E5E5" w:themeFill="background1" w:themeFillTint="33"/>
            <w:noWrap/>
            <w:vAlign w:val="center"/>
            <w:hideMark/>
          </w:tcPr>
          <w:p w14:paraId="0D1C70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99.81</w:t>
            </w:r>
          </w:p>
        </w:tc>
        <w:tc>
          <w:tcPr>
            <w:tcW w:w="1412" w:type="dxa"/>
            <w:tcBorders>
              <w:top w:val="nil"/>
              <w:left w:val="nil"/>
              <w:bottom w:val="nil"/>
              <w:right w:val="nil"/>
            </w:tcBorders>
            <w:shd w:val="clear" w:color="auto" w:fill="E5E5E5" w:themeFill="background1" w:themeFillTint="33"/>
            <w:noWrap/>
            <w:vAlign w:val="center"/>
            <w:hideMark/>
          </w:tcPr>
          <w:p w14:paraId="17279D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73.31</w:t>
            </w:r>
          </w:p>
        </w:tc>
        <w:tc>
          <w:tcPr>
            <w:tcW w:w="1418" w:type="dxa"/>
            <w:tcBorders>
              <w:top w:val="nil"/>
              <w:left w:val="nil"/>
              <w:bottom w:val="nil"/>
              <w:right w:val="nil"/>
            </w:tcBorders>
            <w:shd w:val="clear" w:color="auto" w:fill="E5E5E5" w:themeFill="background1" w:themeFillTint="33"/>
            <w:noWrap/>
            <w:vAlign w:val="center"/>
            <w:hideMark/>
          </w:tcPr>
          <w:p w14:paraId="65D736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99.57</w:t>
            </w:r>
          </w:p>
        </w:tc>
        <w:tc>
          <w:tcPr>
            <w:tcW w:w="1500" w:type="dxa"/>
            <w:tcBorders>
              <w:top w:val="nil"/>
              <w:left w:val="nil"/>
              <w:bottom w:val="nil"/>
              <w:right w:val="nil"/>
            </w:tcBorders>
            <w:shd w:val="clear" w:color="auto" w:fill="E5E5E5" w:themeFill="background1" w:themeFillTint="33"/>
            <w:noWrap/>
            <w:vAlign w:val="center"/>
            <w:hideMark/>
          </w:tcPr>
          <w:p w14:paraId="0C4467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76.80</w:t>
            </w:r>
          </w:p>
        </w:tc>
        <w:tc>
          <w:tcPr>
            <w:tcW w:w="1373" w:type="dxa"/>
            <w:tcBorders>
              <w:top w:val="nil"/>
              <w:left w:val="nil"/>
              <w:bottom w:val="nil"/>
              <w:right w:val="nil"/>
            </w:tcBorders>
            <w:shd w:val="clear" w:color="auto" w:fill="E5E5E5" w:themeFill="background1" w:themeFillTint="33"/>
            <w:noWrap/>
            <w:vAlign w:val="center"/>
            <w:hideMark/>
          </w:tcPr>
          <w:p w14:paraId="37439F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99.35</w:t>
            </w:r>
          </w:p>
        </w:tc>
        <w:tc>
          <w:tcPr>
            <w:tcW w:w="1379" w:type="dxa"/>
            <w:tcBorders>
              <w:top w:val="nil"/>
              <w:left w:val="nil"/>
              <w:bottom w:val="nil"/>
              <w:right w:val="nil"/>
            </w:tcBorders>
            <w:shd w:val="clear" w:color="auto" w:fill="E5E5E5" w:themeFill="background1" w:themeFillTint="33"/>
            <w:noWrap/>
            <w:vAlign w:val="center"/>
            <w:hideMark/>
          </w:tcPr>
          <w:p w14:paraId="385255B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49.85</w:t>
            </w:r>
          </w:p>
        </w:tc>
        <w:tc>
          <w:tcPr>
            <w:tcW w:w="1326" w:type="dxa"/>
            <w:tcBorders>
              <w:top w:val="nil"/>
              <w:left w:val="nil"/>
              <w:bottom w:val="nil"/>
              <w:right w:val="nil"/>
            </w:tcBorders>
            <w:shd w:val="clear" w:color="auto" w:fill="E5E5E5" w:themeFill="background1" w:themeFillTint="33"/>
            <w:noWrap/>
            <w:vAlign w:val="center"/>
            <w:hideMark/>
          </w:tcPr>
          <w:p w14:paraId="49AF36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98.71</w:t>
            </w:r>
          </w:p>
        </w:tc>
        <w:tc>
          <w:tcPr>
            <w:tcW w:w="1276" w:type="dxa"/>
            <w:tcBorders>
              <w:top w:val="nil"/>
              <w:left w:val="nil"/>
              <w:bottom w:val="nil"/>
              <w:right w:val="nil"/>
            </w:tcBorders>
            <w:shd w:val="clear" w:color="auto" w:fill="E5E5E5" w:themeFill="background1" w:themeFillTint="33"/>
            <w:noWrap/>
            <w:vAlign w:val="center"/>
            <w:hideMark/>
          </w:tcPr>
          <w:p w14:paraId="61C8EC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72.36</w:t>
            </w:r>
          </w:p>
        </w:tc>
        <w:tc>
          <w:tcPr>
            <w:tcW w:w="1276" w:type="dxa"/>
            <w:tcBorders>
              <w:top w:val="nil"/>
              <w:left w:val="nil"/>
              <w:bottom w:val="nil"/>
              <w:right w:val="nil"/>
            </w:tcBorders>
            <w:shd w:val="clear" w:color="auto" w:fill="E5E5E5" w:themeFill="background1" w:themeFillTint="33"/>
            <w:noWrap/>
            <w:vAlign w:val="center"/>
            <w:hideMark/>
          </w:tcPr>
          <w:p w14:paraId="741F842B"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99.78</w:t>
            </w:r>
          </w:p>
        </w:tc>
      </w:tr>
      <w:tr w:rsidR="00961617" w:rsidRPr="00545C7F" w14:paraId="5A8F411C" w14:textId="77777777" w:rsidTr="0020771F">
        <w:trPr>
          <w:trHeight w:hRule="exact" w:val="284"/>
        </w:trPr>
        <w:tc>
          <w:tcPr>
            <w:tcW w:w="960" w:type="dxa"/>
            <w:tcBorders>
              <w:top w:val="nil"/>
              <w:left w:val="nil"/>
              <w:bottom w:val="nil"/>
              <w:right w:val="nil"/>
            </w:tcBorders>
            <w:shd w:val="clear" w:color="auto" w:fill="auto"/>
            <w:noWrap/>
            <w:vAlign w:val="center"/>
            <w:hideMark/>
          </w:tcPr>
          <w:p w14:paraId="3F4F57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323" w:type="dxa"/>
            <w:tcBorders>
              <w:top w:val="nil"/>
              <w:left w:val="nil"/>
              <w:bottom w:val="nil"/>
              <w:right w:val="nil"/>
            </w:tcBorders>
            <w:shd w:val="clear" w:color="auto" w:fill="auto"/>
            <w:noWrap/>
            <w:vAlign w:val="center"/>
            <w:hideMark/>
          </w:tcPr>
          <w:p w14:paraId="61D61E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74.34</w:t>
            </w:r>
          </w:p>
        </w:tc>
        <w:tc>
          <w:tcPr>
            <w:tcW w:w="1373" w:type="dxa"/>
            <w:tcBorders>
              <w:top w:val="nil"/>
              <w:left w:val="nil"/>
              <w:bottom w:val="nil"/>
              <w:right w:val="nil"/>
            </w:tcBorders>
            <w:shd w:val="clear" w:color="auto" w:fill="auto"/>
            <w:noWrap/>
            <w:vAlign w:val="center"/>
            <w:hideMark/>
          </w:tcPr>
          <w:p w14:paraId="6E69D2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99.83</w:t>
            </w:r>
          </w:p>
        </w:tc>
        <w:tc>
          <w:tcPr>
            <w:tcW w:w="1412" w:type="dxa"/>
            <w:tcBorders>
              <w:top w:val="nil"/>
              <w:left w:val="nil"/>
              <w:bottom w:val="nil"/>
              <w:right w:val="nil"/>
            </w:tcBorders>
            <w:shd w:val="clear" w:color="auto" w:fill="auto"/>
            <w:noWrap/>
            <w:vAlign w:val="center"/>
            <w:hideMark/>
          </w:tcPr>
          <w:p w14:paraId="6CAE31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74.27</w:t>
            </w:r>
          </w:p>
        </w:tc>
        <w:tc>
          <w:tcPr>
            <w:tcW w:w="1418" w:type="dxa"/>
            <w:tcBorders>
              <w:top w:val="nil"/>
              <w:left w:val="nil"/>
              <w:bottom w:val="nil"/>
              <w:right w:val="nil"/>
            </w:tcBorders>
            <w:shd w:val="clear" w:color="auto" w:fill="auto"/>
            <w:noWrap/>
            <w:vAlign w:val="center"/>
            <w:hideMark/>
          </w:tcPr>
          <w:p w14:paraId="71BD01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99.67</w:t>
            </w:r>
          </w:p>
        </w:tc>
        <w:tc>
          <w:tcPr>
            <w:tcW w:w="1500" w:type="dxa"/>
            <w:tcBorders>
              <w:top w:val="nil"/>
              <w:left w:val="nil"/>
              <w:bottom w:val="nil"/>
              <w:right w:val="nil"/>
            </w:tcBorders>
            <w:shd w:val="clear" w:color="auto" w:fill="auto"/>
            <w:noWrap/>
            <w:vAlign w:val="center"/>
            <w:hideMark/>
          </w:tcPr>
          <w:p w14:paraId="7AE2CC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77.65</w:t>
            </w:r>
          </w:p>
        </w:tc>
        <w:tc>
          <w:tcPr>
            <w:tcW w:w="1373" w:type="dxa"/>
            <w:tcBorders>
              <w:top w:val="nil"/>
              <w:left w:val="nil"/>
              <w:bottom w:val="nil"/>
              <w:right w:val="nil"/>
            </w:tcBorders>
            <w:shd w:val="clear" w:color="auto" w:fill="auto"/>
            <w:noWrap/>
            <w:vAlign w:val="center"/>
            <w:hideMark/>
          </w:tcPr>
          <w:p w14:paraId="69DA89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99.35</w:t>
            </w:r>
          </w:p>
        </w:tc>
        <w:tc>
          <w:tcPr>
            <w:tcW w:w="1379" w:type="dxa"/>
            <w:tcBorders>
              <w:top w:val="nil"/>
              <w:left w:val="nil"/>
              <w:bottom w:val="nil"/>
              <w:right w:val="nil"/>
            </w:tcBorders>
            <w:shd w:val="clear" w:color="auto" w:fill="auto"/>
            <w:noWrap/>
            <w:vAlign w:val="center"/>
            <w:hideMark/>
          </w:tcPr>
          <w:p w14:paraId="7FE3D6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51.39</w:t>
            </w:r>
          </w:p>
        </w:tc>
        <w:tc>
          <w:tcPr>
            <w:tcW w:w="1326" w:type="dxa"/>
            <w:tcBorders>
              <w:top w:val="nil"/>
              <w:left w:val="nil"/>
              <w:bottom w:val="nil"/>
              <w:right w:val="nil"/>
            </w:tcBorders>
            <w:shd w:val="clear" w:color="auto" w:fill="auto"/>
            <w:noWrap/>
            <w:vAlign w:val="center"/>
            <w:hideMark/>
          </w:tcPr>
          <w:p w14:paraId="62A242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98.71</w:t>
            </w:r>
          </w:p>
        </w:tc>
        <w:tc>
          <w:tcPr>
            <w:tcW w:w="1276" w:type="dxa"/>
            <w:tcBorders>
              <w:top w:val="nil"/>
              <w:left w:val="nil"/>
              <w:bottom w:val="nil"/>
              <w:right w:val="nil"/>
            </w:tcBorders>
            <w:shd w:val="clear" w:color="auto" w:fill="auto"/>
            <w:noWrap/>
            <w:vAlign w:val="center"/>
            <w:hideMark/>
          </w:tcPr>
          <w:p w14:paraId="05D2E8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73.32</w:t>
            </w:r>
          </w:p>
        </w:tc>
        <w:tc>
          <w:tcPr>
            <w:tcW w:w="1276" w:type="dxa"/>
            <w:tcBorders>
              <w:top w:val="nil"/>
              <w:left w:val="nil"/>
              <w:bottom w:val="nil"/>
              <w:right w:val="nil"/>
            </w:tcBorders>
            <w:shd w:val="clear" w:color="auto" w:fill="auto"/>
            <w:noWrap/>
            <w:vAlign w:val="center"/>
            <w:hideMark/>
          </w:tcPr>
          <w:p w14:paraId="072CBE5A"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99.81</w:t>
            </w:r>
          </w:p>
        </w:tc>
      </w:tr>
      <w:tr w:rsidR="00961617" w:rsidRPr="00545C7F" w14:paraId="5E6B68BE"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44C1B4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323" w:type="dxa"/>
            <w:tcBorders>
              <w:top w:val="nil"/>
              <w:left w:val="nil"/>
              <w:bottom w:val="nil"/>
              <w:right w:val="nil"/>
            </w:tcBorders>
            <w:shd w:val="clear" w:color="auto" w:fill="E5E5E5" w:themeFill="background1" w:themeFillTint="33"/>
            <w:noWrap/>
            <w:vAlign w:val="center"/>
            <w:hideMark/>
          </w:tcPr>
          <w:p w14:paraId="5640F5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75.20</w:t>
            </w:r>
          </w:p>
        </w:tc>
        <w:tc>
          <w:tcPr>
            <w:tcW w:w="1373" w:type="dxa"/>
            <w:tcBorders>
              <w:top w:val="nil"/>
              <w:left w:val="nil"/>
              <w:bottom w:val="nil"/>
              <w:right w:val="nil"/>
            </w:tcBorders>
            <w:shd w:val="clear" w:color="auto" w:fill="E5E5E5" w:themeFill="background1" w:themeFillTint="33"/>
            <w:noWrap/>
            <w:vAlign w:val="center"/>
            <w:hideMark/>
          </w:tcPr>
          <w:p w14:paraId="151568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99.87</w:t>
            </w:r>
          </w:p>
        </w:tc>
        <w:tc>
          <w:tcPr>
            <w:tcW w:w="1412" w:type="dxa"/>
            <w:tcBorders>
              <w:top w:val="nil"/>
              <w:left w:val="nil"/>
              <w:bottom w:val="nil"/>
              <w:right w:val="nil"/>
            </w:tcBorders>
            <w:shd w:val="clear" w:color="auto" w:fill="E5E5E5" w:themeFill="background1" w:themeFillTint="33"/>
            <w:noWrap/>
            <w:vAlign w:val="center"/>
            <w:hideMark/>
          </w:tcPr>
          <w:p w14:paraId="714610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75.01</w:t>
            </w:r>
          </w:p>
        </w:tc>
        <w:tc>
          <w:tcPr>
            <w:tcW w:w="1418" w:type="dxa"/>
            <w:tcBorders>
              <w:top w:val="nil"/>
              <w:left w:val="nil"/>
              <w:bottom w:val="nil"/>
              <w:right w:val="nil"/>
            </w:tcBorders>
            <w:shd w:val="clear" w:color="auto" w:fill="E5E5E5" w:themeFill="background1" w:themeFillTint="33"/>
            <w:noWrap/>
            <w:vAlign w:val="center"/>
            <w:hideMark/>
          </w:tcPr>
          <w:p w14:paraId="27F394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99.76</w:t>
            </w:r>
          </w:p>
        </w:tc>
        <w:tc>
          <w:tcPr>
            <w:tcW w:w="1500" w:type="dxa"/>
            <w:tcBorders>
              <w:top w:val="nil"/>
              <w:left w:val="nil"/>
              <w:bottom w:val="nil"/>
              <w:right w:val="nil"/>
            </w:tcBorders>
            <w:shd w:val="clear" w:color="auto" w:fill="E5E5E5" w:themeFill="background1" w:themeFillTint="33"/>
            <w:noWrap/>
            <w:vAlign w:val="center"/>
            <w:hideMark/>
          </w:tcPr>
          <w:p w14:paraId="4684A9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78.55</w:t>
            </w:r>
          </w:p>
        </w:tc>
        <w:tc>
          <w:tcPr>
            <w:tcW w:w="1373" w:type="dxa"/>
            <w:tcBorders>
              <w:top w:val="nil"/>
              <w:left w:val="nil"/>
              <w:bottom w:val="nil"/>
              <w:right w:val="nil"/>
            </w:tcBorders>
            <w:shd w:val="clear" w:color="auto" w:fill="E5E5E5" w:themeFill="background1" w:themeFillTint="33"/>
            <w:noWrap/>
            <w:vAlign w:val="center"/>
            <w:hideMark/>
          </w:tcPr>
          <w:p w14:paraId="6A57D1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99.56</w:t>
            </w:r>
          </w:p>
        </w:tc>
        <w:tc>
          <w:tcPr>
            <w:tcW w:w="1379" w:type="dxa"/>
            <w:tcBorders>
              <w:top w:val="nil"/>
              <w:left w:val="nil"/>
              <w:bottom w:val="nil"/>
              <w:right w:val="nil"/>
            </w:tcBorders>
            <w:shd w:val="clear" w:color="auto" w:fill="E5E5E5" w:themeFill="background1" w:themeFillTint="33"/>
            <w:noWrap/>
            <w:vAlign w:val="center"/>
            <w:hideMark/>
          </w:tcPr>
          <w:p w14:paraId="461804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52.60</w:t>
            </w:r>
          </w:p>
        </w:tc>
        <w:tc>
          <w:tcPr>
            <w:tcW w:w="1326" w:type="dxa"/>
            <w:tcBorders>
              <w:top w:val="nil"/>
              <w:left w:val="nil"/>
              <w:bottom w:val="nil"/>
              <w:right w:val="nil"/>
            </w:tcBorders>
            <w:shd w:val="clear" w:color="auto" w:fill="E5E5E5" w:themeFill="background1" w:themeFillTint="33"/>
            <w:noWrap/>
            <w:vAlign w:val="center"/>
            <w:hideMark/>
          </w:tcPr>
          <w:p w14:paraId="227485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98.71</w:t>
            </w:r>
          </w:p>
        </w:tc>
        <w:tc>
          <w:tcPr>
            <w:tcW w:w="1276" w:type="dxa"/>
            <w:tcBorders>
              <w:top w:val="nil"/>
              <w:left w:val="nil"/>
              <w:bottom w:val="nil"/>
              <w:right w:val="nil"/>
            </w:tcBorders>
            <w:shd w:val="clear" w:color="auto" w:fill="E5E5E5" w:themeFill="background1" w:themeFillTint="33"/>
            <w:noWrap/>
            <w:vAlign w:val="center"/>
            <w:hideMark/>
          </w:tcPr>
          <w:p w14:paraId="6B3509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74.18</w:t>
            </w:r>
          </w:p>
        </w:tc>
        <w:tc>
          <w:tcPr>
            <w:tcW w:w="1276" w:type="dxa"/>
            <w:tcBorders>
              <w:top w:val="nil"/>
              <w:left w:val="nil"/>
              <w:bottom w:val="nil"/>
              <w:right w:val="nil"/>
            </w:tcBorders>
            <w:shd w:val="clear" w:color="auto" w:fill="E5E5E5" w:themeFill="background1" w:themeFillTint="33"/>
            <w:noWrap/>
            <w:vAlign w:val="center"/>
            <w:hideMark/>
          </w:tcPr>
          <w:p w14:paraId="6CC50C0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99.85</w:t>
            </w:r>
          </w:p>
        </w:tc>
      </w:tr>
      <w:tr w:rsidR="00961617" w:rsidRPr="00545C7F" w14:paraId="16F8A079" w14:textId="77777777" w:rsidTr="0020771F">
        <w:trPr>
          <w:trHeight w:hRule="exact" w:val="284"/>
        </w:trPr>
        <w:tc>
          <w:tcPr>
            <w:tcW w:w="960" w:type="dxa"/>
            <w:tcBorders>
              <w:top w:val="nil"/>
              <w:left w:val="nil"/>
              <w:bottom w:val="nil"/>
              <w:right w:val="nil"/>
            </w:tcBorders>
            <w:shd w:val="clear" w:color="auto" w:fill="auto"/>
            <w:noWrap/>
            <w:vAlign w:val="center"/>
            <w:hideMark/>
          </w:tcPr>
          <w:p w14:paraId="599E39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323" w:type="dxa"/>
            <w:tcBorders>
              <w:top w:val="nil"/>
              <w:left w:val="nil"/>
              <w:bottom w:val="nil"/>
              <w:right w:val="nil"/>
            </w:tcBorders>
            <w:shd w:val="clear" w:color="auto" w:fill="auto"/>
            <w:noWrap/>
            <w:vAlign w:val="center"/>
            <w:hideMark/>
          </w:tcPr>
          <w:p w14:paraId="2602AD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76.30</w:t>
            </w:r>
          </w:p>
        </w:tc>
        <w:tc>
          <w:tcPr>
            <w:tcW w:w="1373" w:type="dxa"/>
            <w:tcBorders>
              <w:top w:val="nil"/>
              <w:left w:val="nil"/>
              <w:bottom w:val="nil"/>
              <w:right w:val="nil"/>
            </w:tcBorders>
            <w:shd w:val="clear" w:color="auto" w:fill="auto"/>
            <w:noWrap/>
            <w:vAlign w:val="center"/>
            <w:hideMark/>
          </w:tcPr>
          <w:p w14:paraId="4FCEE9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99.90</w:t>
            </w:r>
          </w:p>
        </w:tc>
        <w:tc>
          <w:tcPr>
            <w:tcW w:w="1412" w:type="dxa"/>
            <w:tcBorders>
              <w:top w:val="nil"/>
              <w:left w:val="nil"/>
              <w:bottom w:val="nil"/>
              <w:right w:val="nil"/>
            </w:tcBorders>
            <w:shd w:val="clear" w:color="auto" w:fill="auto"/>
            <w:noWrap/>
            <w:vAlign w:val="center"/>
            <w:hideMark/>
          </w:tcPr>
          <w:p w14:paraId="4FD5FB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76.03</w:t>
            </w:r>
          </w:p>
        </w:tc>
        <w:tc>
          <w:tcPr>
            <w:tcW w:w="1418" w:type="dxa"/>
            <w:tcBorders>
              <w:top w:val="nil"/>
              <w:left w:val="nil"/>
              <w:bottom w:val="nil"/>
              <w:right w:val="nil"/>
            </w:tcBorders>
            <w:shd w:val="clear" w:color="auto" w:fill="auto"/>
            <w:noWrap/>
            <w:vAlign w:val="center"/>
            <w:hideMark/>
          </w:tcPr>
          <w:p w14:paraId="5F2B09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99.81</w:t>
            </w:r>
          </w:p>
        </w:tc>
        <w:tc>
          <w:tcPr>
            <w:tcW w:w="1500" w:type="dxa"/>
            <w:tcBorders>
              <w:top w:val="nil"/>
              <w:left w:val="nil"/>
              <w:bottom w:val="nil"/>
              <w:right w:val="nil"/>
            </w:tcBorders>
            <w:shd w:val="clear" w:color="auto" w:fill="auto"/>
            <w:noWrap/>
            <w:vAlign w:val="center"/>
            <w:hideMark/>
          </w:tcPr>
          <w:p w14:paraId="110CB5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79.65</w:t>
            </w:r>
          </w:p>
        </w:tc>
        <w:tc>
          <w:tcPr>
            <w:tcW w:w="1373" w:type="dxa"/>
            <w:tcBorders>
              <w:top w:val="nil"/>
              <w:left w:val="nil"/>
              <w:bottom w:val="nil"/>
              <w:right w:val="nil"/>
            </w:tcBorders>
            <w:shd w:val="clear" w:color="auto" w:fill="auto"/>
            <w:noWrap/>
            <w:vAlign w:val="center"/>
            <w:hideMark/>
          </w:tcPr>
          <w:p w14:paraId="2FA776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99.78</w:t>
            </w:r>
          </w:p>
        </w:tc>
        <w:tc>
          <w:tcPr>
            <w:tcW w:w="1379" w:type="dxa"/>
            <w:tcBorders>
              <w:top w:val="nil"/>
              <w:left w:val="nil"/>
              <w:bottom w:val="nil"/>
              <w:right w:val="nil"/>
            </w:tcBorders>
            <w:shd w:val="clear" w:color="auto" w:fill="auto"/>
            <w:noWrap/>
            <w:vAlign w:val="center"/>
            <w:hideMark/>
          </w:tcPr>
          <w:p w14:paraId="466F79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54.18</w:t>
            </w:r>
          </w:p>
        </w:tc>
        <w:tc>
          <w:tcPr>
            <w:tcW w:w="1326" w:type="dxa"/>
            <w:tcBorders>
              <w:top w:val="nil"/>
              <w:left w:val="nil"/>
              <w:bottom w:val="nil"/>
              <w:right w:val="nil"/>
            </w:tcBorders>
            <w:shd w:val="clear" w:color="auto" w:fill="auto"/>
            <w:noWrap/>
            <w:vAlign w:val="center"/>
            <w:hideMark/>
          </w:tcPr>
          <w:p w14:paraId="3D93C7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99.14</w:t>
            </w:r>
          </w:p>
        </w:tc>
        <w:tc>
          <w:tcPr>
            <w:tcW w:w="1276" w:type="dxa"/>
            <w:tcBorders>
              <w:top w:val="nil"/>
              <w:left w:val="nil"/>
              <w:bottom w:val="nil"/>
              <w:right w:val="nil"/>
            </w:tcBorders>
            <w:shd w:val="clear" w:color="auto" w:fill="auto"/>
            <w:noWrap/>
            <w:vAlign w:val="center"/>
            <w:hideMark/>
          </w:tcPr>
          <w:p w14:paraId="69625A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75.28</w:t>
            </w:r>
          </w:p>
        </w:tc>
        <w:tc>
          <w:tcPr>
            <w:tcW w:w="1276" w:type="dxa"/>
            <w:tcBorders>
              <w:top w:val="nil"/>
              <w:left w:val="nil"/>
              <w:bottom w:val="nil"/>
              <w:right w:val="nil"/>
            </w:tcBorders>
            <w:shd w:val="clear" w:color="auto" w:fill="auto"/>
            <w:noWrap/>
            <w:vAlign w:val="center"/>
            <w:hideMark/>
          </w:tcPr>
          <w:p w14:paraId="7D3C8CF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99.89</w:t>
            </w:r>
          </w:p>
        </w:tc>
      </w:tr>
      <w:tr w:rsidR="00961617" w:rsidRPr="00545C7F" w14:paraId="2193A53E"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B30F3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323" w:type="dxa"/>
            <w:tcBorders>
              <w:top w:val="nil"/>
              <w:left w:val="nil"/>
              <w:bottom w:val="nil"/>
              <w:right w:val="nil"/>
            </w:tcBorders>
            <w:shd w:val="clear" w:color="auto" w:fill="E5E5E5" w:themeFill="background1" w:themeFillTint="33"/>
            <w:noWrap/>
            <w:vAlign w:val="center"/>
            <w:hideMark/>
          </w:tcPr>
          <w:p w14:paraId="7FE879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77.72</w:t>
            </w:r>
          </w:p>
        </w:tc>
        <w:tc>
          <w:tcPr>
            <w:tcW w:w="1373" w:type="dxa"/>
            <w:tcBorders>
              <w:top w:val="nil"/>
              <w:left w:val="nil"/>
              <w:bottom w:val="nil"/>
              <w:right w:val="nil"/>
            </w:tcBorders>
            <w:shd w:val="clear" w:color="auto" w:fill="E5E5E5" w:themeFill="background1" w:themeFillTint="33"/>
            <w:noWrap/>
            <w:vAlign w:val="center"/>
            <w:hideMark/>
          </w:tcPr>
          <w:p w14:paraId="147BF7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99.95</w:t>
            </w:r>
          </w:p>
        </w:tc>
        <w:tc>
          <w:tcPr>
            <w:tcW w:w="1412" w:type="dxa"/>
            <w:tcBorders>
              <w:top w:val="nil"/>
              <w:left w:val="nil"/>
              <w:bottom w:val="nil"/>
              <w:right w:val="nil"/>
            </w:tcBorders>
            <w:shd w:val="clear" w:color="auto" w:fill="E5E5E5" w:themeFill="background1" w:themeFillTint="33"/>
            <w:noWrap/>
            <w:vAlign w:val="center"/>
            <w:hideMark/>
          </w:tcPr>
          <w:p w14:paraId="72D3B8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77.50</w:t>
            </w:r>
          </w:p>
        </w:tc>
        <w:tc>
          <w:tcPr>
            <w:tcW w:w="1418" w:type="dxa"/>
            <w:tcBorders>
              <w:top w:val="nil"/>
              <w:left w:val="nil"/>
              <w:bottom w:val="nil"/>
              <w:right w:val="nil"/>
            </w:tcBorders>
            <w:shd w:val="clear" w:color="auto" w:fill="E5E5E5" w:themeFill="background1" w:themeFillTint="33"/>
            <w:noWrap/>
            <w:vAlign w:val="center"/>
            <w:hideMark/>
          </w:tcPr>
          <w:p w14:paraId="3F544B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99.91</w:t>
            </w:r>
          </w:p>
        </w:tc>
        <w:tc>
          <w:tcPr>
            <w:tcW w:w="1500" w:type="dxa"/>
            <w:tcBorders>
              <w:top w:val="nil"/>
              <w:left w:val="nil"/>
              <w:bottom w:val="nil"/>
              <w:right w:val="nil"/>
            </w:tcBorders>
            <w:shd w:val="clear" w:color="auto" w:fill="E5E5E5" w:themeFill="background1" w:themeFillTint="33"/>
            <w:noWrap/>
            <w:vAlign w:val="center"/>
            <w:hideMark/>
          </w:tcPr>
          <w:p w14:paraId="1FDCBD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80.67</w:t>
            </w:r>
          </w:p>
        </w:tc>
        <w:tc>
          <w:tcPr>
            <w:tcW w:w="1373" w:type="dxa"/>
            <w:tcBorders>
              <w:top w:val="nil"/>
              <w:left w:val="nil"/>
              <w:bottom w:val="nil"/>
              <w:right w:val="nil"/>
            </w:tcBorders>
            <w:shd w:val="clear" w:color="auto" w:fill="E5E5E5" w:themeFill="background1" w:themeFillTint="33"/>
            <w:noWrap/>
            <w:vAlign w:val="center"/>
            <w:hideMark/>
          </w:tcPr>
          <w:p w14:paraId="72647B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99.89</w:t>
            </w:r>
          </w:p>
        </w:tc>
        <w:tc>
          <w:tcPr>
            <w:tcW w:w="1379" w:type="dxa"/>
            <w:tcBorders>
              <w:top w:val="nil"/>
              <w:left w:val="nil"/>
              <w:bottom w:val="nil"/>
              <w:right w:val="nil"/>
            </w:tcBorders>
            <w:shd w:val="clear" w:color="auto" w:fill="E5E5E5" w:themeFill="background1" w:themeFillTint="33"/>
            <w:noWrap/>
            <w:vAlign w:val="center"/>
            <w:hideMark/>
          </w:tcPr>
          <w:p w14:paraId="13DCCA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56.34</w:t>
            </w:r>
          </w:p>
        </w:tc>
        <w:tc>
          <w:tcPr>
            <w:tcW w:w="1326" w:type="dxa"/>
            <w:tcBorders>
              <w:top w:val="nil"/>
              <w:left w:val="nil"/>
              <w:bottom w:val="nil"/>
              <w:right w:val="nil"/>
            </w:tcBorders>
            <w:shd w:val="clear" w:color="auto" w:fill="E5E5E5" w:themeFill="background1" w:themeFillTint="33"/>
            <w:noWrap/>
            <w:vAlign w:val="center"/>
            <w:hideMark/>
          </w:tcPr>
          <w:p w14:paraId="184B50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99.57</w:t>
            </w:r>
          </w:p>
        </w:tc>
        <w:tc>
          <w:tcPr>
            <w:tcW w:w="1276" w:type="dxa"/>
            <w:tcBorders>
              <w:top w:val="nil"/>
              <w:left w:val="nil"/>
              <w:bottom w:val="nil"/>
              <w:right w:val="nil"/>
            </w:tcBorders>
            <w:shd w:val="clear" w:color="auto" w:fill="E5E5E5" w:themeFill="background1" w:themeFillTint="33"/>
            <w:noWrap/>
            <w:vAlign w:val="center"/>
            <w:hideMark/>
          </w:tcPr>
          <w:p w14:paraId="1C6324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76.72</w:t>
            </w:r>
          </w:p>
        </w:tc>
        <w:tc>
          <w:tcPr>
            <w:tcW w:w="1276" w:type="dxa"/>
            <w:tcBorders>
              <w:top w:val="nil"/>
              <w:left w:val="nil"/>
              <w:bottom w:val="nil"/>
              <w:right w:val="nil"/>
            </w:tcBorders>
            <w:shd w:val="clear" w:color="auto" w:fill="E5E5E5" w:themeFill="background1" w:themeFillTint="33"/>
            <w:noWrap/>
            <w:vAlign w:val="center"/>
            <w:hideMark/>
          </w:tcPr>
          <w:p w14:paraId="228348F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99.95</w:t>
            </w:r>
          </w:p>
        </w:tc>
      </w:tr>
      <w:tr w:rsidR="00961617" w:rsidRPr="00545C7F" w14:paraId="52D05D49" w14:textId="77777777" w:rsidTr="0020771F">
        <w:trPr>
          <w:trHeight w:hRule="exact" w:val="284"/>
        </w:trPr>
        <w:tc>
          <w:tcPr>
            <w:tcW w:w="960" w:type="dxa"/>
            <w:tcBorders>
              <w:top w:val="nil"/>
              <w:left w:val="nil"/>
              <w:bottom w:val="nil"/>
              <w:right w:val="nil"/>
            </w:tcBorders>
            <w:shd w:val="clear" w:color="auto" w:fill="auto"/>
            <w:noWrap/>
            <w:vAlign w:val="center"/>
            <w:hideMark/>
          </w:tcPr>
          <w:p w14:paraId="383710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323" w:type="dxa"/>
            <w:tcBorders>
              <w:top w:val="nil"/>
              <w:left w:val="nil"/>
              <w:bottom w:val="nil"/>
              <w:right w:val="nil"/>
            </w:tcBorders>
            <w:shd w:val="clear" w:color="auto" w:fill="auto"/>
            <w:noWrap/>
            <w:vAlign w:val="center"/>
            <w:hideMark/>
          </w:tcPr>
          <w:p w14:paraId="33722B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78.81</w:t>
            </w:r>
          </w:p>
        </w:tc>
        <w:tc>
          <w:tcPr>
            <w:tcW w:w="1373" w:type="dxa"/>
            <w:tcBorders>
              <w:top w:val="nil"/>
              <w:left w:val="nil"/>
              <w:bottom w:val="nil"/>
              <w:right w:val="nil"/>
            </w:tcBorders>
            <w:shd w:val="clear" w:color="auto" w:fill="auto"/>
            <w:noWrap/>
            <w:vAlign w:val="center"/>
            <w:hideMark/>
          </w:tcPr>
          <w:p w14:paraId="3DFC07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c>
          <w:tcPr>
            <w:tcW w:w="1412" w:type="dxa"/>
            <w:tcBorders>
              <w:top w:val="nil"/>
              <w:left w:val="nil"/>
              <w:bottom w:val="nil"/>
              <w:right w:val="nil"/>
            </w:tcBorders>
            <w:shd w:val="clear" w:color="auto" w:fill="auto"/>
            <w:noWrap/>
            <w:vAlign w:val="center"/>
            <w:hideMark/>
          </w:tcPr>
          <w:p w14:paraId="08BA60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78.56</w:t>
            </w:r>
          </w:p>
        </w:tc>
        <w:tc>
          <w:tcPr>
            <w:tcW w:w="1418" w:type="dxa"/>
            <w:tcBorders>
              <w:top w:val="nil"/>
              <w:left w:val="nil"/>
              <w:bottom w:val="nil"/>
              <w:right w:val="nil"/>
            </w:tcBorders>
            <w:shd w:val="clear" w:color="auto" w:fill="auto"/>
            <w:noWrap/>
            <w:vAlign w:val="center"/>
            <w:hideMark/>
          </w:tcPr>
          <w:p w14:paraId="710A46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99.97</w:t>
            </w:r>
          </w:p>
        </w:tc>
        <w:tc>
          <w:tcPr>
            <w:tcW w:w="1500" w:type="dxa"/>
            <w:tcBorders>
              <w:top w:val="nil"/>
              <w:left w:val="nil"/>
              <w:bottom w:val="nil"/>
              <w:right w:val="nil"/>
            </w:tcBorders>
            <w:shd w:val="clear" w:color="auto" w:fill="auto"/>
            <w:noWrap/>
            <w:vAlign w:val="center"/>
            <w:hideMark/>
          </w:tcPr>
          <w:p w14:paraId="324ABC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81.28</w:t>
            </w:r>
          </w:p>
        </w:tc>
        <w:tc>
          <w:tcPr>
            <w:tcW w:w="1373" w:type="dxa"/>
            <w:tcBorders>
              <w:top w:val="nil"/>
              <w:left w:val="nil"/>
              <w:bottom w:val="nil"/>
              <w:right w:val="nil"/>
            </w:tcBorders>
            <w:shd w:val="clear" w:color="auto" w:fill="auto"/>
            <w:noWrap/>
            <w:vAlign w:val="center"/>
            <w:hideMark/>
          </w:tcPr>
          <w:p w14:paraId="783423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34358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57.87</w:t>
            </w:r>
          </w:p>
        </w:tc>
        <w:tc>
          <w:tcPr>
            <w:tcW w:w="1326" w:type="dxa"/>
            <w:tcBorders>
              <w:top w:val="nil"/>
              <w:left w:val="nil"/>
              <w:bottom w:val="nil"/>
              <w:right w:val="nil"/>
            </w:tcBorders>
            <w:shd w:val="clear" w:color="auto" w:fill="auto"/>
            <w:noWrap/>
            <w:vAlign w:val="center"/>
            <w:hideMark/>
          </w:tcPr>
          <w:p w14:paraId="49A3D6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2D5DD1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77.79</w:t>
            </w:r>
          </w:p>
        </w:tc>
        <w:tc>
          <w:tcPr>
            <w:tcW w:w="1276" w:type="dxa"/>
            <w:tcBorders>
              <w:top w:val="nil"/>
              <w:left w:val="nil"/>
              <w:bottom w:val="nil"/>
              <w:right w:val="nil"/>
            </w:tcBorders>
            <w:shd w:val="clear" w:color="auto" w:fill="auto"/>
            <w:noWrap/>
            <w:vAlign w:val="center"/>
            <w:hideMark/>
          </w:tcPr>
          <w:p w14:paraId="033CE95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r>
      <w:tr w:rsidR="00961617" w:rsidRPr="00545C7F" w14:paraId="4620A1CD"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E9799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323" w:type="dxa"/>
            <w:tcBorders>
              <w:top w:val="nil"/>
              <w:left w:val="nil"/>
              <w:bottom w:val="nil"/>
              <w:right w:val="nil"/>
            </w:tcBorders>
            <w:shd w:val="clear" w:color="auto" w:fill="E5E5E5" w:themeFill="background1" w:themeFillTint="33"/>
            <w:noWrap/>
            <w:vAlign w:val="center"/>
            <w:hideMark/>
          </w:tcPr>
          <w:p w14:paraId="38EBAE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79.61</w:t>
            </w:r>
          </w:p>
        </w:tc>
        <w:tc>
          <w:tcPr>
            <w:tcW w:w="1373" w:type="dxa"/>
            <w:tcBorders>
              <w:top w:val="nil"/>
              <w:left w:val="nil"/>
              <w:bottom w:val="nil"/>
              <w:right w:val="nil"/>
            </w:tcBorders>
            <w:shd w:val="clear" w:color="auto" w:fill="E5E5E5" w:themeFill="background1" w:themeFillTint="33"/>
            <w:noWrap/>
            <w:vAlign w:val="center"/>
            <w:hideMark/>
          </w:tcPr>
          <w:p w14:paraId="448CF9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412" w:type="dxa"/>
            <w:tcBorders>
              <w:top w:val="nil"/>
              <w:left w:val="nil"/>
              <w:bottom w:val="nil"/>
              <w:right w:val="nil"/>
            </w:tcBorders>
            <w:shd w:val="clear" w:color="auto" w:fill="E5E5E5" w:themeFill="background1" w:themeFillTint="33"/>
            <w:noWrap/>
            <w:vAlign w:val="center"/>
            <w:hideMark/>
          </w:tcPr>
          <w:p w14:paraId="6F45F9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79.40</w:t>
            </w:r>
          </w:p>
        </w:tc>
        <w:tc>
          <w:tcPr>
            <w:tcW w:w="1418" w:type="dxa"/>
            <w:tcBorders>
              <w:top w:val="nil"/>
              <w:left w:val="nil"/>
              <w:bottom w:val="nil"/>
              <w:right w:val="nil"/>
            </w:tcBorders>
            <w:shd w:val="clear" w:color="auto" w:fill="E5E5E5" w:themeFill="background1" w:themeFillTint="33"/>
            <w:noWrap/>
            <w:vAlign w:val="center"/>
            <w:hideMark/>
          </w:tcPr>
          <w:p w14:paraId="6A87A2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99.97</w:t>
            </w:r>
          </w:p>
        </w:tc>
        <w:tc>
          <w:tcPr>
            <w:tcW w:w="1500" w:type="dxa"/>
            <w:tcBorders>
              <w:top w:val="nil"/>
              <w:left w:val="nil"/>
              <w:bottom w:val="nil"/>
              <w:right w:val="nil"/>
            </w:tcBorders>
            <w:shd w:val="clear" w:color="auto" w:fill="E5E5E5" w:themeFill="background1" w:themeFillTint="33"/>
            <w:noWrap/>
            <w:vAlign w:val="center"/>
            <w:hideMark/>
          </w:tcPr>
          <w:p w14:paraId="7078E8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82.01</w:t>
            </w:r>
          </w:p>
        </w:tc>
        <w:tc>
          <w:tcPr>
            <w:tcW w:w="1373" w:type="dxa"/>
            <w:tcBorders>
              <w:top w:val="nil"/>
              <w:left w:val="nil"/>
              <w:bottom w:val="nil"/>
              <w:right w:val="nil"/>
            </w:tcBorders>
            <w:shd w:val="clear" w:color="auto" w:fill="E5E5E5" w:themeFill="background1" w:themeFillTint="33"/>
            <w:noWrap/>
            <w:vAlign w:val="center"/>
            <w:hideMark/>
          </w:tcPr>
          <w:p w14:paraId="698695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B1691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59.30</w:t>
            </w:r>
          </w:p>
        </w:tc>
        <w:tc>
          <w:tcPr>
            <w:tcW w:w="1326" w:type="dxa"/>
            <w:tcBorders>
              <w:top w:val="nil"/>
              <w:left w:val="nil"/>
              <w:bottom w:val="nil"/>
              <w:right w:val="nil"/>
            </w:tcBorders>
            <w:shd w:val="clear" w:color="auto" w:fill="E5E5E5" w:themeFill="background1" w:themeFillTint="33"/>
            <w:noWrap/>
            <w:vAlign w:val="center"/>
            <w:hideMark/>
          </w:tcPr>
          <w:p w14:paraId="5BE742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1DF9F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78.63</w:t>
            </w:r>
          </w:p>
        </w:tc>
        <w:tc>
          <w:tcPr>
            <w:tcW w:w="1276" w:type="dxa"/>
            <w:tcBorders>
              <w:top w:val="nil"/>
              <w:left w:val="nil"/>
              <w:bottom w:val="nil"/>
              <w:right w:val="nil"/>
            </w:tcBorders>
            <w:shd w:val="clear" w:color="auto" w:fill="E5E5E5" w:themeFill="background1" w:themeFillTint="33"/>
            <w:noWrap/>
            <w:vAlign w:val="center"/>
            <w:hideMark/>
          </w:tcPr>
          <w:p w14:paraId="0AF723AF"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r>
      <w:tr w:rsidR="00961617" w:rsidRPr="00545C7F" w14:paraId="5AF500B6" w14:textId="77777777" w:rsidTr="0020771F">
        <w:trPr>
          <w:trHeight w:hRule="exact" w:val="284"/>
        </w:trPr>
        <w:tc>
          <w:tcPr>
            <w:tcW w:w="960" w:type="dxa"/>
            <w:tcBorders>
              <w:top w:val="nil"/>
              <w:left w:val="nil"/>
              <w:bottom w:val="nil"/>
              <w:right w:val="nil"/>
            </w:tcBorders>
            <w:shd w:val="clear" w:color="auto" w:fill="auto"/>
            <w:noWrap/>
            <w:vAlign w:val="center"/>
            <w:hideMark/>
          </w:tcPr>
          <w:p w14:paraId="6CEC1C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323" w:type="dxa"/>
            <w:tcBorders>
              <w:top w:val="nil"/>
              <w:left w:val="nil"/>
              <w:bottom w:val="nil"/>
              <w:right w:val="nil"/>
            </w:tcBorders>
            <w:shd w:val="clear" w:color="auto" w:fill="auto"/>
            <w:noWrap/>
            <w:vAlign w:val="center"/>
            <w:hideMark/>
          </w:tcPr>
          <w:p w14:paraId="39058B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80.29</w:t>
            </w:r>
          </w:p>
        </w:tc>
        <w:tc>
          <w:tcPr>
            <w:tcW w:w="1373" w:type="dxa"/>
            <w:tcBorders>
              <w:top w:val="nil"/>
              <w:left w:val="nil"/>
              <w:bottom w:val="nil"/>
              <w:right w:val="nil"/>
            </w:tcBorders>
            <w:shd w:val="clear" w:color="auto" w:fill="auto"/>
            <w:noWrap/>
            <w:vAlign w:val="center"/>
            <w:hideMark/>
          </w:tcPr>
          <w:p w14:paraId="24C031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412" w:type="dxa"/>
            <w:tcBorders>
              <w:top w:val="nil"/>
              <w:left w:val="nil"/>
              <w:bottom w:val="nil"/>
              <w:right w:val="nil"/>
            </w:tcBorders>
            <w:shd w:val="clear" w:color="auto" w:fill="auto"/>
            <w:noWrap/>
            <w:vAlign w:val="center"/>
            <w:hideMark/>
          </w:tcPr>
          <w:p w14:paraId="7C451B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80.07</w:t>
            </w:r>
          </w:p>
        </w:tc>
        <w:tc>
          <w:tcPr>
            <w:tcW w:w="1418" w:type="dxa"/>
            <w:tcBorders>
              <w:top w:val="nil"/>
              <w:left w:val="nil"/>
              <w:bottom w:val="nil"/>
              <w:right w:val="nil"/>
            </w:tcBorders>
            <w:shd w:val="clear" w:color="auto" w:fill="auto"/>
            <w:noWrap/>
            <w:vAlign w:val="center"/>
            <w:hideMark/>
          </w:tcPr>
          <w:p w14:paraId="022DF3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c>
          <w:tcPr>
            <w:tcW w:w="1500" w:type="dxa"/>
            <w:tcBorders>
              <w:top w:val="nil"/>
              <w:left w:val="nil"/>
              <w:bottom w:val="nil"/>
              <w:right w:val="nil"/>
            </w:tcBorders>
            <w:shd w:val="clear" w:color="auto" w:fill="auto"/>
            <w:noWrap/>
            <w:vAlign w:val="center"/>
            <w:hideMark/>
          </w:tcPr>
          <w:p w14:paraId="37EC69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82.62</w:t>
            </w:r>
          </w:p>
        </w:tc>
        <w:tc>
          <w:tcPr>
            <w:tcW w:w="1373" w:type="dxa"/>
            <w:tcBorders>
              <w:top w:val="nil"/>
              <w:left w:val="nil"/>
              <w:bottom w:val="nil"/>
              <w:right w:val="nil"/>
            </w:tcBorders>
            <w:shd w:val="clear" w:color="auto" w:fill="auto"/>
            <w:noWrap/>
            <w:vAlign w:val="center"/>
            <w:hideMark/>
          </w:tcPr>
          <w:p w14:paraId="038B19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A4BBE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60.21</w:t>
            </w:r>
          </w:p>
        </w:tc>
        <w:tc>
          <w:tcPr>
            <w:tcW w:w="1326" w:type="dxa"/>
            <w:tcBorders>
              <w:top w:val="nil"/>
              <w:left w:val="nil"/>
              <w:bottom w:val="nil"/>
              <w:right w:val="nil"/>
            </w:tcBorders>
            <w:shd w:val="clear" w:color="auto" w:fill="auto"/>
            <w:noWrap/>
            <w:vAlign w:val="center"/>
            <w:hideMark/>
          </w:tcPr>
          <w:p w14:paraId="16D6B9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4693FD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79.31</w:t>
            </w:r>
          </w:p>
        </w:tc>
        <w:tc>
          <w:tcPr>
            <w:tcW w:w="1276" w:type="dxa"/>
            <w:tcBorders>
              <w:top w:val="nil"/>
              <w:left w:val="nil"/>
              <w:bottom w:val="nil"/>
              <w:right w:val="nil"/>
            </w:tcBorders>
            <w:shd w:val="clear" w:color="auto" w:fill="auto"/>
            <w:noWrap/>
            <w:vAlign w:val="center"/>
            <w:hideMark/>
          </w:tcPr>
          <w:p w14:paraId="3678FFAA"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r>
      <w:tr w:rsidR="00961617" w:rsidRPr="00545C7F" w14:paraId="2A2C6AC8"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4292B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323" w:type="dxa"/>
            <w:tcBorders>
              <w:top w:val="nil"/>
              <w:left w:val="nil"/>
              <w:bottom w:val="nil"/>
              <w:right w:val="nil"/>
            </w:tcBorders>
            <w:shd w:val="clear" w:color="auto" w:fill="E5E5E5" w:themeFill="background1" w:themeFillTint="33"/>
            <w:noWrap/>
            <w:vAlign w:val="center"/>
            <w:hideMark/>
          </w:tcPr>
          <w:p w14:paraId="3A81F7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80.92</w:t>
            </w:r>
          </w:p>
        </w:tc>
        <w:tc>
          <w:tcPr>
            <w:tcW w:w="1373" w:type="dxa"/>
            <w:tcBorders>
              <w:top w:val="nil"/>
              <w:left w:val="nil"/>
              <w:bottom w:val="nil"/>
              <w:right w:val="nil"/>
            </w:tcBorders>
            <w:shd w:val="clear" w:color="auto" w:fill="E5E5E5" w:themeFill="background1" w:themeFillTint="33"/>
            <w:noWrap/>
            <w:vAlign w:val="center"/>
            <w:hideMark/>
          </w:tcPr>
          <w:p w14:paraId="26F6DF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7FAC3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80.71</w:t>
            </w:r>
          </w:p>
        </w:tc>
        <w:tc>
          <w:tcPr>
            <w:tcW w:w="1418" w:type="dxa"/>
            <w:tcBorders>
              <w:top w:val="nil"/>
              <w:left w:val="nil"/>
              <w:bottom w:val="nil"/>
              <w:right w:val="nil"/>
            </w:tcBorders>
            <w:shd w:val="clear" w:color="auto" w:fill="E5E5E5" w:themeFill="background1" w:themeFillTint="33"/>
            <w:noWrap/>
            <w:vAlign w:val="center"/>
            <w:hideMark/>
          </w:tcPr>
          <w:p w14:paraId="1A27E5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00" w:type="dxa"/>
            <w:tcBorders>
              <w:top w:val="nil"/>
              <w:left w:val="nil"/>
              <w:bottom w:val="nil"/>
              <w:right w:val="nil"/>
            </w:tcBorders>
            <w:shd w:val="clear" w:color="auto" w:fill="E5E5E5" w:themeFill="background1" w:themeFillTint="33"/>
            <w:noWrap/>
            <w:vAlign w:val="center"/>
            <w:hideMark/>
          </w:tcPr>
          <w:p w14:paraId="0789C2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83.08</w:t>
            </w:r>
          </w:p>
        </w:tc>
        <w:tc>
          <w:tcPr>
            <w:tcW w:w="1373" w:type="dxa"/>
            <w:tcBorders>
              <w:top w:val="nil"/>
              <w:left w:val="nil"/>
              <w:bottom w:val="nil"/>
              <w:right w:val="nil"/>
            </w:tcBorders>
            <w:shd w:val="clear" w:color="auto" w:fill="E5E5E5" w:themeFill="background1" w:themeFillTint="33"/>
            <w:noWrap/>
            <w:vAlign w:val="center"/>
            <w:hideMark/>
          </w:tcPr>
          <w:p w14:paraId="4AE5CF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D5921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61.26</w:t>
            </w:r>
          </w:p>
        </w:tc>
        <w:tc>
          <w:tcPr>
            <w:tcW w:w="1326" w:type="dxa"/>
            <w:tcBorders>
              <w:top w:val="nil"/>
              <w:left w:val="nil"/>
              <w:bottom w:val="nil"/>
              <w:right w:val="nil"/>
            </w:tcBorders>
            <w:shd w:val="clear" w:color="auto" w:fill="E5E5E5" w:themeFill="background1" w:themeFillTint="33"/>
            <w:noWrap/>
            <w:vAlign w:val="center"/>
            <w:hideMark/>
          </w:tcPr>
          <w:p w14:paraId="0F6169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71B9A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79.95</w:t>
            </w:r>
          </w:p>
        </w:tc>
        <w:tc>
          <w:tcPr>
            <w:tcW w:w="1276" w:type="dxa"/>
            <w:tcBorders>
              <w:top w:val="nil"/>
              <w:left w:val="nil"/>
              <w:bottom w:val="nil"/>
              <w:right w:val="nil"/>
            </w:tcBorders>
            <w:shd w:val="clear" w:color="auto" w:fill="E5E5E5" w:themeFill="background1" w:themeFillTint="33"/>
            <w:noWrap/>
            <w:vAlign w:val="center"/>
            <w:hideMark/>
          </w:tcPr>
          <w:p w14:paraId="6902C42A"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C9E91D7" w14:textId="77777777" w:rsidTr="0020771F">
        <w:trPr>
          <w:trHeight w:hRule="exact" w:val="284"/>
        </w:trPr>
        <w:tc>
          <w:tcPr>
            <w:tcW w:w="960" w:type="dxa"/>
            <w:tcBorders>
              <w:top w:val="nil"/>
              <w:left w:val="nil"/>
              <w:bottom w:val="nil"/>
              <w:right w:val="nil"/>
            </w:tcBorders>
            <w:shd w:val="clear" w:color="auto" w:fill="auto"/>
            <w:noWrap/>
            <w:vAlign w:val="center"/>
            <w:hideMark/>
          </w:tcPr>
          <w:p w14:paraId="050947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323" w:type="dxa"/>
            <w:tcBorders>
              <w:top w:val="nil"/>
              <w:left w:val="nil"/>
              <w:bottom w:val="nil"/>
              <w:right w:val="nil"/>
            </w:tcBorders>
            <w:shd w:val="clear" w:color="auto" w:fill="auto"/>
            <w:noWrap/>
            <w:vAlign w:val="center"/>
            <w:hideMark/>
          </w:tcPr>
          <w:p w14:paraId="4FFE94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81.62</w:t>
            </w:r>
          </w:p>
        </w:tc>
        <w:tc>
          <w:tcPr>
            <w:tcW w:w="1373" w:type="dxa"/>
            <w:tcBorders>
              <w:top w:val="nil"/>
              <w:left w:val="nil"/>
              <w:bottom w:val="nil"/>
              <w:right w:val="nil"/>
            </w:tcBorders>
            <w:shd w:val="clear" w:color="auto" w:fill="auto"/>
            <w:noWrap/>
            <w:vAlign w:val="center"/>
            <w:hideMark/>
          </w:tcPr>
          <w:p w14:paraId="749B70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A48A6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81.28</w:t>
            </w:r>
          </w:p>
        </w:tc>
        <w:tc>
          <w:tcPr>
            <w:tcW w:w="1418" w:type="dxa"/>
            <w:tcBorders>
              <w:top w:val="nil"/>
              <w:left w:val="nil"/>
              <w:bottom w:val="nil"/>
              <w:right w:val="nil"/>
            </w:tcBorders>
            <w:shd w:val="clear" w:color="auto" w:fill="auto"/>
            <w:noWrap/>
            <w:vAlign w:val="center"/>
            <w:hideMark/>
          </w:tcPr>
          <w:p w14:paraId="201C7B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00" w:type="dxa"/>
            <w:tcBorders>
              <w:top w:val="nil"/>
              <w:left w:val="nil"/>
              <w:bottom w:val="nil"/>
              <w:right w:val="nil"/>
            </w:tcBorders>
            <w:shd w:val="clear" w:color="auto" w:fill="auto"/>
            <w:noWrap/>
            <w:vAlign w:val="center"/>
            <w:hideMark/>
          </w:tcPr>
          <w:p w14:paraId="7FAD10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83.74</w:t>
            </w:r>
          </w:p>
        </w:tc>
        <w:tc>
          <w:tcPr>
            <w:tcW w:w="1373" w:type="dxa"/>
            <w:tcBorders>
              <w:top w:val="nil"/>
              <w:left w:val="nil"/>
              <w:bottom w:val="nil"/>
              <w:right w:val="nil"/>
            </w:tcBorders>
            <w:shd w:val="clear" w:color="auto" w:fill="auto"/>
            <w:noWrap/>
            <w:vAlign w:val="center"/>
            <w:hideMark/>
          </w:tcPr>
          <w:p w14:paraId="2D4C07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58BD0D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62.68</w:t>
            </w:r>
          </w:p>
        </w:tc>
        <w:tc>
          <w:tcPr>
            <w:tcW w:w="1326" w:type="dxa"/>
            <w:tcBorders>
              <w:top w:val="nil"/>
              <w:left w:val="nil"/>
              <w:bottom w:val="nil"/>
              <w:right w:val="nil"/>
            </w:tcBorders>
            <w:shd w:val="clear" w:color="auto" w:fill="auto"/>
            <w:noWrap/>
            <w:vAlign w:val="center"/>
            <w:hideMark/>
          </w:tcPr>
          <w:p w14:paraId="67C3E5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61414B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80.65</w:t>
            </w:r>
          </w:p>
        </w:tc>
        <w:tc>
          <w:tcPr>
            <w:tcW w:w="1276" w:type="dxa"/>
            <w:tcBorders>
              <w:top w:val="nil"/>
              <w:left w:val="nil"/>
              <w:bottom w:val="nil"/>
              <w:right w:val="nil"/>
            </w:tcBorders>
            <w:shd w:val="clear" w:color="auto" w:fill="auto"/>
            <w:noWrap/>
            <w:vAlign w:val="center"/>
            <w:hideMark/>
          </w:tcPr>
          <w:p w14:paraId="20F40633"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D9666CE"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A4DD1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323" w:type="dxa"/>
            <w:tcBorders>
              <w:top w:val="nil"/>
              <w:left w:val="nil"/>
              <w:bottom w:val="nil"/>
              <w:right w:val="nil"/>
            </w:tcBorders>
            <w:shd w:val="clear" w:color="auto" w:fill="E5E5E5" w:themeFill="background1" w:themeFillTint="33"/>
            <w:noWrap/>
            <w:vAlign w:val="center"/>
            <w:hideMark/>
          </w:tcPr>
          <w:p w14:paraId="166EDB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82.35</w:t>
            </w:r>
          </w:p>
        </w:tc>
        <w:tc>
          <w:tcPr>
            <w:tcW w:w="1373" w:type="dxa"/>
            <w:tcBorders>
              <w:top w:val="nil"/>
              <w:left w:val="nil"/>
              <w:bottom w:val="nil"/>
              <w:right w:val="nil"/>
            </w:tcBorders>
            <w:shd w:val="clear" w:color="auto" w:fill="E5E5E5" w:themeFill="background1" w:themeFillTint="33"/>
            <w:noWrap/>
            <w:vAlign w:val="center"/>
            <w:hideMark/>
          </w:tcPr>
          <w:p w14:paraId="35E321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591E8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82.09</w:t>
            </w:r>
          </w:p>
        </w:tc>
        <w:tc>
          <w:tcPr>
            <w:tcW w:w="1418" w:type="dxa"/>
            <w:tcBorders>
              <w:top w:val="nil"/>
              <w:left w:val="nil"/>
              <w:bottom w:val="nil"/>
              <w:right w:val="nil"/>
            </w:tcBorders>
            <w:shd w:val="clear" w:color="auto" w:fill="E5E5E5" w:themeFill="background1" w:themeFillTint="33"/>
            <w:noWrap/>
            <w:vAlign w:val="center"/>
            <w:hideMark/>
          </w:tcPr>
          <w:p w14:paraId="299875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00" w:type="dxa"/>
            <w:tcBorders>
              <w:top w:val="nil"/>
              <w:left w:val="nil"/>
              <w:bottom w:val="nil"/>
              <w:right w:val="nil"/>
            </w:tcBorders>
            <w:shd w:val="clear" w:color="auto" w:fill="E5E5E5" w:themeFill="background1" w:themeFillTint="33"/>
            <w:noWrap/>
            <w:vAlign w:val="center"/>
            <w:hideMark/>
          </w:tcPr>
          <w:p w14:paraId="58CED6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84.35</w:t>
            </w:r>
          </w:p>
        </w:tc>
        <w:tc>
          <w:tcPr>
            <w:tcW w:w="1373" w:type="dxa"/>
            <w:tcBorders>
              <w:top w:val="nil"/>
              <w:left w:val="nil"/>
              <w:bottom w:val="nil"/>
              <w:right w:val="nil"/>
            </w:tcBorders>
            <w:shd w:val="clear" w:color="auto" w:fill="E5E5E5" w:themeFill="background1" w:themeFillTint="33"/>
            <w:noWrap/>
            <w:vAlign w:val="center"/>
            <w:hideMark/>
          </w:tcPr>
          <w:p w14:paraId="12190B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5E2FA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63.87</w:t>
            </w:r>
          </w:p>
        </w:tc>
        <w:tc>
          <w:tcPr>
            <w:tcW w:w="1326" w:type="dxa"/>
            <w:tcBorders>
              <w:top w:val="nil"/>
              <w:left w:val="nil"/>
              <w:bottom w:val="nil"/>
              <w:right w:val="nil"/>
            </w:tcBorders>
            <w:shd w:val="clear" w:color="auto" w:fill="E5E5E5" w:themeFill="background1" w:themeFillTint="33"/>
            <w:noWrap/>
            <w:vAlign w:val="center"/>
            <w:hideMark/>
          </w:tcPr>
          <w:p w14:paraId="4F9E4E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733D0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81.42</w:t>
            </w:r>
          </w:p>
        </w:tc>
        <w:tc>
          <w:tcPr>
            <w:tcW w:w="1276" w:type="dxa"/>
            <w:tcBorders>
              <w:top w:val="nil"/>
              <w:left w:val="nil"/>
              <w:bottom w:val="nil"/>
              <w:right w:val="nil"/>
            </w:tcBorders>
            <w:shd w:val="clear" w:color="auto" w:fill="E5E5E5" w:themeFill="background1" w:themeFillTint="33"/>
            <w:noWrap/>
            <w:vAlign w:val="center"/>
            <w:hideMark/>
          </w:tcPr>
          <w:p w14:paraId="69C4CA6B"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E9D8611" w14:textId="77777777" w:rsidTr="0020771F">
        <w:trPr>
          <w:trHeight w:hRule="exact" w:val="284"/>
        </w:trPr>
        <w:tc>
          <w:tcPr>
            <w:tcW w:w="960" w:type="dxa"/>
            <w:tcBorders>
              <w:top w:val="nil"/>
              <w:left w:val="nil"/>
              <w:bottom w:val="nil"/>
              <w:right w:val="nil"/>
            </w:tcBorders>
            <w:shd w:val="clear" w:color="auto" w:fill="auto"/>
            <w:noWrap/>
            <w:vAlign w:val="center"/>
            <w:hideMark/>
          </w:tcPr>
          <w:p w14:paraId="4DF2B0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323" w:type="dxa"/>
            <w:tcBorders>
              <w:top w:val="nil"/>
              <w:left w:val="nil"/>
              <w:bottom w:val="nil"/>
              <w:right w:val="nil"/>
            </w:tcBorders>
            <w:shd w:val="clear" w:color="auto" w:fill="auto"/>
            <w:noWrap/>
            <w:vAlign w:val="center"/>
            <w:hideMark/>
          </w:tcPr>
          <w:p w14:paraId="727B12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83.32</w:t>
            </w:r>
          </w:p>
        </w:tc>
        <w:tc>
          <w:tcPr>
            <w:tcW w:w="1373" w:type="dxa"/>
            <w:tcBorders>
              <w:top w:val="nil"/>
              <w:left w:val="nil"/>
              <w:bottom w:val="nil"/>
              <w:right w:val="nil"/>
            </w:tcBorders>
            <w:shd w:val="clear" w:color="auto" w:fill="auto"/>
            <w:noWrap/>
            <w:vAlign w:val="center"/>
            <w:hideMark/>
          </w:tcPr>
          <w:p w14:paraId="766F4F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27466A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83.07</w:t>
            </w:r>
          </w:p>
        </w:tc>
        <w:tc>
          <w:tcPr>
            <w:tcW w:w="1418" w:type="dxa"/>
            <w:tcBorders>
              <w:top w:val="nil"/>
              <w:left w:val="nil"/>
              <w:bottom w:val="nil"/>
              <w:right w:val="nil"/>
            </w:tcBorders>
            <w:shd w:val="clear" w:color="auto" w:fill="auto"/>
            <w:noWrap/>
            <w:vAlign w:val="center"/>
            <w:hideMark/>
          </w:tcPr>
          <w:p w14:paraId="536703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00" w:type="dxa"/>
            <w:tcBorders>
              <w:top w:val="nil"/>
              <w:left w:val="nil"/>
              <w:bottom w:val="nil"/>
              <w:right w:val="nil"/>
            </w:tcBorders>
            <w:shd w:val="clear" w:color="auto" w:fill="auto"/>
            <w:noWrap/>
            <w:vAlign w:val="center"/>
            <w:hideMark/>
          </w:tcPr>
          <w:p w14:paraId="320C6E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85.06</w:t>
            </w:r>
          </w:p>
        </w:tc>
        <w:tc>
          <w:tcPr>
            <w:tcW w:w="1373" w:type="dxa"/>
            <w:tcBorders>
              <w:top w:val="nil"/>
              <w:left w:val="nil"/>
              <w:bottom w:val="nil"/>
              <w:right w:val="nil"/>
            </w:tcBorders>
            <w:shd w:val="clear" w:color="auto" w:fill="auto"/>
            <w:noWrap/>
            <w:vAlign w:val="center"/>
            <w:hideMark/>
          </w:tcPr>
          <w:p w14:paraId="21E70C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37D520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65.62</w:t>
            </w:r>
          </w:p>
        </w:tc>
        <w:tc>
          <w:tcPr>
            <w:tcW w:w="1326" w:type="dxa"/>
            <w:tcBorders>
              <w:top w:val="nil"/>
              <w:left w:val="nil"/>
              <w:bottom w:val="nil"/>
              <w:right w:val="nil"/>
            </w:tcBorders>
            <w:shd w:val="clear" w:color="auto" w:fill="auto"/>
            <w:noWrap/>
            <w:vAlign w:val="center"/>
            <w:hideMark/>
          </w:tcPr>
          <w:p w14:paraId="064B78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184C70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82.42</w:t>
            </w:r>
          </w:p>
        </w:tc>
        <w:tc>
          <w:tcPr>
            <w:tcW w:w="1276" w:type="dxa"/>
            <w:tcBorders>
              <w:top w:val="nil"/>
              <w:left w:val="nil"/>
              <w:bottom w:val="nil"/>
              <w:right w:val="nil"/>
            </w:tcBorders>
            <w:shd w:val="clear" w:color="auto" w:fill="auto"/>
            <w:noWrap/>
            <w:vAlign w:val="center"/>
            <w:hideMark/>
          </w:tcPr>
          <w:p w14:paraId="477E981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40AF899"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C2D20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323" w:type="dxa"/>
            <w:tcBorders>
              <w:top w:val="nil"/>
              <w:left w:val="nil"/>
              <w:bottom w:val="nil"/>
              <w:right w:val="nil"/>
            </w:tcBorders>
            <w:shd w:val="clear" w:color="auto" w:fill="E5E5E5" w:themeFill="background1" w:themeFillTint="33"/>
            <w:noWrap/>
            <w:vAlign w:val="center"/>
            <w:hideMark/>
          </w:tcPr>
          <w:p w14:paraId="4A4899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84.09</w:t>
            </w:r>
          </w:p>
        </w:tc>
        <w:tc>
          <w:tcPr>
            <w:tcW w:w="1373" w:type="dxa"/>
            <w:tcBorders>
              <w:top w:val="nil"/>
              <w:left w:val="nil"/>
              <w:bottom w:val="nil"/>
              <w:right w:val="nil"/>
            </w:tcBorders>
            <w:shd w:val="clear" w:color="auto" w:fill="E5E5E5" w:themeFill="background1" w:themeFillTint="33"/>
            <w:noWrap/>
            <w:vAlign w:val="center"/>
            <w:hideMark/>
          </w:tcPr>
          <w:p w14:paraId="5E31B5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41261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83.83</w:t>
            </w:r>
          </w:p>
        </w:tc>
        <w:tc>
          <w:tcPr>
            <w:tcW w:w="1418" w:type="dxa"/>
            <w:tcBorders>
              <w:top w:val="nil"/>
              <w:left w:val="nil"/>
              <w:bottom w:val="nil"/>
              <w:right w:val="nil"/>
            </w:tcBorders>
            <w:shd w:val="clear" w:color="auto" w:fill="E5E5E5" w:themeFill="background1" w:themeFillTint="33"/>
            <w:noWrap/>
            <w:vAlign w:val="center"/>
            <w:hideMark/>
          </w:tcPr>
          <w:p w14:paraId="403C97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00" w:type="dxa"/>
            <w:tcBorders>
              <w:top w:val="nil"/>
              <w:left w:val="nil"/>
              <w:bottom w:val="nil"/>
              <w:right w:val="nil"/>
            </w:tcBorders>
            <w:shd w:val="clear" w:color="auto" w:fill="E5E5E5" w:themeFill="background1" w:themeFillTint="33"/>
            <w:noWrap/>
            <w:vAlign w:val="center"/>
            <w:hideMark/>
          </w:tcPr>
          <w:p w14:paraId="6F9E54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85.59</w:t>
            </w:r>
          </w:p>
        </w:tc>
        <w:tc>
          <w:tcPr>
            <w:tcW w:w="1373" w:type="dxa"/>
            <w:tcBorders>
              <w:top w:val="nil"/>
              <w:left w:val="nil"/>
              <w:bottom w:val="nil"/>
              <w:right w:val="nil"/>
            </w:tcBorders>
            <w:shd w:val="clear" w:color="auto" w:fill="E5E5E5" w:themeFill="background1" w:themeFillTint="33"/>
            <w:noWrap/>
            <w:vAlign w:val="center"/>
            <w:hideMark/>
          </w:tcPr>
          <w:p w14:paraId="282F56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3B1988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66.77</w:t>
            </w:r>
          </w:p>
        </w:tc>
        <w:tc>
          <w:tcPr>
            <w:tcW w:w="1326" w:type="dxa"/>
            <w:tcBorders>
              <w:top w:val="nil"/>
              <w:left w:val="nil"/>
              <w:bottom w:val="nil"/>
              <w:right w:val="nil"/>
            </w:tcBorders>
            <w:shd w:val="clear" w:color="auto" w:fill="E5E5E5" w:themeFill="background1" w:themeFillTint="33"/>
            <w:noWrap/>
            <w:vAlign w:val="center"/>
            <w:hideMark/>
          </w:tcPr>
          <w:p w14:paraId="5DA568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DB414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83.18</w:t>
            </w:r>
          </w:p>
        </w:tc>
        <w:tc>
          <w:tcPr>
            <w:tcW w:w="1276" w:type="dxa"/>
            <w:tcBorders>
              <w:top w:val="nil"/>
              <w:left w:val="nil"/>
              <w:bottom w:val="nil"/>
              <w:right w:val="nil"/>
            </w:tcBorders>
            <w:shd w:val="clear" w:color="auto" w:fill="E5E5E5" w:themeFill="background1" w:themeFillTint="33"/>
            <w:noWrap/>
            <w:vAlign w:val="center"/>
            <w:hideMark/>
          </w:tcPr>
          <w:p w14:paraId="707F05B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A96859C" w14:textId="77777777" w:rsidTr="0020771F">
        <w:trPr>
          <w:trHeight w:hRule="exact" w:val="284"/>
        </w:trPr>
        <w:tc>
          <w:tcPr>
            <w:tcW w:w="960" w:type="dxa"/>
            <w:tcBorders>
              <w:top w:val="nil"/>
              <w:left w:val="nil"/>
              <w:bottom w:val="nil"/>
              <w:right w:val="nil"/>
            </w:tcBorders>
            <w:shd w:val="clear" w:color="auto" w:fill="auto"/>
            <w:noWrap/>
            <w:vAlign w:val="center"/>
            <w:hideMark/>
          </w:tcPr>
          <w:p w14:paraId="43EFEB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323" w:type="dxa"/>
            <w:tcBorders>
              <w:top w:val="nil"/>
              <w:left w:val="nil"/>
              <w:bottom w:val="nil"/>
              <w:right w:val="nil"/>
            </w:tcBorders>
            <w:shd w:val="clear" w:color="auto" w:fill="auto"/>
            <w:noWrap/>
            <w:vAlign w:val="center"/>
            <w:hideMark/>
          </w:tcPr>
          <w:p w14:paraId="662CAE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84.62</w:t>
            </w:r>
          </w:p>
        </w:tc>
        <w:tc>
          <w:tcPr>
            <w:tcW w:w="1373" w:type="dxa"/>
            <w:tcBorders>
              <w:top w:val="nil"/>
              <w:left w:val="nil"/>
              <w:bottom w:val="nil"/>
              <w:right w:val="nil"/>
            </w:tcBorders>
            <w:shd w:val="clear" w:color="auto" w:fill="auto"/>
            <w:noWrap/>
            <w:vAlign w:val="center"/>
            <w:hideMark/>
          </w:tcPr>
          <w:p w14:paraId="5B40B6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5CB7B9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84.47</w:t>
            </w:r>
          </w:p>
        </w:tc>
        <w:tc>
          <w:tcPr>
            <w:tcW w:w="1418" w:type="dxa"/>
            <w:tcBorders>
              <w:top w:val="nil"/>
              <w:left w:val="nil"/>
              <w:bottom w:val="nil"/>
              <w:right w:val="nil"/>
            </w:tcBorders>
            <w:shd w:val="clear" w:color="auto" w:fill="auto"/>
            <w:noWrap/>
            <w:vAlign w:val="center"/>
            <w:hideMark/>
          </w:tcPr>
          <w:p w14:paraId="0F5673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029F72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85.96</w:t>
            </w:r>
          </w:p>
        </w:tc>
        <w:tc>
          <w:tcPr>
            <w:tcW w:w="1373" w:type="dxa"/>
            <w:tcBorders>
              <w:top w:val="nil"/>
              <w:left w:val="nil"/>
              <w:bottom w:val="nil"/>
              <w:right w:val="nil"/>
            </w:tcBorders>
            <w:shd w:val="clear" w:color="auto" w:fill="auto"/>
            <w:noWrap/>
            <w:vAlign w:val="center"/>
            <w:hideMark/>
          </w:tcPr>
          <w:p w14:paraId="3A0532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747B42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68.01</w:t>
            </w:r>
          </w:p>
        </w:tc>
        <w:tc>
          <w:tcPr>
            <w:tcW w:w="1326" w:type="dxa"/>
            <w:tcBorders>
              <w:top w:val="nil"/>
              <w:left w:val="nil"/>
              <w:bottom w:val="nil"/>
              <w:right w:val="nil"/>
            </w:tcBorders>
            <w:shd w:val="clear" w:color="auto" w:fill="auto"/>
            <w:noWrap/>
            <w:vAlign w:val="center"/>
            <w:hideMark/>
          </w:tcPr>
          <w:p w14:paraId="37BEE9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21469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83.76</w:t>
            </w:r>
          </w:p>
        </w:tc>
        <w:tc>
          <w:tcPr>
            <w:tcW w:w="1276" w:type="dxa"/>
            <w:tcBorders>
              <w:top w:val="nil"/>
              <w:left w:val="nil"/>
              <w:bottom w:val="nil"/>
              <w:right w:val="nil"/>
            </w:tcBorders>
            <w:shd w:val="clear" w:color="auto" w:fill="auto"/>
            <w:noWrap/>
            <w:vAlign w:val="center"/>
            <w:hideMark/>
          </w:tcPr>
          <w:p w14:paraId="5428C19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2C24C18"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B9072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323" w:type="dxa"/>
            <w:tcBorders>
              <w:top w:val="nil"/>
              <w:left w:val="nil"/>
              <w:bottom w:val="nil"/>
              <w:right w:val="nil"/>
            </w:tcBorders>
            <w:shd w:val="clear" w:color="auto" w:fill="E5E5E5" w:themeFill="background1" w:themeFillTint="33"/>
            <w:noWrap/>
            <w:vAlign w:val="center"/>
            <w:hideMark/>
          </w:tcPr>
          <w:p w14:paraId="2F81FD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85.14</w:t>
            </w:r>
          </w:p>
        </w:tc>
        <w:tc>
          <w:tcPr>
            <w:tcW w:w="1373" w:type="dxa"/>
            <w:tcBorders>
              <w:top w:val="nil"/>
              <w:left w:val="nil"/>
              <w:bottom w:val="nil"/>
              <w:right w:val="nil"/>
            </w:tcBorders>
            <w:shd w:val="clear" w:color="auto" w:fill="E5E5E5" w:themeFill="background1" w:themeFillTint="33"/>
            <w:noWrap/>
            <w:vAlign w:val="center"/>
            <w:hideMark/>
          </w:tcPr>
          <w:p w14:paraId="28EA3C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D1A59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84.98</w:t>
            </w:r>
          </w:p>
        </w:tc>
        <w:tc>
          <w:tcPr>
            <w:tcW w:w="1418" w:type="dxa"/>
            <w:tcBorders>
              <w:top w:val="nil"/>
              <w:left w:val="nil"/>
              <w:bottom w:val="nil"/>
              <w:right w:val="nil"/>
            </w:tcBorders>
            <w:shd w:val="clear" w:color="auto" w:fill="E5E5E5" w:themeFill="background1" w:themeFillTint="33"/>
            <w:noWrap/>
            <w:vAlign w:val="center"/>
            <w:hideMark/>
          </w:tcPr>
          <w:p w14:paraId="36DE15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00D9C3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86.32</w:t>
            </w:r>
          </w:p>
        </w:tc>
        <w:tc>
          <w:tcPr>
            <w:tcW w:w="1373" w:type="dxa"/>
            <w:tcBorders>
              <w:top w:val="nil"/>
              <w:left w:val="nil"/>
              <w:bottom w:val="nil"/>
              <w:right w:val="nil"/>
            </w:tcBorders>
            <w:shd w:val="clear" w:color="auto" w:fill="E5E5E5" w:themeFill="background1" w:themeFillTint="33"/>
            <w:noWrap/>
            <w:vAlign w:val="center"/>
            <w:hideMark/>
          </w:tcPr>
          <w:p w14:paraId="3D32A4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5AD5C2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68.98</w:t>
            </w:r>
          </w:p>
        </w:tc>
        <w:tc>
          <w:tcPr>
            <w:tcW w:w="1326" w:type="dxa"/>
            <w:tcBorders>
              <w:top w:val="nil"/>
              <w:left w:val="nil"/>
              <w:bottom w:val="nil"/>
              <w:right w:val="nil"/>
            </w:tcBorders>
            <w:shd w:val="clear" w:color="auto" w:fill="E5E5E5" w:themeFill="background1" w:themeFillTint="33"/>
            <w:noWrap/>
            <w:vAlign w:val="center"/>
            <w:hideMark/>
          </w:tcPr>
          <w:p w14:paraId="55A35F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78074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84.29</w:t>
            </w:r>
          </w:p>
        </w:tc>
        <w:tc>
          <w:tcPr>
            <w:tcW w:w="1276" w:type="dxa"/>
            <w:tcBorders>
              <w:top w:val="nil"/>
              <w:left w:val="nil"/>
              <w:bottom w:val="nil"/>
              <w:right w:val="nil"/>
            </w:tcBorders>
            <w:shd w:val="clear" w:color="auto" w:fill="E5E5E5" w:themeFill="background1" w:themeFillTint="33"/>
            <w:noWrap/>
            <w:vAlign w:val="center"/>
            <w:hideMark/>
          </w:tcPr>
          <w:p w14:paraId="1605ACC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511DE8D" w14:textId="77777777" w:rsidTr="0020771F">
        <w:trPr>
          <w:trHeight w:hRule="exact" w:val="284"/>
        </w:trPr>
        <w:tc>
          <w:tcPr>
            <w:tcW w:w="960" w:type="dxa"/>
            <w:tcBorders>
              <w:top w:val="nil"/>
              <w:left w:val="nil"/>
              <w:bottom w:val="nil"/>
              <w:right w:val="nil"/>
            </w:tcBorders>
            <w:shd w:val="clear" w:color="auto" w:fill="auto"/>
            <w:noWrap/>
            <w:vAlign w:val="center"/>
            <w:hideMark/>
          </w:tcPr>
          <w:p w14:paraId="22EE33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323" w:type="dxa"/>
            <w:tcBorders>
              <w:top w:val="nil"/>
              <w:left w:val="nil"/>
              <w:bottom w:val="nil"/>
              <w:right w:val="nil"/>
            </w:tcBorders>
            <w:shd w:val="clear" w:color="auto" w:fill="auto"/>
            <w:noWrap/>
            <w:vAlign w:val="center"/>
            <w:hideMark/>
          </w:tcPr>
          <w:p w14:paraId="274BB5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85.58</w:t>
            </w:r>
          </w:p>
        </w:tc>
        <w:tc>
          <w:tcPr>
            <w:tcW w:w="1373" w:type="dxa"/>
            <w:tcBorders>
              <w:top w:val="nil"/>
              <w:left w:val="nil"/>
              <w:bottom w:val="nil"/>
              <w:right w:val="nil"/>
            </w:tcBorders>
            <w:shd w:val="clear" w:color="auto" w:fill="auto"/>
            <w:noWrap/>
            <w:vAlign w:val="center"/>
            <w:hideMark/>
          </w:tcPr>
          <w:p w14:paraId="1E74B5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7E5D65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85.41</w:t>
            </w:r>
          </w:p>
        </w:tc>
        <w:tc>
          <w:tcPr>
            <w:tcW w:w="1418" w:type="dxa"/>
            <w:tcBorders>
              <w:top w:val="nil"/>
              <w:left w:val="nil"/>
              <w:bottom w:val="nil"/>
              <w:right w:val="nil"/>
            </w:tcBorders>
            <w:shd w:val="clear" w:color="auto" w:fill="auto"/>
            <w:noWrap/>
            <w:vAlign w:val="center"/>
            <w:hideMark/>
          </w:tcPr>
          <w:p w14:paraId="600627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67388C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86.71</w:t>
            </w:r>
          </w:p>
        </w:tc>
        <w:tc>
          <w:tcPr>
            <w:tcW w:w="1373" w:type="dxa"/>
            <w:tcBorders>
              <w:top w:val="nil"/>
              <w:left w:val="nil"/>
              <w:bottom w:val="nil"/>
              <w:right w:val="nil"/>
            </w:tcBorders>
            <w:shd w:val="clear" w:color="auto" w:fill="auto"/>
            <w:noWrap/>
            <w:vAlign w:val="center"/>
            <w:hideMark/>
          </w:tcPr>
          <w:p w14:paraId="7F70B7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222D11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69.81</w:t>
            </w:r>
          </w:p>
        </w:tc>
        <w:tc>
          <w:tcPr>
            <w:tcW w:w="1326" w:type="dxa"/>
            <w:tcBorders>
              <w:top w:val="nil"/>
              <w:left w:val="nil"/>
              <w:bottom w:val="nil"/>
              <w:right w:val="nil"/>
            </w:tcBorders>
            <w:shd w:val="clear" w:color="auto" w:fill="auto"/>
            <w:noWrap/>
            <w:vAlign w:val="center"/>
            <w:hideMark/>
          </w:tcPr>
          <w:p w14:paraId="35F4DB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D9195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84.75</w:t>
            </w:r>
          </w:p>
        </w:tc>
        <w:tc>
          <w:tcPr>
            <w:tcW w:w="1276" w:type="dxa"/>
            <w:tcBorders>
              <w:top w:val="nil"/>
              <w:left w:val="nil"/>
              <w:bottom w:val="nil"/>
              <w:right w:val="nil"/>
            </w:tcBorders>
            <w:shd w:val="clear" w:color="auto" w:fill="auto"/>
            <w:noWrap/>
            <w:vAlign w:val="center"/>
            <w:hideMark/>
          </w:tcPr>
          <w:p w14:paraId="2515816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EC9CDB0"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9939F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323" w:type="dxa"/>
            <w:tcBorders>
              <w:top w:val="nil"/>
              <w:left w:val="nil"/>
              <w:bottom w:val="nil"/>
              <w:right w:val="nil"/>
            </w:tcBorders>
            <w:shd w:val="clear" w:color="auto" w:fill="E5E5E5" w:themeFill="background1" w:themeFillTint="33"/>
            <w:noWrap/>
            <w:vAlign w:val="center"/>
            <w:hideMark/>
          </w:tcPr>
          <w:p w14:paraId="0F5777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86.01</w:t>
            </w:r>
          </w:p>
        </w:tc>
        <w:tc>
          <w:tcPr>
            <w:tcW w:w="1373" w:type="dxa"/>
            <w:tcBorders>
              <w:top w:val="nil"/>
              <w:left w:val="nil"/>
              <w:bottom w:val="nil"/>
              <w:right w:val="nil"/>
            </w:tcBorders>
            <w:shd w:val="clear" w:color="auto" w:fill="E5E5E5" w:themeFill="background1" w:themeFillTint="33"/>
            <w:noWrap/>
            <w:vAlign w:val="center"/>
            <w:hideMark/>
          </w:tcPr>
          <w:p w14:paraId="2989B8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2384FC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85.81</w:t>
            </w:r>
          </w:p>
        </w:tc>
        <w:tc>
          <w:tcPr>
            <w:tcW w:w="1418" w:type="dxa"/>
            <w:tcBorders>
              <w:top w:val="nil"/>
              <w:left w:val="nil"/>
              <w:bottom w:val="nil"/>
              <w:right w:val="nil"/>
            </w:tcBorders>
            <w:shd w:val="clear" w:color="auto" w:fill="E5E5E5" w:themeFill="background1" w:themeFillTint="33"/>
            <w:noWrap/>
            <w:vAlign w:val="center"/>
            <w:hideMark/>
          </w:tcPr>
          <w:p w14:paraId="3FD5BA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056610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87.01</w:t>
            </w:r>
          </w:p>
        </w:tc>
        <w:tc>
          <w:tcPr>
            <w:tcW w:w="1373" w:type="dxa"/>
            <w:tcBorders>
              <w:top w:val="nil"/>
              <w:left w:val="nil"/>
              <w:bottom w:val="nil"/>
              <w:right w:val="nil"/>
            </w:tcBorders>
            <w:shd w:val="clear" w:color="auto" w:fill="E5E5E5" w:themeFill="background1" w:themeFillTint="33"/>
            <w:noWrap/>
            <w:vAlign w:val="center"/>
            <w:hideMark/>
          </w:tcPr>
          <w:p w14:paraId="37A23F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66777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70.89</w:t>
            </w:r>
          </w:p>
        </w:tc>
        <w:tc>
          <w:tcPr>
            <w:tcW w:w="1326" w:type="dxa"/>
            <w:tcBorders>
              <w:top w:val="nil"/>
              <w:left w:val="nil"/>
              <w:bottom w:val="nil"/>
              <w:right w:val="nil"/>
            </w:tcBorders>
            <w:shd w:val="clear" w:color="auto" w:fill="E5E5E5" w:themeFill="background1" w:themeFillTint="33"/>
            <w:noWrap/>
            <w:vAlign w:val="center"/>
            <w:hideMark/>
          </w:tcPr>
          <w:p w14:paraId="2A5CCF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5A1E7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85.20</w:t>
            </w:r>
          </w:p>
        </w:tc>
        <w:tc>
          <w:tcPr>
            <w:tcW w:w="1276" w:type="dxa"/>
            <w:tcBorders>
              <w:top w:val="nil"/>
              <w:left w:val="nil"/>
              <w:bottom w:val="nil"/>
              <w:right w:val="nil"/>
            </w:tcBorders>
            <w:shd w:val="clear" w:color="auto" w:fill="E5E5E5" w:themeFill="background1" w:themeFillTint="33"/>
            <w:noWrap/>
            <w:vAlign w:val="center"/>
            <w:hideMark/>
          </w:tcPr>
          <w:p w14:paraId="6F28E443"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F28D265" w14:textId="77777777" w:rsidTr="0020771F">
        <w:trPr>
          <w:trHeight w:hRule="exact" w:val="284"/>
        </w:trPr>
        <w:tc>
          <w:tcPr>
            <w:tcW w:w="960" w:type="dxa"/>
            <w:tcBorders>
              <w:top w:val="nil"/>
              <w:left w:val="nil"/>
              <w:bottom w:val="nil"/>
              <w:right w:val="nil"/>
            </w:tcBorders>
            <w:shd w:val="clear" w:color="auto" w:fill="auto"/>
            <w:noWrap/>
            <w:vAlign w:val="center"/>
            <w:hideMark/>
          </w:tcPr>
          <w:p w14:paraId="6EE489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323" w:type="dxa"/>
            <w:tcBorders>
              <w:top w:val="nil"/>
              <w:left w:val="nil"/>
              <w:bottom w:val="nil"/>
              <w:right w:val="nil"/>
            </w:tcBorders>
            <w:shd w:val="clear" w:color="auto" w:fill="auto"/>
            <w:noWrap/>
            <w:vAlign w:val="center"/>
            <w:hideMark/>
          </w:tcPr>
          <w:p w14:paraId="507895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86.63</w:t>
            </w:r>
          </w:p>
        </w:tc>
        <w:tc>
          <w:tcPr>
            <w:tcW w:w="1373" w:type="dxa"/>
            <w:tcBorders>
              <w:top w:val="nil"/>
              <w:left w:val="nil"/>
              <w:bottom w:val="nil"/>
              <w:right w:val="nil"/>
            </w:tcBorders>
            <w:shd w:val="clear" w:color="auto" w:fill="auto"/>
            <w:noWrap/>
            <w:vAlign w:val="center"/>
            <w:hideMark/>
          </w:tcPr>
          <w:p w14:paraId="3D0682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3DCE01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86.40</w:t>
            </w:r>
          </w:p>
        </w:tc>
        <w:tc>
          <w:tcPr>
            <w:tcW w:w="1418" w:type="dxa"/>
            <w:tcBorders>
              <w:top w:val="nil"/>
              <w:left w:val="nil"/>
              <w:bottom w:val="nil"/>
              <w:right w:val="nil"/>
            </w:tcBorders>
            <w:shd w:val="clear" w:color="auto" w:fill="auto"/>
            <w:noWrap/>
            <w:vAlign w:val="center"/>
            <w:hideMark/>
          </w:tcPr>
          <w:p w14:paraId="2314C4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6EB9F7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87.59</w:t>
            </w:r>
          </w:p>
        </w:tc>
        <w:tc>
          <w:tcPr>
            <w:tcW w:w="1373" w:type="dxa"/>
            <w:tcBorders>
              <w:top w:val="nil"/>
              <w:left w:val="nil"/>
              <w:bottom w:val="nil"/>
              <w:right w:val="nil"/>
            </w:tcBorders>
            <w:shd w:val="clear" w:color="auto" w:fill="auto"/>
            <w:noWrap/>
            <w:vAlign w:val="center"/>
            <w:hideMark/>
          </w:tcPr>
          <w:p w14:paraId="6F5087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7F5DE9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71.94</w:t>
            </w:r>
          </w:p>
        </w:tc>
        <w:tc>
          <w:tcPr>
            <w:tcW w:w="1326" w:type="dxa"/>
            <w:tcBorders>
              <w:top w:val="nil"/>
              <w:left w:val="nil"/>
              <w:bottom w:val="nil"/>
              <w:right w:val="nil"/>
            </w:tcBorders>
            <w:shd w:val="clear" w:color="auto" w:fill="auto"/>
            <w:noWrap/>
            <w:vAlign w:val="center"/>
            <w:hideMark/>
          </w:tcPr>
          <w:p w14:paraId="50C2FB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633485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85.83</w:t>
            </w:r>
          </w:p>
        </w:tc>
        <w:tc>
          <w:tcPr>
            <w:tcW w:w="1276" w:type="dxa"/>
            <w:tcBorders>
              <w:top w:val="nil"/>
              <w:left w:val="nil"/>
              <w:bottom w:val="nil"/>
              <w:right w:val="nil"/>
            </w:tcBorders>
            <w:shd w:val="clear" w:color="auto" w:fill="auto"/>
            <w:noWrap/>
            <w:vAlign w:val="center"/>
            <w:hideMark/>
          </w:tcPr>
          <w:p w14:paraId="70E2FDA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2FA8C7F"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6C1C3C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323" w:type="dxa"/>
            <w:tcBorders>
              <w:top w:val="nil"/>
              <w:left w:val="nil"/>
              <w:bottom w:val="nil"/>
              <w:right w:val="nil"/>
            </w:tcBorders>
            <w:shd w:val="clear" w:color="auto" w:fill="E5E5E5" w:themeFill="background1" w:themeFillTint="33"/>
            <w:noWrap/>
            <w:vAlign w:val="center"/>
            <w:hideMark/>
          </w:tcPr>
          <w:p w14:paraId="124972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87.29</w:t>
            </w:r>
          </w:p>
        </w:tc>
        <w:tc>
          <w:tcPr>
            <w:tcW w:w="1373" w:type="dxa"/>
            <w:tcBorders>
              <w:top w:val="nil"/>
              <w:left w:val="nil"/>
              <w:bottom w:val="nil"/>
              <w:right w:val="nil"/>
            </w:tcBorders>
            <w:shd w:val="clear" w:color="auto" w:fill="E5E5E5" w:themeFill="background1" w:themeFillTint="33"/>
            <w:noWrap/>
            <w:vAlign w:val="center"/>
            <w:hideMark/>
          </w:tcPr>
          <w:p w14:paraId="26B6E8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51FAE1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87.18</w:t>
            </w:r>
          </w:p>
        </w:tc>
        <w:tc>
          <w:tcPr>
            <w:tcW w:w="1418" w:type="dxa"/>
            <w:tcBorders>
              <w:top w:val="nil"/>
              <w:left w:val="nil"/>
              <w:bottom w:val="nil"/>
              <w:right w:val="nil"/>
            </w:tcBorders>
            <w:shd w:val="clear" w:color="auto" w:fill="E5E5E5" w:themeFill="background1" w:themeFillTint="33"/>
            <w:noWrap/>
            <w:vAlign w:val="center"/>
            <w:hideMark/>
          </w:tcPr>
          <w:p w14:paraId="2099E0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A3E1B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88.43</w:t>
            </w:r>
          </w:p>
        </w:tc>
        <w:tc>
          <w:tcPr>
            <w:tcW w:w="1373" w:type="dxa"/>
            <w:tcBorders>
              <w:top w:val="nil"/>
              <w:left w:val="nil"/>
              <w:bottom w:val="nil"/>
              <w:right w:val="nil"/>
            </w:tcBorders>
            <w:shd w:val="clear" w:color="auto" w:fill="E5E5E5" w:themeFill="background1" w:themeFillTint="33"/>
            <w:noWrap/>
            <w:vAlign w:val="center"/>
            <w:hideMark/>
          </w:tcPr>
          <w:p w14:paraId="4BAFD6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33D16A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73.42</w:t>
            </w:r>
          </w:p>
        </w:tc>
        <w:tc>
          <w:tcPr>
            <w:tcW w:w="1326" w:type="dxa"/>
            <w:tcBorders>
              <w:top w:val="nil"/>
              <w:left w:val="nil"/>
              <w:bottom w:val="nil"/>
              <w:right w:val="nil"/>
            </w:tcBorders>
            <w:shd w:val="clear" w:color="auto" w:fill="E5E5E5" w:themeFill="background1" w:themeFillTint="33"/>
            <w:noWrap/>
            <w:vAlign w:val="center"/>
            <w:hideMark/>
          </w:tcPr>
          <w:p w14:paraId="03FD97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2987D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86.58</w:t>
            </w:r>
          </w:p>
        </w:tc>
        <w:tc>
          <w:tcPr>
            <w:tcW w:w="1276" w:type="dxa"/>
            <w:tcBorders>
              <w:top w:val="nil"/>
              <w:left w:val="nil"/>
              <w:bottom w:val="nil"/>
              <w:right w:val="nil"/>
            </w:tcBorders>
            <w:shd w:val="clear" w:color="auto" w:fill="E5E5E5" w:themeFill="background1" w:themeFillTint="33"/>
            <w:noWrap/>
            <w:vAlign w:val="center"/>
            <w:hideMark/>
          </w:tcPr>
          <w:p w14:paraId="1F0EB9C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0560A40" w14:textId="77777777" w:rsidTr="0020771F">
        <w:trPr>
          <w:trHeight w:hRule="exact" w:val="284"/>
        </w:trPr>
        <w:tc>
          <w:tcPr>
            <w:tcW w:w="960" w:type="dxa"/>
            <w:tcBorders>
              <w:top w:val="nil"/>
              <w:left w:val="nil"/>
              <w:bottom w:val="nil"/>
              <w:right w:val="nil"/>
            </w:tcBorders>
            <w:shd w:val="clear" w:color="auto" w:fill="auto"/>
            <w:noWrap/>
            <w:vAlign w:val="center"/>
            <w:hideMark/>
          </w:tcPr>
          <w:p w14:paraId="30EC9F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323" w:type="dxa"/>
            <w:tcBorders>
              <w:top w:val="nil"/>
              <w:left w:val="nil"/>
              <w:bottom w:val="nil"/>
              <w:right w:val="nil"/>
            </w:tcBorders>
            <w:shd w:val="clear" w:color="auto" w:fill="auto"/>
            <w:noWrap/>
            <w:vAlign w:val="center"/>
            <w:hideMark/>
          </w:tcPr>
          <w:p w14:paraId="00A666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87.92</w:t>
            </w:r>
          </w:p>
        </w:tc>
        <w:tc>
          <w:tcPr>
            <w:tcW w:w="1373" w:type="dxa"/>
            <w:tcBorders>
              <w:top w:val="nil"/>
              <w:left w:val="nil"/>
              <w:bottom w:val="nil"/>
              <w:right w:val="nil"/>
            </w:tcBorders>
            <w:shd w:val="clear" w:color="auto" w:fill="auto"/>
            <w:noWrap/>
            <w:vAlign w:val="center"/>
            <w:hideMark/>
          </w:tcPr>
          <w:p w14:paraId="0AB7B0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440DCE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87.71</w:t>
            </w:r>
          </w:p>
        </w:tc>
        <w:tc>
          <w:tcPr>
            <w:tcW w:w="1418" w:type="dxa"/>
            <w:tcBorders>
              <w:top w:val="nil"/>
              <w:left w:val="nil"/>
              <w:bottom w:val="nil"/>
              <w:right w:val="nil"/>
            </w:tcBorders>
            <w:shd w:val="clear" w:color="auto" w:fill="auto"/>
            <w:noWrap/>
            <w:vAlign w:val="center"/>
            <w:hideMark/>
          </w:tcPr>
          <w:p w14:paraId="60B21C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2BE981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88.84</w:t>
            </w:r>
          </w:p>
        </w:tc>
        <w:tc>
          <w:tcPr>
            <w:tcW w:w="1373" w:type="dxa"/>
            <w:tcBorders>
              <w:top w:val="nil"/>
              <w:left w:val="nil"/>
              <w:bottom w:val="nil"/>
              <w:right w:val="nil"/>
            </w:tcBorders>
            <w:shd w:val="clear" w:color="auto" w:fill="auto"/>
            <w:noWrap/>
            <w:vAlign w:val="center"/>
            <w:hideMark/>
          </w:tcPr>
          <w:p w14:paraId="382CE4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2D4642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74.41</w:t>
            </w:r>
          </w:p>
        </w:tc>
        <w:tc>
          <w:tcPr>
            <w:tcW w:w="1326" w:type="dxa"/>
            <w:tcBorders>
              <w:top w:val="nil"/>
              <w:left w:val="nil"/>
              <w:bottom w:val="nil"/>
              <w:right w:val="nil"/>
            </w:tcBorders>
            <w:shd w:val="clear" w:color="auto" w:fill="auto"/>
            <w:noWrap/>
            <w:vAlign w:val="center"/>
            <w:hideMark/>
          </w:tcPr>
          <w:p w14:paraId="7B7270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705D96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87.19</w:t>
            </w:r>
          </w:p>
        </w:tc>
        <w:tc>
          <w:tcPr>
            <w:tcW w:w="1276" w:type="dxa"/>
            <w:tcBorders>
              <w:top w:val="nil"/>
              <w:left w:val="nil"/>
              <w:bottom w:val="nil"/>
              <w:right w:val="nil"/>
            </w:tcBorders>
            <w:shd w:val="clear" w:color="auto" w:fill="auto"/>
            <w:noWrap/>
            <w:vAlign w:val="center"/>
            <w:hideMark/>
          </w:tcPr>
          <w:p w14:paraId="5169510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FAF401B"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FD426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323" w:type="dxa"/>
            <w:tcBorders>
              <w:top w:val="nil"/>
              <w:left w:val="nil"/>
              <w:bottom w:val="nil"/>
              <w:right w:val="nil"/>
            </w:tcBorders>
            <w:shd w:val="clear" w:color="auto" w:fill="E5E5E5" w:themeFill="background1" w:themeFillTint="33"/>
            <w:noWrap/>
            <w:vAlign w:val="center"/>
            <w:hideMark/>
          </w:tcPr>
          <w:p w14:paraId="58D5A9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88.37</w:t>
            </w:r>
          </w:p>
        </w:tc>
        <w:tc>
          <w:tcPr>
            <w:tcW w:w="1373" w:type="dxa"/>
            <w:tcBorders>
              <w:top w:val="nil"/>
              <w:left w:val="nil"/>
              <w:bottom w:val="nil"/>
              <w:right w:val="nil"/>
            </w:tcBorders>
            <w:shd w:val="clear" w:color="auto" w:fill="E5E5E5" w:themeFill="background1" w:themeFillTint="33"/>
            <w:noWrap/>
            <w:vAlign w:val="center"/>
            <w:hideMark/>
          </w:tcPr>
          <w:p w14:paraId="17D5A6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7A65B7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88.14</w:t>
            </w:r>
          </w:p>
        </w:tc>
        <w:tc>
          <w:tcPr>
            <w:tcW w:w="1418" w:type="dxa"/>
            <w:tcBorders>
              <w:top w:val="nil"/>
              <w:left w:val="nil"/>
              <w:bottom w:val="nil"/>
              <w:right w:val="nil"/>
            </w:tcBorders>
            <w:shd w:val="clear" w:color="auto" w:fill="E5E5E5" w:themeFill="background1" w:themeFillTint="33"/>
            <w:noWrap/>
            <w:vAlign w:val="center"/>
            <w:hideMark/>
          </w:tcPr>
          <w:p w14:paraId="2B400A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52CE36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89.20</w:t>
            </w:r>
          </w:p>
        </w:tc>
        <w:tc>
          <w:tcPr>
            <w:tcW w:w="1373" w:type="dxa"/>
            <w:tcBorders>
              <w:top w:val="nil"/>
              <w:left w:val="nil"/>
              <w:bottom w:val="nil"/>
              <w:right w:val="nil"/>
            </w:tcBorders>
            <w:shd w:val="clear" w:color="auto" w:fill="E5E5E5" w:themeFill="background1" w:themeFillTint="33"/>
            <w:noWrap/>
            <w:vAlign w:val="center"/>
            <w:hideMark/>
          </w:tcPr>
          <w:p w14:paraId="4C02BD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20229E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75.09</w:t>
            </w:r>
          </w:p>
        </w:tc>
        <w:tc>
          <w:tcPr>
            <w:tcW w:w="1326" w:type="dxa"/>
            <w:tcBorders>
              <w:top w:val="nil"/>
              <w:left w:val="nil"/>
              <w:bottom w:val="nil"/>
              <w:right w:val="nil"/>
            </w:tcBorders>
            <w:shd w:val="clear" w:color="auto" w:fill="E5E5E5" w:themeFill="background1" w:themeFillTint="33"/>
            <w:noWrap/>
            <w:vAlign w:val="center"/>
            <w:hideMark/>
          </w:tcPr>
          <w:p w14:paraId="6B1A4B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ADFDC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87.64</w:t>
            </w:r>
          </w:p>
        </w:tc>
        <w:tc>
          <w:tcPr>
            <w:tcW w:w="1276" w:type="dxa"/>
            <w:tcBorders>
              <w:top w:val="nil"/>
              <w:left w:val="nil"/>
              <w:bottom w:val="nil"/>
              <w:right w:val="nil"/>
            </w:tcBorders>
            <w:shd w:val="clear" w:color="auto" w:fill="E5E5E5" w:themeFill="background1" w:themeFillTint="33"/>
            <w:noWrap/>
            <w:vAlign w:val="center"/>
            <w:hideMark/>
          </w:tcPr>
          <w:p w14:paraId="292586C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16F41D1" w14:textId="77777777" w:rsidTr="0020771F">
        <w:trPr>
          <w:trHeight w:hRule="exact" w:val="284"/>
        </w:trPr>
        <w:tc>
          <w:tcPr>
            <w:tcW w:w="960" w:type="dxa"/>
            <w:tcBorders>
              <w:top w:val="nil"/>
              <w:left w:val="nil"/>
              <w:bottom w:val="nil"/>
              <w:right w:val="nil"/>
            </w:tcBorders>
            <w:shd w:val="clear" w:color="auto" w:fill="auto"/>
            <w:noWrap/>
            <w:vAlign w:val="center"/>
            <w:hideMark/>
          </w:tcPr>
          <w:p w14:paraId="213B02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323" w:type="dxa"/>
            <w:tcBorders>
              <w:top w:val="nil"/>
              <w:left w:val="nil"/>
              <w:bottom w:val="nil"/>
              <w:right w:val="nil"/>
            </w:tcBorders>
            <w:shd w:val="clear" w:color="auto" w:fill="auto"/>
            <w:noWrap/>
            <w:vAlign w:val="center"/>
            <w:hideMark/>
          </w:tcPr>
          <w:p w14:paraId="6FE77F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88.74</w:t>
            </w:r>
          </w:p>
        </w:tc>
        <w:tc>
          <w:tcPr>
            <w:tcW w:w="1373" w:type="dxa"/>
            <w:tcBorders>
              <w:top w:val="nil"/>
              <w:left w:val="nil"/>
              <w:bottom w:val="nil"/>
              <w:right w:val="nil"/>
            </w:tcBorders>
            <w:shd w:val="clear" w:color="auto" w:fill="auto"/>
            <w:noWrap/>
            <w:vAlign w:val="center"/>
            <w:hideMark/>
          </w:tcPr>
          <w:p w14:paraId="1F0453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3F2F9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88.57</w:t>
            </w:r>
          </w:p>
        </w:tc>
        <w:tc>
          <w:tcPr>
            <w:tcW w:w="1418" w:type="dxa"/>
            <w:tcBorders>
              <w:top w:val="nil"/>
              <w:left w:val="nil"/>
              <w:bottom w:val="nil"/>
              <w:right w:val="nil"/>
            </w:tcBorders>
            <w:shd w:val="clear" w:color="auto" w:fill="auto"/>
            <w:noWrap/>
            <w:vAlign w:val="center"/>
            <w:hideMark/>
          </w:tcPr>
          <w:p w14:paraId="1B5CA2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4BD830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89.59</w:t>
            </w:r>
          </w:p>
        </w:tc>
        <w:tc>
          <w:tcPr>
            <w:tcW w:w="1373" w:type="dxa"/>
            <w:tcBorders>
              <w:top w:val="nil"/>
              <w:left w:val="nil"/>
              <w:bottom w:val="nil"/>
              <w:right w:val="nil"/>
            </w:tcBorders>
            <w:shd w:val="clear" w:color="auto" w:fill="auto"/>
            <w:noWrap/>
            <w:vAlign w:val="center"/>
            <w:hideMark/>
          </w:tcPr>
          <w:p w14:paraId="3FBD8D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65EF64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75.92</w:t>
            </w:r>
          </w:p>
        </w:tc>
        <w:tc>
          <w:tcPr>
            <w:tcW w:w="1326" w:type="dxa"/>
            <w:tcBorders>
              <w:top w:val="nil"/>
              <w:left w:val="nil"/>
              <w:bottom w:val="nil"/>
              <w:right w:val="nil"/>
            </w:tcBorders>
            <w:shd w:val="clear" w:color="auto" w:fill="auto"/>
            <w:noWrap/>
            <w:vAlign w:val="center"/>
            <w:hideMark/>
          </w:tcPr>
          <w:p w14:paraId="2BFA19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4BDDD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88.05</w:t>
            </w:r>
          </w:p>
        </w:tc>
        <w:tc>
          <w:tcPr>
            <w:tcW w:w="1276" w:type="dxa"/>
            <w:tcBorders>
              <w:top w:val="nil"/>
              <w:left w:val="nil"/>
              <w:bottom w:val="nil"/>
              <w:right w:val="nil"/>
            </w:tcBorders>
            <w:shd w:val="clear" w:color="auto" w:fill="auto"/>
            <w:noWrap/>
            <w:vAlign w:val="center"/>
            <w:hideMark/>
          </w:tcPr>
          <w:p w14:paraId="72EDA21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98AA55A"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443CA8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323" w:type="dxa"/>
            <w:tcBorders>
              <w:top w:val="nil"/>
              <w:left w:val="nil"/>
              <w:bottom w:val="nil"/>
              <w:right w:val="nil"/>
            </w:tcBorders>
            <w:shd w:val="clear" w:color="auto" w:fill="E5E5E5" w:themeFill="background1" w:themeFillTint="33"/>
            <w:noWrap/>
            <w:vAlign w:val="center"/>
            <w:hideMark/>
          </w:tcPr>
          <w:p w14:paraId="660991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89.09</w:t>
            </w:r>
          </w:p>
        </w:tc>
        <w:tc>
          <w:tcPr>
            <w:tcW w:w="1373" w:type="dxa"/>
            <w:tcBorders>
              <w:top w:val="nil"/>
              <w:left w:val="nil"/>
              <w:bottom w:val="nil"/>
              <w:right w:val="nil"/>
            </w:tcBorders>
            <w:shd w:val="clear" w:color="auto" w:fill="E5E5E5" w:themeFill="background1" w:themeFillTint="33"/>
            <w:noWrap/>
            <w:vAlign w:val="center"/>
            <w:hideMark/>
          </w:tcPr>
          <w:p w14:paraId="18168A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3C9AF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88.88</w:t>
            </w:r>
          </w:p>
        </w:tc>
        <w:tc>
          <w:tcPr>
            <w:tcW w:w="1418" w:type="dxa"/>
            <w:tcBorders>
              <w:top w:val="nil"/>
              <w:left w:val="nil"/>
              <w:bottom w:val="nil"/>
              <w:right w:val="nil"/>
            </w:tcBorders>
            <w:shd w:val="clear" w:color="auto" w:fill="E5E5E5" w:themeFill="background1" w:themeFillTint="33"/>
            <w:noWrap/>
            <w:vAlign w:val="center"/>
            <w:hideMark/>
          </w:tcPr>
          <w:p w14:paraId="5B4C45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181FCF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89.76</w:t>
            </w:r>
          </w:p>
        </w:tc>
        <w:tc>
          <w:tcPr>
            <w:tcW w:w="1373" w:type="dxa"/>
            <w:tcBorders>
              <w:top w:val="nil"/>
              <w:left w:val="nil"/>
              <w:bottom w:val="nil"/>
              <w:right w:val="nil"/>
            </w:tcBorders>
            <w:shd w:val="clear" w:color="auto" w:fill="E5E5E5" w:themeFill="background1" w:themeFillTint="33"/>
            <w:noWrap/>
            <w:vAlign w:val="center"/>
            <w:hideMark/>
          </w:tcPr>
          <w:p w14:paraId="175EA0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242E9F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76.70</w:t>
            </w:r>
          </w:p>
        </w:tc>
        <w:tc>
          <w:tcPr>
            <w:tcW w:w="1326" w:type="dxa"/>
            <w:tcBorders>
              <w:top w:val="nil"/>
              <w:left w:val="nil"/>
              <w:bottom w:val="nil"/>
              <w:right w:val="nil"/>
            </w:tcBorders>
            <w:shd w:val="clear" w:color="auto" w:fill="E5E5E5" w:themeFill="background1" w:themeFillTint="33"/>
            <w:noWrap/>
            <w:vAlign w:val="center"/>
            <w:hideMark/>
          </w:tcPr>
          <w:p w14:paraId="2B9707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C147D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88.40</w:t>
            </w:r>
          </w:p>
        </w:tc>
        <w:tc>
          <w:tcPr>
            <w:tcW w:w="1276" w:type="dxa"/>
            <w:tcBorders>
              <w:top w:val="nil"/>
              <w:left w:val="nil"/>
              <w:bottom w:val="nil"/>
              <w:right w:val="nil"/>
            </w:tcBorders>
            <w:shd w:val="clear" w:color="auto" w:fill="E5E5E5" w:themeFill="background1" w:themeFillTint="33"/>
            <w:noWrap/>
            <w:vAlign w:val="center"/>
            <w:hideMark/>
          </w:tcPr>
          <w:p w14:paraId="1910188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12C6CA8"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76F636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323" w:type="dxa"/>
            <w:tcBorders>
              <w:top w:val="nil"/>
              <w:left w:val="nil"/>
              <w:bottom w:val="nil"/>
              <w:right w:val="nil"/>
            </w:tcBorders>
            <w:shd w:val="clear" w:color="auto" w:fill="FFFFFF" w:themeFill="background2"/>
            <w:noWrap/>
            <w:vAlign w:val="center"/>
            <w:hideMark/>
          </w:tcPr>
          <w:p w14:paraId="5E8842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89.40</w:t>
            </w:r>
          </w:p>
        </w:tc>
        <w:tc>
          <w:tcPr>
            <w:tcW w:w="1373" w:type="dxa"/>
            <w:tcBorders>
              <w:top w:val="nil"/>
              <w:left w:val="nil"/>
              <w:bottom w:val="nil"/>
              <w:right w:val="nil"/>
            </w:tcBorders>
            <w:shd w:val="clear" w:color="auto" w:fill="FFFFFF" w:themeFill="background2"/>
            <w:noWrap/>
            <w:vAlign w:val="center"/>
            <w:hideMark/>
          </w:tcPr>
          <w:p w14:paraId="2C69E5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FFFFFF" w:themeFill="background2"/>
            <w:noWrap/>
            <w:vAlign w:val="center"/>
            <w:hideMark/>
          </w:tcPr>
          <w:p w14:paraId="75A7B9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89.12</w:t>
            </w:r>
          </w:p>
        </w:tc>
        <w:tc>
          <w:tcPr>
            <w:tcW w:w="1418" w:type="dxa"/>
            <w:tcBorders>
              <w:top w:val="nil"/>
              <w:left w:val="nil"/>
              <w:bottom w:val="nil"/>
              <w:right w:val="nil"/>
            </w:tcBorders>
            <w:shd w:val="clear" w:color="auto" w:fill="FFFFFF" w:themeFill="background2"/>
            <w:noWrap/>
            <w:vAlign w:val="center"/>
            <w:hideMark/>
          </w:tcPr>
          <w:p w14:paraId="3E967AB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FFFFFF" w:themeFill="background2"/>
            <w:noWrap/>
            <w:vAlign w:val="center"/>
            <w:hideMark/>
          </w:tcPr>
          <w:p w14:paraId="2DEEC9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90.01</w:t>
            </w:r>
          </w:p>
        </w:tc>
        <w:tc>
          <w:tcPr>
            <w:tcW w:w="1373" w:type="dxa"/>
            <w:tcBorders>
              <w:top w:val="nil"/>
              <w:left w:val="nil"/>
              <w:bottom w:val="nil"/>
              <w:right w:val="nil"/>
            </w:tcBorders>
            <w:shd w:val="clear" w:color="auto" w:fill="FFFFFF" w:themeFill="background2"/>
            <w:noWrap/>
            <w:vAlign w:val="center"/>
            <w:hideMark/>
          </w:tcPr>
          <w:p w14:paraId="3CA2BF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FFFFFF" w:themeFill="background2"/>
            <w:noWrap/>
            <w:vAlign w:val="center"/>
            <w:hideMark/>
          </w:tcPr>
          <w:p w14:paraId="4A958C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77.32</w:t>
            </w:r>
          </w:p>
        </w:tc>
        <w:tc>
          <w:tcPr>
            <w:tcW w:w="1326" w:type="dxa"/>
            <w:tcBorders>
              <w:top w:val="nil"/>
              <w:left w:val="nil"/>
              <w:bottom w:val="nil"/>
              <w:right w:val="nil"/>
            </w:tcBorders>
            <w:shd w:val="clear" w:color="auto" w:fill="FFFFFF" w:themeFill="background2"/>
            <w:noWrap/>
            <w:vAlign w:val="center"/>
            <w:hideMark/>
          </w:tcPr>
          <w:p w14:paraId="662FE8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570A7D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88.70</w:t>
            </w:r>
          </w:p>
        </w:tc>
        <w:tc>
          <w:tcPr>
            <w:tcW w:w="1276" w:type="dxa"/>
            <w:tcBorders>
              <w:top w:val="nil"/>
              <w:left w:val="nil"/>
              <w:bottom w:val="nil"/>
              <w:right w:val="nil"/>
            </w:tcBorders>
            <w:shd w:val="clear" w:color="auto" w:fill="FFFFFF" w:themeFill="background2"/>
            <w:noWrap/>
            <w:vAlign w:val="center"/>
            <w:hideMark/>
          </w:tcPr>
          <w:p w14:paraId="487D121B"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79EE4DB"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0510A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323" w:type="dxa"/>
            <w:tcBorders>
              <w:top w:val="nil"/>
              <w:left w:val="nil"/>
              <w:bottom w:val="nil"/>
              <w:right w:val="nil"/>
            </w:tcBorders>
            <w:shd w:val="clear" w:color="auto" w:fill="E5E5E5" w:themeFill="background1" w:themeFillTint="33"/>
            <w:noWrap/>
            <w:vAlign w:val="center"/>
            <w:hideMark/>
          </w:tcPr>
          <w:p w14:paraId="5FFF38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89.80</w:t>
            </w:r>
          </w:p>
        </w:tc>
        <w:tc>
          <w:tcPr>
            <w:tcW w:w="1373" w:type="dxa"/>
            <w:tcBorders>
              <w:top w:val="nil"/>
              <w:left w:val="nil"/>
              <w:bottom w:val="nil"/>
              <w:right w:val="nil"/>
            </w:tcBorders>
            <w:shd w:val="clear" w:color="auto" w:fill="E5E5E5" w:themeFill="background1" w:themeFillTint="33"/>
            <w:noWrap/>
            <w:vAlign w:val="center"/>
            <w:hideMark/>
          </w:tcPr>
          <w:p w14:paraId="5D2A9D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46DED4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89.46</w:t>
            </w:r>
          </w:p>
        </w:tc>
        <w:tc>
          <w:tcPr>
            <w:tcW w:w="1418" w:type="dxa"/>
            <w:tcBorders>
              <w:top w:val="nil"/>
              <w:left w:val="nil"/>
              <w:bottom w:val="nil"/>
              <w:right w:val="nil"/>
            </w:tcBorders>
            <w:shd w:val="clear" w:color="auto" w:fill="E5E5E5" w:themeFill="background1" w:themeFillTint="33"/>
            <w:noWrap/>
            <w:vAlign w:val="center"/>
            <w:hideMark/>
          </w:tcPr>
          <w:p w14:paraId="6D8DD3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74FFAB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90.44</w:t>
            </w:r>
          </w:p>
        </w:tc>
        <w:tc>
          <w:tcPr>
            <w:tcW w:w="1373" w:type="dxa"/>
            <w:tcBorders>
              <w:top w:val="nil"/>
              <w:left w:val="nil"/>
              <w:bottom w:val="nil"/>
              <w:right w:val="nil"/>
            </w:tcBorders>
            <w:shd w:val="clear" w:color="auto" w:fill="E5E5E5" w:themeFill="background1" w:themeFillTint="33"/>
            <w:noWrap/>
            <w:vAlign w:val="center"/>
            <w:hideMark/>
          </w:tcPr>
          <w:p w14:paraId="0F6186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2B63D6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78.13</w:t>
            </w:r>
          </w:p>
        </w:tc>
        <w:tc>
          <w:tcPr>
            <w:tcW w:w="1326" w:type="dxa"/>
            <w:tcBorders>
              <w:top w:val="nil"/>
              <w:left w:val="nil"/>
              <w:bottom w:val="nil"/>
              <w:right w:val="nil"/>
            </w:tcBorders>
            <w:shd w:val="clear" w:color="auto" w:fill="E5E5E5" w:themeFill="background1" w:themeFillTint="33"/>
            <w:noWrap/>
            <w:vAlign w:val="center"/>
            <w:hideMark/>
          </w:tcPr>
          <w:p w14:paraId="30266B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D03F9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89.11</w:t>
            </w:r>
          </w:p>
        </w:tc>
        <w:tc>
          <w:tcPr>
            <w:tcW w:w="1276" w:type="dxa"/>
            <w:tcBorders>
              <w:top w:val="nil"/>
              <w:left w:val="nil"/>
              <w:bottom w:val="nil"/>
              <w:right w:val="nil"/>
            </w:tcBorders>
            <w:shd w:val="clear" w:color="auto" w:fill="E5E5E5" w:themeFill="background1" w:themeFillTint="33"/>
            <w:noWrap/>
            <w:vAlign w:val="center"/>
            <w:hideMark/>
          </w:tcPr>
          <w:p w14:paraId="2C7B775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A76552E"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45BE76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323" w:type="dxa"/>
            <w:tcBorders>
              <w:top w:val="nil"/>
              <w:left w:val="nil"/>
              <w:bottom w:val="nil"/>
              <w:right w:val="nil"/>
            </w:tcBorders>
            <w:shd w:val="clear" w:color="auto" w:fill="FFFFFF" w:themeFill="background2"/>
            <w:noWrap/>
            <w:vAlign w:val="center"/>
            <w:hideMark/>
          </w:tcPr>
          <w:p w14:paraId="36D9EC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90.29</w:t>
            </w:r>
          </w:p>
        </w:tc>
        <w:tc>
          <w:tcPr>
            <w:tcW w:w="1373" w:type="dxa"/>
            <w:tcBorders>
              <w:top w:val="nil"/>
              <w:left w:val="nil"/>
              <w:bottom w:val="nil"/>
              <w:right w:val="nil"/>
            </w:tcBorders>
            <w:shd w:val="clear" w:color="auto" w:fill="FFFFFF" w:themeFill="background2"/>
            <w:noWrap/>
            <w:vAlign w:val="center"/>
            <w:hideMark/>
          </w:tcPr>
          <w:p w14:paraId="61607C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FFFFFF" w:themeFill="background2"/>
            <w:noWrap/>
            <w:vAlign w:val="center"/>
            <w:hideMark/>
          </w:tcPr>
          <w:p w14:paraId="4D9EC0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89.99</w:t>
            </w:r>
          </w:p>
        </w:tc>
        <w:tc>
          <w:tcPr>
            <w:tcW w:w="1418" w:type="dxa"/>
            <w:tcBorders>
              <w:top w:val="nil"/>
              <w:left w:val="nil"/>
              <w:bottom w:val="nil"/>
              <w:right w:val="nil"/>
            </w:tcBorders>
            <w:shd w:val="clear" w:color="auto" w:fill="FFFFFF" w:themeFill="background2"/>
            <w:noWrap/>
            <w:vAlign w:val="center"/>
            <w:hideMark/>
          </w:tcPr>
          <w:p w14:paraId="5E59EC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FFFFFF" w:themeFill="background2"/>
            <w:noWrap/>
            <w:vAlign w:val="center"/>
            <w:hideMark/>
          </w:tcPr>
          <w:p w14:paraId="3ADE3A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90.72</w:t>
            </w:r>
          </w:p>
        </w:tc>
        <w:tc>
          <w:tcPr>
            <w:tcW w:w="1373" w:type="dxa"/>
            <w:tcBorders>
              <w:top w:val="nil"/>
              <w:left w:val="nil"/>
              <w:bottom w:val="nil"/>
              <w:right w:val="nil"/>
            </w:tcBorders>
            <w:shd w:val="clear" w:color="auto" w:fill="FFFFFF" w:themeFill="background2"/>
            <w:noWrap/>
            <w:vAlign w:val="center"/>
            <w:hideMark/>
          </w:tcPr>
          <w:p w14:paraId="7A7287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FFFFFF" w:themeFill="background2"/>
            <w:noWrap/>
            <w:vAlign w:val="center"/>
            <w:hideMark/>
          </w:tcPr>
          <w:p w14:paraId="16B712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79.10</w:t>
            </w:r>
          </w:p>
        </w:tc>
        <w:tc>
          <w:tcPr>
            <w:tcW w:w="1326" w:type="dxa"/>
            <w:tcBorders>
              <w:top w:val="nil"/>
              <w:left w:val="nil"/>
              <w:bottom w:val="nil"/>
              <w:right w:val="nil"/>
            </w:tcBorders>
            <w:shd w:val="clear" w:color="auto" w:fill="FFFFFF" w:themeFill="background2"/>
            <w:noWrap/>
            <w:vAlign w:val="center"/>
            <w:hideMark/>
          </w:tcPr>
          <w:p w14:paraId="0857ED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303785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89.62</w:t>
            </w:r>
          </w:p>
        </w:tc>
        <w:tc>
          <w:tcPr>
            <w:tcW w:w="1276" w:type="dxa"/>
            <w:tcBorders>
              <w:top w:val="nil"/>
              <w:left w:val="nil"/>
              <w:bottom w:val="nil"/>
              <w:right w:val="nil"/>
            </w:tcBorders>
            <w:shd w:val="clear" w:color="auto" w:fill="FFFFFF" w:themeFill="background2"/>
            <w:noWrap/>
            <w:vAlign w:val="center"/>
            <w:hideMark/>
          </w:tcPr>
          <w:p w14:paraId="5D1219D8"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7D0BFAF"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48AE73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w:t>
            </w:r>
          </w:p>
        </w:tc>
        <w:tc>
          <w:tcPr>
            <w:tcW w:w="1323" w:type="dxa"/>
            <w:tcBorders>
              <w:top w:val="nil"/>
              <w:left w:val="nil"/>
              <w:bottom w:val="nil"/>
              <w:right w:val="nil"/>
            </w:tcBorders>
            <w:shd w:val="clear" w:color="auto" w:fill="E5E5E5" w:themeFill="background1" w:themeFillTint="33"/>
            <w:noWrap/>
            <w:vAlign w:val="center"/>
            <w:hideMark/>
          </w:tcPr>
          <w:p w14:paraId="679D01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90.66</w:t>
            </w:r>
          </w:p>
        </w:tc>
        <w:tc>
          <w:tcPr>
            <w:tcW w:w="1373" w:type="dxa"/>
            <w:tcBorders>
              <w:top w:val="nil"/>
              <w:left w:val="nil"/>
              <w:bottom w:val="nil"/>
              <w:right w:val="nil"/>
            </w:tcBorders>
            <w:shd w:val="clear" w:color="auto" w:fill="E5E5E5" w:themeFill="background1" w:themeFillTint="33"/>
            <w:noWrap/>
            <w:vAlign w:val="center"/>
            <w:hideMark/>
          </w:tcPr>
          <w:p w14:paraId="0D4C5B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455C8A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90.37</w:t>
            </w:r>
          </w:p>
        </w:tc>
        <w:tc>
          <w:tcPr>
            <w:tcW w:w="1418" w:type="dxa"/>
            <w:tcBorders>
              <w:top w:val="nil"/>
              <w:left w:val="nil"/>
              <w:bottom w:val="nil"/>
              <w:right w:val="nil"/>
            </w:tcBorders>
            <w:shd w:val="clear" w:color="auto" w:fill="E5E5E5" w:themeFill="background1" w:themeFillTint="33"/>
            <w:noWrap/>
            <w:vAlign w:val="center"/>
            <w:hideMark/>
          </w:tcPr>
          <w:p w14:paraId="0A4AFC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79BE95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91.10</w:t>
            </w:r>
          </w:p>
        </w:tc>
        <w:tc>
          <w:tcPr>
            <w:tcW w:w="1373" w:type="dxa"/>
            <w:tcBorders>
              <w:top w:val="nil"/>
              <w:left w:val="nil"/>
              <w:bottom w:val="nil"/>
              <w:right w:val="nil"/>
            </w:tcBorders>
            <w:shd w:val="clear" w:color="auto" w:fill="E5E5E5" w:themeFill="background1" w:themeFillTint="33"/>
            <w:noWrap/>
            <w:vAlign w:val="center"/>
            <w:hideMark/>
          </w:tcPr>
          <w:p w14:paraId="1F6DD2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533D4B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79.77</w:t>
            </w:r>
          </w:p>
        </w:tc>
        <w:tc>
          <w:tcPr>
            <w:tcW w:w="1326" w:type="dxa"/>
            <w:tcBorders>
              <w:top w:val="nil"/>
              <w:left w:val="nil"/>
              <w:bottom w:val="nil"/>
              <w:right w:val="nil"/>
            </w:tcBorders>
            <w:shd w:val="clear" w:color="auto" w:fill="E5E5E5" w:themeFill="background1" w:themeFillTint="33"/>
            <w:noWrap/>
            <w:vAlign w:val="center"/>
            <w:hideMark/>
          </w:tcPr>
          <w:p w14:paraId="7197BA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4C8E8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90.01</w:t>
            </w:r>
          </w:p>
        </w:tc>
        <w:tc>
          <w:tcPr>
            <w:tcW w:w="1276" w:type="dxa"/>
            <w:tcBorders>
              <w:top w:val="nil"/>
              <w:left w:val="nil"/>
              <w:bottom w:val="nil"/>
              <w:right w:val="nil"/>
            </w:tcBorders>
            <w:shd w:val="clear" w:color="auto" w:fill="E5E5E5" w:themeFill="background1" w:themeFillTint="33"/>
            <w:noWrap/>
            <w:vAlign w:val="center"/>
            <w:hideMark/>
          </w:tcPr>
          <w:p w14:paraId="0A96D75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3C00F68" w14:textId="77777777" w:rsidTr="0020771F">
        <w:trPr>
          <w:trHeight w:hRule="exact" w:val="284"/>
        </w:trPr>
        <w:tc>
          <w:tcPr>
            <w:tcW w:w="960" w:type="dxa"/>
            <w:tcBorders>
              <w:top w:val="nil"/>
              <w:left w:val="nil"/>
              <w:bottom w:val="nil"/>
              <w:right w:val="nil"/>
            </w:tcBorders>
            <w:shd w:val="clear" w:color="auto" w:fill="auto"/>
            <w:noWrap/>
            <w:vAlign w:val="center"/>
            <w:hideMark/>
          </w:tcPr>
          <w:p w14:paraId="7E567F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w:t>
            </w:r>
          </w:p>
        </w:tc>
        <w:tc>
          <w:tcPr>
            <w:tcW w:w="1323" w:type="dxa"/>
            <w:tcBorders>
              <w:top w:val="nil"/>
              <w:left w:val="nil"/>
              <w:bottom w:val="nil"/>
              <w:right w:val="nil"/>
            </w:tcBorders>
            <w:shd w:val="clear" w:color="auto" w:fill="auto"/>
            <w:noWrap/>
            <w:vAlign w:val="center"/>
            <w:hideMark/>
          </w:tcPr>
          <w:p w14:paraId="576842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90.96</w:t>
            </w:r>
          </w:p>
        </w:tc>
        <w:tc>
          <w:tcPr>
            <w:tcW w:w="1373" w:type="dxa"/>
            <w:tcBorders>
              <w:top w:val="nil"/>
              <w:left w:val="nil"/>
              <w:bottom w:val="nil"/>
              <w:right w:val="nil"/>
            </w:tcBorders>
            <w:shd w:val="clear" w:color="auto" w:fill="auto"/>
            <w:noWrap/>
            <w:vAlign w:val="center"/>
            <w:hideMark/>
          </w:tcPr>
          <w:p w14:paraId="55C83E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7E1C94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90.73</w:t>
            </w:r>
          </w:p>
        </w:tc>
        <w:tc>
          <w:tcPr>
            <w:tcW w:w="1418" w:type="dxa"/>
            <w:tcBorders>
              <w:top w:val="nil"/>
              <w:left w:val="nil"/>
              <w:bottom w:val="nil"/>
              <w:right w:val="nil"/>
            </w:tcBorders>
            <w:shd w:val="clear" w:color="auto" w:fill="auto"/>
            <w:noWrap/>
            <w:vAlign w:val="center"/>
            <w:hideMark/>
          </w:tcPr>
          <w:p w14:paraId="297644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39254F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91.39</w:t>
            </w:r>
          </w:p>
        </w:tc>
        <w:tc>
          <w:tcPr>
            <w:tcW w:w="1373" w:type="dxa"/>
            <w:tcBorders>
              <w:top w:val="nil"/>
              <w:left w:val="nil"/>
              <w:bottom w:val="nil"/>
              <w:right w:val="nil"/>
            </w:tcBorders>
            <w:shd w:val="clear" w:color="auto" w:fill="auto"/>
            <w:noWrap/>
            <w:vAlign w:val="center"/>
            <w:hideMark/>
          </w:tcPr>
          <w:p w14:paraId="67732B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48516C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80.33</w:t>
            </w:r>
          </w:p>
        </w:tc>
        <w:tc>
          <w:tcPr>
            <w:tcW w:w="1326" w:type="dxa"/>
            <w:tcBorders>
              <w:top w:val="nil"/>
              <w:left w:val="nil"/>
              <w:bottom w:val="nil"/>
              <w:right w:val="nil"/>
            </w:tcBorders>
            <w:shd w:val="clear" w:color="auto" w:fill="auto"/>
            <w:noWrap/>
            <w:vAlign w:val="center"/>
            <w:hideMark/>
          </w:tcPr>
          <w:p w14:paraId="76C080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52135F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90.34</w:t>
            </w:r>
          </w:p>
        </w:tc>
        <w:tc>
          <w:tcPr>
            <w:tcW w:w="1276" w:type="dxa"/>
            <w:tcBorders>
              <w:top w:val="nil"/>
              <w:left w:val="nil"/>
              <w:bottom w:val="nil"/>
              <w:right w:val="nil"/>
            </w:tcBorders>
            <w:shd w:val="clear" w:color="auto" w:fill="auto"/>
            <w:noWrap/>
            <w:vAlign w:val="center"/>
            <w:hideMark/>
          </w:tcPr>
          <w:p w14:paraId="4C4F280B"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5706876"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4A1BC1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w:t>
            </w:r>
          </w:p>
        </w:tc>
        <w:tc>
          <w:tcPr>
            <w:tcW w:w="1323" w:type="dxa"/>
            <w:tcBorders>
              <w:top w:val="nil"/>
              <w:left w:val="nil"/>
              <w:bottom w:val="nil"/>
              <w:right w:val="nil"/>
            </w:tcBorders>
            <w:shd w:val="clear" w:color="auto" w:fill="E5E5E5" w:themeFill="background1" w:themeFillTint="33"/>
            <w:noWrap/>
            <w:vAlign w:val="center"/>
            <w:hideMark/>
          </w:tcPr>
          <w:p w14:paraId="25D578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91.27</w:t>
            </w:r>
          </w:p>
        </w:tc>
        <w:tc>
          <w:tcPr>
            <w:tcW w:w="1373" w:type="dxa"/>
            <w:tcBorders>
              <w:top w:val="nil"/>
              <w:left w:val="nil"/>
              <w:bottom w:val="nil"/>
              <w:right w:val="nil"/>
            </w:tcBorders>
            <w:shd w:val="clear" w:color="auto" w:fill="E5E5E5" w:themeFill="background1" w:themeFillTint="33"/>
            <w:noWrap/>
            <w:vAlign w:val="center"/>
            <w:hideMark/>
          </w:tcPr>
          <w:p w14:paraId="098A37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1676C6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91.01</w:t>
            </w:r>
          </w:p>
        </w:tc>
        <w:tc>
          <w:tcPr>
            <w:tcW w:w="1418" w:type="dxa"/>
            <w:tcBorders>
              <w:top w:val="nil"/>
              <w:left w:val="nil"/>
              <w:bottom w:val="nil"/>
              <w:right w:val="nil"/>
            </w:tcBorders>
            <w:shd w:val="clear" w:color="auto" w:fill="E5E5E5" w:themeFill="background1" w:themeFillTint="33"/>
            <w:noWrap/>
            <w:vAlign w:val="center"/>
            <w:hideMark/>
          </w:tcPr>
          <w:p w14:paraId="65B0C3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94F7B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91.66</w:t>
            </w:r>
          </w:p>
        </w:tc>
        <w:tc>
          <w:tcPr>
            <w:tcW w:w="1373" w:type="dxa"/>
            <w:tcBorders>
              <w:top w:val="nil"/>
              <w:left w:val="nil"/>
              <w:bottom w:val="nil"/>
              <w:right w:val="nil"/>
            </w:tcBorders>
            <w:shd w:val="clear" w:color="auto" w:fill="E5E5E5" w:themeFill="background1" w:themeFillTint="33"/>
            <w:noWrap/>
            <w:vAlign w:val="center"/>
            <w:hideMark/>
          </w:tcPr>
          <w:p w14:paraId="094B15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2078EB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80.71</w:t>
            </w:r>
          </w:p>
        </w:tc>
        <w:tc>
          <w:tcPr>
            <w:tcW w:w="1326" w:type="dxa"/>
            <w:tcBorders>
              <w:top w:val="nil"/>
              <w:left w:val="nil"/>
              <w:bottom w:val="nil"/>
              <w:right w:val="nil"/>
            </w:tcBorders>
            <w:shd w:val="clear" w:color="auto" w:fill="E5E5E5" w:themeFill="background1" w:themeFillTint="33"/>
            <w:noWrap/>
            <w:vAlign w:val="center"/>
            <w:hideMark/>
          </w:tcPr>
          <w:p w14:paraId="59F2E4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628C1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90.64</w:t>
            </w:r>
          </w:p>
        </w:tc>
        <w:tc>
          <w:tcPr>
            <w:tcW w:w="1276" w:type="dxa"/>
            <w:tcBorders>
              <w:top w:val="nil"/>
              <w:left w:val="nil"/>
              <w:bottom w:val="nil"/>
              <w:right w:val="nil"/>
            </w:tcBorders>
            <w:shd w:val="clear" w:color="auto" w:fill="E5E5E5" w:themeFill="background1" w:themeFillTint="33"/>
            <w:noWrap/>
            <w:vAlign w:val="center"/>
            <w:hideMark/>
          </w:tcPr>
          <w:p w14:paraId="7489CC52"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40C9B1F" w14:textId="77777777" w:rsidTr="0020771F">
        <w:trPr>
          <w:trHeight w:hRule="exact" w:val="284"/>
        </w:trPr>
        <w:tc>
          <w:tcPr>
            <w:tcW w:w="960" w:type="dxa"/>
            <w:tcBorders>
              <w:top w:val="nil"/>
              <w:left w:val="nil"/>
              <w:bottom w:val="nil"/>
              <w:right w:val="nil"/>
            </w:tcBorders>
            <w:shd w:val="clear" w:color="auto" w:fill="auto"/>
            <w:noWrap/>
            <w:vAlign w:val="center"/>
            <w:hideMark/>
          </w:tcPr>
          <w:p w14:paraId="24646E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c>
          <w:tcPr>
            <w:tcW w:w="1323" w:type="dxa"/>
            <w:tcBorders>
              <w:top w:val="nil"/>
              <w:left w:val="nil"/>
              <w:bottom w:val="nil"/>
              <w:right w:val="nil"/>
            </w:tcBorders>
            <w:shd w:val="clear" w:color="auto" w:fill="auto"/>
            <w:noWrap/>
            <w:vAlign w:val="center"/>
            <w:hideMark/>
          </w:tcPr>
          <w:p w14:paraId="3BF6CD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91.52</w:t>
            </w:r>
          </w:p>
        </w:tc>
        <w:tc>
          <w:tcPr>
            <w:tcW w:w="1373" w:type="dxa"/>
            <w:tcBorders>
              <w:top w:val="nil"/>
              <w:left w:val="nil"/>
              <w:bottom w:val="nil"/>
              <w:right w:val="nil"/>
            </w:tcBorders>
            <w:shd w:val="clear" w:color="auto" w:fill="auto"/>
            <w:noWrap/>
            <w:vAlign w:val="center"/>
            <w:hideMark/>
          </w:tcPr>
          <w:p w14:paraId="063E00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39C88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91.28</w:t>
            </w:r>
          </w:p>
        </w:tc>
        <w:tc>
          <w:tcPr>
            <w:tcW w:w="1418" w:type="dxa"/>
            <w:tcBorders>
              <w:top w:val="nil"/>
              <w:left w:val="nil"/>
              <w:bottom w:val="nil"/>
              <w:right w:val="nil"/>
            </w:tcBorders>
            <w:shd w:val="clear" w:color="auto" w:fill="auto"/>
            <w:noWrap/>
            <w:vAlign w:val="center"/>
            <w:hideMark/>
          </w:tcPr>
          <w:p w14:paraId="772389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294E23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91.89</w:t>
            </w:r>
          </w:p>
        </w:tc>
        <w:tc>
          <w:tcPr>
            <w:tcW w:w="1373" w:type="dxa"/>
            <w:tcBorders>
              <w:top w:val="nil"/>
              <w:left w:val="nil"/>
              <w:bottom w:val="nil"/>
              <w:right w:val="nil"/>
            </w:tcBorders>
            <w:shd w:val="clear" w:color="auto" w:fill="auto"/>
            <w:noWrap/>
            <w:vAlign w:val="center"/>
            <w:hideMark/>
          </w:tcPr>
          <w:p w14:paraId="35A737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6B1698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81.25</w:t>
            </w:r>
          </w:p>
        </w:tc>
        <w:tc>
          <w:tcPr>
            <w:tcW w:w="1326" w:type="dxa"/>
            <w:tcBorders>
              <w:top w:val="nil"/>
              <w:left w:val="nil"/>
              <w:bottom w:val="nil"/>
              <w:right w:val="nil"/>
            </w:tcBorders>
            <w:shd w:val="clear" w:color="auto" w:fill="auto"/>
            <w:noWrap/>
            <w:vAlign w:val="center"/>
            <w:hideMark/>
          </w:tcPr>
          <w:p w14:paraId="5CDB21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5D9453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90.92</w:t>
            </w:r>
          </w:p>
        </w:tc>
        <w:tc>
          <w:tcPr>
            <w:tcW w:w="1276" w:type="dxa"/>
            <w:tcBorders>
              <w:top w:val="nil"/>
              <w:left w:val="nil"/>
              <w:bottom w:val="nil"/>
              <w:right w:val="nil"/>
            </w:tcBorders>
            <w:shd w:val="clear" w:color="auto" w:fill="auto"/>
            <w:noWrap/>
            <w:vAlign w:val="center"/>
            <w:hideMark/>
          </w:tcPr>
          <w:p w14:paraId="1E5BD524"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F100872"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2A7D4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c>
          <w:tcPr>
            <w:tcW w:w="1323" w:type="dxa"/>
            <w:tcBorders>
              <w:top w:val="nil"/>
              <w:left w:val="nil"/>
              <w:bottom w:val="nil"/>
              <w:right w:val="nil"/>
            </w:tcBorders>
            <w:shd w:val="clear" w:color="auto" w:fill="E5E5E5" w:themeFill="background1" w:themeFillTint="33"/>
            <w:noWrap/>
            <w:vAlign w:val="center"/>
            <w:hideMark/>
          </w:tcPr>
          <w:p w14:paraId="6B8922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91.81</w:t>
            </w:r>
          </w:p>
        </w:tc>
        <w:tc>
          <w:tcPr>
            <w:tcW w:w="1373" w:type="dxa"/>
            <w:tcBorders>
              <w:top w:val="nil"/>
              <w:left w:val="nil"/>
              <w:bottom w:val="nil"/>
              <w:right w:val="nil"/>
            </w:tcBorders>
            <w:shd w:val="clear" w:color="auto" w:fill="E5E5E5" w:themeFill="background1" w:themeFillTint="33"/>
            <w:noWrap/>
            <w:vAlign w:val="center"/>
            <w:hideMark/>
          </w:tcPr>
          <w:p w14:paraId="06F8E6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15A492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91.56</w:t>
            </w:r>
          </w:p>
        </w:tc>
        <w:tc>
          <w:tcPr>
            <w:tcW w:w="1418" w:type="dxa"/>
            <w:tcBorders>
              <w:top w:val="nil"/>
              <w:left w:val="nil"/>
              <w:bottom w:val="nil"/>
              <w:right w:val="nil"/>
            </w:tcBorders>
            <w:shd w:val="clear" w:color="auto" w:fill="E5E5E5" w:themeFill="background1" w:themeFillTint="33"/>
            <w:noWrap/>
            <w:vAlign w:val="center"/>
            <w:hideMark/>
          </w:tcPr>
          <w:p w14:paraId="65A5DB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26E48C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92.20</w:t>
            </w:r>
          </w:p>
        </w:tc>
        <w:tc>
          <w:tcPr>
            <w:tcW w:w="1373" w:type="dxa"/>
            <w:tcBorders>
              <w:top w:val="nil"/>
              <w:left w:val="nil"/>
              <w:bottom w:val="nil"/>
              <w:right w:val="nil"/>
            </w:tcBorders>
            <w:shd w:val="clear" w:color="auto" w:fill="E5E5E5" w:themeFill="background1" w:themeFillTint="33"/>
            <w:noWrap/>
            <w:vAlign w:val="center"/>
            <w:hideMark/>
          </w:tcPr>
          <w:p w14:paraId="28E795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57632C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81.60</w:t>
            </w:r>
          </w:p>
        </w:tc>
        <w:tc>
          <w:tcPr>
            <w:tcW w:w="1326" w:type="dxa"/>
            <w:tcBorders>
              <w:top w:val="nil"/>
              <w:left w:val="nil"/>
              <w:bottom w:val="nil"/>
              <w:right w:val="nil"/>
            </w:tcBorders>
            <w:shd w:val="clear" w:color="auto" w:fill="E5E5E5" w:themeFill="background1" w:themeFillTint="33"/>
            <w:noWrap/>
            <w:vAlign w:val="center"/>
            <w:hideMark/>
          </w:tcPr>
          <w:p w14:paraId="12A1D4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54EB2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91.20</w:t>
            </w:r>
          </w:p>
        </w:tc>
        <w:tc>
          <w:tcPr>
            <w:tcW w:w="1276" w:type="dxa"/>
            <w:tcBorders>
              <w:top w:val="nil"/>
              <w:left w:val="nil"/>
              <w:bottom w:val="nil"/>
              <w:right w:val="nil"/>
            </w:tcBorders>
            <w:shd w:val="clear" w:color="auto" w:fill="E5E5E5" w:themeFill="background1" w:themeFillTint="33"/>
            <w:noWrap/>
            <w:vAlign w:val="center"/>
            <w:hideMark/>
          </w:tcPr>
          <w:p w14:paraId="172F5D03"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28B2CFE" w14:textId="77777777" w:rsidTr="0020771F">
        <w:trPr>
          <w:trHeight w:hRule="exact" w:val="284"/>
        </w:trPr>
        <w:tc>
          <w:tcPr>
            <w:tcW w:w="960" w:type="dxa"/>
            <w:tcBorders>
              <w:top w:val="nil"/>
              <w:left w:val="nil"/>
              <w:bottom w:val="nil"/>
              <w:right w:val="nil"/>
            </w:tcBorders>
            <w:shd w:val="clear" w:color="auto" w:fill="auto"/>
            <w:noWrap/>
            <w:vAlign w:val="center"/>
            <w:hideMark/>
          </w:tcPr>
          <w:p w14:paraId="7520B4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323" w:type="dxa"/>
            <w:tcBorders>
              <w:top w:val="nil"/>
              <w:left w:val="nil"/>
              <w:bottom w:val="nil"/>
              <w:right w:val="nil"/>
            </w:tcBorders>
            <w:shd w:val="clear" w:color="auto" w:fill="auto"/>
            <w:noWrap/>
            <w:vAlign w:val="center"/>
            <w:hideMark/>
          </w:tcPr>
          <w:p w14:paraId="02B606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92.14</w:t>
            </w:r>
          </w:p>
        </w:tc>
        <w:tc>
          <w:tcPr>
            <w:tcW w:w="1373" w:type="dxa"/>
            <w:tcBorders>
              <w:top w:val="nil"/>
              <w:left w:val="nil"/>
              <w:bottom w:val="nil"/>
              <w:right w:val="nil"/>
            </w:tcBorders>
            <w:shd w:val="clear" w:color="auto" w:fill="auto"/>
            <w:noWrap/>
            <w:vAlign w:val="center"/>
            <w:hideMark/>
          </w:tcPr>
          <w:p w14:paraId="1C2134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40F469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91.89</w:t>
            </w:r>
          </w:p>
        </w:tc>
        <w:tc>
          <w:tcPr>
            <w:tcW w:w="1418" w:type="dxa"/>
            <w:tcBorders>
              <w:top w:val="nil"/>
              <w:left w:val="nil"/>
              <w:bottom w:val="nil"/>
              <w:right w:val="nil"/>
            </w:tcBorders>
            <w:shd w:val="clear" w:color="auto" w:fill="auto"/>
            <w:noWrap/>
            <w:vAlign w:val="center"/>
            <w:hideMark/>
          </w:tcPr>
          <w:p w14:paraId="7B7E80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3F0439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92.40</w:t>
            </w:r>
          </w:p>
        </w:tc>
        <w:tc>
          <w:tcPr>
            <w:tcW w:w="1373" w:type="dxa"/>
            <w:tcBorders>
              <w:top w:val="nil"/>
              <w:left w:val="nil"/>
              <w:bottom w:val="nil"/>
              <w:right w:val="nil"/>
            </w:tcBorders>
            <w:shd w:val="clear" w:color="auto" w:fill="auto"/>
            <w:noWrap/>
            <w:vAlign w:val="center"/>
            <w:hideMark/>
          </w:tcPr>
          <w:p w14:paraId="2012A9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7031C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82.38</w:t>
            </w:r>
          </w:p>
        </w:tc>
        <w:tc>
          <w:tcPr>
            <w:tcW w:w="1326" w:type="dxa"/>
            <w:tcBorders>
              <w:top w:val="nil"/>
              <w:left w:val="nil"/>
              <w:bottom w:val="nil"/>
              <w:right w:val="nil"/>
            </w:tcBorders>
            <w:shd w:val="clear" w:color="auto" w:fill="auto"/>
            <w:noWrap/>
            <w:vAlign w:val="center"/>
            <w:hideMark/>
          </w:tcPr>
          <w:p w14:paraId="1D6A04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740D7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91.55</w:t>
            </w:r>
          </w:p>
        </w:tc>
        <w:tc>
          <w:tcPr>
            <w:tcW w:w="1276" w:type="dxa"/>
            <w:tcBorders>
              <w:top w:val="nil"/>
              <w:left w:val="nil"/>
              <w:bottom w:val="nil"/>
              <w:right w:val="nil"/>
            </w:tcBorders>
            <w:shd w:val="clear" w:color="auto" w:fill="auto"/>
            <w:noWrap/>
            <w:vAlign w:val="center"/>
            <w:hideMark/>
          </w:tcPr>
          <w:p w14:paraId="5DA1C83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E835E1F"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049D0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c>
          <w:tcPr>
            <w:tcW w:w="1323" w:type="dxa"/>
            <w:tcBorders>
              <w:top w:val="nil"/>
              <w:left w:val="nil"/>
              <w:bottom w:val="nil"/>
              <w:right w:val="nil"/>
            </w:tcBorders>
            <w:shd w:val="clear" w:color="auto" w:fill="E5E5E5" w:themeFill="background1" w:themeFillTint="33"/>
            <w:noWrap/>
            <w:vAlign w:val="center"/>
            <w:hideMark/>
          </w:tcPr>
          <w:p w14:paraId="3AD1DD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92.57</w:t>
            </w:r>
          </w:p>
        </w:tc>
        <w:tc>
          <w:tcPr>
            <w:tcW w:w="1373" w:type="dxa"/>
            <w:tcBorders>
              <w:top w:val="nil"/>
              <w:left w:val="nil"/>
              <w:bottom w:val="nil"/>
              <w:right w:val="nil"/>
            </w:tcBorders>
            <w:shd w:val="clear" w:color="auto" w:fill="E5E5E5" w:themeFill="background1" w:themeFillTint="33"/>
            <w:noWrap/>
            <w:vAlign w:val="center"/>
            <w:hideMark/>
          </w:tcPr>
          <w:p w14:paraId="202982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737227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92.26</w:t>
            </w:r>
          </w:p>
        </w:tc>
        <w:tc>
          <w:tcPr>
            <w:tcW w:w="1418" w:type="dxa"/>
            <w:tcBorders>
              <w:top w:val="nil"/>
              <w:left w:val="nil"/>
              <w:bottom w:val="nil"/>
              <w:right w:val="nil"/>
            </w:tcBorders>
            <w:shd w:val="clear" w:color="auto" w:fill="E5E5E5" w:themeFill="background1" w:themeFillTint="33"/>
            <w:noWrap/>
            <w:vAlign w:val="center"/>
            <w:hideMark/>
          </w:tcPr>
          <w:p w14:paraId="7D6C8D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86E04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92.74</w:t>
            </w:r>
          </w:p>
        </w:tc>
        <w:tc>
          <w:tcPr>
            <w:tcW w:w="1373" w:type="dxa"/>
            <w:tcBorders>
              <w:top w:val="nil"/>
              <w:left w:val="nil"/>
              <w:bottom w:val="nil"/>
              <w:right w:val="nil"/>
            </w:tcBorders>
            <w:shd w:val="clear" w:color="auto" w:fill="E5E5E5" w:themeFill="background1" w:themeFillTint="33"/>
            <w:noWrap/>
            <w:vAlign w:val="center"/>
            <w:hideMark/>
          </w:tcPr>
          <w:p w14:paraId="3FBDC4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E29C0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83.05</w:t>
            </w:r>
          </w:p>
        </w:tc>
        <w:tc>
          <w:tcPr>
            <w:tcW w:w="1326" w:type="dxa"/>
            <w:tcBorders>
              <w:top w:val="nil"/>
              <w:left w:val="nil"/>
              <w:bottom w:val="nil"/>
              <w:right w:val="nil"/>
            </w:tcBorders>
            <w:shd w:val="clear" w:color="auto" w:fill="E5E5E5" w:themeFill="background1" w:themeFillTint="33"/>
            <w:noWrap/>
            <w:vAlign w:val="center"/>
            <w:hideMark/>
          </w:tcPr>
          <w:p w14:paraId="52D228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37B07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91.97</w:t>
            </w:r>
          </w:p>
        </w:tc>
        <w:tc>
          <w:tcPr>
            <w:tcW w:w="1276" w:type="dxa"/>
            <w:tcBorders>
              <w:top w:val="nil"/>
              <w:left w:val="nil"/>
              <w:bottom w:val="nil"/>
              <w:right w:val="nil"/>
            </w:tcBorders>
            <w:shd w:val="clear" w:color="auto" w:fill="E5E5E5" w:themeFill="background1" w:themeFillTint="33"/>
            <w:noWrap/>
            <w:vAlign w:val="center"/>
            <w:hideMark/>
          </w:tcPr>
          <w:p w14:paraId="01DE0C1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84C8296"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50BE9D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c>
          <w:tcPr>
            <w:tcW w:w="1323" w:type="dxa"/>
            <w:tcBorders>
              <w:top w:val="nil"/>
              <w:left w:val="nil"/>
              <w:bottom w:val="nil"/>
              <w:right w:val="nil"/>
            </w:tcBorders>
            <w:shd w:val="clear" w:color="auto" w:fill="FFFFFF" w:themeFill="background2"/>
            <w:noWrap/>
            <w:vAlign w:val="center"/>
            <w:hideMark/>
          </w:tcPr>
          <w:p w14:paraId="3BB9EB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92.90</w:t>
            </w:r>
          </w:p>
        </w:tc>
        <w:tc>
          <w:tcPr>
            <w:tcW w:w="1373" w:type="dxa"/>
            <w:tcBorders>
              <w:top w:val="nil"/>
              <w:left w:val="nil"/>
              <w:bottom w:val="nil"/>
              <w:right w:val="nil"/>
            </w:tcBorders>
            <w:shd w:val="clear" w:color="auto" w:fill="FFFFFF" w:themeFill="background2"/>
            <w:noWrap/>
            <w:vAlign w:val="center"/>
            <w:hideMark/>
          </w:tcPr>
          <w:p w14:paraId="6692B9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FFFFFF" w:themeFill="background2"/>
            <w:noWrap/>
            <w:vAlign w:val="center"/>
            <w:hideMark/>
          </w:tcPr>
          <w:p w14:paraId="25D75D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c>
          <w:tcPr>
            <w:tcW w:w="1418" w:type="dxa"/>
            <w:tcBorders>
              <w:top w:val="nil"/>
              <w:left w:val="nil"/>
              <w:bottom w:val="nil"/>
              <w:right w:val="nil"/>
            </w:tcBorders>
            <w:shd w:val="clear" w:color="auto" w:fill="FFFFFF" w:themeFill="background2"/>
            <w:noWrap/>
            <w:vAlign w:val="center"/>
            <w:hideMark/>
          </w:tcPr>
          <w:p w14:paraId="523922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FFFFFF" w:themeFill="background2"/>
            <w:noWrap/>
            <w:vAlign w:val="center"/>
            <w:hideMark/>
          </w:tcPr>
          <w:p w14:paraId="74E8D2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92.96</w:t>
            </w:r>
          </w:p>
        </w:tc>
        <w:tc>
          <w:tcPr>
            <w:tcW w:w="1373" w:type="dxa"/>
            <w:tcBorders>
              <w:top w:val="nil"/>
              <w:left w:val="nil"/>
              <w:bottom w:val="nil"/>
              <w:right w:val="nil"/>
            </w:tcBorders>
            <w:shd w:val="clear" w:color="auto" w:fill="FFFFFF" w:themeFill="background2"/>
            <w:noWrap/>
            <w:vAlign w:val="center"/>
            <w:hideMark/>
          </w:tcPr>
          <w:p w14:paraId="22DDB5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FFFFFF" w:themeFill="background2"/>
            <w:noWrap/>
            <w:vAlign w:val="center"/>
            <w:hideMark/>
          </w:tcPr>
          <w:p w14:paraId="2E78A8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83.80</w:t>
            </w:r>
          </w:p>
        </w:tc>
        <w:tc>
          <w:tcPr>
            <w:tcW w:w="1326" w:type="dxa"/>
            <w:tcBorders>
              <w:top w:val="nil"/>
              <w:left w:val="nil"/>
              <w:bottom w:val="nil"/>
              <w:right w:val="nil"/>
            </w:tcBorders>
            <w:shd w:val="clear" w:color="auto" w:fill="FFFFFF" w:themeFill="background2"/>
            <w:noWrap/>
            <w:vAlign w:val="center"/>
            <w:hideMark/>
          </w:tcPr>
          <w:p w14:paraId="65E4B6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123FE6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92.32</w:t>
            </w:r>
          </w:p>
        </w:tc>
        <w:tc>
          <w:tcPr>
            <w:tcW w:w="1276" w:type="dxa"/>
            <w:tcBorders>
              <w:top w:val="nil"/>
              <w:left w:val="nil"/>
              <w:bottom w:val="nil"/>
              <w:right w:val="nil"/>
            </w:tcBorders>
            <w:shd w:val="clear" w:color="auto" w:fill="FFFFFF" w:themeFill="background2"/>
            <w:noWrap/>
            <w:vAlign w:val="center"/>
            <w:hideMark/>
          </w:tcPr>
          <w:p w14:paraId="386A7D0F"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656AF13"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A3AA2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c>
          <w:tcPr>
            <w:tcW w:w="1323" w:type="dxa"/>
            <w:tcBorders>
              <w:top w:val="nil"/>
              <w:left w:val="nil"/>
              <w:bottom w:val="nil"/>
              <w:right w:val="nil"/>
            </w:tcBorders>
            <w:shd w:val="clear" w:color="auto" w:fill="E5E5E5" w:themeFill="background1" w:themeFillTint="33"/>
            <w:noWrap/>
            <w:vAlign w:val="center"/>
            <w:hideMark/>
          </w:tcPr>
          <w:p w14:paraId="166722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93.13</w:t>
            </w:r>
          </w:p>
        </w:tc>
        <w:tc>
          <w:tcPr>
            <w:tcW w:w="1373" w:type="dxa"/>
            <w:tcBorders>
              <w:top w:val="nil"/>
              <w:left w:val="nil"/>
              <w:bottom w:val="nil"/>
              <w:right w:val="nil"/>
            </w:tcBorders>
            <w:shd w:val="clear" w:color="auto" w:fill="E5E5E5" w:themeFill="background1" w:themeFillTint="33"/>
            <w:noWrap/>
            <w:vAlign w:val="center"/>
            <w:hideMark/>
          </w:tcPr>
          <w:p w14:paraId="0DA4D7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07F9D0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92.82</w:t>
            </w:r>
          </w:p>
        </w:tc>
        <w:tc>
          <w:tcPr>
            <w:tcW w:w="1418" w:type="dxa"/>
            <w:tcBorders>
              <w:top w:val="nil"/>
              <w:left w:val="nil"/>
              <w:bottom w:val="nil"/>
              <w:right w:val="nil"/>
            </w:tcBorders>
            <w:shd w:val="clear" w:color="auto" w:fill="E5E5E5" w:themeFill="background1" w:themeFillTint="33"/>
            <w:noWrap/>
            <w:vAlign w:val="center"/>
            <w:hideMark/>
          </w:tcPr>
          <w:p w14:paraId="15C3F7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19ECE2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93.22</w:t>
            </w:r>
          </w:p>
        </w:tc>
        <w:tc>
          <w:tcPr>
            <w:tcW w:w="1373" w:type="dxa"/>
            <w:tcBorders>
              <w:top w:val="nil"/>
              <w:left w:val="nil"/>
              <w:bottom w:val="nil"/>
              <w:right w:val="nil"/>
            </w:tcBorders>
            <w:shd w:val="clear" w:color="auto" w:fill="E5E5E5" w:themeFill="background1" w:themeFillTint="33"/>
            <w:noWrap/>
            <w:vAlign w:val="center"/>
            <w:hideMark/>
          </w:tcPr>
          <w:p w14:paraId="2FAA67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3744BC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84.26</w:t>
            </w:r>
          </w:p>
        </w:tc>
        <w:tc>
          <w:tcPr>
            <w:tcW w:w="1326" w:type="dxa"/>
            <w:tcBorders>
              <w:top w:val="nil"/>
              <w:left w:val="nil"/>
              <w:bottom w:val="nil"/>
              <w:right w:val="nil"/>
            </w:tcBorders>
            <w:shd w:val="clear" w:color="auto" w:fill="E5E5E5" w:themeFill="background1" w:themeFillTint="33"/>
            <w:noWrap/>
            <w:vAlign w:val="center"/>
            <w:hideMark/>
          </w:tcPr>
          <w:p w14:paraId="62F314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26E5D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92.56</w:t>
            </w:r>
          </w:p>
        </w:tc>
        <w:tc>
          <w:tcPr>
            <w:tcW w:w="1276" w:type="dxa"/>
            <w:tcBorders>
              <w:top w:val="nil"/>
              <w:left w:val="nil"/>
              <w:bottom w:val="nil"/>
              <w:right w:val="nil"/>
            </w:tcBorders>
            <w:shd w:val="clear" w:color="auto" w:fill="E5E5E5" w:themeFill="background1" w:themeFillTint="33"/>
            <w:noWrap/>
            <w:vAlign w:val="center"/>
            <w:hideMark/>
          </w:tcPr>
          <w:p w14:paraId="7EFACB5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5A60A65" w14:textId="77777777" w:rsidTr="0020771F">
        <w:trPr>
          <w:trHeight w:hRule="exact" w:val="284"/>
        </w:trPr>
        <w:tc>
          <w:tcPr>
            <w:tcW w:w="960" w:type="dxa"/>
            <w:tcBorders>
              <w:top w:val="nil"/>
              <w:left w:val="nil"/>
              <w:bottom w:val="nil"/>
              <w:right w:val="nil"/>
            </w:tcBorders>
            <w:shd w:val="clear" w:color="auto" w:fill="auto"/>
            <w:noWrap/>
            <w:vAlign w:val="center"/>
            <w:hideMark/>
          </w:tcPr>
          <w:p w14:paraId="768765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w:t>
            </w:r>
          </w:p>
        </w:tc>
        <w:tc>
          <w:tcPr>
            <w:tcW w:w="1323" w:type="dxa"/>
            <w:tcBorders>
              <w:top w:val="nil"/>
              <w:left w:val="nil"/>
              <w:bottom w:val="nil"/>
              <w:right w:val="nil"/>
            </w:tcBorders>
            <w:shd w:val="clear" w:color="auto" w:fill="auto"/>
            <w:noWrap/>
            <w:vAlign w:val="center"/>
            <w:hideMark/>
          </w:tcPr>
          <w:p w14:paraId="4342A5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93.33</w:t>
            </w:r>
          </w:p>
        </w:tc>
        <w:tc>
          <w:tcPr>
            <w:tcW w:w="1373" w:type="dxa"/>
            <w:tcBorders>
              <w:top w:val="nil"/>
              <w:left w:val="nil"/>
              <w:bottom w:val="nil"/>
              <w:right w:val="nil"/>
            </w:tcBorders>
            <w:shd w:val="clear" w:color="auto" w:fill="auto"/>
            <w:noWrap/>
            <w:vAlign w:val="center"/>
            <w:hideMark/>
          </w:tcPr>
          <w:p w14:paraId="6ED22F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064E7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93.00</w:t>
            </w:r>
          </w:p>
        </w:tc>
        <w:tc>
          <w:tcPr>
            <w:tcW w:w="1418" w:type="dxa"/>
            <w:tcBorders>
              <w:top w:val="nil"/>
              <w:left w:val="nil"/>
              <w:bottom w:val="nil"/>
              <w:right w:val="nil"/>
            </w:tcBorders>
            <w:shd w:val="clear" w:color="auto" w:fill="auto"/>
            <w:noWrap/>
            <w:vAlign w:val="center"/>
            <w:hideMark/>
          </w:tcPr>
          <w:p w14:paraId="0A07C2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66ABB9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93.32</w:t>
            </w:r>
          </w:p>
        </w:tc>
        <w:tc>
          <w:tcPr>
            <w:tcW w:w="1373" w:type="dxa"/>
            <w:tcBorders>
              <w:top w:val="nil"/>
              <w:left w:val="nil"/>
              <w:bottom w:val="nil"/>
              <w:right w:val="nil"/>
            </w:tcBorders>
            <w:shd w:val="clear" w:color="auto" w:fill="auto"/>
            <w:noWrap/>
            <w:vAlign w:val="center"/>
            <w:hideMark/>
          </w:tcPr>
          <w:p w14:paraId="650866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E59DF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84.77</w:t>
            </w:r>
          </w:p>
        </w:tc>
        <w:tc>
          <w:tcPr>
            <w:tcW w:w="1326" w:type="dxa"/>
            <w:tcBorders>
              <w:top w:val="nil"/>
              <w:left w:val="nil"/>
              <w:bottom w:val="nil"/>
              <w:right w:val="nil"/>
            </w:tcBorders>
            <w:shd w:val="clear" w:color="auto" w:fill="auto"/>
            <w:noWrap/>
            <w:vAlign w:val="center"/>
            <w:hideMark/>
          </w:tcPr>
          <w:p w14:paraId="28D30F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4412C2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92.76</w:t>
            </w:r>
          </w:p>
        </w:tc>
        <w:tc>
          <w:tcPr>
            <w:tcW w:w="1276" w:type="dxa"/>
            <w:tcBorders>
              <w:top w:val="nil"/>
              <w:left w:val="nil"/>
              <w:bottom w:val="nil"/>
              <w:right w:val="nil"/>
            </w:tcBorders>
            <w:shd w:val="clear" w:color="auto" w:fill="auto"/>
            <w:noWrap/>
            <w:vAlign w:val="center"/>
            <w:hideMark/>
          </w:tcPr>
          <w:p w14:paraId="1EC278EE"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30D1FCD"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6DE986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c>
          <w:tcPr>
            <w:tcW w:w="1323" w:type="dxa"/>
            <w:tcBorders>
              <w:top w:val="nil"/>
              <w:left w:val="nil"/>
              <w:bottom w:val="nil"/>
              <w:right w:val="nil"/>
            </w:tcBorders>
            <w:shd w:val="clear" w:color="auto" w:fill="E5E5E5" w:themeFill="background1" w:themeFillTint="33"/>
            <w:noWrap/>
            <w:vAlign w:val="center"/>
            <w:hideMark/>
          </w:tcPr>
          <w:p w14:paraId="32DBC2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93.54</w:t>
            </w:r>
          </w:p>
        </w:tc>
        <w:tc>
          <w:tcPr>
            <w:tcW w:w="1373" w:type="dxa"/>
            <w:tcBorders>
              <w:top w:val="nil"/>
              <w:left w:val="nil"/>
              <w:bottom w:val="nil"/>
              <w:right w:val="nil"/>
            </w:tcBorders>
            <w:shd w:val="clear" w:color="auto" w:fill="E5E5E5" w:themeFill="background1" w:themeFillTint="33"/>
            <w:noWrap/>
            <w:vAlign w:val="center"/>
            <w:hideMark/>
          </w:tcPr>
          <w:p w14:paraId="33C010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A5113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93.25</w:t>
            </w:r>
          </w:p>
        </w:tc>
        <w:tc>
          <w:tcPr>
            <w:tcW w:w="1418" w:type="dxa"/>
            <w:tcBorders>
              <w:top w:val="nil"/>
              <w:left w:val="nil"/>
              <w:bottom w:val="nil"/>
              <w:right w:val="nil"/>
            </w:tcBorders>
            <w:shd w:val="clear" w:color="auto" w:fill="E5E5E5" w:themeFill="background1" w:themeFillTint="33"/>
            <w:noWrap/>
            <w:vAlign w:val="center"/>
            <w:hideMark/>
          </w:tcPr>
          <w:p w14:paraId="435711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7E4497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93.51</w:t>
            </w:r>
          </w:p>
        </w:tc>
        <w:tc>
          <w:tcPr>
            <w:tcW w:w="1373" w:type="dxa"/>
            <w:tcBorders>
              <w:top w:val="nil"/>
              <w:left w:val="nil"/>
              <w:bottom w:val="nil"/>
              <w:right w:val="nil"/>
            </w:tcBorders>
            <w:shd w:val="clear" w:color="auto" w:fill="E5E5E5" w:themeFill="background1" w:themeFillTint="33"/>
            <w:noWrap/>
            <w:vAlign w:val="center"/>
            <w:hideMark/>
          </w:tcPr>
          <w:p w14:paraId="286B80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3F3A85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85.31</w:t>
            </w:r>
          </w:p>
        </w:tc>
        <w:tc>
          <w:tcPr>
            <w:tcW w:w="1326" w:type="dxa"/>
            <w:tcBorders>
              <w:top w:val="nil"/>
              <w:left w:val="nil"/>
              <w:bottom w:val="nil"/>
              <w:right w:val="nil"/>
            </w:tcBorders>
            <w:shd w:val="clear" w:color="auto" w:fill="E5E5E5" w:themeFill="background1" w:themeFillTint="33"/>
            <w:noWrap/>
            <w:vAlign w:val="center"/>
            <w:hideMark/>
          </w:tcPr>
          <w:p w14:paraId="430F58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ECFA8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93.00</w:t>
            </w:r>
          </w:p>
        </w:tc>
        <w:tc>
          <w:tcPr>
            <w:tcW w:w="1276" w:type="dxa"/>
            <w:tcBorders>
              <w:top w:val="nil"/>
              <w:left w:val="nil"/>
              <w:bottom w:val="nil"/>
              <w:right w:val="nil"/>
            </w:tcBorders>
            <w:shd w:val="clear" w:color="auto" w:fill="E5E5E5" w:themeFill="background1" w:themeFillTint="33"/>
            <w:noWrap/>
            <w:vAlign w:val="center"/>
            <w:hideMark/>
          </w:tcPr>
          <w:p w14:paraId="3F874274"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D0EB647" w14:textId="77777777" w:rsidTr="0020771F">
        <w:trPr>
          <w:trHeight w:hRule="exact" w:val="284"/>
        </w:trPr>
        <w:tc>
          <w:tcPr>
            <w:tcW w:w="960" w:type="dxa"/>
            <w:tcBorders>
              <w:top w:val="nil"/>
              <w:left w:val="nil"/>
              <w:bottom w:val="nil"/>
              <w:right w:val="nil"/>
            </w:tcBorders>
            <w:shd w:val="clear" w:color="auto" w:fill="auto"/>
            <w:noWrap/>
            <w:vAlign w:val="center"/>
            <w:hideMark/>
          </w:tcPr>
          <w:p w14:paraId="6989D6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w:t>
            </w:r>
          </w:p>
        </w:tc>
        <w:tc>
          <w:tcPr>
            <w:tcW w:w="1323" w:type="dxa"/>
            <w:tcBorders>
              <w:top w:val="nil"/>
              <w:left w:val="nil"/>
              <w:bottom w:val="nil"/>
              <w:right w:val="nil"/>
            </w:tcBorders>
            <w:shd w:val="clear" w:color="auto" w:fill="auto"/>
            <w:noWrap/>
            <w:vAlign w:val="center"/>
            <w:hideMark/>
          </w:tcPr>
          <w:p w14:paraId="67E8CE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93.75</w:t>
            </w:r>
          </w:p>
        </w:tc>
        <w:tc>
          <w:tcPr>
            <w:tcW w:w="1373" w:type="dxa"/>
            <w:tcBorders>
              <w:top w:val="nil"/>
              <w:left w:val="nil"/>
              <w:bottom w:val="nil"/>
              <w:right w:val="nil"/>
            </w:tcBorders>
            <w:shd w:val="clear" w:color="auto" w:fill="auto"/>
            <w:noWrap/>
            <w:vAlign w:val="center"/>
            <w:hideMark/>
          </w:tcPr>
          <w:p w14:paraId="693FA5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49BC58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93.44</w:t>
            </w:r>
          </w:p>
        </w:tc>
        <w:tc>
          <w:tcPr>
            <w:tcW w:w="1418" w:type="dxa"/>
            <w:tcBorders>
              <w:top w:val="nil"/>
              <w:left w:val="nil"/>
              <w:bottom w:val="nil"/>
              <w:right w:val="nil"/>
            </w:tcBorders>
            <w:shd w:val="clear" w:color="auto" w:fill="auto"/>
            <w:noWrap/>
            <w:vAlign w:val="center"/>
            <w:hideMark/>
          </w:tcPr>
          <w:p w14:paraId="5997E6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336210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93.71</w:t>
            </w:r>
          </w:p>
        </w:tc>
        <w:tc>
          <w:tcPr>
            <w:tcW w:w="1373" w:type="dxa"/>
            <w:tcBorders>
              <w:top w:val="nil"/>
              <w:left w:val="nil"/>
              <w:bottom w:val="nil"/>
              <w:right w:val="nil"/>
            </w:tcBorders>
            <w:shd w:val="clear" w:color="auto" w:fill="auto"/>
            <w:noWrap/>
            <w:vAlign w:val="center"/>
            <w:hideMark/>
          </w:tcPr>
          <w:p w14:paraId="540E1E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3CBECB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85.63</w:t>
            </w:r>
          </w:p>
        </w:tc>
        <w:tc>
          <w:tcPr>
            <w:tcW w:w="1326" w:type="dxa"/>
            <w:tcBorders>
              <w:top w:val="nil"/>
              <w:left w:val="nil"/>
              <w:bottom w:val="nil"/>
              <w:right w:val="nil"/>
            </w:tcBorders>
            <w:shd w:val="clear" w:color="auto" w:fill="auto"/>
            <w:noWrap/>
            <w:vAlign w:val="center"/>
            <w:hideMark/>
          </w:tcPr>
          <w:p w14:paraId="7E834B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DF4C5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93.21</w:t>
            </w:r>
          </w:p>
        </w:tc>
        <w:tc>
          <w:tcPr>
            <w:tcW w:w="1276" w:type="dxa"/>
            <w:tcBorders>
              <w:top w:val="nil"/>
              <w:left w:val="nil"/>
              <w:bottom w:val="nil"/>
              <w:right w:val="nil"/>
            </w:tcBorders>
            <w:shd w:val="clear" w:color="auto" w:fill="auto"/>
            <w:noWrap/>
            <w:vAlign w:val="center"/>
            <w:hideMark/>
          </w:tcPr>
          <w:p w14:paraId="025B8BC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4C8C30A"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87378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323" w:type="dxa"/>
            <w:tcBorders>
              <w:top w:val="nil"/>
              <w:left w:val="nil"/>
              <w:bottom w:val="nil"/>
              <w:right w:val="nil"/>
            </w:tcBorders>
            <w:shd w:val="clear" w:color="auto" w:fill="E5E5E5" w:themeFill="background1" w:themeFillTint="33"/>
            <w:noWrap/>
            <w:vAlign w:val="center"/>
            <w:hideMark/>
          </w:tcPr>
          <w:p w14:paraId="50F0BA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94.02</w:t>
            </w:r>
          </w:p>
        </w:tc>
        <w:tc>
          <w:tcPr>
            <w:tcW w:w="1373" w:type="dxa"/>
            <w:tcBorders>
              <w:top w:val="nil"/>
              <w:left w:val="nil"/>
              <w:bottom w:val="nil"/>
              <w:right w:val="nil"/>
            </w:tcBorders>
            <w:shd w:val="clear" w:color="auto" w:fill="E5E5E5" w:themeFill="background1" w:themeFillTint="33"/>
            <w:noWrap/>
            <w:vAlign w:val="center"/>
            <w:hideMark/>
          </w:tcPr>
          <w:p w14:paraId="3E3088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6E2A6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93.66</w:t>
            </w:r>
          </w:p>
        </w:tc>
        <w:tc>
          <w:tcPr>
            <w:tcW w:w="1418" w:type="dxa"/>
            <w:tcBorders>
              <w:top w:val="nil"/>
              <w:left w:val="nil"/>
              <w:bottom w:val="nil"/>
              <w:right w:val="nil"/>
            </w:tcBorders>
            <w:shd w:val="clear" w:color="auto" w:fill="E5E5E5" w:themeFill="background1" w:themeFillTint="33"/>
            <w:noWrap/>
            <w:vAlign w:val="center"/>
            <w:hideMark/>
          </w:tcPr>
          <w:p w14:paraId="202930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6747B5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93.90</w:t>
            </w:r>
          </w:p>
        </w:tc>
        <w:tc>
          <w:tcPr>
            <w:tcW w:w="1373" w:type="dxa"/>
            <w:tcBorders>
              <w:top w:val="nil"/>
              <w:left w:val="nil"/>
              <w:bottom w:val="nil"/>
              <w:right w:val="nil"/>
            </w:tcBorders>
            <w:shd w:val="clear" w:color="auto" w:fill="E5E5E5" w:themeFill="background1" w:themeFillTint="33"/>
            <w:noWrap/>
            <w:vAlign w:val="center"/>
            <w:hideMark/>
          </w:tcPr>
          <w:p w14:paraId="451D91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1A5D75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85.96</w:t>
            </w:r>
          </w:p>
        </w:tc>
        <w:tc>
          <w:tcPr>
            <w:tcW w:w="1326" w:type="dxa"/>
            <w:tcBorders>
              <w:top w:val="nil"/>
              <w:left w:val="nil"/>
              <w:bottom w:val="nil"/>
              <w:right w:val="nil"/>
            </w:tcBorders>
            <w:shd w:val="clear" w:color="auto" w:fill="E5E5E5" w:themeFill="background1" w:themeFillTint="33"/>
            <w:noWrap/>
            <w:vAlign w:val="center"/>
            <w:hideMark/>
          </w:tcPr>
          <w:p w14:paraId="0E7905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3CB75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93.46</w:t>
            </w:r>
          </w:p>
        </w:tc>
        <w:tc>
          <w:tcPr>
            <w:tcW w:w="1276" w:type="dxa"/>
            <w:tcBorders>
              <w:top w:val="nil"/>
              <w:left w:val="nil"/>
              <w:bottom w:val="nil"/>
              <w:right w:val="nil"/>
            </w:tcBorders>
            <w:shd w:val="clear" w:color="auto" w:fill="E5E5E5" w:themeFill="background1" w:themeFillTint="33"/>
            <w:noWrap/>
            <w:vAlign w:val="center"/>
            <w:hideMark/>
          </w:tcPr>
          <w:p w14:paraId="3F64457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C03DDD7" w14:textId="77777777" w:rsidTr="0020771F">
        <w:trPr>
          <w:trHeight w:hRule="exact" w:val="284"/>
        </w:trPr>
        <w:tc>
          <w:tcPr>
            <w:tcW w:w="960" w:type="dxa"/>
            <w:tcBorders>
              <w:top w:val="nil"/>
              <w:left w:val="nil"/>
              <w:bottom w:val="nil"/>
              <w:right w:val="nil"/>
            </w:tcBorders>
            <w:shd w:val="clear" w:color="auto" w:fill="auto"/>
            <w:noWrap/>
            <w:vAlign w:val="center"/>
            <w:hideMark/>
          </w:tcPr>
          <w:p w14:paraId="24EF18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w:t>
            </w:r>
          </w:p>
        </w:tc>
        <w:tc>
          <w:tcPr>
            <w:tcW w:w="1323" w:type="dxa"/>
            <w:tcBorders>
              <w:top w:val="nil"/>
              <w:left w:val="nil"/>
              <w:bottom w:val="nil"/>
              <w:right w:val="nil"/>
            </w:tcBorders>
            <w:shd w:val="clear" w:color="auto" w:fill="auto"/>
            <w:noWrap/>
            <w:vAlign w:val="center"/>
            <w:hideMark/>
          </w:tcPr>
          <w:p w14:paraId="039CCC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94.30</w:t>
            </w:r>
          </w:p>
        </w:tc>
        <w:tc>
          <w:tcPr>
            <w:tcW w:w="1373" w:type="dxa"/>
            <w:tcBorders>
              <w:top w:val="nil"/>
              <w:left w:val="nil"/>
              <w:bottom w:val="nil"/>
              <w:right w:val="nil"/>
            </w:tcBorders>
            <w:shd w:val="clear" w:color="auto" w:fill="auto"/>
            <w:noWrap/>
            <w:vAlign w:val="center"/>
            <w:hideMark/>
          </w:tcPr>
          <w:p w14:paraId="31540F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0D856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93.94</w:t>
            </w:r>
          </w:p>
        </w:tc>
        <w:tc>
          <w:tcPr>
            <w:tcW w:w="1418" w:type="dxa"/>
            <w:tcBorders>
              <w:top w:val="nil"/>
              <w:left w:val="nil"/>
              <w:bottom w:val="nil"/>
              <w:right w:val="nil"/>
            </w:tcBorders>
            <w:shd w:val="clear" w:color="auto" w:fill="auto"/>
            <w:noWrap/>
            <w:vAlign w:val="center"/>
            <w:hideMark/>
          </w:tcPr>
          <w:p w14:paraId="067366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1434A0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94.20</w:t>
            </w:r>
          </w:p>
        </w:tc>
        <w:tc>
          <w:tcPr>
            <w:tcW w:w="1373" w:type="dxa"/>
            <w:tcBorders>
              <w:top w:val="nil"/>
              <w:left w:val="nil"/>
              <w:bottom w:val="nil"/>
              <w:right w:val="nil"/>
            </w:tcBorders>
            <w:shd w:val="clear" w:color="auto" w:fill="auto"/>
            <w:noWrap/>
            <w:vAlign w:val="center"/>
            <w:hideMark/>
          </w:tcPr>
          <w:p w14:paraId="41FA6F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3F8372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86.41</w:t>
            </w:r>
          </w:p>
        </w:tc>
        <w:tc>
          <w:tcPr>
            <w:tcW w:w="1326" w:type="dxa"/>
            <w:tcBorders>
              <w:top w:val="nil"/>
              <w:left w:val="nil"/>
              <w:bottom w:val="nil"/>
              <w:right w:val="nil"/>
            </w:tcBorders>
            <w:shd w:val="clear" w:color="auto" w:fill="auto"/>
            <w:noWrap/>
            <w:vAlign w:val="center"/>
            <w:hideMark/>
          </w:tcPr>
          <w:p w14:paraId="30D1C1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79FD7B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93.75</w:t>
            </w:r>
          </w:p>
        </w:tc>
        <w:tc>
          <w:tcPr>
            <w:tcW w:w="1276" w:type="dxa"/>
            <w:tcBorders>
              <w:top w:val="nil"/>
              <w:left w:val="nil"/>
              <w:bottom w:val="nil"/>
              <w:right w:val="nil"/>
            </w:tcBorders>
            <w:shd w:val="clear" w:color="auto" w:fill="auto"/>
            <w:noWrap/>
            <w:vAlign w:val="center"/>
            <w:hideMark/>
          </w:tcPr>
          <w:p w14:paraId="0C6B50B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F3AE7D1"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B6229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w:t>
            </w:r>
          </w:p>
        </w:tc>
        <w:tc>
          <w:tcPr>
            <w:tcW w:w="1323" w:type="dxa"/>
            <w:tcBorders>
              <w:top w:val="nil"/>
              <w:left w:val="nil"/>
              <w:bottom w:val="nil"/>
              <w:right w:val="nil"/>
            </w:tcBorders>
            <w:shd w:val="clear" w:color="auto" w:fill="E5E5E5" w:themeFill="background1" w:themeFillTint="33"/>
            <w:noWrap/>
            <w:vAlign w:val="center"/>
            <w:hideMark/>
          </w:tcPr>
          <w:p w14:paraId="4FDBBD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94.57</w:t>
            </w:r>
          </w:p>
        </w:tc>
        <w:tc>
          <w:tcPr>
            <w:tcW w:w="1373" w:type="dxa"/>
            <w:tcBorders>
              <w:top w:val="nil"/>
              <w:left w:val="nil"/>
              <w:bottom w:val="nil"/>
              <w:right w:val="nil"/>
            </w:tcBorders>
            <w:shd w:val="clear" w:color="auto" w:fill="E5E5E5" w:themeFill="background1" w:themeFillTint="33"/>
            <w:noWrap/>
            <w:vAlign w:val="center"/>
            <w:hideMark/>
          </w:tcPr>
          <w:p w14:paraId="3BF135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2F90FC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94.14</w:t>
            </w:r>
          </w:p>
        </w:tc>
        <w:tc>
          <w:tcPr>
            <w:tcW w:w="1418" w:type="dxa"/>
            <w:tcBorders>
              <w:top w:val="nil"/>
              <w:left w:val="nil"/>
              <w:bottom w:val="nil"/>
              <w:right w:val="nil"/>
            </w:tcBorders>
            <w:shd w:val="clear" w:color="auto" w:fill="E5E5E5" w:themeFill="background1" w:themeFillTint="33"/>
            <w:noWrap/>
            <w:vAlign w:val="center"/>
            <w:hideMark/>
          </w:tcPr>
          <w:p w14:paraId="682BD5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74A51D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94.57</w:t>
            </w:r>
          </w:p>
        </w:tc>
        <w:tc>
          <w:tcPr>
            <w:tcW w:w="1373" w:type="dxa"/>
            <w:tcBorders>
              <w:top w:val="nil"/>
              <w:left w:val="nil"/>
              <w:bottom w:val="nil"/>
              <w:right w:val="nil"/>
            </w:tcBorders>
            <w:shd w:val="clear" w:color="auto" w:fill="E5E5E5" w:themeFill="background1" w:themeFillTint="33"/>
            <w:noWrap/>
            <w:vAlign w:val="center"/>
            <w:hideMark/>
          </w:tcPr>
          <w:p w14:paraId="7D7863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0E98D3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86.92</w:t>
            </w:r>
          </w:p>
        </w:tc>
        <w:tc>
          <w:tcPr>
            <w:tcW w:w="1326" w:type="dxa"/>
            <w:tcBorders>
              <w:top w:val="nil"/>
              <w:left w:val="nil"/>
              <w:bottom w:val="nil"/>
              <w:right w:val="nil"/>
            </w:tcBorders>
            <w:shd w:val="clear" w:color="auto" w:fill="E5E5E5" w:themeFill="background1" w:themeFillTint="33"/>
            <w:noWrap/>
            <w:vAlign w:val="center"/>
            <w:hideMark/>
          </w:tcPr>
          <w:p w14:paraId="17E6CE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C8656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94.03</w:t>
            </w:r>
          </w:p>
        </w:tc>
        <w:tc>
          <w:tcPr>
            <w:tcW w:w="1276" w:type="dxa"/>
            <w:tcBorders>
              <w:top w:val="nil"/>
              <w:left w:val="nil"/>
              <w:bottom w:val="nil"/>
              <w:right w:val="nil"/>
            </w:tcBorders>
            <w:shd w:val="clear" w:color="auto" w:fill="E5E5E5" w:themeFill="background1" w:themeFillTint="33"/>
            <w:noWrap/>
            <w:vAlign w:val="center"/>
            <w:hideMark/>
          </w:tcPr>
          <w:p w14:paraId="18AFE6EE"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BD6ED39" w14:textId="77777777" w:rsidTr="0020771F">
        <w:trPr>
          <w:trHeight w:hRule="exact" w:val="284"/>
        </w:trPr>
        <w:tc>
          <w:tcPr>
            <w:tcW w:w="960" w:type="dxa"/>
            <w:tcBorders>
              <w:top w:val="nil"/>
              <w:left w:val="nil"/>
              <w:bottom w:val="nil"/>
              <w:right w:val="nil"/>
            </w:tcBorders>
            <w:shd w:val="clear" w:color="auto" w:fill="auto"/>
            <w:noWrap/>
            <w:vAlign w:val="center"/>
            <w:hideMark/>
          </w:tcPr>
          <w:p w14:paraId="01DC0E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w:t>
            </w:r>
          </w:p>
        </w:tc>
        <w:tc>
          <w:tcPr>
            <w:tcW w:w="1323" w:type="dxa"/>
            <w:tcBorders>
              <w:top w:val="nil"/>
              <w:left w:val="nil"/>
              <w:bottom w:val="nil"/>
              <w:right w:val="nil"/>
            </w:tcBorders>
            <w:shd w:val="clear" w:color="auto" w:fill="auto"/>
            <w:noWrap/>
            <w:vAlign w:val="center"/>
            <w:hideMark/>
          </w:tcPr>
          <w:p w14:paraId="72373C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94.74</w:t>
            </w:r>
          </w:p>
        </w:tc>
        <w:tc>
          <w:tcPr>
            <w:tcW w:w="1373" w:type="dxa"/>
            <w:tcBorders>
              <w:top w:val="nil"/>
              <w:left w:val="nil"/>
              <w:bottom w:val="nil"/>
              <w:right w:val="nil"/>
            </w:tcBorders>
            <w:shd w:val="clear" w:color="auto" w:fill="auto"/>
            <w:noWrap/>
            <w:vAlign w:val="center"/>
            <w:hideMark/>
          </w:tcPr>
          <w:p w14:paraId="4C121C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6DCE4F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94.28</w:t>
            </w:r>
          </w:p>
        </w:tc>
        <w:tc>
          <w:tcPr>
            <w:tcW w:w="1418" w:type="dxa"/>
            <w:tcBorders>
              <w:top w:val="nil"/>
              <w:left w:val="nil"/>
              <w:bottom w:val="nil"/>
              <w:right w:val="nil"/>
            </w:tcBorders>
            <w:shd w:val="clear" w:color="auto" w:fill="auto"/>
            <w:noWrap/>
            <w:vAlign w:val="center"/>
            <w:hideMark/>
          </w:tcPr>
          <w:p w14:paraId="1EC6BA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48F2C6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94.74</w:t>
            </w:r>
          </w:p>
        </w:tc>
        <w:tc>
          <w:tcPr>
            <w:tcW w:w="1373" w:type="dxa"/>
            <w:tcBorders>
              <w:top w:val="nil"/>
              <w:left w:val="nil"/>
              <w:bottom w:val="nil"/>
              <w:right w:val="nil"/>
            </w:tcBorders>
            <w:shd w:val="clear" w:color="auto" w:fill="auto"/>
            <w:noWrap/>
            <w:vAlign w:val="center"/>
            <w:hideMark/>
          </w:tcPr>
          <w:p w14:paraId="24C05F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31561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87.36</w:t>
            </w:r>
          </w:p>
        </w:tc>
        <w:tc>
          <w:tcPr>
            <w:tcW w:w="1326" w:type="dxa"/>
            <w:tcBorders>
              <w:top w:val="nil"/>
              <w:left w:val="nil"/>
              <w:bottom w:val="nil"/>
              <w:right w:val="nil"/>
            </w:tcBorders>
            <w:shd w:val="clear" w:color="auto" w:fill="auto"/>
            <w:noWrap/>
            <w:vAlign w:val="center"/>
            <w:hideMark/>
          </w:tcPr>
          <w:p w14:paraId="664BF7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B5EDF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94.20</w:t>
            </w:r>
          </w:p>
        </w:tc>
        <w:tc>
          <w:tcPr>
            <w:tcW w:w="1276" w:type="dxa"/>
            <w:tcBorders>
              <w:top w:val="nil"/>
              <w:left w:val="nil"/>
              <w:bottom w:val="nil"/>
              <w:right w:val="nil"/>
            </w:tcBorders>
            <w:shd w:val="clear" w:color="auto" w:fill="auto"/>
            <w:noWrap/>
            <w:vAlign w:val="center"/>
            <w:hideMark/>
          </w:tcPr>
          <w:p w14:paraId="51A180C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F3AB843"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F5778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c>
          <w:tcPr>
            <w:tcW w:w="1323" w:type="dxa"/>
            <w:tcBorders>
              <w:top w:val="nil"/>
              <w:left w:val="nil"/>
              <w:bottom w:val="nil"/>
              <w:right w:val="nil"/>
            </w:tcBorders>
            <w:shd w:val="clear" w:color="auto" w:fill="E5E5E5" w:themeFill="background1" w:themeFillTint="33"/>
            <w:noWrap/>
            <w:vAlign w:val="center"/>
            <w:hideMark/>
          </w:tcPr>
          <w:p w14:paraId="19C03D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94.91</w:t>
            </w:r>
          </w:p>
        </w:tc>
        <w:tc>
          <w:tcPr>
            <w:tcW w:w="1373" w:type="dxa"/>
            <w:tcBorders>
              <w:top w:val="nil"/>
              <w:left w:val="nil"/>
              <w:bottom w:val="nil"/>
              <w:right w:val="nil"/>
            </w:tcBorders>
            <w:shd w:val="clear" w:color="auto" w:fill="E5E5E5" w:themeFill="background1" w:themeFillTint="33"/>
            <w:noWrap/>
            <w:vAlign w:val="center"/>
            <w:hideMark/>
          </w:tcPr>
          <w:p w14:paraId="7F1002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244802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94.46</w:t>
            </w:r>
          </w:p>
        </w:tc>
        <w:tc>
          <w:tcPr>
            <w:tcW w:w="1418" w:type="dxa"/>
            <w:tcBorders>
              <w:top w:val="nil"/>
              <w:left w:val="nil"/>
              <w:bottom w:val="nil"/>
              <w:right w:val="nil"/>
            </w:tcBorders>
            <w:shd w:val="clear" w:color="auto" w:fill="E5E5E5" w:themeFill="background1" w:themeFillTint="33"/>
            <w:noWrap/>
            <w:vAlign w:val="center"/>
            <w:hideMark/>
          </w:tcPr>
          <w:p w14:paraId="798F4A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092545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94.81</w:t>
            </w:r>
          </w:p>
        </w:tc>
        <w:tc>
          <w:tcPr>
            <w:tcW w:w="1373" w:type="dxa"/>
            <w:tcBorders>
              <w:top w:val="nil"/>
              <w:left w:val="nil"/>
              <w:bottom w:val="nil"/>
              <w:right w:val="nil"/>
            </w:tcBorders>
            <w:shd w:val="clear" w:color="auto" w:fill="E5E5E5" w:themeFill="background1" w:themeFillTint="33"/>
            <w:noWrap/>
            <w:vAlign w:val="center"/>
            <w:hideMark/>
          </w:tcPr>
          <w:p w14:paraId="75EC01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79F632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87.73</w:t>
            </w:r>
          </w:p>
        </w:tc>
        <w:tc>
          <w:tcPr>
            <w:tcW w:w="1326" w:type="dxa"/>
            <w:tcBorders>
              <w:top w:val="nil"/>
              <w:left w:val="nil"/>
              <w:bottom w:val="nil"/>
              <w:right w:val="nil"/>
            </w:tcBorders>
            <w:shd w:val="clear" w:color="auto" w:fill="E5E5E5" w:themeFill="background1" w:themeFillTint="33"/>
            <w:noWrap/>
            <w:vAlign w:val="center"/>
            <w:hideMark/>
          </w:tcPr>
          <w:p w14:paraId="74FE3A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81103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94.38</w:t>
            </w:r>
          </w:p>
        </w:tc>
        <w:tc>
          <w:tcPr>
            <w:tcW w:w="1276" w:type="dxa"/>
            <w:tcBorders>
              <w:top w:val="nil"/>
              <w:left w:val="nil"/>
              <w:bottom w:val="nil"/>
              <w:right w:val="nil"/>
            </w:tcBorders>
            <w:shd w:val="clear" w:color="auto" w:fill="E5E5E5" w:themeFill="background1" w:themeFillTint="33"/>
            <w:noWrap/>
            <w:vAlign w:val="center"/>
            <w:hideMark/>
          </w:tcPr>
          <w:p w14:paraId="1FCCCF5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6B6239C" w14:textId="77777777" w:rsidTr="0020771F">
        <w:trPr>
          <w:trHeight w:hRule="exact" w:val="284"/>
        </w:trPr>
        <w:tc>
          <w:tcPr>
            <w:tcW w:w="960" w:type="dxa"/>
            <w:tcBorders>
              <w:top w:val="nil"/>
              <w:left w:val="nil"/>
              <w:bottom w:val="nil"/>
              <w:right w:val="nil"/>
            </w:tcBorders>
            <w:shd w:val="clear" w:color="auto" w:fill="auto"/>
            <w:noWrap/>
            <w:vAlign w:val="center"/>
            <w:hideMark/>
          </w:tcPr>
          <w:p w14:paraId="5ABBA7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323" w:type="dxa"/>
            <w:tcBorders>
              <w:top w:val="nil"/>
              <w:left w:val="nil"/>
              <w:bottom w:val="nil"/>
              <w:right w:val="nil"/>
            </w:tcBorders>
            <w:shd w:val="clear" w:color="auto" w:fill="auto"/>
            <w:noWrap/>
            <w:vAlign w:val="center"/>
            <w:hideMark/>
          </w:tcPr>
          <w:p w14:paraId="6C1B65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95.07</w:t>
            </w:r>
          </w:p>
        </w:tc>
        <w:tc>
          <w:tcPr>
            <w:tcW w:w="1373" w:type="dxa"/>
            <w:tcBorders>
              <w:top w:val="nil"/>
              <w:left w:val="nil"/>
              <w:bottom w:val="nil"/>
              <w:right w:val="nil"/>
            </w:tcBorders>
            <w:shd w:val="clear" w:color="auto" w:fill="auto"/>
            <w:noWrap/>
            <w:vAlign w:val="center"/>
            <w:hideMark/>
          </w:tcPr>
          <w:p w14:paraId="721DEC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11801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94.64</w:t>
            </w:r>
          </w:p>
        </w:tc>
        <w:tc>
          <w:tcPr>
            <w:tcW w:w="1418" w:type="dxa"/>
            <w:tcBorders>
              <w:top w:val="nil"/>
              <w:left w:val="nil"/>
              <w:bottom w:val="nil"/>
              <w:right w:val="nil"/>
            </w:tcBorders>
            <w:shd w:val="clear" w:color="auto" w:fill="auto"/>
            <w:noWrap/>
            <w:vAlign w:val="center"/>
            <w:hideMark/>
          </w:tcPr>
          <w:p w14:paraId="10EBCF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4174A0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94.96</w:t>
            </w:r>
          </w:p>
        </w:tc>
        <w:tc>
          <w:tcPr>
            <w:tcW w:w="1373" w:type="dxa"/>
            <w:tcBorders>
              <w:top w:val="nil"/>
              <w:left w:val="nil"/>
              <w:bottom w:val="nil"/>
              <w:right w:val="nil"/>
            </w:tcBorders>
            <w:shd w:val="clear" w:color="auto" w:fill="auto"/>
            <w:noWrap/>
            <w:vAlign w:val="center"/>
            <w:hideMark/>
          </w:tcPr>
          <w:p w14:paraId="3250E4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64481E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88.00</w:t>
            </w:r>
          </w:p>
        </w:tc>
        <w:tc>
          <w:tcPr>
            <w:tcW w:w="1326" w:type="dxa"/>
            <w:tcBorders>
              <w:top w:val="nil"/>
              <w:left w:val="nil"/>
              <w:bottom w:val="nil"/>
              <w:right w:val="nil"/>
            </w:tcBorders>
            <w:shd w:val="clear" w:color="auto" w:fill="auto"/>
            <w:noWrap/>
            <w:vAlign w:val="center"/>
            <w:hideMark/>
          </w:tcPr>
          <w:p w14:paraId="3DB401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D9DFC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94.55</w:t>
            </w:r>
          </w:p>
        </w:tc>
        <w:tc>
          <w:tcPr>
            <w:tcW w:w="1276" w:type="dxa"/>
            <w:tcBorders>
              <w:top w:val="nil"/>
              <w:left w:val="nil"/>
              <w:bottom w:val="nil"/>
              <w:right w:val="nil"/>
            </w:tcBorders>
            <w:shd w:val="clear" w:color="auto" w:fill="auto"/>
            <w:noWrap/>
            <w:vAlign w:val="center"/>
            <w:hideMark/>
          </w:tcPr>
          <w:p w14:paraId="70D9985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89871F8"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48107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c>
          <w:tcPr>
            <w:tcW w:w="1323" w:type="dxa"/>
            <w:tcBorders>
              <w:top w:val="nil"/>
              <w:left w:val="nil"/>
              <w:bottom w:val="nil"/>
              <w:right w:val="nil"/>
            </w:tcBorders>
            <w:shd w:val="clear" w:color="auto" w:fill="E5E5E5" w:themeFill="background1" w:themeFillTint="33"/>
            <w:noWrap/>
            <w:vAlign w:val="center"/>
            <w:hideMark/>
          </w:tcPr>
          <w:p w14:paraId="151C59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95.21</w:t>
            </w:r>
          </w:p>
        </w:tc>
        <w:tc>
          <w:tcPr>
            <w:tcW w:w="1373" w:type="dxa"/>
            <w:tcBorders>
              <w:top w:val="nil"/>
              <w:left w:val="nil"/>
              <w:bottom w:val="nil"/>
              <w:right w:val="nil"/>
            </w:tcBorders>
            <w:shd w:val="clear" w:color="auto" w:fill="E5E5E5" w:themeFill="background1" w:themeFillTint="33"/>
            <w:noWrap/>
            <w:vAlign w:val="center"/>
            <w:hideMark/>
          </w:tcPr>
          <w:p w14:paraId="7BA0FB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9CD07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94.75</w:t>
            </w:r>
          </w:p>
        </w:tc>
        <w:tc>
          <w:tcPr>
            <w:tcW w:w="1418" w:type="dxa"/>
            <w:tcBorders>
              <w:top w:val="nil"/>
              <w:left w:val="nil"/>
              <w:bottom w:val="nil"/>
              <w:right w:val="nil"/>
            </w:tcBorders>
            <w:shd w:val="clear" w:color="auto" w:fill="E5E5E5" w:themeFill="background1" w:themeFillTint="33"/>
            <w:noWrap/>
            <w:vAlign w:val="center"/>
            <w:hideMark/>
          </w:tcPr>
          <w:p w14:paraId="79AE66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329687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95.17</w:t>
            </w:r>
          </w:p>
        </w:tc>
        <w:tc>
          <w:tcPr>
            <w:tcW w:w="1373" w:type="dxa"/>
            <w:tcBorders>
              <w:top w:val="nil"/>
              <w:left w:val="nil"/>
              <w:bottom w:val="nil"/>
              <w:right w:val="nil"/>
            </w:tcBorders>
            <w:shd w:val="clear" w:color="auto" w:fill="E5E5E5" w:themeFill="background1" w:themeFillTint="33"/>
            <w:noWrap/>
            <w:vAlign w:val="center"/>
            <w:hideMark/>
          </w:tcPr>
          <w:p w14:paraId="53D3BF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7D54F5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88.35</w:t>
            </w:r>
          </w:p>
        </w:tc>
        <w:tc>
          <w:tcPr>
            <w:tcW w:w="1326" w:type="dxa"/>
            <w:tcBorders>
              <w:top w:val="nil"/>
              <w:left w:val="nil"/>
              <w:bottom w:val="nil"/>
              <w:right w:val="nil"/>
            </w:tcBorders>
            <w:shd w:val="clear" w:color="auto" w:fill="E5E5E5" w:themeFill="background1" w:themeFillTint="33"/>
            <w:noWrap/>
            <w:vAlign w:val="center"/>
            <w:hideMark/>
          </w:tcPr>
          <w:p w14:paraId="3F497D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17328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94.70</w:t>
            </w:r>
          </w:p>
        </w:tc>
        <w:tc>
          <w:tcPr>
            <w:tcW w:w="1276" w:type="dxa"/>
            <w:tcBorders>
              <w:top w:val="nil"/>
              <w:left w:val="nil"/>
              <w:bottom w:val="nil"/>
              <w:right w:val="nil"/>
            </w:tcBorders>
            <w:shd w:val="clear" w:color="auto" w:fill="E5E5E5" w:themeFill="background1" w:themeFillTint="33"/>
            <w:noWrap/>
            <w:vAlign w:val="center"/>
            <w:hideMark/>
          </w:tcPr>
          <w:p w14:paraId="39E1DAE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0A4CADC" w14:textId="77777777" w:rsidTr="0020771F">
        <w:trPr>
          <w:trHeight w:hRule="exact" w:val="284"/>
        </w:trPr>
        <w:tc>
          <w:tcPr>
            <w:tcW w:w="960" w:type="dxa"/>
            <w:tcBorders>
              <w:top w:val="nil"/>
              <w:left w:val="nil"/>
              <w:bottom w:val="nil"/>
              <w:right w:val="nil"/>
            </w:tcBorders>
            <w:shd w:val="clear" w:color="auto" w:fill="auto"/>
            <w:noWrap/>
            <w:vAlign w:val="center"/>
            <w:hideMark/>
          </w:tcPr>
          <w:p w14:paraId="7B58FB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w:t>
            </w:r>
          </w:p>
        </w:tc>
        <w:tc>
          <w:tcPr>
            <w:tcW w:w="1323" w:type="dxa"/>
            <w:tcBorders>
              <w:top w:val="nil"/>
              <w:left w:val="nil"/>
              <w:bottom w:val="nil"/>
              <w:right w:val="nil"/>
            </w:tcBorders>
            <w:shd w:val="clear" w:color="auto" w:fill="auto"/>
            <w:noWrap/>
            <w:vAlign w:val="center"/>
            <w:hideMark/>
          </w:tcPr>
          <w:p w14:paraId="1FA418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95.38</w:t>
            </w:r>
          </w:p>
        </w:tc>
        <w:tc>
          <w:tcPr>
            <w:tcW w:w="1373" w:type="dxa"/>
            <w:tcBorders>
              <w:top w:val="nil"/>
              <w:left w:val="nil"/>
              <w:bottom w:val="nil"/>
              <w:right w:val="nil"/>
            </w:tcBorders>
            <w:shd w:val="clear" w:color="auto" w:fill="auto"/>
            <w:noWrap/>
            <w:vAlign w:val="center"/>
            <w:hideMark/>
          </w:tcPr>
          <w:p w14:paraId="754383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3A1C8C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94.98</w:t>
            </w:r>
          </w:p>
        </w:tc>
        <w:tc>
          <w:tcPr>
            <w:tcW w:w="1418" w:type="dxa"/>
            <w:tcBorders>
              <w:top w:val="nil"/>
              <w:left w:val="nil"/>
              <w:bottom w:val="nil"/>
              <w:right w:val="nil"/>
            </w:tcBorders>
            <w:shd w:val="clear" w:color="auto" w:fill="auto"/>
            <w:noWrap/>
            <w:vAlign w:val="center"/>
            <w:hideMark/>
          </w:tcPr>
          <w:p w14:paraId="745277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1AAC35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95.29</w:t>
            </w:r>
          </w:p>
        </w:tc>
        <w:tc>
          <w:tcPr>
            <w:tcW w:w="1373" w:type="dxa"/>
            <w:tcBorders>
              <w:top w:val="nil"/>
              <w:left w:val="nil"/>
              <w:bottom w:val="nil"/>
              <w:right w:val="nil"/>
            </w:tcBorders>
            <w:shd w:val="clear" w:color="auto" w:fill="auto"/>
            <w:noWrap/>
            <w:vAlign w:val="center"/>
            <w:hideMark/>
          </w:tcPr>
          <w:p w14:paraId="5B9635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2C81FA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88.84</w:t>
            </w:r>
          </w:p>
        </w:tc>
        <w:tc>
          <w:tcPr>
            <w:tcW w:w="1326" w:type="dxa"/>
            <w:tcBorders>
              <w:top w:val="nil"/>
              <w:left w:val="nil"/>
              <w:bottom w:val="nil"/>
              <w:right w:val="nil"/>
            </w:tcBorders>
            <w:shd w:val="clear" w:color="auto" w:fill="auto"/>
            <w:noWrap/>
            <w:vAlign w:val="center"/>
            <w:hideMark/>
          </w:tcPr>
          <w:p w14:paraId="1170F8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5FDC6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94.90</w:t>
            </w:r>
          </w:p>
        </w:tc>
        <w:tc>
          <w:tcPr>
            <w:tcW w:w="1276" w:type="dxa"/>
            <w:tcBorders>
              <w:top w:val="nil"/>
              <w:left w:val="nil"/>
              <w:bottom w:val="nil"/>
              <w:right w:val="nil"/>
            </w:tcBorders>
            <w:shd w:val="clear" w:color="auto" w:fill="auto"/>
            <w:noWrap/>
            <w:vAlign w:val="center"/>
            <w:hideMark/>
          </w:tcPr>
          <w:p w14:paraId="63B98EB6"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2D30AE4"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D0745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c>
          <w:tcPr>
            <w:tcW w:w="1323" w:type="dxa"/>
            <w:tcBorders>
              <w:top w:val="nil"/>
              <w:left w:val="nil"/>
              <w:bottom w:val="nil"/>
              <w:right w:val="nil"/>
            </w:tcBorders>
            <w:shd w:val="clear" w:color="auto" w:fill="E5E5E5" w:themeFill="background1" w:themeFillTint="33"/>
            <w:noWrap/>
            <w:vAlign w:val="center"/>
            <w:hideMark/>
          </w:tcPr>
          <w:p w14:paraId="0B05B2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95.61</w:t>
            </w:r>
          </w:p>
        </w:tc>
        <w:tc>
          <w:tcPr>
            <w:tcW w:w="1373" w:type="dxa"/>
            <w:tcBorders>
              <w:top w:val="nil"/>
              <w:left w:val="nil"/>
              <w:bottom w:val="nil"/>
              <w:right w:val="nil"/>
            </w:tcBorders>
            <w:shd w:val="clear" w:color="auto" w:fill="E5E5E5" w:themeFill="background1" w:themeFillTint="33"/>
            <w:noWrap/>
            <w:vAlign w:val="center"/>
            <w:hideMark/>
          </w:tcPr>
          <w:p w14:paraId="74A699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66D26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95.23</w:t>
            </w:r>
          </w:p>
        </w:tc>
        <w:tc>
          <w:tcPr>
            <w:tcW w:w="1418" w:type="dxa"/>
            <w:tcBorders>
              <w:top w:val="nil"/>
              <w:left w:val="nil"/>
              <w:bottom w:val="nil"/>
              <w:right w:val="nil"/>
            </w:tcBorders>
            <w:shd w:val="clear" w:color="auto" w:fill="E5E5E5" w:themeFill="background1" w:themeFillTint="33"/>
            <w:noWrap/>
            <w:vAlign w:val="center"/>
            <w:hideMark/>
          </w:tcPr>
          <w:p w14:paraId="14713F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57AC08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95.44</w:t>
            </w:r>
          </w:p>
        </w:tc>
        <w:tc>
          <w:tcPr>
            <w:tcW w:w="1373" w:type="dxa"/>
            <w:tcBorders>
              <w:top w:val="nil"/>
              <w:left w:val="nil"/>
              <w:bottom w:val="nil"/>
              <w:right w:val="nil"/>
            </w:tcBorders>
            <w:shd w:val="clear" w:color="auto" w:fill="E5E5E5" w:themeFill="background1" w:themeFillTint="33"/>
            <w:noWrap/>
            <w:vAlign w:val="center"/>
            <w:hideMark/>
          </w:tcPr>
          <w:p w14:paraId="7DBBFE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302BFD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89.29</w:t>
            </w:r>
          </w:p>
        </w:tc>
        <w:tc>
          <w:tcPr>
            <w:tcW w:w="1326" w:type="dxa"/>
            <w:tcBorders>
              <w:top w:val="nil"/>
              <w:left w:val="nil"/>
              <w:bottom w:val="nil"/>
              <w:right w:val="nil"/>
            </w:tcBorders>
            <w:shd w:val="clear" w:color="auto" w:fill="E5E5E5" w:themeFill="background1" w:themeFillTint="33"/>
            <w:noWrap/>
            <w:vAlign w:val="center"/>
            <w:hideMark/>
          </w:tcPr>
          <w:p w14:paraId="22A92C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F2401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95.14</w:t>
            </w:r>
          </w:p>
        </w:tc>
        <w:tc>
          <w:tcPr>
            <w:tcW w:w="1276" w:type="dxa"/>
            <w:tcBorders>
              <w:top w:val="nil"/>
              <w:left w:val="nil"/>
              <w:bottom w:val="nil"/>
              <w:right w:val="nil"/>
            </w:tcBorders>
            <w:shd w:val="clear" w:color="auto" w:fill="E5E5E5" w:themeFill="background1" w:themeFillTint="33"/>
            <w:noWrap/>
            <w:vAlign w:val="center"/>
            <w:hideMark/>
          </w:tcPr>
          <w:p w14:paraId="3367DE9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B8D7BA5" w14:textId="77777777" w:rsidTr="0020771F">
        <w:trPr>
          <w:trHeight w:hRule="exact" w:val="284"/>
        </w:trPr>
        <w:tc>
          <w:tcPr>
            <w:tcW w:w="960" w:type="dxa"/>
            <w:tcBorders>
              <w:top w:val="nil"/>
              <w:left w:val="nil"/>
              <w:bottom w:val="nil"/>
              <w:right w:val="nil"/>
            </w:tcBorders>
            <w:shd w:val="clear" w:color="auto" w:fill="auto"/>
            <w:noWrap/>
            <w:vAlign w:val="center"/>
            <w:hideMark/>
          </w:tcPr>
          <w:p w14:paraId="6555A3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c>
          <w:tcPr>
            <w:tcW w:w="1323" w:type="dxa"/>
            <w:tcBorders>
              <w:top w:val="nil"/>
              <w:left w:val="nil"/>
              <w:bottom w:val="nil"/>
              <w:right w:val="nil"/>
            </w:tcBorders>
            <w:shd w:val="clear" w:color="auto" w:fill="auto"/>
            <w:noWrap/>
            <w:vAlign w:val="center"/>
            <w:hideMark/>
          </w:tcPr>
          <w:p w14:paraId="218044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95.78</w:t>
            </w:r>
          </w:p>
        </w:tc>
        <w:tc>
          <w:tcPr>
            <w:tcW w:w="1373" w:type="dxa"/>
            <w:tcBorders>
              <w:top w:val="nil"/>
              <w:left w:val="nil"/>
              <w:bottom w:val="nil"/>
              <w:right w:val="nil"/>
            </w:tcBorders>
            <w:shd w:val="clear" w:color="auto" w:fill="auto"/>
            <w:noWrap/>
            <w:vAlign w:val="center"/>
            <w:hideMark/>
          </w:tcPr>
          <w:p w14:paraId="50CEC4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2744CD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95.47</w:t>
            </w:r>
          </w:p>
        </w:tc>
        <w:tc>
          <w:tcPr>
            <w:tcW w:w="1418" w:type="dxa"/>
            <w:tcBorders>
              <w:top w:val="nil"/>
              <w:left w:val="nil"/>
              <w:bottom w:val="nil"/>
              <w:right w:val="nil"/>
            </w:tcBorders>
            <w:shd w:val="clear" w:color="auto" w:fill="auto"/>
            <w:noWrap/>
            <w:vAlign w:val="center"/>
            <w:hideMark/>
          </w:tcPr>
          <w:p w14:paraId="1591E4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18E56C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95.52</w:t>
            </w:r>
          </w:p>
        </w:tc>
        <w:tc>
          <w:tcPr>
            <w:tcW w:w="1373" w:type="dxa"/>
            <w:tcBorders>
              <w:top w:val="nil"/>
              <w:left w:val="nil"/>
              <w:bottom w:val="nil"/>
              <w:right w:val="nil"/>
            </w:tcBorders>
            <w:shd w:val="clear" w:color="auto" w:fill="auto"/>
            <w:noWrap/>
            <w:vAlign w:val="center"/>
            <w:hideMark/>
          </w:tcPr>
          <w:p w14:paraId="348739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42B14D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89.59</w:t>
            </w:r>
          </w:p>
        </w:tc>
        <w:tc>
          <w:tcPr>
            <w:tcW w:w="1326" w:type="dxa"/>
            <w:tcBorders>
              <w:top w:val="nil"/>
              <w:left w:val="nil"/>
              <w:bottom w:val="nil"/>
              <w:right w:val="nil"/>
            </w:tcBorders>
            <w:shd w:val="clear" w:color="auto" w:fill="auto"/>
            <w:noWrap/>
            <w:vAlign w:val="center"/>
            <w:hideMark/>
          </w:tcPr>
          <w:p w14:paraId="26EB8D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5967D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95.33</w:t>
            </w:r>
          </w:p>
        </w:tc>
        <w:tc>
          <w:tcPr>
            <w:tcW w:w="1276" w:type="dxa"/>
            <w:tcBorders>
              <w:top w:val="nil"/>
              <w:left w:val="nil"/>
              <w:bottom w:val="nil"/>
              <w:right w:val="nil"/>
            </w:tcBorders>
            <w:shd w:val="clear" w:color="auto" w:fill="auto"/>
            <w:noWrap/>
            <w:vAlign w:val="center"/>
            <w:hideMark/>
          </w:tcPr>
          <w:p w14:paraId="694873C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F779593"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DCD3C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323" w:type="dxa"/>
            <w:tcBorders>
              <w:top w:val="nil"/>
              <w:left w:val="nil"/>
              <w:bottom w:val="nil"/>
              <w:right w:val="nil"/>
            </w:tcBorders>
            <w:shd w:val="clear" w:color="auto" w:fill="E5E5E5" w:themeFill="background1" w:themeFillTint="33"/>
            <w:noWrap/>
            <w:vAlign w:val="center"/>
            <w:hideMark/>
          </w:tcPr>
          <w:p w14:paraId="658ACF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95.92</w:t>
            </w:r>
          </w:p>
        </w:tc>
        <w:tc>
          <w:tcPr>
            <w:tcW w:w="1373" w:type="dxa"/>
            <w:tcBorders>
              <w:top w:val="nil"/>
              <w:left w:val="nil"/>
              <w:bottom w:val="nil"/>
              <w:right w:val="nil"/>
            </w:tcBorders>
            <w:shd w:val="clear" w:color="auto" w:fill="E5E5E5" w:themeFill="background1" w:themeFillTint="33"/>
            <w:noWrap/>
            <w:vAlign w:val="center"/>
            <w:hideMark/>
          </w:tcPr>
          <w:p w14:paraId="194F3D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0FF837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95.59</w:t>
            </w:r>
          </w:p>
        </w:tc>
        <w:tc>
          <w:tcPr>
            <w:tcW w:w="1418" w:type="dxa"/>
            <w:tcBorders>
              <w:top w:val="nil"/>
              <w:left w:val="nil"/>
              <w:bottom w:val="nil"/>
              <w:right w:val="nil"/>
            </w:tcBorders>
            <w:shd w:val="clear" w:color="auto" w:fill="E5E5E5" w:themeFill="background1" w:themeFillTint="33"/>
            <w:noWrap/>
            <w:vAlign w:val="center"/>
            <w:hideMark/>
          </w:tcPr>
          <w:p w14:paraId="407C43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7A36A8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95.57</w:t>
            </w:r>
          </w:p>
        </w:tc>
        <w:tc>
          <w:tcPr>
            <w:tcW w:w="1373" w:type="dxa"/>
            <w:tcBorders>
              <w:top w:val="nil"/>
              <w:left w:val="nil"/>
              <w:bottom w:val="nil"/>
              <w:right w:val="nil"/>
            </w:tcBorders>
            <w:shd w:val="clear" w:color="auto" w:fill="E5E5E5" w:themeFill="background1" w:themeFillTint="33"/>
            <w:noWrap/>
            <w:vAlign w:val="center"/>
            <w:hideMark/>
          </w:tcPr>
          <w:p w14:paraId="1DE700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41FEEE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89.99</w:t>
            </w:r>
          </w:p>
        </w:tc>
        <w:tc>
          <w:tcPr>
            <w:tcW w:w="1326" w:type="dxa"/>
            <w:tcBorders>
              <w:top w:val="nil"/>
              <w:left w:val="nil"/>
              <w:bottom w:val="nil"/>
              <w:right w:val="nil"/>
            </w:tcBorders>
            <w:shd w:val="clear" w:color="auto" w:fill="E5E5E5" w:themeFill="background1" w:themeFillTint="33"/>
            <w:noWrap/>
            <w:vAlign w:val="center"/>
            <w:hideMark/>
          </w:tcPr>
          <w:p w14:paraId="6C1665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24ED0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95.47</w:t>
            </w:r>
          </w:p>
        </w:tc>
        <w:tc>
          <w:tcPr>
            <w:tcW w:w="1276" w:type="dxa"/>
            <w:tcBorders>
              <w:top w:val="nil"/>
              <w:left w:val="nil"/>
              <w:bottom w:val="nil"/>
              <w:right w:val="nil"/>
            </w:tcBorders>
            <w:shd w:val="clear" w:color="auto" w:fill="E5E5E5" w:themeFill="background1" w:themeFillTint="33"/>
            <w:noWrap/>
            <w:vAlign w:val="center"/>
            <w:hideMark/>
          </w:tcPr>
          <w:p w14:paraId="149D3E9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9049CAE"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59B21D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w:t>
            </w:r>
          </w:p>
        </w:tc>
        <w:tc>
          <w:tcPr>
            <w:tcW w:w="1323" w:type="dxa"/>
            <w:tcBorders>
              <w:top w:val="nil"/>
              <w:left w:val="nil"/>
              <w:bottom w:val="nil"/>
              <w:right w:val="nil"/>
            </w:tcBorders>
            <w:shd w:val="clear" w:color="auto" w:fill="FFFFFF" w:themeFill="background2"/>
            <w:noWrap/>
            <w:vAlign w:val="center"/>
            <w:hideMark/>
          </w:tcPr>
          <w:p w14:paraId="211D67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96.04</w:t>
            </w:r>
          </w:p>
        </w:tc>
        <w:tc>
          <w:tcPr>
            <w:tcW w:w="1373" w:type="dxa"/>
            <w:tcBorders>
              <w:top w:val="nil"/>
              <w:left w:val="nil"/>
              <w:bottom w:val="nil"/>
              <w:right w:val="nil"/>
            </w:tcBorders>
            <w:shd w:val="clear" w:color="auto" w:fill="FFFFFF" w:themeFill="background2"/>
            <w:noWrap/>
            <w:vAlign w:val="center"/>
            <w:hideMark/>
          </w:tcPr>
          <w:p w14:paraId="0016B1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FFFFFF" w:themeFill="background2"/>
            <w:noWrap/>
            <w:vAlign w:val="center"/>
            <w:hideMark/>
          </w:tcPr>
          <w:p w14:paraId="01B18A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95.78</w:t>
            </w:r>
          </w:p>
        </w:tc>
        <w:tc>
          <w:tcPr>
            <w:tcW w:w="1418" w:type="dxa"/>
            <w:tcBorders>
              <w:top w:val="nil"/>
              <w:left w:val="nil"/>
              <w:bottom w:val="nil"/>
              <w:right w:val="nil"/>
            </w:tcBorders>
            <w:shd w:val="clear" w:color="auto" w:fill="FFFFFF" w:themeFill="background2"/>
            <w:noWrap/>
            <w:vAlign w:val="center"/>
            <w:hideMark/>
          </w:tcPr>
          <w:p w14:paraId="130BF1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FFFFFF" w:themeFill="background2"/>
            <w:noWrap/>
            <w:vAlign w:val="center"/>
            <w:hideMark/>
          </w:tcPr>
          <w:p w14:paraId="4C2D11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95.66</w:t>
            </w:r>
          </w:p>
        </w:tc>
        <w:tc>
          <w:tcPr>
            <w:tcW w:w="1373" w:type="dxa"/>
            <w:tcBorders>
              <w:top w:val="nil"/>
              <w:left w:val="nil"/>
              <w:bottom w:val="nil"/>
              <w:right w:val="nil"/>
            </w:tcBorders>
            <w:shd w:val="clear" w:color="auto" w:fill="FFFFFF" w:themeFill="background2"/>
            <w:noWrap/>
            <w:vAlign w:val="center"/>
            <w:hideMark/>
          </w:tcPr>
          <w:p w14:paraId="78077B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FFFFFF" w:themeFill="background2"/>
            <w:noWrap/>
            <w:vAlign w:val="center"/>
            <w:hideMark/>
          </w:tcPr>
          <w:p w14:paraId="521BA7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90.26</w:t>
            </w:r>
          </w:p>
        </w:tc>
        <w:tc>
          <w:tcPr>
            <w:tcW w:w="1326" w:type="dxa"/>
            <w:tcBorders>
              <w:top w:val="nil"/>
              <w:left w:val="nil"/>
              <w:bottom w:val="nil"/>
              <w:right w:val="nil"/>
            </w:tcBorders>
            <w:shd w:val="clear" w:color="auto" w:fill="FFFFFF" w:themeFill="background2"/>
            <w:noWrap/>
            <w:vAlign w:val="center"/>
            <w:hideMark/>
          </w:tcPr>
          <w:p w14:paraId="09F07E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6A26DF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95.61</w:t>
            </w:r>
          </w:p>
        </w:tc>
        <w:tc>
          <w:tcPr>
            <w:tcW w:w="1276" w:type="dxa"/>
            <w:tcBorders>
              <w:top w:val="nil"/>
              <w:left w:val="nil"/>
              <w:bottom w:val="nil"/>
              <w:right w:val="nil"/>
            </w:tcBorders>
            <w:shd w:val="clear" w:color="auto" w:fill="FFFFFF" w:themeFill="background2"/>
            <w:noWrap/>
            <w:vAlign w:val="center"/>
            <w:hideMark/>
          </w:tcPr>
          <w:p w14:paraId="704F3080"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BBF0A31"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0FB94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c>
          <w:tcPr>
            <w:tcW w:w="1323" w:type="dxa"/>
            <w:tcBorders>
              <w:top w:val="nil"/>
              <w:left w:val="nil"/>
              <w:bottom w:val="nil"/>
              <w:right w:val="nil"/>
            </w:tcBorders>
            <w:shd w:val="clear" w:color="auto" w:fill="E5E5E5" w:themeFill="background1" w:themeFillTint="33"/>
            <w:noWrap/>
            <w:vAlign w:val="center"/>
            <w:hideMark/>
          </w:tcPr>
          <w:p w14:paraId="3E7EE1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96.15</w:t>
            </w:r>
          </w:p>
        </w:tc>
        <w:tc>
          <w:tcPr>
            <w:tcW w:w="1373" w:type="dxa"/>
            <w:tcBorders>
              <w:top w:val="nil"/>
              <w:left w:val="nil"/>
              <w:bottom w:val="nil"/>
              <w:right w:val="nil"/>
            </w:tcBorders>
            <w:shd w:val="clear" w:color="auto" w:fill="E5E5E5" w:themeFill="background1" w:themeFillTint="33"/>
            <w:noWrap/>
            <w:vAlign w:val="center"/>
            <w:hideMark/>
          </w:tcPr>
          <w:p w14:paraId="24907F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567D94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95.91</w:t>
            </w:r>
          </w:p>
        </w:tc>
        <w:tc>
          <w:tcPr>
            <w:tcW w:w="1418" w:type="dxa"/>
            <w:tcBorders>
              <w:top w:val="nil"/>
              <w:left w:val="nil"/>
              <w:bottom w:val="nil"/>
              <w:right w:val="nil"/>
            </w:tcBorders>
            <w:shd w:val="clear" w:color="auto" w:fill="E5E5E5" w:themeFill="background1" w:themeFillTint="33"/>
            <w:noWrap/>
            <w:vAlign w:val="center"/>
            <w:hideMark/>
          </w:tcPr>
          <w:p w14:paraId="2ABE03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568C83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95.74</w:t>
            </w:r>
          </w:p>
        </w:tc>
        <w:tc>
          <w:tcPr>
            <w:tcW w:w="1373" w:type="dxa"/>
            <w:tcBorders>
              <w:top w:val="nil"/>
              <w:left w:val="nil"/>
              <w:bottom w:val="nil"/>
              <w:right w:val="nil"/>
            </w:tcBorders>
            <w:shd w:val="clear" w:color="auto" w:fill="E5E5E5" w:themeFill="background1" w:themeFillTint="33"/>
            <w:noWrap/>
            <w:vAlign w:val="center"/>
            <w:hideMark/>
          </w:tcPr>
          <w:p w14:paraId="67A381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06A237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90.58</w:t>
            </w:r>
          </w:p>
        </w:tc>
        <w:tc>
          <w:tcPr>
            <w:tcW w:w="1326" w:type="dxa"/>
            <w:tcBorders>
              <w:top w:val="nil"/>
              <w:left w:val="nil"/>
              <w:bottom w:val="nil"/>
              <w:right w:val="nil"/>
            </w:tcBorders>
            <w:shd w:val="clear" w:color="auto" w:fill="E5E5E5" w:themeFill="background1" w:themeFillTint="33"/>
            <w:noWrap/>
            <w:vAlign w:val="center"/>
            <w:hideMark/>
          </w:tcPr>
          <w:p w14:paraId="182821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6A2DB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95.74</w:t>
            </w:r>
          </w:p>
        </w:tc>
        <w:tc>
          <w:tcPr>
            <w:tcW w:w="1276" w:type="dxa"/>
            <w:tcBorders>
              <w:top w:val="nil"/>
              <w:left w:val="nil"/>
              <w:bottom w:val="nil"/>
              <w:right w:val="nil"/>
            </w:tcBorders>
            <w:shd w:val="clear" w:color="auto" w:fill="E5E5E5" w:themeFill="background1" w:themeFillTint="33"/>
            <w:noWrap/>
            <w:vAlign w:val="center"/>
            <w:hideMark/>
          </w:tcPr>
          <w:p w14:paraId="40CB8BC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0BDF25B" w14:textId="77777777" w:rsidTr="0020771F">
        <w:trPr>
          <w:trHeight w:hRule="exact" w:val="284"/>
        </w:trPr>
        <w:tc>
          <w:tcPr>
            <w:tcW w:w="960" w:type="dxa"/>
            <w:tcBorders>
              <w:top w:val="nil"/>
              <w:left w:val="nil"/>
              <w:bottom w:val="nil"/>
              <w:right w:val="nil"/>
            </w:tcBorders>
            <w:shd w:val="clear" w:color="auto" w:fill="auto"/>
            <w:noWrap/>
            <w:vAlign w:val="center"/>
            <w:hideMark/>
          </w:tcPr>
          <w:p w14:paraId="4AF6E8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c>
          <w:tcPr>
            <w:tcW w:w="1323" w:type="dxa"/>
            <w:tcBorders>
              <w:top w:val="nil"/>
              <w:left w:val="nil"/>
              <w:bottom w:val="nil"/>
              <w:right w:val="nil"/>
            </w:tcBorders>
            <w:shd w:val="clear" w:color="auto" w:fill="auto"/>
            <w:noWrap/>
            <w:vAlign w:val="center"/>
            <w:hideMark/>
          </w:tcPr>
          <w:p w14:paraId="7D2FE9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96.27</w:t>
            </w:r>
          </w:p>
        </w:tc>
        <w:tc>
          <w:tcPr>
            <w:tcW w:w="1373" w:type="dxa"/>
            <w:tcBorders>
              <w:top w:val="nil"/>
              <w:left w:val="nil"/>
              <w:bottom w:val="nil"/>
              <w:right w:val="nil"/>
            </w:tcBorders>
            <w:shd w:val="clear" w:color="auto" w:fill="auto"/>
            <w:noWrap/>
            <w:vAlign w:val="center"/>
            <w:hideMark/>
          </w:tcPr>
          <w:p w14:paraId="320D4E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4398B5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96.03</w:t>
            </w:r>
          </w:p>
        </w:tc>
        <w:tc>
          <w:tcPr>
            <w:tcW w:w="1418" w:type="dxa"/>
            <w:tcBorders>
              <w:top w:val="nil"/>
              <w:left w:val="nil"/>
              <w:bottom w:val="nil"/>
              <w:right w:val="nil"/>
            </w:tcBorders>
            <w:shd w:val="clear" w:color="auto" w:fill="auto"/>
            <w:noWrap/>
            <w:vAlign w:val="center"/>
            <w:hideMark/>
          </w:tcPr>
          <w:p w14:paraId="5465C7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5FAFD4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95.79</w:t>
            </w:r>
          </w:p>
        </w:tc>
        <w:tc>
          <w:tcPr>
            <w:tcW w:w="1373" w:type="dxa"/>
            <w:tcBorders>
              <w:top w:val="nil"/>
              <w:left w:val="nil"/>
              <w:bottom w:val="nil"/>
              <w:right w:val="nil"/>
            </w:tcBorders>
            <w:shd w:val="clear" w:color="auto" w:fill="auto"/>
            <w:noWrap/>
            <w:vAlign w:val="center"/>
            <w:hideMark/>
          </w:tcPr>
          <w:p w14:paraId="776F6D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8C7B8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90.77</w:t>
            </w:r>
          </w:p>
        </w:tc>
        <w:tc>
          <w:tcPr>
            <w:tcW w:w="1326" w:type="dxa"/>
            <w:tcBorders>
              <w:top w:val="nil"/>
              <w:left w:val="nil"/>
              <w:bottom w:val="nil"/>
              <w:right w:val="nil"/>
            </w:tcBorders>
            <w:shd w:val="clear" w:color="auto" w:fill="auto"/>
            <w:noWrap/>
            <w:vAlign w:val="center"/>
            <w:hideMark/>
          </w:tcPr>
          <w:p w14:paraId="70F6AA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41F9ED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95.85</w:t>
            </w:r>
          </w:p>
        </w:tc>
        <w:tc>
          <w:tcPr>
            <w:tcW w:w="1276" w:type="dxa"/>
            <w:tcBorders>
              <w:top w:val="nil"/>
              <w:left w:val="nil"/>
              <w:bottom w:val="nil"/>
              <w:right w:val="nil"/>
            </w:tcBorders>
            <w:shd w:val="clear" w:color="auto" w:fill="auto"/>
            <w:noWrap/>
            <w:vAlign w:val="center"/>
            <w:hideMark/>
          </w:tcPr>
          <w:p w14:paraId="2C096D9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6F9D30B"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2073E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323" w:type="dxa"/>
            <w:tcBorders>
              <w:top w:val="nil"/>
              <w:left w:val="nil"/>
              <w:bottom w:val="nil"/>
              <w:right w:val="nil"/>
            </w:tcBorders>
            <w:shd w:val="clear" w:color="auto" w:fill="E5E5E5" w:themeFill="background1" w:themeFillTint="33"/>
            <w:noWrap/>
            <w:vAlign w:val="center"/>
            <w:hideMark/>
          </w:tcPr>
          <w:p w14:paraId="3B045C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96.40</w:t>
            </w:r>
          </w:p>
        </w:tc>
        <w:tc>
          <w:tcPr>
            <w:tcW w:w="1373" w:type="dxa"/>
            <w:tcBorders>
              <w:top w:val="nil"/>
              <w:left w:val="nil"/>
              <w:bottom w:val="nil"/>
              <w:right w:val="nil"/>
            </w:tcBorders>
            <w:shd w:val="clear" w:color="auto" w:fill="E5E5E5" w:themeFill="background1" w:themeFillTint="33"/>
            <w:noWrap/>
            <w:vAlign w:val="center"/>
            <w:hideMark/>
          </w:tcPr>
          <w:p w14:paraId="31554F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0D1DE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96.17</w:t>
            </w:r>
          </w:p>
        </w:tc>
        <w:tc>
          <w:tcPr>
            <w:tcW w:w="1418" w:type="dxa"/>
            <w:tcBorders>
              <w:top w:val="nil"/>
              <w:left w:val="nil"/>
              <w:bottom w:val="nil"/>
              <w:right w:val="nil"/>
            </w:tcBorders>
            <w:shd w:val="clear" w:color="auto" w:fill="E5E5E5" w:themeFill="background1" w:themeFillTint="33"/>
            <w:noWrap/>
            <w:vAlign w:val="center"/>
            <w:hideMark/>
          </w:tcPr>
          <w:p w14:paraId="7E3E89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030DB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95.95</w:t>
            </w:r>
          </w:p>
        </w:tc>
        <w:tc>
          <w:tcPr>
            <w:tcW w:w="1373" w:type="dxa"/>
            <w:tcBorders>
              <w:top w:val="nil"/>
              <w:left w:val="nil"/>
              <w:bottom w:val="nil"/>
              <w:right w:val="nil"/>
            </w:tcBorders>
            <w:shd w:val="clear" w:color="auto" w:fill="E5E5E5" w:themeFill="background1" w:themeFillTint="33"/>
            <w:noWrap/>
            <w:vAlign w:val="center"/>
            <w:hideMark/>
          </w:tcPr>
          <w:p w14:paraId="2D736D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403B6D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91.01</w:t>
            </w:r>
          </w:p>
        </w:tc>
        <w:tc>
          <w:tcPr>
            <w:tcW w:w="1326" w:type="dxa"/>
            <w:tcBorders>
              <w:top w:val="nil"/>
              <w:left w:val="nil"/>
              <w:bottom w:val="nil"/>
              <w:right w:val="nil"/>
            </w:tcBorders>
            <w:shd w:val="clear" w:color="auto" w:fill="E5E5E5" w:themeFill="background1" w:themeFillTint="33"/>
            <w:noWrap/>
            <w:vAlign w:val="center"/>
            <w:hideMark/>
          </w:tcPr>
          <w:p w14:paraId="42D78C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22A2C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96.00</w:t>
            </w:r>
          </w:p>
        </w:tc>
        <w:tc>
          <w:tcPr>
            <w:tcW w:w="1276" w:type="dxa"/>
            <w:tcBorders>
              <w:top w:val="nil"/>
              <w:left w:val="nil"/>
              <w:bottom w:val="nil"/>
              <w:right w:val="nil"/>
            </w:tcBorders>
            <w:shd w:val="clear" w:color="auto" w:fill="E5E5E5" w:themeFill="background1" w:themeFillTint="33"/>
            <w:noWrap/>
            <w:vAlign w:val="center"/>
            <w:hideMark/>
          </w:tcPr>
          <w:p w14:paraId="0708C853"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2907695" w14:textId="77777777" w:rsidTr="0020771F">
        <w:trPr>
          <w:trHeight w:hRule="exact" w:val="284"/>
        </w:trPr>
        <w:tc>
          <w:tcPr>
            <w:tcW w:w="960" w:type="dxa"/>
            <w:tcBorders>
              <w:top w:val="nil"/>
              <w:left w:val="nil"/>
              <w:bottom w:val="nil"/>
              <w:right w:val="nil"/>
            </w:tcBorders>
            <w:shd w:val="clear" w:color="auto" w:fill="auto"/>
            <w:noWrap/>
            <w:vAlign w:val="center"/>
            <w:hideMark/>
          </w:tcPr>
          <w:p w14:paraId="692244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w:t>
            </w:r>
          </w:p>
        </w:tc>
        <w:tc>
          <w:tcPr>
            <w:tcW w:w="1323" w:type="dxa"/>
            <w:tcBorders>
              <w:top w:val="nil"/>
              <w:left w:val="nil"/>
              <w:bottom w:val="nil"/>
              <w:right w:val="nil"/>
            </w:tcBorders>
            <w:shd w:val="clear" w:color="auto" w:fill="auto"/>
            <w:noWrap/>
            <w:vAlign w:val="center"/>
            <w:hideMark/>
          </w:tcPr>
          <w:p w14:paraId="62A53E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96.57</w:t>
            </w:r>
          </w:p>
        </w:tc>
        <w:tc>
          <w:tcPr>
            <w:tcW w:w="1373" w:type="dxa"/>
            <w:tcBorders>
              <w:top w:val="nil"/>
              <w:left w:val="nil"/>
              <w:bottom w:val="nil"/>
              <w:right w:val="nil"/>
            </w:tcBorders>
            <w:shd w:val="clear" w:color="auto" w:fill="auto"/>
            <w:noWrap/>
            <w:vAlign w:val="center"/>
            <w:hideMark/>
          </w:tcPr>
          <w:p w14:paraId="785CE1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E4B07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96.42</w:t>
            </w:r>
          </w:p>
        </w:tc>
        <w:tc>
          <w:tcPr>
            <w:tcW w:w="1418" w:type="dxa"/>
            <w:tcBorders>
              <w:top w:val="nil"/>
              <w:left w:val="nil"/>
              <w:bottom w:val="nil"/>
              <w:right w:val="nil"/>
            </w:tcBorders>
            <w:shd w:val="clear" w:color="auto" w:fill="auto"/>
            <w:noWrap/>
            <w:vAlign w:val="center"/>
            <w:hideMark/>
          </w:tcPr>
          <w:p w14:paraId="3F6DE5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75F9C1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96.25</w:t>
            </w:r>
          </w:p>
        </w:tc>
        <w:tc>
          <w:tcPr>
            <w:tcW w:w="1373" w:type="dxa"/>
            <w:tcBorders>
              <w:top w:val="nil"/>
              <w:left w:val="nil"/>
              <w:bottom w:val="nil"/>
              <w:right w:val="nil"/>
            </w:tcBorders>
            <w:shd w:val="clear" w:color="auto" w:fill="auto"/>
            <w:noWrap/>
            <w:vAlign w:val="center"/>
            <w:hideMark/>
          </w:tcPr>
          <w:p w14:paraId="09811C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393A9B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91.42</w:t>
            </w:r>
          </w:p>
        </w:tc>
        <w:tc>
          <w:tcPr>
            <w:tcW w:w="1326" w:type="dxa"/>
            <w:tcBorders>
              <w:top w:val="nil"/>
              <w:left w:val="nil"/>
              <w:bottom w:val="nil"/>
              <w:right w:val="nil"/>
            </w:tcBorders>
            <w:shd w:val="clear" w:color="auto" w:fill="auto"/>
            <w:noWrap/>
            <w:vAlign w:val="center"/>
            <w:hideMark/>
          </w:tcPr>
          <w:p w14:paraId="185CD1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BDEA1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96.21</w:t>
            </w:r>
          </w:p>
        </w:tc>
        <w:tc>
          <w:tcPr>
            <w:tcW w:w="1276" w:type="dxa"/>
            <w:tcBorders>
              <w:top w:val="nil"/>
              <w:left w:val="nil"/>
              <w:bottom w:val="nil"/>
              <w:right w:val="nil"/>
            </w:tcBorders>
            <w:shd w:val="clear" w:color="auto" w:fill="auto"/>
            <w:noWrap/>
            <w:vAlign w:val="center"/>
            <w:hideMark/>
          </w:tcPr>
          <w:p w14:paraId="66D633D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3799C12"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3B220F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w:t>
            </w:r>
          </w:p>
        </w:tc>
        <w:tc>
          <w:tcPr>
            <w:tcW w:w="1323" w:type="dxa"/>
            <w:tcBorders>
              <w:top w:val="nil"/>
              <w:left w:val="nil"/>
              <w:bottom w:val="nil"/>
              <w:right w:val="nil"/>
            </w:tcBorders>
            <w:shd w:val="clear" w:color="auto" w:fill="E5E5E5" w:themeFill="background1" w:themeFillTint="33"/>
            <w:noWrap/>
            <w:vAlign w:val="center"/>
            <w:hideMark/>
          </w:tcPr>
          <w:p w14:paraId="24A7D5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96.73</w:t>
            </w:r>
          </w:p>
        </w:tc>
        <w:tc>
          <w:tcPr>
            <w:tcW w:w="1373" w:type="dxa"/>
            <w:tcBorders>
              <w:top w:val="nil"/>
              <w:left w:val="nil"/>
              <w:bottom w:val="nil"/>
              <w:right w:val="nil"/>
            </w:tcBorders>
            <w:shd w:val="clear" w:color="auto" w:fill="E5E5E5" w:themeFill="background1" w:themeFillTint="33"/>
            <w:noWrap/>
            <w:vAlign w:val="center"/>
            <w:hideMark/>
          </w:tcPr>
          <w:p w14:paraId="55B500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1BD20F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96.56</w:t>
            </w:r>
          </w:p>
        </w:tc>
        <w:tc>
          <w:tcPr>
            <w:tcW w:w="1418" w:type="dxa"/>
            <w:tcBorders>
              <w:top w:val="nil"/>
              <w:left w:val="nil"/>
              <w:bottom w:val="nil"/>
              <w:right w:val="nil"/>
            </w:tcBorders>
            <w:shd w:val="clear" w:color="auto" w:fill="E5E5E5" w:themeFill="background1" w:themeFillTint="33"/>
            <w:noWrap/>
            <w:vAlign w:val="center"/>
            <w:hideMark/>
          </w:tcPr>
          <w:p w14:paraId="64B35A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F9BE0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96.30</w:t>
            </w:r>
          </w:p>
        </w:tc>
        <w:tc>
          <w:tcPr>
            <w:tcW w:w="1373" w:type="dxa"/>
            <w:tcBorders>
              <w:top w:val="nil"/>
              <w:left w:val="nil"/>
              <w:bottom w:val="nil"/>
              <w:right w:val="nil"/>
            </w:tcBorders>
            <w:shd w:val="clear" w:color="auto" w:fill="E5E5E5" w:themeFill="background1" w:themeFillTint="33"/>
            <w:noWrap/>
            <w:vAlign w:val="center"/>
            <w:hideMark/>
          </w:tcPr>
          <w:p w14:paraId="2A0A79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EEF62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91.71</w:t>
            </w:r>
          </w:p>
        </w:tc>
        <w:tc>
          <w:tcPr>
            <w:tcW w:w="1326" w:type="dxa"/>
            <w:tcBorders>
              <w:top w:val="nil"/>
              <w:left w:val="nil"/>
              <w:bottom w:val="nil"/>
              <w:right w:val="nil"/>
            </w:tcBorders>
            <w:shd w:val="clear" w:color="auto" w:fill="E5E5E5" w:themeFill="background1" w:themeFillTint="33"/>
            <w:noWrap/>
            <w:vAlign w:val="center"/>
            <w:hideMark/>
          </w:tcPr>
          <w:p w14:paraId="70A659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8B52C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96.36</w:t>
            </w:r>
          </w:p>
        </w:tc>
        <w:tc>
          <w:tcPr>
            <w:tcW w:w="1276" w:type="dxa"/>
            <w:tcBorders>
              <w:top w:val="nil"/>
              <w:left w:val="nil"/>
              <w:bottom w:val="nil"/>
              <w:right w:val="nil"/>
            </w:tcBorders>
            <w:shd w:val="clear" w:color="auto" w:fill="E5E5E5" w:themeFill="background1" w:themeFillTint="33"/>
            <w:noWrap/>
            <w:vAlign w:val="center"/>
            <w:hideMark/>
          </w:tcPr>
          <w:p w14:paraId="196FDCE2"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D7C87B2" w14:textId="77777777" w:rsidTr="0020771F">
        <w:trPr>
          <w:trHeight w:hRule="exact" w:val="284"/>
        </w:trPr>
        <w:tc>
          <w:tcPr>
            <w:tcW w:w="960" w:type="dxa"/>
            <w:tcBorders>
              <w:top w:val="nil"/>
              <w:left w:val="nil"/>
              <w:bottom w:val="nil"/>
              <w:right w:val="nil"/>
            </w:tcBorders>
            <w:shd w:val="clear" w:color="auto" w:fill="auto"/>
            <w:noWrap/>
            <w:vAlign w:val="center"/>
            <w:hideMark/>
          </w:tcPr>
          <w:p w14:paraId="1B6553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c>
          <w:tcPr>
            <w:tcW w:w="1323" w:type="dxa"/>
            <w:tcBorders>
              <w:top w:val="nil"/>
              <w:left w:val="nil"/>
              <w:bottom w:val="nil"/>
              <w:right w:val="nil"/>
            </w:tcBorders>
            <w:shd w:val="clear" w:color="auto" w:fill="auto"/>
            <w:noWrap/>
            <w:vAlign w:val="center"/>
            <w:hideMark/>
          </w:tcPr>
          <w:p w14:paraId="194CC3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96.86</w:t>
            </w:r>
          </w:p>
        </w:tc>
        <w:tc>
          <w:tcPr>
            <w:tcW w:w="1373" w:type="dxa"/>
            <w:tcBorders>
              <w:top w:val="nil"/>
              <w:left w:val="nil"/>
              <w:bottom w:val="nil"/>
              <w:right w:val="nil"/>
            </w:tcBorders>
            <w:shd w:val="clear" w:color="auto" w:fill="auto"/>
            <w:noWrap/>
            <w:vAlign w:val="center"/>
            <w:hideMark/>
          </w:tcPr>
          <w:p w14:paraId="30FAB1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C8731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96.66</w:t>
            </w:r>
          </w:p>
        </w:tc>
        <w:tc>
          <w:tcPr>
            <w:tcW w:w="1418" w:type="dxa"/>
            <w:tcBorders>
              <w:top w:val="nil"/>
              <w:left w:val="nil"/>
              <w:bottom w:val="nil"/>
              <w:right w:val="nil"/>
            </w:tcBorders>
            <w:shd w:val="clear" w:color="auto" w:fill="auto"/>
            <w:noWrap/>
            <w:vAlign w:val="center"/>
            <w:hideMark/>
          </w:tcPr>
          <w:p w14:paraId="098696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0B3AE1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96.35</w:t>
            </w:r>
          </w:p>
        </w:tc>
        <w:tc>
          <w:tcPr>
            <w:tcW w:w="1373" w:type="dxa"/>
            <w:tcBorders>
              <w:top w:val="nil"/>
              <w:left w:val="nil"/>
              <w:bottom w:val="nil"/>
              <w:right w:val="nil"/>
            </w:tcBorders>
            <w:shd w:val="clear" w:color="auto" w:fill="auto"/>
            <w:noWrap/>
            <w:vAlign w:val="center"/>
            <w:hideMark/>
          </w:tcPr>
          <w:p w14:paraId="6CFA55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5AA1B6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92.04</w:t>
            </w:r>
          </w:p>
        </w:tc>
        <w:tc>
          <w:tcPr>
            <w:tcW w:w="1326" w:type="dxa"/>
            <w:tcBorders>
              <w:top w:val="nil"/>
              <w:left w:val="nil"/>
              <w:bottom w:val="nil"/>
              <w:right w:val="nil"/>
            </w:tcBorders>
            <w:shd w:val="clear" w:color="auto" w:fill="auto"/>
            <w:noWrap/>
            <w:vAlign w:val="center"/>
            <w:hideMark/>
          </w:tcPr>
          <w:p w14:paraId="08DE48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528D8F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96.49</w:t>
            </w:r>
          </w:p>
        </w:tc>
        <w:tc>
          <w:tcPr>
            <w:tcW w:w="1276" w:type="dxa"/>
            <w:tcBorders>
              <w:top w:val="nil"/>
              <w:left w:val="nil"/>
              <w:bottom w:val="nil"/>
              <w:right w:val="nil"/>
            </w:tcBorders>
            <w:shd w:val="clear" w:color="auto" w:fill="auto"/>
            <w:noWrap/>
            <w:vAlign w:val="center"/>
            <w:hideMark/>
          </w:tcPr>
          <w:p w14:paraId="1BCEF43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EC53A1D"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D6EB9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w:t>
            </w:r>
          </w:p>
        </w:tc>
        <w:tc>
          <w:tcPr>
            <w:tcW w:w="1323" w:type="dxa"/>
            <w:tcBorders>
              <w:top w:val="nil"/>
              <w:left w:val="nil"/>
              <w:bottom w:val="nil"/>
              <w:right w:val="nil"/>
            </w:tcBorders>
            <w:shd w:val="clear" w:color="auto" w:fill="E5E5E5" w:themeFill="background1" w:themeFillTint="33"/>
            <w:noWrap/>
            <w:vAlign w:val="center"/>
            <w:hideMark/>
          </w:tcPr>
          <w:p w14:paraId="7BBE8F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96.96</w:t>
            </w:r>
          </w:p>
        </w:tc>
        <w:tc>
          <w:tcPr>
            <w:tcW w:w="1373" w:type="dxa"/>
            <w:tcBorders>
              <w:top w:val="nil"/>
              <w:left w:val="nil"/>
              <w:bottom w:val="nil"/>
              <w:right w:val="nil"/>
            </w:tcBorders>
            <w:shd w:val="clear" w:color="auto" w:fill="E5E5E5" w:themeFill="background1" w:themeFillTint="33"/>
            <w:noWrap/>
            <w:vAlign w:val="center"/>
            <w:hideMark/>
          </w:tcPr>
          <w:p w14:paraId="588D4E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4001B0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96.71</w:t>
            </w:r>
          </w:p>
        </w:tc>
        <w:tc>
          <w:tcPr>
            <w:tcW w:w="1418" w:type="dxa"/>
            <w:tcBorders>
              <w:top w:val="nil"/>
              <w:left w:val="nil"/>
              <w:bottom w:val="nil"/>
              <w:right w:val="nil"/>
            </w:tcBorders>
            <w:shd w:val="clear" w:color="auto" w:fill="E5E5E5" w:themeFill="background1" w:themeFillTint="33"/>
            <w:noWrap/>
            <w:vAlign w:val="center"/>
            <w:hideMark/>
          </w:tcPr>
          <w:p w14:paraId="1BD242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6C590F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96.46</w:t>
            </w:r>
          </w:p>
        </w:tc>
        <w:tc>
          <w:tcPr>
            <w:tcW w:w="1373" w:type="dxa"/>
            <w:tcBorders>
              <w:top w:val="nil"/>
              <w:left w:val="nil"/>
              <w:bottom w:val="nil"/>
              <w:right w:val="nil"/>
            </w:tcBorders>
            <w:shd w:val="clear" w:color="auto" w:fill="E5E5E5" w:themeFill="background1" w:themeFillTint="33"/>
            <w:noWrap/>
            <w:vAlign w:val="center"/>
            <w:hideMark/>
          </w:tcPr>
          <w:p w14:paraId="2FA842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51402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92.17</w:t>
            </w:r>
          </w:p>
        </w:tc>
        <w:tc>
          <w:tcPr>
            <w:tcW w:w="1326" w:type="dxa"/>
            <w:tcBorders>
              <w:top w:val="nil"/>
              <w:left w:val="nil"/>
              <w:bottom w:val="nil"/>
              <w:right w:val="nil"/>
            </w:tcBorders>
            <w:shd w:val="clear" w:color="auto" w:fill="E5E5E5" w:themeFill="background1" w:themeFillTint="33"/>
            <w:noWrap/>
            <w:vAlign w:val="center"/>
            <w:hideMark/>
          </w:tcPr>
          <w:p w14:paraId="4BA846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11A719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96.58</w:t>
            </w:r>
          </w:p>
        </w:tc>
        <w:tc>
          <w:tcPr>
            <w:tcW w:w="1276" w:type="dxa"/>
            <w:tcBorders>
              <w:top w:val="nil"/>
              <w:left w:val="nil"/>
              <w:bottom w:val="nil"/>
              <w:right w:val="nil"/>
            </w:tcBorders>
            <w:shd w:val="clear" w:color="auto" w:fill="E5E5E5" w:themeFill="background1" w:themeFillTint="33"/>
            <w:noWrap/>
            <w:vAlign w:val="center"/>
            <w:hideMark/>
          </w:tcPr>
          <w:p w14:paraId="5295254F"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0E9FB8D" w14:textId="77777777" w:rsidTr="0020771F">
        <w:trPr>
          <w:trHeight w:hRule="exact" w:val="284"/>
        </w:trPr>
        <w:tc>
          <w:tcPr>
            <w:tcW w:w="960" w:type="dxa"/>
            <w:tcBorders>
              <w:top w:val="nil"/>
              <w:left w:val="nil"/>
              <w:bottom w:val="nil"/>
              <w:right w:val="nil"/>
            </w:tcBorders>
            <w:shd w:val="clear" w:color="auto" w:fill="auto"/>
            <w:noWrap/>
            <w:vAlign w:val="center"/>
            <w:hideMark/>
          </w:tcPr>
          <w:p w14:paraId="2F5352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w:t>
            </w:r>
          </w:p>
        </w:tc>
        <w:tc>
          <w:tcPr>
            <w:tcW w:w="1323" w:type="dxa"/>
            <w:tcBorders>
              <w:top w:val="nil"/>
              <w:left w:val="nil"/>
              <w:bottom w:val="nil"/>
              <w:right w:val="nil"/>
            </w:tcBorders>
            <w:shd w:val="clear" w:color="auto" w:fill="auto"/>
            <w:noWrap/>
            <w:vAlign w:val="center"/>
            <w:hideMark/>
          </w:tcPr>
          <w:p w14:paraId="2A8C70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97.04</w:t>
            </w:r>
          </w:p>
        </w:tc>
        <w:tc>
          <w:tcPr>
            <w:tcW w:w="1373" w:type="dxa"/>
            <w:tcBorders>
              <w:top w:val="nil"/>
              <w:left w:val="nil"/>
              <w:bottom w:val="nil"/>
              <w:right w:val="nil"/>
            </w:tcBorders>
            <w:shd w:val="clear" w:color="auto" w:fill="auto"/>
            <w:noWrap/>
            <w:vAlign w:val="center"/>
            <w:hideMark/>
          </w:tcPr>
          <w:p w14:paraId="68BF75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41727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96.77</w:t>
            </w:r>
          </w:p>
        </w:tc>
        <w:tc>
          <w:tcPr>
            <w:tcW w:w="1418" w:type="dxa"/>
            <w:tcBorders>
              <w:top w:val="nil"/>
              <w:left w:val="nil"/>
              <w:bottom w:val="nil"/>
              <w:right w:val="nil"/>
            </w:tcBorders>
            <w:shd w:val="clear" w:color="auto" w:fill="auto"/>
            <w:noWrap/>
            <w:vAlign w:val="center"/>
            <w:hideMark/>
          </w:tcPr>
          <w:p w14:paraId="574F13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0F9BA1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96.49</w:t>
            </w:r>
          </w:p>
        </w:tc>
        <w:tc>
          <w:tcPr>
            <w:tcW w:w="1373" w:type="dxa"/>
            <w:tcBorders>
              <w:top w:val="nil"/>
              <w:left w:val="nil"/>
              <w:bottom w:val="nil"/>
              <w:right w:val="nil"/>
            </w:tcBorders>
            <w:shd w:val="clear" w:color="auto" w:fill="auto"/>
            <w:noWrap/>
            <w:vAlign w:val="center"/>
            <w:hideMark/>
          </w:tcPr>
          <w:p w14:paraId="608B12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5251B9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92.39</w:t>
            </w:r>
          </w:p>
        </w:tc>
        <w:tc>
          <w:tcPr>
            <w:tcW w:w="1326" w:type="dxa"/>
            <w:tcBorders>
              <w:top w:val="nil"/>
              <w:left w:val="nil"/>
              <w:bottom w:val="nil"/>
              <w:right w:val="nil"/>
            </w:tcBorders>
            <w:shd w:val="clear" w:color="auto" w:fill="auto"/>
            <w:noWrap/>
            <w:vAlign w:val="center"/>
            <w:hideMark/>
          </w:tcPr>
          <w:p w14:paraId="2455A0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40E14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96.66</w:t>
            </w:r>
          </w:p>
        </w:tc>
        <w:tc>
          <w:tcPr>
            <w:tcW w:w="1276" w:type="dxa"/>
            <w:tcBorders>
              <w:top w:val="nil"/>
              <w:left w:val="nil"/>
              <w:bottom w:val="nil"/>
              <w:right w:val="nil"/>
            </w:tcBorders>
            <w:shd w:val="clear" w:color="auto" w:fill="auto"/>
            <w:noWrap/>
            <w:vAlign w:val="center"/>
            <w:hideMark/>
          </w:tcPr>
          <w:p w14:paraId="2B337A5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2075A48"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5B6452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w:t>
            </w:r>
          </w:p>
        </w:tc>
        <w:tc>
          <w:tcPr>
            <w:tcW w:w="1323" w:type="dxa"/>
            <w:tcBorders>
              <w:top w:val="nil"/>
              <w:left w:val="nil"/>
              <w:bottom w:val="nil"/>
              <w:right w:val="nil"/>
            </w:tcBorders>
            <w:shd w:val="clear" w:color="auto" w:fill="E5E5E5" w:themeFill="background1" w:themeFillTint="33"/>
            <w:noWrap/>
            <w:vAlign w:val="center"/>
            <w:hideMark/>
          </w:tcPr>
          <w:p w14:paraId="32B054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97.12</w:t>
            </w:r>
          </w:p>
        </w:tc>
        <w:tc>
          <w:tcPr>
            <w:tcW w:w="1373" w:type="dxa"/>
            <w:tcBorders>
              <w:top w:val="nil"/>
              <w:left w:val="nil"/>
              <w:bottom w:val="nil"/>
              <w:right w:val="nil"/>
            </w:tcBorders>
            <w:shd w:val="clear" w:color="auto" w:fill="E5E5E5" w:themeFill="background1" w:themeFillTint="33"/>
            <w:noWrap/>
            <w:vAlign w:val="center"/>
            <w:hideMark/>
          </w:tcPr>
          <w:p w14:paraId="31A46E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0C36FE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96.87</w:t>
            </w:r>
          </w:p>
        </w:tc>
        <w:tc>
          <w:tcPr>
            <w:tcW w:w="1418" w:type="dxa"/>
            <w:tcBorders>
              <w:top w:val="nil"/>
              <w:left w:val="nil"/>
              <w:bottom w:val="nil"/>
              <w:right w:val="nil"/>
            </w:tcBorders>
            <w:shd w:val="clear" w:color="auto" w:fill="E5E5E5" w:themeFill="background1" w:themeFillTint="33"/>
            <w:noWrap/>
            <w:vAlign w:val="center"/>
            <w:hideMark/>
          </w:tcPr>
          <w:p w14:paraId="34C1CC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09D227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96.51</w:t>
            </w:r>
          </w:p>
        </w:tc>
        <w:tc>
          <w:tcPr>
            <w:tcW w:w="1373" w:type="dxa"/>
            <w:tcBorders>
              <w:top w:val="nil"/>
              <w:left w:val="nil"/>
              <w:bottom w:val="nil"/>
              <w:right w:val="nil"/>
            </w:tcBorders>
            <w:shd w:val="clear" w:color="auto" w:fill="E5E5E5" w:themeFill="background1" w:themeFillTint="33"/>
            <w:noWrap/>
            <w:vAlign w:val="center"/>
            <w:hideMark/>
          </w:tcPr>
          <w:p w14:paraId="5E423C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2E0E72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92.68</w:t>
            </w:r>
          </w:p>
        </w:tc>
        <w:tc>
          <w:tcPr>
            <w:tcW w:w="1326" w:type="dxa"/>
            <w:tcBorders>
              <w:top w:val="nil"/>
              <w:left w:val="nil"/>
              <w:bottom w:val="nil"/>
              <w:right w:val="nil"/>
            </w:tcBorders>
            <w:shd w:val="clear" w:color="auto" w:fill="E5E5E5" w:themeFill="background1" w:themeFillTint="33"/>
            <w:noWrap/>
            <w:vAlign w:val="center"/>
            <w:hideMark/>
          </w:tcPr>
          <w:p w14:paraId="7B5A50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2C27C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96.75</w:t>
            </w:r>
          </w:p>
        </w:tc>
        <w:tc>
          <w:tcPr>
            <w:tcW w:w="1276" w:type="dxa"/>
            <w:tcBorders>
              <w:top w:val="nil"/>
              <w:left w:val="nil"/>
              <w:bottom w:val="nil"/>
              <w:right w:val="nil"/>
            </w:tcBorders>
            <w:shd w:val="clear" w:color="auto" w:fill="E5E5E5" w:themeFill="background1" w:themeFillTint="33"/>
            <w:noWrap/>
            <w:vAlign w:val="center"/>
            <w:hideMark/>
          </w:tcPr>
          <w:p w14:paraId="0A2C56B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1885E23" w14:textId="77777777" w:rsidTr="0020771F">
        <w:trPr>
          <w:trHeight w:hRule="exact" w:val="284"/>
        </w:trPr>
        <w:tc>
          <w:tcPr>
            <w:tcW w:w="960" w:type="dxa"/>
            <w:tcBorders>
              <w:top w:val="nil"/>
              <w:left w:val="nil"/>
              <w:bottom w:val="nil"/>
              <w:right w:val="nil"/>
            </w:tcBorders>
            <w:shd w:val="clear" w:color="auto" w:fill="auto"/>
            <w:noWrap/>
            <w:vAlign w:val="center"/>
            <w:hideMark/>
          </w:tcPr>
          <w:p w14:paraId="4F1F78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w:t>
            </w:r>
          </w:p>
        </w:tc>
        <w:tc>
          <w:tcPr>
            <w:tcW w:w="1323" w:type="dxa"/>
            <w:tcBorders>
              <w:top w:val="nil"/>
              <w:left w:val="nil"/>
              <w:bottom w:val="nil"/>
              <w:right w:val="nil"/>
            </w:tcBorders>
            <w:shd w:val="clear" w:color="auto" w:fill="auto"/>
            <w:noWrap/>
            <w:vAlign w:val="center"/>
            <w:hideMark/>
          </w:tcPr>
          <w:p w14:paraId="054BEE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97.24</w:t>
            </w:r>
          </w:p>
        </w:tc>
        <w:tc>
          <w:tcPr>
            <w:tcW w:w="1373" w:type="dxa"/>
            <w:tcBorders>
              <w:top w:val="nil"/>
              <w:left w:val="nil"/>
              <w:bottom w:val="nil"/>
              <w:right w:val="nil"/>
            </w:tcBorders>
            <w:shd w:val="clear" w:color="auto" w:fill="auto"/>
            <w:noWrap/>
            <w:vAlign w:val="center"/>
            <w:hideMark/>
          </w:tcPr>
          <w:p w14:paraId="4D0D1F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B7C5D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97.02</w:t>
            </w:r>
          </w:p>
        </w:tc>
        <w:tc>
          <w:tcPr>
            <w:tcW w:w="1418" w:type="dxa"/>
            <w:tcBorders>
              <w:top w:val="nil"/>
              <w:left w:val="nil"/>
              <w:bottom w:val="nil"/>
              <w:right w:val="nil"/>
            </w:tcBorders>
            <w:shd w:val="clear" w:color="auto" w:fill="auto"/>
            <w:noWrap/>
            <w:vAlign w:val="center"/>
            <w:hideMark/>
          </w:tcPr>
          <w:p w14:paraId="3D210E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38327D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96.61</w:t>
            </w:r>
          </w:p>
        </w:tc>
        <w:tc>
          <w:tcPr>
            <w:tcW w:w="1373" w:type="dxa"/>
            <w:tcBorders>
              <w:top w:val="nil"/>
              <w:left w:val="nil"/>
              <w:bottom w:val="nil"/>
              <w:right w:val="nil"/>
            </w:tcBorders>
            <w:shd w:val="clear" w:color="auto" w:fill="auto"/>
            <w:noWrap/>
            <w:vAlign w:val="center"/>
            <w:hideMark/>
          </w:tcPr>
          <w:p w14:paraId="040964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775897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93.01</w:t>
            </w:r>
          </w:p>
        </w:tc>
        <w:tc>
          <w:tcPr>
            <w:tcW w:w="1326" w:type="dxa"/>
            <w:tcBorders>
              <w:top w:val="nil"/>
              <w:left w:val="nil"/>
              <w:bottom w:val="nil"/>
              <w:right w:val="nil"/>
            </w:tcBorders>
            <w:shd w:val="clear" w:color="auto" w:fill="auto"/>
            <w:noWrap/>
            <w:vAlign w:val="center"/>
            <w:hideMark/>
          </w:tcPr>
          <w:p w14:paraId="1CB58A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7B7C5A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96.89</w:t>
            </w:r>
          </w:p>
        </w:tc>
        <w:tc>
          <w:tcPr>
            <w:tcW w:w="1276" w:type="dxa"/>
            <w:tcBorders>
              <w:top w:val="nil"/>
              <w:left w:val="nil"/>
              <w:bottom w:val="nil"/>
              <w:right w:val="nil"/>
            </w:tcBorders>
            <w:shd w:val="clear" w:color="auto" w:fill="auto"/>
            <w:noWrap/>
            <w:vAlign w:val="center"/>
            <w:hideMark/>
          </w:tcPr>
          <w:p w14:paraId="6C99561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D694CAB"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77903D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w:t>
            </w:r>
          </w:p>
        </w:tc>
        <w:tc>
          <w:tcPr>
            <w:tcW w:w="1323" w:type="dxa"/>
            <w:tcBorders>
              <w:top w:val="nil"/>
              <w:left w:val="nil"/>
              <w:bottom w:val="nil"/>
              <w:right w:val="nil"/>
            </w:tcBorders>
            <w:shd w:val="clear" w:color="auto" w:fill="E5E5E5" w:themeFill="background1" w:themeFillTint="33"/>
            <w:noWrap/>
            <w:vAlign w:val="center"/>
            <w:hideMark/>
          </w:tcPr>
          <w:p w14:paraId="73A5A0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97.36</w:t>
            </w:r>
          </w:p>
        </w:tc>
        <w:tc>
          <w:tcPr>
            <w:tcW w:w="1373" w:type="dxa"/>
            <w:tcBorders>
              <w:top w:val="nil"/>
              <w:left w:val="nil"/>
              <w:bottom w:val="nil"/>
              <w:right w:val="nil"/>
            </w:tcBorders>
            <w:shd w:val="clear" w:color="auto" w:fill="E5E5E5" w:themeFill="background1" w:themeFillTint="33"/>
            <w:noWrap/>
            <w:vAlign w:val="center"/>
            <w:hideMark/>
          </w:tcPr>
          <w:p w14:paraId="340331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798AA2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97.19</w:t>
            </w:r>
          </w:p>
        </w:tc>
        <w:tc>
          <w:tcPr>
            <w:tcW w:w="1418" w:type="dxa"/>
            <w:tcBorders>
              <w:top w:val="nil"/>
              <w:left w:val="nil"/>
              <w:bottom w:val="nil"/>
              <w:right w:val="nil"/>
            </w:tcBorders>
            <w:shd w:val="clear" w:color="auto" w:fill="E5E5E5" w:themeFill="background1" w:themeFillTint="33"/>
            <w:noWrap/>
            <w:vAlign w:val="center"/>
            <w:hideMark/>
          </w:tcPr>
          <w:p w14:paraId="568B7B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00719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96.68</w:t>
            </w:r>
          </w:p>
        </w:tc>
        <w:tc>
          <w:tcPr>
            <w:tcW w:w="1373" w:type="dxa"/>
            <w:tcBorders>
              <w:top w:val="nil"/>
              <w:left w:val="nil"/>
              <w:bottom w:val="nil"/>
              <w:right w:val="nil"/>
            </w:tcBorders>
            <w:shd w:val="clear" w:color="auto" w:fill="E5E5E5" w:themeFill="background1" w:themeFillTint="33"/>
            <w:noWrap/>
            <w:vAlign w:val="center"/>
            <w:hideMark/>
          </w:tcPr>
          <w:p w14:paraId="6B7041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4C8FEA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93.30</w:t>
            </w:r>
          </w:p>
        </w:tc>
        <w:tc>
          <w:tcPr>
            <w:tcW w:w="1326" w:type="dxa"/>
            <w:tcBorders>
              <w:top w:val="nil"/>
              <w:left w:val="nil"/>
              <w:bottom w:val="nil"/>
              <w:right w:val="nil"/>
            </w:tcBorders>
            <w:shd w:val="clear" w:color="auto" w:fill="E5E5E5" w:themeFill="background1" w:themeFillTint="33"/>
            <w:noWrap/>
            <w:vAlign w:val="center"/>
            <w:hideMark/>
          </w:tcPr>
          <w:p w14:paraId="482921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CE574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97.02</w:t>
            </w:r>
          </w:p>
        </w:tc>
        <w:tc>
          <w:tcPr>
            <w:tcW w:w="1276" w:type="dxa"/>
            <w:tcBorders>
              <w:top w:val="nil"/>
              <w:left w:val="nil"/>
              <w:bottom w:val="nil"/>
              <w:right w:val="nil"/>
            </w:tcBorders>
            <w:shd w:val="clear" w:color="auto" w:fill="E5E5E5" w:themeFill="background1" w:themeFillTint="33"/>
            <w:noWrap/>
            <w:vAlign w:val="center"/>
            <w:hideMark/>
          </w:tcPr>
          <w:p w14:paraId="39BF5D41"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A0EF663" w14:textId="77777777" w:rsidTr="0020771F">
        <w:trPr>
          <w:trHeight w:hRule="exact" w:val="284"/>
        </w:trPr>
        <w:tc>
          <w:tcPr>
            <w:tcW w:w="960" w:type="dxa"/>
            <w:tcBorders>
              <w:top w:val="nil"/>
              <w:left w:val="nil"/>
              <w:bottom w:val="nil"/>
              <w:right w:val="nil"/>
            </w:tcBorders>
            <w:shd w:val="clear" w:color="auto" w:fill="FFFFFF" w:themeFill="background2"/>
            <w:noWrap/>
            <w:vAlign w:val="center"/>
            <w:hideMark/>
          </w:tcPr>
          <w:p w14:paraId="4BAF35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w:t>
            </w:r>
          </w:p>
        </w:tc>
        <w:tc>
          <w:tcPr>
            <w:tcW w:w="1323" w:type="dxa"/>
            <w:tcBorders>
              <w:top w:val="nil"/>
              <w:left w:val="nil"/>
              <w:bottom w:val="nil"/>
              <w:right w:val="nil"/>
            </w:tcBorders>
            <w:shd w:val="clear" w:color="auto" w:fill="FFFFFF" w:themeFill="background2"/>
            <w:noWrap/>
            <w:vAlign w:val="center"/>
            <w:hideMark/>
          </w:tcPr>
          <w:p w14:paraId="1BB5B8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97.44</w:t>
            </w:r>
          </w:p>
        </w:tc>
        <w:tc>
          <w:tcPr>
            <w:tcW w:w="1373" w:type="dxa"/>
            <w:tcBorders>
              <w:top w:val="nil"/>
              <w:left w:val="nil"/>
              <w:bottom w:val="nil"/>
              <w:right w:val="nil"/>
            </w:tcBorders>
            <w:shd w:val="clear" w:color="auto" w:fill="FFFFFF" w:themeFill="background2"/>
            <w:noWrap/>
            <w:vAlign w:val="center"/>
            <w:hideMark/>
          </w:tcPr>
          <w:p w14:paraId="2585C8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FFFFFF" w:themeFill="background2"/>
            <w:noWrap/>
            <w:vAlign w:val="center"/>
            <w:hideMark/>
          </w:tcPr>
          <w:p w14:paraId="185973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97.38</w:t>
            </w:r>
          </w:p>
        </w:tc>
        <w:tc>
          <w:tcPr>
            <w:tcW w:w="1418" w:type="dxa"/>
            <w:tcBorders>
              <w:top w:val="nil"/>
              <w:left w:val="nil"/>
              <w:bottom w:val="nil"/>
              <w:right w:val="nil"/>
            </w:tcBorders>
            <w:shd w:val="clear" w:color="auto" w:fill="FFFFFF" w:themeFill="background2"/>
            <w:noWrap/>
            <w:vAlign w:val="center"/>
            <w:hideMark/>
          </w:tcPr>
          <w:p w14:paraId="3ABB11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FFFFFF" w:themeFill="background2"/>
            <w:noWrap/>
            <w:vAlign w:val="center"/>
            <w:hideMark/>
          </w:tcPr>
          <w:p w14:paraId="359B39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96.83</w:t>
            </w:r>
          </w:p>
        </w:tc>
        <w:tc>
          <w:tcPr>
            <w:tcW w:w="1373" w:type="dxa"/>
            <w:tcBorders>
              <w:top w:val="nil"/>
              <w:left w:val="nil"/>
              <w:bottom w:val="nil"/>
              <w:right w:val="nil"/>
            </w:tcBorders>
            <w:shd w:val="clear" w:color="auto" w:fill="FFFFFF" w:themeFill="background2"/>
            <w:noWrap/>
            <w:vAlign w:val="center"/>
            <w:hideMark/>
          </w:tcPr>
          <w:p w14:paraId="1EFB15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FFFFFF" w:themeFill="background2"/>
            <w:noWrap/>
            <w:vAlign w:val="center"/>
            <w:hideMark/>
          </w:tcPr>
          <w:p w14:paraId="2162D3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93.52</w:t>
            </w:r>
          </w:p>
        </w:tc>
        <w:tc>
          <w:tcPr>
            <w:tcW w:w="1326" w:type="dxa"/>
            <w:tcBorders>
              <w:top w:val="nil"/>
              <w:left w:val="nil"/>
              <w:bottom w:val="nil"/>
              <w:right w:val="nil"/>
            </w:tcBorders>
            <w:shd w:val="clear" w:color="auto" w:fill="FFFFFF" w:themeFill="background2"/>
            <w:noWrap/>
            <w:vAlign w:val="center"/>
            <w:hideMark/>
          </w:tcPr>
          <w:p w14:paraId="6747C9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80FF8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97.15</w:t>
            </w:r>
          </w:p>
        </w:tc>
        <w:tc>
          <w:tcPr>
            <w:tcW w:w="1276" w:type="dxa"/>
            <w:tcBorders>
              <w:top w:val="nil"/>
              <w:left w:val="nil"/>
              <w:bottom w:val="nil"/>
              <w:right w:val="nil"/>
            </w:tcBorders>
            <w:shd w:val="clear" w:color="auto" w:fill="FFFFFF" w:themeFill="background2"/>
            <w:noWrap/>
            <w:vAlign w:val="center"/>
            <w:hideMark/>
          </w:tcPr>
          <w:p w14:paraId="27B8DD4F"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84AD6F2"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B0F3A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w:t>
            </w:r>
          </w:p>
        </w:tc>
        <w:tc>
          <w:tcPr>
            <w:tcW w:w="1323" w:type="dxa"/>
            <w:tcBorders>
              <w:top w:val="nil"/>
              <w:left w:val="nil"/>
              <w:bottom w:val="nil"/>
              <w:right w:val="nil"/>
            </w:tcBorders>
            <w:shd w:val="clear" w:color="auto" w:fill="E5E5E5" w:themeFill="background1" w:themeFillTint="33"/>
            <w:noWrap/>
            <w:vAlign w:val="center"/>
            <w:hideMark/>
          </w:tcPr>
          <w:p w14:paraId="0239FC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97.52</w:t>
            </w:r>
          </w:p>
        </w:tc>
        <w:tc>
          <w:tcPr>
            <w:tcW w:w="1373" w:type="dxa"/>
            <w:tcBorders>
              <w:top w:val="nil"/>
              <w:left w:val="nil"/>
              <w:bottom w:val="nil"/>
              <w:right w:val="nil"/>
            </w:tcBorders>
            <w:shd w:val="clear" w:color="auto" w:fill="E5E5E5" w:themeFill="background1" w:themeFillTint="33"/>
            <w:noWrap/>
            <w:vAlign w:val="center"/>
            <w:hideMark/>
          </w:tcPr>
          <w:p w14:paraId="05A4C2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1CD138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97.47</w:t>
            </w:r>
          </w:p>
        </w:tc>
        <w:tc>
          <w:tcPr>
            <w:tcW w:w="1418" w:type="dxa"/>
            <w:tcBorders>
              <w:top w:val="nil"/>
              <w:left w:val="nil"/>
              <w:bottom w:val="nil"/>
              <w:right w:val="nil"/>
            </w:tcBorders>
            <w:shd w:val="clear" w:color="auto" w:fill="E5E5E5" w:themeFill="background1" w:themeFillTint="33"/>
            <w:noWrap/>
            <w:vAlign w:val="center"/>
            <w:hideMark/>
          </w:tcPr>
          <w:p w14:paraId="217F6E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30C61C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96.90</w:t>
            </w:r>
          </w:p>
        </w:tc>
        <w:tc>
          <w:tcPr>
            <w:tcW w:w="1373" w:type="dxa"/>
            <w:tcBorders>
              <w:top w:val="nil"/>
              <w:left w:val="nil"/>
              <w:bottom w:val="nil"/>
              <w:right w:val="nil"/>
            </w:tcBorders>
            <w:shd w:val="clear" w:color="auto" w:fill="E5E5E5" w:themeFill="background1" w:themeFillTint="33"/>
            <w:noWrap/>
            <w:vAlign w:val="center"/>
            <w:hideMark/>
          </w:tcPr>
          <w:p w14:paraId="3B4268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7DA1E2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93.81</w:t>
            </w:r>
          </w:p>
        </w:tc>
        <w:tc>
          <w:tcPr>
            <w:tcW w:w="1326" w:type="dxa"/>
            <w:tcBorders>
              <w:top w:val="nil"/>
              <w:left w:val="nil"/>
              <w:bottom w:val="nil"/>
              <w:right w:val="nil"/>
            </w:tcBorders>
            <w:shd w:val="clear" w:color="auto" w:fill="E5E5E5" w:themeFill="background1" w:themeFillTint="33"/>
            <w:noWrap/>
            <w:vAlign w:val="center"/>
            <w:hideMark/>
          </w:tcPr>
          <w:p w14:paraId="466E46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F9407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97.24</w:t>
            </w:r>
          </w:p>
        </w:tc>
        <w:tc>
          <w:tcPr>
            <w:tcW w:w="1276" w:type="dxa"/>
            <w:tcBorders>
              <w:top w:val="nil"/>
              <w:left w:val="nil"/>
              <w:bottom w:val="nil"/>
              <w:right w:val="nil"/>
            </w:tcBorders>
            <w:shd w:val="clear" w:color="auto" w:fill="E5E5E5" w:themeFill="background1" w:themeFillTint="33"/>
            <w:noWrap/>
            <w:vAlign w:val="center"/>
            <w:hideMark/>
          </w:tcPr>
          <w:p w14:paraId="3CE13F6C"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DA1F06C" w14:textId="77777777" w:rsidTr="0020771F">
        <w:trPr>
          <w:trHeight w:hRule="exact" w:val="284"/>
        </w:trPr>
        <w:tc>
          <w:tcPr>
            <w:tcW w:w="960" w:type="dxa"/>
            <w:tcBorders>
              <w:top w:val="nil"/>
              <w:left w:val="nil"/>
              <w:bottom w:val="nil"/>
              <w:right w:val="nil"/>
            </w:tcBorders>
            <w:shd w:val="clear" w:color="auto" w:fill="auto"/>
            <w:noWrap/>
            <w:vAlign w:val="center"/>
            <w:hideMark/>
          </w:tcPr>
          <w:p w14:paraId="5A24CB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w:t>
            </w:r>
          </w:p>
        </w:tc>
        <w:tc>
          <w:tcPr>
            <w:tcW w:w="1323" w:type="dxa"/>
            <w:tcBorders>
              <w:top w:val="nil"/>
              <w:left w:val="nil"/>
              <w:bottom w:val="nil"/>
              <w:right w:val="nil"/>
            </w:tcBorders>
            <w:shd w:val="clear" w:color="auto" w:fill="auto"/>
            <w:noWrap/>
            <w:vAlign w:val="center"/>
            <w:hideMark/>
          </w:tcPr>
          <w:p w14:paraId="508E49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97.62</w:t>
            </w:r>
          </w:p>
        </w:tc>
        <w:tc>
          <w:tcPr>
            <w:tcW w:w="1373" w:type="dxa"/>
            <w:tcBorders>
              <w:top w:val="nil"/>
              <w:left w:val="nil"/>
              <w:bottom w:val="nil"/>
              <w:right w:val="nil"/>
            </w:tcBorders>
            <w:shd w:val="clear" w:color="auto" w:fill="auto"/>
            <w:noWrap/>
            <w:vAlign w:val="center"/>
            <w:hideMark/>
          </w:tcPr>
          <w:p w14:paraId="7DAB56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312D71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97.56</w:t>
            </w:r>
          </w:p>
        </w:tc>
        <w:tc>
          <w:tcPr>
            <w:tcW w:w="1418" w:type="dxa"/>
            <w:tcBorders>
              <w:top w:val="nil"/>
              <w:left w:val="nil"/>
              <w:bottom w:val="nil"/>
              <w:right w:val="nil"/>
            </w:tcBorders>
            <w:shd w:val="clear" w:color="auto" w:fill="auto"/>
            <w:noWrap/>
            <w:vAlign w:val="center"/>
            <w:hideMark/>
          </w:tcPr>
          <w:p w14:paraId="375AC3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2FF9BA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96.95</w:t>
            </w:r>
          </w:p>
        </w:tc>
        <w:tc>
          <w:tcPr>
            <w:tcW w:w="1373" w:type="dxa"/>
            <w:tcBorders>
              <w:top w:val="nil"/>
              <w:left w:val="nil"/>
              <w:bottom w:val="nil"/>
              <w:right w:val="nil"/>
            </w:tcBorders>
            <w:shd w:val="clear" w:color="auto" w:fill="auto"/>
            <w:noWrap/>
            <w:vAlign w:val="center"/>
            <w:hideMark/>
          </w:tcPr>
          <w:p w14:paraId="1A7155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08EB71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94.00</w:t>
            </w:r>
          </w:p>
        </w:tc>
        <w:tc>
          <w:tcPr>
            <w:tcW w:w="1326" w:type="dxa"/>
            <w:tcBorders>
              <w:top w:val="nil"/>
              <w:left w:val="nil"/>
              <w:bottom w:val="nil"/>
              <w:right w:val="nil"/>
            </w:tcBorders>
            <w:shd w:val="clear" w:color="auto" w:fill="auto"/>
            <w:noWrap/>
            <w:vAlign w:val="center"/>
            <w:hideMark/>
          </w:tcPr>
          <w:p w14:paraId="4B717B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5B925E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97.34</w:t>
            </w:r>
          </w:p>
        </w:tc>
        <w:tc>
          <w:tcPr>
            <w:tcW w:w="1276" w:type="dxa"/>
            <w:tcBorders>
              <w:top w:val="nil"/>
              <w:left w:val="nil"/>
              <w:bottom w:val="nil"/>
              <w:right w:val="nil"/>
            </w:tcBorders>
            <w:shd w:val="clear" w:color="auto" w:fill="auto"/>
            <w:noWrap/>
            <w:vAlign w:val="center"/>
            <w:hideMark/>
          </w:tcPr>
          <w:p w14:paraId="194BD7C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BAFD332"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8910D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w:t>
            </w:r>
          </w:p>
        </w:tc>
        <w:tc>
          <w:tcPr>
            <w:tcW w:w="1323" w:type="dxa"/>
            <w:tcBorders>
              <w:top w:val="nil"/>
              <w:left w:val="nil"/>
              <w:bottom w:val="nil"/>
              <w:right w:val="nil"/>
            </w:tcBorders>
            <w:shd w:val="clear" w:color="auto" w:fill="E5E5E5" w:themeFill="background1" w:themeFillTint="33"/>
            <w:noWrap/>
            <w:vAlign w:val="center"/>
            <w:hideMark/>
          </w:tcPr>
          <w:p w14:paraId="0FC9EA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97.70</w:t>
            </w:r>
          </w:p>
        </w:tc>
        <w:tc>
          <w:tcPr>
            <w:tcW w:w="1373" w:type="dxa"/>
            <w:tcBorders>
              <w:top w:val="nil"/>
              <w:left w:val="nil"/>
              <w:bottom w:val="nil"/>
              <w:right w:val="nil"/>
            </w:tcBorders>
            <w:shd w:val="clear" w:color="auto" w:fill="E5E5E5" w:themeFill="background1" w:themeFillTint="33"/>
            <w:noWrap/>
            <w:vAlign w:val="center"/>
            <w:hideMark/>
          </w:tcPr>
          <w:p w14:paraId="502F4E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41F61B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97.62</w:t>
            </w:r>
          </w:p>
        </w:tc>
        <w:tc>
          <w:tcPr>
            <w:tcW w:w="1418" w:type="dxa"/>
            <w:tcBorders>
              <w:top w:val="nil"/>
              <w:left w:val="nil"/>
              <w:bottom w:val="nil"/>
              <w:right w:val="nil"/>
            </w:tcBorders>
            <w:shd w:val="clear" w:color="auto" w:fill="E5E5E5" w:themeFill="background1" w:themeFillTint="33"/>
            <w:noWrap/>
            <w:vAlign w:val="center"/>
            <w:hideMark/>
          </w:tcPr>
          <w:p w14:paraId="199448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68BEAF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97.07</w:t>
            </w:r>
          </w:p>
        </w:tc>
        <w:tc>
          <w:tcPr>
            <w:tcW w:w="1373" w:type="dxa"/>
            <w:tcBorders>
              <w:top w:val="nil"/>
              <w:left w:val="nil"/>
              <w:bottom w:val="nil"/>
              <w:right w:val="nil"/>
            </w:tcBorders>
            <w:shd w:val="clear" w:color="auto" w:fill="E5E5E5" w:themeFill="background1" w:themeFillTint="33"/>
            <w:noWrap/>
            <w:vAlign w:val="center"/>
            <w:hideMark/>
          </w:tcPr>
          <w:p w14:paraId="766631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49924B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94.19</w:t>
            </w:r>
          </w:p>
        </w:tc>
        <w:tc>
          <w:tcPr>
            <w:tcW w:w="1326" w:type="dxa"/>
            <w:tcBorders>
              <w:top w:val="nil"/>
              <w:left w:val="nil"/>
              <w:bottom w:val="nil"/>
              <w:right w:val="nil"/>
            </w:tcBorders>
            <w:shd w:val="clear" w:color="auto" w:fill="E5E5E5" w:themeFill="background1" w:themeFillTint="33"/>
            <w:noWrap/>
            <w:vAlign w:val="center"/>
            <w:hideMark/>
          </w:tcPr>
          <w:p w14:paraId="0C63DA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DBD8F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97.42</w:t>
            </w:r>
          </w:p>
        </w:tc>
        <w:tc>
          <w:tcPr>
            <w:tcW w:w="1276" w:type="dxa"/>
            <w:tcBorders>
              <w:top w:val="nil"/>
              <w:left w:val="nil"/>
              <w:bottom w:val="nil"/>
              <w:right w:val="nil"/>
            </w:tcBorders>
            <w:shd w:val="clear" w:color="auto" w:fill="E5E5E5" w:themeFill="background1" w:themeFillTint="33"/>
            <w:noWrap/>
            <w:vAlign w:val="center"/>
            <w:hideMark/>
          </w:tcPr>
          <w:p w14:paraId="1C469ADD"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D8FDFBE" w14:textId="77777777" w:rsidTr="0020771F">
        <w:trPr>
          <w:trHeight w:hRule="exact" w:val="284"/>
        </w:trPr>
        <w:tc>
          <w:tcPr>
            <w:tcW w:w="960" w:type="dxa"/>
            <w:tcBorders>
              <w:top w:val="nil"/>
              <w:left w:val="nil"/>
              <w:bottom w:val="nil"/>
              <w:right w:val="nil"/>
            </w:tcBorders>
            <w:shd w:val="clear" w:color="auto" w:fill="auto"/>
            <w:noWrap/>
            <w:vAlign w:val="center"/>
            <w:hideMark/>
          </w:tcPr>
          <w:p w14:paraId="034606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w:t>
            </w:r>
          </w:p>
        </w:tc>
        <w:tc>
          <w:tcPr>
            <w:tcW w:w="1323" w:type="dxa"/>
            <w:tcBorders>
              <w:top w:val="nil"/>
              <w:left w:val="nil"/>
              <w:bottom w:val="nil"/>
              <w:right w:val="nil"/>
            </w:tcBorders>
            <w:shd w:val="clear" w:color="auto" w:fill="auto"/>
            <w:noWrap/>
            <w:vAlign w:val="center"/>
            <w:hideMark/>
          </w:tcPr>
          <w:p w14:paraId="30826D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97.77</w:t>
            </w:r>
          </w:p>
        </w:tc>
        <w:tc>
          <w:tcPr>
            <w:tcW w:w="1373" w:type="dxa"/>
            <w:tcBorders>
              <w:top w:val="nil"/>
              <w:left w:val="nil"/>
              <w:bottom w:val="nil"/>
              <w:right w:val="nil"/>
            </w:tcBorders>
            <w:shd w:val="clear" w:color="auto" w:fill="auto"/>
            <w:noWrap/>
            <w:vAlign w:val="center"/>
            <w:hideMark/>
          </w:tcPr>
          <w:p w14:paraId="16ADF0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29E3FA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97.66</w:t>
            </w:r>
          </w:p>
        </w:tc>
        <w:tc>
          <w:tcPr>
            <w:tcW w:w="1418" w:type="dxa"/>
            <w:tcBorders>
              <w:top w:val="nil"/>
              <w:left w:val="nil"/>
              <w:bottom w:val="nil"/>
              <w:right w:val="nil"/>
            </w:tcBorders>
            <w:shd w:val="clear" w:color="auto" w:fill="auto"/>
            <w:noWrap/>
            <w:vAlign w:val="center"/>
            <w:hideMark/>
          </w:tcPr>
          <w:p w14:paraId="2A1DB3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507E32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97.15</w:t>
            </w:r>
          </w:p>
        </w:tc>
        <w:tc>
          <w:tcPr>
            <w:tcW w:w="1373" w:type="dxa"/>
            <w:tcBorders>
              <w:top w:val="nil"/>
              <w:left w:val="nil"/>
              <w:bottom w:val="nil"/>
              <w:right w:val="nil"/>
            </w:tcBorders>
            <w:shd w:val="clear" w:color="auto" w:fill="auto"/>
            <w:noWrap/>
            <w:vAlign w:val="center"/>
            <w:hideMark/>
          </w:tcPr>
          <w:p w14:paraId="1465BD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1E2F9A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94.43</w:t>
            </w:r>
          </w:p>
        </w:tc>
        <w:tc>
          <w:tcPr>
            <w:tcW w:w="1326" w:type="dxa"/>
            <w:tcBorders>
              <w:top w:val="nil"/>
              <w:left w:val="nil"/>
              <w:bottom w:val="nil"/>
              <w:right w:val="nil"/>
            </w:tcBorders>
            <w:shd w:val="clear" w:color="auto" w:fill="auto"/>
            <w:noWrap/>
            <w:vAlign w:val="center"/>
            <w:hideMark/>
          </w:tcPr>
          <w:p w14:paraId="234E79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1488BD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97.50</w:t>
            </w:r>
          </w:p>
        </w:tc>
        <w:tc>
          <w:tcPr>
            <w:tcW w:w="1276" w:type="dxa"/>
            <w:tcBorders>
              <w:top w:val="nil"/>
              <w:left w:val="nil"/>
              <w:bottom w:val="nil"/>
              <w:right w:val="nil"/>
            </w:tcBorders>
            <w:shd w:val="clear" w:color="auto" w:fill="auto"/>
            <w:noWrap/>
            <w:vAlign w:val="center"/>
            <w:hideMark/>
          </w:tcPr>
          <w:p w14:paraId="5CDAB648"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CB44ECC"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238751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w:t>
            </w:r>
          </w:p>
        </w:tc>
        <w:tc>
          <w:tcPr>
            <w:tcW w:w="1323" w:type="dxa"/>
            <w:tcBorders>
              <w:top w:val="nil"/>
              <w:left w:val="nil"/>
              <w:bottom w:val="nil"/>
              <w:right w:val="nil"/>
            </w:tcBorders>
            <w:shd w:val="clear" w:color="auto" w:fill="E5E5E5" w:themeFill="background1" w:themeFillTint="33"/>
            <w:noWrap/>
            <w:vAlign w:val="center"/>
            <w:hideMark/>
          </w:tcPr>
          <w:p w14:paraId="196057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97.88</w:t>
            </w:r>
          </w:p>
        </w:tc>
        <w:tc>
          <w:tcPr>
            <w:tcW w:w="1373" w:type="dxa"/>
            <w:tcBorders>
              <w:top w:val="nil"/>
              <w:left w:val="nil"/>
              <w:bottom w:val="nil"/>
              <w:right w:val="nil"/>
            </w:tcBorders>
            <w:shd w:val="clear" w:color="auto" w:fill="E5E5E5" w:themeFill="background1" w:themeFillTint="33"/>
            <w:noWrap/>
            <w:vAlign w:val="center"/>
            <w:hideMark/>
          </w:tcPr>
          <w:p w14:paraId="20109E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388D46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97.77</w:t>
            </w:r>
          </w:p>
        </w:tc>
        <w:tc>
          <w:tcPr>
            <w:tcW w:w="1418" w:type="dxa"/>
            <w:tcBorders>
              <w:top w:val="nil"/>
              <w:left w:val="nil"/>
              <w:bottom w:val="nil"/>
              <w:right w:val="nil"/>
            </w:tcBorders>
            <w:shd w:val="clear" w:color="auto" w:fill="E5E5E5" w:themeFill="background1" w:themeFillTint="33"/>
            <w:noWrap/>
            <w:vAlign w:val="center"/>
            <w:hideMark/>
          </w:tcPr>
          <w:p w14:paraId="1ED193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692527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97.30</w:t>
            </w:r>
          </w:p>
        </w:tc>
        <w:tc>
          <w:tcPr>
            <w:tcW w:w="1373" w:type="dxa"/>
            <w:tcBorders>
              <w:top w:val="nil"/>
              <w:left w:val="nil"/>
              <w:bottom w:val="nil"/>
              <w:right w:val="nil"/>
            </w:tcBorders>
            <w:shd w:val="clear" w:color="auto" w:fill="E5E5E5" w:themeFill="background1" w:themeFillTint="33"/>
            <w:noWrap/>
            <w:vAlign w:val="center"/>
            <w:hideMark/>
          </w:tcPr>
          <w:p w14:paraId="5167F2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1BDA4B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94.83</w:t>
            </w:r>
          </w:p>
        </w:tc>
        <w:tc>
          <w:tcPr>
            <w:tcW w:w="1326" w:type="dxa"/>
            <w:tcBorders>
              <w:top w:val="nil"/>
              <w:left w:val="nil"/>
              <w:bottom w:val="nil"/>
              <w:right w:val="nil"/>
            </w:tcBorders>
            <w:shd w:val="clear" w:color="auto" w:fill="E5E5E5" w:themeFill="background1" w:themeFillTint="33"/>
            <w:noWrap/>
            <w:vAlign w:val="center"/>
            <w:hideMark/>
          </w:tcPr>
          <w:p w14:paraId="20908E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4C7F0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97.63</w:t>
            </w:r>
          </w:p>
        </w:tc>
        <w:tc>
          <w:tcPr>
            <w:tcW w:w="1276" w:type="dxa"/>
            <w:tcBorders>
              <w:top w:val="nil"/>
              <w:left w:val="nil"/>
              <w:bottom w:val="nil"/>
              <w:right w:val="nil"/>
            </w:tcBorders>
            <w:shd w:val="clear" w:color="auto" w:fill="E5E5E5" w:themeFill="background1" w:themeFillTint="33"/>
            <w:noWrap/>
            <w:vAlign w:val="center"/>
            <w:hideMark/>
          </w:tcPr>
          <w:p w14:paraId="6570352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FFA319F" w14:textId="77777777" w:rsidTr="0020771F">
        <w:trPr>
          <w:trHeight w:hRule="exact" w:val="284"/>
        </w:trPr>
        <w:tc>
          <w:tcPr>
            <w:tcW w:w="960" w:type="dxa"/>
            <w:tcBorders>
              <w:top w:val="nil"/>
              <w:left w:val="nil"/>
              <w:bottom w:val="nil"/>
              <w:right w:val="nil"/>
            </w:tcBorders>
            <w:shd w:val="clear" w:color="auto" w:fill="auto"/>
            <w:noWrap/>
            <w:vAlign w:val="center"/>
            <w:hideMark/>
          </w:tcPr>
          <w:p w14:paraId="4C3FA6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w:t>
            </w:r>
          </w:p>
        </w:tc>
        <w:tc>
          <w:tcPr>
            <w:tcW w:w="1323" w:type="dxa"/>
            <w:tcBorders>
              <w:top w:val="nil"/>
              <w:left w:val="nil"/>
              <w:bottom w:val="nil"/>
              <w:right w:val="nil"/>
            </w:tcBorders>
            <w:shd w:val="clear" w:color="auto" w:fill="auto"/>
            <w:noWrap/>
            <w:vAlign w:val="center"/>
            <w:hideMark/>
          </w:tcPr>
          <w:p w14:paraId="40F587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97.99</w:t>
            </w:r>
          </w:p>
        </w:tc>
        <w:tc>
          <w:tcPr>
            <w:tcW w:w="1373" w:type="dxa"/>
            <w:tcBorders>
              <w:top w:val="nil"/>
              <w:left w:val="nil"/>
              <w:bottom w:val="nil"/>
              <w:right w:val="nil"/>
            </w:tcBorders>
            <w:shd w:val="clear" w:color="auto" w:fill="auto"/>
            <w:noWrap/>
            <w:vAlign w:val="center"/>
            <w:hideMark/>
          </w:tcPr>
          <w:p w14:paraId="265C53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3EEA14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97.84</w:t>
            </w:r>
          </w:p>
        </w:tc>
        <w:tc>
          <w:tcPr>
            <w:tcW w:w="1418" w:type="dxa"/>
            <w:tcBorders>
              <w:top w:val="nil"/>
              <w:left w:val="nil"/>
              <w:bottom w:val="nil"/>
              <w:right w:val="nil"/>
            </w:tcBorders>
            <w:shd w:val="clear" w:color="auto" w:fill="auto"/>
            <w:noWrap/>
            <w:vAlign w:val="center"/>
            <w:hideMark/>
          </w:tcPr>
          <w:p w14:paraId="351B8E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7D2CE0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97.46</w:t>
            </w:r>
          </w:p>
        </w:tc>
        <w:tc>
          <w:tcPr>
            <w:tcW w:w="1373" w:type="dxa"/>
            <w:tcBorders>
              <w:top w:val="nil"/>
              <w:left w:val="nil"/>
              <w:bottom w:val="nil"/>
              <w:right w:val="nil"/>
            </w:tcBorders>
            <w:shd w:val="clear" w:color="auto" w:fill="auto"/>
            <w:noWrap/>
            <w:vAlign w:val="center"/>
            <w:hideMark/>
          </w:tcPr>
          <w:p w14:paraId="3DB331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1E79E7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95.10</w:t>
            </w:r>
          </w:p>
        </w:tc>
        <w:tc>
          <w:tcPr>
            <w:tcW w:w="1326" w:type="dxa"/>
            <w:tcBorders>
              <w:top w:val="nil"/>
              <w:left w:val="nil"/>
              <w:bottom w:val="nil"/>
              <w:right w:val="nil"/>
            </w:tcBorders>
            <w:shd w:val="clear" w:color="auto" w:fill="auto"/>
            <w:noWrap/>
            <w:vAlign w:val="center"/>
            <w:hideMark/>
          </w:tcPr>
          <w:p w14:paraId="45A37E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2C482F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97.74</w:t>
            </w:r>
          </w:p>
        </w:tc>
        <w:tc>
          <w:tcPr>
            <w:tcW w:w="1276" w:type="dxa"/>
            <w:tcBorders>
              <w:top w:val="nil"/>
              <w:left w:val="nil"/>
              <w:bottom w:val="nil"/>
              <w:right w:val="nil"/>
            </w:tcBorders>
            <w:shd w:val="clear" w:color="auto" w:fill="auto"/>
            <w:noWrap/>
            <w:vAlign w:val="center"/>
            <w:hideMark/>
          </w:tcPr>
          <w:p w14:paraId="6842A67E"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466F9D6"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1C4E98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w:t>
            </w:r>
          </w:p>
        </w:tc>
        <w:tc>
          <w:tcPr>
            <w:tcW w:w="1323" w:type="dxa"/>
            <w:tcBorders>
              <w:top w:val="nil"/>
              <w:left w:val="nil"/>
              <w:bottom w:val="nil"/>
              <w:right w:val="nil"/>
            </w:tcBorders>
            <w:shd w:val="clear" w:color="auto" w:fill="E5E5E5" w:themeFill="background1" w:themeFillTint="33"/>
            <w:noWrap/>
            <w:vAlign w:val="center"/>
            <w:hideMark/>
          </w:tcPr>
          <w:p w14:paraId="0E42E3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98.08</w:t>
            </w:r>
          </w:p>
        </w:tc>
        <w:tc>
          <w:tcPr>
            <w:tcW w:w="1373" w:type="dxa"/>
            <w:tcBorders>
              <w:top w:val="nil"/>
              <w:left w:val="nil"/>
              <w:bottom w:val="nil"/>
              <w:right w:val="nil"/>
            </w:tcBorders>
            <w:shd w:val="clear" w:color="auto" w:fill="E5E5E5" w:themeFill="background1" w:themeFillTint="33"/>
            <w:noWrap/>
            <w:vAlign w:val="center"/>
            <w:hideMark/>
          </w:tcPr>
          <w:p w14:paraId="37285F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22F591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97.93</w:t>
            </w:r>
          </w:p>
        </w:tc>
        <w:tc>
          <w:tcPr>
            <w:tcW w:w="1418" w:type="dxa"/>
            <w:tcBorders>
              <w:top w:val="nil"/>
              <w:left w:val="nil"/>
              <w:bottom w:val="nil"/>
              <w:right w:val="nil"/>
            </w:tcBorders>
            <w:shd w:val="clear" w:color="auto" w:fill="E5E5E5" w:themeFill="background1" w:themeFillTint="33"/>
            <w:noWrap/>
            <w:vAlign w:val="center"/>
            <w:hideMark/>
          </w:tcPr>
          <w:p w14:paraId="41EBB7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0AE75B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97.59</w:t>
            </w:r>
          </w:p>
        </w:tc>
        <w:tc>
          <w:tcPr>
            <w:tcW w:w="1373" w:type="dxa"/>
            <w:tcBorders>
              <w:top w:val="nil"/>
              <w:left w:val="nil"/>
              <w:bottom w:val="nil"/>
              <w:right w:val="nil"/>
            </w:tcBorders>
            <w:shd w:val="clear" w:color="auto" w:fill="E5E5E5" w:themeFill="background1" w:themeFillTint="33"/>
            <w:noWrap/>
            <w:vAlign w:val="center"/>
            <w:hideMark/>
          </w:tcPr>
          <w:p w14:paraId="689D1F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6EC3A0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95.32</w:t>
            </w:r>
          </w:p>
        </w:tc>
        <w:tc>
          <w:tcPr>
            <w:tcW w:w="1326" w:type="dxa"/>
            <w:tcBorders>
              <w:top w:val="nil"/>
              <w:left w:val="nil"/>
              <w:bottom w:val="nil"/>
              <w:right w:val="nil"/>
            </w:tcBorders>
            <w:shd w:val="clear" w:color="auto" w:fill="E5E5E5" w:themeFill="background1" w:themeFillTint="33"/>
            <w:noWrap/>
            <w:vAlign w:val="center"/>
            <w:hideMark/>
          </w:tcPr>
          <w:p w14:paraId="61E5C4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6A4EC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97.84</w:t>
            </w:r>
          </w:p>
        </w:tc>
        <w:tc>
          <w:tcPr>
            <w:tcW w:w="1276" w:type="dxa"/>
            <w:tcBorders>
              <w:top w:val="nil"/>
              <w:left w:val="nil"/>
              <w:bottom w:val="nil"/>
              <w:right w:val="nil"/>
            </w:tcBorders>
            <w:shd w:val="clear" w:color="auto" w:fill="E5E5E5" w:themeFill="background1" w:themeFillTint="33"/>
            <w:noWrap/>
            <w:vAlign w:val="center"/>
            <w:hideMark/>
          </w:tcPr>
          <w:p w14:paraId="40122D7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7FBBAC6" w14:textId="77777777" w:rsidTr="0020771F">
        <w:trPr>
          <w:trHeight w:hRule="exact" w:val="284"/>
        </w:trPr>
        <w:tc>
          <w:tcPr>
            <w:tcW w:w="960" w:type="dxa"/>
            <w:tcBorders>
              <w:top w:val="nil"/>
              <w:left w:val="nil"/>
              <w:bottom w:val="nil"/>
              <w:right w:val="nil"/>
            </w:tcBorders>
            <w:shd w:val="clear" w:color="auto" w:fill="auto"/>
            <w:noWrap/>
            <w:vAlign w:val="center"/>
            <w:hideMark/>
          </w:tcPr>
          <w:p w14:paraId="4D8B44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w:t>
            </w:r>
          </w:p>
        </w:tc>
        <w:tc>
          <w:tcPr>
            <w:tcW w:w="1323" w:type="dxa"/>
            <w:tcBorders>
              <w:top w:val="nil"/>
              <w:left w:val="nil"/>
              <w:bottom w:val="nil"/>
              <w:right w:val="nil"/>
            </w:tcBorders>
            <w:shd w:val="clear" w:color="auto" w:fill="auto"/>
            <w:noWrap/>
            <w:vAlign w:val="center"/>
            <w:hideMark/>
          </w:tcPr>
          <w:p w14:paraId="72DA95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98.15</w:t>
            </w:r>
          </w:p>
        </w:tc>
        <w:tc>
          <w:tcPr>
            <w:tcW w:w="1373" w:type="dxa"/>
            <w:tcBorders>
              <w:top w:val="nil"/>
              <w:left w:val="nil"/>
              <w:bottom w:val="nil"/>
              <w:right w:val="nil"/>
            </w:tcBorders>
            <w:shd w:val="clear" w:color="auto" w:fill="auto"/>
            <w:noWrap/>
            <w:vAlign w:val="center"/>
            <w:hideMark/>
          </w:tcPr>
          <w:p w14:paraId="46B0ED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0C914B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97.98</w:t>
            </w:r>
          </w:p>
        </w:tc>
        <w:tc>
          <w:tcPr>
            <w:tcW w:w="1418" w:type="dxa"/>
            <w:tcBorders>
              <w:top w:val="nil"/>
              <w:left w:val="nil"/>
              <w:bottom w:val="nil"/>
              <w:right w:val="nil"/>
            </w:tcBorders>
            <w:shd w:val="clear" w:color="auto" w:fill="auto"/>
            <w:noWrap/>
            <w:vAlign w:val="center"/>
            <w:hideMark/>
          </w:tcPr>
          <w:p w14:paraId="3D07BD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6CF1A8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97.66</w:t>
            </w:r>
          </w:p>
        </w:tc>
        <w:tc>
          <w:tcPr>
            <w:tcW w:w="1373" w:type="dxa"/>
            <w:tcBorders>
              <w:top w:val="nil"/>
              <w:left w:val="nil"/>
              <w:bottom w:val="nil"/>
              <w:right w:val="nil"/>
            </w:tcBorders>
            <w:shd w:val="clear" w:color="auto" w:fill="auto"/>
            <w:noWrap/>
            <w:vAlign w:val="center"/>
            <w:hideMark/>
          </w:tcPr>
          <w:p w14:paraId="0DD7AD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263728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95.45</w:t>
            </w:r>
          </w:p>
        </w:tc>
        <w:tc>
          <w:tcPr>
            <w:tcW w:w="1326" w:type="dxa"/>
            <w:tcBorders>
              <w:top w:val="nil"/>
              <w:left w:val="nil"/>
              <w:bottom w:val="nil"/>
              <w:right w:val="nil"/>
            </w:tcBorders>
            <w:shd w:val="clear" w:color="auto" w:fill="auto"/>
            <w:noWrap/>
            <w:vAlign w:val="center"/>
            <w:hideMark/>
          </w:tcPr>
          <w:p w14:paraId="2D28B8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E4C21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97.91</w:t>
            </w:r>
          </w:p>
        </w:tc>
        <w:tc>
          <w:tcPr>
            <w:tcW w:w="1276" w:type="dxa"/>
            <w:tcBorders>
              <w:top w:val="nil"/>
              <w:left w:val="nil"/>
              <w:bottom w:val="nil"/>
              <w:right w:val="nil"/>
            </w:tcBorders>
            <w:shd w:val="clear" w:color="auto" w:fill="auto"/>
            <w:noWrap/>
            <w:vAlign w:val="center"/>
            <w:hideMark/>
          </w:tcPr>
          <w:p w14:paraId="19A8B385"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68F379C" w14:textId="77777777" w:rsidTr="0020771F">
        <w:trPr>
          <w:trHeight w:hRule="exact" w:val="284"/>
        </w:trPr>
        <w:tc>
          <w:tcPr>
            <w:tcW w:w="960" w:type="dxa"/>
            <w:tcBorders>
              <w:top w:val="nil"/>
              <w:left w:val="nil"/>
              <w:bottom w:val="nil"/>
              <w:right w:val="nil"/>
            </w:tcBorders>
            <w:shd w:val="clear" w:color="auto" w:fill="E5E5E5" w:themeFill="background1" w:themeFillTint="33"/>
            <w:noWrap/>
            <w:vAlign w:val="center"/>
            <w:hideMark/>
          </w:tcPr>
          <w:p w14:paraId="0F3926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w:t>
            </w:r>
          </w:p>
        </w:tc>
        <w:tc>
          <w:tcPr>
            <w:tcW w:w="1323" w:type="dxa"/>
            <w:tcBorders>
              <w:top w:val="nil"/>
              <w:left w:val="nil"/>
              <w:bottom w:val="nil"/>
              <w:right w:val="nil"/>
            </w:tcBorders>
            <w:shd w:val="clear" w:color="auto" w:fill="E5E5E5" w:themeFill="background1" w:themeFillTint="33"/>
            <w:noWrap/>
            <w:vAlign w:val="center"/>
            <w:hideMark/>
          </w:tcPr>
          <w:p w14:paraId="1E8239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98.23</w:t>
            </w:r>
          </w:p>
        </w:tc>
        <w:tc>
          <w:tcPr>
            <w:tcW w:w="1373" w:type="dxa"/>
            <w:tcBorders>
              <w:top w:val="nil"/>
              <w:left w:val="nil"/>
              <w:bottom w:val="nil"/>
              <w:right w:val="nil"/>
            </w:tcBorders>
            <w:shd w:val="clear" w:color="auto" w:fill="E5E5E5" w:themeFill="background1" w:themeFillTint="33"/>
            <w:noWrap/>
            <w:vAlign w:val="center"/>
            <w:hideMark/>
          </w:tcPr>
          <w:p w14:paraId="04D80F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E5E5E5" w:themeFill="background1" w:themeFillTint="33"/>
            <w:noWrap/>
            <w:vAlign w:val="center"/>
            <w:hideMark/>
          </w:tcPr>
          <w:p w14:paraId="6FE985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98.04</w:t>
            </w:r>
          </w:p>
        </w:tc>
        <w:tc>
          <w:tcPr>
            <w:tcW w:w="1418" w:type="dxa"/>
            <w:tcBorders>
              <w:top w:val="nil"/>
              <w:left w:val="nil"/>
              <w:bottom w:val="nil"/>
              <w:right w:val="nil"/>
            </w:tcBorders>
            <w:shd w:val="clear" w:color="auto" w:fill="E5E5E5" w:themeFill="background1" w:themeFillTint="33"/>
            <w:noWrap/>
            <w:vAlign w:val="center"/>
            <w:hideMark/>
          </w:tcPr>
          <w:p w14:paraId="6CBDA6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E5E5E5" w:themeFill="background1" w:themeFillTint="33"/>
            <w:noWrap/>
            <w:vAlign w:val="center"/>
            <w:hideMark/>
          </w:tcPr>
          <w:p w14:paraId="42B847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97.74</w:t>
            </w:r>
          </w:p>
        </w:tc>
        <w:tc>
          <w:tcPr>
            <w:tcW w:w="1373" w:type="dxa"/>
            <w:tcBorders>
              <w:top w:val="nil"/>
              <w:left w:val="nil"/>
              <w:bottom w:val="nil"/>
              <w:right w:val="nil"/>
            </w:tcBorders>
            <w:shd w:val="clear" w:color="auto" w:fill="E5E5E5" w:themeFill="background1" w:themeFillTint="33"/>
            <w:noWrap/>
            <w:vAlign w:val="center"/>
            <w:hideMark/>
          </w:tcPr>
          <w:p w14:paraId="32AA4E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E5E5E5" w:themeFill="background1" w:themeFillTint="33"/>
            <w:noWrap/>
            <w:vAlign w:val="center"/>
            <w:hideMark/>
          </w:tcPr>
          <w:p w14:paraId="4A9203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95.56</w:t>
            </w:r>
          </w:p>
        </w:tc>
        <w:tc>
          <w:tcPr>
            <w:tcW w:w="1326" w:type="dxa"/>
            <w:tcBorders>
              <w:top w:val="nil"/>
              <w:left w:val="nil"/>
              <w:bottom w:val="nil"/>
              <w:right w:val="nil"/>
            </w:tcBorders>
            <w:shd w:val="clear" w:color="auto" w:fill="E5E5E5" w:themeFill="background1" w:themeFillTint="33"/>
            <w:noWrap/>
            <w:vAlign w:val="center"/>
            <w:hideMark/>
          </w:tcPr>
          <w:p w14:paraId="5EA6BD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DC5C4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97.98</w:t>
            </w:r>
          </w:p>
        </w:tc>
        <w:tc>
          <w:tcPr>
            <w:tcW w:w="1276" w:type="dxa"/>
            <w:tcBorders>
              <w:top w:val="nil"/>
              <w:left w:val="nil"/>
              <w:bottom w:val="nil"/>
              <w:right w:val="nil"/>
            </w:tcBorders>
            <w:shd w:val="clear" w:color="auto" w:fill="E5E5E5" w:themeFill="background1" w:themeFillTint="33"/>
            <w:noWrap/>
            <w:vAlign w:val="center"/>
            <w:hideMark/>
          </w:tcPr>
          <w:p w14:paraId="670B4627"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F9A20B8" w14:textId="77777777" w:rsidTr="0020771F">
        <w:trPr>
          <w:trHeight w:hRule="exact" w:val="284"/>
        </w:trPr>
        <w:tc>
          <w:tcPr>
            <w:tcW w:w="960" w:type="dxa"/>
            <w:tcBorders>
              <w:top w:val="nil"/>
              <w:left w:val="nil"/>
              <w:bottom w:val="nil"/>
              <w:right w:val="nil"/>
            </w:tcBorders>
            <w:shd w:val="clear" w:color="auto" w:fill="auto"/>
            <w:noWrap/>
            <w:vAlign w:val="center"/>
            <w:hideMark/>
          </w:tcPr>
          <w:p w14:paraId="2F5535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w:t>
            </w:r>
          </w:p>
        </w:tc>
        <w:tc>
          <w:tcPr>
            <w:tcW w:w="1323" w:type="dxa"/>
            <w:tcBorders>
              <w:top w:val="nil"/>
              <w:left w:val="nil"/>
              <w:bottom w:val="nil"/>
              <w:right w:val="nil"/>
            </w:tcBorders>
            <w:shd w:val="clear" w:color="auto" w:fill="auto"/>
            <w:noWrap/>
            <w:vAlign w:val="center"/>
            <w:hideMark/>
          </w:tcPr>
          <w:p w14:paraId="72F874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98.30</w:t>
            </w:r>
          </w:p>
        </w:tc>
        <w:tc>
          <w:tcPr>
            <w:tcW w:w="1373" w:type="dxa"/>
            <w:tcBorders>
              <w:top w:val="nil"/>
              <w:left w:val="nil"/>
              <w:bottom w:val="nil"/>
              <w:right w:val="nil"/>
            </w:tcBorders>
            <w:shd w:val="clear" w:color="auto" w:fill="auto"/>
            <w:noWrap/>
            <w:vAlign w:val="center"/>
            <w:hideMark/>
          </w:tcPr>
          <w:p w14:paraId="40871B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nil"/>
              <w:right w:val="nil"/>
            </w:tcBorders>
            <w:shd w:val="clear" w:color="auto" w:fill="auto"/>
            <w:noWrap/>
            <w:vAlign w:val="center"/>
            <w:hideMark/>
          </w:tcPr>
          <w:p w14:paraId="1A373F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98.11</w:t>
            </w:r>
          </w:p>
        </w:tc>
        <w:tc>
          <w:tcPr>
            <w:tcW w:w="1418" w:type="dxa"/>
            <w:tcBorders>
              <w:top w:val="nil"/>
              <w:left w:val="nil"/>
              <w:bottom w:val="nil"/>
              <w:right w:val="nil"/>
            </w:tcBorders>
            <w:shd w:val="clear" w:color="auto" w:fill="auto"/>
            <w:noWrap/>
            <w:vAlign w:val="center"/>
            <w:hideMark/>
          </w:tcPr>
          <w:p w14:paraId="549142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nil"/>
              <w:right w:val="nil"/>
            </w:tcBorders>
            <w:shd w:val="clear" w:color="auto" w:fill="auto"/>
            <w:noWrap/>
            <w:vAlign w:val="center"/>
            <w:hideMark/>
          </w:tcPr>
          <w:p w14:paraId="63A7A2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97.83</w:t>
            </w:r>
          </w:p>
        </w:tc>
        <w:tc>
          <w:tcPr>
            <w:tcW w:w="1373" w:type="dxa"/>
            <w:tcBorders>
              <w:top w:val="nil"/>
              <w:left w:val="nil"/>
              <w:bottom w:val="nil"/>
              <w:right w:val="nil"/>
            </w:tcBorders>
            <w:shd w:val="clear" w:color="auto" w:fill="auto"/>
            <w:noWrap/>
            <w:vAlign w:val="center"/>
            <w:hideMark/>
          </w:tcPr>
          <w:p w14:paraId="312482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nil"/>
              <w:right w:val="nil"/>
            </w:tcBorders>
            <w:shd w:val="clear" w:color="auto" w:fill="auto"/>
            <w:noWrap/>
            <w:vAlign w:val="center"/>
            <w:hideMark/>
          </w:tcPr>
          <w:p w14:paraId="60B12F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95.64</w:t>
            </w:r>
          </w:p>
        </w:tc>
        <w:tc>
          <w:tcPr>
            <w:tcW w:w="1326" w:type="dxa"/>
            <w:tcBorders>
              <w:top w:val="nil"/>
              <w:left w:val="nil"/>
              <w:bottom w:val="nil"/>
              <w:right w:val="nil"/>
            </w:tcBorders>
            <w:shd w:val="clear" w:color="auto" w:fill="auto"/>
            <w:noWrap/>
            <w:vAlign w:val="center"/>
            <w:hideMark/>
          </w:tcPr>
          <w:p w14:paraId="087302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F2C96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98.06</w:t>
            </w:r>
          </w:p>
        </w:tc>
        <w:tc>
          <w:tcPr>
            <w:tcW w:w="1276" w:type="dxa"/>
            <w:tcBorders>
              <w:top w:val="nil"/>
              <w:left w:val="nil"/>
              <w:bottom w:val="nil"/>
              <w:right w:val="nil"/>
            </w:tcBorders>
            <w:shd w:val="clear" w:color="auto" w:fill="auto"/>
            <w:noWrap/>
            <w:vAlign w:val="center"/>
            <w:hideMark/>
          </w:tcPr>
          <w:p w14:paraId="2C9FF581"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0D078C2" w14:textId="77777777" w:rsidTr="0020771F">
        <w:trPr>
          <w:trHeight w:hRule="exact" w:val="284"/>
        </w:trPr>
        <w:tc>
          <w:tcPr>
            <w:tcW w:w="960" w:type="dxa"/>
            <w:tcBorders>
              <w:top w:val="nil"/>
              <w:left w:val="nil"/>
              <w:right w:val="nil"/>
            </w:tcBorders>
            <w:shd w:val="clear" w:color="auto" w:fill="E5E5E5" w:themeFill="background1" w:themeFillTint="33"/>
            <w:noWrap/>
            <w:vAlign w:val="center"/>
            <w:hideMark/>
          </w:tcPr>
          <w:p w14:paraId="26E5F7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w:t>
            </w:r>
          </w:p>
        </w:tc>
        <w:tc>
          <w:tcPr>
            <w:tcW w:w="1323" w:type="dxa"/>
            <w:tcBorders>
              <w:top w:val="nil"/>
              <w:left w:val="nil"/>
              <w:right w:val="nil"/>
            </w:tcBorders>
            <w:shd w:val="clear" w:color="auto" w:fill="E5E5E5" w:themeFill="background1" w:themeFillTint="33"/>
            <w:noWrap/>
            <w:vAlign w:val="center"/>
            <w:hideMark/>
          </w:tcPr>
          <w:p w14:paraId="5F652B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98.35</w:t>
            </w:r>
          </w:p>
        </w:tc>
        <w:tc>
          <w:tcPr>
            <w:tcW w:w="1373" w:type="dxa"/>
            <w:tcBorders>
              <w:top w:val="nil"/>
              <w:left w:val="nil"/>
              <w:right w:val="nil"/>
            </w:tcBorders>
            <w:shd w:val="clear" w:color="auto" w:fill="E5E5E5" w:themeFill="background1" w:themeFillTint="33"/>
            <w:noWrap/>
            <w:vAlign w:val="center"/>
            <w:hideMark/>
          </w:tcPr>
          <w:p w14:paraId="473221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right w:val="nil"/>
            </w:tcBorders>
            <w:shd w:val="clear" w:color="auto" w:fill="E5E5E5" w:themeFill="background1" w:themeFillTint="33"/>
            <w:noWrap/>
            <w:vAlign w:val="center"/>
            <w:hideMark/>
          </w:tcPr>
          <w:p w14:paraId="693E6A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98.18</w:t>
            </w:r>
          </w:p>
        </w:tc>
        <w:tc>
          <w:tcPr>
            <w:tcW w:w="1418" w:type="dxa"/>
            <w:tcBorders>
              <w:top w:val="nil"/>
              <w:left w:val="nil"/>
              <w:right w:val="nil"/>
            </w:tcBorders>
            <w:shd w:val="clear" w:color="auto" w:fill="E5E5E5" w:themeFill="background1" w:themeFillTint="33"/>
            <w:noWrap/>
            <w:vAlign w:val="center"/>
            <w:hideMark/>
          </w:tcPr>
          <w:p w14:paraId="1A9609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right w:val="nil"/>
            </w:tcBorders>
            <w:shd w:val="clear" w:color="auto" w:fill="E5E5E5" w:themeFill="background1" w:themeFillTint="33"/>
            <w:noWrap/>
            <w:vAlign w:val="center"/>
            <w:hideMark/>
          </w:tcPr>
          <w:p w14:paraId="08F1D1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97.86</w:t>
            </w:r>
          </w:p>
        </w:tc>
        <w:tc>
          <w:tcPr>
            <w:tcW w:w="1373" w:type="dxa"/>
            <w:tcBorders>
              <w:top w:val="nil"/>
              <w:left w:val="nil"/>
              <w:right w:val="nil"/>
            </w:tcBorders>
            <w:shd w:val="clear" w:color="auto" w:fill="E5E5E5" w:themeFill="background1" w:themeFillTint="33"/>
            <w:noWrap/>
            <w:vAlign w:val="center"/>
            <w:hideMark/>
          </w:tcPr>
          <w:p w14:paraId="400F8A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right w:val="nil"/>
            </w:tcBorders>
            <w:shd w:val="clear" w:color="auto" w:fill="E5E5E5" w:themeFill="background1" w:themeFillTint="33"/>
            <w:noWrap/>
            <w:vAlign w:val="center"/>
            <w:hideMark/>
          </w:tcPr>
          <w:p w14:paraId="2F431D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95.70</w:t>
            </w:r>
          </w:p>
        </w:tc>
        <w:tc>
          <w:tcPr>
            <w:tcW w:w="1326" w:type="dxa"/>
            <w:tcBorders>
              <w:top w:val="nil"/>
              <w:left w:val="nil"/>
              <w:right w:val="nil"/>
            </w:tcBorders>
            <w:shd w:val="clear" w:color="auto" w:fill="E5E5E5" w:themeFill="background1" w:themeFillTint="33"/>
            <w:noWrap/>
            <w:vAlign w:val="center"/>
            <w:hideMark/>
          </w:tcPr>
          <w:p w14:paraId="3CBEC0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right w:val="nil"/>
            </w:tcBorders>
            <w:shd w:val="clear" w:color="auto" w:fill="E5E5E5" w:themeFill="background1" w:themeFillTint="33"/>
            <w:noWrap/>
            <w:vAlign w:val="center"/>
            <w:hideMark/>
          </w:tcPr>
          <w:p w14:paraId="7CEB2E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98.11</w:t>
            </w:r>
          </w:p>
        </w:tc>
        <w:tc>
          <w:tcPr>
            <w:tcW w:w="1276" w:type="dxa"/>
            <w:tcBorders>
              <w:top w:val="nil"/>
              <w:left w:val="nil"/>
              <w:right w:val="nil"/>
            </w:tcBorders>
            <w:shd w:val="clear" w:color="auto" w:fill="E5E5E5" w:themeFill="background1" w:themeFillTint="33"/>
            <w:noWrap/>
            <w:vAlign w:val="center"/>
            <w:hideMark/>
          </w:tcPr>
          <w:p w14:paraId="65614CE9"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79A84CE" w14:textId="77777777" w:rsidTr="0020771F">
        <w:trPr>
          <w:trHeight w:hRule="exact" w:val="284"/>
        </w:trPr>
        <w:tc>
          <w:tcPr>
            <w:tcW w:w="960" w:type="dxa"/>
            <w:tcBorders>
              <w:top w:val="nil"/>
              <w:left w:val="nil"/>
              <w:bottom w:val="single" w:sz="4" w:space="0" w:color="auto"/>
              <w:right w:val="nil"/>
            </w:tcBorders>
            <w:shd w:val="clear" w:color="auto" w:fill="auto"/>
            <w:noWrap/>
            <w:vAlign w:val="center"/>
            <w:hideMark/>
          </w:tcPr>
          <w:p w14:paraId="38B59C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c>
          <w:tcPr>
            <w:tcW w:w="1323" w:type="dxa"/>
            <w:tcBorders>
              <w:top w:val="nil"/>
              <w:left w:val="nil"/>
              <w:bottom w:val="single" w:sz="4" w:space="0" w:color="auto"/>
              <w:right w:val="nil"/>
            </w:tcBorders>
            <w:shd w:val="clear" w:color="auto" w:fill="auto"/>
            <w:noWrap/>
            <w:vAlign w:val="center"/>
            <w:hideMark/>
          </w:tcPr>
          <w:p w14:paraId="2A4DDE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98.41</w:t>
            </w:r>
          </w:p>
        </w:tc>
        <w:tc>
          <w:tcPr>
            <w:tcW w:w="1373" w:type="dxa"/>
            <w:tcBorders>
              <w:top w:val="nil"/>
              <w:left w:val="nil"/>
              <w:bottom w:val="single" w:sz="4" w:space="0" w:color="auto"/>
              <w:right w:val="nil"/>
            </w:tcBorders>
            <w:shd w:val="clear" w:color="auto" w:fill="auto"/>
            <w:noWrap/>
            <w:vAlign w:val="center"/>
            <w:hideMark/>
          </w:tcPr>
          <w:p w14:paraId="08697F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2" w:type="dxa"/>
            <w:tcBorders>
              <w:top w:val="nil"/>
              <w:left w:val="nil"/>
              <w:bottom w:val="single" w:sz="4" w:space="0" w:color="auto"/>
              <w:right w:val="nil"/>
            </w:tcBorders>
            <w:shd w:val="clear" w:color="auto" w:fill="auto"/>
            <w:noWrap/>
            <w:vAlign w:val="center"/>
            <w:hideMark/>
          </w:tcPr>
          <w:p w14:paraId="52558B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98.28</w:t>
            </w:r>
          </w:p>
        </w:tc>
        <w:tc>
          <w:tcPr>
            <w:tcW w:w="1418" w:type="dxa"/>
            <w:tcBorders>
              <w:top w:val="nil"/>
              <w:left w:val="nil"/>
              <w:bottom w:val="single" w:sz="4" w:space="0" w:color="auto"/>
              <w:right w:val="nil"/>
            </w:tcBorders>
            <w:shd w:val="clear" w:color="auto" w:fill="auto"/>
            <w:noWrap/>
            <w:vAlign w:val="center"/>
            <w:hideMark/>
          </w:tcPr>
          <w:p w14:paraId="36D505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00" w:type="dxa"/>
            <w:tcBorders>
              <w:top w:val="nil"/>
              <w:left w:val="nil"/>
              <w:bottom w:val="single" w:sz="4" w:space="0" w:color="auto"/>
              <w:right w:val="nil"/>
            </w:tcBorders>
            <w:shd w:val="clear" w:color="auto" w:fill="auto"/>
            <w:noWrap/>
            <w:vAlign w:val="center"/>
            <w:hideMark/>
          </w:tcPr>
          <w:p w14:paraId="254066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97.91</w:t>
            </w:r>
          </w:p>
        </w:tc>
        <w:tc>
          <w:tcPr>
            <w:tcW w:w="1373" w:type="dxa"/>
            <w:tcBorders>
              <w:top w:val="nil"/>
              <w:left w:val="nil"/>
              <w:bottom w:val="single" w:sz="4" w:space="0" w:color="auto"/>
              <w:right w:val="nil"/>
            </w:tcBorders>
            <w:shd w:val="clear" w:color="auto" w:fill="auto"/>
            <w:noWrap/>
            <w:vAlign w:val="center"/>
            <w:hideMark/>
          </w:tcPr>
          <w:p w14:paraId="32A536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379" w:type="dxa"/>
            <w:tcBorders>
              <w:top w:val="nil"/>
              <w:left w:val="nil"/>
              <w:bottom w:val="single" w:sz="4" w:space="0" w:color="auto"/>
              <w:right w:val="nil"/>
            </w:tcBorders>
            <w:shd w:val="clear" w:color="auto" w:fill="auto"/>
            <w:noWrap/>
            <w:vAlign w:val="center"/>
            <w:hideMark/>
          </w:tcPr>
          <w:p w14:paraId="072EE8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95.86</w:t>
            </w:r>
          </w:p>
        </w:tc>
        <w:tc>
          <w:tcPr>
            <w:tcW w:w="1326" w:type="dxa"/>
            <w:tcBorders>
              <w:top w:val="nil"/>
              <w:left w:val="nil"/>
              <w:bottom w:val="single" w:sz="4" w:space="0" w:color="auto"/>
              <w:right w:val="nil"/>
            </w:tcBorders>
            <w:shd w:val="clear" w:color="auto" w:fill="auto"/>
            <w:noWrap/>
            <w:vAlign w:val="center"/>
            <w:hideMark/>
          </w:tcPr>
          <w:p w14:paraId="2DA9DB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single" w:sz="4" w:space="0" w:color="auto"/>
              <w:right w:val="nil"/>
            </w:tcBorders>
            <w:shd w:val="clear" w:color="auto" w:fill="auto"/>
            <w:noWrap/>
            <w:vAlign w:val="center"/>
            <w:hideMark/>
          </w:tcPr>
          <w:p w14:paraId="684D37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98.19</w:t>
            </w:r>
          </w:p>
        </w:tc>
        <w:tc>
          <w:tcPr>
            <w:tcW w:w="1276" w:type="dxa"/>
            <w:tcBorders>
              <w:top w:val="nil"/>
              <w:left w:val="nil"/>
              <w:bottom w:val="single" w:sz="4" w:space="0" w:color="auto"/>
              <w:right w:val="nil"/>
            </w:tcBorders>
            <w:shd w:val="clear" w:color="auto" w:fill="auto"/>
            <w:noWrap/>
            <w:vAlign w:val="center"/>
            <w:hideMark/>
          </w:tcPr>
          <w:p w14:paraId="755E2411" w14:textId="77777777" w:rsidR="00961617" w:rsidRPr="00545C7F" w:rsidRDefault="00961617" w:rsidP="0020771F">
            <w:pPr>
              <w:spacing w:after="0" w:line="240" w:lineRule="auto"/>
              <w:ind w:right="19"/>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bl>
    <w:p w14:paraId="3DE5AA94" w14:textId="77777777" w:rsidR="00961617" w:rsidRPr="002F5864" w:rsidRDefault="00961617" w:rsidP="00961617">
      <w:pPr>
        <w:rPr>
          <w:rFonts w:eastAsiaTheme="majorEastAsia" w:cstheme="minorHAnsi"/>
        </w:rPr>
      </w:pPr>
      <w:r w:rsidRPr="002F5864">
        <w:rPr>
          <w:rFonts w:eastAsiaTheme="majorEastAsia" w:cstheme="minorHAnsi"/>
        </w:rPr>
        <w:br w:type="page"/>
      </w:r>
    </w:p>
    <w:p w14:paraId="2ECDBE24" w14:textId="77777777" w:rsidR="00961617" w:rsidRPr="00787397" w:rsidRDefault="00961617" w:rsidP="00961617">
      <w:pPr>
        <w:spacing w:before="120" w:after="0"/>
        <w:rPr>
          <w:rFonts w:cstheme="minorHAnsi"/>
          <w:b/>
          <w:sz w:val="20"/>
          <w:szCs w:val="20"/>
        </w:rPr>
      </w:pPr>
      <w:r w:rsidRPr="00787397">
        <w:rPr>
          <w:rFonts w:cstheme="minorHAnsi"/>
          <w:b/>
          <w:sz w:val="20"/>
          <w:szCs w:val="20"/>
        </w:rPr>
        <w:t>JSA 2012</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324"/>
        <w:gridCol w:w="1373"/>
        <w:gridCol w:w="45"/>
        <w:gridCol w:w="1367"/>
        <w:gridCol w:w="50"/>
        <w:gridCol w:w="1276"/>
        <w:gridCol w:w="92"/>
        <w:gridCol w:w="1467"/>
        <w:gridCol w:w="33"/>
        <w:gridCol w:w="1373"/>
        <w:gridCol w:w="12"/>
        <w:gridCol w:w="1367"/>
        <w:gridCol w:w="50"/>
        <w:gridCol w:w="1276"/>
        <w:gridCol w:w="1276"/>
        <w:gridCol w:w="1276"/>
      </w:tblGrid>
      <w:tr w:rsidR="00961617" w:rsidRPr="00545C7F" w14:paraId="057E4758" w14:textId="77777777" w:rsidTr="0020771F">
        <w:trPr>
          <w:trHeight w:val="540"/>
          <w:tblHeader/>
        </w:trPr>
        <w:tc>
          <w:tcPr>
            <w:tcW w:w="959" w:type="dxa"/>
            <w:tcBorders>
              <w:top w:val="nil"/>
              <w:left w:val="nil"/>
              <w:bottom w:val="nil"/>
              <w:right w:val="nil"/>
            </w:tcBorders>
            <w:shd w:val="clear" w:color="auto" w:fill="1E3D6B"/>
            <w:vAlign w:val="center"/>
            <w:hideMark/>
          </w:tcPr>
          <w:p w14:paraId="260444C5"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bookmarkStart w:id="617" w:name="Title_A22b"/>
            <w:bookmarkEnd w:id="617"/>
            <w:r w:rsidRPr="00545C7F">
              <w:rPr>
                <w:rFonts w:eastAsia="Times New Roman" w:cstheme="minorHAnsi"/>
                <w:b/>
                <w:bCs/>
                <w:color w:val="FFFFFF" w:themeColor="background2"/>
                <w:sz w:val="20"/>
                <w:szCs w:val="20"/>
                <w:lang w:eastAsia="en-AU"/>
              </w:rPr>
              <w:t>Days</w:t>
            </w:r>
          </w:p>
        </w:tc>
        <w:tc>
          <w:tcPr>
            <w:tcW w:w="1324" w:type="dxa"/>
            <w:tcBorders>
              <w:top w:val="nil"/>
              <w:left w:val="nil"/>
              <w:bottom w:val="nil"/>
              <w:right w:val="nil"/>
            </w:tcBorders>
            <w:shd w:val="clear" w:color="auto" w:fill="1E3D6B"/>
            <w:vAlign w:val="center"/>
            <w:hideMark/>
          </w:tcPr>
          <w:p w14:paraId="0CCEFD4E"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1</w:t>
            </w:r>
            <w:r w:rsidRPr="00545C7F">
              <w:rPr>
                <w:rFonts w:eastAsia="Times New Roman" w:cstheme="minorHAnsi"/>
                <w:b/>
                <w:bCs/>
                <w:color w:val="FFFFFF" w:themeColor="background2"/>
                <w:sz w:val="20"/>
                <w:szCs w:val="20"/>
                <w:lang w:eastAsia="en-AU"/>
              </w:rPr>
              <w:br/>
              <w:t>Not RapidConnect</w:t>
            </w:r>
          </w:p>
        </w:tc>
        <w:tc>
          <w:tcPr>
            <w:tcW w:w="1373" w:type="dxa"/>
            <w:tcBorders>
              <w:top w:val="nil"/>
              <w:left w:val="nil"/>
              <w:bottom w:val="nil"/>
              <w:right w:val="nil"/>
            </w:tcBorders>
            <w:shd w:val="clear" w:color="auto" w:fill="1E3D6B"/>
            <w:vAlign w:val="center"/>
            <w:hideMark/>
          </w:tcPr>
          <w:p w14:paraId="7BD8549A"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1</w:t>
            </w:r>
            <w:r w:rsidRPr="00545C7F">
              <w:rPr>
                <w:rFonts w:eastAsia="Times New Roman" w:cstheme="minorHAnsi"/>
                <w:b/>
                <w:bCs/>
                <w:color w:val="FFFFFF" w:themeColor="background2"/>
                <w:sz w:val="20"/>
                <w:szCs w:val="20"/>
                <w:lang w:eastAsia="en-AU"/>
              </w:rPr>
              <w:br/>
              <w:t>RapidConnect</w:t>
            </w:r>
          </w:p>
        </w:tc>
        <w:tc>
          <w:tcPr>
            <w:tcW w:w="1412" w:type="dxa"/>
            <w:gridSpan w:val="2"/>
            <w:tcBorders>
              <w:top w:val="nil"/>
              <w:left w:val="nil"/>
              <w:bottom w:val="nil"/>
              <w:right w:val="nil"/>
            </w:tcBorders>
            <w:shd w:val="clear" w:color="auto" w:fill="1E3D6B"/>
            <w:vAlign w:val="center"/>
            <w:hideMark/>
          </w:tcPr>
          <w:p w14:paraId="35328BC9"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2</w:t>
            </w:r>
            <w:r w:rsidRPr="00545C7F">
              <w:rPr>
                <w:rFonts w:eastAsia="Times New Roman" w:cstheme="minorHAnsi"/>
                <w:b/>
                <w:bCs/>
                <w:color w:val="FFFFFF" w:themeColor="background2"/>
                <w:sz w:val="20"/>
                <w:szCs w:val="20"/>
                <w:lang w:eastAsia="en-AU"/>
              </w:rPr>
              <w:br/>
              <w:t>Not RapidConnect</w:t>
            </w:r>
          </w:p>
        </w:tc>
        <w:tc>
          <w:tcPr>
            <w:tcW w:w="1418" w:type="dxa"/>
            <w:gridSpan w:val="3"/>
            <w:tcBorders>
              <w:top w:val="nil"/>
              <w:left w:val="nil"/>
              <w:bottom w:val="nil"/>
              <w:right w:val="nil"/>
            </w:tcBorders>
            <w:shd w:val="clear" w:color="auto" w:fill="1E3D6B"/>
            <w:vAlign w:val="center"/>
            <w:hideMark/>
          </w:tcPr>
          <w:p w14:paraId="6F2970F6"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2</w:t>
            </w:r>
            <w:r w:rsidRPr="00545C7F">
              <w:rPr>
                <w:rFonts w:eastAsia="Times New Roman" w:cstheme="minorHAnsi"/>
                <w:b/>
                <w:bCs/>
                <w:color w:val="FFFFFF" w:themeColor="background2"/>
                <w:sz w:val="20"/>
                <w:szCs w:val="20"/>
                <w:lang w:eastAsia="en-AU"/>
              </w:rPr>
              <w:br/>
              <w:t>RapidConnect</w:t>
            </w:r>
          </w:p>
        </w:tc>
        <w:tc>
          <w:tcPr>
            <w:tcW w:w="1500" w:type="dxa"/>
            <w:gridSpan w:val="2"/>
            <w:tcBorders>
              <w:top w:val="nil"/>
              <w:left w:val="nil"/>
              <w:bottom w:val="nil"/>
              <w:right w:val="nil"/>
            </w:tcBorders>
            <w:shd w:val="clear" w:color="auto" w:fill="1E3D6B"/>
            <w:vAlign w:val="center"/>
            <w:hideMark/>
          </w:tcPr>
          <w:p w14:paraId="23DF907E"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3</w:t>
            </w:r>
            <w:r w:rsidRPr="00545C7F">
              <w:rPr>
                <w:rFonts w:eastAsia="Times New Roman" w:cstheme="minorHAnsi"/>
                <w:b/>
                <w:bCs/>
                <w:color w:val="FFFFFF" w:themeColor="background2"/>
                <w:sz w:val="20"/>
                <w:szCs w:val="20"/>
                <w:lang w:eastAsia="en-AU"/>
              </w:rPr>
              <w:br/>
              <w:t>Not RapidConnect</w:t>
            </w:r>
          </w:p>
        </w:tc>
        <w:tc>
          <w:tcPr>
            <w:tcW w:w="1373" w:type="dxa"/>
            <w:tcBorders>
              <w:top w:val="nil"/>
              <w:left w:val="nil"/>
              <w:bottom w:val="nil"/>
              <w:right w:val="nil"/>
            </w:tcBorders>
            <w:shd w:val="clear" w:color="auto" w:fill="1E3D6B"/>
            <w:vAlign w:val="center"/>
            <w:hideMark/>
          </w:tcPr>
          <w:p w14:paraId="52B706D1"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3</w:t>
            </w:r>
            <w:r w:rsidRPr="00545C7F">
              <w:rPr>
                <w:rFonts w:eastAsia="Times New Roman" w:cstheme="minorHAnsi"/>
                <w:b/>
                <w:bCs/>
                <w:color w:val="FFFFFF" w:themeColor="background2"/>
                <w:sz w:val="20"/>
                <w:szCs w:val="20"/>
                <w:lang w:eastAsia="en-AU"/>
              </w:rPr>
              <w:br/>
              <w:t>RapidConnect</w:t>
            </w:r>
          </w:p>
        </w:tc>
        <w:tc>
          <w:tcPr>
            <w:tcW w:w="1379" w:type="dxa"/>
            <w:gridSpan w:val="2"/>
            <w:tcBorders>
              <w:top w:val="nil"/>
              <w:left w:val="nil"/>
              <w:bottom w:val="nil"/>
              <w:right w:val="nil"/>
            </w:tcBorders>
            <w:shd w:val="clear" w:color="auto" w:fill="1E3D6B"/>
            <w:vAlign w:val="center"/>
            <w:hideMark/>
          </w:tcPr>
          <w:p w14:paraId="528D5FFC" w14:textId="77777777" w:rsidR="00961617" w:rsidRPr="00545C7F" w:rsidRDefault="00961617" w:rsidP="0020771F">
            <w:pPr>
              <w:spacing w:after="0" w:line="240" w:lineRule="auto"/>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4</w:t>
            </w:r>
            <w:r w:rsidRPr="00545C7F">
              <w:rPr>
                <w:rFonts w:eastAsia="Times New Roman" w:cstheme="minorHAnsi"/>
                <w:b/>
                <w:bCs/>
                <w:color w:val="FFFFFF" w:themeColor="background2"/>
                <w:sz w:val="20"/>
                <w:szCs w:val="20"/>
                <w:lang w:eastAsia="en-AU"/>
              </w:rPr>
              <w:br/>
              <w:t>Not RapidConnect</w:t>
            </w:r>
          </w:p>
        </w:tc>
        <w:tc>
          <w:tcPr>
            <w:tcW w:w="1326" w:type="dxa"/>
            <w:gridSpan w:val="2"/>
            <w:tcBorders>
              <w:top w:val="nil"/>
              <w:left w:val="nil"/>
              <w:bottom w:val="nil"/>
              <w:right w:val="nil"/>
            </w:tcBorders>
            <w:shd w:val="clear" w:color="auto" w:fill="1E3D6B"/>
            <w:vAlign w:val="center"/>
            <w:hideMark/>
          </w:tcPr>
          <w:p w14:paraId="14A81B25"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Stream 4</w:t>
            </w:r>
            <w:r w:rsidRPr="00545C7F">
              <w:rPr>
                <w:rFonts w:eastAsia="Times New Roman" w:cstheme="minorHAnsi"/>
                <w:b/>
                <w:bCs/>
                <w:color w:val="FFFFFF" w:themeColor="background2"/>
                <w:sz w:val="20"/>
                <w:szCs w:val="20"/>
                <w:lang w:eastAsia="en-AU"/>
              </w:rPr>
              <w:br/>
              <w:t>RapidConnect</w:t>
            </w:r>
          </w:p>
        </w:tc>
        <w:tc>
          <w:tcPr>
            <w:tcW w:w="1276" w:type="dxa"/>
            <w:tcBorders>
              <w:top w:val="nil"/>
              <w:left w:val="nil"/>
              <w:bottom w:val="nil"/>
              <w:right w:val="nil"/>
            </w:tcBorders>
            <w:shd w:val="clear" w:color="auto" w:fill="1E3D6B"/>
            <w:vAlign w:val="center"/>
            <w:hideMark/>
          </w:tcPr>
          <w:p w14:paraId="102610B1"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Total</w:t>
            </w:r>
            <w:r w:rsidRPr="00545C7F">
              <w:rPr>
                <w:rFonts w:eastAsia="Times New Roman" w:cstheme="minorHAnsi"/>
                <w:b/>
                <w:bCs/>
                <w:color w:val="FFFFFF" w:themeColor="background2"/>
                <w:sz w:val="20"/>
                <w:szCs w:val="20"/>
                <w:lang w:eastAsia="en-AU"/>
              </w:rPr>
              <w:br/>
              <w:t>Not RapidConnect</w:t>
            </w:r>
          </w:p>
        </w:tc>
        <w:tc>
          <w:tcPr>
            <w:tcW w:w="1276" w:type="dxa"/>
            <w:tcBorders>
              <w:top w:val="nil"/>
              <w:left w:val="nil"/>
              <w:bottom w:val="nil"/>
              <w:right w:val="nil"/>
            </w:tcBorders>
            <w:shd w:val="clear" w:color="auto" w:fill="1E3D6B"/>
            <w:vAlign w:val="center"/>
            <w:hideMark/>
          </w:tcPr>
          <w:p w14:paraId="1F5B1D43" w14:textId="77777777" w:rsidR="00961617" w:rsidRPr="00545C7F" w:rsidRDefault="00961617" w:rsidP="0020771F">
            <w:pPr>
              <w:spacing w:after="0" w:line="240" w:lineRule="auto"/>
              <w:ind w:right="-62"/>
              <w:jc w:val="center"/>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Total</w:t>
            </w:r>
            <w:r w:rsidRPr="00545C7F">
              <w:rPr>
                <w:rFonts w:eastAsia="Times New Roman" w:cstheme="minorHAnsi"/>
                <w:b/>
                <w:bCs/>
                <w:color w:val="FFFFFF" w:themeColor="background2"/>
                <w:sz w:val="20"/>
                <w:szCs w:val="20"/>
                <w:lang w:eastAsia="en-AU"/>
              </w:rPr>
              <w:br/>
              <w:t>RapidConnect</w:t>
            </w:r>
          </w:p>
        </w:tc>
      </w:tr>
      <w:tr w:rsidR="00961617" w:rsidRPr="00545C7F" w14:paraId="4CA8BFA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shd w:val="clear" w:color="auto" w:fill="auto"/>
            <w:noWrap/>
            <w:vAlign w:val="center"/>
            <w:hideMark/>
          </w:tcPr>
          <w:p w14:paraId="5883B0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324" w:type="dxa"/>
            <w:shd w:val="clear" w:color="auto" w:fill="auto"/>
            <w:noWrap/>
            <w:vAlign w:val="center"/>
            <w:hideMark/>
          </w:tcPr>
          <w:p w14:paraId="4F1E59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8" w:type="dxa"/>
            <w:gridSpan w:val="2"/>
            <w:shd w:val="clear" w:color="auto" w:fill="auto"/>
            <w:noWrap/>
            <w:vAlign w:val="center"/>
            <w:hideMark/>
          </w:tcPr>
          <w:p w14:paraId="5A5117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gridSpan w:val="2"/>
            <w:shd w:val="clear" w:color="auto" w:fill="auto"/>
            <w:noWrap/>
            <w:vAlign w:val="center"/>
            <w:hideMark/>
          </w:tcPr>
          <w:p w14:paraId="73F019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shd w:val="clear" w:color="auto" w:fill="auto"/>
            <w:noWrap/>
            <w:vAlign w:val="center"/>
            <w:hideMark/>
          </w:tcPr>
          <w:p w14:paraId="5D1ED4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gridSpan w:val="2"/>
            <w:shd w:val="clear" w:color="auto" w:fill="auto"/>
            <w:noWrap/>
            <w:vAlign w:val="center"/>
            <w:hideMark/>
          </w:tcPr>
          <w:p w14:paraId="02D803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8" w:type="dxa"/>
            <w:gridSpan w:val="3"/>
            <w:shd w:val="clear" w:color="auto" w:fill="auto"/>
            <w:noWrap/>
            <w:vAlign w:val="center"/>
            <w:hideMark/>
          </w:tcPr>
          <w:p w14:paraId="341715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gridSpan w:val="2"/>
            <w:shd w:val="clear" w:color="auto" w:fill="auto"/>
            <w:noWrap/>
            <w:vAlign w:val="center"/>
            <w:hideMark/>
          </w:tcPr>
          <w:p w14:paraId="74AF58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shd w:val="clear" w:color="auto" w:fill="auto"/>
            <w:noWrap/>
            <w:vAlign w:val="center"/>
            <w:hideMark/>
          </w:tcPr>
          <w:p w14:paraId="05DCFF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shd w:val="clear" w:color="auto" w:fill="auto"/>
            <w:noWrap/>
            <w:vAlign w:val="center"/>
            <w:hideMark/>
          </w:tcPr>
          <w:p w14:paraId="0A3978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shd w:val="clear" w:color="auto" w:fill="auto"/>
            <w:noWrap/>
            <w:vAlign w:val="center"/>
            <w:hideMark/>
          </w:tcPr>
          <w:p w14:paraId="59CA9A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7F59F88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left w:val="nil"/>
              <w:bottom w:val="nil"/>
              <w:right w:val="nil"/>
            </w:tcBorders>
            <w:shd w:val="clear" w:color="auto" w:fill="E5E5E5" w:themeFill="background1" w:themeFillTint="33"/>
            <w:noWrap/>
            <w:vAlign w:val="center"/>
            <w:hideMark/>
          </w:tcPr>
          <w:p w14:paraId="00CCC7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324" w:type="dxa"/>
            <w:tcBorders>
              <w:left w:val="nil"/>
              <w:bottom w:val="nil"/>
              <w:right w:val="nil"/>
            </w:tcBorders>
            <w:shd w:val="clear" w:color="auto" w:fill="E5E5E5" w:themeFill="background1" w:themeFillTint="33"/>
            <w:noWrap/>
            <w:vAlign w:val="center"/>
            <w:hideMark/>
          </w:tcPr>
          <w:p w14:paraId="4B089A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6.37</w:t>
            </w:r>
          </w:p>
        </w:tc>
        <w:tc>
          <w:tcPr>
            <w:tcW w:w="1418" w:type="dxa"/>
            <w:gridSpan w:val="2"/>
            <w:tcBorders>
              <w:left w:val="nil"/>
              <w:bottom w:val="nil"/>
              <w:right w:val="nil"/>
            </w:tcBorders>
            <w:shd w:val="clear" w:color="auto" w:fill="E5E5E5" w:themeFill="background1" w:themeFillTint="33"/>
            <w:noWrap/>
            <w:vAlign w:val="center"/>
            <w:hideMark/>
          </w:tcPr>
          <w:p w14:paraId="241023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12.72</w:t>
            </w:r>
          </w:p>
        </w:tc>
        <w:tc>
          <w:tcPr>
            <w:tcW w:w="1417" w:type="dxa"/>
            <w:gridSpan w:val="2"/>
            <w:tcBorders>
              <w:left w:val="nil"/>
              <w:bottom w:val="nil"/>
              <w:right w:val="nil"/>
            </w:tcBorders>
            <w:shd w:val="clear" w:color="auto" w:fill="E5E5E5" w:themeFill="background1" w:themeFillTint="33"/>
            <w:noWrap/>
            <w:vAlign w:val="center"/>
            <w:hideMark/>
          </w:tcPr>
          <w:p w14:paraId="1A2008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10.75</w:t>
            </w:r>
          </w:p>
        </w:tc>
        <w:tc>
          <w:tcPr>
            <w:tcW w:w="1276" w:type="dxa"/>
            <w:tcBorders>
              <w:left w:val="nil"/>
              <w:bottom w:val="nil"/>
              <w:right w:val="nil"/>
            </w:tcBorders>
            <w:shd w:val="clear" w:color="auto" w:fill="E5E5E5" w:themeFill="background1" w:themeFillTint="33"/>
            <w:noWrap/>
            <w:vAlign w:val="center"/>
            <w:hideMark/>
          </w:tcPr>
          <w:p w14:paraId="59F783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18.50</w:t>
            </w:r>
          </w:p>
        </w:tc>
        <w:tc>
          <w:tcPr>
            <w:tcW w:w="1559" w:type="dxa"/>
            <w:gridSpan w:val="2"/>
            <w:tcBorders>
              <w:left w:val="nil"/>
              <w:bottom w:val="nil"/>
              <w:right w:val="nil"/>
            </w:tcBorders>
            <w:shd w:val="clear" w:color="auto" w:fill="E5E5E5" w:themeFill="background1" w:themeFillTint="33"/>
            <w:noWrap/>
            <w:vAlign w:val="center"/>
            <w:hideMark/>
          </w:tcPr>
          <w:p w14:paraId="078125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17.49</w:t>
            </w:r>
          </w:p>
        </w:tc>
        <w:tc>
          <w:tcPr>
            <w:tcW w:w="1418" w:type="dxa"/>
            <w:gridSpan w:val="3"/>
            <w:tcBorders>
              <w:left w:val="nil"/>
              <w:bottom w:val="nil"/>
              <w:right w:val="nil"/>
            </w:tcBorders>
            <w:shd w:val="clear" w:color="auto" w:fill="E5E5E5" w:themeFill="background1" w:themeFillTint="33"/>
            <w:noWrap/>
            <w:vAlign w:val="center"/>
            <w:hideMark/>
          </w:tcPr>
          <w:p w14:paraId="008E6F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26.18</w:t>
            </w:r>
          </w:p>
        </w:tc>
        <w:tc>
          <w:tcPr>
            <w:tcW w:w="1417" w:type="dxa"/>
            <w:gridSpan w:val="2"/>
            <w:tcBorders>
              <w:left w:val="nil"/>
              <w:bottom w:val="nil"/>
              <w:right w:val="nil"/>
            </w:tcBorders>
            <w:shd w:val="clear" w:color="auto" w:fill="E5E5E5" w:themeFill="background1" w:themeFillTint="33"/>
            <w:noWrap/>
            <w:vAlign w:val="center"/>
            <w:hideMark/>
          </w:tcPr>
          <w:p w14:paraId="734646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13.40</w:t>
            </w:r>
          </w:p>
        </w:tc>
        <w:tc>
          <w:tcPr>
            <w:tcW w:w="1276" w:type="dxa"/>
            <w:tcBorders>
              <w:left w:val="nil"/>
              <w:bottom w:val="nil"/>
              <w:right w:val="nil"/>
            </w:tcBorders>
            <w:shd w:val="clear" w:color="auto" w:fill="E5E5E5" w:themeFill="background1" w:themeFillTint="33"/>
            <w:noWrap/>
            <w:vAlign w:val="center"/>
            <w:hideMark/>
          </w:tcPr>
          <w:p w14:paraId="6A1C7E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21.67</w:t>
            </w:r>
          </w:p>
        </w:tc>
        <w:tc>
          <w:tcPr>
            <w:tcW w:w="1276" w:type="dxa"/>
            <w:tcBorders>
              <w:left w:val="nil"/>
              <w:bottom w:val="nil"/>
              <w:right w:val="nil"/>
            </w:tcBorders>
            <w:shd w:val="clear" w:color="auto" w:fill="E5E5E5" w:themeFill="background1" w:themeFillTint="33"/>
            <w:noWrap/>
            <w:vAlign w:val="center"/>
            <w:hideMark/>
          </w:tcPr>
          <w:p w14:paraId="623BDE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w:t>
            </w:r>
          </w:p>
        </w:tc>
        <w:tc>
          <w:tcPr>
            <w:tcW w:w="1276" w:type="dxa"/>
            <w:tcBorders>
              <w:left w:val="nil"/>
              <w:bottom w:val="nil"/>
              <w:right w:val="nil"/>
            </w:tcBorders>
            <w:shd w:val="clear" w:color="auto" w:fill="E5E5E5" w:themeFill="background1" w:themeFillTint="33"/>
            <w:noWrap/>
            <w:vAlign w:val="center"/>
            <w:hideMark/>
          </w:tcPr>
          <w:p w14:paraId="2DD92B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13.42</w:t>
            </w:r>
          </w:p>
        </w:tc>
      </w:tr>
      <w:tr w:rsidR="00961617" w:rsidRPr="00545C7F" w14:paraId="238CC44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39A0EA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324" w:type="dxa"/>
            <w:tcBorders>
              <w:top w:val="nil"/>
              <w:left w:val="nil"/>
              <w:bottom w:val="nil"/>
              <w:right w:val="nil"/>
            </w:tcBorders>
            <w:shd w:val="clear" w:color="auto" w:fill="auto"/>
            <w:noWrap/>
            <w:vAlign w:val="center"/>
            <w:hideMark/>
          </w:tcPr>
          <w:p w14:paraId="6D4685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19.18</w:t>
            </w:r>
          </w:p>
        </w:tc>
        <w:tc>
          <w:tcPr>
            <w:tcW w:w="1418" w:type="dxa"/>
            <w:gridSpan w:val="2"/>
            <w:tcBorders>
              <w:top w:val="nil"/>
              <w:left w:val="nil"/>
              <w:bottom w:val="nil"/>
              <w:right w:val="nil"/>
            </w:tcBorders>
            <w:shd w:val="clear" w:color="auto" w:fill="auto"/>
            <w:noWrap/>
            <w:vAlign w:val="center"/>
            <w:hideMark/>
          </w:tcPr>
          <w:p w14:paraId="456DA5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44.20</w:t>
            </w:r>
          </w:p>
        </w:tc>
        <w:tc>
          <w:tcPr>
            <w:tcW w:w="1417" w:type="dxa"/>
            <w:gridSpan w:val="2"/>
            <w:tcBorders>
              <w:top w:val="nil"/>
              <w:left w:val="nil"/>
              <w:bottom w:val="nil"/>
              <w:right w:val="nil"/>
            </w:tcBorders>
            <w:shd w:val="clear" w:color="auto" w:fill="auto"/>
            <w:noWrap/>
            <w:vAlign w:val="center"/>
            <w:hideMark/>
          </w:tcPr>
          <w:p w14:paraId="1A7D30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24.05</w:t>
            </w:r>
          </w:p>
        </w:tc>
        <w:tc>
          <w:tcPr>
            <w:tcW w:w="1276" w:type="dxa"/>
            <w:tcBorders>
              <w:top w:val="nil"/>
              <w:left w:val="nil"/>
              <w:bottom w:val="nil"/>
              <w:right w:val="nil"/>
            </w:tcBorders>
            <w:shd w:val="clear" w:color="auto" w:fill="auto"/>
            <w:noWrap/>
            <w:vAlign w:val="center"/>
            <w:hideMark/>
          </w:tcPr>
          <w:p w14:paraId="4FB42E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48.76</w:t>
            </w:r>
          </w:p>
        </w:tc>
        <w:tc>
          <w:tcPr>
            <w:tcW w:w="1559" w:type="dxa"/>
            <w:gridSpan w:val="2"/>
            <w:tcBorders>
              <w:top w:val="nil"/>
              <w:left w:val="nil"/>
              <w:bottom w:val="nil"/>
              <w:right w:val="nil"/>
            </w:tcBorders>
            <w:shd w:val="clear" w:color="auto" w:fill="auto"/>
            <w:noWrap/>
            <w:vAlign w:val="center"/>
            <w:hideMark/>
          </w:tcPr>
          <w:p w14:paraId="4E746D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30.02</w:t>
            </w:r>
          </w:p>
        </w:tc>
        <w:tc>
          <w:tcPr>
            <w:tcW w:w="1418" w:type="dxa"/>
            <w:gridSpan w:val="3"/>
            <w:tcBorders>
              <w:top w:val="nil"/>
              <w:left w:val="nil"/>
              <w:bottom w:val="nil"/>
              <w:right w:val="nil"/>
            </w:tcBorders>
            <w:shd w:val="clear" w:color="auto" w:fill="auto"/>
            <w:noWrap/>
            <w:vAlign w:val="center"/>
            <w:hideMark/>
          </w:tcPr>
          <w:p w14:paraId="6392F6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54.66</w:t>
            </w:r>
          </w:p>
        </w:tc>
        <w:tc>
          <w:tcPr>
            <w:tcW w:w="1417" w:type="dxa"/>
            <w:gridSpan w:val="2"/>
            <w:tcBorders>
              <w:top w:val="nil"/>
              <w:left w:val="nil"/>
              <w:bottom w:val="nil"/>
              <w:right w:val="nil"/>
            </w:tcBorders>
            <w:shd w:val="clear" w:color="auto" w:fill="auto"/>
            <w:noWrap/>
            <w:vAlign w:val="center"/>
            <w:hideMark/>
          </w:tcPr>
          <w:p w14:paraId="1814B9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16.93</w:t>
            </w:r>
          </w:p>
        </w:tc>
        <w:tc>
          <w:tcPr>
            <w:tcW w:w="1276" w:type="dxa"/>
            <w:tcBorders>
              <w:top w:val="nil"/>
              <w:left w:val="nil"/>
              <w:bottom w:val="nil"/>
              <w:right w:val="nil"/>
            </w:tcBorders>
            <w:shd w:val="clear" w:color="auto" w:fill="auto"/>
            <w:noWrap/>
            <w:vAlign w:val="center"/>
            <w:hideMark/>
          </w:tcPr>
          <w:p w14:paraId="6E23E9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54.74</w:t>
            </w:r>
          </w:p>
        </w:tc>
        <w:tc>
          <w:tcPr>
            <w:tcW w:w="1276" w:type="dxa"/>
            <w:tcBorders>
              <w:top w:val="nil"/>
              <w:left w:val="nil"/>
              <w:bottom w:val="nil"/>
              <w:right w:val="nil"/>
            </w:tcBorders>
            <w:shd w:val="clear" w:color="auto" w:fill="auto"/>
            <w:noWrap/>
            <w:vAlign w:val="center"/>
            <w:hideMark/>
          </w:tcPr>
          <w:p w14:paraId="72BB20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20.98</w:t>
            </w:r>
          </w:p>
        </w:tc>
        <w:tc>
          <w:tcPr>
            <w:tcW w:w="1276" w:type="dxa"/>
            <w:tcBorders>
              <w:top w:val="nil"/>
              <w:left w:val="nil"/>
              <w:bottom w:val="nil"/>
              <w:right w:val="nil"/>
            </w:tcBorders>
            <w:shd w:val="clear" w:color="auto" w:fill="auto"/>
            <w:noWrap/>
            <w:vAlign w:val="center"/>
            <w:hideMark/>
          </w:tcPr>
          <w:p w14:paraId="0FD2C2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44.80</w:t>
            </w:r>
          </w:p>
        </w:tc>
      </w:tr>
      <w:tr w:rsidR="00961617" w:rsidRPr="00545C7F" w14:paraId="6BA898F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A53C5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324" w:type="dxa"/>
            <w:tcBorders>
              <w:top w:val="nil"/>
              <w:left w:val="nil"/>
              <w:bottom w:val="nil"/>
              <w:right w:val="nil"/>
            </w:tcBorders>
            <w:shd w:val="clear" w:color="auto" w:fill="E5E5E5" w:themeFill="background1" w:themeFillTint="33"/>
            <w:noWrap/>
            <w:vAlign w:val="center"/>
            <w:hideMark/>
          </w:tcPr>
          <w:p w14:paraId="2AD5E8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26.72</w:t>
            </w:r>
          </w:p>
        </w:tc>
        <w:tc>
          <w:tcPr>
            <w:tcW w:w="1418" w:type="dxa"/>
            <w:gridSpan w:val="2"/>
            <w:tcBorders>
              <w:top w:val="nil"/>
              <w:left w:val="nil"/>
              <w:bottom w:val="nil"/>
              <w:right w:val="nil"/>
            </w:tcBorders>
            <w:shd w:val="clear" w:color="auto" w:fill="E5E5E5" w:themeFill="background1" w:themeFillTint="33"/>
            <w:noWrap/>
            <w:vAlign w:val="center"/>
            <w:hideMark/>
          </w:tcPr>
          <w:p w14:paraId="6B56DE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58.48</w:t>
            </w:r>
          </w:p>
        </w:tc>
        <w:tc>
          <w:tcPr>
            <w:tcW w:w="1417" w:type="dxa"/>
            <w:gridSpan w:val="2"/>
            <w:tcBorders>
              <w:top w:val="nil"/>
              <w:left w:val="nil"/>
              <w:bottom w:val="nil"/>
              <w:right w:val="nil"/>
            </w:tcBorders>
            <w:shd w:val="clear" w:color="auto" w:fill="E5E5E5" w:themeFill="background1" w:themeFillTint="33"/>
            <w:noWrap/>
            <w:vAlign w:val="center"/>
            <w:hideMark/>
          </w:tcPr>
          <w:p w14:paraId="7E95BE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31.53</w:t>
            </w:r>
          </w:p>
        </w:tc>
        <w:tc>
          <w:tcPr>
            <w:tcW w:w="1276" w:type="dxa"/>
            <w:tcBorders>
              <w:top w:val="nil"/>
              <w:left w:val="nil"/>
              <w:bottom w:val="nil"/>
              <w:right w:val="nil"/>
            </w:tcBorders>
            <w:shd w:val="clear" w:color="auto" w:fill="E5E5E5" w:themeFill="background1" w:themeFillTint="33"/>
            <w:noWrap/>
            <w:vAlign w:val="center"/>
            <w:hideMark/>
          </w:tcPr>
          <w:p w14:paraId="51CBA4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61.78</w:t>
            </w:r>
          </w:p>
        </w:tc>
        <w:tc>
          <w:tcPr>
            <w:tcW w:w="1559" w:type="dxa"/>
            <w:gridSpan w:val="2"/>
            <w:tcBorders>
              <w:top w:val="nil"/>
              <w:left w:val="nil"/>
              <w:bottom w:val="nil"/>
              <w:right w:val="nil"/>
            </w:tcBorders>
            <w:shd w:val="clear" w:color="auto" w:fill="E5E5E5" w:themeFill="background1" w:themeFillTint="33"/>
            <w:noWrap/>
            <w:vAlign w:val="center"/>
            <w:hideMark/>
          </w:tcPr>
          <w:p w14:paraId="0C7D56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36.55</w:t>
            </w:r>
          </w:p>
        </w:tc>
        <w:tc>
          <w:tcPr>
            <w:tcW w:w="1418" w:type="dxa"/>
            <w:gridSpan w:val="3"/>
            <w:tcBorders>
              <w:top w:val="nil"/>
              <w:left w:val="nil"/>
              <w:bottom w:val="nil"/>
              <w:right w:val="nil"/>
            </w:tcBorders>
            <w:shd w:val="clear" w:color="auto" w:fill="E5E5E5" w:themeFill="background1" w:themeFillTint="33"/>
            <w:noWrap/>
            <w:vAlign w:val="center"/>
            <w:hideMark/>
          </w:tcPr>
          <w:p w14:paraId="3F5F44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63.02</w:t>
            </w:r>
          </w:p>
        </w:tc>
        <w:tc>
          <w:tcPr>
            <w:tcW w:w="1417" w:type="dxa"/>
            <w:gridSpan w:val="2"/>
            <w:tcBorders>
              <w:top w:val="nil"/>
              <w:left w:val="nil"/>
              <w:bottom w:val="nil"/>
              <w:right w:val="nil"/>
            </w:tcBorders>
            <w:shd w:val="clear" w:color="auto" w:fill="E5E5E5" w:themeFill="background1" w:themeFillTint="33"/>
            <w:noWrap/>
            <w:vAlign w:val="center"/>
            <w:hideMark/>
          </w:tcPr>
          <w:p w14:paraId="44C09D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19.05</w:t>
            </w:r>
          </w:p>
        </w:tc>
        <w:tc>
          <w:tcPr>
            <w:tcW w:w="1276" w:type="dxa"/>
            <w:tcBorders>
              <w:top w:val="nil"/>
              <w:left w:val="nil"/>
              <w:bottom w:val="nil"/>
              <w:right w:val="nil"/>
            </w:tcBorders>
            <w:shd w:val="clear" w:color="auto" w:fill="E5E5E5" w:themeFill="background1" w:themeFillTint="33"/>
            <w:noWrap/>
            <w:vAlign w:val="center"/>
            <w:hideMark/>
          </w:tcPr>
          <w:p w14:paraId="2C6427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66.82</w:t>
            </w:r>
          </w:p>
        </w:tc>
        <w:tc>
          <w:tcPr>
            <w:tcW w:w="1276" w:type="dxa"/>
            <w:tcBorders>
              <w:top w:val="nil"/>
              <w:left w:val="nil"/>
              <w:bottom w:val="nil"/>
              <w:right w:val="nil"/>
            </w:tcBorders>
            <w:shd w:val="clear" w:color="auto" w:fill="E5E5E5" w:themeFill="background1" w:themeFillTint="33"/>
            <w:noWrap/>
            <w:vAlign w:val="center"/>
            <w:hideMark/>
          </w:tcPr>
          <w:p w14:paraId="195AAE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28.13</w:t>
            </w:r>
          </w:p>
        </w:tc>
        <w:tc>
          <w:tcPr>
            <w:tcW w:w="1276" w:type="dxa"/>
            <w:tcBorders>
              <w:top w:val="nil"/>
              <w:left w:val="nil"/>
              <w:bottom w:val="nil"/>
              <w:right w:val="nil"/>
            </w:tcBorders>
            <w:shd w:val="clear" w:color="auto" w:fill="E5E5E5" w:themeFill="background1" w:themeFillTint="33"/>
            <w:noWrap/>
            <w:vAlign w:val="center"/>
            <w:hideMark/>
          </w:tcPr>
          <w:p w14:paraId="46F622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58.91</w:t>
            </w:r>
          </w:p>
        </w:tc>
      </w:tr>
      <w:tr w:rsidR="00961617" w:rsidRPr="00545C7F" w14:paraId="48064AF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3E0185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324" w:type="dxa"/>
            <w:tcBorders>
              <w:top w:val="nil"/>
              <w:left w:val="nil"/>
              <w:bottom w:val="nil"/>
              <w:right w:val="nil"/>
            </w:tcBorders>
            <w:shd w:val="clear" w:color="auto" w:fill="auto"/>
            <w:noWrap/>
            <w:vAlign w:val="center"/>
            <w:hideMark/>
          </w:tcPr>
          <w:p w14:paraId="5B6EB2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32.40</w:t>
            </w:r>
          </w:p>
        </w:tc>
        <w:tc>
          <w:tcPr>
            <w:tcW w:w="1418" w:type="dxa"/>
            <w:gridSpan w:val="2"/>
            <w:tcBorders>
              <w:top w:val="nil"/>
              <w:left w:val="nil"/>
              <w:bottom w:val="nil"/>
              <w:right w:val="nil"/>
            </w:tcBorders>
            <w:shd w:val="clear" w:color="auto" w:fill="auto"/>
            <w:noWrap/>
            <w:vAlign w:val="center"/>
            <w:hideMark/>
          </w:tcPr>
          <w:p w14:paraId="40C368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69.47</w:t>
            </w:r>
          </w:p>
        </w:tc>
        <w:tc>
          <w:tcPr>
            <w:tcW w:w="1417" w:type="dxa"/>
            <w:gridSpan w:val="2"/>
            <w:tcBorders>
              <w:top w:val="nil"/>
              <w:left w:val="nil"/>
              <w:bottom w:val="nil"/>
              <w:right w:val="nil"/>
            </w:tcBorders>
            <w:shd w:val="clear" w:color="auto" w:fill="auto"/>
            <w:noWrap/>
            <w:vAlign w:val="center"/>
            <w:hideMark/>
          </w:tcPr>
          <w:p w14:paraId="2397EA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37.03</w:t>
            </w:r>
          </w:p>
        </w:tc>
        <w:tc>
          <w:tcPr>
            <w:tcW w:w="1276" w:type="dxa"/>
            <w:tcBorders>
              <w:top w:val="nil"/>
              <w:left w:val="nil"/>
              <w:bottom w:val="nil"/>
              <w:right w:val="nil"/>
            </w:tcBorders>
            <w:shd w:val="clear" w:color="auto" w:fill="auto"/>
            <w:noWrap/>
            <w:vAlign w:val="center"/>
            <w:hideMark/>
          </w:tcPr>
          <w:p w14:paraId="160701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72.01</w:t>
            </w:r>
          </w:p>
        </w:tc>
        <w:tc>
          <w:tcPr>
            <w:tcW w:w="1559" w:type="dxa"/>
            <w:gridSpan w:val="2"/>
            <w:tcBorders>
              <w:top w:val="nil"/>
              <w:left w:val="nil"/>
              <w:bottom w:val="nil"/>
              <w:right w:val="nil"/>
            </w:tcBorders>
            <w:shd w:val="clear" w:color="auto" w:fill="auto"/>
            <w:noWrap/>
            <w:vAlign w:val="center"/>
            <w:hideMark/>
          </w:tcPr>
          <w:p w14:paraId="25E28D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40.75</w:t>
            </w:r>
          </w:p>
        </w:tc>
        <w:tc>
          <w:tcPr>
            <w:tcW w:w="1418" w:type="dxa"/>
            <w:gridSpan w:val="3"/>
            <w:tcBorders>
              <w:top w:val="nil"/>
              <w:left w:val="nil"/>
              <w:bottom w:val="nil"/>
              <w:right w:val="nil"/>
            </w:tcBorders>
            <w:shd w:val="clear" w:color="auto" w:fill="auto"/>
            <w:noWrap/>
            <w:vAlign w:val="center"/>
            <w:hideMark/>
          </w:tcPr>
          <w:p w14:paraId="7F4970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72.20</w:t>
            </w:r>
          </w:p>
        </w:tc>
        <w:tc>
          <w:tcPr>
            <w:tcW w:w="1417" w:type="dxa"/>
            <w:gridSpan w:val="2"/>
            <w:tcBorders>
              <w:top w:val="nil"/>
              <w:left w:val="nil"/>
              <w:bottom w:val="nil"/>
              <w:right w:val="nil"/>
            </w:tcBorders>
            <w:shd w:val="clear" w:color="auto" w:fill="auto"/>
            <w:noWrap/>
            <w:vAlign w:val="center"/>
            <w:hideMark/>
          </w:tcPr>
          <w:p w14:paraId="3F6358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20.95</w:t>
            </w:r>
          </w:p>
        </w:tc>
        <w:tc>
          <w:tcPr>
            <w:tcW w:w="1276" w:type="dxa"/>
            <w:tcBorders>
              <w:top w:val="nil"/>
              <w:left w:val="nil"/>
              <w:bottom w:val="nil"/>
              <w:right w:val="nil"/>
            </w:tcBorders>
            <w:shd w:val="clear" w:color="auto" w:fill="auto"/>
            <w:noWrap/>
            <w:vAlign w:val="center"/>
            <w:hideMark/>
          </w:tcPr>
          <w:p w14:paraId="614FDA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76.31</w:t>
            </w:r>
          </w:p>
        </w:tc>
        <w:tc>
          <w:tcPr>
            <w:tcW w:w="1276" w:type="dxa"/>
            <w:tcBorders>
              <w:top w:val="nil"/>
              <w:left w:val="nil"/>
              <w:bottom w:val="nil"/>
              <w:right w:val="nil"/>
            </w:tcBorders>
            <w:shd w:val="clear" w:color="auto" w:fill="auto"/>
            <w:noWrap/>
            <w:vAlign w:val="center"/>
            <w:hideMark/>
          </w:tcPr>
          <w:p w14:paraId="4F8E53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33.45</w:t>
            </w:r>
          </w:p>
        </w:tc>
        <w:tc>
          <w:tcPr>
            <w:tcW w:w="1276" w:type="dxa"/>
            <w:tcBorders>
              <w:top w:val="nil"/>
              <w:left w:val="nil"/>
              <w:bottom w:val="nil"/>
              <w:right w:val="nil"/>
            </w:tcBorders>
            <w:shd w:val="clear" w:color="auto" w:fill="auto"/>
            <w:noWrap/>
            <w:vAlign w:val="center"/>
            <w:hideMark/>
          </w:tcPr>
          <w:p w14:paraId="221984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69.80</w:t>
            </w:r>
          </w:p>
        </w:tc>
      </w:tr>
      <w:tr w:rsidR="00961617" w:rsidRPr="00545C7F" w14:paraId="2569AF7E"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47776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324" w:type="dxa"/>
            <w:tcBorders>
              <w:top w:val="nil"/>
              <w:left w:val="nil"/>
              <w:bottom w:val="nil"/>
              <w:right w:val="nil"/>
            </w:tcBorders>
            <w:shd w:val="clear" w:color="auto" w:fill="E5E5E5" w:themeFill="background1" w:themeFillTint="33"/>
            <w:noWrap/>
            <w:vAlign w:val="center"/>
            <w:hideMark/>
          </w:tcPr>
          <w:p w14:paraId="661719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37.49</w:t>
            </w:r>
          </w:p>
        </w:tc>
        <w:tc>
          <w:tcPr>
            <w:tcW w:w="1418" w:type="dxa"/>
            <w:gridSpan w:val="2"/>
            <w:tcBorders>
              <w:top w:val="nil"/>
              <w:left w:val="nil"/>
              <w:bottom w:val="nil"/>
              <w:right w:val="nil"/>
            </w:tcBorders>
            <w:shd w:val="clear" w:color="auto" w:fill="E5E5E5" w:themeFill="background1" w:themeFillTint="33"/>
            <w:noWrap/>
            <w:vAlign w:val="center"/>
            <w:hideMark/>
          </w:tcPr>
          <w:p w14:paraId="1F3581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78.05</w:t>
            </w:r>
          </w:p>
        </w:tc>
        <w:tc>
          <w:tcPr>
            <w:tcW w:w="1417" w:type="dxa"/>
            <w:gridSpan w:val="2"/>
            <w:tcBorders>
              <w:top w:val="nil"/>
              <w:left w:val="nil"/>
              <w:bottom w:val="nil"/>
              <w:right w:val="nil"/>
            </w:tcBorders>
            <w:shd w:val="clear" w:color="auto" w:fill="E5E5E5" w:themeFill="background1" w:themeFillTint="33"/>
            <w:noWrap/>
            <w:vAlign w:val="center"/>
            <w:hideMark/>
          </w:tcPr>
          <w:p w14:paraId="62A559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41.61</w:t>
            </w:r>
          </w:p>
        </w:tc>
        <w:tc>
          <w:tcPr>
            <w:tcW w:w="1276" w:type="dxa"/>
            <w:tcBorders>
              <w:top w:val="nil"/>
              <w:left w:val="nil"/>
              <w:bottom w:val="nil"/>
              <w:right w:val="nil"/>
            </w:tcBorders>
            <w:shd w:val="clear" w:color="auto" w:fill="E5E5E5" w:themeFill="background1" w:themeFillTint="33"/>
            <w:noWrap/>
            <w:vAlign w:val="center"/>
            <w:hideMark/>
          </w:tcPr>
          <w:p w14:paraId="7C643B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79.83</w:t>
            </w:r>
          </w:p>
        </w:tc>
        <w:tc>
          <w:tcPr>
            <w:tcW w:w="1559" w:type="dxa"/>
            <w:gridSpan w:val="2"/>
            <w:tcBorders>
              <w:top w:val="nil"/>
              <w:left w:val="nil"/>
              <w:bottom w:val="nil"/>
              <w:right w:val="nil"/>
            </w:tcBorders>
            <w:shd w:val="clear" w:color="auto" w:fill="E5E5E5" w:themeFill="background1" w:themeFillTint="33"/>
            <w:noWrap/>
            <w:vAlign w:val="center"/>
            <w:hideMark/>
          </w:tcPr>
          <w:p w14:paraId="2C49CC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44.80</w:t>
            </w:r>
          </w:p>
        </w:tc>
        <w:tc>
          <w:tcPr>
            <w:tcW w:w="1418" w:type="dxa"/>
            <w:gridSpan w:val="3"/>
            <w:tcBorders>
              <w:top w:val="nil"/>
              <w:left w:val="nil"/>
              <w:bottom w:val="nil"/>
              <w:right w:val="nil"/>
            </w:tcBorders>
            <w:shd w:val="clear" w:color="auto" w:fill="E5E5E5" w:themeFill="background1" w:themeFillTint="33"/>
            <w:noWrap/>
            <w:vAlign w:val="center"/>
            <w:hideMark/>
          </w:tcPr>
          <w:p w14:paraId="263057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79.22</w:t>
            </w:r>
          </w:p>
        </w:tc>
        <w:tc>
          <w:tcPr>
            <w:tcW w:w="1417" w:type="dxa"/>
            <w:gridSpan w:val="2"/>
            <w:tcBorders>
              <w:top w:val="nil"/>
              <w:left w:val="nil"/>
              <w:bottom w:val="nil"/>
              <w:right w:val="nil"/>
            </w:tcBorders>
            <w:shd w:val="clear" w:color="auto" w:fill="E5E5E5" w:themeFill="background1" w:themeFillTint="33"/>
            <w:noWrap/>
            <w:vAlign w:val="center"/>
            <w:hideMark/>
          </w:tcPr>
          <w:p w14:paraId="27922C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22.77</w:t>
            </w:r>
          </w:p>
        </w:tc>
        <w:tc>
          <w:tcPr>
            <w:tcW w:w="1276" w:type="dxa"/>
            <w:tcBorders>
              <w:top w:val="nil"/>
              <w:left w:val="nil"/>
              <w:bottom w:val="nil"/>
              <w:right w:val="nil"/>
            </w:tcBorders>
            <w:shd w:val="clear" w:color="auto" w:fill="E5E5E5" w:themeFill="background1" w:themeFillTint="33"/>
            <w:noWrap/>
            <w:vAlign w:val="center"/>
            <w:hideMark/>
          </w:tcPr>
          <w:p w14:paraId="2DBA14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82.09</w:t>
            </w:r>
          </w:p>
        </w:tc>
        <w:tc>
          <w:tcPr>
            <w:tcW w:w="1276" w:type="dxa"/>
            <w:tcBorders>
              <w:top w:val="nil"/>
              <w:left w:val="nil"/>
              <w:bottom w:val="nil"/>
              <w:right w:val="nil"/>
            </w:tcBorders>
            <w:shd w:val="clear" w:color="auto" w:fill="E5E5E5" w:themeFill="background1" w:themeFillTint="33"/>
            <w:noWrap/>
            <w:vAlign w:val="center"/>
            <w:hideMark/>
          </w:tcPr>
          <w:p w14:paraId="56BA41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38.17</w:t>
            </w:r>
          </w:p>
        </w:tc>
        <w:tc>
          <w:tcPr>
            <w:tcW w:w="1276" w:type="dxa"/>
            <w:tcBorders>
              <w:top w:val="nil"/>
              <w:left w:val="nil"/>
              <w:bottom w:val="nil"/>
              <w:right w:val="nil"/>
            </w:tcBorders>
            <w:shd w:val="clear" w:color="auto" w:fill="E5E5E5" w:themeFill="background1" w:themeFillTint="33"/>
            <w:noWrap/>
            <w:vAlign w:val="center"/>
            <w:hideMark/>
          </w:tcPr>
          <w:p w14:paraId="427BE0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78.27</w:t>
            </w:r>
          </w:p>
        </w:tc>
      </w:tr>
      <w:tr w:rsidR="00961617" w:rsidRPr="00545C7F" w14:paraId="1A73A23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627E3F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324" w:type="dxa"/>
            <w:tcBorders>
              <w:top w:val="nil"/>
              <w:left w:val="nil"/>
              <w:bottom w:val="nil"/>
              <w:right w:val="nil"/>
            </w:tcBorders>
            <w:shd w:val="clear" w:color="auto" w:fill="FFFFFF" w:themeFill="background2"/>
            <w:noWrap/>
            <w:vAlign w:val="center"/>
            <w:hideMark/>
          </w:tcPr>
          <w:p w14:paraId="206188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41.64</w:t>
            </w:r>
          </w:p>
        </w:tc>
        <w:tc>
          <w:tcPr>
            <w:tcW w:w="1418" w:type="dxa"/>
            <w:gridSpan w:val="2"/>
            <w:tcBorders>
              <w:top w:val="nil"/>
              <w:left w:val="nil"/>
              <w:bottom w:val="nil"/>
              <w:right w:val="nil"/>
            </w:tcBorders>
            <w:shd w:val="clear" w:color="auto" w:fill="FFFFFF" w:themeFill="background2"/>
            <w:noWrap/>
            <w:vAlign w:val="center"/>
            <w:hideMark/>
          </w:tcPr>
          <w:p w14:paraId="58B748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83.79</w:t>
            </w:r>
          </w:p>
        </w:tc>
        <w:tc>
          <w:tcPr>
            <w:tcW w:w="1417" w:type="dxa"/>
            <w:gridSpan w:val="2"/>
            <w:tcBorders>
              <w:top w:val="nil"/>
              <w:left w:val="nil"/>
              <w:bottom w:val="nil"/>
              <w:right w:val="nil"/>
            </w:tcBorders>
            <w:shd w:val="clear" w:color="auto" w:fill="FFFFFF" w:themeFill="background2"/>
            <w:noWrap/>
            <w:vAlign w:val="center"/>
            <w:hideMark/>
          </w:tcPr>
          <w:p w14:paraId="0A7064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45.29</w:t>
            </w:r>
          </w:p>
        </w:tc>
        <w:tc>
          <w:tcPr>
            <w:tcW w:w="1276" w:type="dxa"/>
            <w:tcBorders>
              <w:top w:val="nil"/>
              <w:left w:val="nil"/>
              <w:bottom w:val="nil"/>
              <w:right w:val="nil"/>
            </w:tcBorders>
            <w:shd w:val="clear" w:color="auto" w:fill="FFFFFF" w:themeFill="background2"/>
            <w:noWrap/>
            <w:vAlign w:val="center"/>
            <w:hideMark/>
          </w:tcPr>
          <w:p w14:paraId="14CD14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84.60</w:t>
            </w:r>
          </w:p>
        </w:tc>
        <w:tc>
          <w:tcPr>
            <w:tcW w:w="1559" w:type="dxa"/>
            <w:gridSpan w:val="2"/>
            <w:tcBorders>
              <w:top w:val="nil"/>
              <w:left w:val="nil"/>
              <w:bottom w:val="nil"/>
              <w:right w:val="nil"/>
            </w:tcBorders>
            <w:shd w:val="clear" w:color="auto" w:fill="FFFFFF" w:themeFill="background2"/>
            <w:noWrap/>
            <w:vAlign w:val="center"/>
            <w:hideMark/>
          </w:tcPr>
          <w:p w14:paraId="1AA448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48.00</w:t>
            </w:r>
          </w:p>
        </w:tc>
        <w:tc>
          <w:tcPr>
            <w:tcW w:w="1418" w:type="dxa"/>
            <w:gridSpan w:val="3"/>
            <w:tcBorders>
              <w:top w:val="nil"/>
              <w:left w:val="nil"/>
              <w:bottom w:val="nil"/>
              <w:right w:val="nil"/>
            </w:tcBorders>
            <w:shd w:val="clear" w:color="auto" w:fill="FFFFFF" w:themeFill="background2"/>
            <w:noWrap/>
            <w:vAlign w:val="center"/>
            <w:hideMark/>
          </w:tcPr>
          <w:p w14:paraId="2B8CA6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83.94</w:t>
            </w:r>
          </w:p>
        </w:tc>
        <w:tc>
          <w:tcPr>
            <w:tcW w:w="1417" w:type="dxa"/>
            <w:gridSpan w:val="2"/>
            <w:tcBorders>
              <w:top w:val="nil"/>
              <w:left w:val="nil"/>
              <w:bottom w:val="nil"/>
              <w:right w:val="nil"/>
            </w:tcBorders>
            <w:shd w:val="clear" w:color="auto" w:fill="FFFFFF" w:themeFill="background2"/>
            <w:noWrap/>
            <w:vAlign w:val="center"/>
            <w:hideMark/>
          </w:tcPr>
          <w:p w14:paraId="4DEF54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24.51</w:t>
            </w:r>
          </w:p>
        </w:tc>
        <w:tc>
          <w:tcPr>
            <w:tcW w:w="1276" w:type="dxa"/>
            <w:tcBorders>
              <w:top w:val="nil"/>
              <w:left w:val="nil"/>
              <w:bottom w:val="nil"/>
              <w:right w:val="nil"/>
            </w:tcBorders>
            <w:shd w:val="clear" w:color="auto" w:fill="FFFFFF" w:themeFill="background2"/>
            <w:noWrap/>
            <w:vAlign w:val="center"/>
            <w:hideMark/>
          </w:tcPr>
          <w:p w14:paraId="7189F1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87.37</w:t>
            </w:r>
          </w:p>
        </w:tc>
        <w:tc>
          <w:tcPr>
            <w:tcW w:w="1276" w:type="dxa"/>
            <w:tcBorders>
              <w:top w:val="nil"/>
              <w:left w:val="nil"/>
              <w:bottom w:val="nil"/>
              <w:right w:val="nil"/>
            </w:tcBorders>
            <w:shd w:val="clear" w:color="auto" w:fill="FFFFFF" w:themeFill="background2"/>
            <w:noWrap/>
            <w:vAlign w:val="center"/>
            <w:hideMark/>
          </w:tcPr>
          <w:p w14:paraId="53F6C9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42.01</w:t>
            </w:r>
          </w:p>
        </w:tc>
        <w:tc>
          <w:tcPr>
            <w:tcW w:w="1276" w:type="dxa"/>
            <w:tcBorders>
              <w:top w:val="nil"/>
              <w:left w:val="nil"/>
              <w:bottom w:val="nil"/>
              <w:right w:val="nil"/>
            </w:tcBorders>
            <w:shd w:val="clear" w:color="auto" w:fill="FFFFFF" w:themeFill="background2"/>
            <w:noWrap/>
            <w:vAlign w:val="center"/>
            <w:hideMark/>
          </w:tcPr>
          <w:p w14:paraId="3D91B9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83.91</w:t>
            </w:r>
          </w:p>
        </w:tc>
      </w:tr>
      <w:tr w:rsidR="00961617" w:rsidRPr="00545C7F" w14:paraId="082AEB0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12341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324" w:type="dxa"/>
            <w:tcBorders>
              <w:top w:val="nil"/>
              <w:left w:val="nil"/>
              <w:bottom w:val="nil"/>
              <w:right w:val="nil"/>
            </w:tcBorders>
            <w:shd w:val="clear" w:color="auto" w:fill="E5E5E5" w:themeFill="background1" w:themeFillTint="33"/>
            <w:noWrap/>
            <w:vAlign w:val="center"/>
            <w:hideMark/>
          </w:tcPr>
          <w:p w14:paraId="20908D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45.61</w:t>
            </w:r>
          </w:p>
        </w:tc>
        <w:tc>
          <w:tcPr>
            <w:tcW w:w="1418" w:type="dxa"/>
            <w:gridSpan w:val="2"/>
            <w:tcBorders>
              <w:top w:val="nil"/>
              <w:left w:val="nil"/>
              <w:bottom w:val="nil"/>
              <w:right w:val="nil"/>
            </w:tcBorders>
            <w:shd w:val="clear" w:color="auto" w:fill="E5E5E5" w:themeFill="background1" w:themeFillTint="33"/>
            <w:noWrap/>
            <w:vAlign w:val="center"/>
            <w:hideMark/>
          </w:tcPr>
          <w:p w14:paraId="6495BC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88.09</w:t>
            </w:r>
          </w:p>
        </w:tc>
        <w:tc>
          <w:tcPr>
            <w:tcW w:w="1417" w:type="dxa"/>
            <w:gridSpan w:val="2"/>
            <w:tcBorders>
              <w:top w:val="nil"/>
              <w:left w:val="nil"/>
              <w:bottom w:val="nil"/>
              <w:right w:val="nil"/>
            </w:tcBorders>
            <w:shd w:val="clear" w:color="auto" w:fill="E5E5E5" w:themeFill="background1" w:themeFillTint="33"/>
            <w:noWrap/>
            <w:vAlign w:val="center"/>
            <w:hideMark/>
          </w:tcPr>
          <w:p w14:paraId="5F72BC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48.97</w:t>
            </w:r>
          </w:p>
        </w:tc>
        <w:tc>
          <w:tcPr>
            <w:tcW w:w="1276" w:type="dxa"/>
            <w:tcBorders>
              <w:top w:val="nil"/>
              <w:left w:val="nil"/>
              <w:bottom w:val="nil"/>
              <w:right w:val="nil"/>
            </w:tcBorders>
            <w:shd w:val="clear" w:color="auto" w:fill="E5E5E5" w:themeFill="background1" w:themeFillTint="33"/>
            <w:noWrap/>
            <w:vAlign w:val="center"/>
            <w:hideMark/>
          </w:tcPr>
          <w:p w14:paraId="4FA4AB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88.18</w:t>
            </w:r>
          </w:p>
        </w:tc>
        <w:tc>
          <w:tcPr>
            <w:tcW w:w="1559" w:type="dxa"/>
            <w:gridSpan w:val="2"/>
            <w:tcBorders>
              <w:top w:val="nil"/>
              <w:left w:val="nil"/>
              <w:bottom w:val="nil"/>
              <w:right w:val="nil"/>
            </w:tcBorders>
            <w:shd w:val="clear" w:color="auto" w:fill="E5E5E5" w:themeFill="background1" w:themeFillTint="33"/>
            <w:noWrap/>
            <w:vAlign w:val="center"/>
            <w:hideMark/>
          </w:tcPr>
          <w:p w14:paraId="7B419B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51.39</w:t>
            </w:r>
          </w:p>
        </w:tc>
        <w:tc>
          <w:tcPr>
            <w:tcW w:w="1418" w:type="dxa"/>
            <w:gridSpan w:val="3"/>
            <w:tcBorders>
              <w:top w:val="nil"/>
              <w:left w:val="nil"/>
              <w:bottom w:val="nil"/>
              <w:right w:val="nil"/>
            </w:tcBorders>
            <w:shd w:val="clear" w:color="auto" w:fill="E5E5E5" w:themeFill="background1" w:themeFillTint="33"/>
            <w:noWrap/>
            <w:vAlign w:val="center"/>
            <w:hideMark/>
          </w:tcPr>
          <w:p w14:paraId="1EE669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87.58</w:t>
            </w:r>
          </w:p>
        </w:tc>
        <w:tc>
          <w:tcPr>
            <w:tcW w:w="1417" w:type="dxa"/>
            <w:gridSpan w:val="2"/>
            <w:tcBorders>
              <w:top w:val="nil"/>
              <w:left w:val="nil"/>
              <w:bottom w:val="nil"/>
              <w:right w:val="nil"/>
            </w:tcBorders>
            <w:shd w:val="clear" w:color="auto" w:fill="E5E5E5" w:themeFill="background1" w:themeFillTint="33"/>
            <w:noWrap/>
            <w:vAlign w:val="center"/>
            <w:hideMark/>
          </w:tcPr>
          <w:p w14:paraId="08752E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26.59</w:t>
            </w:r>
          </w:p>
        </w:tc>
        <w:tc>
          <w:tcPr>
            <w:tcW w:w="1276" w:type="dxa"/>
            <w:tcBorders>
              <w:top w:val="nil"/>
              <w:left w:val="nil"/>
              <w:bottom w:val="nil"/>
              <w:right w:val="nil"/>
            </w:tcBorders>
            <w:shd w:val="clear" w:color="auto" w:fill="E5E5E5" w:themeFill="background1" w:themeFillTint="33"/>
            <w:noWrap/>
            <w:vAlign w:val="center"/>
            <w:hideMark/>
          </w:tcPr>
          <w:p w14:paraId="127436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90.45</w:t>
            </w:r>
          </w:p>
        </w:tc>
        <w:tc>
          <w:tcPr>
            <w:tcW w:w="1276" w:type="dxa"/>
            <w:tcBorders>
              <w:top w:val="nil"/>
              <w:left w:val="nil"/>
              <w:bottom w:val="nil"/>
              <w:right w:val="nil"/>
            </w:tcBorders>
            <w:shd w:val="clear" w:color="auto" w:fill="E5E5E5" w:themeFill="background1" w:themeFillTint="33"/>
            <w:noWrap/>
            <w:vAlign w:val="center"/>
            <w:hideMark/>
          </w:tcPr>
          <w:p w14:paraId="0F61C2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45.77</w:t>
            </w:r>
          </w:p>
        </w:tc>
        <w:tc>
          <w:tcPr>
            <w:tcW w:w="1276" w:type="dxa"/>
            <w:tcBorders>
              <w:top w:val="nil"/>
              <w:left w:val="nil"/>
              <w:bottom w:val="nil"/>
              <w:right w:val="nil"/>
            </w:tcBorders>
            <w:shd w:val="clear" w:color="auto" w:fill="E5E5E5" w:themeFill="background1" w:themeFillTint="33"/>
            <w:noWrap/>
            <w:vAlign w:val="center"/>
            <w:hideMark/>
          </w:tcPr>
          <w:p w14:paraId="34825C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88.13</w:t>
            </w:r>
          </w:p>
        </w:tc>
      </w:tr>
      <w:tr w:rsidR="00961617" w:rsidRPr="00545C7F" w14:paraId="6A891EE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71869D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324" w:type="dxa"/>
            <w:tcBorders>
              <w:top w:val="nil"/>
              <w:left w:val="nil"/>
              <w:bottom w:val="nil"/>
              <w:right w:val="nil"/>
            </w:tcBorders>
            <w:shd w:val="clear" w:color="auto" w:fill="FFFFFF" w:themeFill="background2"/>
            <w:noWrap/>
            <w:vAlign w:val="center"/>
            <w:hideMark/>
          </w:tcPr>
          <w:p w14:paraId="5453D4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49.74</w:t>
            </w:r>
          </w:p>
        </w:tc>
        <w:tc>
          <w:tcPr>
            <w:tcW w:w="1418" w:type="dxa"/>
            <w:gridSpan w:val="2"/>
            <w:tcBorders>
              <w:top w:val="nil"/>
              <w:left w:val="nil"/>
              <w:bottom w:val="nil"/>
              <w:right w:val="nil"/>
            </w:tcBorders>
            <w:shd w:val="clear" w:color="auto" w:fill="FFFFFF" w:themeFill="background2"/>
            <w:noWrap/>
            <w:vAlign w:val="center"/>
            <w:hideMark/>
          </w:tcPr>
          <w:p w14:paraId="2EFC6B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91.16</w:t>
            </w:r>
          </w:p>
        </w:tc>
        <w:tc>
          <w:tcPr>
            <w:tcW w:w="1417" w:type="dxa"/>
            <w:gridSpan w:val="2"/>
            <w:tcBorders>
              <w:top w:val="nil"/>
              <w:left w:val="nil"/>
              <w:bottom w:val="nil"/>
              <w:right w:val="nil"/>
            </w:tcBorders>
            <w:shd w:val="clear" w:color="auto" w:fill="FFFFFF" w:themeFill="background2"/>
            <w:noWrap/>
            <w:vAlign w:val="center"/>
            <w:hideMark/>
          </w:tcPr>
          <w:p w14:paraId="24C4EF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52.94</w:t>
            </w:r>
          </w:p>
        </w:tc>
        <w:tc>
          <w:tcPr>
            <w:tcW w:w="1276" w:type="dxa"/>
            <w:tcBorders>
              <w:top w:val="nil"/>
              <w:left w:val="nil"/>
              <w:bottom w:val="nil"/>
              <w:right w:val="nil"/>
            </w:tcBorders>
            <w:shd w:val="clear" w:color="auto" w:fill="FFFFFF" w:themeFill="background2"/>
            <w:noWrap/>
            <w:vAlign w:val="center"/>
            <w:hideMark/>
          </w:tcPr>
          <w:p w14:paraId="323779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90.80</w:t>
            </w:r>
          </w:p>
        </w:tc>
        <w:tc>
          <w:tcPr>
            <w:tcW w:w="1559" w:type="dxa"/>
            <w:gridSpan w:val="2"/>
            <w:tcBorders>
              <w:top w:val="nil"/>
              <w:left w:val="nil"/>
              <w:bottom w:val="nil"/>
              <w:right w:val="nil"/>
            </w:tcBorders>
            <w:shd w:val="clear" w:color="auto" w:fill="FFFFFF" w:themeFill="background2"/>
            <w:noWrap/>
            <w:vAlign w:val="center"/>
            <w:hideMark/>
          </w:tcPr>
          <w:p w14:paraId="1543C7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55.26</w:t>
            </w:r>
          </w:p>
        </w:tc>
        <w:tc>
          <w:tcPr>
            <w:tcW w:w="1418" w:type="dxa"/>
            <w:gridSpan w:val="3"/>
            <w:tcBorders>
              <w:top w:val="nil"/>
              <w:left w:val="nil"/>
              <w:bottom w:val="nil"/>
              <w:right w:val="nil"/>
            </w:tcBorders>
            <w:shd w:val="clear" w:color="auto" w:fill="FFFFFF" w:themeFill="background2"/>
            <w:noWrap/>
            <w:vAlign w:val="center"/>
            <w:hideMark/>
          </w:tcPr>
          <w:p w14:paraId="644D2C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90.28</w:t>
            </w:r>
          </w:p>
        </w:tc>
        <w:tc>
          <w:tcPr>
            <w:tcW w:w="1417" w:type="dxa"/>
            <w:gridSpan w:val="2"/>
            <w:tcBorders>
              <w:top w:val="nil"/>
              <w:left w:val="nil"/>
              <w:bottom w:val="nil"/>
              <w:right w:val="nil"/>
            </w:tcBorders>
            <w:shd w:val="clear" w:color="auto" w:fill="FFFFFF" w:themeFill="background2"/>
            <w:noWrap/>
            <w:vAlign w:val="center"/>
            <w:hideMark/>
          </w:tcPr>
          <w:p w14:paraId="7F9F9E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28.53</w:t>
            </w:r>
          </w:p>
        </w:tc>
        <w:tc>
          <w:tcPr>
            <w:tcW w:w="1276" w:type="dxa"/>
            <w:tcBorders>
              <w:top w:val="nil"/>
              <w:left w:val="nil"/>
              <w:bottom w:val="nil"/>
              <w:right w:val="nil"/>
            </w:tcBorders>
            <w:shd w:val="clear" w:color="auto" w:fill="FFFFFF" w:themeFill="background2"/>
            <w:noWrap/>
            <w:vAlign w:val="center"/>
            <w:hideMark/>
          </w:tcPr>
          <w:p w14:paraId="299736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92.81</w:t>
            </w:r>
          </w:p>
        </w:tc>
        <w:tc>
          <w:tcPr>
            <w:tcW w:w="1276" w:type="dxa"/>
            <w:tcBorders>
              <w:top w:val="nil"/>
              <w:left w:val="nil"/>
              <w:bottom w:val="nil"/>
              <w:right w:val="nil"/>
            </w:tcBorders>
            <w:shd w:val="clear" w:color="auto" w:fill="FFFFFF" w:themeFill="background2"/>
            <w:noWrap/>
            <w:vAlign w:val="center"/>
            <w:hideMark/>
          </w:tcPr>
          <w:p w14:paraId="290A1D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49.73</w:t>
            </w:r>
          </w:p>
        </w:tc>
        <w:tc>
          <w:tcPr>
            <w:tcW w:w="1276" w:type="dxa"/>
            <w:tcBorders>
              <w:top w:val="nil"/>
              <w:left w:val="nil"/>
              <w:bottom w:val="nil"/>
              <w:right w:val="nil"/>
            </w:tcBorders>
            <w:shd w:val="clear" w:color="auto" w:fill="FFFFFF" w:themeFill="background2"/>
            <w:noWrap/>
            <w:vAlign w:val="center"/>
            <w:hideMark/>
          </w:tcPr>
          <w:p w14:paraId="040C64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91.15</w:t>
            </w:r>
          </w:p>
        </w:tc>
      </w:tr>
      <w:tr w:rsidR="00961617" w:rsidRPr="00545C7F" w14:paraId="207D72C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97299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324" w:type="dxa"/>
            <w:tcBorders>
              <w:top w:val="nil"/>
              <w:left w:val="nil"/>
              <w:bottom w:val="nil"/>
              <w:right w:val="nil"/>
            </w:tcBorders>
            <w:shd w:val="clear" w:color="auto" w:fill="E5E5E5" w:themeFill="background1" w:themeFillTint="33"/>
            <w:noWrap/>
            <w:vAlign w:val="center"/>
            <w:hideMark/>
          </w:tcPr>
          <w:p w14:paraId="2C83DF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52.80</w:t>
            </w:r>
          </w:p>
        </w:tc>
        <w:tc>
          <w:tcPr>
            <w:tcW w:w="1418" w:type="dxa"/>
            <w:gridSpan w:val="2"/>
            <w:tcBorders>
              <w:top w:val="nil"/>
              <w:left w:val="nil"/>
              <w:bottom w:val="nil"/>
              <w:right w:val="nil"/>
            </w:tcBorders>
            <w:shd w:val="clear" w:color="auto" w:fill="E5E5E5" w:themeFill="background1" w:themeFillTint="33"/>
            <w:noWrap/>
            <w:vAlign w:val="center"/>
            <w:hideMark/>
          </w:tcPr>
          <w:p w14:paraId="5A1BBC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92.94</w:t>
            </w:r>
          </w:p>
        </w:tc>
        <w:tc>
          <w:tcPr>
            <w:tcW w:w="1417" w:type="dxa"/>
            <w:gridSpan w:val="2"/>
            <w:tcBorders>
              <w:top w:val="nil"/>
              <w:left w:val="nil"/>
              <w:bottom w:val="nil"/>
              <w:right w:val="nil"/>
            </w:tcBorders>
            <w:shd w:val="clear" w:color="auto" w:fill="E5E5E5" w:themeFill="background1" w:themeFillTint="33"/>
            <w:noWrap/>
            <w:vAlign w:val="center"/>
            <w:hideMark/>
          </w:tcPr>
          <w:p w14:paraId="750C5E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55.45</w:t>
            </w:r>
          </w:p>
        </w:tc>
        <w:tc>
          <w:tcPr>
            <w:tcW w:w="1276" w:type="dxa"/>
            <w:tcBorders>
              <w:top w:val="nil"/>
              <w:left w:val="nil"/>
              <w:bottom w:val="nil"/>
              <w:right w:val="nil"/>
            </w:tcBorders>
            <w:shd w:val="clear" w:color="auto" w:fill="E5E5E5" w:themeFill="background1" w:themeFillTint="33"/>
            <w:noWrap/>
            <w:vAlign w:val="center"/>
            <w:hideMark/>
          </w:tcPr>
          <w:p w14:paraId="7684F2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92.73</w:t>
            </w:r>
          </w:p>
        </w:tc>
        <w:tc>
          <w:tcPr>
            <w:tcW w:w="1559" w:type="dxa"/>
            <w:gridSpan w:val="2"/>
            <w:tcBorders>
              <w:top w:val="nil"/>
              <w:left w:val="nil"/>
              <w:bottom w:val="nil"/>
              <w:right w:val="nil"/>
            </w:tcBorders>
            <w:shd w:val="clear" w:color="auto" w:fill="E5E5E5" w:themeFill="background1" w:themeFillTint="33"/>
            <w:noWrap/>
            <w:vAlign w:val="center"/>
            <w:hideMark/>
          </w:tcPr>
          <w:p w14:paraId="654AC9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57.81</w:t>
            </w:r>
          </w:p>
        </w:tc>
        <w:tc>
          <w:tcPr>
            <w:tcW w:w="1418" w:type="dxa"/>
            <w:gridSpan w:val="3"/>
            <w:tcBorders>
              <w:top w:val="nil"/>
              <w:left w:val="nil"/>
              <w:bottom w:val="nil"/>
              <w:right w:val="nil"/>
            </w:tcBorders>
            <w:shd w:val="clear" w:color="auto" w:fill="E5E5E5" w:themeFill="background1" w:themeFillTint="33"/>
            <w:noWrap/>
            <w:vAlign w:val="center"/>
            <w:hideMark/>
          </w:tcPr>
          <w:p w14:paraId="0117FC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92.04</w:t>
            </w:r>
          </w:p>
        </w:tc>
        <w:tc>
          <w:tcPr>
            <w:tcW w:w="1417" w:type="dxa"/>
            <w:gridSpan w:val="2"/>
            <w:tcBorders>
              <w:top w:val="nil"/>
              <w:left w:val="nil"/>
              <w:bottom w:val="nil"/>
              <w:right w:val="nil"/>
            </w:tcBorders>
            <w:shd w:val="clear" w:color="auto" w:fill="E5E5E5" w:themeFill="background1" w:themeFillTint="33"/>
            <w:noWrap/>
            <w:vAlign w:val="center"/>
            <w:hideMark/>
          </w:tcPr>
          <w:p w14:paraId="10393A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30.44</w:t>
            </w:r>
          </w:p>
        </w:tc>
        <w:tc>
          <w:tcPr>
            <w:tcW w:w="1276" w:type="dxa"/>
            <w:tcBorders>
              <w:top w:val="nil"/>
              <w:left w:val="nil"/>
              <w:bottom w:val="nil"/>
              <w:right w:val="nil"/>
            </w:tcBorders>
            <w:shd w:val="clear" w:color="auto" w:fill="E5E5E5" w:themeFill="background1" w:themeFillTint="33"/>
            <w:noWrap/>
            <w:vAlign w:val="center"/>
            <w:hideMark/>
          </w:tcPr>
          <w:p w14:paraId="7E7D7C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93.99</w:t>
            </w:r>
          </w:p>
        </w:tc>
        <w:tc>
          <w:tcPr>
            <w:tcW w:w="1276" w:type="dxa"/>
            <w:tcBorders>
              <w:top w:val="nil"/>
              <w:left w:val="nil"/>
              <w:bottom w:val="nil"/>
              <w:right w:val="nil"/>
            </w:tcBorders>
            <w:shd w:val="clear" w:color="auto" w:fill="E5E5E5" w:themeFill="background1" w:themeFillTint="33"/>
            <w:noWrap/>
            <w:vAlign w:val="center"/>
            <w:hideMark/>
          </w:tcPr>
          <w:p w14:paraId="2F0AF8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52.56</w:t>
            </w:r>
          </w:p>
        </w:tc>
        <w:tc>
          <w:tcPr>
            <w:tcW w:w="1276" w:type="dxa"/>
            <w:tcBorders>
              <w:top w:val="nil"/>
              <w:left w:val="nil"/>
              <w:bottom w:val="nil"/>
              <w:right w:val="nil"/>
            </w:tcBorders>
            <w:shd w:val="clear" w:color="auto" w:fill="E5E5E5" w:themeFill="background1" w:themeFillTint="33"/>
            <w:noWrap/>
            <w:vAlign w:val="center"/>
            <w:hideMark/>
          </w:tcPr>
          <w:p w14:paraId="52FBC9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92.94</w:t>
            </w:r>
          </w:p>
        </w:tc>
      </w:tr>
      <w:tr w:rsidR="00961617" w:rsidRPr="00545C7F" w14:paraId="743085A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07A9A1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324" w:type="dxa"/>
            <w:tcBorders>
              <w:top w:val="nil"/>
              <w:left w:val="nil"/>
              <w:bottom w:val="nil"/>
              <w:right w:val="nil"/>
            </w:tcBorders>
            <w:shd w:val="clear" w:color="auto" w:fill="auto"/>
            <w:noWrap/>
            <w:vAlign w:val="center"/>
            <w:hideMark/>
          </w:tcPr>
          <w:p w14:paraId="119FB7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55.18</w:t>
            </w:r>
          </w:p>
        </w:tc>
        <w:tc>
          <w:tcPr>
            <w:tcW w:w="1418" w:type="dxa"/>
            <w:gridSpan w:val="2"/>
            <w:tcBorders>
              <w:top w:val="nil"/>
              <w:left w:val="nil"/>
              <w:bottom w:val="nil"/>
              <w:right w:val="nil"/>
            </w:tcBorders>
            <w:shd w:val="clear" w:color="auto" w:fill="auto"/>
            <w:noWrap/>
            <w:vAlign w:val="center"/>
            <w:hideMark/>
          </w:tcPr>
          <w:p w14:paraId="375890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94.16</w:t>
            </w:r>
          </w:p>
        </w:tc>
        <w:tc>
          <w:tcPr>
            <w:tcW w:w="1417" w:type="dxa"/>
            <w:gridSpan w:val="2"/>
            <w:tcBorders>
              <w:top w:val="nil"/>
              <w:left w:val="nil"/>
              <w:bottom w:val="nil"/>
              <w:right w:val="nil"/>
            </w:tcBorders>
            <w:shd w:val="clear" w:color="auto" w:fill="auto"/>
            <w:noWrap/>
            <w:vAlign w:val="center"/>
            <w:hideMark/>
          </w:tcPr>
          <w:p w14:paraId="5BA953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57.46</w:t>
            </w:r>
          </w:p>
        </w:tc>
        <w:tc>
          <w:tcPr>
            <w:tcW w:w="1276" w:type="dxa"/>
            <w:tcBorders>
              <w:top w:val="nil"/>
              <w:left w:val="nil"/>
              <w:bottom w:val="nil"/>
              <w:right w:val="nil"/>
            </w:tcBorders>
            <w:shd w:val="clear" w:color="auto" w:fill="auto"/>
            <w:noWrap/>
            <w:vAlign w:val="center"/>
            <w:hideMark/>
          </w:tcPr>
          <w:p w14:paraId="09E22A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93.76</w:t>
            </w:r>
          </w:p>
        </w:tc>
        <w:tc>
          <w:tcPr>
            <w:tcW w:w="1559" w:type="dxa"/>
            <w:gridSpan w:val="2"/>
            <w:tcBorders>
              <w:top w:val="nil"/>
              <w:left w:val="nil"/>
              <w:bottom w:val="nil"/>
              <w:right w:val="nil"/>
            </w:tcBorders>
            <w:shd w:val="clear" w:color="auto" w:fill="auto"/>
            <w:noWrap/>
            <w:vAlign w:val="center"/>
            <w:hideMark/>
          </w:tcPr>
          <w:p w14:paraId="447402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59.58</w:t>
            </w:r>
          </w:p>
        </w:tc>
        <w:tc>
          <w:tcPr>
            <w:tcW w:w="1418" w:type="dxa"/>
            <w:gridSpan w:val="3"/>
            <w:tcBorders>
              <w:top w:val="nil"/>
              <w:left w:val="nil"/>
              <w:bottom w:val="nil"/>
              <w:right w:val="nil"/>
            </w:tcBorders>
            <w:shd w:val="clear" w:color="auto" w:fill="auto"/>
            <w:noWrap/>
            <w:vAlign w:val="center"/>
            <w:hideMark/>
          </w:tcPr>
          <w:p w14:paraId="319670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93.25</w:t>
            </w:r>
          </w:p>
        </w:tc>
        <w:tc>
          <w:tcPr>
            <w:tcW w:w="1417" w:type="dxa"/>
            <w:gridSpan w:val="2"/>
            <w:tcBorders>
              <w:top w:val="nil"/>
              <w:left w:val="nil"/>
              <w:bottom w:val="nil"/>
              <w:right w:val="nil"/>
            </w:tcBorders>
            <w:shd w:val="clear" w:color="auto" w:fill="auto"/>
            <w:noWrap/>
            <w:vAlign w:val="center"/>
            <w:hideMark/>
          </w:tcPr>
          <w:p w14:paraId="736887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31.94</w:t>
            </w:r>
          </w:p>
        </w:tc>
        <w:tc>
          <w:tcPr>
            <w:tcW w:w="1276" w:type="dxa"/>
            <w:tcBorders>
              <w:top w:val="nil"/>
              <w:left w:val="nil"/>
              <w:bottom w:val="nil"/>
              <w:right w:val="nil"/>
            </w:tcBorders>
            <w:shd w:val="clear" w:color="auto" w:fill="auto"/>
            <w:noWrap/>
            <w:vAlign w:val="center"/>
            <w:hideMark/>
          </w:tcPr>
          <w:p w14:paraId="0C1C34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94.89</w:t>
            </w:r>
          </w:p>
        </w:tc>
        <w:tc>
          <w:tcPr>
            <w:tcW w:w="1276" w:type="dxa"/>
            <w:tcBorders>
              <w:top w:val="nil"/>
              <w:left w:val="nil"/>
              <w:bottom w:val="nil"/>
              <w:right w:val="nil"/>
            </w:tcBorders>
            <w:shd w:val="clear" w:color="auto" w:fill="auto"/>
            <w:noWrap/>
            <w:vAlign w:val="center"/>
            <w:hideMark/>
          </w:tcPr>
          <w:p w14:paraId="310A5E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54.76</w:t>
            </w:r>
          </w:p>
        </w:tc>
        <w:tc>
          <w:tcPr>
            <w:tcW w:w="1276" w:type="dxa"/>
            <w:tcBorders>
              <w:top w:val="nil"/>
              <w:left w:val="nil"/>
              <w:bottom w:val="nil"/>
              <w:right w:val="nil"/>
            </w:tcBorders>
            <w:shd w:val="clear" w:color="auto" w:fill="auto"/>
            <w:noWrap/>
            <w:vAlign w:val="center"/>
            <w:hideMark/>
          </w:tcPr>
          <w:p w14:paraId="75DE82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94.13</w:t>
            </w:r>
          </w:p>
        </w:tc>
      </w:tr>
      <w:tr w:rsidR="00961617" w:rsidRPr="00545C7F" w14:paraId="3961513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483B8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324" w:type="dxa"/>
            <w:tcBorders>
              <w:top w:val="nil"/>
              <w:left w:val="nil"/>
              <w:bottom w:val="nil"/>
              <w:right w:val="nil"/>
            </w:tcBorders>
            <w:shd w:val="clear" w:color="auto" w:fill="E5E5E5" w:themeFill="background1" w:themeFillTint="33"/>
            <w:noWrap/>
            <w:vAlign w:val="center"/>
            <w:hideMark/>
          </w:tcPr>
          <w:p w14:paraId="4C526A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57.39</w:t>
            </w:r>
          </w:p>
        </w:tc>
        <w:tc>
          <w:tcPr>
            <w:tcW w:w="1418" w:type="dxa"/>
            <w:gridSpan w:val="2"/>
            <w:tcBorders>
              <w:top w:val="nil"/>
              <w:left w:val="nil"/>
              <w:bottom w:val="nil"/>
              <w:right w:val="nil"/>
            </w:tcBorders>
            <w:shd w:val="clear" w:color="auto" w:fill="E5E5E5" w:themeFill="background1" w:themeFillTint="33"/>
            <w:noWrap/>
            <w:vAlign w:val="center"/>
            <w:hideMark/>
          </w:tcPr>
          <w:p w14:paraId="10CA7E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95.14</w:t>
            </w:r>
          </w:p>
        </w:tc>
        <w:tc>
          <w:tcPr>
            <w:tcW w:w="1417" w:type="dxa"/>
            <w:gridSpan w:val="2"/>
            <w:tcBorders>
              <w:top w:val="nil"/>
              <w:left w:val="nil"/>
              <w:bottom w:val="nil"/>
              <w:right w:val="nil"/>
            </w:tcBorders>
            <w:shd w:val="clear" w:color="auto" w:fill="E5E5E5" w:themeFill="background1" w:themeFillTint="33"/>
            <w:noWrap/>
            <w:vAlign w:val="center"/>
            <w:hideMark/>
          </w:tcPr>
          <w:p w14:paraId="435326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59.29</w:t>
            </w:r>
          </w:p>
        </w:tc>
        <w:tc>
          <w:tcPr>
            <w:tcW w:w="1276" w:type="dxa"/>
            <w:tcBorders>
              <w:top w:val="nil"/>
              <w:left w:val="nil"/>
              <w:bottom w:val="nil"/>
              <w:right w:val="nil"/>
            </w:tcBorders>
            <w:shd w:val="clear" w:color="auto" w:fill="E5E5E5" w:themeFill="background1" w:themeFillTint="33"/>
            <w:noWrap/>
            <w:vAlign w:val="center"/>
            <w:hideMark/>
          </w:tcPr>
          <w:p w14:paraId="67EC31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94.89</w:t>
            </w:r>
          </w:p>
        </w:tc>
        <w:tc>
          <w:tcPr>
            <w:tcW w:w="1559" w:type="dxa"/>
            <w:gridSpan w:val="2"/>
            <w:tcBorders>
              <w:top w:val="nil"/>
              <w:left w:val="nil"/>
              <w:bottom w:val="nil"/>
              <w:right w:val="nil"/>
            </w:tcBorders>
            <w:shd w:val="clear" w:color="auto" w:fill="E5E5E5" w:themeFill="background1" w:themeFillTint="33"/>
            <w:noWrap/>
            <w:vAlign w:val="center"/>
            <w:hideMark/>
          </w:tcPr>
          <w:p w14:paraId="6B28CC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60.98</w:t>
            </w:r>
          </w:p>
        </w:tc>
        <w:tc>
          <w:tcPr>
            <w:tcW w:w="1418" w:type="dxa"/>
            <w:gridSpan w:val="3"/>
            <w:tcBorders>
              <w:top w:val="nil"/>
              <w:left w:val="nil"/>
              <w:bottom w:val="nil"/>
              <w:right w:val="nil"/>
            </w:tcBorders>
            <w:shd w:val="clear" w:color="auto" w:fill="E5E5E5" w:themeFill="background1" w:themeFillTint="33"/>
            <w:noWrap/>
            <w:vAlign w:val="center"/>
            <w:hideMark/>
          </w:tcPr>
          <w:p w14:paraId="173BC7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93.93</w:t>
            </w:r>
          </w:p>
        </w:tc>
        <w:tc>
          <w:tcPr>
            <w:tcW w:w="1417" w:type="dxa"/>
            <w:gridSpan w:val="2"/>
            <w:tcBorders>
              <w:top w:val="nil"/>
              <w:left w:val="nil"/>
              <w:bottom w:val="nil"/>
              <w:right w:val="nil"/>
            </w:tcBorders>
            <w:shd w:val="clear" w:color="auto" w:fill="E5E5E5" w:themeFill="background1" w:themeFillTint="33"/>
            <w:noWrap/>
            <w:vAlign w:val="center"/>
            <w:hideMark/>
          </w:tcPr>
          <w:p w14:paraId="6B6F3B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33.38</w:t>
            </w:r>
          </w:p>
        </w:tc>
        <w:tc>
          <w:tcPr>
            <w:tcW w:w="1276" w:type="dxa"/>
            <w:tcBorders>
              <w:top w:val="nil"/>
              <w:left w:val="nil"/>
              <w:bottom w:val="nil"/>
              <w:right w:val="nil"/>
            </w:tcBorders>
            <w:shd w:val="clear" w:color="auto" w:fill="E5E5E5" w:themeFill="background1" w:themeFillTint="33"/>
            <w:noWrap/>
            <w:vAlign w:val="center"/>
            <w:hideMark/>
          </w:tcPr>
          <w:p w14:paraId="254401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95.79</w:t>
            </w:r>
          </w:p>
        </w:tc>
        <w:tc>
          <w:tcPr>
            <w:tcW w:w="1276" w:type="dxa"/>
            <w:tcBorders>
              <w:top w:val="nil"/>
              <w:left w:val="nil"/>
              <w:bottom w:val="nil"/>
              <w:right w:val="nil"/>
            </w:tcBorders>
            <w:shd w:val="clear" w:color="auto" w:fill="E5E5E5" w:themeFill="background1" w:themeFillTint="33"/>
            <w:noWrap/>
            <w:vAlign w:val="center"/>
            <w:hideMark/>
          </w:tcPr>
          <w:p w14:paraId="3D03DC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56.79</w:t>
            </w:r>
          </w:p>
        </w:tc>
        <w:tc>
          <w:tcPr>
            <w:tcW w:w="1276" w:type="dxa"/>
            <w:tcBorders>
              <w:top w:val="nil"/>
              <w:left w:val="nil"/>
              <w:bottom w:val="nil"/>
              <w:right w:val="nil"/>
            </w:tcBorders>
            <w:shd w:val="clear" w:color="auto" w:fill="E5E5E5" w:themeFill="background1" w:themeFillTint="33"/>
            <w:noWrap/>
            <w:vAlign w:val="center"/>
            <w:hideMark/>
          </w:tcPr>
          <w:p w14:paraId="582FB5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95.12</w:t>
            </w:r>
          </w:p>
        </w:tc>
      </w:tr>
      <w:tr w:rsidR="00961617" w:rsidRPr="00545C7F" w14:paraId="13897B9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65760B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324" w:type="dxa"/>
            <w:tcBorders>
              <w:top w:val="nil"/>
              <w:left w:val="nil"/>
              <w:bottom w:val="nil"/>
              <w:right w:val="nil"/>
            </w:tcBorders>
            <w:shd w:val="clear" w:color="auto" w:fill="auto"/>
            <w:noWrap/>
            <w:vAlign w:val="center"/>
            <w:hideMark/>
          </w:tcPr>
          <w:p w14:paraId="7CAE35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59.52</w:t>
            </w:r>
          </w:p>
        </w:tc>
        <w:tc>
          <w:tcPr>
            <w:tcW w:w="1418" w:type="dxa"/>
            <w:gridSpan w:val="2"/>
            <w:tcBorders>
              <w:top w:val="nil"/>
              <w:left w:val="nil"/>
              <w:bottom w:val="nil"/>
              <w:right w:val="nil"/>
            </w:tcBorders>
            <w:shd w:val="clear" w:color="auto" w:fill="auto"/>
            <w:noWrap/>
            <w:vAlign w:val="center"/>
            <w:hideMark/>
          </w:tcPr>
          <w:p w14:paraId="4235D4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96.07</w:t>
            </w:r>
          </w:p>
        </w:tc>
        <w:tc>
          <w:tcPr>
            <w:tcW w:w="1417" w:type="dxa"/>
            <w:gridSpan w:val="2"/>
            <w:tcBorders>
              <w:top w:val="nil"/>
              <w:left w:val="nil"/>
              <w:bottom w:val="nil"/>
              <w:right w:val="nil"/>
            </w:tcBorders>
            <w:shd w:val="clear" w:color="auto" w:fill="auto"/>
            <w:noWrap/>
            <w:vAlign w:val="center"/>
            <w:hideMark/>
          </w:tcPr>
          <w:p w14:paraId="263321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60.97</w:t>
            </w:r>
          </w:p>
        </w:tc>
        <w:tc>
          <w:tcPr>
            <w:tcW w:w="1276" w:type="dxa"/>
            <w:tcBorders>
              <w:top w:val="nil"/>
              <w:left w:val="nil"/>
              <w:bottom w:val="nil"/>
              <w:right w:val="nil"/>
            </w:tcBorders>
            <w:shd w:val="clear" w:color="auto" w:fill="auto"/>
            <w:noWrap/>
            <w:vAlign w:val="center"/>
            <w:hideMark/>
          </w:tcPr>
          <w:p w14:paraId="128723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95.81</w:t>
            </w:r>
          </w:p>
        </w:tc>
        <w:tc>
          <w:tcPr>
            <w:tcW w:w="1559" w:type="dxa"/>
            <w:gridSpan w:val="2"/>
            <w:tcBorders>
              <w:top w:val="nil"/>
              <w:left w:val="nil"/>
              <w:bottom w:val="nil"/>
              <w:right w:val="nil"/>
            </w:tcBorders>
            <w:shd w:val="clear" w:color="auto" w:fill="auto"/>
            <w:noWrap/>
            <w:vAlign w:val="center"/>
            <w:hideMark/>
          </w:tcPr>
          <w:p w14:paraId="6567A9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62.61</w:t>
            </w:r>
          </w:p>
        </w:tc>
        <w:tc>
          <w:tcPr>
            <w:tcW w:w="1418" w:type="dxa"/>
            <w:gridSpan w:val="3"/>
            <w:tcBorders>
              <w:top w:val="nil"/>
              <w:left w:val="nil"/>
              <w:bottom w:val="nil"/>
              <w:right w:val="nil"/>
            </w:tcBorders>
            <w:shd w:val="clear" w:color="auto" w:fill="auto"/>
            <w:noWrap/>
            <w:vAlign w:val="center"/>
            <w:hideMark/>
          </w:tcPr>
          <w:p w14:paraId="54E617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94.87</w:t>
            </w:r>
          </w:p>
        </w:tc>
        <w:tc>
          <w:tcPr>
            <w:tcW w:w="1417" w:type="dxa"/>
            <w:gridSpan w:val="2"/>
            <w:tcBorders>
              <w:top w:val="nil"/>
              <w:left w:val="nil"/>
              <w:bottom w:val="nil"/>
              <w:right w:val="nil"/>
            </w:tcBorders>
            <w:shd w:val="clear" w:color="auto" w:fill="auto"/>
            <w:noWrap/>
            <w:vAlign w:val="center"/>
            <w:hideMark/>
          </w:tcPr>
          <w:p w14:paraId="1A1A19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34.89</w:t>
            </w:r>
          </w:p>
        </w:tc>
        <w:tc>
          <w:tcPr>
            <w:tcW w:w="1276" w:type="dxa"/>
            <w:tcBorders>
              <w:top w:val="nil"/>
              <w:left w:val="nil"/>
              <w:bottom w:val="nil"/>
              <w:right w:val="nil"/>
            </w:tcBorders>
            <w:shd w:val="clear" w:color="auto" w:fill="auto"/>
            <w:noWrap/>
            <w:vAlign w:val="center"/>
            <w:hideMark/>
          </w:tcPr>
          <w:p w14:paraId="765FAC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96.41</w:t>
            </w:r>
          </w:p>
        </w:tc>
        <w:tc>
          <w:tcPr>
            <w:tcW w:w="1276" w:type="dxa"/>
            <w:tcBorders>
              <w:top w:val="nil"/>
              <w:left w:val="nil"/>
              <w:bottom w:val="nil"/>
              <w:right w:val="nil"/>
            </w:tcBorders>
            <w:shd w:val="clear" w:color="auto" w:fill="auto"/>
            <w:noWrap/>
            <w:vAlign w:val="center"/>
            <w:hideMark/>
          </w:tcPr>
          <w:p w14:paraId="4F5DE3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58.75</w:t>
            </w:r>
          </w:p>
        </w:tc>
        <w:tc>
          <w:tcPr>
            <w:tcW w:w="1276" w:type="dxa"/>
            <w:tcBorders>
              <w:top w:val="nil"/>
              <w:left w:val="nil"/>
              <w:bottom w:val="nil"/>
              <w:right w:val="nil"/>
            </w:tcBorders>
            <w:shd w:val="clear" w:color="auto" w:fill="auto"/>
            <w:noWrap/>
            <w:vAlign w:val="center"/>
            <w:hideMark/>
          </w:tcPr>
          <w:p w14:paraId="5FF6A0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96.04</w:t>
            </w:r>
          </w:p>
        </w:tc>
      </w:tr>
      <w:tr w:rsidR="00961617" w:rsidRPr="00545C7F" w14:paraId="59823F2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1C565C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324" w:type="dxa"/>
            <w:tcBorders>
              <w:top w:val="nil"/>
              <w:left w:val="nil"/>
              <w:bottom w:val="nil"/>
              <w:right w:val="nil"/>
            </w:tcBorders>
            <w:shd w:val="clear" w:color="auto" w:fill="E5E5E5" w:themeFill="background1" w:themeFillTint="33"/>
            <w:noWrap/>
            <w:vAlign w:val="center"/>
            <w:hideMark/>
          </w:tcPr>
          <w:p w14:paraId="3817C6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61.71</w:t>
            </w:r>
          </w:p>
        </w:tc>
        <w:tc>
          <w:tcPr>
            <w:tcW w:w="1418" w:type="dxa"/>
            <w:gridSpan w:val="2"/>
            <w:tcBorders>
              <w:top w:val="nil"/>
              <w:left w:val="nil"/>
              <w:bottom w:val="nil"/>
              <w:right w:val="nil"/>
            </w:tcBorders>
            <w:shd w:val="clear" w:color="auto" w:fill="E5E5E5" w:themeFill="background1" w:themeFillTint="33"/>
            <w:noWrap/>
            <w:vAlign w:val="center"/>
            <w:hideMark/>
          </w:tcPr>
          <w:p w14:paraId="031BAF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96.89</w:t>
            </w:r>
          </w:p>
        </w:tc>
        <w:tc>
          <w:tcPr>
            <w:tcW w:w="1417" w:type="dxa"/>
            <w:gridSpan w:val="2"/>
            <w:tcBorders>
              <w:top w:val="nil"/>
              <w:left w:val="nil"/>
              <w:bottom w:val="nil"/>
              <w:right w:val="nil"/>
            </w:tcBorders>
            <w:shd w:val="clear" w:color="auto" w:fill="E5E5E5" w:themeFill="background1" w:themeFillTint="33"/>
            <w:noWrap/>
            <w:vAlign w:val="center"/>
            <w:hideMark/>
          </w:tcPr>
          <w:p w14:paraId="582E6F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62.76</w:t>
            </w:r>
          </w:p>
        </w:tc>
        <w:tc>
          <w:tcPr>
            <w:tcW w:w="1276" w:type="dxa"/>
            <w:tcBorders>
              <w:top w:val="nil"/>
              <w:left w:val="nil"/>
              <w:bottom w:val="nil"/>
              <w:right w:val="nil"/>
            </w:tcBorders>
            <w:shd w:val="clear" w:color="auto" w:fill="E5E5E5" w:themeFill="background1" w:themeFillTint="33"/>
            <w:noWrap/>
            <w:vAlign w:val="center"/>
            <w:hideMark/>
          </w:tcPr>
          <w:p w14:paraId="087F7A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96.60</w:t>
            </w:r>
          </w:p>
        </w:tc>
        <w:tc>
          <w:tcPr>
            <w:tcW w:w="1559" w:type="dxa"/>
            <w:gridSpan w:val="2"/>
            <w:tcBorders>
              <w:top w:val="nil"/>
              <w:left w:val="nil"/>
              <w:bottom w:val="nil"/>
              <w:right w:val="nil"/>
            </w:tcBorders>
            <w:shd w:val="clear" w:color="auto" w:fill="E5E5E5" w:themeFill="background1" w:themeFillTint="33"/>
            <w:noWrap/>
            <w:vAlign w:val="center"/>
            <w:hideMark/>
          </w:tcPr>
          <w:p w14:paraId="1D8B36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63.93</w:t>
            </w:r>
          </w:p>
        </w:tc>
        <w:tc>
          <w:tcPr>
            <w:tcW w:w="1418" w:type="dxa"/>
            <w:gridSpan w:val="3"/>
            <w:tcBorders>
              <w:top w:val="nil"/>
              <w:left w:val="nil"/>
              <w:bottom w:val="nil"/>
              <w:right w:val="nil"/>
            </w:tcBorders>
            <w:shd w:val="clear" w:color="auto" w:fill="E5E5E5" w:themeFill="background1" w:themeFillTint="33"/>
            <w:noWrap/>
            <w:vAlign w:val="center"/>
            <w:hideMark/>
          </w:tcPr>
          <w:p w14:paraId="00B78B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95.55</w:t>
            </w:r>
          </w:p>
        </w:tc>
        <w:tc>
          <w:tcPr>
            <w:tcW w:w="1417" w:type="dxa"/>
            <w:gridSpan w:val="2"/>
            <w:tcBorders>
              <w:top w:val="nil"/>
              <w:left w:val="nil"/>
              <w:bottom w:val="nil"/>
              <w:right w:val="nil"/>
            </w:tcBorders>
            <w:shd w:val="clear" w:color="auto" w:fill="E5E5E5" w:themeFill="background1" w:themeFillTint="33"/>
            <w:noWrap/>
            <w:vAlign w:val="center"/>
            <w:hideMark/>
          </w:tcPr>
          <w:p w14:paraId="1C5FFE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36.65</w:t>
            </w:r>
          </w:p>
        </w:tc>
        <w:tc>
          <w:tcPr>
            <w:tcW w:w="1276" w:type="dxa"/>
            <w:tcBorders>
              <w:top w:val="nil"/>
              <w:left w:val="nil"/>
              <w:bottom w:val="nil"/>
              <w:right w:val="nil"/>
            </w:tcBorders>
            <w:shd w:val="clear" w:color="auto" w:fill="E5E5E5" w:themeFill="background1" w:themeFillTint="33"/>
            <w:noWrap/>
            <w:vAlign w:val="center"/>
            <w:hideMark/>
          </w:tcPr>
          <w:p w14:paraId="29B136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96.97</w:t>
            </w:r>
          </w:p>
        </w:tc>
        <w:tc>
          <w:tcPr>
            <w:tcW w:w="1276" w:type="dxa"/>
            <w:tcBorders>
              <w:top w:val="nil"/>
              <w:left w:val="nil"/>
              <w:bottom w:val="nil"/>
              <w:right w:val="nil"/>
            </w:tcBorders>
            <w:shd w:val="clear" w:color="auto" w:fill="E5E5E5" w:themeFill="background1" w:themeFillTint="33"/>
            <w:noWrap/>
            <w:vAlign w:val="center"/>
            <w:hideMark/>
          </w:tcPr>
          <w:p w14:paraId="0E7FF9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60.76</w:t>
            </w:r>
          </w:p>
        </w:tc>
        <w:tc>
          <w:tcPr>
            <w:tcW w:w="1276" w:type="dxa"/>
            <w:tcBorders>
              <w:top w:val="nil"/>
              <w:left w:val="nil"/>
              <w:bottom w:val="nil"/>
              <w:right w:val="nil"/>
            </w:tcBorders>
            <w:shd w:val="clear" w:color="auto" w:fill="E5E5E5" w:themeFill="background1" w:themeFillTint="33"/>
            <w:noWrap/>
            <w:vAlign w:val="center"/>
            <w:hideMark/>
          </w:tcPr>
          <w:p w14:paraId="5EA0CA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96.86</w:t>
            </w:r>
          </w:p>
        </w:tc>
      </w:tr>
      <w:tr w:rsidR="00961617" w:rsidRPr="00545C7F" w14:paraId="62F52BF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74BCA5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324" w:type="dxa"/>
            <w:tcBorders>
              <w:top w:val="nil"/>
              <w:left w:val="nil"/>
              <w:bottom w:val="nil"/>
              <w:right w:val="nil"/>
            </w:tcBorders>
            <w:shd w:val="clear" w:color="auto" w:fill="auto"/>
            <w:noWrap/>
            <w:vAlign w:val="center"/>
            <w:hideMark/>
          </w:tcPr>
          <w:p w14:paraId="04247C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64.40</w:t>
            </w:r>
          </w:p>
        </w:tc>
        <w:tc>
          <w:tcPr>
            <w:tcW w:w="1418" w:type="dxa"/>
            <w:gridSpan w:val="2"/>
            <w:tcBorders>
              <w:top w:val="nil"/>
              <w:left w:val="nil"/>
              <w:bottom w:val="nil"/>
              <w:right w:val="nil"/>
            </w:tcBorders>
            <w:shd w:val="clear" w:color="auto" w:fill="auto"/>
            <w:noWrap/>
            <w:vAlign w:val="center"/>
            <w:hideMark/>
          </w:tcPr>
          <w:p w14:paraId="06D6A1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97.67</w:t>
            </w:r>
          </w:p>
        </w:tc>
        <w:tc>
          <w:tcPr>
            <w:tcW w:w="1417" w:type="dxa"/>
            <w:gridSpan w:val="2"/>
            <w:tcBorders>
              <w:top w:val="nil"/>
              <w:left w:val="nil"/>
              <w:bottom w:val="nil"/>
              <w:right w:val="nil"/>
            </w:tcBorders>
            <w:shd w:val="clear" w:color="auto" w:fill="auto"/>
            <w:noWrap/>
            <w:vAlign w:val="center"/>
            <w:hideMark/>
          </w:tcPr>
          <w:p w14:paraId="72EDFC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64.92</w:t>
            </w:r>
          </w:p>
        </w:tc>
        <w:tc>
          <w:tcPr>
            <w:tcW w:w="1276" w:type="dxa"/>
            <w:tcBorders>
              <w:top w:val="nil"/>
              <w:left w:val="nil"/>
              <w:bottom w:val="nil"/>
              <w:right w:val="nil"/>
            </w:tcBorders>
            <w:shd w:val="clear" w:color="auto" w:fill="auto"/>
            <w:noWrap/>
            <w:vAlign w:val="center"/>
            <w:hideMark/>
          </w:tcPr>
          <w:p w14:paraId="2EF396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97.20</w:t>
            </w:r>
          </w:p>
        </w:tc>
        <w:tc>
          <w:tcPr>
            <w:tcW w:w="1559" w:type="dxa"/>
            <w:gridSpan w:val="2"/>
            <w:tcBorders>
              <w:top w:val="nil"/>
              <w:left w:val="nil"/>
              <w:bottom w:val="nil"/>
              <w:right w:val="nil"/>
            </w:tcBorders>
            <w:shd w:val="clear" w:color="auto" w:fill="auto"/>
            <w:noWrap/>
            <w:vAlign w:val="center"/>
            <w:hideMark/>
          </w:tcPr>
          <w:p w14:paraId="51E324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65.84</w:t>
            </w:r>
          </w:p>
        </w:tc>
        <w:tc>
          <w:tcPr>
            <w:tcW w:w="1418" w:type="dxa"/>
            <w:gridSpan w:val="3"/>
            <w:tcBorders>
              <w:top w:val="nil"/>
              <w:left w:val="nil"/>
              <w:bottom w:val="nil"/>
              <w:right w:val="nil"/>
            </w:tcBorders>
            <w:shd w:val="clear" w:color="auto" w:fill="auto"/>
            <w:noWrap/>
            <w:vAlign w:val="center"/>
            <w:hideMark/>
          </w:tcPr>
          <w:p w14:paraId="11F23E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96.49</w:t>
            </w:r>
          </w:p>
        </w:tc>
        <w:tc>
          <w:tcPr>
            <w:tcW w:w="1417" w:type="dxa"/>
            <w:gridSpan w:val="2"/>
            <w:tcBorders>
              <w:top w:val="nil"/>
              <w:left w:val="nil"/>
              <w:bottom w:val="nil"/>
              <w:right w:val="nil"/>
            </w:tcBorders>
            <w:shd w:val="clear" w:color="auto" w:fill="auto"/>
            <w:noWrap/>
            <w:vAlign w:val="center"/>
            <w:hideMark/>
          </w:tcPr>
          <w:p w14:paraId="15632E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38.69</w:t>
            </w:r>
          </w:p>
        </w:tc>
        <w:tc>
          <w:tcPr>
            <w:tcW w:w="1276" w:type="dxa"/>
            <w:tcBorders>
              <w:top w:val="nil"/>
              <w:left w:val="nil"/>
              <w:bottom w:val="nil"/>
              <w:right w:val="nil"/>
            </w:tcBorders>
            <w:shd w:val="clear" w:color="auto" w:fill="auto"/>
            <w:noWrap/>
            <w:vAlign w:val="center"/>
            <w:hideMark/>
          </w:tcPr>
          <w:p w14:paraId="18F073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97.64</w:t>
            </w:r>
          </w:p>
        </w:tc>
        <w:tc>
          <w:tcPr>
            <w:tcW w:w="1276" w:type="dxa"/>
            <w:tcBorders>
              <w:top w:val="nil"/>
              <w:left w:val="nil"/>
              <w:bottom w:val="nil"/>
              <w:right w:val="nil"/>
            </w:tcBorders>
            <w:shd w:val="clear" w:color="auto" w:fill="auto"/>
            <w:noWrap/>
            <w:vAlign w:val="center"/>
            <w:hideMark/>
          </w:tcPr>
          <w:p w14:paraId="5B873F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63.24</w:t>
            </w:r>
          </w:p>
        </w:tc>
        <w:tc>
          <w:tcPr>
            <w:tcW w:w="1276" w:type="dxa"/>
            <w:tcBorders>
              <w:top w:val="nil"/>
              <w:left w:val="nil"/>
              <w:bottom w:val="nil"/>
              <w:right w:val="nil"/>
            </w:tcBorders>
            <w:shd w:val="clear" w:color="auto" w:fill="auto"/>
            <w:noWrap/>
            <w:vAlign w:val="center"/>
            <w:hideMark/>
          </w:tcPr>
          <w:p w14:paraId="6E8AEE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97.62</w:t>
            </w:r>
          </w:p>
        </w:tc>
      </w:tr>
      <w:tr w:rsidR="00961617" w:rsidRPr="00545C7F" w14:paraId="153BEC8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72A466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324" w:type="dxa"/>
            <w:tcBorders>
              <w:top w:val="nil"/>
              <w:left w:val="nil"/>
              <w:bottom w:val="nil"/>
              <w:right w:val="nil"/>
            </w:tcBorders>
            <w:shd w:val="clear" w:color="auto" w:fill="E5E5E5" w:themeFill="background1" w:themeFillTint="33"/>
            <w:noWrap/>
            <w:vAlign w:val="center"/>
            <w:hideMark/>
          </w:tcPr>
          <w:p w14:paraId="280A24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67.34</w:t>
            </w:r>
          </w:p>
        </w:tc>
        <w:tc>
          <w:tcPr>
            <w:tcW w:w="1418" w:type="dxa"/>
            <w:gridSpan w:val="2"/>
            <w:tcBorders>
              <w:top w:val="nil"/>
              <w:left w:val="nil"/>
              <w:bottom w:val="nil"/>
              <w:right w:val="nil"/>
            </w:tcBorders>
            <w:shd w:val="clear" w:color="auto" w:fill="E5E5E5" w:themeFill="background1" w:themeFillTint="33"/>
            <w:noWrap/>
            <w:vAlign w:val="center"/>
            <w:hideMark/>
          </w:tcPr>
          <w:p w14:paraId="281C31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98.41</w:t>
            </w:r>
          </w:p>
        </w:tc>
        <w:tc>
          <w:tcPr>
            <w:tcW w:w="1417" w:type="dxa"/>
            <w:gridSpan w:val="2"/>
            <w:tcBorders>
              <w:top w:val="nil"/>
              <w:left w:val="nil"/>
              <w:bottom w:val="nil"/>
              <w:right w:val="nil"/>
            </w:tcBorders>
            <w:shd w:val="clear" w:color="auto" w:fill="E5E5E5" w:themeFill="background1" w:themeFillTint="33"/>
            <w:noWrap/>
            <w:vAlign w:val="center"/>
            <w:hideMark/>
          </w:tcPr>
          <w:p w14:paraId="5C98DF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67.49</w:t>
            </w:r>
          </w:p>
        </w:tc>
        <w:tc>
          <w:tcPr>
            <w:tcW w:w="1276" w:type="dxa"/>
            <w:tcBorders>
              <w:top w:val="nil"/>
              <w:left w:val="nil"/>
              <w:bottom w:val="nil"/>
              <w:right w:val="nil"/>
            </w:tcBorders>
            <w:shd w:val="clear" w:color="auto" w:fill="E5E5E5" w:themeFill="background1" w:themeFillTint="33"/>
            <w:noWrap/>
            <w:vAlign w:val="center"/>
            <w:hideMark/>
          </w:tcPr>
          <w:p w14:paraId="6FC8C6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97.99</w:t>
            </w:r>
          </w:p>
        </w:tc>
        <w:tc>
          <w:tcPr>
            <w:tcW w:w="1559" w:type="dxa"/>
            <w:gridSpan w:val="2"/>
            <w:tcBorders>
              <w:top w:val="nil"/>
              <w:left w:val="nil"/>
              <w:bottom w:val="nil"/>
              <w:right w:val="nil"/>
            </w:tcBorders>
            <w:shd w:val="clear" w:color="auto" w:fill="E5E5E5" w:themeFill="background1" w:themeFillTint="33"/>
            <w:noWrap/>
            <w:vAlign w:val="center"/>
            <w:hideMark/>
          </w:tcPr>
          <w:p w14:paraId="0482B5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68.20</w:t>
            </w:r>
          </w:p>
        </w:tc>
        <w:tc>
          <w:tcPr>
            <w:tcW w:w="1418" w:type="dxa"/>
            <w:gridSpan w:val="3"/>
            <w:tcBorders>
              <w:top w:val="nil"/>
              <w:left w:val="nil"/>
              <w:bottom w:val="nil"/>
              <w:right w:val="nil"/>
            </w:tcBorders>
            <w:shd w:val="clear" w:color="auto" w:fill="E5E5E5" w:themeFill="background1" w:themeFillTint="33"/>
            <w:noWrap/>
            <w:vAlign w:val="center"/>
            <w:hideMark/>
          </w:tcPr>
          <w:p w14:paraId="257225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97.57</w:t>
            </w:r>
          </w:p>
        </w:tc>
        <w:tc>
          <w:tcPr>
            <w:tcW w:w="1417" w:type="dxa"/>
            <w:gridSpan w:val="2"/>
            <w:tcBorders>
              <w:top w:val="nil"/>
              <w:left w:val="nil"/>
              <w:bottom w:val="nil"/>
              <w:right w:val="nil"/>
            </w:tcBorders>
            <w:shd w:val="clear" w:color="auto" w:fill="E5E5E5" w:themeFill="background1" w:themeFillTint="33"/>
            <w:noWrap/>
            <w:vAlign w:val="center"/>
            <w:hideMark/>
          </w:tcPr>
          <w:p w14:paraId="271D8F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41.81</w:t>
            </w:r>
          </w:p>
        </w:tc>
        <w:tc>
          <w:tcPr>
            <w:tcW w:w="1276" w:type="dxa"/>
            <w:tcBorders>
              <w:top w:val="nil"/>
              <w:left w:val="nil"/>
              <w:bottom w:val="nil"/>
              <w:right w:val="nil"/>
            </w:tcBorders>
            <w:shd w:val="clear" w:color="auto" w:fill="E5E5E5" w:themeFill="background1" w:themeFillTint="33"/>
            <w:noWrap/>
            <w:vAlign w:val="center"/>
            <w:hideMark/>
          </w:tcPr>
          <w:p w14:paraId="341DFA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98.43</w:t>
            </w:r>
          </w:p>
        </w:tc>
        <w:tc>
          <w:tcPr>
            <w:tcW w:w="1276" w:type="dxa"/>
            <w:tcBorders>
              <w:top w:val="nil"/>
              <w:left w:val="nil"/>
              <w:bottom w:val="nil"/>
              <w:right w:val="nil"/>
            </w:tcBorders>
            <w:shd w:val="clear" w:color="auto" w:fill="E5E5E5" w:themeFill="background1" w:themeFillTint="33"/>
            <w:noWrap/>
            <w:vAlign w:val="center"/>
            <w:hideMark/>
          </w:tcPr>
          <w:p w14:paraId="7D2E36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66.06</w:t>
            </w:r>
          </w:p>
        </w:tc>
        <w:tc>
          <w:tcPr>
            <w:tcW w:w="1276" w:type="dxa"/>
            <w:tcBorders>
              <w:top w:val="nil"/>
              <w:left w:val="nil"/>
              <w:bottom w:val="nil"/>
              <w:right w:val="nil"/>
            </w:tcBorders>
            <w:shd w:val="clear" w:color="auto" w:fill="E5E5E5" w:themeFill="background1" w:themeFillTint="33"/>
            <w:noWrap/>
            <w:vAlign w:val="center"/>
            <w:hideMark/>
          </w:tcPr>
          <w:p w14:paraId="70DE24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98.37</w:t>
            </w:r>
          </w:p>
        </w:tc>
      </w:tr>
      <w:tr w:rsidR="00961617" w:rsidRPr="00545C7F" w14:paraId="0321A0E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36ED82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324" w:type="dxa"/>
            <w:tcBorders>
              <w:top w:val="nil"/>
              <w:left w:val="nil"/>
              <w:bottom w:val="nil"/>
              <w:right w:val="nil"/>
            </w:tcBorders>
            <w:shd w:val="clear" w:color="auto" w:fill="auto"/>
            <w:noWrap/>
            <w:vAlign w:val="center"/>
            <w:hideMark/>
          </w:tcPr>
          <w:p w14:paraId="50AEC7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69.28</w:t>
            </w:r>
          </w:p>
        </w:tc>
        <w:tc>
          <w:tcPr>
            <w:tcW w:w="1418" w:type="dxa"/>
            <w:gridSpan w:val="2"/>
            <w:tcBorders>
              <w:top w:val="nil"/>
              <w:left w:val="nil"/>
              <w:bottom w:val="nil"/>
              <w:right w:val="nil"/>
            </w:tcBorders>
            <w:shd w:val="clear" w:color="auto" w:fill="auto"/>
            <w:noWrap/>
            <w:vAlign w:val="center"/>
            <w:hideMark/>
          </w:tcPr>
          <w:p w14:paraId="5C20EA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98.69</w:t>
            </w:r>
          </w:p>
        </w:tc>
        <w:tc>
          <w:tcPr>
            <w:tcW w:w="1417" w:type="dxa"/>
            <w:gridSpan w:val="2"/>
            <w:tcBorders>
              <w:top w:val="nil"/>
              <w:left w:val="nil"/>
              <w:bottom w:val="nil"/>
              <w:right w:val="nil"/>
            </w:tcBorders>
            <w:shd w:val="clear" w:color="auto" w:fill="auto"/>
            <w:noWrap/>
            <w:vAlign w:val="center"/>
            <w:hideMark/>
          </w:tcPr>
          <w:p w14:paraId="75E08B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69.24</w:t>
            </w:r>
          </w:p>
        </w:tc>
        <w:tc>
          <w:tcPr>
            <w:tcW w:w="1276" w:type="dxa"/>
            <w:tcBorders>
              <w:top w:val="nil"/>
              <w:left w:val="nil"/>
              <w:bottom w:val="nil"/>
              <w:right w:val="nil"/>
            </w:tcBorders>
            <w:shd w:val="clear" w:color="auto" w:fill="auto"/>
            <w:noWrap/>
            <w:vAlign w:val="center"/>
            <w:hideMark/>
          </w:tcPr>
          <w:p w14:paraId="42551A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98.34</w:t>
            </w:r>
          </w:p>
        </w:tc>
        <w:tc>
          <w:tcPr>
            <w:tcW w:w="1559" w:type="dxa"/>
            <w:gridSpan w:val="2"/>
            <w:tcBorders>
              <w:top w:val="nil"/>
              <w:left w:val="nil"/>
              <w:bottom w:val="nil"/>
              <w:right w:val="nil"/>
            </w:tcBorders>
            <w:shd w:val="clear" w:color="auto" w:fill="auto"/>
            <w:noWrap/>
            <w:vAlign w:val="center"/>
            <w:hideMark/>
          </w:tcPr>
          <w:p w14:paraId="55E668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69.74</w:t>
            </w:r>
          </w:p>
        </w:tc>
        <w:tc>
          <w:tcPr>
            <w:tcW w:w="1418" w:type="dxa"/>
            <w:gridSpan w:val="3"/>
            <w:tcBorders>
              <w:top w:val="nil"/>
              <w:left w:val="nil"/>
              <w:bottom w:val="nil"/>
              <w:right w:val="nil"/>
            </w:tcBorders>
            <w:shd w:val="clear" w:color="auto" w:fill="auto"/>
            <w:noWrap/>
            <w:vAlign w:val="center"/>
            <w:hideMark/>
          </w:tcPr>
          <w:p w14:paraId="033E4C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98.11</w:t>
            </w:r>
          </w:p>
        </w:tc>
        <w:tc>
          <w:tcPr>
            <w:tcW w:w="1417" w:type="dxa"/>
            <w:gridSpan w:val="2"/>
            <w:tcBorders>
              <w:top w:val="nil"/>
              <w:left w:val="nil"/>
              <w:bottom w:val="nil"/>
              <w:right w:val="nil"/>
            </w:tcBorders>
            <w:shd w:val="clear" w:color="auto" w:fill="auto"/>
            <w:noWrap/>
            <w:vAlign w:val="center"/>
            <w:hideMark/>
          </w:tcPr>
          <w:p w14:paraId="080290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44.13</w:t>
            </w:r>
          </w:p>
        </w:tc>
        <w:tc>
          <w:tcPr>
            <w:tcW w:w="1276" w:type="dxa"/>
            <w:tcBorders>
              <w:top w:val="nil"/>
              <w:left w:val="nil"/>
              <w:bottom w:val="nil"/>
              <w:right w:val="nil"/>
            </w:tcBorders>
            <w:shd w:val="clear" w:color="auto" w:fill="auto"/>
            <w:noWrap/>
            <w:vAlign w:val="center"/>
            <w:hideMark/>
          </w:tcPr>
          <w:p w14:paraId="656B66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98.65</w:t>
            </w:r>
          </w:p>
        </w:tc>
        <w:tc>
          <w:tcPr>
            <w:tcW w:w="1276" w:type="dxa"/>
            <w:tcBorders>
              <w:top w:val="nil"/>
              <w:left w:val="nil"/>
              <w:bottom w:val="nil"/>
              <w:right w:val="nil"/>
            </w:tcBorders>
            <w:shd w:val="clear" w:color="auto" w:fill="auto"/>
            <w:noWrap/>
            <w:vAlign w:val="center"/>
            <w:hideMark/>
          </w:tcPr>
          <w:p w14:paraId="644D5F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67.95</w:t>
            </w:r>
          </w:p>
        </w:tc>
        <w:tc>
          <w:tcPr>
            <w:tcW w:w="1276" w:type="dxa"/>
            <w:tcBorders>
              <w:top w:val="nil"/>
              <w:left w:val="nil"/>
              <w:bottom w:val="nil"/>
              <w:right w:val="nil"/>
            </w:tcBorders>
            <w:shd w:val="clear" w:color="auto" w:fill="auto"/>
            <w:noWrap/>
            <w:vAlign w:val="center"/>
            <w:hideMark/>
          </w:tcPr>
          <w:p w14:paraId="07487E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98.66</w:t>
            </w:r>
          </w:p>
        </w:tc>
      </w:tr>
      <w:tr w:rsidR="00961617" w:rsidRPr="00545C7F" w14:paraId="53B258A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C272E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324" w:type="dxa"/>
            <w:tcBorders>
              <w:top w:val="nil"/>
              <w:left w:val="nil"/>
              <w:bottom w:val="nil"/>
              <w:right w:val="nil"/>
            </w:tcBorders>
            <w:shd w:val="clear" w:color="auto" w:fill="E5E5E5" w:themeFill="background1" w:themeFillTint="33"/>
            <w:noWrap/>
            <w:vAlign w:val="center"/>
            <w:hideMark/>
          </w:tcPr>
          <w:p w14:paraId="46303A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70.75</w:t>
            </w:r>
          </w:p>
        </w:tc>
        <w:tc>
          <w:tcPr>
            <w:tcW w:w="1418" w:type="dxa"/>
            <w:gridSpan w:val="2"/>
            <w:tcBorders>
              <w:top w:val="nil"/>
              <w:left w:val="nil"/>
              <w:bottom w:val="nil"/>
              <w:right w:val="nil"/>
            </w:tcBorders>
            <w:shd w:val="clear" w:color="auto" w:fill="E5E5E5" w:themeFill="background1" w:themeFillTint="33"/>
            <w:noWrap/>
            <w:vAlign w:val="center"/>
            <w:hideMark/>
          </w:tcPr>
          <w:p w14:paraId="435241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98.86</w:t>
            </w:r>
          </w:p>
        </w:tc>
        <w:tc>
          <w:tcPr>
            <w:tcW w:w="1417" w:type="dxa"/>
            <w:gridSpan w:val="2"/>
            <w:tcBorders>
              <w:top w:val="nil"/>
              <w:left w:val="nil"/>
              <w:bottom w:val="nil"/>
              <w:right w:val="nil"/>
            </w:tcBorders>
            <w:shd w:val="clear" w:color="auto" w:fill="E5E5E5" w:themeFill="background1" w:themeFillTint="33"/>
            <w:noWrap/>
            <w:vAlign w:val="center"/>
            <w:hideMark/>
          </w:tcPr>
          <w:p w14:paraId="459C92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70.38</w:t>
            </w:r>
          </w:p>
        </w:tc>
        <w:tc>
          <w:tcPr>
            <w:tcW w:w="1276" w:type="dxa"/>
            <w:tcBorders>
              <w:top w:val="nil"/>
              <w:left w:val="nil"/>
              <w:bottom w:val="nil"/>
              <w:right w:val="nil"/>
            </w:tcBorders>
            <w:shd w:val="clear" w:color="auto" w:fill="E5E5E5" w:themeFill="background1" w:themeFillTint="33"/>
            <w:noWrap/>
            <w:vAlign w:val="center"/>
            <w:hideMark/>
          </w:tcPr>
          <w:p w14:paraId="22B2E8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98.64</w:t>
            </w:r>
          </w:p>
        </w:tc>
        <w:tc>
          <w:tcPr>
            <w:tcW w:w="1559" w:type="dxa"/>
            <w:gridSpan w:val="2"/>
            <w:tcBorders>
              <w:top w:val="nil"/>
              <w:left w:val="nil"/>
              <w:bottom w:val="nil"/>
              <w:right w:val="nil"/>
            </w:tcBorders>
            <w:shd w:val="clear" w:color="auto" w:fill="E5E5E5" w:themeFill="background1" w:themeFillTint="33"/>
            <w:noWrap/>
            <w:vAlign w:val="center"/>
            <w:hideMark/>
          </w:tcPr>
          <w:p w14:paraId="449EF1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70.95</w:t>
            </w:r>
          </w:p>
        </w:tc>
        <w:tc>
          <w:tcPr>
            <w:tcW w:w="1418" w:type="dxa"/>
            <w:gridSpan w:val="3"/>
            <w:tcBorders>
              <w:top w:val="nil"/>
              <w:left w:val="nil"/>
              <w:bottom w:val="nil"/>
              <w:right w:val="nil"/>
            </w:tcBorders>
            <w:shd w:val="clear" w:color="auto" w:fill="E5E5E5" w:themeFill="background1" w:themeFillTint="33"/>
            <w:noWrap/>
            <w:vAlign w:val="center"/>
            <w:hideMark/>
          </w:tcPr>
          <w:p w14:paraId="20A7F7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98.38</w:t>
            </w:r>
          </w:p>
        </w:tc>
        <w:tc>
          <w:tcPr>
            <w:tcW w:w="1417" w:type="dxa"/>
            <w:gridSpan w:val="2"/>
            <w:tcBorders>
              <w:top w:val="nil"/>
              <w:left w:val="nil"/>
              <w:bottom w:val="nil"/>
              <w:right w:val="nil"/>
            </w:tcBorders>
            <w:shd w:val="clear" w:color="auto" w:fill="E5E5E5" w:themeFill="background1" w:themeFillTint="33"/>
            <w:noWrap/>
            <w:vAlign w:val="center"/>
            <w:hideMark/>
          </w:tcPr>
          <w:p w14:paraId="66C4CB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46.25</w:t>
            </w:r>
          </w:p>
        </w:tc>
        <w:tc>
          <w:tcPr>
            <w:tcW w:w="1276" w:type="dxa"/>
            <w:tcBorders>
              <w:top w:val="nil"/>
              <w:left w:val="nil"/>
              <w:bottom w:val="nil"/>
              <w:right w:val="nil"/>
            </w:tcBorders>
            <w:shd w:val="clear" w:color="auto" w:fill="E5E5E5" w:themeFill="background1" w:themeFillTint="33"/>
            <w:noWrap/>
            <w:vAlign w:val="center"/>
            <w:hideMark/>
          </w:tcPr>
          <w:p w14:paraId="26CE66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98.76</w:t>
            </w:r>
          </w:p>
        </w:tc>
        <w:tc>
          <w:tcPr>
            <w:tcW w:w="1276" w:type="dxa"/>
            <w:tcBorders>
              <w:top w:val="nil"/>
              <w:left w:val="nil"/>
              <w:bottom w:val="nil"/>
              <w:right w:val="nil"/>
            </w:tcBorders>
            <w:shd w:val="clear" w:color="auto" w:fill="E5E5E5" w:themeFill="background1" w:themeFillTint="33"/>
            <w:noWrap/>
            <w:vAlign w:val="center"/>
            <w:hideMark/>
          </w:tcPr>
          <w:p w14:paraId="572F0A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69.36</w:t>
            </w:r>
          </w:p>
        </w:tc>
        <w:tc>
          <w:tcPr>
            <w:tcW w:w="1276" w:type="dxa"/>
            <w:tcBorders>
              <w:top w:val="nil"/>
              <w:left w:val="nil"/>
              <w:bottom w:val="nil"/>
              <w:right w:val="nil"/>
            </w:tcBorders>
            <w:shd w:val="clear" w:color="auto" w:fill="E5E5E5" w:themeFill="background1" w:themeFillTint="33"/>
            <w:noWrap/>
            <w:vAlign w:val="center"/>
            <w:hideMark/>
          </w:tcPr>
          <w:p w14:paraId="42ABCB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98.83</w:t>
            </w:r>
          </w:p>
        </w:tc>
      </w:tr>
      <w:tr w:rsidR="00961617" w:rsidRPr="00545C7F" w14:paraId="118DF5C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7C0116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324" w:type="dxa"/>
            <w:tcBorders>
              <w:top w:val="nil"/>
              <w:left w:val="nil"/>
              <w:bottom w:val="nil"/>
              <w:right w:val="nil"/>
            </w:tcBorders>
            <w:shd w:val="clear" w:color="auto" w:fill="auto"/>
            <w:noWrap/>
            <w:vAlign w:val="center"/>
            <w:hideMark/>
          </w:tcPr>
          <w:p w14:paraId="50C640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72.11</w:t>
            </w:r>
          </w:p>
        </w:tc>
        <w:tc>
          <w:tcPr>
            <w:tcW w:w="1418" w:type="dxa"/>
            <w:gridSpan w:val="2"/>
            <w:tcBorders>
              <w:top w:val="nil"/>
              <w:left w:val="nil"/>
              <w:bottom w:val="nil"/>
              <w:right w:val="nil"/>
            </w:tcBorders>
            <w:shd w:val="clear" w:color="auto" w:fill="auto"/>
            <w:noWrap/>
            <w:vAlign w:val="center"/>
            <w:hideMark/>
          </w:tcPr>
          <w:p w14:paraId="609893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99.01</w:t>
            </w:r>
          </w:p>
        </w:tc>
        <w:tc>
          <w:tcPr>
            <w:tcW w:w="1417" w:type="dxa"/>
            <w:gridSpan w:val="2"/>
            <w:tcBorders>
              <w:top w:val="nil"/>
              <w:left w:val="nil"/>
              <w:bottom w:val="nil"/>
              <w:right w:val="nil"/>
            </w:tcBorders>
            <w:shd w:val="clear" w:color="auto" w:fill="auto"/>
            <w:noWrap/>
            <w:vAlign w:val="center"/>
            <w:hideMark/>
          </w:tcPr>
          <w:p w14:paraId="585032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71.54</w:t>
            </w:r>
          </w:p>
        </w:tc>
        <w:tc>
          <w:tcPr>
            <w:tcW w:w="1276" w:type="dxa"/>
            <w:tcBorders>
              <w:top w:val="nil"/>
              <w:left w:val="nil"/>
              <w:bottom w:val="nil"/>
              <w:right w:val="nil"/>
            </w:tcBorders>
            <w:shd w:val="clear" w:color="auto" w:fill="auto"/>
            <w:noWrap/>
            <w:vAlign w:val="center"/>
            <w:hideMark/>
          </w:tcPr>
          <w:p w14:paraId="17A85B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98.80</w:t>
            </w:r>
          </w:p>
        </w:tc>
        <w:tc>
          <w:tcPr>
            <w:tcW w:w="1559" w:type="dxa"/>
            <w:gridSpan w:val="2"/>
            <w:tcBorders>
              <w:top w:val="nil"/>
              <w:left w:val="nil"/>
              <w:bottom w:val="nil"/>
              <w:right w:val="nil"/>
            </w:tcBorders>
            <w:shd w:val="clear" w:color="auto" w:fill="auto"/>
            <w:noWrap/>
            <w:vAlign w:val="center"/>
            <w:hideMark/>
          </w:tcPr>
          <w:p w14:paraId="30C619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71.97</w:t>
            </w:r>
          </w:p>
        </w:tc>
        <w:tc>
          <w:tcPr>
            <w:tcW w:w="1418" w:type="dxa"/>
            <w:gridSpan w:val="3"/>
            <w:tcBorders>
              <w:top w:val="nil"/>
              <w:left w:val="nil"/>
              <w:bottom w:val="nil"/>
              <w:right w:val="nil"/>
            </w:tcBorders>
            <w:shd w:val="clear" w:color="auto" w:fill="auto"/>
            <w:noWrap/>
            <w:vAlign w:val="center"/>
            <w:hideMark/>
          </w:tcPr>
          <w:p w14:paraId="3AD073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98.65</w:t>
            </w:r>
          </w:p>
        </w:tc>
        <w:tc>
          <w:tcPr>
            <w:tcW w:w="1417" w:type="dxa"/>
            <w:gridSpan w:val="2"/>
            <w:tcBorders>
              <w:top w:val="nil"/>
              <w:left w:val="nil"/>
              <w:bottom w:val="nil"/>
              <w:right w:val="nil"/>
            </w:tcBorders>
            <w:shd w:val="clear" w:color="auto" w:fill="auto"/>
            <w:noWrap/>
            <w:vAlign w:val="center"/>
            <w:hideMark/>
          </w:tcPr>
          <w:p w14:paraId="69F261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48.04</w:t>
            </w:r>
          </w:p>
        </w:tc>
        <w:tc>
          <w:tcPr>
            <w:tcW w:w="1276" w:type="dxa"/>
            <w:tcBorders>
              <w:top w:val="nil"/>
              <w:left w:val="nil"/>
              <w:bottom w:val="nil"/>
              <w:right w:val="nil"/>
            </w:tcBorders>
            <w:shd w:val="clear" w:color="auto" w:fill="auto"/>
            <w:noWrap/>
            <w:vAlign w:val="center"/>
            <w:hideMark/>
          </w:tcPr>
          <w:p w14:paraId="129B16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98.99</w:t>
            </w:r>
          </w:p>
        </w:tc>
        <w:tc>
          <w:tcPr>
            <w:tcW w:w="1276" w:type="dxa"/>
            <w:tcBorders>
              <w:top w:val="nil"/>
              <w:left w:val="nil"/>
              <w:bottom w:val="nil"/>
              <w:right w:val="nil"/>
            </w:tcBorders>
            <w:shd w:val="clear" w:color="auto" w:fill="auto"/>
            <w:noWrap/>
            <w:vAlign w:val="center"/>
            <w:hideMark/>
          </w:tcPr>
          <w:p w14:paraId="62BBEE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70.67</w:t>
            </w:r>
          </w:p>
        </w:tc>
        <w:tc>
          <w:tcPr>
            <w:tcW w:w="1276" w:type="dxa"/>
            <w:tcBorders>
              <w:top w:val="nil"/>
              <w:left w:val="nil"/>
              <w:bottom w:val="nil"/>
              <w:right w:val="nil"/>
            </w:tcBorders>
            <w:shd w:val="clear" w:color="auto" w:fill="auto"/>
            <w:noWrap/>
            <w:vAlign w:val="center"/>
            <w:hideMark/>
          </w:tcPr>
          <w:p w14:paraId="5EAF99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98.99</w:t>
            </w:r>
          </w:p>
        </w:tc>
      </w:tr>
      <w:tr w:rsidR="00961617" w:rsidRPr="00545C7F" w14:paraId="35BC8F9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E1AF6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324" w:type="dxa"/>
            <w:tcBorders>
              <w:top w:val="nil"/>
              <w:left w:val="nil"/>
              <w:bottom w:val="nil"/>
              <w:right w:val="nil"/>
            </w:tcBorders>
            <w:shd w:val="clear" w:color="auto" w:fill="E5E5E5" w:themeFill="background1" w:themeFillTint="33"/>
            <w:noWrap/>
            <w:vAlign w:val="center"/>
            <w:hideMark/>
          </w:tcPr>
          <w:p w14:paraId="3B7D43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73.39</w:t>
            </w:r>
          </w:p>
        </w:tc>
        <w:tc>
          <w:tcPr>
            <w:tcW w:w="1418" w:type="dxa"/>
            <w:gridSpan w:val="2"/>
            <w:tcBorders>
              <w:top w:val="nil"/>
              <w:left w:val="nil"/>
              <w:bottom w:val="nil"/>
              <w:right w:val="nil"/>
            </w:tcBorders>
            <w:shd w:val="clear" w:color="auto" w:fill="E5E5E5" w:themeFill="background1" w:themeFillTint="33"/>
            <w:noWrap/>
            <w:vAlign w:val="center"/>
            <w:hideMark/>
          </w:tcPr>
          <w:p w14:paraId="4F9D9A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99.16</w:t>
            </w:r>
          </w:p>
        </w:tc>
        <w:tc>
          <w:tcPr>
            <w:tcW w:w="1417" w:type="dxa"/>
            <w:gridSpan w:val="2"/>
            <w:tcBorders>
              <w:top w:val="nil"/>
              <w:left w:val="nil"/>
              <w:bottom w:val="nil"/>
              <w:right w:val="nil"/>
            </w:tcBorders>
            <w:shd w:val="clear" w:color="auto" w:fill="E5E5E5" w:themeFill="background1" w:themeFillTint="33"/>
            <w:noWrap/>
            <w:vAlign w:val="center"/>
            <w:hideMark/>
          </w:tcPr>
          <w:p w14:paraId="6C4F74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72.69</w:t>
            </w:r>
          </w:p>
        </w:tc>
        <w:tc>
          <w:tcPr>
            <w:tcW w:w="1276" w:type="dxa"/>
            <w:tcBorders>
              <w:top w:val="nil"/>
              <w:left w:val="nil"/>
              <w:bottom w:val="nil"/>
              <w:right w:val="nil"/>
            </w:tcBorders>
            <w:shd w:val="clear" w:color="auto" w:fill="E5E5E5" w:themeFill="background1" w:themeFillTint="33"/>
            <w:noWrap/>
            <w:vAlign w:val="center"/>
            <w:hideMark/>
          </w:tcPr>
          <w:p w14:paraId="3F4028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98.96</w:t>
            </w:r>
          </w:p>
        </w:tc>
        <w:tc>
          <w:tcPr>
            <w:tcW w:w="1559" w:type="dxa"/>
            <w:gridSpan w:val="2"/>
            <w:tcBorders>
              <w:top w:val="nil"/>
              <w:left w:val="nil"/>
              <w:bottom w:val="nil"/>
              <w:right w:val="nil"/>
            </w:tcBorders>
            <w:shd w:val="clear" w:color="auto" w:fill="E5E5E5" w:themeFill="background1" w:themeFillTint="33"/>
            <w:noWrap/>
            <w:vAlign w:val="center"/>
            <w:hideMark/>
          </w:tcPr>
          <w:p w14:paraId="1B6061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72.86</w:t>
            </w:r>
          </w:p>
        </w:tc>
        <w:tc>
          <w:tcPr>
            <w:tcW w:w="1418" w:type="dxa"/>
            <w:gridSpan w:val="3"/>
            <w:tcBorders>
              <w:top w:val="nil"/>
              <w:left w:val="nil"/>
              <w:bottom w:val="nil"/>
              <w:right w:val="nil"/>
            </w:tcBorders>
            <w:shd w:val="clear" w:color="auto" w:fill="E5E5E5" w:themeFill="background1" w:themeFillTint="33"/>
            <w:noWrap/>
            <w:vAlign w:val="center"/>
            <w:hideMark/>
          </w:tcPr>
          <w:p w14:paraId="5B8908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99.06</w:t>
            </w:r>
          </w:p>
        </w:tc>
        <w:tc>
          <w:tcPr>
            <w:tcW w:w="1417" w:type="dxa"/>
            <w:gridSpan w:val="2"/>
            <w:tcBorders>
              <w:top w:val="nil"/>
              <w:left w:val="nil"/>
              <w:bottom w:val="nil"/>
              <w:right w:val="nil"/>
            </w:tcBorders>
            <w:shd w:val="clear" w:color="auto" w:fill="E5E5E5" w:themeFill="background1" w:themeFillTint="33"/>
            <w:noWrap/>
            <w:vAlign w:val="center"/>
            <w:hideMark/>
          </w:tcPr>
          <w:p w14:paraId="3314F5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49.45</w:t>
            </w:r>
          </w:p>
        </w:tc>
        <w:tc>
          <w:tcPr>
            <w:tcW w:w="1276" w:type="dxa"/>
            <w:tcBorders>
              <w:top w:val="nil"/>
              <w:left w:val="nil"/>
              <w:bottom w:val="nil"/>
              <w:right w:val="nil"/>
            </w:tcBorders>
            <w:shd w:val="clear" w:color="auto" w:fill="E5E5E5" w:themeFill="background1" w:themeFillTint="33"/>
            <w:noWrap/>
            <w:vAlign w:val="center"/>
            <w:hideMark/>
          </w:tcPr>
          <w:p w14:paraId="4617F0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99.10</w:t>
            </w:r>
          </w:p>
        </w:tc>
        <w:tc>
          <w:tcPr>
            <w:tcW w:w="1276" w:type="dxa"/>
            <w:tcBorders>
              <w:top w:val="nil"/>
              <w:left w:val="nil"/>
              <w:bottom w:val="nil"/>
              <w:right w:val="nil"/>
            </w:tcBorders>
            <w:shd w:val="clear" w:color="auto" w:fill="E5E5E5" w:themeFill="background1" w:themeFillTint="33"/>
            <w:noWrap/>
            <w:vAlign w:val="center"/>
            <w:hideMark/>
          </w:tcPr>
          <w:p w14:paraId="1F61D9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71.90</w:t>
            </w:r>
          </w:p>
        </w:tc>
        <w:tc>
          <w:tcPr>
            <w:tcW w:w="1276" w:type="dxa"/>
            <w:tcBorders>
              <w:top w:val="nil"/>
              <w:left w:val="nil"/>
              <w:bottom w:val="nil"/>
              <w:right w:val="nil"/>
            </w:tcBorders>
            <w:shd w:val="clear" w:color="auto" w:fill="E5E5E5" w:themeFill="background1" w:themeFillTint="33"/>
            <w:noWrap/>
            <w:vAlign w:val="center"/>
            <w:hideMark/>
          </w:tcPr>
          <w:p w14:paraId="07DFF4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99.14</w:t>
            </w:r>
          </w:p>
        </w:tc>
      </w:tr>
      <w:tr w:rsidR="00961617" w:rsidRPr="00545C7F" w14:paraId="467213E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1DDE40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324" w:type="dxa"/>
            <w:tcBorders>
              <w:top w:val="nil"/>
              <w:left w:val="nil"/>
              <w:bottom w:val="nil"/>
              <w:right w:val="nil"/>
            </w:tcBorders>
            <w:shd w:val="clear" w:color="auto" w:fill="auto"/>
            <w:noWrap/>
            <w:vAlign w:val="center"/>
            <w:hideMark/>
          </w:tcPr>
          <w:p w14:paraId="72508C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74.59</w:t>
            </w:r>
          </w:p>
        </w:tc>
        <w:tc>
          <w:tcPr>
            <w:tcW w:w="1418" w:type="dxa"/>
            <w:gridSpan w:val="2"/>
            <w:tcBorders>
              <w:top w:val="nil"/>
              <w:left w:val="nil"/>
              <w:bottom w:val="nil"/>
              <w:right w:val="nil"/>
            </w:tcBorders>
            <w:shd w:val="clear" w:color="auto" w:fill="auto"/>
            <w:noWrap/>
            <w:vAlign w:val="center"/>
            <w:hideMark/>
          </w:tcPr>
          <w:p w14:paraId="1719FE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99.30</w:t>
            </w:r>
          </w:p>
        </w:tc>
        <w:tc>
          <w:tcPr>
            <w:tcW w:w="1417" w:type="dxa"/>
            <w:gridSpan w:val="2"/>
            <w:tcBorders>
              <w:top w:val="nil"/>
              <w:left w:val="nil"/>
              <w:bottom w:val="nil"/>
              <w:right w:val="nil"/>
            </w:tcBorders>
            <w:shd w:val="clear" w:color="auto" w:fill="auto"/>
            <w:noWrap/>
            <w:vAlign w:val="center"/>
            <w:hideMark/>
          </w:tcPr>
          <w:p w14:paraId="5B4579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73.83</w:t>
            </w:r>
          </w:p>
        </w:tc>
        <w:tc>
          <w:tcPr>
            <w:tcW w:w="1276" w:type="dxa"/>
            <w:tcBorders>
              <w:top w:val="nil"/>
              <w:left w:val="nil"/>
              <w:bottom w:val="nil"/>
              <w:right w:val="nil"/>
            </w:tcBorders>
            <w:shd w:val="clear" w:color="auto" w:fill="auto"/>
            <w:noWrap/>
            <w:vAlign w:val="center"/>
            <w:hideMark/>
          </w:tcPr>
          <w:p w14:paraId="135E66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99.07</w:t>
            </w:r>
          </w:p>
        </w:tc>
        <w:tc>
          <w:tcPr>
            <w:tcW w:w="1559" w:type="dxa"/>
            <w:gridSpan w:val="2"/>
            <w:tcBorders>
              <w:top w:val="nil"/>
              <w:left w:val="nil"/>
              <w:bottom w:val="nil"/>
              <w:right w:val="nil"/>
            </w:tcBorders>
            <w:shd w:val="clear" w:color="auto" w:fill="auto"/>
            <w:noWrap/>
            <w:vAlign w:val="center"/>
            <w:hideMark/>
          </w:tcPr>
          <w:p w14:paraId="278632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74.07</w:t>
            </w:r>
          </w:p>
        </w:tc>
        <w:tc>
          <w:tcPr>
            <w:tcW w:w="1418" w:type="dxa"/>
            <w:gridSpan w:val="3"/>
            <w:tcBorders>
              <w:top w:val="nil"/>
              <w:left w:val="nil"/>
              <w:bottom w:val="nil"/>
              <w:right w:val="nil"/>
            </w:tcBorders>
            <w:shd w:val="clear" w:color="auto" w:fill="auto"/>
            <w:noWrap/>
            <w:vAlign w:val="center"/>
            <w:hideMark/>
          </w:tcPr>
          <w:p w14:paraId="625670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99.19</w:t>
            </w:r>
          </w:p>
        </w:tc>
        <w:tc>
          <w:tcPr>
            <w:tcW w:w="1417" w:type="dxa"/>
            <w:gridSpan w:val="2"/>
            <w:tcBorders>
              <w:top w:val="nil"/>
              <w:left w:val="nil"/>
              <w:bottom w:val="nil"/>
              <w:right w:val="nil"/>
            </w:tcBorders>
            <w:shd w:val="clear" w:color="auto" w:fill="auto"/>
            <w:noWrap/>
            <w:vAlign w:val="center"/>
            <w:hideMark/>
          </w:tcPr>
          <w:p w14:paraId="293636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51.19</w:t>
            </w:r>
          </w:p>
        </w:tc>
        <w:tc>
          <w:tcPr>
            <w:tcW w:w="1276" w:type="dxa"/>
            <w:tcBorders>
              <w:top w:val="nil"/>
              <w:left w:val="nil"/>
              <w:bottom w:val="nil"/>
              <w:right w:val="nil"/>
            </w:tcBorders>
            <w:shd w:val="clear" w:color="auto" w:fill="auto"/>
            <w:noWrap/>
            <w:vAlign w:val="center"/>
            <w:hideMark/>
          </w:tcPr>
          <w:p w14:paraId="1FDEF5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99.27</w:t>
            </w:r>
          </w:p>
        </w:tc>
        <w:tc>
          <w:tcPr>
            <w:tcW w:w="1276" w:type="dxa"/>
            <w:tcBorders>
              <w:top w:val="nil"/>
              <w:left w:val="nil"/>
              <w:bottom w:val="nil"/>
              <w:right w:val="nil"/>
            </w:tcBorders>
            <w:shd w:val="clear" w:color="auto" w:fill="auto"/>
            <w:noWrap/>
            <w:vAlign w:val="center"/>
            <w:hideMark/>
          </w:tcPr>
          <w:p w14:paraId="4774B8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73.11</w:t>
            </w:r>
          </w:p>
        </w:tc>
        <w:tc>
          <w:tcPr>
            <w:tcW w:w="1276" w:type="dxa"/>
            <w:tcBorders>
              <w:top w:val="nil"/>
              <w:left w:val="nil"/>
              <w:bottom w:val="nil"/>
              <w:right w:val="nil"/>
            </w:tcBorders>
            <w:shd w:val="clear" w:color="auto" w:fill="auto"/>
            <w:noWrap/>
            <w:vAlign w:val="center"/>
            <w:hideMark/>
          </w:tcPr>
          <w:p w14:paraId="63D03A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99.28</w:t>
            </w:r>
          </w:p>
        </w:tc>
      </w:tr>
      <w:tr w:rsidR="00961617" w:rsidRPr="00545C7F" w14:paraId="3C44FEF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17180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324" w:type="dxa"/>
            <w:tcBorders>
              <w:top w:val="nil"/>
              <w:left w:val="nil"/>
              <w:bottom w:val="nil"/>
              <w:right w:val="nil"/>
            </w:tcBorders>
            <w:shd w:val="clear" w:color="auto" w:fill="E5E5E5" w:themeFill="background1" w:themeFillTint="33"/>
            <w:noWrap/>
            <w:vAlign w:val="center"/>
            <w:hideMark/>
          </w:tcPr>
          <w:p w14:paraId="1A6AA9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76.01</w:t>
            </w:r>
          </w:p>
        </w:tc>
        <w:tc>
          <w:tcPr>
            <w:tcW w:w="1418" w:type="dxa"/>
            <w:gridSpan w:val="2"/>
            <w:tcBorders>
              <w:top w:val="nil"/>
              <w:left w:val="nil"/>
              <w:bottom w:val="nil"/>
              <w:right w:val="nil"/>
            </w:tcBorders>
            <w:shd w:val="clear" w:color="auto" w:fill="E5E5E5" w:themeFill="background1" w:themeFillTint="33"/>
            <w:noWrap/>
            <w:vAlign w:val="center"/>
            <w:hideMark/>
          </w:tcPr>
          <w:p w14:paraId="08E566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99.43</w:t>
            </w:r>
          </w:p>
        </w:tc>
        <w:tc>
          <w:tcPr>
            <w:tcW w:w="1417" w:type="dxa"/>
            <w:gridSpan w:val="2"/>
            <w:tcBorders>
              <w:top w:val="nil"/>
              <w:left w:val="nil"/>
              <w:bottom w:val="nil"/>
              <w:right w:val="nil"/>
            </w:tcBorders>
            <w:shd w:val="clear" w:color="auto" w:fill="E5E5E5" w:themeFill="background1" w:themeFillTint="33"/>
            <w:noWrap/>
            <w:vAlign w:val="center"/>
            <w:hideMark/>
          </w:tcPr>
          <w:p w14:paraId="63AAFC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75.17</w:t>
            </w:r>
          </w:p>
        </w:tc>
        <w:tc>
          <w:tcPr>
            <w:tcW w:w="1276" w:type="dxa"/>
            <w:tcBorders>
              <w:top w:val="nil"/>
              <w:left w:val="nil"/>
              <w:bottom w:val="nil"/>
              <w:right w:val="nil"/>
            </w:tcBorders>
            <w:shd w:val="clear" w:color="auto" w:fill="E5E5E5" w:themeFill="background1" w:themeFillTint="33"/>
            <w:noWrap/>
            <w:vAlign w:val="center"/>
            <w:hideMark/>
          </w:tcPr>
          <w:p w14:paraId="31B8AD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99.22</w:t>
            </w:r>
          </w:p>
        </w:tc>
        <w:tc>
          <w:tcPr>
            <w:tcW w:w="1559" w:type="dxa"/>
            <w:gridSpan w:val="2"/>
            <w:tcBorders>
              <w:top w:val="nil"/>
              <w:left w:val="nil"/>
              <w:bottom w:val="nil"/>
              <w:right w:val="nil"/>
            </w:tcBorders>
            <w:shd w:val="clear" w:color="auto" w:fill="E5E5E5" w:themeFill="background1" w:themeFillTint="33"/>
            <w:noWrap/>
            <w:vAlign w:val="center"/>
            <w:hideMark/>
          </w:tcPr>
          <w:p w14:paraId="14E448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75.34</w:t>
            </w:r>
          </w:p>
        </w:tc>
        <w:tc>
          <w:tcPr>
            <w:tcW w:w="1418" w:type="dxa"/>
            <w:gridSpan w:val="3"/>
            <w:tcBorders>
              <w:top w:val="nil"/>
              <w:left w:val="nil"/>
              <w:bottom w:val="nil"/>
              <w:right w:val="nil"/>
            </w:tcBorders>
            <w:shd w:val="clear" w:color="auto" w:fill="E5E5E5" w:themeFill="background1" w:themeFillTint="33"/>
            <w:noWrap/>
            <w:vAlign w:val="center"/>
            <w:hideMark/>
          </w:tcPr>
          <w:p w14:paraId="14C35F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99.46</w:t>
            </w:r>
          </w:p>
        </w:tc>
        <w:tc>
          <w:tcPr>
            <w:tcW w:w="1417" w:type="dxa"/>
            <w:gridSpan w:val="2"/>
            <w:tcBorders>
              <w:top w:val="nil"/>
              <w:left w:val="nil"/>
              <w:bottom w:val="nil"/>
              <w:right w:val="nil"/>
            </w:tcBorders>
            <w:shd w:val="clear" w:color="auto" w:fill="E5E5E5" w:themeFill="background1" w:themeFillTint="33"/>
            <w:noWrap/>
            <w:vAlign w:val="center"/>
            <w:hideMark/>
          </w:tcPr>
          <w:p w14:paraId="2640B8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52.91</w:t>
            </w:r>
          </w:p>
        </w:tc>
        <w:tc>
          <w:tcPr>
            <w:tcW w:w="1276" w:type="dxa"/>
            <w:tcBorders>
              <w:top w:val="nil"/>
              <w:left w:val="nil"/>
              <w:bottom w:val="nil"/>
              <w:right w:val="nil"/>
            </w:tcBorders>
            <w:shd w:val="clear" w:color="auto" w:fill="E5E5E5" w:themeFill="background1" w:themeFillTint="33"/>
            <w:noWrap/>
            <w:vAlign w:val="center"/>
            <w:hideMark/>
          </w:tcPr>
          <w:p w14:paraId="1BE01D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99.33</w:t>
            </w:r>
          </w:p>
        </w:tc>
        <w:tc>
          <w:tcPr>
            <w:tcW w:w="1276" w:type="dxa"/>
            <w:tcBorders>
              <w:top w:val="nil"/>
              <w:left w:val="nil"/>
              <w:bottom w:val="nil"/>
              <w:right w:val="nil"/>
            </w:tcBorders>
            <w:shd w:val="clear" w:color="auto" w:fill="E5E5E5" w:themeFill="background1" w:themeFillTint="33"/>
            <w:noWrap/>
            <w:vAlign w:val="center"/>
            <w:hideMark/>
          </w:tcPr>
          <w:p w14:paraId="7FC7BD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74.52</w:t>
            </w:r>
          </w:p>
        </w:tc>
        <w:tc>
          <w:tcPr>
            <w:tcW w:w="1276" w:type="dxa"/>
            <w:tcBorders>
              <w:top w:val="nil"/>
              <w:left w:val="nil"/>
              <w:bottom w:val="nil"/>
              <w:right w:val="nil"/>
            </w:tcBorders>
            <w:shd w:val="clear" w:color="auto" w:fill="E5E5E5" w:themeFill="background1" w:themeFillTint="33"/>
            <w:noWrap/>
            <w:vAlign w:val="center"/>
            <w:hideMark/>
          </w:tcPr>
          <w:p w14:paraId="2CC5D3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99.41</w:t>
            </w:r>
          </w:p>
        </w:tc>
      </w:tr>
      <w:tr w:rsidR="00961617" w:rsidRPr="00545C7F" w14:paraId="34054FA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3DF5E1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324" w:type="dxa"/>
            <w:tcBorders>
              <w:top w:val="nil"/>
              <w:left w:val="nil"/>
              <w:bottom w:val="nil"/>
              <w:right w:val="nil"/>
            </w:tcBorders>
            <w:shd w:val="clear" w:color="auto" w:fill="auto"/>
            <w:noWrap/>
            <w:vAlign w:val="center"/>
            <w:hideMark/>
          </w:tcPr>
          <w:p w14:paraId="1CCF7C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77.51</w:t>
            </w:r>
          </w:p>
        </w:tc>
        <w:tc>
          <w:tcPr>
            <w:tcW w:w="1418" w:type="dxa"/>
            <w:gridSpan w:val="2"/>
            <w:tcBorders>
              <w:top w:val="nil"/>
              <w:left w:val="nil"/>
              <w:bottom w:val="nil"/>
              <w:right w:val="nil"/>
            </w:tcBorders>
            <w:shd w:val="clear" w:color="auto" w:fill="auto"/>
            <w:noWrap/>
            <w:vAlign w:val="center"/>
            <w:hideMark/>
          </w:tcPr>
          <w:p w14:paraId="5EDB33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99.56</w:t>
            </w:r>
          </w:p>
        </w:tc>
        <w:tc>
          <w:tcPr>
            <w:tcW w:w="1417" w:type="dxa"/>
            <w:gridSpan w:val="2"/>
            <w:tcBorders>
              <w:top w:val="nil"/>
              <w:left w:val="nil"/>
              <w:bottom w:val="nil"/>
              <w:right w:val="nil"/>
            </w:tcBorders>
            <w:shd w:val="clear" w:color="auto" w:fill="auto"/>
            <w:noWrap/>
            <w:vAlign w:val="center"/>
            <w:hideMark/>
          </w:tcPr>
          <w:p w14:paraId="1A4ABA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76.56</w:t>
            </w:r>
          </w:p>
        </w:tc>
        <w:tc>
          <w:tcPr>
            <w:tcW w:w="1276" w:type="dxa"/>
            <w:tcBorders>
              <w:top w:val="nil"/>
              <w:left w:val="nil"/>
              <w:bottom w:val="nil"/>
              <w:right w:val="nil"/>
            </w:tcBorders>
            <w:shd w:val="clear" w:color="auto" w:fill="auto"/>
            <w:noWrap/>
            <w:vAlign w:val="center"/>
            <w:hideMark/>
          </w:tcPr>
          <w:p w14:paraId="3FCE8D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99.32</w:t>
            </w:r>
          </w:p>
        </w:tc>
        <w:tc>
          <w:tcPr>
            <w:tcW w:w="1559" w:type="dxa"/>
            <w:gridSpan w:val="2"/>
            <w:tcBorders>
              <w:top w:val="nil"/>
              <w:left w:val="nil"/>
              <w:bottom w:val="nil"/>
              <w:right w:val="nil"/>
            </w:tcBorders>
            <w:shd w:val="clear" w:color="auto" w:fill="auto"/>
            <w:noWrap/>
            <w:vAlign w:val="center"/>
            <w:hideMark/>
          </w:tcPr>
          <w:p w14:paraId="7210CE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76.79</w:t>
            </w:r>
          </w:p>
        </w:tc>
        <w:tc>
          <w:tcPr>
            <w:tcW w:w="1418" w:type="dxa"/>
            <w:gridSpan w:val="3"/>
            <w:tcBorders>
              <w:top w:val="nil"/>
              <w:left w:val="nil"/>
              <w:bottom w:val="nil"/>
              <w:right w:val="nil"/>
            </w:tcBorders>
            <w:shd w:val="clear" w:color="auto" w:fill="auto"/>
            <w:noWrap/>
            <w:vAlign w:val="center"/>
            <w:hideMark/>
          </w:tcPr>
          <w:p w14:paraId="09E0D8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99.46</w:t>
            </w:r>
          </w:p>
        </w:tc>
        <w:tc>
          <w:tcPr>
            <w:tcW w:w="1417" w:type="dxa"/>
            <w:gridSpan w:val="2"/>
            <w:tcBorders>
              <w:top w:val="nil"/>
              <w:left w:val="nil"/>
              <w:bottom w:val="nil"/>
              <w:right w:val="nil"/>
            </w:tcBorders>
            <w:shd w:val="clear" w:color="auto" w:fill="auto"/>
            <w:noWrap/>
            <w:vAlign w:val="center"/>
            <w:hideMark/>
          </w:tcPr>
          <w:p w14:paraId="11EA59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54.84</w:t>
            </w:r>
          </w:p>
        </w:tc>
        <w:tc>
          <w:tcPr>
            <w:tcW w:w="1276" w:type="dxa"/>
            <w:tcBorders>
              <w:top w:val="nil"/>
              <w:left w:val="nil"/>
              <w:bottom w:val="nil"/>
              <w:right w:val="nil"/>
            </w:tcBorders>
            <w:shd w:val="clear" w:color="auto" w:fill="auto"/>
            <w:noWrap/>
            <w:vAlign w:val="center"/>
            <w:hideMark/>
          </w:tcPr>
          <w:p w14:paraId="6675E8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99.38</w:t>
            </w:r>
          </w:p>
        </w:tc>
        <w:tc>
          <w:tcPr>
            <w:tcW w:w="1276" w:type="dxa"/>
            <w:tcBorders>
              <w:top w:val="nil"/>
              <w:left w:val="nil"/>
              <w:bottom w:val="nil"/>
              <w:right w:val="nil"/>
            </w:tcBorders>
            <w:shd w:val="clear" w:color="auto" w:fill="auto"/>
            <w:noWrap/>
            <w:vAlign w:val="center"/>
            <w:hideMark/>
          </w:tcPr>
          <w:p w14:paraId="545882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76.02</w:t>
            </w:r>
          </w:p>
        </w:tc>
        <w:tc>
          <w:tcPr>
            <w:tcW w:w="1276" w:type="dxa"/>
            <w:tcBorders>
              <w:top w:val="nil"/>
              <w:left w:val="nil"/>
              <w:bottom w:val="nil"/>
              <w:right w:val="nil"/>
            </w:tcBorders>
            <w:shd w:val="clear" w:color="auto" w:fill="auto"/>
            <w:noWrap/>
            <w:vAlign w:val="center"/>
            <w:hideMark/>
          </w:tcPr>
          <w:p w14:paraId="6288C5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99.54</w:t>
            </w:r>
          </w:p>
        </w:tc>
      </w:tr>
      <w:tr w:rsidR="00961617" w:rsidRPr="00545C7F" w14:paraId="463E25C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ACE3E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324" w:type="dxa"/>
            <w:tcBorders>
              <w:top w:val="nil"/>
              <w:left w:val="nil"/>
              <w:bottom w:val="nil"/>
              <w:right w:val="nil"/>
            </w:tcBorders>
            <w:shd w:val="clear" w:color="auto" w:fill="E5E5E5" w:themeFill="background1" w:themeFillTint="33"/>
            <w:noWrap/>
            <w:vAlign w:val="center"/>
            <w:hideMark/>
          </w:tcPr>
          <w:p w14:paraId="6537AD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78.68</w:t>
            </w:r>
          </w:p>
        </w:tc>
        <w:tc>
          <w:tcPr>
            <w:tcW w:w="1418" w:type="dxa"/>
            <w:gridSpan w:val="2"/>
            <w:tcBorders>
              <w:top w:val="nil"/>
              <w:left w:val="nil"/>
              <w:bottom w:val="nil"/>
              <w:right w:val="nil"/>
            </w:tcBorders>
            <w:shd w:val="clear" w:color="auto" w:fill="E5E5E5" w:themeFill="background1" w:themeFillTint="33"/>
            <w:noWrap/>
            <w:vAlign w:val="center"/>
            <w:hideMark/>
          </w:tcPr>
          <w:p w14:paraId="23FB04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99.64</w:t>
            </w:r>
          </w:p>
        </w:tc>
        <w:tc>
          <w:tcPr>
            <w:tcW w:w="1417" w:type="dxa"/>
            <w:gridSpan w:val="2"/>
            <w:tcBorders>
              <w:top w:val="nil"/>
              <w:left w:val="nil"/>
              <w:bottom w:val="nil"/>
              <w:right w:val="nil"/>
            </w:tcBorders>
            <w:shd w:val="clear" w:color="auto" w:fill="E5E5E5" w:themeFill="background1" w:themeFillTint="33"/>
            <w:noWrap/>
            <w:vAlign w:val="center"/>
            <w:hideMark/>
          </w:tcPr>
          <w:p w14:paraId="6FF2AB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77.78</w:t>
            </w:r>
          </w:p>
        </w:tc>
        <w:tc>
          <w:tcPr>
            <w:tcW w:w="1276" w:type="dxa"/>
            <w:tcBorders>
              <w:top w:val="nil"/>
              <w:left w:val="nil"/>
              <w:bottom w:val="nil"/>
              <w:right w:val="nil"/>
            </w:tcBorders>
            <w:shd w:val="clear" w:color="auto" w:fill="E5E5E5" w:themeFill="background1" w:themeFillTint="33"/>
            <w:noWrap/>
            <w:vAlign w:val="center"/>
            <w:hideMark/>
          </w:tcPr>
          <w:p w14:paraId="4BA053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99.43</w:t>
            </w:r>
          </w:p>
        </w:tc>
        <w:tc>
          <w:tcPr>
            <w:tcW w:w="1559" w:type="dxa"/>
            <w:gridSpan w:val="2"/>
            <w:tcBorders>
              <w:top w:val="nil"/>
              <w:left w:val="nil"/>
              <w:bottom w:val="nil"/>
              <w:right w:val="nil"/>
            </w:tcBorders>
            <w:shd w:val="clear" w:color="auto" w:fill="E5E5E5" w:themeFill="background1" w:themeFillTint="33"/>
            <w:noWrap/>
            <w:vAlign w:val="center"/>
            <w:hideMark/>
          </w:tcPr>
          <w:p w14:paraId="60BA9C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77.84</w:t>
            </w:r>
          </w:p>
        </w:tc>
        <w:tc>
          <w:tcPr>
            <w:tcW w:w="1418" w:type="dxa"/>
            <w:gridSpan w:val="3"/>
            <w:tcBorders>
              <w:top w:val="nil"/>
              <w:left w:val="nil"/>
              <w:bottom w:val="nil"/>
              <w:right w:val="nil"/>
            </w:tcBorders>
            <w:shd w:val="clear" w:color="auto" w:fill="E5E5E5" w:themeFill="background1" w:themeFillTint="33"/>
            <w:noWrap/>
            <w:vAlign w:val="center"/>
            <w:hideMark/>
          </w:tcPr>
          <w:p w14:paraId="720A6F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99.60</w:t>
            </w:r>
          </w:p>
        </w:tc>
        <w:tc>
          <w:tcPr>
            <w:tcW w:w="1417" w:type="dxa"/>
            <w:gridSpan w:val="2"/>
            <w:tcBorders>
              <w:top w:val="nil"/>
              <w:left w:val="nil"/>
              <w:bottom w:val="nil"/>
              <w:right w:val="nil"/>
            </w:tcBorders>
            <w:shd w:val="clear" w:color="auto" w:fill="E5E5E5" w:themeFill="background1" w:themeFillTint="33"/>
            <w:noWrap/>
            <w:vAlign w:val="center"/>
            <w:hideMark/>
          </w:tcPr>
          <w:p w14:paraId="156BA4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56.50</w:t>
            </w:r>
          </w:p>
        </w:tc>
        <w:tc>
          <w:tcPr>
            <w:tcW w:w="1276" w:type="dxa"/>
            <w:tcBorders>
              <w:top w:val="nil"/>
              <w:left w:val="nil"/>
              <w:bottom w:val="nil"/>
              <w:right w:val="nil"/>
            </w:tcBorders>
            <w:shd w:val="clear" w:color="auto" w:fill="E5E5E5" w:themeFill="background1" w:themeFillTint="33"/>
            <w:noWrap/>
            <w:vAlign w:val="center"/>
            <w:hideMark/>
          </w:tcPr>
          <w:p w14:paraId="5D9696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99.55</w:t>
            </w:r>
          </w:p>
        </w:tc>
        <w:tc>
          <w:tcPr>
            <w:tcW w:w="1276" w:type="dxa"/>
            <w:tcBorders>
              <w:top w:val="nil"/>
              <w:left w:val="nil"/>
              <w:bottom w:val="nil"/>
              <w:right w:val="nil"/>
            </w:tcBorders>
            <w:shd w:val="clear" w:color="auto" w:fill="E5E5E5" w:themeFill="background1" w:themeFillTint="33"/>
            <w:noWrap/>
            <w:vAlign w:val="center"/>
            <w:hideMark/>
          </w:tcPr>
          <w:p w14:paraId="752869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77.21</w:t>
            </w:r>
          </w:p>
        </w:tc>
        <w:tc>
          <w:tcPr>
            <w:tcW w:w="1276" w:type="dxa"/>
            <w:tcBorders>
              <w:top w:val="nil"/>
              <w:left w:val="nil"/>
              <w:bottom w:val="nil"/>
              <w:right w:val="nil"/>
            </w:tcBorders>
            <w:shd w:val="clear" w:color="auto" w:fill="E5E5E5" w:themeFill="background1" w:themeFillTint="33"/>
            <w:noWrap/>
            <w:vAlign w:val="center"/>
            <w:hideMark/>
          </w:tcPr>
          <w:p w14:paraId="2A597D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99.62</w:t>
            </w:r>
          </w:p>
        </w:tc>
      </w:tr>
      <w:tr w:rsidR="00961617" w:rsidRPr="00545C7F" w14:paraId="39B5894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593C40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324" w:type="dxa"/>
            <w:tcBorders>
              <w:top w:val="nil"/>
              <w:left w:val="nil"/>
              <w:bottom w:val="nil"/>
              <w:right w:val="nil"/>
            </w:tcBorders>
            <w:shd w:val="clear" w:color="auto" w:fill="auto"/>
            <w:noWrap/>
            <w:vAlign w:val="center"/>
            <w:hideMark/>
          </w:tcPr>
          <w:p w14:paraId="778BD5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79.56</w:t>
            </w:r>
          </w:p>
        </w:tc>
        <w:tc>
          <w:tcPr>
            <w:tcW w:w="1418" w:type="dxa"/>
            <w:gridSpan w:val="2"/>
            <w:tcBorders>
              <w:top w:val="nil"/>
              <w:left w:val="nil"/>
              <w:bottom w:val="nil"/>
              <w:right w:val="nil"/>
            </w:tcBorders>
            <w:shd w:val="clear" w:color="auto" w:fill="auto"/>
            <w:noWrap/>
            <w:vAlign w:val="center"/>
            <w:hideMark/>
          </w:tcPr>
          <w:p w14:paraId="4A8E00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99.70</w:t>
            </w:r>
          </w:p>
        </w:tc>
        <w:tc>
          <w:tcPr>
            <w:tcW w:w="1417" w:type="dxa"/>
            <w:gridSpan w:val="2"/>
            <w:tcBorders>
              <w:top w:val="nil"/>
              <w:left w:val="nil"/>
              <w:bottom w:val="nil"/>
              <w:right w:val="nil"/>
            </w:tcBorders>
            <w:shd w:val="clear" w:color="auto" w:fill="auto"/>
            <w:noWrap/>
            <w:vAlign w:val="center"/>
            <w:hideMark/>
          </w:tcPr>
          <w:p w14:paraId="44BB2D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78.64</w:t>
            </w:r>
          </w:p>
        </w:tc>
        <w:tc>
          <w:tcPr>
            <w:tcW w:w="1276" w:type="dxa"/>
            <w:tcBorders>
              <w:top w:val="nil"/>
              <w:left w:val="nil"/>
              <w:bottom w:val="nil"/>
              <w:right w:val="nil"/>
            </w:tcBorders>
            <w:shd w:val="clear" w:color="auto" w:fill="auto"/>
            <w:noWrap/>
            <w:vAlign w:val="center"/>
            <w:hideMark/>
          </w:tcPr>
          <w:p w14:paraId="5BD061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99.58</w:t>
            </w:r>
          </w:p>
        </w:tc>
        <w:tc>
          <w:tcPr>
            <w:tcW w:w="1559" w:type="dxa"/>
            <w:gridSpan w:val="2"/>
            <w:tcBorders>
              <w:top w:val="nil"/>
              <w:left w:val="nil"/>
              <w:bottom w:val="nil"/>
              <w:right w:val="nil"/>
            </w:tcBorders>
            <w:shd w:val="clear" w:color="auto" w:fill="auto"/>
            <w:noWrap/>
            <w:vAlign w:val="center"/>
            <w:hideMark/>
          </w:tcPr>
          <w:p w14:paraId="64420A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78.65</w:t>
            </w:r>
          </w:p>
        </w:tc>
        <w:tc>
          <w:tcPr>
            <w:tcW w:w="1418" w:type="dxa"/>
            <w:gridSpan w:val="3"/>
            <w:tcBorders>
              <w:top w:val="nil"/>
              <w:left w:val="nil"/>
              <w:bottom w:val="nil"/>
              <w:right w:val="nil"/>
            </w:tcBorders>
            <w:shd w:val="clear" w:color="auto" w:fill="auto"/>
            <w:noWrap/>
            <w:vAlign w:val="center"/>
            <w:hideMark/>
          </w:tcPr>
          <w:p w14:paraId="548809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99.60</w:t>
            </w:r>
          </w:p>
        </w:tc>
        <w:tc>
          <w:tcPr>
            <w:tcW w:w="1417" w:type="dxa"/>
            <w:gridSpan w:val="2"/>
            <w:tcBorders>
              <w:top w:val="nil"/>
              <w:left w:val="nil"/>
              <w:bottom w:val="nil"/>
              <w:right w:val="nil"/>
            </w:tcBorders>
            <w:shd w:val="clear" w:color="auto" w:fill="auto"/>
            <w:noWrap/>
            <w:vAlign w:val="center"/>
            <w:hideMark/>
          </w:tcPr>
          <w:p w14:paraId="01F1E9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57.94</w:t>
            </w:r>
          </w:p>
        </w:tc>
        <w:tc>
          <w:tcPr>
            <w:tcW w:w="1276" w:type="dxa"/>
            <w:tcBorders>
              <w:top w:val="nil"/>
              <w:left w:val="nil"/>
              <w:bottom w:val="nil"/>
              <w:right w:val="nil"/>
            </w:tcBorders>
            <w:shd w:val="clear" w:color="auto" w:fill="auto"/>
            <w:noWrap/>
            <w:vAlign w:val="center"/>
            <w:hideMark/>
          </w:tcPr>
          <w:p w14:paraId="389E28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99.66</w:t>
            </w:r>
          </w:p>
        </w:tc>
        <w:tc>
          <w:tcPr>
            <w:tcW w:w="1276" w:type="dxa"/>
            <w:tcBorders>
              <w:top w:val="nil"/>
              <w:left w:val="nil"/>
              <w:bottom w:val="nil"/>
              <w:right w:val="nil"/>
            </w:tcBorders>
            <w:shd w:val="clear" w:color="auto" w:fill="auto"/>
            <w:noWrap/>
            <w:vAlign w:val="center"/>
            <w:hideMark/>
          </w:tcPr>
          <w:p w14:paraId="268F24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78.12</w:t>
            </w:r>
          </w:p>
        </w:tc>
        <w:tc>
          <w:tcPr>
            <w:tcW w:w="1276" w:type="dxa"/>
            <w:tcBorders>
              <w:top w:val="nil"/>
              <w:left w:val="nil"/>
              <w:bottom w:val="nil"/>
              <w:right w:val="nil"/>
            </w:tcBorders>
            <w:shd w:val="clear" w:color="auto" w:fill="auto"/>
            <w:noWrap/>
            <w:vAlign w:val="center"/>
            <w:hideMark/>
          </w:tcPr>
          <w:p w14:paraId="5C68C0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99.69</w:t>
            </w:r>
          </w:p>
        </w:tc>
      </w:tr>
      <w:tr w:rsidR="00961617" w:rsidRPr="00545C7F" w14:paraId="04F6992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45FC1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324" w:type="dxa"/>
            <w:tcBorders>
              <w:top w:val="nil"/>
              <w:left w:val="nil"/>
              <w:bottom w:val="nil"/>
              <w:right w:val="nil"/>
            </w:tcBorders>
            <w:shd w:val="clear" w:color="auto" w:fill="E5E5E5" w:themeFill="background1" w:themeFillTint="33"/>
            <w:noWrap/>
            <w:vAlign w:val="center"/>
            <w:hideMark/>
          </w:tcPr>
          <w:p w14:paraId="6887B1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80.36</w:t>
            </w:r>
          </w:p>
        </w:tc>
        <w:tc>
          <w:tcPr>
            <w:tcW w:w="1418" w:type="dxa"/>
            <w:gridSpan w:val="2"/>
            <w:tcBorders>
              <w:top w:val="nil"/>
              <w:left w:val="nil"/>
              <w:bottom w:val="nil"/>
              <w:right w:val="nil"/>
            </w:tcBorders>
            <w:shd w:val="clear" w:color="auto" w:fill="E5E5E5" w:themeFill="background1" w:themeFillTint="33"/>
            <w:noWrap/>
            <w:vAlign w:val="center"/>
            <w:hideMark/>
          </w:tcPr>
          <w:p w14:paraId="38BA88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99.75</w:t>
            </w:r>
          </w:p>
        </w:tc>
        <w:tc>
          <w:tcPr>
            <w:tcW w:w="1417" w:type="dxa"/>
            <w:gridSpan w:val="2"/>
            <w:tcBorders>
              <w:top w:val="nil"/>
              <w:left w:val="nil"/>
              <w:bottom w:val="nil"/>
              <w:right w:val="nil"/>
            </w:tcBorders>
            <w:shd w:val="clear" w:color="auto" w:fill="E5E5E5" w:themeFill="background1" w:themeFillTint="33"/>
            <w:noWrap/>
            <w:vAlign w:val="center"/>
            <w:hideMark/>
          </w:tcPr>
          <w:p w14:paraId="671E5A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79.50</w:t>
            </w:r>
          </w:p>
        </w:tc>
        <w:tc>
          <w:tcPr>
            <w:tcW w:w="1276" w:type="dxa"/>
            <w:tcBorders>
              <w:top w:val="nil"/>
              <w:left w:val="nil"/>
              <w:bottom w:val="nil"/>
              <w:right w:val="nil"/>
            </w:tcBorders>
            <w:shd w:val="clear" w:color="auto" w:fill="E5E5E5" w:themeFill="background1" w:themeFillTint="33"/>
            <w:noWrap/>
            <w:vAlign w:val="center"/>
            <w:hideMark/>
          </w:tcPr>
          <w:p w14:paraId="128DD4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99.68</w:t>
            </w:r>
          </w:p>
        </w:tc>
        <w:tc>
          <w:tcPr>
            <w:tcW w:w="1559" w:type="dxa"/>
            <w:gridSpan w:val="2"/>
            <w:tcBorders>
              <w:top w:val="nil"/>
              <w:left w:val="nil"/>
              <w:bottom w:val="nil"/>
              <w:right w:val="nil"/>
            </w:tcBorders>
            <w:shd w:val="clear" w:color="auto" w:fill="E5E5E5" w:themeFill="background1" w:themeFillTint="33"/>
            <w:noWrap/>
            <w:vAlign w:val="center"/>
            <w:hideMark/>
          </w:tcPr>
          <w:p w14:paraId="660D84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79.53</w:t>
            </w:r>
          </w:p>
        </w:tc>
        <w:tc>
          <w:tcPr>
            <w:tcW w:w="1418" w:type="dxa"/>
            <w:gridSpan w:val="3"/>
            <w:tcBorders>
              <w:top w:val="nil"/>
              <w:left w:val="nil"/>
              <w:bottom w:val="nil"/>
              <w:right w:val="nil"/>
            </w:tcBorders>
            <w:shd w:val="clear" w:color="auto" w:fill="E5E5E5" w:themeFill="background1" w:themeFillTint="33"/>
            <w:noWrap/>
            <w:vAlign w:val="center"/>
            <w:hideMark/>
          </w:tcPr>
          <w:p w14:paraId="2F9F9F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99.60</w:t>
            </w:r>
          </w:p>
        </w:tc>
        <w:tc>
          <w:tcPr>
            <w:tcW w:w="1417" w:type="dxa"/>
            <w:gridSpan w:val="2"/>
            <w:tcBorders>
              <w:top w:val="nil"/>
              <w:left w:val="nil"/>
              <w:bottom w:val="nil"/>
              <w:right w:val="nil"/>
            </w:tcBorders>
            <w:shd w:val="clear" w:color="auto" w:fill="E5E5E5" w:themeFill="background1" w:themeFillTint="33"/>
            <w:noWrap/>
            <w:vAlign w:val="center"/>
            <w:hideMark/>
          </w:tcPr>
          <w:p w14:paraId="19B5C1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59.49</w:t>
            </w:r>
          </w:p>
        </w:tc>
        <w:tc>
          <w:tcPr>
            <w:tcW w:w="1276" w:type="dxa"/>
            <w:tcBorders>
              <w:top w:val="nil"/>
              <w:left w:val="nil"/>
              <w:bottom w:val="nil"/>
              <w:right w:val="nil"/>
            </w:tcBorders>
            <w:shd w:val="clear" w:color="auto" w:fill="E5E5E5" w:themeFill="background1" w:themeFillTint="33"/>
            <w:noWrap/>
            <w:vAlign w:val="center"/>
            <w:hideMark/>
          </w:tcPr>
          <w:p w14:paraId="6CCA05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99.66</w:t>
            </w:r>
          </w:p>
        </w:tc>
        <w:tc>
          <w:tcPr>
            <w:tcW w:w="1276" w:type="dxa"/>
            <w:tcBorders>
              <w:top w:val="nil"/>
              <w:left w:val="nil"/>
              <w:bottom w:val="nil"/>
              <w:right w:val="nil"/>
            </w:tcBorders>
            <w:shd w:val="clear" w:color="auto" w:fill="E5E5E5" w:themeFill="background1" w:themeFillTint="33"/>
            <w:noWrap/>
            <w:vAlign w:val="center"/>
            <w:hideMark/>
          </w:tcPr>
          <w:p w14:paraId="1D3871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78.98</w:t>
            </w:r>
          </w:p>
        </w:tc>
        <w:tc>
          <w:tcPr>
            <w:tcW w:w="1276" w:type="dxa"/>
            <w:tcBorders>
              <w:top w:val="nil"/>
              <w:left w:val="nil"/>
              <w:bottom w:val="nil"/>
              <w:right w:val="nil"/>
            </w:tcBorders>
            <w:shd w:val="clear" w:color="auto" w:fill="E5E5E5" w:themeFill="background1" w:themeFillTint="33"/>
            <w:noWrap/>
            <w:vAlign w:val="center"/>
            <w:hideMark/>
          </w:tcPr>
          <w:p w14:paraId="195C4C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99.74</w:t>
            </w:r>
          </w:p>
        </w:tc>
      </w:tr>
      <w:tr w:rsidR="00961617" w:rsidRPr="00545C7F" w14:paraId="003975E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035E8D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324" w:type="dxa"/>
            <w:tcBorders>
              <w:top w:val="nil"/>
              <w:left w:val="nil"/>
              <w:bottom w:val="nil"/>
              <w:right w:val="nil"/>
            </w:tcBorders>
            <w:shd w:val="clear" w:color="auto" w:fill="auto"/>
            <w:noWrap/>
            <w:vAlign w:val="center"/>
            <w:hideMark/>
          </w:tcPr>
          <w:p w14:paraId="5D6AAF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81.15</w:t>
            </w:r>
          </w:p>
        </w:tc>
        <w:tc>
          <w:tcPr>
            <w:tcW w:w="1418" w:type="dxa"/>
            <w:gridSpan w:val="2"/>
            <w:tcBorders>
              <w:top w:val="nil"/>
              <w:left w:val="nil"/>
              <w:bottom w:val="nil"/>
              <w:right w:val="nil"/>
            </w:tcBorders>
            <w:shd w:val="clear" w:color="auto" w:fill="auto"/>
            <w:noWrap/>
            <w:vAlign w:val="center"/>
            <w:hideMark/>
          </w:tcPr>
          <w:p w14:paraId="60DE6C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99.80</w:t>
            </w:r>
          </w:p>
        </w:tc>
        <w:tc>
          <w:tcPr>
            <w:tcW w:w="1417" w:type="dxa"/>
            <w:gridSpan w:val="2"/>
            <w:tcBorders>
              <w:top w:val="nil"/>
              <w:left w:val="nil"/>
              <w:bottom w:val="nil"/>
              <w:right w:val="nil"/>
            </w:tcBorders>
            <w:shd w:val="clear" w:color="auto" w:fill="auto"/>
            <w:noWrap/>
            <w:vAlign w:val="center"/>
            <w:hideMark/>
          </w:tcPr>
          <w:p w14:paraId="4FF34D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80.30</w:t>
            </w:r>
          </w:p>
        </w:tc>
        <w:tc>
          <w:tcPr>
            <w:tcW w:w="1276" w:type="dxa"/>
            <w:tcBorders>
              <w:top w:val="nil"/>
              <w:left w:val="nil"/>
              <w:bottom w:val="nil"/>
              <w:right w:val="nil"/>
            </w:tcBorders>
            <w:shd w:val="clear" w:color="auto" w:fill="auto"/>
            <w:noWrap/>
            <w:vAlign w:val="center"/>
            <w:hideMark/>
          </w:tcPr>
          <w:p w14:paraId="43F692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99.73</w:t>
            </w:r>
          </w:p>
        </w:tc>
        <w:tc>
          <w:tcPr>
            <w:tcW w:w="1559" w:type="dxa"/>
            <w:gridSpan w:val="2"/>
            <w:tcBorders>
              <w:top w:val="nil"/>
              <w:left w:val="nil"/>
              <w:bottom w:val="nil"/>
              <w:right w:val="nil"/>
            </w:tcBorders>
            <w:shd w:val="clear" w:color="auto" w:fill="auto"/>
            <w:noWrap/>
            <w:vAlign w:val="center"/>
            <w:hideMark/>
          </w:tcPr>
          <w:p w14:paraId="656F5B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80.36</w:t>
            </w:r>
          </w:p>
        </w:tc>
        <w:tc>
          <w:tcPr>
            <w:tcW w:w="1418" w:type="dxa"/>
            <w:gridSpan w:val="3"/>
            <w:tcBorders>
              <w:top w:val="nil"/>
              <w:left w:val="nil"/>
              <w:bottom w:val="nil"/>
              <w:right w:val="nil"/>
            </w:tcBorders>
            <w:shd w:val="clear" w:color="auto" w:fill="auto"/>
            <w:noWrap/>
            <w:vAlign w:val="center"/>
            <w:hideMark/>
          </w:tcPr>
          <w:p w14:paraId="7C1EA8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99.73</w:t>
            </w:r>
          </w:p>
        </w:tc>
        <w:tc>
          <w:tcPr>
            <w:tcW w:w="1417" w:type="dxa"/>
            <w:gridSpan w:val="2"/>
            <w:tcBorders>
              <w:top w:val="nil"/>
              <w:left w:val="nil"/>
              <w:bottom w:val="nil"/>
              <w:right w:val="nil"/>
            </w:tcBorders>
            <w:shd w:val="clear" w:color="auto" w:fill="auto"/>
            <w:noWrap/>
            <w:vAlign w:val="center"/>
            <w:hideMark/>
          </w:tcPr>
          <w:p w14:paraId="3F43EC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60.84</w:t>
            </w:r>
          </w:p>
        </w:tc>
        <w:tc>
          <w:tcPr>
            <w:tcW w:w="1276" w:type="dxa"/>
            <w:tcBorders>
              <w:top w:val="nil"/>
              <w:left w:val="nil"/>
              <w:bottom w:val="nil"/>
              <w:right w:val="nil"/>
            </w:tcBorders>
            <w:shd w:val="clear" w:color="auto" w:fill="auto"/>
            <w:noWrap/>
            <w:vAlign w:val="center"/>
            <w:hideMark/>
          </w:tcPr>
          <w:p w14:paraId="2BC6B2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99.78</w:t>
            </w:r>
          </w:p>
        </w:tc>
        <w:tc>
          <w:tcPr>
            <w:tcW w:w="1276" w:type="dxa"/>
            <w:tcBorders>
              <w:top w:val="nil"/>
              <w:left w:val="nil"/>
              <w:bottom w:val="nil"/>
              <w:right w:val="nil"/>
            </w:tcBorders>
            <w:shd w:val="clear" w:color="auto" w:fill="auto"/>
            <w:noWrap/>
            <w:vAlign w:val="center"/>
            <w:hideMark/>
          </w:tcPr>
          <w:p w14:paraId="00B658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79.81</w:t>
            </w:r>
          </w:p>
        </w:tc>
        <w:tc>
          <w:tcPr>
            <w:tcW w:w="1276" w:type="dxa"/>
            <w:tcBorders>
              <w:top w:val="nil"/>
              <w:left w:val="nil"/>
              <w:bottom w:val="nil"/>
              <w:right w:val="nil"/>
            </w:tcBorders>
            <w:shd w:val="clear" w:color="auto" w:fill="auto"/>
            <w:noWrap/>
            <w:vAlign w:val="center"/>
            <w:hideMark/>
          </w:tcPr>
          <w:p w14:paraId="6E63A8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99.79</w:t>
            </w:r>
          </w:p>
        </w:tc>
      </w:tr>
      <w:tr w:rsidR="00961617" w:rsidRPr="00545C7F" w14:paraId="4A355A7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76D63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324" w:type="dxa"/>
            <w:tcBorders>
              <w:top w:val="nil"/>
              <w:left w:val="nil"/>
              <w:bottom w:val="nil"/>
              <w:right w:val="nil"/>
            </w:tcBorders>
            <w:shd w:val="clear" w:color="auto" w:fill="E5E5E5" w:themeFill="background1" w:themeFillTint="33"/>
            <w:noWrap/>
            <w:vAlign w:val="center"/>
            <w:hideMark/>
          </w:tcPr>
          <w:p w14:paraId="7A9E83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81.94</w:t>
            </w:r>
          </w:p>
        </w:tc>
        <w:tc>
          <w:tcPr>
            <w:tcW w:w="1418" w:type="dxa"/>
            <w:gridSpan w:val="2"/>
            <w:tcBorders>
              <w:top w:val="nil"/>
              <w:left w:val="nil"/>
              <w:bottom w:val="nil"/>
              <w:right w:val="nil"/>
            </w:tcBorders>
            <w:shd w:val="clear" w:color="auto" w:fill="E5E5E5" w:themeFill="background1" w:themeFillTint="33"/>
            <w:noWrap/>
            <w:vAlign w:val="center"/>
            <w:hideMark/>
          </w:tcPr>
          <w:p w14:paraId="2E1CA5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99.85</w:t>
            </w:r>
          </w:p>
        </w:tc>
        <w:tc>
          <w:tcPr>
            <w:tcW w:w="1417" w:type="dxa"/>
            <w:gridSpan w:val="2"/>
            <w:tcBorders>
              <w:top w:val="nil"/>
              <w:left w:val="nil"/>
              <w:bottom w:val="nil"/>
              <w:right w:val="nil"/>
            </w:tcBorders>
            <w:shd w:val="clear" w:color="auto" w:fill="E5E5E5" w:themeFill="background1" w:themeFillTint="33"/>
            <w:noWrap/>
            <w:vAlign w:val="center"/>
            <w:hideMark/>
          </w:tcPr>
          <w:p w14:paraId="1BFB90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81.08</w:t>
            </w:r>
          </w:p>
        </w:tc>
        <w:tc>
          <w:tcPr>
            <w:tcW w:w="1276" w:type="dxa"/>
            <w:tcBorders>
              <w:top w:val="nil"/>
              <w:left w:val="nil"/>
              <w:bottom w:val="nil"/>
              <w:right w:val="nil"/>
            </w:tcBorders>
            <w:shd w:val="clear" w:color="auto" w:fill="E5E5E5" w:themeFill="background1" w:themeFillTint="33"/>
            <w:noWrap/>
            <w:vAlign w:val="center"/>
            <w:hideMark/>
          </w:tcPr>
          <w:p w14:paraId="1CE6C7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99.81</w:t>
            </w:r>
          </w:p>
        </w:tc>
        <w:tc>
          <w:tcPr>
            <w:tcW w:w="1559" w:type="dxa"/>
            <w:gridSpan w:val="2"/>
            <w:tcBorders>
              <w:top w:val="nil"/>
              <w:left w:val="nil"/>
              <w:bottom w:val="nil"/>
              <w:right w:val="nil"/>
            </w:tcBorders>
            <w:shd w:val="clear" w:color="auto" w:fill="E5E5E5" w:themeFill="background1" w:themeFillTint="33"/>
            <w:noWrap/>
            <w:vAlign w:val="center"/>
            <w:hideMark/>
          </w:tcPr>
          <w:p w14:paraId="5C8505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81.04</w:t>
            </w:r>
          </w:p>
        </w:tc>
        <w:tc>
          <w:tcPr>
            <w:tcW w:w="1418" w:type="dxa"/>
            <w:gridSpan w:val="3"/>
            <w:tcBorders>
              <w:top w:val="nil"/>
              <w:left w:val="nil"/>
              <w:bottom w:val="nil"/>
              <w:right w:val="nil"/>
            </w:tcBorders>
            <w:shd w:val="clear" w:color="auto" w:fill="E5E5E5" w:themeFill="background1" w:themeFillTint="33"/>
            <w:noWrap/>
            <w:vAlign w:val="center"/>
            <w:hideMark/>
          </w:tcPr>
          <w:p w14:paraId="763627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68768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62.15</w:t>
            </w:r>
          </w:p>
        </w:tc>
        <w:tc>
          <w:tcPr>
            <w:tcW w:w="1276" w:type="dxa"/>
            <w:tcBorders>
              <w:top w:val="nil"/>
              <w:left w:val="nil"/>
              <w:bottom w:val="nil"/>
              <w:right w:val="nil"/>
            </w:tcBorders>
            <w:shd w:val="clear" w:color="auto" w:fill="E5E5E5" w:themeFill="background1" w:themeFillTint="33"/>
            <w:noWrap/>
            <w:vAlign w:val="center"/>
            <w:hideMark/>
          </w:tcPr>
          <w:p w14:paraId="63CAE9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99.83</w:t>
            </w:r>
          </w:p>
        </w:tc>
        <w:tc>
          <w:tcPr>
            <w:tcW w:w="1276" w:type="dxa"/>
            <w:tcBorders>
              <w:top w:val="nil"/>
              <w:left w:val="nil"/>
              <w:bottom w:val="nil"/>
              <w:right w:val="nil"/>
            </w:tcBorders>
            <w:shd w:val="clear" w:color="auto" w:fill="E5E5E5" w:themeFill="background1" w:themeFillTint="33"/>
            <w:noWrap/>
            <w:vAlign w:val="center"/>
            <w:hideMark/>
          </w:tcPr>
          <w:p w14:paraId="7A7E7C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80.61</w:t>
            </w:r>
          </w:p>
        </w:tc>
        <w:tc>
          <w:tcPr>
            <w:tcW w:w="1276" w:type="dxa"/>
            <w:tcBorders>
              <w:top w:val="nil"/>
              <w:left w:val="nil"/>
              <w:bottom w:val="nil"/>
              <w:right w:val="nil"/>
            </w:tcBorders>
            <w:shd w:val="clear" w:color="auto" w:fill="E5E5E5" w:themeFill="background1" w:themeFillTint="33"/>
            <w:noWrap/>
            <w:vAlign w:val="center"/>
            <w:hideMark/>
          </w:tcPr>
          <w:p w14:paraId="617B17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99.85</w:t>
            </w:r>
          </w:p>
        </w:tc>
      </w:tr>
      <w:tr w:rsidR="00961617" w:rsidRPr="00545C7F" w14:paraId="7ED7F79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7BDB57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324" w:type="dxa"/>
            <w:tcBorders>
              <w:top w:val="nil"/>
              <w:left w:val="nil"/>
              <w:bottom w:val="nil"/>
              <w:right w:val="nil"/>
            </w:tcBorders>
            <w:shd w:val="clear" w:color="auto" w:fill="auto"/>
            <w:noWrap/>
            <w:vAlign w:val="center"/>
            <w:hideMark/>
          </w:tcPr>
          <w:p w14:paraId="28C7EA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82.81</w:t>
            </w:r>
          </w:p>
        </w:tc>
        <w:tc>
          <w:tcPr>
            <w:tcW w:w="1418" w:type="dxa"/>
            <w:gridSpan w:val="2"/>
            <w:tcBorders>
              <w:top w:val="nil"/>
              <w:left w:val="nil"/>
              <w:bottom w:val="nil"/>
              <w:right w:val="nil"/>
            </w:tcBorders>
            <w:shd w:val="clear" w:color="auto" w:fill="auto"/>
            <w:noWrap/>
            <w:vAlign w:val="center"/>
            <w:hideMark/>
          </w:tcPr>
          <w:p w14:paraId="188B33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99.91</w:t>
            </w:r>
          </w:p>
        </w:tc>
        <w:tc>
          <w:tcPr>
            <w:tcW w:w="1417" w:type="dxa"/>
            <w:gridSpan w:val="2"/>
            <w:tcBorders>
              <w:top w:val="nil"/>
              <w:left w:val="nil"/>
              <w:bottom w:val="nil"/>
              <w:right w:val="nil"/>
            </w:tcBorders>
            <w:shd w:val="clear" w:color="auto" w:fill="auto"/>
            <w:noWrap/>
            <w:vAlign w:val="center"/>
            <w:hideMark/>
          </w:tcPr>
          <w:p w14:paraId="2F3153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81.96</w:t>
            </w:r>
          </w:p>
        </w:tc>
        <w:tc>
          <w:tcPr>
            <w:tcW w:w="1276" w:type="dxa"/>
            <w:tcBorders>
              <w:top w:val="nil"/>
              <w:left w:val="nil"/>
              <w:bottom w:val="nil"/>
              <w:right w:val="nil"/>
            </w:tcBorders>
            <w:shd w:val="clear" w:color="auto" w:fill="auto"/>
            <w:noWrap/>
            <w:vAlign w:val="center"/>
            <w:hideMark/>
          </w:tcPr>
          <w:p w14:paraId="1252E7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99.89</w:t>
            </w:r>
          </w:p>
        </w:tc>
        <w:tc>
          <w:tcPr>
            <w:tcW w:w="1559" w:type="dxa"/>
            <w:gridSpan w:val="2"/>
            <w:tcBorders>
              <w:top w:val="nil"/>
              <w:left w:val="nil"/>
              <w:bottom w:val="nil"/>
              <w:right w:val="nil"/>
            </w:tcBorders>
            <w:shd w:val="clear" w:color="auto" w:fill="auto"/>
            <w:noWrap/>
            <w:vAlign w:val="center"/>
            <w:hideMark/>
          </w:tcPr>
          <w:p w14:paraId="11846C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81.89</w:t>
            </w:r>
          </w:p>
        </w:tc>
        <w:tc>
          <w:tcPr>
            <w:tcW w:w="1418" w:type="dxa"/>
            <w:gridSpan w:val="3"/>
            <w:tcBorders>
              <w:top w:val="nil"/>
              <w:left w:val="nil"/>
              <w:bottom w:val="nil"/>
              <w:right w:val="nil"/>
            </w:tcBorders>
            <w:shd w:val="clear" w:color="auto" w:fill="auto"/>
            <w:noWrap/>
            <w:vAlign w:val="center"/>
            <w:hideMark/>
          </w:tcPr>
          <w:p w14:paraId="205597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0EAB6D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63.82</w:t>
            </w:r>
          </w:p>
        </w:tc>
        <w:tc>
          <w:tcPr>
            <w:tcW w:w="1276" w:type="dxa"/>
            <w:tcBorders>
              <w:top w:val="nil"/>
              <w:left w:val="nil"/>
              <w:bottom w:val="nil"/>
              <w:right w:val="nil"/>
            </w:tcBorders>
            <w:shd w:val="clear" w:color="auto" w:fill="auto"/>
            <w:noWrap/>
            <w:vAlign w:val="center"/>
            <w:hideMark/>
          </w:tcPr>
          <w:p w14:paraId="61A4FA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99.89</w:t>
            </w:r>
          </w:p>
        </w:tc>
        <w:tc>
          <w:tcPr>
            <w:tcW w:w="1276" w:type="dxa"/>
            <w:tcBorders>
              <w:top w:val="nil"/>
              <w:left w:val="nil"/>
              <w:bottom w:val="nil"/>
              <w:right w:val="nil"/>
            </w:tcBorders>
            <w:shd w:val="clear" w:color="auto" w:fill="auto"/>
            <w:noWrap/>
            <w:vAlign w:val="center"/>
            <w:hideMark/>
          </w:tcPr>
          <w:p w14:paraId="112660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81.53</w:t>
            </w:r>
          </w:p>
        </w:tc>
        <w:tc>
          <w:tcPr>
            <w:tcW w:w="1276" w:type="dxa"/>
            <w:tcBorders>
              <w:top w:val="nil"/>
              <w:left w:val="nil"/>
              <w:bottom w:val="nil"/>
              <w:right w:val="nil"/>
            </w:tcBorders>
            <w:shd w:val="clear" w:color="auto" w:fill="auto"/>
            <w:noWrap/>
            <w:vAlign w:val="center"/>
            <w:hideMark/>
          </w:tcPr>
          <w:p w14:paraId="0860A6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99.90</w:t>
            </w:r>
          </w:p>
        </w:tc>
      </w:tr>
      <w:tr w:rsidR="00961617" w:rsidRPr="00545C7F" w14:paraId="6FDD239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E432B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324" w:type="dxa"/>
            <w:tcBorders>
              <w:top w:val="nil"/>
              <w:left w:val="nil"/>
              <w:bottom w:val="nil"/>
              <w:right w:val="nil"/>
            </w:tcBorders>
            <w:shd w:val="clear" w:color="auto" w:fill="E5E5E5" w:themeFill="background1" w:themeFillTint="33"/>
            <w:noWrap/>
            <w:vAlign w:val="center"/>
            <w:hideMark/>
          </w:tcPr>
          <w:p w14:paraId="31ECD6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83.79</w:t>
            </w:r>
          </w:p>
        </w:tc>
        <w:tc>
          <w:tcPr>
            <w:tcW w:w="1418" w:type="dxa"/>
            <w:gridSpan w:val="2"/>
            <w:tcBorders>
              <w:top w:val="nil"/>
              <w:left w:val="nil"/>
              <w:bottom w:val="nil"/>
              <w:right w:val="nil"/>
            </w:tcBorders>
            <w:shd w:val="clear" w:color="auto" w:fill="E5E5E5" w:themeFill="background1" w:themeFillTint="33"/>
            <w:noWrap/>
            <w:vAlign w:val="center"/>
            <w:hideMark/>
          </w:tcPr>
          <w:p w14:paraId="65FF8C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99.95</w:t>
            </w:r>
          </w:p>
        </w:tc>
        <w:tc>
          <w:tcPr>
            <w:tcW w:w="1417" w:type="dxa"/>
            <w:gridSpan w:val="2"/>
            <w:tcBorders>
              <w:top w:val="nil"/>
              <w:left w:val="nil"/>
              <w:bottom w:val="nil"/>
              <w:right w:val="nil"/>
            </w:tcBorders>
            <w:shd w:val="clear" w:color="auto" w:fill="E5E5E5" w:themeFill="background1" w:themeFillTint="33"/>
            <w:noWrap/>
            <w:vAlign w:val="center"/>
            <w:hideMark/>
          </w:tcPr>
          <w:p w14:paraId="17C3FB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83.00</w:t>
            </w:r>
          </w:p>
        </w:tc>
        <w:tc>
          <w:tcPr>
            <w:tcW w:w="1276" w:type="dxa"/>
            <w:tcBorders>
              <w:top w:val="nil"/>
              <w:left w:val="nil"/>
              <w:bottom w:val="nil"/>
              <w:right w:val="nil"/>
            </w:tcBorders>
            <w:shd w:val="clear" w:color="auto" w:fill="E5E5E5" w:themeFill="background1" w:themeFillTint="33"/>
            <w:noWrap/>
            <w:vAlign w:val="center"/>
            <w:hideMark/>
          </w:tcPr>
          <w:p w14:paraId="54922C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c>
          <w:tcPr>
            <w:tcW w:w="1559" w:type="dxa"/>
            <w:gridSpan w:val="2"/>
            <w:tcBorders>
              <w:top w:val="nil"/>
              <w:left w:val="nil"/>
              <w:bottom w:val="nil"/>
              <w:right w:val="nil"/>
            </w:tcBorders>
            <w:shd w:val="clear" w:color="auto" w:fill="E5E5E5" w:themeFill="background1" w:themeFillTint="33"/>
            <w:noWrap/>
            <w:vAlign w:val="center"/>
            <w:hideMark/>
          </w:tcPr>
          <w:p w14:paraId="06B8FD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82.86</w:t>
            </w:r>
          </w:p>
        </w:tc>
        <w:tc>
          <w:tcPr>
            <w:tcW w:w="1418" w:type="dxa"/>
            <w:gridSpan w:val="3"/>
            <w:tcBorders>
              <w:top w:val="nil"/>
              <w:left w:val="nil"/>
              <w:bottom w:val="nil"/>
              <w:right w:val="nil"/>
            </w:tcBorders>
            <w:shd w:val="clear" w:color="auto" w:fill="E5E5E5" w:themeFill="background1" w:themeFillTint="33"/>
            <w:noWrap/>
            <w:vAlign w:val="center"/>
            <w:hideMark/>
          </w:tcPr>
          <w:p w14:paraId="01D2A4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8FC30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65.35</w:t>
            </w:r>
          </w:p>
        </w:tc>
        <w:tc>
          <w:tcPr>
            <w:tcW w:w="1276" w:type="dxa"/>
            <w:tcBorders>
              <w:top w:val="nil"/>
              <w:left w:val="nil"/>
              <w:bottom w:val="nil"/>
              <w:right w:val="nil"/>
            </w:tcBorders>
            <w:shd w:val="clear" w:color="auto" w:fill="E5E5E5" w:themeFill="background1" w:themeFillTint="33"/>
            <w:noWrap/>
            <w:vAlign w:val="center"/>
            <w:hideMark/>
          </w:tcPr>
          <w:p w14:paraId="4DE87A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ABAA9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82.54</w:t>
            </w:r>
          </w:p>
        </w:tc>
        <w:tc>
          <w:tcPr>
            <w:tcW w:w="1276" w:type="dxa"/>
            <w:tcBorders>
              <w:top w:val="nil"/>
              <w:left w:val="nil"/>
              <w:bottom w:val="nil"/>
              <w:right w:val="nil"/>
            </w:tcBorders>
            <w:shd w:val="clear" w:color="auto" w:fill="E5E5E5" w:themeFill="background1" w:themeFillTint="33"/>
            <w:noWrap/>
            <w:vAlign w:val="center"/>
            <w:hideMark/>
          </w:tcPr>
          <w:p w14:paraId="160C45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99.95</w:t>
            </w:r>
          </w:p>
        </w:tc>
      </w:tr>
      <w:tr w:rsidR="00961617" w:rsidRPr="00545C7F" w14:paraId="0BDB926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11ABBC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324" w:type="dxa"/>
            <w:tcBorders>
              <w:top w:val="nil"/>
              <w:left w:val="nil"/>
              <w:bottom w:val="nil"/>
              <w:right w:val="nil"/>
            </w:tcBorders>
            <w:shd w:val="clear" w:color="auto" w:fill="auto"/>
            <w:noWrap/>
            <w:vAlign w:val="center"/>
            <w:hideMark/>
          </w:tcPr>
          <w:p w14:paraId="04589C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84.54</w:t>
            </w:r>
          </w:p>
        </w:tc>
        <w:tc>
          <w:tcPr>
            <w:tcW w:w="1418" w:type="dxa"/>
            <w:gridSpan w:val="2"/>
            <w:tcBorders>
              <w:top w:val="nil"/>
              <w:left w:val="nil"/>
              <w:bottom w:val="nil"/>
              <w:right w:val="nil"/>
            </w:tcBorders>
            <w:shd w:val="clear" w:color="auto" w:fill="auto"/>
            <w:noWrap/>
            <w:vAlign w:val="center"/>
            <w:hideMark/>
          </w:tcPr>
          <w:p w14:paraId="567F6D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c>
          <w:tcPr>
            <w:tcW w:w="1417" w:type="dxa"/>
            <w:gridSpan w:val="2"/>
            <w:tcBorders>
              <w:top w:val="nil"/>
              <w:left w:val="nil"/>
              <w:bottom w:val="nil"/>
              <w:right w:val="nil"/>
            </w:tcBorders>
            <w:shd w:val="clear" w:color="auto" w:fill="auto"/>
            <w:noWrap/>
            <w:vAlign w:val="center"/>
            <w:hideMark/>
          </w:tcPr>
          <w:p w14:paraId="719F04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83.73</w:t>
            </w:r>
          </w:p>
        </w:tc>
        <w:tc>
          <w:tcPr>
            <w:tcW w:w="1276" w:type="dxa"/>
            <w:tcBorders>
              <w:top w:val="nil"/>
              <w:left w:val="nil"/>
              <w:bottom w:val="nil"/>
              <w:right w:val="nil"/>
            </w:tcBorders>
            <w:shd w:val="clear" w:color="auto" w:fill="auto"/>
            <w:noWrap/>
            <w:vAlign w:val="center"/>
            <w:hideMark/>
          </w:tcPr>
          <w:p w14:paraId="7C73D2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auto"/>
            <w:noWrap/>
            <w:vAlign w:val="center"/>
            <w:hideMark/>
          </w:tcPr>
          <w:p w14:paraId="025AFB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83.58</w:t>
            </w:r>
          </w:p>
        </w:tc>
        <w:tc>
          <w:tcPr>
            <w:tcW w:w="1418" w:type="dxa"/>
            <w:gridSpan w:val="3"/>
            <w:tcBorders>
              <w:top w:val="nil"/>
              <w:left w:val="nil"/>
              <w:bottom w:val="nil"/>
              <w:right w:val="nil"/>
            </w:tcBorders>
            <w:shd w:val="clear" w:color="auto" w:fill="auto"/>
            <w:noWrap/>
            <w:vAlign w:val="center"/>
            <w:hideMark/>
          </w:tcPr>
          <w:p w14:paraId="777322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16FE92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66.49</w:t>
            </w:r>
          </w:p>
        </w:tc>
        <w:tc>
          <w:tcPr>
            <w:tcW w:w="1276" w:type="dxa"/>
            <w:tcBorders>
              <w:top w:val="nil"/>
              <w:left w:val="nil"/>
              <w:bottom w:val="nil"/>
              <w:right w:val="nil"/>
            </w:tcBorders>
            <w:shd w:val="clear" w:color="auto" w:fill="auto"/>
            <w:noWrap/>
            <w:vAlign w:val="center"/>
            <w:hideMark/>
          </w:tcPr>
          <w:p w14:paraId="3F5512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3DB1FB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83.31</w:t>
            </w:r>
          </w:p>
        </w:tc>
        <w:tc>
          <w:tcPr>
            <w:tcW w:w="1276" w:type="dxa"/>
            <w:tcBorders>
              <w:top w:val="nil"/>
              <w:left w:val="nil"/>
              <w:bottom w:val="nil"/>
              <w:right w:val="nil"/>
            </w:tcBorders>
            <w:shd w:val="clear" w:color="auto" w:fill="auto"/>
            <w:noWrap/>
            <w:vAlign w:val="center"/>
            <w:hideMark/>
          </w:tcPr>
          <w:p w14:paraId="6FFB04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99.98</w:t>
            </w:r>
          </w:p>
        </w:tc>
      </w:tr>
      <w:tr w:rsidR="00961617" w:rsidRPr="00545C7F" w14:paraId="5EA4401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18D51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324" w:type="dxa"/>
            <w:tcBorders>
              <w:top w:val="nil"/>
              <w:left w:val="nil"/>
              <w:bottom w:val="nil"/>
              <w:right w:val="nil"/>
            </w:tcBorders>
            <w:shd w:val="clear" w:color="auto" w:fill="E5E5E5" w:themeFill="background1" w:themeFillTint="33"/>
            <w:noWrap/>
            <w:vAlign w:val="center"/>
            <w:hideMark/>
          </w:tcPr>
          <w:p w14:paraId="257925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85.14</w:t>
            </w:r>
          </w:p>
        </w:tc>
        <w:tc>
          <w:tcPr>
            <w:tcW w:w="1418" w:type="dxa"/>
            <w:gridSpan w:val="2"/>
            <w:tcBorders>
              <w:top w:val="nil"/>
              <w:left w:val="nil"/>
              <w:bottom w:val="nil"/>
              <w:right w:val="nil"/>
            </w:tcBorders>
            <w:shd w:val="clear" w:color="auto" w:fill="E5E5E5" w:themeFill="background1" w:themeFillTint="33"/>
            <w:noWrap/>
            <w:vAlign w:val="center"/>
            <w:hideMark/>
          </w:tcPr>
          <w:p w14:paraId="33B2B2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417" w:type="dxa"/>
            <w:gridSpan w:val="2"/>
            <w:tcBorders>
              <w:top w:val="nil"/>
              <w:left w:val="nil"/>
              <w:bottom w:val="nil"/>
              <w:right w:val="nil"/>
            </w:tcBorders>
            <w:shd w:val="clear" w:color="auto" w:fill="E5E5E5" w:themeFill="background1" w:themeFillTint="33"/>
            <w:noWrap/>
            <w:vAlign w:val="center"/>
            <w:hideMark/>
          </w:tcPr>
          <w:p w14:paraId="698327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84.27</w:t>
            </w:r>
          </w:p>
        </w:tc>
        <w:tc>
          <w:tcPr>
            <w:tcW w:w="1276" w:type="dxa"/>
            <w:tcBorders>
              <w:top w:val="nil"/>
              <w:left w:val="nil"/>
              <w:bottom w:val="nil"/>
              <w:right w:val="nil"/>
            </w:tcBorders>
            <w:shd w:val="clear" w:color="auto" w:fill="E5E5E5" w:themeFill="background1" w:themeFillTint="33"/>
            <w:noWrap/>
            <w:vAlign w:val="center"/>
            <w:hideMark/>
          </w:tcPr>
          <w:p w14:paraId="6782B5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E5E5E5" w:themeFill="background1" w:themeFillTint="33"/>
            <w:noWrap/>
            <w:vAlign w:val="center"/>
            <w:hideMark/>
          </w:tcPr>
          <w:p w14:paraId="1C7482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84.14</w:t>
            </w:r>
          </w:p>
        </w:tc>
        <w:tc>
          <w:tcPr>
            <w:tcW w:w="1418" w:type="dxa"/>
            <w:gridSpan w:val="3"/>
            <w:tcBorders>
              <w:top w:val="nil"/>
              <w:left w:val="nil"/>
              <w:bottom w:val="nil"/>
              <w:right w:val="nil"/>
            </w:tcBorders>
            <w:shd w:val="clear" w:color="auto" w:fill="E5E5E5" w:themeFill="background1" w:themeFillTint="33"/>
            <w:noWrap/>
            <w:vAlign w:val="center"/>
            <w:hideMark/>
          </w:tcPr>
          <w:p w14:paraId="3CAC5C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B6BF3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67.75</w:t>
            </w:r>
          </w:p>
        </w:tc>
        <w:tc>
          <w:tcPr>
            <w:tcW w:w="1276" w:type="dxa"/>
            <w:tcBorders>
              <w:top w:val="nil"/>
              <w:left w:val="nil"/>
              <w:bottom w:val="nil"/>
              <w:right w:val="nil"/>
            </w:tcBorders>
            <w:shd w:val="clear" w:color="auto" w:fill="E5E5E5" w:themeFill="background1" w:themeFillTint="33"/>
            <w:noWrap/>
            <w:vAlign w:val="center"/>
            <w:hideMark/>
          </w:tcPr>
          <w:p w14:paraId="3758E9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8FF1B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83.93</w:t>
            </w:r>
          </w:p>
        </w:tc>
        <w:tc>
          <w:tcPr>
            <w:tcW w:w="1276" w:type="dxa"/>
            <w:tcBorders>
              <w:top w:val="nil"/>
              <w:left w:val="nil"/>
              <w:bottom w:val="nil"/>
              <w:right w:val="nil"/>
            </w:tcBorders>
            <w:shd w:val="clear" w:color="auto" w:fill="E5E5E5" w:themeFill="background1" w:themeFillTint="33"/>
            <w:noWrap/>
            <w:vAlign w:val="center"/>
            <w:hideMark/>
          </w:tcPr>
          <w:p w14:paraId="1DDDBC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r>
      <w:tr w:rsidR="00961617" w:rsidRPr="00545C7F" w14:paraId="59A6891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5E3C3E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324" w:type="dxa"/>
            <w:tcBorders>
              <w:top w:val="nil"/>
              <w:left w:val="nil"/>
              <w:bottom w:val="nil"/>
              <w:right w:val="nil"/>
            </w:tcBorders>
            <w:shd w:val="clear" w:color="auto" w:fill="auto"/>
            <w:noWrap/>
            <w:vAlign w:val="center"/>
            <w:hideMark/>
          </w:tcPr>
          <w:p w14:paraId="4831B8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85.68</w:t>
            </w:r>
          </w:p>
        </w:tc>
        <w:tc>
          <w:tcPr>
            <w:tcW w:w="1418" w:type="dxa"/>
            <w:gridSpan w:val="2"/>
            <w:tcBorders>
              <w:top w:val="nil"/>
              <w:left w:val="nil"/>
              <w:bottom w:val="nil"/>
              <w:right w:val="nil"/>
            </w:tcBorders>
            <w:shd w:val="clear" w:color="auto" w:fill="auto"/>
            <w:noWrap/>
            <w:vAlign w:val="center"/>
            <w:hideMark/>
          </w:tcPr>
          <w:p w14:paraId="36782A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3AF50A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84.78</w:t>
            </w:r>
          </w:p>
        </w:tc>
        <w:tc>
          <w:tcPr>
            <w:tcW w:w="1276" w:type="dxa"/>
            <w:tcBorders>
              <w:top w:val="nil"/>
              <w:left w:val="nil"/>
              <w:bottom w:val="nil"/>
              <w:right w:val="nil"/>
            </w:tcBorders>
            <w:shd w:val="clear" w:color="auto" w:fill="auto"/>
            <w:noWrap/>
            <w:vAlign w:val="center"/>
            <w:hideMark/>
          </w:tcPr>
          <w:p w14:paraId="65AA74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auto"/>
            <w:noWrap/>
            <w:vAlign w:val="center"/>
            <w:hideMark/>
          </w:tcPr>
          <w:p w14:paraId="5756F6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84.77</w:t>
            </w:r>
          </w:p>
        </w:tc>
        <w:tc>
          <w:tcPr>
            <w:tcW w:w="1418" w:type="dxa"/>
            <w:gridSpan w:val="3"/>
            <w:tcBorders>
              <w:top w:val="nil"/>
              <w:left w:val="nil"/>
              <w:bottom w:val="nil"/>
              <w:right w:val="nil"/>
            </w:tcBorders>
            <w:shd w:val="clear" w:color="auto" w:fill="auto"/>
            <w:noWrap/>
            <w:vAlign w:val="center"/>
            <w:hideMark/>
          </w:tcPr>
          <w:p w14:paraId="3E4748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4FB266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68.77</w:t>
            </w:r>
          </w:p>
        </w:tc>
        <w:tc>
          <w:tcPr>
            <w:tcW w:w="1276" w:type="dxa"/>
            <w:tcBorders>
              <w:top w:val="nil"/>
              <w:left w:val="nil"/>
              <w:bottom w:val="nil"/>
              <w:right w:val="nil"/>
            </w:tcBorders>
            <w:shd w:val="clear" w:color="auto" w:fill="auto"/>
            <w:noWrap/>
            <w:vAlign w:val="center"/>
            <w:hideMark/>
          </w:tcPr>
          <w:p w14:paraId="0A18BB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71CEDB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84.50</w:t>
            </w:r>
          </w:p>
        </w:tc>
        <w:tc>
          <w:tcPr>
            <w:tcW w:w="1276" w:type="dxa"/>
            <w:tcBorders>
              <w:top w:val="nil"/>
              <w:left w:val="nil"/>
              <w:bottom w:val="nil"/>
              <w:right w:val="nil"/>
            </w:tcBorders>
            <w:shd w:val="clear" w:color="auto" w:fill="auto"/>
            <w:noWrap/>
            <w:vAlign w:val="center"/>
            <w:hideMark/>
          </w:tcPr>
          <w:p w14:paraId="27CC09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3B4B9F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4E715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324" w:type="dxa"/>
            <w:tcBorders>
              <w:top w:val="nil"/>
              <w:left w:val="nil"/>
              <w:bottom w:val="nil"/>
              <w:right w:val="nil"/>
            </w:tcBorders>
            <w:shd w:val="clear" w:color="auto" w:fill="E5E5E5" w:themeFill="background1" w:themeFillTint="33"/>
            <w:noWrap/>
            <w:vAlign w:val="center"/>
            <w:hideMark/>
          </w:tcPr>
          <w:p w14:paraId="10335B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86.23</w:t>
            </w:r>
          </w:p>
        </w:tc>
        <w:tc>
          <w:tcPr>
            <w:tcW w:w="1418" w:type="dxa"/>
            <w:gridSpan w:val="2"/>
            <w:tcBorders>
              <w:top w:val="nil"/>
              <w:left w:val="nil"/>
              <w:bottom w:val="nil"/>
              <w:right w:val="nil"/>
            </w:tcBorders>
            <w:shd w:val="clear" w:color="auto" w:fill="E5E5E5" w:themeFill="background1" w:themeFillTint="33"/>
            <w:noWrap/>
            <w:vAlign w:val="center"/>
            <w:hideMark/>
          </w:tcPr>
          <w:p w14:paraId="1D4759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53552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85.37</w:t>
            </w:r>
          </w:p>
        </w:tc>
        <w:tc>
          <w:tcPr>
            <w:tcW w:w="1276" w:type="dxa"/>
            <w:tcBorders>
              <w:top w:val="nil"/>
              <w:left w:val="nil"/>
              <w:bottom w:val="nil"/>
              <w:right w:val="nil"/>
            </w:tcBorders>
            <w:shd w:val="clear" w:color="auto" w:fill="E5E5E5" w:themeFill="background1" w:themeFillTint="33"/>
            <w:noWrap/>
            <w:vAlign w:val="center"/>
            <w:hideMark/>
          </w:tcPr>
          <w:p w14:paraId="799EED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E5E5E5" w:themeFill="background1" w:themeFillTint="33"/>
            <w:noWrap/>
            <w:vAlign w:val="center"/>
            <w:hideMark/>
          </w:tcPr>
          <w:p w14:paraId="6114CC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85.26</w:t>
            </w:r>
          </w:p>
        </w:tc>
        <w:tc>
          <w:tcPr>
            <w:tcW w:w="1418" w:type="dxa"/>
            <w:gridSpan w:val="3"/>
            <w:tcBorders>
              <w:top w:val="nil"/>
              <w:left w:val="nil"/>
              <w:bottom w:val="nil"/>
              <w:right w:val="nil"/>
            </w:tcBorders>
            <w:shd w:val="clear" w:color="auto" w:fill="E5E5E5" w:themeFill="background1" w:themeFillTint="33"/>
            <w:noWrap/>
            <w:vAlign w:val="center"/>
            <w:hideMark/>
          </w:tcPr>
          <w:p w14:paraId="75E9AE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0E930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69.80</w:t>
            </w:r>
          </w:p>
        </w:tc>
        <w:tc>
          <w:tcPr>
            <w:tcW w:w="1276" w:type="dxa"/>
            <w:tcBorders>
              <w:top w:val="nil"/>
              <w:left w:val="nil"/>
              <w:bottom w:val="nil"/>
              <w:right w:val="nil"/>
            </w:tcBorders>
            <w:shd w:val="clear" w:color="auto" w:fill="E5E5E5" w:themeFill="background1" w:themeFillTint="33"/>
            <w:noWrap/>
            <w:vAlign w:val="center"/>
            <w:hideMark/>
          </w:tcPr>
          <w:p w14:paraId="2CE982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153552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85.08</w:t>
            </w:r>
          </w:p>
        </w:tc>
        <w:tc>
          <w:tcPr>
            <w:tcW w:w="1276" w:type="dxa"/>
            <w:tcBorders>
              <w:top w:val="nil"/>
              <w:left w:val="nil"/>
              <w:bottom w:val="nil"/>
              <w:right w:val="nil"/>
            </w:tcBorders>
            <w:shd w:val="clear" w:color="auto" w:fill="E5E5E5" w:themeFill="background1" w:themeFillTint="33"/>
            <w:noWrap/>
            <w:vAlign w:val="center"/>
            <w:hideMark/>
          </w:tcPr>
          <w:p w14:paraId="39A4D6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500F55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475016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324" w:type="dxa"/>
            <w:tcBorders>
              <w:top w:val="nil"/>
              <w:left w:val="nil"/>
              <w:bottom w:val="nil"/>
              <w:right w:val="nil"/>
            </w:tcBorders>
            <w:shd w:val="clear" w:color="auto" w:fill="auto"/>
            <w:noWrap/>
            <w:vAlign w:val="center"/>
            <w:hideMark/>
          </w:tcPr>
          <w:p w14:paraId="666D7C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86.78</w:t>
            </w:r>
          </w:p>
        </w:tc>
        <w:tc>
          <w:tcPr>
            <w:tcW w:w="1418" w:type="dxa"/>
            <w:gridSpan w:val="2"/>
            <w:tcBorders>
              <w:top w:val="nil"/>
              <w:left w:val="nil"/>
              <w:bottom w:val="nil"/>
              <w:right w:val="nil"/>
            </w:tcBorders>
            <w:shd w:val="clear" w:color="auto" w:fill="auto"/>
            <w:noWrap/>
            <w:vAlign w:val="center"/>
            <w:hideMark/>
          </w:tcPr>
          <w:p w14:paraId="1156C0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482DE6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85.99</w:t>
            </w:r>
          </w:p>
        </w:tc>
        <w:tc>
          <w:tcPr>
            <w:tcW w:w="1276" w:type="dxa"/>
            <w:tcBorders>
              <w:top w:val="nil"/>
              <w:left w:val="nil"/>
              <w:bottom w:val="nil"/>
              <w:right w:val="nil"/>
            </w:tcBorders>
            <w:shd w:val="clear" w:color="auto" w:fill="auto"/>
            <w:noWrap/>
            <w:vAlign w:val="center"/>
            <w:hideMark/>
          </w:tcPr>
          <w:p w14:paraId="23FD6C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auto"/>
            <w:noWrap/>
            <w:vAlign w:val="center"/>
            <w:hideMark/>
          </w:tcPr>
          <w:p w14:paraId="4C28B2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85.87</w:t>
            </w:r>
          </w:p>
        </w:tc>
        <w:tc>
          <w:tcPr>
            <w:tcW w:w="1418" w:type="dxa"/>
            <w:gridSpan w:val="3"/>
            <w:tcBorders>
              <w:top w:val="nil"/>
              <w:left w:val="nil"/>
              <w:bottom w:val="nil"/>
              <w:right w:val="nil"/>
            </w:tcBorders>
            <w:shd w:val="clear" w:color="auto" w:fill="auto"/>
            <w:noWrap/>
            <w:vAlign w:val="center"/>
            <w:hideMark/>
          </w:tcPr>
          <w:p w14:paraId="50448F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71439F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70.76</w:t>
            </w:r>
          </w:p>
        </w:tc>
        <w:tc>
          <w:tcPr>
            <w:tcW w:w="1276" w:type="dxa"/>
            <w:tcBorders>
              <w:top w:val="nil"/>
              <w:left w:val="nil"/>
              <w:bottom w:val="nil"/>
              <w:right w:val="nil"/>
            </w:tcBorders>
            <w:shd w:val="clear" w:color="auto" w:fill="auto"/>
            <w:noWrap/>
            <w:vAlign w:val="center"/>
            <w:hideMark/>
          </w:tcPr>
          <w:p w14:paraId="4A3815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64ADE4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85.67</w:t>
            </w:r>
          </w:p>
        </w:tc>
        <w:tc>
          <w:tcPr>
            <w:tcW w:w="1276" w:type="dxa"/>
            <w:tcBorders>
              <w:top w:val="nil"/>
              <w:left w:val="nil"/>
              <w:bottom w:val="nil"/>
              <w:right w:val="nil"/>
            </w:tcBorders>
            <w:shd w:val="clear" w:color="auto" w:fill="auto"/>
            <w:noWrap/>
            <w:vAlign w:val="center"/>
            <w:hideMark/>
          </w:tcPr>
          <w:p w14:paraId="7E31BB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F2C655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0D1AF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324" w:type="dxa"/>
            <w:tcBorders>
              <w:top w:val="nil"/>
              <w:left w:val="nil"/>
              <w:bottom w:val="nil"/>
              <w:right w:val="nil"/>
            </w:tcBorders>
            <w:shd w:val="clear" w:color="auto" w:fill="E5E5E5" w:themeFill="background1" w:themeFillTint="33"/>
            <w:noWrap/>
            <w:vAlign w:val="center"/>
            <w:hideMark/>
          </w:tcPr>
          <w:p w14:paraId="27521C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87.37</w:t>
            </w:r>
          </w:p>
        </w:tc>
        <w:tc>
          <w:tcPr>
            <w:tcW w:w="1418" w:type="dxa"/>
            <w:gridSpan w:val="2"/>
            <w:tcBorders>
              <w:top w:val="nil"/>
              <w:left w:val="nil"/>
              <w:bottom w:val="nil"/>
              <w:right w:val="nil"/>
            </w:tcBorders>
            <w:shd w:val="clear" w:color="auto" w:fill="E5E5E5" w:themeFill="background1" w:themeFillTint="33"/>
            <w:noWrap/>
            <w:vAlign w:val="center"/>
            <w:hideMark/>
          </w:tcPr>
          <w:p w14:paraId="140CAF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5BB08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86.59</w:t>
            </w:r>
          </w:p>
        </w:tc>
        <w:tc>
          <w:tcPr>
            <w:tcW w:w="1276" w:type="dxa"/>
            <w:tcBorders>
              <w:top w:val="nil"/>
              <w:left w:val="nil"/>
              <w:bottom w:val="nil"/>
              <w:right w:val="nil"/>
            </w:tcBorders>
            <w:shd w:val="clear" w:color="auto" w:fill="E5E5E5" w:themeFill="background1" w:themeFillTint="33"/>
            <w:noWrap/>
            <w:vAlign w:val="center"/>
            <w:hideMark/>
          </w:tcPr>
          <w:p w14:paraId="3333ED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99.99</w:t>
            </w:r>
          </w:p>
        </w:tc>
        <w:tc>
          <w:tcPr>
            <w:tcW w:w="1559" w:type="dxa"/>
            <w:gridSpan w:val="2"/>
            <w:tcBorders>
              <w:top w:val="nil"/>
              <w:left w:val="nil"/>
              <w:bottom w:val="nil"/>
              <w:right w:val="nil"/>
            </w:tcBorders>
            <w:shd w:val="clear" w:color="auto" w:fill="E5E5E5" w:themeFill="background1" w:themeFillTint="33"/>
            <w:noWrap/>
            <w:vAlign w:val="center"/>
            <w:hideMark/>
          </w:tcPr>
          <w:p w14:paraId="6A207A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86.42</w:t>
            </w:r>
          </w:p>
        </w:tc>
        <w:tc>
          <w:tcPr>
            <w:tcW w:w="1418" w:type="dxa"/>
            <w:gridSpan w:val="3"/>
            <w:tcBorders>
              <w:top w:val="nil"/>
              <w:left w:val="nil"/>
              <w:bottom w:val="nil"/>
              <w:right w:val="nil"/>
            </w:tcBorders>
            <w:shd w:val="clear" w:color="auto" w:fill="E5E5E5" w:themeFill="background1" w:themeFillTint="33"/>
            <w:noWrap/>
            <w:vAlign w:val="center"/>
            <w:hideMark/>
          </w:tcPr>
          <w:p w14:paraId="7B0D1A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0C15A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71.86</w:t>
            </w:r>
          </w:p>
        </w:tc>
        <w:tc>
          <w:tcPr>
            <w:tcW w:w="1276" w:type="dxa"/>
            <w:tcBorders>
              <w:top w:val="nil"/>
              <w:left w:val="nil"/>
              <w:bottom w:val="nil"/>
              <w:right w:val="nil"/>
            </w:tcBorders>
            <w:shd w:val="clear" w:color="auto" w:fill="E5E5E5" w:themeFill="background1" w:themeFillTint="33"/>
            <w:noWrap/>
            <w:vAlign w:val="center"/>
            <w:hideMark/>
          </w:tcPr>
          <w:p w14:paraId="54A8D7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C6312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86.28</w:t>
            </w:r>
          </w:p>
        </w:tc>
        <w:tc>
          <w:tcPr>
            <w:tcW w:w="1276" w:type="dxa"/>
            <w:tcBorders>
              <w:top w:val="nil"/>
              <w:left w:val="nil"/>
              <w:bottom w:val="nil"/>
              <w:right w:val="nil"/>
            </w:tcBorders>
            <w:shd w:val="clear" w:color="auto" w:fill="E5E5E5" w:themeFill="background1" w:themeFillTint="33"/>
            <w:noWrap/>
            <w:vAlign w:val="center"/>
            <w:hideMark/>
          </w:tcPr>
          <w:p w14:paraId="2FC3A2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A4FCDA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auto"/>
            <w:noWrap/>
            <w:vAlign w:val="center"/>
            <w:hideMark/>
          </w:tcPr>
          <w:p w14:paraId="6539E4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324" w:type="dxa"/>
            <w:tcBorders>
              <w:top w:val="nil"/>
              <w:left w:val="nil"/>
              <w:bottom w:val="nil"/>
              <w:right w:val="nil"/>
            </w:tcBorders>
            <w:shd w:val="clear" w:color="auto" w:fill="auto"/>
            <w:noWrap/>
            <w:vAlign w:val="center"/>
            <w:hideMark/>
          </w:tcPr>
          <w:p w14:paraId="78FFC7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88.07</w:t>
            </w:r>
          </w:p>
        </w:tc>
        <w:tc>
          <w:tcPr>
            <w:tcW w:w="1418" w:type="dxa"/>
            <w:gridSpan w:val="2"/>
            <w:tcBorders>
              <w:top w:val="nil"/>
              <w:left w:val="nil"/>
              <w:bottom w:val="nil"/>
              <w:right w:val="nil"/>
            </w:tcBorders>
            <w:shd w:val="clear" w:color="auto" w:fill="auto"/>
            <w:noWrap/>
            <w:vAlign w:val="center"/>
            <w:hideMark/>
          </w:tcPr>
          <w:p w14:paraId="07846C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7E304F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87.31</w:t>
            </w:r>
          </w:p>
        </w:tc>
        <w:tc>
          <w:tcPr>
            <w:tcW w:w="1276" w:type="dxa"/>
            <w:tcBorders>
              <w:top w:val="nil"/>
              <w:left w:val="nil"/>
              <w:bottom w:val="nil"/>
              <w:right w:val="nil"/>
            </w:tcBorders>
            <w:shd w:val="clear" w:color="auto" w:fill="auto"/>
            <w:noWrap/>
            <w:vAlign w:val="center"/>
            <w:hideMark/>
          </w:tcPr>
          <w:p w14:paraId="1E6247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auto"/>
            <w:noWrap/>
            <w:vAlign w:val="center"/>
            <w:hideMark/>
          </w:tcPr>
          <w:p w14:paraId="3B5C19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87.04</w:t>
            </w:r>
          </w:p>
        </w:tc>
        <w:tc>
          <w:tcPr>
            <w:tcW w:w="1418" w:type="dxa"/>
            <w:gridSpan w:val="3"/>
            <w:tcBorders>
              <w:top w:val="nil"/>
              <w:left w:val="nil"/>
              <w:bottom w:val="nil"/>
              <w:right w:val="nil"/>
            </w:tcBorders>
            <w:shd w:val="clear" w:color="auto" w:fill="auto"/>
            <w:noWrap/>
            <w:vAlign w:val="center"/>
            <w:hideMark/>
          </w:tcPr>
          <w:p w14:paraId="5758FC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auto"/>
            <w:noWrap/>
            <w:vAlign w:val="center"/>
            <w:hideMark/>
          </w:tcPr>
          <w:p w14:paraId="0BD293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73.13</w:t>
            </w:r>
          </w:p>
        </w:tc>
        <w:tc>
          <w:tcPr>
            <w:tcW w:w="1276" w:type="dxa"/>
            <w:tcBorders>
              <w:top w:val="nil"/>
              <w:left w:val="nil"/>
              <w:bottom w:val="nil"/>
              <w:right w:val="nil"/>
            </w:tcBorders>
            <w:shd w:val="clear" w:color="auto" w:fill="auto"/>
            <w:noWrap/>
            <w:vAlign w:val="center"/>
            <w:hideMark/>
          </w:tcPr>
          <w:p w14:paraId="286D69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auto"/>
            <w:noWrap/>
            <w:vAlign w:val="center"/>
            <w:hideMark/>
          </w:tcPr>
          <w:p w14:paraId="0878FF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87.01</w:t>
            </w:r>
          </w:p>
        </w:tc>
        <w:tc>
          <w:tcPr>
            <w:tcW w:w="1276" w:type="dxa"/>
            <w:tcBorders>
              <w:top w:val="nil"/>
              <w:left w:val="nil"/>
              <w:bottom w:val="nil"/>
              <w:right w:val="nil"/>
            </w:tcBorders>
            <w:shd w:val="clear" w:color="auto" w:fill="auto"/>
            <w:noWrap/>
            <w:vAlign w:val="center"/>
            <w:hideMark/>
          </w:tcPr>
          <w:p w14:paraId="24F29B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E9D79C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2926D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324" w:type="dxa"/>
            <w:tcBorders>
              <w:top w:val="nil"/>
              <w:left w:val="nil"/>
              <w:bottom w:val="nil"/>
              <w:right w:val="nil"/>
            </w:tcBorders>
            <w:shd w:val="clear" w:color="auto" w:fill="E5E5E5" w:themeFill="background1" w:themeFillTint="33"/>
            <w:noWrap/>
            <w:vAlign w:val="center"/>
            <w:hideMark/>
          </w:tcPr>
          <w:p w14:paraId="368425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88.60</w:t>
            </w:r>
          </w:p>
        </w:tc>
        <w:tc>
          <w:tcPr>
            <w:tcW w:w="1418" w:type="dxa"/>
            <w:gridSpan w:val="2"/>
            <w:tcBorders>
              <w:top w:val="nil"/>
              <w:left w:val="nil"/>
              <w:bottom w:val="nil"/>
              <w:right w:val="nil"/>
            </w:tcBorders>
            <w:shd w:val="clear" w:color="auto" w:fill="E5E5E5" w:themeFill="background1" w:themeFillTint="33"/>
            <w:noWrap/>
            <w:vAlign w:val="center"/>
            <w:hideMark/>
          </w:tcPr>
          <w:p w14:paraId="06990D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89606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87.84</w:t>
            </w:r>
          </w:p>
        </w:tc>
        <w:tc>
          <w:tcPr>
            <w:tcW w:w="1276" w:type="dxa"/>
            <w:tcBorders>
              <w:top w:val="nil"/>
              <w:left w:val="nil"/>
              <w:bottom w:val="nil"/>
              <w:right w:val="nil"/>
            </w:tcBorders>
            <w:shd w:val="clear" w:color="auto" w:fill="E5E5E5" w:themeFill="background1" w:themeFillTint="33"/>
            <w:noWrap/>
            <w:vAlign w:val="center"/>
            <w:hideMark/>
          </w:tcPr>
          <w:p w14:paraId="6E7DD2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6C0460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87.63</w:t>
            </w:r>
          </w:p>
        </w:tc>
        <w:tc>
          <w:tcPr>
            <w:tcW w:w="1418" w:type="dxa"/>
            <w:gridSpan w:val="3"/>
            <w:tcBorders>
              <w:top w:val="nil"/>
              <w:left w:val="nil"/>
              <w:bottom w:val="nil"/>
              <w:right w:val="nil"/>
            </w:tcBorders>
            <w:shd w:val="clear" w:color="auto" w:fill="E5E5E5" w:themeFill="background1" w:themeFillTint="33"/>
            <w:noWrap/>
            <w:vAlign w:val="center"/>
            <w:hideMark/>
          </w:tcPr>
          <w:p w14:paraId="7EFA5F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622A8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74.03</w:t>
            </w:r>
          </w:p>
        </w:tc>
        <w:tc>
          <w:tcPr>
            <w:tcW w:w="1276" w:type="dxa"/>
            <w:tcBorders>
              <w:top w:val="nil"/>
              <w:left w:val="nil"/>
              <w:bottom w:val="nil"/>
              <w:right w:val="nil"/>
            </w:tcBorders>
            <w:shd w:val="clear" w:color="auto" w:fill="E5E5E5" w:themeFill="background1" w:themeFillTint="33"/>
            <w:noWrap/>
            <w:vAlign w:val="center"/>
            <w:hideMark/>
          </w:tcPr>
          <w:p w14:paraId="5AACDE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4CE27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87.57</w:t>
            </w:r>
          </w:p>
        </w:tc>
        <w:tc>
          <w:tcPr>
            <w:tcW w:w="1276" w:type="dxa"/>
            <w:tcBorders>
              <w:top w:val="nil"/>
              <w:left w:val="nil"/>
              <w:bottom w:val="nil"/>
              <w:right w:val="nil"/>
            </w:tcBorders>
            <w:shd w:val="clear" w:color="auto" w:fill="E5E5E5" w:themeFill="background1" w:themeFillTint="33"/>
            <w:noWrap/>
            <w:vAlign w:val="center"/>
            <w:hideMark/>
          </w:tcPr>
          <w:p w14:paraId="63BB2C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D14D8E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A54A7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324" w:type="dxa"/>
            <w:tcBorders>
              <w:top w:val="nil"/>
              <w:left w:val="nil"/>
              <w:bottom w:val="nil"/>
              <w:right w:val="nil"/>
            </w:tcBorders>
            <w:shd w:val="clear" w:color="auto" w:fill="FFFFFF" w:themeFill="background2"/>
            <w:noWrap/>
            <w:vAlign w:val="center"/>
            <w:hideMark/>
          </w:tcPr>
          <w:p w14:paraId="3C9E16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89.00</w:t>
            </w:r>
          </w:p>
        </w:tc>
        <w:tc>
          <w:tcPr>
            <w:tcW w:w="1418" w:type="dxa"/>
            <w:gridSpan w:val="2"/>
            <w:tcBorders>
              <w:top w:val="nil"/>
              <w:left w:val="nil"/>
              <w:bottom w:val="nil"/>
              <w:right w:val="nil"/>
            </w:tcBorders>
            <w:shd w:val="clear" w:color="auto" w:fill="FFFFFF" w:themeFill="background2"/>
            <w:noWrap/>
            <w:vAlign w:val="center"/>
            <w:hideMark/>
          </w:tcPr>
          <w:p w14:paraId="17D047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C4CCC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88.33</w:t>
            </w:r>
          </w:p>
        </w:tc>
        <w:tc>
          <w:tcPr>
            <w:tcW w:w="1276" w:type="dxa"/>
            <w:tcBorders>
              <w:top w:val="nil"/>
              <w:left w:val="nil"/>
              <w:bottom w:val="nil"/>
              <w:right w:val="nil"/>
            </w:tcBorders>
            <w:shd w:val="clear" w:color="auto" w:fill="FFFFFF" w:themeFill="background2"/>
            <w:noWrap/>
            <w:vAlign w:val="center"/>
            <w:hideMark/>
          </w:tcPr>
          <w:p w14:paraId="195B02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37B39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87.89</w:t>
            </w:r>
          </w:p>
        </w:tc>
        <w:tc>
          <w:tcPr>
            <w:tcW w:w="1418" w:type="dxa"/>
            <w:gridSpan w:val="3"/>
            <w:tcBorders>
              <w:top w:val="nil"/>
              <w:left w:val="nil"/>
              <w:bottom w:val="nil"/>
              <w:right w:val="nil"/>
            </w:tcBorders>
            <w:shd w:val="clear" w:color="auto" w:fill="FFFFFF" w:themeFill="background2"/>
            <w:noWrap/>
            <w:vAlign w:val="center"/>
            <w:hideMark/>
          </w:tcPr>
          <w:p w14:paraId="395D61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E6A7B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74.74</w:t>
            </w:r>
          </w:p>
        </w:tc>
        <w:tc>
          <w:tcPr>
            <w:tcW w:w="1276" w:type="dxa"/>
            <w:tcBorders>
              <w:top w:val="nil"/>
              <w:left w:val="nil"/>
              <w:bottom w:val="nil"/>
              <w:right w:val="nil"/>
            </w:tcBorders>
            <w:shd w:val="clear" w:color="auto" w:fill="FFFFFF" w:themeFill="background2"/>
            <w:noWrap/>
            <w:vAlign w:val="center"/>
            <w:hideMark/>
          </w:tcPr>
          <w:p w14:paraId="66193D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714FA0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88.00</w:t>
            </w:r>
          </w:p>
        </w:tc>
        <w:tc>
          <w:tcPr>
            <w:tcW w:w="1276" w:type="dxa"/>
            <w:tcBorders>
              <w:top w:val="nil"/>
              <w:left w:val="nil"/>
              <w:bottom w:val="nil"/>
              <w:right w:val="nil"/>
            </w:tcBorders>
            <w:shd w:val="clear" w:color="auto" w:fill="FFFFFF" w:themeFill="background2"/>
            <w:noWrap/>
            <w:vAlign w:val="center"/>
            <w:hideMark/>
          </w:tcPr>
          <w:p w14:paraId="16C5CB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50CDA9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3D316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324" w:type="dxa"/>
            <w:tcBorders>
              <w:top w:val="nil"/>
              <w:left w:val="nil"/>
              <w:bottom w:val="nil"/>
              <w:right w:val="nil"/>
            </w:tcBorders>
            <w:shd w:val="clear" w:color="auto" w:fill="E5E5E5" w:themeFill="background1" w:themeFillTint="33"/>
            <w:noWrap/>
            <w:vAlign w:val="center"/>
            <w:hideMark/>
          </w:tcPr>
          <w:p w14:paraId="341C99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89.39</w:t>
            </w:r>
          </w:p>
        </w:tc>
        <w:tc>
          <w:tcPr>
            <w:tcW w:w="1418" w:type="dxa"/>
            <w:gridSpan w:val="2"/>
            <w:tcBorders>
              <w:top w:val="nil"/>
              <w:left w:val="nil"/>
              <w:bottom w:val="nil"/>
              <w:right w:val="nil"/>
            </w:tcBorders>
            <w:shd w:val="clear" w:color="auto" w:fill="E5E5E5" w:themeFill="background1" w:themeFillTint="33"/>
            <w:noWrap/>
            <w:vAlign w:val="center"/>
            <w:hideMark/>
          </w:tcPr>
          <w:p w14:paraId="484C81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A19E8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88.75</w:t>
            </w:r>
          </w:p>
        </w:tc>
        <w:tc>
          <w:tcPr>
            <w:tcW w:w="1276" w:type="dxa"/>
            <w:tcBorders>
              <w:top w:val="nil"/>
              <w:left w:val="nil"/>
              <w:bottom w:val="nil"/>
              <w:right w:val="nil"/>
            </w:tcBorders>
            <w:shd w:val="clear" w:color="auto" w:fill="E5E5E5" w:themeFill="background1" w:themeFillTint="33"/>
            <w:noWrap/>
            <w:vAlign w:val="center"/>
            <w:hideMark/>
          </w:tcPr>
          <w:p w14:paraId="0F003D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175056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88.25</w:t>
            </w:r>
          </w:p>
        </w:tc>
        <w:tc>
          <w:tcPr>
            <w:tcW w:w="1418" w:type="dxa"/>
            <w:gridSpan w:val="3"/>
            <w:tcBorders>
              <w:top w:val="nil"/>
              <w:left w:val="nil"/>
              <w:bottom w:val="nil"/>
              <w:right w:val="nil"/>
            </w:tcBorders>
            <w:shd w:val="clear" w:color="auto" w:fill="E5E5E5" w:themeFill="background1" w:themeFillTint="33"/>
            <w:noWrap/>
            <w:vAlign w:val="center"/>
            <w:hideMark/>
          </w:tcPr>
          <w:p w14:paraId="000A32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23814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75.66</w:t>
            </w:r>
          </w:p>
        </w:tc>
        <w:tc>
          <w:tcPr>
            <w:tcW w:w="1276" w:type="dxa"/>
            <w:tcBorders>
              <w:top w:val="nil"/>
              <w:left w:val="nil"/>
              <w:bottom w:val="nil"/>
              <w:right w:val="nil"/>
            </w:tcBorders>
            <w:shd w:val="clear" w:color="auto" w:fill="E5E5E5" w:themeFill="background1" w:themeFillTint="33"/>
            <w:noWrap/>
            <w:vAlign w:val="center"/>
            <w:hideMark/>
          </w:tcPr>
          <w:p w14:paraId="5C7A47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A153F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88.42</w:t>
            </w:r>
          </w:p>
        </w:tc>
        <w:tc>
          <w:tcPr>
            <w:tcW w:w="1276" w:type="dxa"/>
            <w:tcBorders>
              <w:top w:val="nil"/>
              <w:left w:val="nil"/>
              <w:bottom w:val="nil"/>
              <w:right w:val="nil"/>
            </w:tcBorders>
            <w:shd w:val="clear" w:color="auto" w:fill="E5E5E5" w:themeFill="background1" w:themeFillTint="33"/>
            <w:noWrap/>
            <w:vAlign w:val="center"/>
            <w:hideMark/>
          </w:tcPr>
          <w:p w14:paraId="7C3AC1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1C0E81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092A24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324" w:type="dxa"/>
            <w:tcBorders>
              <w:top w:val="nil"/>
              <w:left w:val="nil"/>
              <w:bottom w:val="nil"/>
              <w:right w:val="nil"/>
            </w:tcBorders>
            <w:shd w:val="clear" w:color="auto" w:fill="FFFFFF" w:themeFill="background2"/>
            <w:noWrap/>
            <w:vAlign w:val="center"/>
            <w:hideMark/>
          </w:tcPr>
          <w:p w14:paraId="30D764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89.77</w:t>
            </w:r>
          </w:p>
        </w:tc>
        <w:tc>
          <w:tcPr>
            <w:tcW w:w="1418" w:type="dxa"/>
            <w:gridSpan w:val="2"/>
            <w:tcBorders>
              <w:top w:val="nil"/>
              <w:left w:val="nil"/>
              <w:bottom w:val="nil"/>
              <w:right w:val="nil"/>
            </w:tcBorders>
            <w:shd w:val="clear" w:color="auto" w:fill="FFFFFF" w:themeFill="background2"/>
            <w:noWrap/>
            <w:vAlign w:val="center"/>
            <w:hideMark/>
          </w:tcPr>
          <w:p w14:paraId="5240EC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FC265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89.12</w:t>
            </w:r>
          </w:p>
        </w:tc>
        <w:tc>
          <w:tcPr>
            <w:tcW w:w="1276" w:type="dxa"/>
            <w:tcBorders>
              <w:top w:val="nil"/>
              <w:left w:val="nil"/>
              <w:bottom w:val="nil"/>
              <w:right w:val="nil"/>
            </w:tcBorders>
            <w:shd w:val="clear" w:color="auto" w:fill="FFFFFF" w:themeFill="background2"/>
            <w:noWrap/>
            <w:vAlign w:val="center"/>
            <w:hideMark/>
          </w:tcPr>
          <w:p w14:paraId="7FBED1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67BD2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88.59</w:t>
            </w:r>
          </w:p>
        </w:tc>
        <w:tc>
          <w:tcPr>
            <w:tcW w:w="1418" w:type="dxa"/>
            <w:gridSpan w:val="3"/>
            <w:tcBorders>
              <w:top w:val="nil"/>
              <w:left w:val="nil"/>
              <w:bottom w:val="nil"/>
              <w:right w:val="nil"/>
            </w:tcBorders>
            <w:shd w:val="clear" w:color="auto" w:fill="FFFFFF" w:themeFill="background2"/>
            <w:noWrap/>
            <w:vAlign w:val="center"/>
            <w:hideMark/>
          </w:tcPr>
          <w:p w14:paraId="674EB0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50DEED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76.50</w:t>
            </w:r>
          </w:p>
        </w:tc>
        <w:tc>
          <w:tcPr>
            <w:tcW w:w="1276" w:type="dxa"/>
            <w:tcBorders>
              <w:top w:val="nil"/>
              <w:left w:val="nil"/>
              <w:bottom w:val="nil"/>
              <w:right w:val="nil"/>
            </w:tcBorders>
            <w:shd w:val="clear" w:color="auto" w:fill="FFFFFF" w:themeFill="background2"/>
            <w:noWrap/>
            <w:vAlign w:val="center"/>
            <w:hideMark/>
          </w:tcPr>
          <w:p w14:paraId="13451D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5D8A40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88.82</w:t>
            </w:r>
          </w:p>
        </w:tc>
        <w:tc>
          <w:tcPr>
            <w:tcW w:w="1276" w:type="dxa"/>
            <w:tcBorders>
              <w:top w:val="nil"/>
              <w:left w:val="nil"/>
              <w:bottom w:val="nil"/>
              <w:right w:val="nil"/>
            </w:tcBorders>
            <w:shd w:val="clear" w:color="auto" w:fill="FFFFFF" w:themeFill="background2"/>
            <w:noWrap/>
            <w:vAlign w:val="center"/>
            <w:hideMark/>
          </w:tcPr>
          <w:p w14:paraId="1BCBBA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3D9F66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1094F3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324" w:type="dxa"/>
            <w:tcBorders>
              <w:top w:val="nil"/>
              <w:left w:val="nil"/>
              <w:bottom w:val="nil"/>
              <w:right w:val="nil"/>
            </w:tcBorders>
            <w:shd w:val="clear" w:color="auto" w:fill="E5E5E5" w:themeFill="background1" w:themeFillTint="33"/>
            <w:noWrap/>
            <w:vAlign w:val="center"/>
            <w:hideMark/>
          </w:tcPr>
          <w:p w14:paraId="3D48AF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90.15</w:t>
            </w:r>
          </w:p>
        </w:tc>
        <w:tc>
          <w:tcPr>
            <w:tcW w:w="1418" w:type="dxa"/>
            <w:gridSpan w:val="2"/>
            <w:tcBorders>
              <w:top w:val="nil"/>
              <w:left w:val="nil"/>
              <w:bottom w:val="nil"/>
              <w:right w:val="nil"/>
            </w:tcBorders>
            <w:shd w:val="clear" w:color="auto" w:fill="E5E5E5" w:themeFill="background1" w:themeFillTint="33"/>
            <w:noWrap/>
            <w:vAlign w:val="center"/>
            <w:hideMark/>
          </w:tcPr>
          <w:p w14:paraId="288803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4ED7B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89.41</w:t>
            </w:r>
          </w:p>
        </w:tc>
        <w:tc>
          <w:tcPr>
            <w:tcW w:w="1276" w:type="dxa"/>
            <w:tcBorders>
              <w:top w:val="nil"/>
              <w:left w:val="nil"/>
              <w:bottom w:val="nil"/>
              <w:right w:val="nil"/>
            </w:tcBorders>
            <w:shd w:val="clear" w:color="auto" w:fill="E5E5E5" w:themeFill="background1" w:themeFillTint="33"/>
            <w:noWrap/>
            <w:vAlign w:val="center"/>
            <w:hideMark/>
          </w:tcPr>
          <w:p w14:paraId="25BA28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71AAA1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88.86</w:t>
            </w:r>
          </w:p>
        </w:tc>
        <w:tc>
          <w:tcPr>
            <w:tcW w:w="1418" w:type="dxa"/>
            <w:gridSpan w:val="3"/>
            <w:tcBorders>
              <w:top w:val="nil"/>
              <w:left w:val="nil"/>
              <w:bottom w:val="nil"/>
              <w:right w:val="nil"/>
            </w:tcBorders>
            <w:shd w:val="clear" w:color="auto" w:fill="E5E5E5" w:themeFill="background1" w:themeFillTint="33"/>
            <w:noWrap/>
            <w:vAlign w:val="center"/>
            <w:hideMark/>
          </w:tcPr>
          <w:p w14:paraId="3A0FA8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5B460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77.10</w:t>
            </w:r>
          </w:p>
        </w:tc>
        <w:tc>
          <w:tcPr>
            <w:tcW w:w="1276" w:type="dxa"/>
            <w:tcBorders>
              <w:top w:val="nil"/>
              <w:left w:val="nil"/>
              <w:bottom w:val="nil"/>
              <w:right w:val="nil"/>
            </w:tcBorders>
            <w:shd w:val="clear" w:color="auto" w:fill="E5E5E5" w:themeFill="background1" w:themeFillTint="33"/>
            <w:noWrap/>
            <w:vAlign w:val="center"/>
            <w:hideMark/>
          </w:tcPr>
          <w:p w14:paraId="73D3D8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113AA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89.18</w:t>
            </w:r>
          </w:p>
        </w:tc>
        <w:tc>
          <w:tcPr>
            <w:tcW w:w="1276" w:type="dxa"/>
            <w:tcBorders>
              <w:top w:val="nil"/>
              <w:left w:val="nil"/>
              <w:bottom w:val="nil"/>
              <w:right w:val="nil"/>
            </w:tcBorders>
            <w:shd w:val="clear" w:color="auto" w:fill="E5E5E5" w:themeFill="background1" w:themeFillTint="33"/>
            <w:noWrap/>
            <w:vAlign w:val="center"/>
            <w:hideMark/>
          </w:tcPr>
          <w:p w14:paraId="0A86E3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D53037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0BCDFB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324" w:type="dxa"/>
            <w:tcBorders>
              <w:top w:val="nil"/>
              <w:left w:val="nil"/>
              <w:bottom w:val="nil"/>
              <w:right w:val="nil"/>
            </w:tcBorders>
            <w:shd w:val="clear" w:color="auto" w:fill="FFFFFF" w:themeFill="background2"/>
            <w:noWrap/>
            <w:vAlign w:val="center"/>
            <w:hideMark/>
          </w:tcPr>
          <w:p w14:paraId="784288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90.61</w:t>
            </w:r>
          </w:p>
        </w:tc>
        <w:tc>
          <w:tcPr>
            <w:tcW w:w="1418" w:type="dxa"/>
            <w:gridSpan w:val="2"/>
            <w:tcBorders>
              <w:top w:val="nil"/>
              <w:left w:val="nil"/>
              <w:bottom w:val="nil"/>
              <w:right w:val="nil"/>
            </w:tcBorders>
            <w:shd w:val="clear" w:color="auto" w:fill="FFFFFF" w:themeFill="background2"/>
            <w:noWrap/>
            <w:vAlign w:val="center"/>
            <w:hideMark/>
          </w:tcPr>
          <w:p w14:paraId="2B8013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B81A9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89.86</w:t>
            </w:r>
          </w:p>
        </w:tc>
        <w:tc>
          <w:tcPr>
            <w:tcW w:w="1276" w:type="dxa"/>
            <w:tcBorders>
              <w:top w:val="nil"/>
              <w:left w:val="nil"/>
              <w:bottom w:val="nil"/>
              <w:right w:val="nil"/>
            </w:tcBorders>
            <w:shd w:val="clear" w:color="auto" w:fill="FFFFFF" w:themeFill="background2"/>
            <w:noWrap/>
            <w:vAlign w:val="center"/>
            <w:hideMark/>
          </w:tcPr>
          <w:p w14:paraId="68639D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094F6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89.32</w:t>
            </w:r>
          </w:p>
        </w:tc>
        <w:tc>
          <w:tcPr>
            <w:tcW w:w="1418" w:type="dxa"/>
            <w:gridSpan w:val="3"/>
            <w:tcBorders>
              <w:top w:val="nil"/>
              <w:left w:val="nil"/>
              <w:bottom w:val="nil"/>
              <w:right w:val="nil"/>
            </w:tcBorders>
            <w:shd w:val="clear" w:color="auto" w:fill="FFFFFF" w:themeFill="background2"/>
            <w:noWrap/>
            <w:vAlign w:val="center"/>
            <w:hideMark/>
          </w:tcPr>
          <w:p w14:paraId="7DC03F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534B06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77.90</w:t>
            </w:r>
          </w:p>
        </w:tc>
        <w:tc>
          <w:tcPr>
            <w:tcW w:w="1276" w:type="dxa"/>
            <w:tcBorders>
              <w:top w:val="nil"/>
              <w:left w:val="nil"/>
              <w:bottom w:val="nil"/>
              <w:right w:val="nil"/>
            </w:tcBorders>
            <w:shd w:val="clear" w:color="auto" w:fill="FFFFFF" w:themeFill="background2"/>
            <w:noWrap/>
            <w:vAlign w:val="center"/>
            <w:hideMark/>
          </w:tcPr>
          <w:p w14:paraId="0042A6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1802A4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89.66</w:t>
            </w:r>
          </w:p>
        </w:tc>
        <w:tc>
          <w:tcPr>
            <w:tcW w:w="1276" w:type="dxa"/>
            <w:tcBorders>
              <w:top w:val="nil"/>
              <w:left w:val="nil"/>
              <w:bottom w:val="nil"/>
              <w:right w:val="nil"/>
            </w:tcBorders>
            <w:shd w:val="clear" w:color="auto" w:fill="FFFFFF" w:themeFill="background2"/>
            <w:noWrap/>
            <w:vAlign w:val="center"/>
            <w:hideMark/>
          </w:tcPr>
          <w:p w14:paraId="387C22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1B98EF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4B89D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324" w:type="dxa"/>
            <w:tcBorders>
              <w:top w:val="nil"/>
              <w:left w:val="nil"/>
              <w:bottom w:val="nil"/>
              <w:right w:val="nil"/>
            </w:tcBorders>
            <w:shd w:val="clear" w:color="auto" w:fill="E5E5E5" w:themeFill="background1" w:themeFillTint="33"/>
            <w:noWrap/>
            <w:vAlign w:val="center"/>
            <w:hideMark/>
          </w:tcPr>
          <w:p w14:paraId="7974D8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91.10</w:t>
            </w:r>
          </w:p>
        </w:tc>
        <w:tc>
          <w:tcPr>
            <w:tcW w:w="1418" w:type="dxa"/>
            <w:gridSpan w:val="2"/>
            <w:tcBorders>
              <w:top w:val="nil"/>
              <w:left w:val="nil"/>
              <w:bottom w:val="nil"/>
              <w:right w:val="nil"/>
            </w:tcBorders>
            <w:shd w:val="clear" w:color="auto" w:fill="E5E5E5" w:themeFill="background1" w:themeFillTint="33"/>
            <w:noWrap/>
            <w:vAlign w:val="center"/>
            <w:hideMark/>
          </w:tcPr>
          <w:p w14:paraId="12A9EC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BE66B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90.33</w:t>
            </w:r>
          </w:p>
        </w:tc>
        <w:tc>
          <w:tcPr>
            <w:tcW w:w="1276" w:type="dxa"/>
            <w:tcBorders>
              <w:top w:val="nil"/>
              <w:left w:val="nil"/>
              <w:bottom w:val="nil"/>
              <w:right w:val="nil"/>
            </w:tcBorders>
            <w:shd w:val="clear" w:color="auto" w:fill="E5E5E5" w:themeFill="background1" w:themeFillTint="33"/>
            <w:noWrap/>
            <w:vAlign w:val="center"/>
            <w:hideMark/>
          </w:tcPr>
          <w:p w14:paraId="71B4C1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3E681B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89.78</w:t>
            </w:r>
          </w:p>
        </w:tc>
        <w:tc>
          <w:tcPr>
            <w:tcW w:w="1418" w:type="dxa"/>
            <w:gridSpan w:val="3"/>
            <w:tcBorders>
              <w:top w:val="nil"/>
              <w:left w:val="nil"/>
              <w:bottom w:val="nil"/>
              <w:right w:val="nil"/>
            </w:tcBorders>
            <w:shd w:val="clear" w:color="auto" w:fill="E5E5E5" w:themeFill="background1" w:themeFillTint="33"/>
            <w:noWrap/>
            <w:vAlign w:val="center"/>
            <w:hideMark/>
          </w:tcPr>
          <w:p w14:paraId="3AF9EB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0DBB7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78.69</w:t>
            </w:r>
          </w:p>
        </w:tc>
        <w:tc>
          <w:tcPr>
            <w:tcW w:w="1276" w:type="dxa"/>
            <w:tcBorders>
              <w:top w:val="nil"/>
              <w:left w:val="nil"/>
              <w:bottom w:val="nil"/>
              <w:right w:val="nil"/>
            </w:tcBorders>
            <w:shd w:val="clear" w:color="auto" w:fill="E5E5E5" w:themeFill="background1" w:themeFillTint="33"/>
            <w:noWrap/>
            <w:vAlign w:val="center"/>
            <w:hideMark/>
          </w:tcPr>
          <w:p w14:paraId="2821B7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095BC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90.16</w:t>
            </w:r>
          </w:p>
        </w:tc>
        <w:tc>
          <w:tcPr>
            <w:tcW w:w="1276" w:type="dxa"/>
            <w:tcBorders>
              <w:top w:val="nil"/>
              <w:left w:val="nil"/>
              <w:bottom w:val="nil"/>
              <w:right w:val="nil"/>
            </w:tcBorders>
            <w:shd w:val="clear" w:color="auto" w:fill="E5E5E5" w:themeFill="background1" w:themeFillTint="33"/>
            <w:noWrap/>
            <w:vAlign w:val="center"/>
            <w:hideMark/>
          </w:tcPr>
          <w:p w14:paraId="7B6FF9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0C3BCD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6ADC8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324" w:type="dxa"/>
            <w:tcBorders>
              <w:top w:val="nil"/>
              <w:left w:val="nil"/>
              <w:bottom w:val="nil"/>
              <w:right w:val="nil"/>
            </w:tcBorders>
            <w:shd w:val="clear" w:color="auto" w:fill="FFFFFF" w:themeFill="background2"/>
            <w:noWrap/>
            <w:vAlign w:val="center"/>
            <w:hideMark/>
          </w:tcPr>
          <w:p w14:paraId="23EF21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91.52</w:t>
            </w:r>
          </w:p>
        </w:tc>
        <w:tc>
          <w:tcPr>
            <w:tcW w:w="1418" w:type="dxa"/>
            <w:gridSpan w:val="2"/>
            <w:tcBorders>
              <w:top w:val="nil"/>
              <w:left w:val="nil"/>
              <w:bottom w:val="nil"/>
              <w:right w:val="nil"/>
            </w:tcBorders>
            <w:shd w:val="clear" w:color="auto" w:fill="FFFFFF" w:themeFill="background2"/>
            <w:noWrap/>
            <w:vAlign w:val="center"/>
            <w:hideMark/>
          </w:tcPr>
          <w:p w14:paraId="27D556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3E59FE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90.70</w:t>
            </w:r>
          </w:p>
        </w:tc>
        <w:tc>
          <w:tcPr>
            <w:tcW w:w="1276" w:type="dxa"/>
            <w:tcBorders>
              <w:top w:val="nil"/>
              <w:left w:val="nil"/>
              <w:bottom w:val="nil"/>
              <w:right w:val="nil"/>
            </w:tcBorders>
            <w:shd w:val="clear" w:color="auto" w:fill="FFFFFF" w:themeFill="background2"/>
            <w:noWrap/>
            <w:vAlign w:val="center"/>
            <w:hideMark/>
          </w:tcPr>
          <w:p w14:paraId="1D7EE8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89B3C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90.20</w:t>
            </w:r>
          </w:p>
        </w:tc>
        <w:tc>
          <w:tcPr>
            <w:tcW w:w="1418" w:type="dxa"/>
            <w:gridSpan w:val="3"/>
            <w:tcBorders>
              <w:top w:val="nil"/>
              <w:left w:val="nil"/>
              <w:bottom w:val="nil"/>
              <w:right w:val="nil"/>
            </w:tcBorders>
            <w:shd w:val="clear" w:color="auto" w:fill="FFFFFF" w:themeFill="background2"/>
            <w:noWrap/>
            <w:vAlign w:val="center"/>
            <w:hideMark/>
          </w:tcPr>
          <w:p w14:paraId="667A90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70EEA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79.66</w:t>
            </w:r>
          </w:p>
        </w:tc>
        <w:tc>
          <w:tcPr>
            <w:tcW w:w="1276" w:type="dxa"/>
            <w:tcBorders>
              <w:top w:val="nil"/>
              <w:left w:val="nil"/>
              <w:bottom w:val="nil"/>
              <w:right w:val="nil"/>
            </w:tcBorders>
            <w:shd w:val="clear" w:color="auto" w:fill="FFFFFF" w:themeFill="background2"/>
            <w:noWrap/>
            <w:vAlign w:val="center"/>
            <w:hideMark/>
          </w:tcPr>
          <w:p w14:paraId="623469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0FAD25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90.59</w:t>
            </w:r>
          </w:p>
        </w:tc>
        <w:tc>
          <w:tcPr>
            <w:tcW w:w="1276" w:type="dxa"/>
            <w:tcBorders>
              <w:top w:val="nil"/>
              <w:left w:val="nil"/>
              <w:bottom w:val="nil"/>
              <w:right w:val="nil"/>
            </w:tcBorders>
            <w:shd w:val="clear" w:color="auto" w:fill="FFFFFF" w:themeFill="background2"/>
            <w:noWrap/>
            <w:vAlign w:val="center"/>
            <w:hideMark/>
          </w:tcPr>
          <w:p w14:paraId="00762D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0C5849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02F45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324" w:type="dxa"/>
            <w:tcBorders>
              <w:top w:val="nil"/>
              <w:left w:val="nil"/>
              <w:bottom w:val="nil"/>
              <w:right w:val="nil"/>
            </w:tcBorders>
            <w:shd w:val="clear" w:color="auto" w:fill="E5E5E5" w:themeFill="background1" w:themeFillTint="33"/>
            <w:noWrap/>
            <w:vAlign w:val="center"/>
            <w:hideMark/>
          </w:tcPr>
          <w:p w14:paraId="3086CE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91.82</w:t>
            </w:r>
          </w:p>
        </w:tc>
        <w:tc>
          <w:tcPr>
            <w:tcW w:w="1418" w:type="dxa"/>
            <w:gridSpan w:val="2"/>
            <w:tcBorders>
              <w:top w:val="nil"/>
              <w:left w:val="nil"/>
              <w:bottom w:val="nil"/>
              <w:right w:val="nil"/>
            </w:tcBorders>
            <w:shd w:val="clear" w:color="auto" w:fill="E5E5E5" w:themeFill="background1" w:themeFillTint="33"/>
            <w:noWrap/>
            <w:vAlign w:val="center"/>
            <w:hideMark/>
          </w:tcPr>
          <w:p w14:paraId="3EA31F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2FA81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91.00</w:t>
            </w:r>
          </w:p>
        </w:tc>
        <w:tc>
          <w:tcPr>
            <w:tcW w:w="1276" w:type="dxa"/>
            <w:tcBorders>
              <w:top w:val="nil"/>
              <w:left w:val="nil"/>
              <w:bottom w:val="nil"/>
              <w:right w:val="nil"/>
            </w:tcBorders>
            <w:shd w:val="clear" w:color="auto" w:fill="E5E5E5" w:themeFill="background1" w:themeFillTint="33"/>
            <w:noWrap/>
            <w:vAlign w:val="center"/>
            <w:hideMark/>
          </w:tcPr>
          <w:p w14:paraId="2F536F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2EFA46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90.59</w:t>
            </w:r>
          </w:p>
        </w:tc>
        <w:tc>
          <w:tcPr>
            <w:tcW w:w="1418" w:type="dxa"/>
            <w:gridSpan w:val="3"/>
            <w:tcBorders>
              <w:top w:val="nil"/>
              <w:left w:val="nil"/>
              <w:bottom w:val="nil"/>
              <w:right w:val="nil"/>
            </w:tcBorders>
            <w:shd w:val="clear" w:color="auto" w:fill="E5E5E5" w:themeFill="background1" w:themeFillTint="33"/>
            <w:noWrap/>
            <w:vAlign w:val="center"/>
            <w:hideMark/>
          </w:tcPr>
          <w:p w14:paraId="527AB6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8ACEE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80.45</w:t>
            </w:r>
          </w:p>
        </w:tc>
        <w:tc>
          <w:tcPr>
            <w:tcW w:w="1276" w:type="dxa"/>
            <w:tcBorders>
              <w:top w:val="nil"/>
              <w:left w:val="nil"/>
              <w:bottom w:val="nil"/>
              <w:right w:val="nil"/>
            </w:tcBorders>
            <w:shd w:val="clear" w:color="auto" w:fill="E5E5E5" w:themeFill="background1" w:themeFillTint="33"/>
            <w:noWrap/>
            <w:vAlign w:val="center"/>
            <w:hideMark/>
          </w:tcPr>
          <w:p w14:paraId="2D4BC5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EF0E4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90.93</w:t>
            </w:r>
          </w:p>
        </w:tc>
        <w:tc>
          <w:tcPr>
            <w:tcW w:w="1276" w:type="dxa"/>
            <w:tcBorders>
              <w:top w:val="nil"/>
              <w:left w:val="nil"/>
              <w:bottom w:val="nil"/>
              <w:right w:val="nil"/>
            </w:tcBorders>
            <w:shd w:val="clear" w:color="auto" w:fill="E5E5E5" w:themeFill="background1" w:themeFillTint="33"/>
            <w:noWrap/>
            <w:vAlign w:val="center"/>
            <w:hideMark/>
          </w:tcPr>
          <w:p w14:paraId="0A7FB8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FA2F1F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47CB7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324" w:type="dxa"/>
            <w:tcBorders>
              <w:top w:val="nil"/>
              <w:left w:val="nil"/>
              <w:bottom w:val="nil"/>
              <w:right w:val="nil"/>
            </w:tcBorders>
            <w:shd w:val="clear" w:color="auto" w:fill="FFFFFF" w:themeFill="background2"/>
            <w:noWrap/>
            <w:vAlign w:val="center"/>
            <w:hideMark/>
          </w:tcPr>
          <w:p w14:paraId="0F90D7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92.14</w:t>
            </w:r>
          </w:p>
        </w:tc>
        <w:tc>
          <w:tcPr>
            <w:tcW w:w="1418" w:type="dxa"/>
            <w:gridSpan w:val="2"/>
            <w:tcBorders>
              <w:top w:val="nil"/>
              <w:left w:val="nil"/>
              <w:bottom w:val="nil"/>
              <w:right w:val="nil"/>
            </w:tcBorders>
            <w:shd w:val="clear" w:color="auto" w:fill="FFFFFF" w:themeFill="background2"/>
            <w:noWrap/>
            <w:vAlign w:val="center"/>
            <w:hideMark/>
          </w:tcPr>
          <w:p w14:paraId="4295B0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3A809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91.33</w:t>
            </w:r>
          </w:p>
        </w:tc>
        <w:tc>
          <w:tcPr>
            <w:tcW w:w="1276" w:type="dxa"/>
            <w:tcBorders>
              <w:top w:val="nil"/>
              <w:left w:val="nil"/>
              <w:bottom w:val="nil"/>
              <w:right w:val="nil"/>
            </w:tcBorders>
            <w:shd w:val="clear" w:color="auto" w:fill="FFFFFF" w:themeFill="background2"/>
            <w:noWrap/>
            <w:vAlign w:val="center"/>
            <w:hideMark/>
          </w:tcPr>
          <w:p w14:paraId="608380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FE868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90.85</w:t>
            </w:r>
          </w:p>
        </w:tc>
        <w:tc>
          <w:tcPr>
            <w:tcW w:w="1418" w:type="dxa"/>
            <w:gridSpan w:val="3"/>
            <w:tcBorders>
              <w:top w:val="nil"/>
              <w:left w:val="nil"/>
              <w:bottom w:val="nil"/>
              <w:right w:val="nil"/>
            </w:tcBorders>
            <w:shd w:val="clear" w:color="auto" w:fill="FFFFFF" w:themeFill="background2"/>
            <w:noWrap/>
            <w:vAlign w:val="center"/>
            <w:hideMark/>
          </w:tcPr>
          <w:p w14:paraId="01EFCD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7A3BA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81.18</w:t>
            </w:r>
          </w:p>
        </w:tc>
        <w:tc>
          <w:tcPr>
            <w:tcW w:w="1276" w:type="dxa"/>
            <w:tcBorders>
              <w:top w:val="nil"/>
              <w:left w:val="nil"/>
              <w:bottom w:val="nil"/>
              <w:right w:val="nil"/>
            </w:tcBorders>
            <w:shd w:val="clear" w:color="auto" w:fill="FFFFFF" w:themeFill="background2"/>
            <w:noWrap/>
            <w:vAlign w:val="center"/>
            <w:hideMark/>
          </w:tcPr>
          <w:p w14:paraId="0F3664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34B921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91.27</w:t>
            </w:r>
          </w:p>
        </w:tc>
        <w:tc>
          <w:tcPr>
            <w:tcW w:w="1276" w:type="dxa"/>
            <w:tcBorders>
              <w:top w:val="nil"/>
              <w:left w:val="nil"/>
              <w:bottom w:val="nil"/>
              <w:right w:val="nil"/>
            </w:tcBorders>
            <w:shd w:val="clear" w:color="auto" w:fill="FFFFFF" w:themeFill="background2"/>
            <w:noWrap/>
            <w:vAlign w:val="center"/>
            <w:hideMark/>
          </w:tcPr>
          <w:p w14:paraId="3D3E07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18EA58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79289C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324" w:type="dxa"/>
            <w:tcBorders>
              <w:top w:val="nil"/>
              <w:left w:val="nil"/>
              <w:bottom w:val="nil"/>
              <w:right w:val="nil"/>
            </w:tcBorders>
            <w:shd w:val="clear" w:color="auto" w:fill="E5E5E5" w:themeFill="background1" w:themeFillTint="33"/>
            <w:noWrap/>
            <w:vAlign w:val="center"/>
            <w:hideMark/>
          </w:tcPr>
          <w:p w14:paraId="260F18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92.43</w:t>
            </w:r>
          </w:p>
        </w:tc>
        <w:tc>
          <w:tcPr>
            <w:tcW w:w="1418" w:type="dxa"/>
            <w:gridSpan w:val="2"/>
            <w:tcBorders>
              <w:top w:val="nil"/>
              <w:left w:val="nil"/>
              <w:bottom w:val="nil"/>
              <w:right w:val="nil"/>
            </w:tcBorders>
            <w:shd w:val="clear" w:color="auto" w:fill="E5E5E5" w:themeFill="background1" w:themeFillTint="33"/>
            <w:noWrap/>
            <w:vAlign w:val="center"/>
            <w:hideMark/>
          </w:tcPr>
          <w:p w14:paraId="2C1C58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66D32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91.62</w:t>
            </w:r>
          </w:p>
        </w:tc>
        <w:tc>
          <w:tcPr>
            <w:tcW w:w="1276" w:type="dxa"/>
            <w:tcBorders>
              <w:top w:val="nil"/>
              <w:left w:val="nil"/>
              <w:bottom w:val="nil"/>
              <w:right w:val="nil"/>
            </w:tcBorders>
            <w:shd w:val="clear" w:color="auto" w:fill="E5E5E5" w:themeFill="background1" w:themeFillTint="33"/>
            <w:noWrap/>
            <w:vAlign w:val="center"/>
            <w:hideMark/>
          </w:tcPr>
          <w:p w14:paraId="364A07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511543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91.12</w:t>
            </w:r>
          </w:p>
        </w:tc>
        <w:tc>
          <w:tcPr>
            <w:tcW w:w="1418" w:type="dxa"/>
            <w:gridSpan w:val="3"/>
            <w:tcBorders>
              <w:top w:val="nil"/>
              <w:left w:val="nil"/>
              <w:bottom w:val="nil"/>
              <w:right w:val="nil"/>
            </w:tcBorders>
            <w:shd w:val="clear" w:color="auto" w:fill="E5E5E5" w:themeFill="background1" w:themeFillTint="33"/>
            <w:noWrap/>
            <w:vAlign w:val="center"/>
            <w:hideMark/>
          </w:tcPr>
          <w:p w14:paraId="37D216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1C146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81.70</w:t>
            </w:r>
          </w:p>
        </w:tc>
        <w:tc>
          <w:tcPr>
            <w:tcW w:w="1276" w:type="dxa"/>
            <w:tcBorders>
              <w:top w:val="nil"/>
              <w:left w:val="nil"/>
              <w:bottom w:val="nil"/>
              <w:right w:val="nil"/>
            </w:tcBorders>
            <w:shd w:val="clear" w:color="auto" w:fill="E5E5E5" w:themeFill="background1" w:themeFillTint="33"/>
            <w:noWrap/>
            <w:vAlign w:val="center"/>
            <w:hideMark/>
          </w:tcPr>
          <w:p w14:paraId="3EBABE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1D1C7D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91.57</w:t>
            </w:r>
          </w:p>
        </w:tc>
        <w:tc>
          <w:tcPr>
            <w:tcW w:w="1276" w:type="dxa"/>
            <w:tcBorders>
              <w:top w:val="nil"/>
              <w:left w:val="nil"/>
              <w:bottom w:val="nil"/>
              <w:right w:val="nil"/>
            </w:tcBorders>
            <w:shd w:val="clear" w:color="auto" w:fill="E5E5E5" w:themeFill="background1" w:themeFillTint="33"/>
            <w:noWrap/>
            <w:vAlign w:val="center"/>
            <w:hideMark/>
          </w:tcPr>
          <w:p w14:paraId="6902F5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6B748E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871E0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324" w:type="dxa"/>
            <w:tcBorders>
              <w:top w:val="nil"/>
              <w:left w:val="nil"/>
              <w:bottom w:val="nil"/>
              <w:right w:val="nil"/>
            </w:tcBorders>
            <w:shd w:val="clear" w:color="auto" w:fill="FFFFFF" w:themeFill="background2"/>
            <w:noWrap/>
            <w:vAlign w:val="center"/>
            <w:hideMark/>
          </w:tcPr>
          <w:p w14:paraId="53B3C7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92.70</w:t>
            </w:r>
          </w:p>
        </w:tc>
        <w:tc>
          <w:tcPr>
            <w:tcW w:w="1418" w:type="dxa"/>
            <w:gridSpan w:val="2"/>
            <w:tcBorders>
              <w:top w:val="nil"/>
              <w:left w:val="nil"/>
              <w:bottom w:val="nil"/>
              <w:right w:val="nil"/>
            </w:tcBorders>
            <w:shd w:val="clear" w:color="auto" w:fill="FFFFFF" w:themeFill="background2"/>
            <w:noWrap/>
            <w:vAlign w:val="center"/>
            <w:hideMark/>
          </w:tcPr>
          <w:p w14:paraId="33095A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8E9D7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91.95</w:t>
            </w:r>
          </w:p>
        </w:tc>
        <w:tc>
          <w:tcPr>
            <w:tcW w:w="1276" w:type="dxa"/>
            <w:tcBorders>
              <w:top w:val="nil"/>
              <w:left w:val="nil"/>
              <w:bottom w:val="nil"/>
              <w:right w:val="nil"/>
            </w:tcBorders>
            <w:shd w:val="clear" w:color="auto" w:fill="FFFFFF" w:themeFill="background2"/>
            <w:noWrap/>
            <w:vAlign w:val="center"/>
            <w:hideMark/>
          </w:tcPr>
          <w:p w14:paraId="0E0B8B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6BF1F4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91.37</w:t>
            </w:r>
          </w:p>
        </w:tc>
        <w:tc>
          <w:tcPr>
            <w:tcW w:w="1418" w:type="dxa"/>
            <w:gridSpan w:val="3"/>
            <w:tcBorders>
              <w:top w:val="nil"/>
              <w:left w:val="nil"/>
              <w:bottom w:val="nil"/>
              <w:right w:val="nil"/>
            </w:tcBorders>
            <w:shd w:val="clear" w:color="auto" w:fill="FFFFFF" w:themeFill="background2"/>
            <w:noWrap/>
            <w:vAlign w:val="center"/>
            <w:hideMark/>
          </w:tcPr>
          <w:p w14:paraId="3C417D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3774C0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82.19</w:t>
            </w:r>
          </w:p>
        </w:tc>
        <w:tc>
          <w:tcPr>
            <w:tcW w:w="1276" w:type="dxa"/>
            <w:tcBorders>
              <w:top w:val="nil"/>
              <w:left w:val="nil"/>
              <w:bottom w:val="nil"/>
              <w:right w:val="nil"/>
            </w:tcBorders>
            <w:shd w:val="clear" w:color="auto" w:fill="FFFFFF" w:themeFill="background2"/>
            <w:noWrap/>
            <w:vAlign w:val="center"/>
            <w:hideMark/>
          </w:tcPr>
          <w:p w14:paraId="151AC6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3F364F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91.86</w:t>
            </w:r>
          </w:p>
        </w:tc>
        <w:tc>
          <w:tcPr>
            <w:tcW w:w="1276" w:type="dxa"/>
            <w:tcBorders>
              <w:top w:val="nil"/>
              <w:left w:val="nil"/>
              <w:bottom w:val="nil"/>
              <w:right w:val="nil"/>
            </w:tcBorders>
            <w:shd w:val="clear" w:color="auto" w:fill="FFFFFF" w:themeFill="background2"/>
            <w:noWrap/>
            <w:vAlign w:val="center"/>
            <w:hideMark/>
          </w:tcPr>
          <w:p w14:paraId="218BAE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4F256B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074AD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324" w:type="dxa"/>
            <w:tcBorders>
              <w:top w:val="nil"/>
              <w:left w:val="nil"/>
              <w:bottom w:val="nil"/>
              <w:right w:val="nil"/>
            </w:tcBorders>
            <w:shd w:val="clear" w:color="auto" w:fill="E5E5E5" w:themeFill="background1" w:themeFillTint="33"/>
            <w:noWrap/>
            <w:vAlign w:val="center"/>
            <w:hideMark/>
          </w:tcPr>
          <w:p w14:paraId="573B2E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93.04</w:t>
            </w:r>
          </w:p>
        </w:tc>
        <w:tc>
          <w:tcPr>
            <w:tcW w:w="1418" w:type="dxa"/>
            <w:gridSpan w:val="2"/>
            <w:tcBorders>
              <w:top w:val="nil"/>
              <w:left w:val="nil"/>
              <w:bottom w:val="nil"/>
              <w:right w:val="nil"/>
            </w:tcBorders>
            <w:shd w:val="clear" w:color="auto" w:fill="E5E5E5" w:themeFill="background1" w:themeFillTint="33"/>
            <w:noWrap/>
            <w:vAlign w:val="center"/>
            <w:hideMark/>
          </w:tcPr>
          <w:p w14:paraId="14858F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2E880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92.27</w:t>
            </w:r>
          </w:p>
        </w:tc>
        <w:tc>
          <w:tcPr>
            <w:tcW w:w="1276" w:type="dxa"/>
            <w:tcBorders>
              <w:top w:val="nil"/>
              <w:left w:val="nil"/>
              <w:bottom w:val="nil"/>
              <w:right w:val="nil"/>
            </w:tcBorders>
            <w:shd w:val="clear" w:color="auto" w:fill="E5E5E5" w:themeFill="background1" w:themeFillTint="33"/>
            <w:noWrap/>
            <w:vAlign w:val="center"/>
            <w:hideMark/>
          </w:tcPr>
          <w:p w14:paraId="0C8F1C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693533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91.66</w:t>
            </w:r>
          </w:p>
        </w:tc>
        <w:tc>
          <w:tcPr>
            <w:tcW w:w="1418" w:type="dxa"/>
            <w:gridSpan w:val="3"/>
            <w:tcBorders>
              <w:top w:val="nil"/>
              <w:left w:val="nil"/>
              <w:bottom w:val="nil"/>
              <w:right w:val="nil"/>
            </w:tcBorders>
            <w:shd w:val="clear" w:color="auto" w:fill="E5E5E5" w:themeFill="background1" w:themeFillTint="33"/>
            <w:noWrap/>
            <w:vAlign w:val="center"/>
            <w:hideMark/>
          </w:tcPr>
          <w:p w14:paraId="38F69F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84176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82.75</w:t>
            </w:r>
          </w:p>
        </w:tc>
        <w:tc>
          <w:tcPr>
            <w:tcW w:w="1276" w:type="dxa"/>
            <w:tcBorders>
              <w:top w:val="nil"/>
              <w:left w:val="nil"/>
              <w:bottom w:val="nil"/>
              <w:right w:val="nil"/>
            </w:tcBorders>
            <w:shd w:val="clear" w:color="auto" w:fill="E5E5E5" w:themeFill="background1" w:themeFillTint="33"/>
            <w:noWrap/>
            <w:vAlign w:val="center"/>
            <w:hideMark/>
          </w:tcPr>
          <w:p w14:paraId="327CC9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84FE3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92.21</w:t>
            </w:r>
          </w:p>
        </w:tc>
        <w:tc>
          <w:tcPr>
            <w:tcW w:w="1276" w:type="dxa"/>
            <w:tcBorders>
              <w:top w:val="nil"/>
              <w:left w:val="nil"/>
              <w:bottom w:val="nil"/>
              <w:right w:val="nil"/>
            </w:tcBorders>
            <w:shd w:val="clear" w:color="auto" w:fill="E5E5E5" w:themeFill="background1" w:themeFillTint="33"/>
            <w:noWrap/>
            <w:vAlign w:val="center"/>
            <w:hideMark/>
          </w:tcPr>
          <w:p w14:paraId="2BCFFB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E9299F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3FF5AC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324" w:type="dxa"/>
            <w:tcBorders>
              <w:top w:val="nil"/>
              <w:left w:val="nil"/>
              <w:bottom w:val="nil"/>
              <w:right w:val="nil"/>
            </w:tcBorders>
            <w:shd w:val="clear" w:color="auto" w:fill="FFFFFF" w:themeFill="background2"/>
            <w:noWrap/>
            <w:vAlign w:val="center"/>
            <w:hideMark/>
          </w:tcPr>
          <w:p w14:paraId="4EE3EA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93.43</w:t>
            </w:r>
          </w:p>
        </w:tc>
        <w:tc>
          <w:tcPr>
            <w:tcW w:w="1418" w:type="dxa"/>
            <w:gridSpan w:val="2"/>
            <w:tcBorders>
              <w:top w:val="nil"/>
              <w:left w:val="nil"/>
              <w:bottom w:val="nil"/>
              <w:right w:val="nil"/>
            </w:tcBorders>
            <w:shd w:val="clear" w:color="auto" w:fill="FFFFFF" w:themeFill="background2"/>
            <w:noWrap/>
            <w:vAlign w:val="center"/>
            <w:hideMark/>
          </w:tcPr>
          <w:p w14:paraId="189F46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316A7D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92.68</w:t>
            </w:r>
          </w:p>
        </w:tc>
        <w:tc>
          <w:tcPr>
            <w:tcW w:w="1276" w:type="dxa"/>
            <w:tcBorders>
              <w:top w:val="nil"/>
              <w:left w:val="nil"/>
              <w:bottom w:val="nil"/>
              <w:right w:val="nil"/>
            </w:tcBorders>
            <w:shd w:val="clear" w:color="auto" w:fill="FFFFFF" w:themeFill="background2"/>
            <w:noWrap/>
            <w:vAlign w:val="center"/>
            <w:hideMark/>
          </w:tcPr>
          <w:p w14:paraId="5D646A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70457F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91.95</w:t>
            </w:r>
          </w:p>
        </w:tc>
        <w:tc>
          <w:tcPr>
            <w:tcW w:w="1418" w:type="dxa"/>
            <w:gridSpan w:val="3"/>
            <w:tcBorders>
              <w:top w:val="nil"/>
              <w:left w:val="nil"/>
              <w:bottom w:val="nil"/>
              <w:right w:val="nil"/>
            </w:tcBorders>
            <w:shd w:val="clear" w:color="auto" w:fill="FFFFFF" w:themeFill="background2"/>
            <w:noWrap/>
            <w:vAlign w:val="center"/>
            <w:hideMark/>
          </w:tcPr>
          <w:p w14:paraId="354726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5ABB7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83.52</w:t>
            </w:r>
          </w:p>
        </w:tc>
        <w:tc>
          <w:tcPr>
            <w:tcW w:w="1276" w:type="dxa"/>
            <w:tcBorders>
              <w:top w:val="nil"/>
              <w:left w:val="nil"/>
              <w:bottom w:val="nil"/>
              <w:right w:val="nil"/>
            </w:tcBorders>
            <w:shd w:val="clear" w:color="auto" w:fill="FFFFFF" w:themeFill="background2"/>
            <w:noWrap/>
            <w:vAlign w:val="center"/>
            <w:hideMark/>
          </w:tcPr>
          <w:p w14:paraId="27BE69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EEEF3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92.61</w:t>
            </w:r>
          </w:p>
        </w:tc>
        <w:tc>
          <w:tcPr>
            <w:tcW w:w="1276" w:type="dxa"/>
            <w:tcBorders>
              <w:top w:val="nil"/>
              <w:left w:val="nil"/>
              <w:bottom w:val="nil"/>
              <w:right w:val="nil"/>
            </w:tcBorders>
            <w:shd w:val="clear" w:color="auto" w:fill="FFFFFF" w:themeFill="background2"/>
            <w:noWrap/>
            <w:vAlign w:val="center"/>
            <w:hideMark/>
          </w:tcPr>
          <w:p w14:paraId="3FEF68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2DF946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92886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w:t>
            </w:r>
          </w:p>
        </w:tc>
        <w:tc>
          <w:tcPr>
            <w:tcW w:w="1324" w:type="dxa"/>
            <w:tcBorders>
              <w:top w:val="nil"/>
              <w:left w:val="nil"/>
              <w:bottom w:val="nil"/>
              <w:right w:val="nil"/>
            </w:tcBorders>
            <w:shd w:val="clear" w:color="auto" w:fill="E5E5E5" w:themeFill="background1" w:themeFillTint="33"/>
            <w:noWrap/>
            <w:vAlign w:val="center"/>
            <w:hideMark/>
          </w:tcPr>
          <w:p w14:paraId="62C153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93.67</w:t>
            </w:r>
          </w:p>
        </w:tc>
        <w:tc>
          <w:tcPr>
            <w:tcW w:w="1418" w:type="dxa"/>
            <w:gridSpan w:val="2"/>
            <w:tcBorders>
              <w:top w:val="nil"/>
              <w:left w:val="nil"/>
              <w:bottom w:val="nil"/>
              <w:right w:val="nil"/>
            </w:tcBorders>
            <w:shd w:val="clear" w:color="auto" w:fill="E5E5E5" w:themeFill="background1" w:themeFillTint="33"/>
            <w:noWrap/>
            <w:vAlign w:val="center"/>
            <w:hideMark/>
          </w:tcPr>
          <w:p w14:paraId="2DBEC1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A1DF9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92.95</w:t>
            </w:r>
          </w:p>
        </w:tc>
        <w:tc>
          <w:tcPr>
            <w:tcW w:w="1276" w:type="dxa"/>
            <w:tcBorders>
              <w:top w:val="nil"/>
              <w:left w:val="nil"/>
              <w:bottom w:val="nil"/>
              <w:right w:val="nil"/>
            </w:tcBorders>
            <w:shd w:val="clear" w:color="auto" w:fill="E5E5E5" w:themeFill="background1" w:themeFillTint="33"/>
            <w:noWrap/>
            <w:vAlign w:val="center"/>
            <w:hideMark/>
          </w:tcPr>
          <w:p w14:paraId="3B0A60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18353D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92.29</w:t>
            </w:r>
          </w:p>
        </w:tc>
        <w:tc>
          <w:tcPr>
            <w:tcW w:w="1418" w:type="dxa"/>
            <w:gridSpan w:val="3"/>
            <w:tcBorders>
              <w:top w:val="nil"/>
              <w:left w:val="nil"/>
              <w:bottom w:val="nil"/>
              <w:right w:val="nil"/>
            </w:tcBorders>
            <w:shd w:val="clear" w:color="auto" w:fill="E5E5E5" w:themeFill="background1" w:themeFillTint="33"/>
            <w:noWrap/>
            <w:vAlign w:val="center"/>
            <w:hideMark/>
          </w:tcPr>
          <w:p w14:paraId="4D9032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FDF8A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83.97</w:t>
            </w:r>
          </w:p>
        </w:tc>
        <w:tc>
          <w:tcPr>
            <w:tcW w:w="1276" w:type="dxa"/>
            <w:tcBorders>
              <w:top w:val="nil"/>
              <w:left w:val="nil"/>
              <w:bottom w:val="nil"/>
              <w:right w:val="nil"/>
            </w:tcBorders>
            <w:shd w:val="clear" w:color="auto" w:fill="E5E5E5" w:themeFill="background1" w:themeFillTint="33"/>
            <w:noWrap/>
            <w:vAlign w:val="center"/>
            <w:hideMark/>
          </w:tcPr>
          <w:p w14:paraId="2DD250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875C0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92.88</w:t>
            </w:r>
          </w:p>
        </w:tc>
        <w:tc>
          <w:tcPr>
            <w:tcW w:w="1276" w:type="dxa"/>
            <w:tcBorders>
              <w:top w:val="nil"/>
              <w:left w:val="nil"/>
              <w:bottom w:val="nil"/>
              <w:right w:val="nil"/>
            </w:tcBorders>
            <w:shd w:val="clear" w:color="auto" w:fill="E5E5E5" w:themeFill="background1" w:themeFillTint="33"/>
            <w:noWrap/>
            <w:vAlign w:val="center"/>
            <w:hideMark/>
          </w:tcPr>
          <w:p w14:paraId="587606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B363E2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64BF8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w:t>
            </w:r>
          </w:p>
        </w:tc>
        <w:tc>
          <w:tcPr>
            <w:tcW w:w="1324" w:type="dxa"/>
            <w:tcBorders>
              <w:top w:val="nil"/>
              <w:left w:val="nil"/>
              <w:bottom w:val="nil"/>
              <w:right w:val="nil"/>
            </w:tcBorders>
            <w:shd w:val="clear" w:color="auto" w:fill="FFFFFF" w:themeFill="background2"/>
            <w:noWrap/>
            <w:vAlign w:val="center"/>
            <w:hideMark/>
          </w:tcPr>
          <w:p w14:paraId="7B7F6C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93.91</w:t>
            </w:r>
          </w:p>
        </w:tc>
        <w:tc>
          <w:tcPr>
            <w:tcW w:w="1418" w:type="dxa"/>
            <w:gridSpan w:val="2"/>
            <w:tcBorders>
              <w:top w:val="nil"/>
              <w:left w:val="nil"/>
              <w:bottom w:val="nil"/>
              <w:right w:val="nil"/>
            </w:tcBorders>
            <w:shd w:val="clear" w:color="auto" w:fill="FFFFFF" w:themeFill="background2"/>
            <w:noWrap/>
            <w:vAlign w:val="center"/>
            <w:hideMark/>
          </w:tcPr>
          <w:p w14:paraId="627C79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5C5DD0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93.20</w:t>
            </w:r>
          </w:p>
        </w:tc>
        <w:tc>
          <w:tcPr>
            <w:tcW w:w="1276" w:type="dxa"/>
            <w:tcBorders>
              <w:top w:val="nil"/>
              <w:left w:val="nil"/>
              <w:bottom w:val="nil"/>
              <w:right w:val="nil"/>
            </w:tcBorders>
            <w:shd w:val="clear" w:color="auto" w:fill="FFFFFF" w:themeFill="background2"/>
            <w:noWrap/>
            <w:vAlign w:val="center"/>
            <w:hideMark/>
          </w:tcPr>
          <w:p w14:paraId="160B74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07D79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92.55</w:t>
            </w:r>
          </w:p>
        </w:tc>
        <w:tc>
          <w:tcPr>
            <w:tcW w:w="1418" w:type="dxa"/>
            <w:gridSpan w:val="3"/>
            <w:tcBorders>
              <w:top w:val="nil"/>
              <w:left w:val="nil"/>
              <w:bottom w:val="nil"/>
              <w:right w:val="nil"/>
            </w:tcBorders>
            <w:shd w:val="clear" w:color="auto" w:fill="FFFFFF" w:themeFill="background2"/>
            <w:noWrap/>
            <w:vAlign w:val="center"/>
            <w:hideMark/>
          </w:tcPr>
          <w:p w14:paraId="78BDF8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AF961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84.51</w:t>
            </w:r>
          </w:p>
        </w:tc>
        <w:tc>
          <w:tcPr>
            <w:tcW w:w="1276" w:type="dxa"/>
            <w:tcBorders>
              <w:top w:val="nil"/>
              <w:left w:val="nil"/>
              <w:bottom w:val="nil"/>
              <w:right w:val="nil"/>
            </w:tcBorders>
            <w:shd w:val="clear" w:color="auto" w:fill="FFFFFF" w:themeFill="background2"/>
            <w:noWrap/>
            <w:vAlign w:val="center"/>
            <w:hideMark/>
          </w:tcPr>
          <w:p w14:paraId="3C0F30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DC1F4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93.14</w:t>
            </w:r>
          </w:p>
        </w:tc>
        <w:tc>
          <w:tcPr>
            <w:tcW w:w="1276" w:type="dxa"/>
            <w:tcBorders>
              <w:top w:val="nil"/>
              <w:left w:val="nil"/>
              <w:bottom w:val="nil"/>
              <w:right w:val="nil"/>
            </w:tcBorders>
            <w:shd w:val="clear" w:color="auto" w:fill="FFFFFF" w:themeFill="background2"/>
            <w:noWrap/>
            <w:vAlign w:val="center"/>
            <w:hideMark/>
          </w:tcPr>
          <w:p w14:paraId="04C16B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29703C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AFB2E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w:t>
            </w:r>
          </w:p>
        </w:tc>
        <w:tc>
          <w:tcPr>
            <w:tcW w:w="1324" w:type="dxa"/>
            <w:tcBorders>
              <w:top w:val="nil"/>
              <w:left w:val="nil"/>
              <w:bottom w:val="nil"/>
              <w:right w:val="nil"/>
            </w:tcBorders>
            <w:shd w:val="clear" w:color="auto" w:fill="E5E5E5" w:themeFill="background1" w:themeFillTint="33"/>
            <w:noWrap/>
            <w:vAlign w:val="center"/>
            <w:hideMark/>
          </w:tcPr>
          <w:p w14:paraId="512507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94.10</w:t>
            </w:r>
          </w:p>
        </w:tc>
        <w:tc>
          <w:tcPr>
            <w:tcW w:w="1418" w:type="dxa"/>
            <w:gridSpan w:val="2"/>
            <w:tcBorders>
              <w:top w:val="nil"/>
              <w:left w:val="nil"/>
              <w:bottom w:val="nil"/>
              <w:right w:val="nil"/>
            </w:tcBorders>
            <w:shd w:val="clear" w:color="auto" w:fill="E5E5E5" w:themeFill="background1" w:themeFillTint="33"/>
            <w:noWrap/>
            <w:vAlign w:val="center"/>
            <w:hideMark/>
          </w:tcPr>
          <w:p w14:paraId="149C66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F2388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93.46</w:t>
            </w:r>
          </w:p>
        </w:tc>
        <w:tc>
          <w:tcPr>
            <w:tcW w:w="1276" w:type="dxa"/>
            <w:tcBorders>
              <w:top w:val="nil"/>
              <w:left w:val="nil"/>
              <w:bottom w:val="nil"/>
              <w:right w:val="nil"/>
            </w:tcBorders>
            <w:shd w:val="clear" w:color="auto" w:fill="E5E5E5" w:themeFill="background1" w:themeFillTint="33"/>
            <w:noWrap/>
            <w:vAlign w:val="center"/>
            <w:hideMark/>
          </w:tcPr>
          <w:p w14:paraId="2146C9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33B1C7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92.75</w:t>
            </w:r>
          </w:p>
        </w:tc>
        <w:tc>
          <w:tcPr>
            <w:tcW w:w="1418" w:type="dxa"/>
            <w:gridSpan w:val="3"/>
            <w:tcBorders>
              <w:top w:val="nil"/>
              <w:left w:val="nil"/>
              <w:bottom w:val="nil"/>
              <w:right w:val="nil"/>
            </w:tcBorders>
            <w:shd w:val="clear" w:color="auto" w:fill="E5E5E5" w:themeFill="background1" w:themeFillTint="33"/>
            <w:noWrap/>
            <w:vAlign w:val="center"/>
            <w:hideMark/>
          </w:tcPr>
          <w:p w14:paraId="46340C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5BF39B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85.01</w:t>
            </w:r>
          </w:p>
        </w:tc>
        <w:tc>
          <w:tcPr>
            <w:tcW w:w="1276" w:type="dxa"/>
            <w:tcBorders>
              <w:top w:val="nil"/>
              <w:left w:val="nil"/>
              <w:bottom w:val="nil"/>
              <w:right w:val="nil"/>
            </w:tcBorders>
            <w:shd w:val="clear" w:color="auto" w:fill="E5E5E5" w:themeFill="background1" w:themeFillTint="33"/>
            <w:noWrap/>
            <w:vAlign w:val="center"/>
            <w:hideMark/>
          </w:tcPr>
          <w:p w14:paraId="241630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24A6E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93.36</w:t>
            </w:r>
          </w:p>
        </w:tc>
        <w:tc>
          <w:tcPr>
            <w:tcW w:w="1276" w:type="dxa"/>
            <w:tcBorders>
              <w:top w:val="nil"/>
              <w:left w:val="nil"/>
              <w:bottom w:val="nil"/>
              <w:right w:val="nil"/>
            </w:tcBorders>
            <w:shd w:val="clear" w:color="auto" w:fill="E5E5E5" w:themeFill="background1" w:themeFillTint="33"/>
            <w:noWrap/>
            <w:vAlign w:val="center"/>
            <w:hideMark/>
          </w:tcPr>
          <w:p w14:paraId="7C8D44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CB906F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067832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c>
          <w:tcPr>
            <w:tcW w:w="1324" w:type="dxa"/>
            <w:tcBorders>
              <w:top w:val="nil"/>
              <w:left w:val="nil"/>
              <w:bottom w:val="nil"/>
              <w:right w:val="nil"/>
            </w:tcBorders>
            <w:shd w:val="clear" w:color="auto" w:fill="FFFFFF" w:themeFill="background2"/>
            <w:noWrap/>
            <w:vAlign w:val="center"/>
            <w:hideMark/>
          </w:tcPr>
          <w:p w14:paraId="4C4839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94.32</w:t>
            </w:r>
          </w:p>
        </w:tc>
        <w:tc>
          <w:tcPr>
            <w:tcW w:w="1418" w:type="dxa"/>
            <w:gridSpan w:val="2"/>
            <w:tcBorders>
              <w:top w:val="nil"/>
              <w:left w:val="nil"/>
              <w:bottom w:val="nil"/>
              <w:right w:val="nil"/>
            </w:tcBorders>
            <w:shd w:val="clear" w:color="auto" w:fill="FFFFFF" w:themeFill="background2"/>
            <w:noWrap/>
            <w:vAlign w:val="center"/>
            <w:hideMark/>
          </w:tcPr>
          <w:p w14:paraId="09E006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276D5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93.73</w:t>
            </w:r>
          </w:p>
        </w:tc>
        <w:tc>
          <w:tcPr>
            <w:tcW w:w="1276" w:type="dxa"/>
            <w:tcBorders>
              <w:top w:val="nil"/>
              <w:left w:val="nil"/>
              <w:bottom w:val="nil"/>
              <w:right w:val="nil"/>
            </w:tcBorders>
            <w:shd w:val="clear" w:color="auto" w:fill="FFFFFF" w:themeFill="background2"/>
            <w:noWrap/>
            <w:vAlign w:val="center"/>
            <w:hideMark/>
          </w:tcPr>
          <w:p w14:paraId="53DBA9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D02BB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92.98</w:t>
            </w:r>
          </w:p>
        </w:tc>
        <w:tc>
          <w:tcPr>
            <w:tcW w:w="1418" w:type="dxa"/>
            <w:gridSpan w:val="3"/>
            <w:tcBorders>
              <w:top w:val="nil"/>
              <w:left w:val="nil"/>
              <w:bottom w:val="nil"/>
              <w:right w:val="nil"/>
            </w:tcBorders>
            <w:shd w:val="clear" w:color="auto" w:fill="FFFFFF" w:themeFill="background2"/>
            <w:noWrap/>
            <w:vAlign w:val="center"/>
            <w:hideMark/>
          </w:tcPr>
          <w:p w14:paraId="5CE26D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58677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85.41</w:t>
            </w:r>
          </w:p>
        </w:tc>
        <w:tc>
          <w:tcPr>
            <w:tcW w:w="1276" w:type="dxa"/>
            <w:tcBorders>
              <w:top w:val="nil"/>
              <w:left w:val="nil"/>
              <w:bottom w:val="nil"/>
              <w:right w:val="nil"/>
            </w:tcBorders>
            <w:shd w:val="clear" w:color="auto" w:fill="FFFFFF" w:themeFill="background2"/>
            <w:noWrap/>
            <w:vAlign w:val="center"/>
            <w:hideMark/>
          </w:tcPr>
          <w:p w14:paraId="429169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5F9BE0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93.60</w:t>
            </w:r>
          </w:p>
        </w:tc>
        <w:tc>
          <w:tcPr>
            <w:tcW w:w="1276" w:type="dxa"/>
            <w:tcBorders>
              <w:top w:val="nil"/>
              <w:left w:val="nil"/>
              <w:bottom w:val="nil"/>
              <w:right w:val="nil"/>
            </w:tcBorders>
            <w:shd w:val="clear" w:color="auto" w:fill="FFFFFF" w:themeFill="background2"/>
            <w:noWrap/>
            <w:vAlign w:val="center"/>
            <w:hideMark/>
          </w:tcPr>
          <w:p w14:paraId="7A11EC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1B58A1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14E32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c>
          <w:tcPr>
            <w:tcW w:w="1324" w:type="dxa"/>
            <w:tcBorders>
              <w:top w:val="nil"/>
              <w:left w:val="nil"/>
              <w:bottom w:val="nil"/>
              <w:right w:val="nil"/>
            </w:tcBorders>
            <w:shd w:val="clear" w:color="auto" w:fill="E5E5E5" w:themeFill="background1" w:themeFillTint="33"/>
            <w:noWrap/>
            <w:vAlign w:val="center"/>
            <w:hideMark/>
          </w:tcPr>
          <w:p w14:paraId="2FEDF4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94.53</w:t>
            </w:r>
          </w:p>
        </w:tc>
        <w:tc>
          <w:tcPr>
            <w:tcW w:w="1418" w:type="dxa"/>
            <w:gridSpan w:val="2"/>
            <w:tcBorders>
              <w:top w:val="nil"/>
              <w:left w:val="nil"/>
              <w:bottom w:val="nil"/>
              <w:right w:val="nil"/>
            </w:tcBorders>
            <w:shd w:val="clear" w:color="auto" w:fill="E5E5E5" w:themeFill="background1" w:themeFillTint="33"/>
            <w:noWrap/>
            <w:vAlign w:val="center"/>
            <w:hideMark/>
          </w:tcPr>
          <w:p w14:paraId="56DAAA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DC70E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93.97</w:t>
            </w:r>
          </w:p>
        </w:tc>
        <w:tc>
          <w:tcPr>
            <w:tcW w:w="1276" w:type="dxa"/>
            <w:tcBorders>
              <w:top w:val="nil"/>
              <w:left w:val="nil"/>
              <w:bottom w:val="nil"/>
              <w:right w:val="nil"/>
            </w:tcBorders>
            <w:shd w:val="clear" w:color="auto" w:fill="E5E5E5" w:themeFill="background1" w:themeFillTint="33"/>
            <w:noWrap/>
            <w:vAlign w:val="center"/>
            <w:hideMark/>
          </w:tcPr>
          <w:p w14:paraId="788958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481A1B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93.18</w:t>
            </w:r>
          </w:p>
        </w:tc>
        <w:tc>
          <w:tcPr>
            <w:tcW w:w="1418" w:type="dxa"/>
            <w:gridSpan w:val="3"/>
            <w:tcBorders>
              <w:top w:val="nil"/>
              <w:left w:val="nil"/>
              <w:bottom w:val="nil"/>
              <w:right w:val="nil"/>
            </w:tcBorders>
            <w:shd w:val="clear" w:color="auto" w:fill="E5E5E5" w:themeFill="background1" w:themeFillTint="33"/>
            <w:noWrap/>
            <w:vAlign w:val="center"/>
            <w:hideMark/>
          </w:tcPr>
          <w:p w14:paraId="2C998B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98560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85.76</w:t>
            </w:r>
          </w:p>
        </w:tc>
        <w:tc>
          <w:tcPr>
            <w:tcW w:w="1276" w:type="dxa"/>
            <w:tcBorders>
              <w:top w:val="nil"/>
              <w:left w:val="nil"/>
              <w:bottom w:val="nil"/>
              <w:right w:val="nil"/>
            </w:tcBorders>
            <w:shd w:val="clear" w:color="auto" w:fill="E5E5E5" w:themeFill="background1" w:themeFillTint="33"/>
            <w:noWrap/>
            <w:vAlign w:val="center"/>
            <w:hideMark/>
          </w:tcPr>
          <w:p w14:paraId="2CDEB0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61C47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93.82</w:t>
            </w:r>
          </w:p>
        </w:tc>
        <w:tc>
          <w:tcPr>
            <w:tcW w:w="1276" w:type="dxa"/>
            <w:tcBorders>
              <w:top w:val="nil"/>
              <w:left w:val="nil"/>
              <w:bottom w:val="nil"/>
              <w:right w:val="nil"/>
            </w:tcBorders>
            <w:shd w:val="clear" w:color="auto" w:fill="E5E5E5" w:themeFill="background1" w:themeFillTint="33"/>
            <w:noWrap/>
            <w:vAlign w:val="center"/>
            <w:hideMark/>
          </w:tcPr>
          <w:p w14:paraId="35F70C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F2359B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0C7EC4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324" w:type="dxa"/>
            <w:tcBorders>
              <w:top w:val="nil"/>
              <w:left w:val="nil"/>
              <w:bottom w:val="nil"/>
              <w:right w:val="nil"/>
            </w:tcBorders>
            <w:shd w:val="clear" w:color="auto" w:fill="FFFFFF" w:themeFill="background2"/>
            <w:noWrap/>
            <w:vAlign w:val="center"/>
            <w:hideMark/>
          </w:tcPr>
          <w:p w14:paraId="76390B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94.78</w:t>
            </w:r>
          </w:p>
        </w:tc>
        <w:tc>
          <w:tcPr>
            <w:tcW w:w="1418" w:type="dxa"/>
            <w:gridSpan w:val="2"/>
            <w:tcBorders>
              <w:top w:val="nil"/>
              <w:left w:val="nil"/>
              <w:bottom w:val="nil"/>
              <w:right w:val="nil"/>
            </w:tcBorders>
            <w:shd w:val="clear" w:color="auto" w:fill="FFFFFF" w:themeFill="background2"/>
            <w:noWrap/>
            <w:vAlign w:val="center"/>
            <w:hideMark/>
          </w:tcPr>
          <w:p w14:paraId="057272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29496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94.22</w:t>
            </w:r>
          </w:p>
        </w:tc>
        <w:tc>
          <w:tcPr>
            <w:tcW w:w="1276" w:type="dxa"/>
            <w:tcBorders>
              <w:top w:val="nil"/>
              <w:left w:val="nil"/>
              <w:bottom w:val="nil"/>
              <w:right w:val="nil"/>
            </w:tcBorders>
            <w:shd w:val="clear" w:color="auto" w:fill="FFFFFF" w:themeFill="background2"/>
            <w:noWrap/>
            <w:vAlign w:val="center"/>
            <w:hideMark/>
          </w:tcPr>
          <w:p w14:paraId="695E83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69DEAE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93.48</w:t>
            </w:r>
          </w:p>
        </w:tc>
        <w:tc>
          <w:tcPr>
            <w:tcW w:w="1418" w:type="dxa"/>
            <w:gridSpan w:val="3"/>
            <w:tcBorders>
              <w:top w:val="nil"/>
              <w:left w:val="nil"/>
              <w:bottom w:val="nil"/>
              <w:right w:val="nil"/>
            </w:tcBorders>
            <w:shd w:val="clear" w:color="auto" w:fill="FFFFFF" w:themeFill="background2"/>
            <w:noWrap/>
            <w:vAlign w:val="center"/>
            <w:hideMark/>
          </w:tcPr>
          <w:p w14:paraId="1EDC4C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475FA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86.23</w:t>
            </w:r>
          </w:p>
        </w:tc>
        <w:tc>
          <w:tcPr>
            <w:tcW w:w="1276" w:type="dxa"/>
            <w:tcBorders>
              <w:top w:val="nil"/>
              <w:left w:val="nil"/>
              <w:bottom w:val="nil"/>
              <w:right w:val="nil"/>
            </w:tcBorders>
            <w:shd w:val="clear" w:color="auto" w:fill="FFFFFF" w:themeFill="background2"/>
            <w:noWrap/>
            <w:vAlign w:val="center"/>
            <w:hideMark/>
          </w:tcPr>
          <w:p w14:paraId="3D2A7E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24780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94.09</w:t>
            </w:r>
          </w:p>
        </w:tc>
        <w:tc>
          <w:tcPr>
            <w:tcW w:w="1276" w:type="dxa"/>
            <w:tcBorders>
              <w:top w:val="nil"/>
              <w:left w:val="nil"/>
              <w:bottom w:val="nil"/>
              <w:right w:val="nil"/>
            </w:tcBorders>
            <w:shd w:val="clear" w:color="auto" w:fill="FFFFFF" w:themeFill="background2"/>
            <w:noWrap/>
            <w:vAlign w:val="center"/>
            <w:hideMark/>
          </w:tcPr>
          <w:p w14:paraId="2C1510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B952B9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A34DB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c>
          <w:tcPr>
            <w:tcW w:w="1324" w:type="dxa"/>
            <w:tcBorders>
              <w:top w:val="nil"/>
              <w:left w:val="nil"/>
              <w:bottom w:val="nil"/>
              <w:right w:val="nil"/>
            </w:tcBorders>
            <w:shd w:val="clear" w:color="auto" w:fill="E5E5E5" w:themeFill="background1" w:themeFillTint="33"/>
            <w:noWrap/>
            <w:vAlign w:val="center"/>
            <w:hideMark/>
          </w:tcPr>
          <w:p w14:paraId="68D2D5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95.04</w:t>
            </w:r>
          </w:p>
        </w:tc>
        <w:tc>
          <w:tcPr>
            <w:tcW w:w="1418" w:type="dxa"/>
            <w:gridSpan w:val="2"/>
            <w:tcBorders>
              <w:top w:val="nil"/>
              <w:left w:val="nil"/>
              <w:bottom w:val="nil"/>
              <w:right w:val="nil"/>
            </w:tcBorders>
            <w:shd w:val="clear" w:color="auto" w:fill="E5E5E5" w:themeFill="background1" w:themeFillTint="33"/>
            <w:noWrap/>
            <w:vAlign w:val="center"/>
            <w:hideMark/>
          </w:tcPr>
          <w:p w14:paraId="7B5BB8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8B8FC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94.58</w:t>
            </w:r>
          </w:p>
        </w:tc>
        <w:tc>
          <w:tcPr>
            <w:tcW w:w="1276" w:type="dxa"/>
            <w:tcBorders>
              <w:top w:val="nil"/>
              <w:left w:val="nil"/>
              <w:bottom w:val="nil"/>
              <w:right w:val="nil"/>
            </w:tcBorders>
            <w:shd w:val="clear" w:color="auto" w:fill="E5E5E5" w:themeFill="background1" w:themeFillTint="33"/>
            <w:noWrap/>
            <w:vAlign w:val="center"/>
            <w:hideMark/>
          </w:tcPr>
          <w:p w14:paraId="3BCB92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0BC884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93.77</w:t>
            </w:r>
          </w:p>
        </w:tc>
        <w:tc>
          <w:tcPr>
            <w:tcW w:w="1418" w:type="dxa"/>
            <w:gridSpan w:val="3"/>
            <w:tcBorders>
              <w:top w:val="nil"/>
              <w:left w:val="nil"/>
              <w:bottom w:val="nil"/>
              <w:right w:val="nil"/>
            </w:tcBorders>
            <w:shd w:val="clear" w:color="auto" w:fill="E5E5E5" w:themeFill="background1" w:themeFillTint="33"/>
            <w:noWrap/>
            <w:vAlign w:val="center"/>
            <w:hideMark/>
          </w:tcPr>
          <w:p w14:paraId="268BF1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1BFA1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86.74</w:t>
            </w:r>
          </w:p>
        </w:tc>
        <w:tc>
          <w:tcPr>
            <w:tcW w:w="1276" w:type="dxa"/>
            <w:tcBorders>
              <w:top w:val="nil"/>
              <w:left w:val="nil"/>
              <w:bottom w:val="nil"/>
              <w:right w:val="nil"/>
            </w:tcBorders>
            <w:shd w:val="clear" w:color="auto" w:fill="E5E5E5" w:themeFill="background1" w:themeFillTint="33"/>
            <w:noWrap/>
            <w:vAlign w:val="center"/>
            <w:hideMark/>
          </w:tcPr>
          <w:p w14:paraId="0F9A9A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91791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94.39</w:t>
            </w:r>
          </w:p>
        </w:tc>
        <w:tc>
          <w:tcPr>
            <w:tcW w:w="1276" w:type="dxa"/>
            <w:tcBorders>
              <w:top w:val="nil"/>
              <w:left w:val="nil"/>
              <w:bottom w:val="nil"/>
              <w:right w:val="nil"/>
            </w:tcBorders>
            <w:shd w:val="clear" w:color="auto" w:fill="E5E5E5" w:themeFill="background1" w:themeFillTint="33"/>
            <w:noWrap/>
            <w:vAlign w:val="center"/>
            <w:hideMark/>
          </w:tcPr>
          <w:p w14:paraId="58262C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070AD9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34B687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c>
          <w:tcPr>
            <w:tcW w:w="1324" w:type="dxa"/>
            <w:tcBorders>
              <w:top w:val="nil"/>
              <w:left w:val="nil"/>
              <w:bottom w:val="nil"/>
              <w:right w:val="nil"/>
            </w:tcBorders>
            <w:shd w:val="clear" w:color="auto" w:fill="FFFFFF" w:themeFill="background2"/>
            <w:noWrap/>
            <w:vAlign w:val="center"/>
            <w:hideMark/>
          </w:tcPr>
          <w:p w14:paraId="598055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95.27</w:t>
            </w:r>
          </w:p>
        </w:tc>
        <w:tc>
          <w:tcPr>
            <w:tcW w:w="1418" w:type="dxa"/>
            <w:gridSpan w:val="2"/>
            <w:tcBorders>
              <w:top w:val="nil"/>
              <w:left w:val="nil"/>
              <w:bottom w:val="nil"/>
              <w:right w:val="nil"/>
            </w:tcBorders>
            <w:shd w:val="clear" w:color="auto" w:fill="FFFFFF" w:themeFill="background2"/>
            <w:noWrap/>
            <w:vAlign w:val="center"/>
            <w:hideMark/>
          </w:tcPr>
          <w:p w14:paraId="2B5C5B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120B5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94.76</w:t>
            </w:r>
          </w:p>
        </w:tc>
        <w:tc>
          <w:tcPr>
            <w:tcW w:w="1276" w:type="dxa"/>
            <w:tcBorders>
              <w:top w:val="nil"/>
              <w:left w:val="nil"/>
              <w:bottom w:val="nil"/>
              <w:right w:val="nil"/>
            </w:tcBorders>
            <w:shd w:val="clear" w:color="auto" w:fill="FFFFFF" w:themeFill="background2"/>
            <w:noWrap/>
            <w:vAlign w:val="center"/>
            <w:hideMark/>
          </w:tcPr>
          <w:p w14:paraId="2EE8E8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383421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94.05</w:t>
            </w:r>
          </w:p>
        </w:tc>
        <w:tc>
          <w:tcPr>
            <w:tcW w:w="1418" w:type="dxa"/>
            <w:gridSpan w:val="3"/>
            <w:tcBorders>
              <w:top w:val="nil"/>
              <w:left w:val="nil"/>
              <w:bottom w:val="nil"/>
              <w:right w:val="nil"/>
            </w:tcBorders>
            <w:shd w:val="clear" w:color="auto" w:fill="FFFFFF" w:themeFill="background2"/>
            <w:noWrap/>
            <w:vAlign w:val="center"/>
            <w:hideMark/>
          </w:tcPr>
          <w:p w14:paraId="42F40D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7B1D2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87.28</w:t>
            </w:r>
          </w:p>
        </w:tc>
        <w:tc>
          <w:tcPr>
            <w:tcW w:w="1276" w:type="dxa"/>
            <w:tcBorders>
              <w:top w:val="nil"/>
              <w:left w:val="nil"/>
              <w:bottom w:val="nil"/>
              <w:right w:val="nil"/>
            </w:tcBorders>
            <w:shd w:val="clear" w:color="auto" w:fill="FFFFFF" w:themeFill="background2"/>
            <w:noWrap/>
            <w:vAlign w:val="center"/>
            <w:hideMark/>
          </w:tcPr>
          <w:p w14:paraId="6BD6DC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CD91A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94.63</w:t>
            </w:r>
          </w:p>
        </w:tc>
        <w:tc>
          <w:tcPr>
            <w:tcW w:w="1276" w:type="dxa"/>
            <w:tcBorders>
              <w:top w:val="nil"/>
              <w:left w:val="nil"/>
              <w:bottom w:val="nil"/>
              <w:right w:val="nil"/>
            </w:tcBorders>
            <w:shd w:val="clear" w:color="auto" w:fill="FFFFFF" w:themeFill="background2"/>
            <w:noWrap/>
            <w:vAlign w:val="center"/>
            <w:hideMark/>
          </w:tcPr>
          <w:p w14:paraId="1FDA30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57C60E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DBF82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c>
          <w:tcPr>
            <w:tcW w:w="1324" w:type="dxa"/>
            <w:tcBorders>
              <w:top w:val="nil"/>
              <w:left w:val="nil"/>
              <w:bottom w:val="nil"/>
              <w:right w:val="nil"/>
            </w:tcBorders>
            <w:shd w:val="clear" w:color="auto" w:fill="E5E5E5" w:themeFill="background1" w:themeFillTint="33"/>
            <w:noWrap/>
            <w:vAlign w:val="center"/>
            <w:hideMark/>
          </w:tcPr>
          <w:p w14:paraId="4703CE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95.45</w:t>
            </w:r>
          </w:p>
        </w:tc>
        <w:tc>
          <w:tcPr>
            <w:tcW w:w="1418" w:type="dxa"/>
            <w:gridSpan w:val="2"/>
            <w:tcBorders>
              <w:top w:val="nil"/>
              <w:left w:val="nil"/>
              <w:bottom w:val="nil"/>
              <w:right w:val="nil"/>
            </w:tcBorders>
            <w:shd w:val="clear" w:color="auto" w:fill="E5E5E5" w:themeFill="background1" w:themeFillTint="33"/>
            <w:noWrap/>
            <w:vAlign w:val="center"/>
            <w:hideMark/>
          </w:tcPr>
          <w:p w14:paraId="7808A2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7E55D8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94.93</w:t>
            </w:r>
          </w:p>
        </w:tc>
        <w:tc>
          <w:tcPr>
            <w:tcW w:w="1276" w:type="dxa"/>
            <w:tcBorders>
              <w:top w:val="nil"/>
              <w:left w:val="nil"/>
              <w:bottom w:val="nil"/>
              <w:right w:val="nil"/>
            </w:tcBorders>
            <w:shd w:val="clear" w:color="auto" w:fill="E5E5E5" w:themeFill="background1" w:themeFillTint="33"/>
            <w:noWrap/>
            <w:vAlign w:val="center"/>
            <w:hideMark/>
          </w:tcPr>
          <w:p w14:paraId="3E5A11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2064BB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94.24</w:t>
            </w:r>
          </w:p>
        </w:tc>
        <w:tc>
          <w:tcPr>
            <w:tcW w:w="1418" w:type="dxa"/>
            <w:gridSpan w:val="3"/>
            <w:tcBorders>
              <w:top w:val="nil"/>
              <w:left w:val="nil"/>
              <w:bottom w:val="nil"/>
              <w:right w:val="nil"/>
            </w:tcBorders>
            <w:shd w:val="clear" w:color="auto" w:fill="E5E5E5" w:themeFill="background1" w:themeFillTint="33"/>
            <w:noWrap/>
            <w:vAlign w:val="center"/>
            <w:hideMark/>
          </w:tcPr>
          <w:p w14:paraId="537F59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7936B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87.63</w:t>
            </w:r>
          </w:p>
        </w:tc>
        <w:tc>
          <w:tcPr>
            <w:tcW w:w="1276" w:type="dxa"/>
            <w:tcBorders>
              <w:top w:val="nil"/>
              <w:left w:val="nil"/>
              <w:bottom w:val="nil"/>
              <w:right w:val="nil"/>
            </w:tcBorders>
            <w:shd w:val="clear" w:color="auto" w:fill="E5E5E5" w:themeFill="background1" w:themeFillTint="33"/>
            <w:noWrap/>
            <w:vAlign w:val="center"/>
            <w:hideMark/>
          </w:tcPr>
          <w:p w14:paraId="4D9D26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0D5C9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94.82</w:t>
            </w:r>
          </w:p>
        </w:tc>
        <w:tc>
          <w:tcPr>
            <w:tcW w:w="1276" w:type="dxa"/>
            <w:tcBorders>
              <w:top w:val="nil"/>
              <w:left w:val="nil"/>
              <w:bottom w:val="nil"/>
              <w:right w:val="nil"/>
            </w:tcBorders>
            <w:shd w:val="clear" w:color="auto" w:fill="E5E5E5" w:themeFill="background1" w:themeFillTint="33"/>
            <w:noWrap/>
            <w:vAlign w:val="center"/>
            <w:hideMark/>
          </w:tcPr>
          <w:p w14:paraId="449B50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EA3F09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5F9E38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w:t>
            </w:r>
          </w:p>
        </w:tc>
        <w:tc>
          <w:tcPr>
            <w:tcW w:w="1324" w:type="dxa"/>
            <w:tcBorders>
              <w:top w:val="nil"/>
              <w:left w:val="nil"/>
              <w:bottom w:val="nil"/>
              <w:right w:val="nil"/>
            </w:tcBorders>
            <w:shd w:val="clear" w:color="auto" w:fill="FFFFFF" w:themeFill="background2"/>
            <w:noWrap/>
            <w:vAlign w:val="center"/>
            <w:hideMark/>
          </w:tcPr>
          <w:p w14:paraId="53E515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95.62</w:t>
            </w:r>
          </w:p>
        </w:tc>
        <w:tc>
          <w:tcPr>
            <w:tcW w:w="1418" w:type="dxa"/>
            <w:gridSpan w:val="2"/>
            <w:tcBorders>
              <w:top w:val="nil"/>
              <w:left w:val="nil"/>
              <w:bottom w:val="nil"/>
              <w:right w:val="nil"/>
            </w:tcBorders>
            <w:shd w:val="clear" w:color="auto" w:fill="FFFFFF" w:themeFill="background2"/>
            <w:noWrap/>
            <w:vAlign w:val="center"/>
            <w:hideMark/>
          </w:tcPr>
          <w:p w14:paraId="16705E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FD33D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95.07</w:t>
            </w:r>
          </w:p>
        </w:tc>
        <w:tc>
          <w:tcPr>
            <w:tcW w:w="1276" w:type="dxa"/>
            <w:tcBorders>
              <w:top w:val="nil"/>
              <w:left w:val="nil"/>
              <w:bottom w:val="nil"/>
              <w:right w:val="nil"/>
            </w:tcBorders>
            <w:shd w:val="clear" w:color="auto" w:fill="FFFFFF" w:themeFill="background2"/>
            <w:noWrap/>
            <w:vAlign w:val="center"/>
            <w:hideMark/>
          </w:tcPr>
          <w:p w14:paraId="15E882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13E229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94.37</w:t>
            </w:r>
          </w:p>
        </w:tc>
        <w:tc>
          <w:tcPr>
            <w:tcW w:w="1418" w:type="dxa"/>
            <w:gridSpan w:val="3"/>
            <w:tcBorders>
              <w:top w:val="nil"/>
              <w:left w:val="nil"/>
              <w:bottom w:val="nil"/>
              <w:right w:val="nil"/>
            </w:tcBorders>
            <w:shd w:val="clear" w:color="auto" w:fill="FFFFFF" w:themeFill="background2"/>
            <w:noWrap/>
            <w:vAlign w:val="center"/>
            <w:hideMark/>
          </w:tcPr>
          <w:p w14:paraId="666AB9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75A37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87.95</w:t>
            </w:r>
          </w:p>
        </w:tc>
        <w:tc>
          <w:tcPr>
            <w:tcW w:w="1276" w:type="dxa"/>
            <w:tcBorders>
              <w:top w:val="nil"/>
              <w:left w:val="nil"/>
              <w:bottom w:val="nil"/>
              <w:right w:val="nil"/>
            </w:tcBorders>
            <w:shd w:val="clear" w:color="auto" w:fill="FFFFFF" w:themeFill="background2"/>
            <w:noWrap/>
            <w:vAlign w:val="center"/>
            <w:hideMark/>
          </w:tcPr>
          <w:p w14:paraId="4B1188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7AA0B3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94.99</w:t>
            </w:r>
          </w:p>
        </w:tc>
        <w:tc>
          <w:tcPr>
            <w:tcW w:w="1276" w:type="dxa"/>
            <w:tcBorders>
              <w:top w:val="nil"/>
              <w:left w:val="nil"/>
              <w:bottom w:val="nil"/>
              <w:right w:val="nil"/>
            </w:tcBorders>
            <w:shd w:val="clear" w:color="auto" w:fill="FFFFFF" w:themeFill="background2"/>
            <w:noWrap/>
            <w:vAlign w:val="center"/>
            <w:hideMark/>
          </w:tcPr>
          <w:p w14:paraId="0207C1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E7ECD5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725237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c>
          <w:tcPr>
            <w:tcW w:w="1324" w:type="dxa"/>
            <w:tcBorders>
              <w:top w:val="nil"/>
              <w:left w:val="nil"/>
              <w:bottom w:val="nil"/>
              <w:right w:val="nil"/>
            </w:tcBorders>
            <w:shd w:val="clear" w:color="auto" w:fill="E5E5E5" w:themeFill="background1" w:themeFillTint="33"/>
            <w:noWrap/>
            <w:vAlign w:val="center"/>
            <w:hideMark/>
          </w:tcPr>
          <w:p w14:paraId="571C04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95.77</w:t>
            </w:r>
          </w:p>
        </w:tc>
        <w:tc>
          <w:tcPr>
            <w:tcW w:w="1418" w:type="dxa"/>
            <w:gridSpan w:val="2"/>
            <w:tcBorders>
              <w:top w:val="nil"/>
              <w:left w:val="nil"/>
              <w:bottom w:val="nil"/>
              <w:right w:val="nil"/>
            </w:tcBorders>
            <w:shd w:val="clear" w:color="auto" w:fill="E5E5E5" w:themeFill="background1" w:themeFillTint="33"/>
            <w:noWrap/>
            <w:vAlign w:val="center"/>
            <w:hideMark/>
          </w:tcPr>
          <w:p w14:paraId="68F5E5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C8053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95.26</w:t>
            </w:r>
          </w:p>
        </w:tc>
        <w:tc>
          <w:tcPr>
            <w:tcW w:w="1276" w:type="dxa"/>
            <w:tcBorders>
              <w:top w:val="nil"/>
              <w:left w:val="nil"/>
              <w:bottom w:val="nil"/>
              <w:right w:val="nil"/>
            </w:tcBorders>
            <w:shd w:val="clear" w:color="auto" w:fill="E5E5E5" w:themeFill="background1" w:themeFillTint="33"/>
            <w:noWrap/>
            <w:vAlign w:val="center"/>
            <w:hideMark/>
          </w:tcPr>
          <w:p w14:paraId="220E99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25192B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94.48</w:t>
            </w:r>
          </w:p>
        </w:tc>
        <w:tc>
          <w:tcPr>
            <w:tcW w:w="1418" w:type="dxa"/>
            <w:gridSpan w:val="3"/>
            <w:tcBorders>
              <w:top w:val="nil"/>
              <w:left w:val="nil"/>
              <w:bottom w:val="nil"/>
              <w:right w:val="nil"/>
            </w:tcBorders>
            <w:shd w:val="clear" w:color="auto" w:fill="E5E5E5" w:themeFill="background1" w:themeFillTint="33"/>
            <w:noWrap/>
            <w:vAlign w:val="center"/>
            <w:hideMark/>
          </w:tcPr>
          <w:p w14:paraId="519C0B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A7D15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88.42</w:t>
            </w:r>
          </w:p>
        </w:tc>
        <w:tc>
          <w:tcPr>
            <w:tcW w:w="1276" w:type="dxa"/>
            <w:tcBorders>
              <w:top w:val="nil"/>
              <w:left w:val="nil"/>
              <w:bottom w:val="nil"/>
              <w:right w:val="nil"/>
            </w:tcBorders>
            <w:shd w:val="clear" w:color="auto" w:fill="E5E5E5" w:themeFill="background1" w:themeFillTint="33"/>
            <w:noWrap/>
            <w:vAlign w:val="center"/>
            <w:hideMark/>
          </w:tcPr>
          <w:p w14:paraId="5BA731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382D23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95.16</w:t>
            </w:r>
          </w:p>
        </w:tc>
        <w:tc>
          <w:tcPr>
            <w:tcW w:w="1276" w:type="dxa"/>
            <w:tcBorders>
              <w:top w:val="nil"/>
              <w:left w:val="nil"/>
              <w:bottom w:val="nil"/>
              <w:right w:val="nil"/>
            </w:tcBorders>
            <w:shd w:val="clear" w:color="auto" w:fill="E5E5E5" w:themeFill="background1" w:themeFillTint="33"/>
            <w:noWrap/>
            <w:vAlign w:val="center"/>
            <w:hideMark/>
          </w:tcPr>
          <w:p w14:paraId="36BD12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5C6158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3197B1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w:t>
            </w:r>
          </w:p>
        </w:tc>
        <w:tc>
          <w:tcPr>
            <w:tcW w:w="1324" w:type="dxa"/>
            <w:tcBorders>
              <w:top w:val="nil"/>
              <w:left w:val="nil"/>
              <w:bottom w:val="nil"/>
              <w:right w:val="nil"/>
            </w:tcBorders>
            <w:shd w:val="clear" w:color="auto" w:fill="FFFFFF" w:themeFill="background2"/>
            <w:noWrap/>
            <w:vAlign w:val="center"/>
            <w:hideMark/>
          </w:tcPr>
          <w:p w14:paraId="2390F9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95.94</w:t>
            </w:r>
          </w:p>
        </w:tc>
        <w:tc>
          <w:tcPr>
            <w:tcW w:w="1418" w:type="dxa"/>
            <w:gridSpan w:val="2"/>
            <w:tcBorders>
              <w:top w:val="nil"/>
              <w:left w:val="nil"/>
              <w:bottom w:val="nil"/>
              <w:right w:val="nil"/>
            </w:tcBorders>
            <w:shd w:val="clear" w:color="auto" w:fill="FFFFFF" w:themeFill="background2"/>
            <w:noWrap/>
            <w:vAlign w:val="center"/>
            <w:hideMark/>
          </w:tcPr>
          <w:p w14:paraId="0BBDDD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DDD0C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95.45</w:t>
            </w:r>
          </w:p>
        </w:tc>
        <w:tc>
          <w:tcPr>
            <w:tcW w:w="1276" w:type="dxa"/>
            <w:tcBorders>
              <w:top w:val="nil"/>
              <w:left w:val="nil"/>
              <w:bottom w:val="nil"/>
              <w:right w:val="nil"/>
            </w:tcBorders>
            <w:shd w:val="clear" w:color="auto" w:fill="FFFFFF" w:themeFill="background2"/>
            <w:noWrap/>
            <w:vAlign w:val="center"/>
            <w:hideMark/>
          </w:tcPr>
          <w:p w14:paraId="742EE1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459E6B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94.66</w:t>
            </w:r>
          </w:p>
        </w:tc>
        <w:tc>
          <w:tcPr>
            <w:tcW w:w="1418" w:type="dxa"/>
            <w:gridSpan w:val="3"/>
            <w:tcBorders>
              <w:top w:val="nil"/>
              <w:left w:val="nil"/>
              <w:bottom w:val="nil"/>
              <w:right w:val="nil"/>
            </w:tcBorders>
            <w:shd w:val="clear" w:color="auto" w:fill="FFFFFF" w:themeFill="background2"/>
            <w:noWrap/>
            <w:vAlign w:val="center"/>
            <w:hideMark/>
          </w:tcPr>
          <w:p w14:paraId="698E4F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39F4B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88.83</w:t>
            </w:r>
          </w:p>
        </w:tc>
        <w:tc>
          <w:tcPr>
            <w:tcW w:w="1276" w:type="dxa"/>
            <w:tcBorders>
              <w:top w:val="nil"/>
              <w:left w:val="nil"/>
              <w:bottom w:val="nil"/>
              <w:right w:val="nil"/>
            </w:tcBorders>
            <w:shd w:val="clear" w:color="auto" w:fill="FFFFFF" w:themeFill="background2"/>
            <w:noWrap/>
            <w:vAlign w:val="center"/>
            <w:hideMark/>
          </w:tcPr>
          <w:p w14:paraId="6120E0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53FDE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95.35</w:t>
            </w:r>
          </w:p>
        </w:tc>
        <w:tc>
          <w:tcPr>
            <w:tcW w:w="1276" w:type="dxa"/>
            <w:tcBorders>
              <w:top w:val="nil"/>
              <w:left w:val="nil"/>
              <w:bottom w:val="nil"/>
              <w:right w:val="nil"/>
            </w:tcBorders>
            <w:shd w:val="clear" w:color="auto" w:fill="FFFFFF" w:themeFill="background2"/>
            <w:noWrap/>
            <w:vAlign w:val="center"/>
            <w:hideMark/>
          </w:tcPr>
          <w:p w14:paraId="3E4FC8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388D1A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B3517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324" w:type="dxa"/>
            <w:tcBorders>
              <w:top w:val="nil"/>
              <w:left w:val="nil"/>
              <w:bottom w:val="nil"/>
              <w:right w:val="nil"/>
            </w:tcBorders>
            <w:shd w:val="clear" w:color="auto" w:fill="E5E5E5" w:themeFill="background1" w:themeFillTint="33"/>
            <w:noWrap/>
            <w:vAlign w:val="center"/>
            <w:hideMark/>
          </w:tcPr>
          <w:p w14:paraId="6EDC87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96.12</w:t>
            </w:r>
          </w:p>
        </w:tc>
        <w:tc>
          <w:tcPr>
            <w:tcW w:w="1418" w:type="dxa"/>
            <w:gridSpan w:val="2"/>
            <w:tcBorders>
              <w:top w:val="nil"/>
              <w:left w:val="nil"/>
              <w:bottom w:val="nil"/>
              <w:right w:val="nil"/>
            </w:tcBorders>
            <w:shd w:val="clear" w:color="auto" w:fill="E5E5E5" w:themeFill="background1" w:themeFillTint="33"/>
            <w:noWrap/>
            <w:vAlign w:val="center"/>
            <w:hideMark/>
          </w:tcPr>
          <w:p w14:paraId="1D556A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70E481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95.65</w:t>
            </w:r>
          </w:p>
        </w:tc>
        <w:tc>
          <w:tcPr>
            <w:tcW w:w="1276" w:type="dxa"/>
            <w:tcBorders>
              <w:top w:val="nil"/>
              <w:left w:val="nil"/>
              <w:bottom w:val="nil"/>
              <w:right w:val="nil"/>
            </w:tcBorders>
            <w:shd w:val="clear" w:color="auto" w:fill="E5E5E5" w:themeFill="background1" w:themeFillTint="33"/>
            <w:noWrap/>
            <w:vAlign w:val="center"/>
            <w:hideMark/>
          </w:tcPr>
          <w:p w14:paraId="095851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1C4E0D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94.91</w:t>
            </w:r>
          </w:p>
        </w:tc>
        <w:tc>
          <w:tcPr>
            <w:tcW w:w="1418" w:type="dxa"/>
            <w:gridSpan w:val="3"/>
            <w:tcBorders>
              <w:top w:val="nil"/>
              <w:left w:val="nil"/>
              <w:bottom w:val="nil"/>
              <w:right w:val="nil"/>
            </w:tcBorders>
            <w:shd w:val="clear" w:color="auto" w:fill="E5E5E5" w:themeFill="background1" w:themeFillTint="33"/>
            <w:noWrap/>
            <w:vAlign w:val="center"/>
            <w:hideMark/>
          </w:tcPr>
          <w:p w14:paraId="7958C4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D89AF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89.09</w:t>
            </w:r>
          </w:p>
        </w:tc>
        <w:tc>
          <w:tcPr>
            <w:tcW w:w="1276" w:type="dxa"/>
            <w:tcBorders>
              <w:top w:val="nil"/>
              <w:left w:val="nil"/>
              <w:bottom w:val="nil"/>
              <w:right w:val="nil"/>
            </w:tcBorders>
            <w:shd w:val="clear" w:color="auto" w:fill="E5E5E5" w:themeFill="background1" w:themeFillTint="33"/>
            <w:noWrap/>
            <w:vAlign w:val="center"/>
            <w:hideMark/>
          </w:tcPr>
          <w:p w14:paraId="06250E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6B9C7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95.54</w:t>
            </w:r>
          </w:p>
        </w:tc>
        <w:tc>
          <w:tcPr>
            <w:tcW w:w="1276" w:type="dxa"/>
            <w:tcBorders>
              <w:top w:val="nil"/>
              <w:left w:val="nil"/>
              <w:bottom w:val="nil"/>
              <w:right w:val="nil"/>
            </w:tcBorders>
            <w:shd w:val="clear" w:color="auto" w:fill="E5E5E5" w:themeFill="background1" w:themeFillTint="33"/>
            <w:noWrap/>
            <w:vAlign w:val="center"/>
            <w:hideMark/>
          </w:tcPr>
          <w:p w14:paraId="302E19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8B0BAC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62E0BD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w:t>
            </w:r>
          </w:p>
        </w:tc>
        <w:tc>
          <w:tcPr>
            <w:tcW w:w="1324" w:type="dxa"/>
            <w:tcBorders>
              <w:top w:val="nil"/>
              <w:left w:val="nil"/>
              <w:bottom w:val="nil"/>
              <w:right w:val="nil"/>
            </w:tcBorders>
            <w:shd w:val="clear" w:color="auto" w:fill="FFFFFF" w:themeFill="background2"/>
            <w:noWrap/>
            <w:vAlign w:val="center"/>
            <w:hideMark/>
          </w:tcPr>
          <w:p w14:paraId="62C468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96.31</w:t>
            </w:r>
          </w:p>
        </w:tc>
        <w:tc>
          <w:tcPr>
            <w:tcW w:w="1418" w:type="dxa"/>
            <w:gridSpan w:val="2"/>
            <w:tcBorders>
              <w:top w:val="nil"/>
              <w:left w:val="nil"/>
              <w:bottom w:val="nil"/>
              <w:right w:val="nil"/>
            </w:tcBorders>
            <w:shd w:val="clear" w:color="auto" w:fill="FFFFFF" w:themeFill="background2"/>
            <w:noWrap/>
            <w:vAlign w:val="center"/>
            <w:hideMark/>
          </w:tcPr>
          <w:p w14:paraId="23E590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38D821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95.86</w:t>
            </w:r>
          </w:p>
        </w:tc>
        <w:tc>
          <w:tcPr>
            <w:tcW w:w="1276" w:type="dxa"/>
            <w:tcBorders>
              <w:top w:val="nil"/>
              <w:left w:val="nil"/>
              <w:bottom w:val="nil"/>
              <w:right w:val="nil"/>
            </w:tcBorders>
            <w:shd w:val="clear" w:color="auto" w:fill="FFFFFF" w:themeFill="background2"/>
            <w:noWrap/>
            <w:vAlign w:val="center"/>
            <w:hideMark/>
          </w:tcPr>
          <w:p w14:paraId="568922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65ED54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95.13</w:t>
            </w:r>
          </w:p>
        </w:tc>
        <w:tc>
          <w:tcPr>
            <w:tcW w:w="1418" w:type="dxa"/>
            <w:gridSpan w:val="3"/>
            <w:tcBorders>
              <w:top w:val="nil"/>
              <w:left w:val="nil"/>
              <w:bottom w:val="nil"/>
              <w:right w:val="nil"/>
            </w:tcBorders>
            <w:shd w:val="clear" w:color="auto" w:fill="FFFFFF" w:themeFill="background2"/>
            <w:noWrap/>
            <w:vAlign w:val="center"/>
            <w:hideMark/>
          </w:tcPr>
          <w:p w14:paraId="5CD06A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29E17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89.54</w:t>
            </w:r>
          </w:p>
        </w:tc>
        <w:tc>
          <w:tcPr>
            <w:tcW w:w="1276" w:type="dxa"/>
            <w:tcBorders>
              <w:top w:val="nil"/>
              <w:left w:val="nil"/>
              <w:bottom w:val="nil"/>
              <w:right w:val="nil"/>
            </w:tcBorders>
            <w:shd w:val="clear" w:color="auto" w:fill="FFFFFF" w:themeFill="background2"/>
            <w:noWrap/>
            <w:vAlign w:val="center"/>
            <w:hideMark/>
          </w:tcPr>
          <w:p w14:paraId="45F10D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BA21B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95.75</w:t>
            </w:r>
          </w:p>
        </w:tc>
        <w:tc>
          <w:tcPr>
            <w:tcW w:w="1276" w:type="dxa"/>
            <w:tcBorders>
              <w:top w:val="nil"/>
              <w:left w:val="nil"/>
              <w:bottom w:val="nil"/>
              <w:right w:val="nil"/>
            </w:tcBorders>
            <w:shd w:val="clear" w:color="auto" w:fill="FFFFFF" w:themeFill="background2"/>
            <w:noWrap/>
            <w:vAlign w:val="center"/>
            <w:hideMark/>
          </w:tcPr>
          <w:p w14:paraId="24FEA9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D6B17A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EF9F7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w:t>
            </w:r>
          </w:p>
        </w:tc>
        <w:tc>
          <w:tcPr>
            <w:tcW w:w="1324" w:type="dxa"/>
            <w:tcBorders>
              <w:top w:val="nil"/>
              <w:left w:val="nil"/>
              <w:bottom w:val="nil"/>
              <w:right w:val="nil"/>
            </w:tcBorders>
            <w:shd w:val="clear" w:color="auto" w:fill="E5E5E5" w:themeFill="background1" w:themeFillTint="33"/>
            <w:noWrap/>
            <w:vAlign w:val="center"/>
            <w:hideMark/>
          </w:tcPr>
          <w:p w14:paraId="26920A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96.47</w:t>
            </w:r>
          </w:p>
        </w:tc>
        <w:tc>
          <w:tcPr>
            <w:tcW w:w="1418" w:type="dxa"/>
            <w:gridSpan w:val="2"/>
            <w:tcBorders>
              <w:top w:val="nil"/>
              <w:left w:val="nil"/>
              <w:bottom w:val="nil"/>
              <w:right w:val="nil"/>
            </w:tcBorders>
            <w:shd w:val="clear" w:color="auto" w:fill="E5E5E5" w:themeFill="background1" w:themeFillTint="33"/>
            <w:noWrap/>
            <w:vAlign w:val="center"/>
            <w:hideMark/>
          </w:tcPr>
          <w:p w14:paraId="4B9F8C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2ECF2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96.02</w:t>
            </w:r>
          </w:p>
        </w:tc>
        <w:tc>
          <w:tcPr>
            <w:tcW w:w="1276" w:type="dxa"/>
            <w:tcBorders>
              <w:top w:val="nil"/>
              <w:left w:val="nil"/>
              <w:bottom w:val="nil"/>
              <w:right w:val="nil"/>
            </w:tcBorders>
            <w:shd w:val="clear" w:color="auto" w:fill="E5E5E5" w:themeFill="background1" w:themeFillTint="33"/>
            <w:noWrap/>
            <w:vAlign w:val="center"/>
            <w:hideMark/>
          </w:tcPr>
          <w:p w14:paraId="1725B2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1C4777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95.30</w:t>
            </w:r>
          </w:p>
        </w:tc>
        <w:tc>
          <w:tcPr>
            <w:tcW w:w="1418" w:type="dxa"/>
            <w:gridSpan w:val="3"/>
            <w:tcBorders>
              <w:top w:val="nil"/>
              <w:left w:val="nil"/>
              <w:bottom w:val="nil"/>
              <w:right w:val="nil"/>
            </w:tcBorders>
            <w:shd w:val="clear" w:color="auto" w:fill="E5E5E5" w:themeFill="background1" w:themeFillTint="33"/>
            <w:noWrap/>
            <w:vAlign w:val="center"/>
            <w:hideMark/>
          </w:tcPr>
          <w:p w14:paraId="7CCF67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BC66F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89.93</w:t>
            </w:r>
          </w:p>
        </w:tc>
        <w:tc>
          <w:tcPr>
            <w:tcW w:w="1276" w:type="dxa"/>
            <w:tcBorders>
              <w:top w:val="nil"/>
              <w:left w:val="nil"/>
              <w:bottom w:val="nil"/>
              <w:right w:val="nil"/>
            </w:tcBorders>
            <w:shd w:val="clear" w:color="auto" w:fill="E5E5E5" w:themeFill="background1" w:themeFillTint="33"/>
            <w:noWrap/>
            <w:vAlign w:val="center"/>
            <w:hideMark/>
          </w:tcPr>
          <w:p w14:paraId="46BE40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BCDED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95.92</w:t>
            </w:r>
          </w:p>
        </w:tc>
        <w:tc>
          <w:tcPr>
            <w:tcW w:w="1276" w:type="dxa"/>
            <w:tcBorders>
              <w:top w:val="nil"/>
              <w:left w:val="nil"/>
              <w:bottom w:val="nil"/>
              <w:right w:val="nil"/>
            </w:tcBorders>
            <w:shd w:val="clear" w:color="auto" w:fill="E5E5E5" w:themeFill="background1" w:themeFillTint="33"/>
            <w:noWrap/>
            <w:vAlign w:val="center"/>
            <w:hideMark/>
          </w:tcPr>
          <w:p w14:paraId="762BE7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B985FB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607719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w:t>
            </w:r>
          </w:p>
        </w:tc>
        <w:tc>
          <w:tcPr>
            <w:tcW w:w="1324" w:type="dxa"/>
            <w:tcBorders>
              <w:top w:val="nil"/>
              <w:left w:val="nil"/>
              <w:bottom w:val="nil"/>
              <w:right w:val="nil"/>
            </w:tcBorders>
            <w:shd w:val="clear" w:color="auto" w:fill="FFFFFF" w:themeFill="background2"/>
            <w:noWrap/>
            <w:vAlign w:val="center"/>
            <w:hideMark/>
          </w:tcPr>
          <w:p w14:paraId="541F76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96.60</w:t>
            </w:r>
          </w:p>
        </w:tc>
        <w:tc>
          <w:tcPr>
            <w:tcW w:w="1418" w:type="dxa"/>
            <w:gridSpan w:val="2"/>
            <w:tcBorders>
              <w:top w:val="nil"/>
              <w:left w:val="nil"/>
              <w:bottom w:val="nil"/>
              <w:right w:val="nil"/>
            </w:tcBorders>
            <w:shd w:val="clear" w:color="auto" w:fill="FFFFFF" w:themeFill="background2"/>
            <w:noWrap/>
            <w:vAlign w:val="center"/>
            <w:hideMark/>
          </w:tcPr>
          <w:p w14:paraId="560C49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306759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96.17</w:t>
            </w:r>
          </w:p>
        </w:tc>
        <w:tc>
          <w:tcPr>
            <w:tcW w:w="1276" w:type="dxa"/>
            <w:tcBorders>
              <w:top w:val="nil"/>
              <w:left w:val="nil"/>
              <w:bottom w:val="nil"/>
              <w:right w:val="nil"/>
            </w:tcBorders>
            <w:shd w:val="clear" w:color="auto" w:fill="FFFFFF" w:themeFill="background2"/>
            <w:noWrap/>
            <w:vAlign w:val="center"/>
            <w:hideMark/>
          </w:tcPr>
          <w:p w14:paraId="07E0EF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B3F62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95.48</w:t>
            </w:r>
          </w:p>
        </w:tc>
        <w:tc>
          <w:tcPr>
            <w:tcW w:w="1418" w:type="dxa"/>
            <w:gridSpan w:val="3"/>
            <w:tcBorders>
              <w:top w:val="nil"/>
              <w:left w:val="nil"/>
              <w:bottom w:val="nil"/>
              <w:right w:val="nil"/>
            </w:tcBorders>
            <w:shd w:val="clear" w:color="auto" w:fill="FFFFFF" w:themeFill="background2"/>
            <w:noWrap/>
            <w:vAlign w:val="center"/>
            <w:hideMark/>
          </w:tcPr>
          <w:p w14:paraId="29B832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A67DB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90.23</w:t>
            </w:r>
          </w:p>
        </w:tc>
        <w:tc>
          <w:tcPr>
            <w:tcW w:w="1276" w:type="dxa"/>
            <w:tcBorders>
              <w:top w:val="nil"/>
              <w:left w:val="nil"/>
              <w:bottom w:val="nil"/>
              <w:right w:val="nil"/>
            </w:tcBorders>
            <w:shd w:val="clear" w:color="auto" w:fill="FFFFFF" w:themeFill="background2"/>
            <w:noWrap/>
            <w:vAlign w:val="center"/>
            <w:hideMark/>
          </w:tcPr>
          <w:p w14:paraId="1D6924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65AC8C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96.07</w:t>
            </w:r>
          </w:p>
        </w:tc>
        <w:tc>
          <w:tcPr>
            <w:tcW w:w="1276" w:type="dxa"/>
            <w:tcBorders>
              <w:top w:val="nil"/>
              <w:left w:val="nil"/>
              <w:bottom w:val="nil"/>
              <w:right w:val="nil"/>
            </w:tcBorders>
            <w:shd w:val="clear" w:color="auto" w:fill="FFFFFF" w:themeFill="background2"/>
            <w:noWrap/>
            <w:vAlign w:val="center"/>
            <w:hideMark/>
          </w:tcPr>
          <w:p w14:paraId="278DF2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4D531F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F9D89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c>
          <w:tcPr>
            <w:tcW w:w="1324" w:type="dxa"/>
            <w:tcBorders>
              <w:top w:val="nil"/>
              <w:left w:val="nil"/>
              <w:bottom w:val="nil"/>
              <w:right w:val="nil"/>
            </w:tcBorders>
            <w:shd w:val="clear" w:color="auto" w:fill="E5E5E5" w:themeFill="background1" w:themeFillTint="33"/>
            <w:noWrap/>
            <w:vAlign w:val="center"/>
            <w:hideMark/>
          </w:tcPr>
          <w:p w14:paraId="09B9D4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96.72</w:t>
            </w:r>
          </w:p>
        </w:tc>
        <w:tc>
          <w:tcPr>
            <w:tcW w:w="1418" w:type="dxa"/>
            <w:gridSpan w:val="2"/>
            <w:tcBorders>
              <w:top w:val="nil"/>
              <w:left w:val="nil"/>
              <w:bottom w:val="nil"/>
              <w:right w:val="nil"/>
            </w:tcBorders>
            <w:shd w:val="clear" w:color="auto" w:fill="E5E5E5" w:themeFill="background1" w:themeFillTint="33"/>
            <w:noWrap/>
            <w:vAlign w:val="center"/>
            <w:hideMark/>
          </w:tcPr>
          <w:p w14:paraId="39145F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DA582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96.32</w:t>
            </w:r>
          </w:p>
        </w:tc>
        <w:tc>
          <w:tcPr>
            <w:tcW w:w="1276" w:type="dxa"/>
            <w:tcBorders>
              <w:top w:val="nil"/>
              <w:left w:val="nil"/>
              <w:bottom w:val="nil"/>
              <w:right w:val="nil"/>
            </w:tcBorders>
            <w:shd w:val="clear" w:color="auto" w:fill="E5E5E5" w:themeFill="background1" w:themeFillTint="33"/>
            <w:noWrap/>
            <w:vAlign w:val="center"/>
            <w:hideMark/>
          </w:tcPr>
          <w:p w14:paraId="3191E8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457E56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95.63</w:t>
            </w:r>
          </w:p>
        </w:tc>
        <w:tc>
          <w:tcPr>
            <w:tcW w:w="1418" w:type="dxa"/>
            <w:gridSpan w:val="3"/>
            <w:tcBorders>
              <w:top w:val="nil"/>
              <w:left w:val="nil"/>
              <w:bottom w:val="nil"/>
              <w:right w:val="nil"/>
            </w:tcBorders>
            <w:shd w:val="clear" w:color="auto" w:fill="E5E5E5" w:themeFill="background1" w:themeFillTint="33"/>
            <w:noWrap/>
            <w:vAlign w:val="center"/>
            <w:hideMark/>
          </w:tcPr>
          <w:p w14:paraId="1AB88C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4F827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90.50</w:t>
            </w:r>
          </w:p>
        </w:tc>
        <w:tc>
          <w:tcPr>
            <w:tcW w:w="1276" w:type="dxa"/>
            <w:tcBorders>
              <w:top w:val="nil"/>
              <w:left w:val="nil"/>
              <w:bottom w:val="nil"/>
              <w:right w:val="nil"/>
            </w:tcBorders>
            <w:shd w:val="clear" w:color="auto" w:fill="E5E5E5" w:themeFill="background1" w:themeFillTint="33"/>
            <w:noWrap/>
            <w:vAlign w:val="center"/>
            <w:hideMark/>
          </w:tcPr>
          <w:p w14:paraId="2F0F3A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635D0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96.21</w:t>
            </w:r>
          </w:p>
        </w:tc>
        <w:tc>
          <w:tcPr>
            <w:tcW w:w="1276" w:type="dxa"/>
            <w:tcBorders>
              <w:top w:val="nil"/>
              <w:left w:val="nil"/>
              <w:bottom w:val="nil"/>
              <w:right w:val="nil"/>
            </w:tcBorders>
            <w:shd w:val="clear" w:color="auto" w:fill="E5E5E5" w:themeFill="background1" w:themeFillTint="33"/>
            <w:noWrap/>
            <w:vAlign w:val="center"/>
            <w:hideMark/>
          </w:tcPr>
          <w:p w14:paraId="098956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3165DD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31EAFC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324" w:type="dxa"/>
            <w:tcBorders>
              <w:top w:val="nil"/>
              <w:left w:val="nil"/>
              <w:bottom w:val="nil"/>
              <w:right w:val="nil"/>
            </w:tcBorders>
            <w:shd w:val="clear" w:color="auto" w:fill="FFFFFF" w:themeFill="background2"/>
            <w:noWrap/>
            <w:vAlign w:val="center"/>
            <w:hideMark/>
          </w:tcPr>
          <w:p w14:paraId="1EDE87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96.81</w:t>
            </w:r>
          </w:p>
        </w:tc>
        <w:tc>
          <w:tcPr>
            <w:tcW w:w="1418" w:type="dxa"/>
            <w:gridSpan w:val="2"/>
            <w:tcBorders>
              <w:top w:val="nil"/>
              <w:left w:val="nil"/>
              <w:bottom w:val="nil"/>
              <w:right w:val="nil"/>
            </w:tcBorders>
            <w:shd w:val="clear" w:color="auto" w:fill="FFFFFF" w:themeFill="background2"/>
            <w:noWrap/>
            <w:vAlign w:val="center"/>
            <w:hideMark/>
          </w:tcPr>
          <w:p w14:paraId="5A0B49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E2141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96.44</w:t>
            </w:r>
          </w:p>
        </w:tc>
        <w:tc>
          <w:tcPr>
            <w:tcW w:w="1276" w:type="dxa"/>
            <w:tcBorders>
              <w:top w:val="nil"/>
              <w:left w:val="nil"/>
              <w:bottom w:val="nil"/>
              <w:right w:val="nil"/>
            </w:tcBorders>
            <w:shd w:val="clear" w:color="auto" w:fill="FFFFFF" w:themeFill="background2"/>
            <w:noWrap/>
            <w:vAlign w:val="center"/>
            <w:hideMark/>
          </w:tcPr>
          <w:p w14:paraId="5CD8C5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032BE7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95.75</w:t>
            </w:r>
          </w:p>
        </w:tc>
        <w:tc>
          <w:tcPr>
            <w:tcW w:w="1418" w:type="dxa"/>
            <w:gridSpan w:val="3"/>
            <w:tcBorders>
              <w:top w:val="nil"/>
              <w:left w:val="nil"/>
              <w:bottom w:val="nil"/>
              <w:right w:val="nil"/>
            </w:tcBorders>
            <w:shd w:val="clear" w:color="auto" w:fill="FFFFFF" w:themeFill="background2"/>
            <w:noWrap/>
            <w:vAlign w:val="center"/>
            <w:hideMark/>
          </w:tcPr>
          <w:p w14:paraId="4669BE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1CAAC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90.93</w:t>
            </w:r>
          </w:p>
        </w:tc>
        <w:tc>
          <w:tcPr>
            <w:tcW w:w="1276" w:type="dxa"/>
            <w:tcBorders>
              <w:top w:val="nil"/>
              <w:left w:val="nil"/>
              <w:bottom w:val="nil"/>
              <w:right w:val="nil"/>
            </w:tcBorders>
            <w:shd w:val="clear" w:color="auto" w:fill="FFFFFF" w:themeFill="background2"/>
            <w:noWrap/>
            <w:vAlign w:val="center"/>
            <w:hideMark/>
          </w:tcPr>
          <w:p w14:paraId="375400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CA4FC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96.33</w:t>
            </w:r>
          </w:p>
        </w:tc>
        <w:tc>
          <w:tcPr>
            <w:tcW w:w="1276" w:type="dxa"/>
            <w:tcBorders>
              <w:top w:val="nil"/>
              <w:left w:val="nil"/>
              <w:bottom w:val="nil"/>
              <w:right w:val="nil"/>
            </w:tcBorders>
            <w:shd w:val="clear" w:color="auto" w:fill="FFFFFF" w:themeFill="background2"/>
            <w:noWrap/>
            <w:vAlign w:val="center"/>
            <w:hideMark/>
          </w:tcPr>
          <w:p w14:paraId="5078BD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82E2E0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C1B62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c>
          <w:tcPr>
            <w:tcW w:w="1324" w:type="dxa"/>
            <w:tcBorders>
              <w:top w:val="nil"/>
              <w:left w:val="nil"/>
              <w:bottom w:val="nil"/>
              <w:right w:val="nil"/>
            </w:tcBorders>
            <w:shd w:val="clear" w:color="auto" w:fill="E5E5E5" w:themeFill="background1" w:themeFillTint="33"/>
            <w:noWrap/>
            <w:vAlign w:val="center"/>
            <w:hideMark/>
          </w:tcPr>
          <w:p w14:paraId="518FDE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96.94</w:t>
            </w:r>
          </w:p>
        </w:tc>
        <w:tc>
          <w:tcPr>
            <w:tcW w:w="1418" w:type="dxa"/>
            <w:gridSpan w:val="2"/>
            <w:tcBorders>
              <w:top w:val="nil"/>
              <w:left w:val="nil"/>
              <w:bottom w:val="nil"/>
              <w:right w:val="nil"/>
            </w:tcBorders>
            <w:shd w:val="clear" w:color="auto" w:fill="E5E5E5" w:themeFill="background1" w:themeFillTint="33"/>
            <w:noWrap/>
            <w:vAlign w:val="center"/>
            <w:hideMark/>
          </w:tcPr>
          <w:p w14:paraId="174F51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8FBC0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96.52</w:t>
            </w:r>
          </w:p>
        </w:tc>
        <w:tc>
          <w:tcPr>
            <w:tcW w:w="1276" w:type="dxa"/>
            <w:tcBorders>
              <w:top w:val="nil"/>
              <w:left w:val="nil"/>
              <w:bottom w:val="nil"/>
              <w:right w:val="nil"/>
            </w:tcBorders>
            <w:shd w:val="clear" w:color="auto" w:fill="E5E5E5" w:themeFill="background1" w:themeFillTint="33"/>
            <w:noWrap/>
            <w:vAlign w:val="center"/>
            <w:hideMark/>
          </w:tcPr>
          <w:p w14:paraId="4D0619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7E1DDA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95.84</w:t>
            </w:r>
          </w:p>
        </w:tc>
        <w:tc>
          <w:tcPr>
            <w:tcW w:w="1418" w:type="dxa"/>
            <w:gridSpan w:val="3"/>
            <w:tcBorders>
              <w:top w:val="nil"/>
              <w:left w:val="nil"/>
              <w:bottom w:val="nil"/>
              <w:right w:val="nil"/>
            </w:tcBorders>
            <w:shd w:val="clear" w:color="auto" w:fill="E5E5E5" w:themeFill="background1" w:themeFillTint="33"/>
            <w:noWrap/>
            <w:vAlign w:val="center"/>
            <w:hideMark/>
          </w:tcPr>
          <w:p w14:paraId="5A4B20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F2B62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91.17</w:t>
            </w:r>
          </w:p>
        </w:tc>
        <w:tc>
          <w:tcPr>
            <w:tcW w:w="1276" w:type="dxa"/>
            <w:tcBorders>
              <w:top w:val="nil"/>
              <w:left w:val="nil"/>
              <w:bottom w:val="nil"/>
              <w:right w:val="nil"/>
            </w:tcBorders>
            <w:shd w:val="clear" w:color="auto" w:fill="E5E5E5" w:themeFill="background1" w:themeFillTint="33"/>
            <w:noWrap/>
            <w:vAlign w:val="center"/>
            <w:hideMark/>
          </w:tcPr>
          <w:p w14:paraId="0E72E1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84C40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96.45</w:t>
            </w:r>
          </w:p>
        </w:tc>
        <w:tc>
          <w:tcPr>
            <w:tcW w:w="1276" w:type="dxa"/>
            <w:tcBorders>
              <w:top w:val="nil"/>
              <w:left w:val="nil"/>
              <w:bottom w:val="nil"/>
              <w:right w:val="nil"/>
            </w:tcBorders>
            <w:shd w:val="clear" w:color="auto" w:fill="E5E5E5" w:themeFill="background1" w:themeFillTint="33"/>
            <w:noWrap/>
            <w:vAlign w:val="center"/>
            <w:hideMark/>
          </w:tcPr>
          <w:p w14:paraId="504E55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666D62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EA96A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w:t>
            </w:r>
          </w:p>
        </w:tc>
        <w:tc>
          <w:tcPr>
            <w:tcW w:w="1324" w:type="dxa"/>
            <w:tcBorders>
              <w:top w:val="nil"/>
              <w:left w:val="nil"/>
              <w:bottom w:val="nil"/>
              <w:right w:val="nil"/>
            </w:tcBorders>
            <w:shd w:val="clear" w:color="auto" w:fill="FFFFFF" w:themeFill="background2"/>
            <w:noWrap/>
            <w:vAlign w:val="center"/>
            <w:hideMark/>
          </w:tcPr>
          <w:p w14:paraId="547928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97.06</w:t>
            </w:r>
          </w:p>
        </w:tc>
        <w:tc>
          <w:tcPr>
            <w:tcW w:w="1418" w:type="dxa"/>
            <w:gridSpan w:val="2"/>
            <w:tcBorders>
              <w:top w:val="nil"/>
              <w:left w:val="nil"/>
              <w:bottom w:val="nil"/>
              <w:right w:val="nil"/>
            </w:tcBorders>
            <w:shd w:val="clear" w:color="auto" w:fill="FFFFFF" w:themeFill="background2"/>
            <w:noWrap/>
            <w:vAlign w:val="center"/>
            <w:hideMark/>
          </w:tcPr>
          <w:p w14:paraId="471C14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B4698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96.68</w:t>
            </w:r>
          </w:p>
        </w:tc>
        <w:tc>
          <w:tcPr>
            <w:tcW w:w="1276" w:type="dxa"/>
            <w:tcBorders>
              <w:top w:val="nil"/>
              <w:left w:val="nil"/>
              <w:bottom w:val="nil"/>
              <w:right w:val="nil"/>
            </w:tcBorders>
            <w:shd w:val="clear" w:color="auto" w:fill="FFFFFF" w:themeFill="background2"/>
            <w:noWrap/>
            <w:vAlign w:val="center"/>
            <w:hideMark/>
          </w:tcPr>
          <w:p w14:paraId="7E56D5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643740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95.91</w:t>
            </w:r>
          </w:p>
        </w:tc>
        <w:tc>
          <w:tcPr>
            <w:tcW w:w="1418" w:type="dxa"/>
            <w:gridSpan w:val="3"/>
            <w:tcBorders>
              <w:top w:val="nil"/>
              <w:left w:val="nil"/>
              <w:bottom w:val="nil"/>
              <w:right w:val="nil"/>
            </w:tcBorders>
            <w:shd w:val="clear" w:color="auto" w:fill="FFFFFF" w:themeFill="background2"/>
            <w:noWrap/>
            <w:vAlign w:val="center"/>
            <w:hideMark/>
          </w:tcPr>
          <w:p w14:paraId="36BD57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8DB6C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91.51</w:t>
            </w:r>
          </w:p>
        </w:tc>
        <w:tc>
          <w:tcPr>
            <w:tcW w:w="1276" w:type="dxa"/>
            <w:tcBorders>
              <w:top w:val="nil"/>
              <w:left w:val="nil"/>
              <w:bottom w:val="nil"/>
              <w:right w:val="nil"/>
            </w:tcBorders>
            <w:shd w:val="clear" w:color="auto" w:fill="FFFFFF" w:themeFill="background2"/>
            <w:noWrap/>
            <w:vAlign w:val="center"/>
            <w:hideMark/>
          </w:tcPr>
          <w:p w14:paraId="34D708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38704B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96.59</w:t>
            </w:r>
          </w:p>
        </w:tc>
        <w:tc>
          <w:tcPr>
            <w:tcW w:w="1276" w:type="dxa"/>
            <w:tcBorders>
              <w:top w:val="nil"/>
              <w:left w:val="nil"/>
              <w:bottom w:val="nil"/>
              <w:right w:val="nil"/>
            </w:tcBorders>
            <w:shd w:val="clear" w:color="auto" w:fill="FFFFFF" w:themeFill="background2"/>
            <w:noWrap/>
            <w:vAlign w:val="center"/>
            <w:hideMark/>
          </w:tcPr>
          <w:p w14:paraId="470ADA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FF2A5D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323195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c>
          <w:tcPr>
            <w:tcW w:w="1324" w:type="dxa"/>
            <w:tcBorders>
              <w:top w:val="nil"/>
              <w:left w:val="nil"/>
              <w:bottom w:val="nil"/>
              <w:right w:val="nil"/>
            </w:tcBorders>
            <w:shd w:val="clear" w:color="auto" w:fill="E5E5E5" w:themeFill="background1" w:themeFillTint="33"/>
            <w:noWrap/>
            <w:vAlign w:val="center"/>
            <w:hideMark/>
          </w:tcPr>
          <w:p w14:paraId="333C07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97.20</w:t>
            </w:r>
          </w:p>
        </w:tc>
        <w:tc>
          <w:tcPr>
            <w:tcW w:w="1418" w:type="dxa"/>
            <w:gridSpan w:val="2"/>
            <w:tcBorders>
              <w:top w:val="nil"/>
              <w:left w:val="nil"/>
              <w:bottom w:val="nil"/>
              <w:right w:val="nil"/>
            </w:tcBorders>
            <w:shd w:val="clear" w:color="auto" w:fill="E5E5E5" w:themeFill="background1" w:themeFillTint="33"/>
            <w:noWrap/>
            <w:vAlign w:val="center"/>
            <w:hideMark/>
          </w:tcPr>
          <w:p w14:paraId="2102FB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A76CB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96.80</w:t>
            </w:r>
          </w:p>
        </w:tc>
        <w:tc>
          <w:tcPr>
            <w:tcW w:w="1276" w:type="dxa"/>
            <w:tcBorders>
              <w:top w:val="nil"/>
              <w:left w:val="nil"/>
              <w:bottom w:val="nil"/>
              <w:right w:val="nil"/>
            </w:tcBorders>
            <w:shd w:val="clear" w:color="auto" w:fill="E5E5E5" w:themeFill="background1" w:themeFillTint="33"/>
            <w:noWrap/>
            <w:vAlign w:val="center"/>
            <w:hideMark/>
          </w:tcPr>
          <w:p w14:paraId="0A7BAF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460C7D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96.04</w:t>
            </w:r>
          </w:p>
        </w:tc>
        <w:tc>
          <w:tcPr>
            <w:tcW w:w="1418" w:type="dxa"/>
            <w:gridSpan w:val="3"/>
            <w:tcBorders>
              <w:top w:val="nil"/>
              <w:left w:val="nil"/>
              <w:bottom w:val="nil"/>
              <w:right w:val="nil"/>
            </w:tcBorders>
            <w:shd w:val="clear" w:color="auto" w:fill="E5E5E5" w:themeFill="background1" w:themeFillTint="33"/>
            <w:noWrap/>
            <w:vAlign w:val="center"/>
            <w:hideMark/>
          </w:tcPr>
          <w:p w14:paraId="684555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6F6ED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91.88</w:t>
            </w:r>
          </w:p>
        </w:tc>
        <w:tc>
          <w:tcPr>
            <w:tcW w:w="1276" w:type="dxa"/>
            <w:tcBorders>
              <w:top w:val="nil"/>
              <w:left w:val="nil"/>
              <w:bottom w:val="nil"/>
              <w:right w:val="nil"/>
            </w:tcBorders>
            <w:shd w:val="clear" w:color="auto" w:fill="E5E5E5" w:themeFill="background1" w:themeFillTint="33"/>
            <w:noWrap/>
            <w:vAlign w:val="center"/>
            <w:hideMark/>
          </w:tcPr>
          <w:p w14:paraId="0A138F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2B7982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96.73</w:t>
            </w:r>
          </w:p>
        </w:tc>
        <w:tc>
          <w:tcPr>
            <w:tcW w:w="1276" w:type="dxa"/>
            <w:tcBorders>
              <w:top w:val="nil"/>
              <w:left w:val="nil"/>
              <w:bottom w:val="nil"/>
              <w:right w:val="nil"/>
            </w:tcBorders>
            <w:shd w:val="clear" w:color="auto" w:fill="E5E5E5" w:themeFill="background1" w:themeFillTint="33"/>
            <w:noWrap/>
            <w:vAlign w:val="center"/>
            <w:hideMark/>
          </w:tcPr>
          <w:p w14:paraId="6F8C99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902D81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AD16D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c>
          <w:tcPr>
            <w:tcW w:w="1324" w:type="dxa"/>
            <w:tcBorders>
              <w:top w:val="nil"/>
              <w:left w:val="nil"/>
              <w:bottom w:val="nil"/>
              <w:right w:val="nil"/>
            </w:tcBorders>
            <w:shd w:val="clear" w:color="auto" w:fill="FFFFFF" w:themeFill="background2"/>
            <w:noWrap/>
            <w:vAlign w:val="center"/>
            <w:hideMark/>
          </w:tcPr>
          <w:p w14:paraId="6F5118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97.31</w:t>
            </w:r>
          </w:p>
        </w:tc>
        <w:tc>
          <w:tcPr>
            <w:tcW w:w="1418" w:type="dxa"/>
            <w:gridSpan w:val="2"/>
            <w:tcBorders>
              <w:top w:val="nil"/>
              <w:left w:val="nil"/>
              <w:bottom w:val="nil"/>
              <w:right w:val="nil"/>
            </w:tcBorders>
            <w:shd w:val="clear" w:color="auto" w:fill="FFFFFF" w:themeFill="background2"/>
            <w:noWrap/>
            <w:vAlign w:val="center"/>
            <w:hideMark/>
          </w:tcPr>
          <w:p w14:paraId="15271B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86763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96.92</w:t>
            </w:r>
          </w:p>
        </w:tc>
        <w:tc>
          <w:tcPr>
            <w:tcW w:w="1276" w:type="dxa"/>
            <w:tcBorders>
              <w:top w:val="nil"/>
              <w:left w:val="nil"/>
              <w:bottom w:val="nil"/>
              <w:right w:val="nil"/>
            </w:tcBorders>
            <w:shd w:val="clear" w:color="auto" w:fill="FFFFFF" w:themeFill="background2"/>
            <w:noWrap/>
            <w:vAlign w:val="center"/>
            <w:hideMark/>
          </w:tcPr>
          <w:p w14:paraId="516066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7A5125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96.14</w:t>
            </w:r>
          </w:p>
        </w:tc>
        <w:tc>
          <w:tcPr>
            <w:tcW w:w="1418" w:type="dxa"/>
            <w:gridSpan w:val="3"/>
            <w:tcBorders>
              <w:top w:val="nil"/>
              <w:left w:val="nil"/>
              <w:bottom w:val="nil"/>
              <w:right w:val="nil"/>
            </w:tcBorders>
            <w:shd w:val="clear" w:color="auto" w:fill="FFFFFF" w:themeFill="background2"/>
            <w:noWrap/>
            <w:vAlign w:val="center"/>
            <w:hideMark/>
          </w:tcPr>
          <w:p w14:paraId="1620AF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F0903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92.18</w:t>
            </w:r>
          </w:p>
        </w:tc>
        <w:tc>
          <w:tcPr>
            <w:tcW w:w="1276" w:type="dxa"/>
            <w:tcBorders>
              <w:top w:val="nil"/>
              <w:left w:val="nil"/>
              <w:bottom w:val="nil"/>
              <w:right w:val="nil"/>
            </w:tcBorders>
            <w:shd w:val="clear" w:color="auto" w:fill="FFFFFF" w:themeFill="background2"/>
            <w:noWrap/>
            <w:vAlign w:val="center"/>
            <w:hideMark/>
          </w:tcPr>
          <w:p w14:paraId="17CF13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7E1BDC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96.86</w:t>
            </w:r>
          </w:p>
        </w:tc>
        <w:tc>
          <w:tcPr>
            <w:tcW w:w="1276" w:type="dxa"/>
            <w:tcBorders>
              <w:top w:val="nil"/>
              <w:left w:val="nil"/>
              <w:bottom w:val="nil"/>
              <w:right w:val="nil"/>
            </w:tcBorders>
            <w:shd w:val="clear" w:color="auto" w:fill="FFFFFF" w:themeFill="background2"/>
            <w:noWrap/>
            <w:vAlign w:val="center"/>
            <w:hideMark/>
          </w:tcPr>
          <w:p w14:paraId="0DDE6C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3E5810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D29A0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324" w:type="dxa"/>
            <w:tcBorders>
              <w:top w:val="nil"/>
              <w:left w:val="nil"/>
              <w:bottom w:val="nil"/>
              <w:right w:val="nil"/>
            </w:tcBorders>
            <w:shd w:val="clear" w:color="auto" w:fill="E5E5E5" w:themeFill="background1" w:themeFillTint="33"/>
            <w:noWrap/>
            <w:vAlign w:val="center"/>
            <w:hideMark/>
          </w:tcPr>
          <w:p w14:paraId="70F028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97.42</w:t>
            </w:r>
          </w:p>
        </w:tc>
        <w:tc>
          <w:tcPr>
            <w:tcW w:w="1418" w:type="dxa"/>
            <w:gridSpan w:val="2"/>
            <w:tcBorders>
              <w:top w:val="nil"/>
              <w:left w:val="nil"/>
              <w:bottom w:val="nil"/>
              <w:right w:val="nil"/>
            </w:tcBorders>
            <w:shd w:val="clear" w:color="auto" w:fill="E5E5E5" w:themeFill="background1" w:themeFillTint="33"/>
            <w:noWrap/>
            <w:vAlign w:val="center"/>
            <w:hideMark/>
          </w:tcPr>
          <w:p w14:paraId="484587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E6483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96.99</w:t>
            </w:r>
          </w:p>
        </w:tc>
        <w:tc>
          <w:tcPr>
            <w:tcW w:w="1276" w:type="dxa"/>
            <w:tcBorders>
              <w:top w:val="nil"/>
              <w:left w:val="nil"/>
              <w:bottom w:val="nil"/>
              <w:right w:val="nil"/>
            </w:tcBorders>
            <w:shd w:val="clear" w:color="auto" w:fill="E5E5E5" w:themeFill="background1" w:themeFillTint="33"/>
            <w:noWrap/>
            <w:vAlign w:val="center"/>
            <w:hideMark/>
          </w:tcPr>
          <w:p w14:paraId="611B0F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66261B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96.22</w:t>
            </w:r>
          </w:p>
        </w:tc>
        <w:tc>
          <w:tcPr>
            <w:tcW w:w="1418" w:type="dxa"/>
            <w:gridSpan w:val="3"/>
            <w:tcBorders>
              <w:top w:val="nil"/>
              <w:left w:val="nil"/>
              <w:bottom w:val="nil"/>
              <w:right w:val="nil"/>
            </w:tcBorders>
            <w:shd w:val="clear" w:color="auto" w:fill="E5E5E5" w:themeFill="background1" w:themeFillTint="33"/>
            <w:noWrap/>
            <w:vAlign w:val="center"/>
            <w:hideMark/>
          </w:tcPr>
          <w:p w14:paraId="5F04FE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D9257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92.40</w:t>
            </w:r>
          </w:p>
        </w:tc>
        <w:tc>
          <w:tcPr>
            <w:tcW w:w="1276" w:type="dxa"/>
            <w:tcBorders>
              <w:top w:val="nil"/>
              <w:left w:val="nil"/>
              <w:bottom w:val="nil"/>
              <w:right w:val="nil"/>
            </w:tcBorders>
            <w:shd w:val="clear" w:color="auto" w:fill="E5E5E5" w:themeFill="background1" w:themeFillTint="33"/>
            <w:noWrap/>
            <w:vAlign w:val="center"/>
            <w:hideMark/>
          </w:tcPr>
          <w:p w14:paraId="5223F3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84385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96.96</w:t>
            </w:r>
          </w:p>
        </w:tc>
        <w:tc>
          <w:tcPr>
            <w:tcW w:w="1276" w:type="dxa"/>
            <w:tcBorders>
              <w:top w:val="nil"/>
              <w:left w:val="nil"/>
              <w:bottom w:val="nil"/>
              <w:right w:val="nil"/>
            </w:tcBorders>
            <w:shd w:val="clear" w:color="auto" w:fill="E5E5E5" w:themeFill="background1" w:themeFillTint="33"/>
            <w:noWrap/>
            <w:vAlign w:val="center"/>
            <w:hideMark/>
          </w:tcPr>
          <w:p w14:paraId="61653D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2E930F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1693FC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w:t>
            </w:r>
          </w:p>
        </w:tc>
        <w:tc>
          <w:tcPr>
            <w:tcW w:w="1324" w:type="dxa"/>
            <w:tcBorders>
              <w:top w:val="nil"/>
              <w:left w:val="nil"/>
              <w:bottom w:val="nil"/>
              <w:right w:val="nil"/>
            </w:tcBorders>
            <w:shd w:val="clear" w:color="auto" w:fill="FFFFFF" w:themeFill="background2"/>
            <w:noWrap/>
            <w:vAlign w:val="center"/>
            <w:hideMark/>
          </w:tcPr>
          <w:p w14:paraId="4646D5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97.51</w:t>
            </w:r>
          </w:p>
        </w:tc>
        <w:tc>
          <w:tcPr>
            <w:tcW w:w="1418" w:type="dxa"/>
            <w:gridSpan w:val="2"/>
            <w:tcBorders>
              <w:top w:val="nil"/>
              <w:left w:val="nil"/>
              <w:bottom w:val="nil"/>
              <w:right w:val="nil"/>
            </w:tcBorders>
            <w:shd w:val="clear" w:color="auto" w:fill="FFFFFF" w:themeFill="background2"/>
            <w:noWrap/>
            <w:vAlign w:val="center"/>
            <w:hideMark/>
          </w:tcPr>
          <w:p w14:paraId="268715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75506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97.06</w:t>
            </w:r>
          </w:p>
        </w:tc>
        <w:tc>
          <w:tcPr>
            <w:tcW w:w="1276" w:type="dxa"/>
            <w:tcBorders>
              <w:top w:val="nil"/>
              <w:left w:val="nil"/>
              <w:bottom w:val="nil"/>
              <w:right w:val="nil"/>
            </w:tcBorders>
            <w:shd w:val="clear" w:color="auto" w:fill="FFFFFF" w:themeFill="background2"/>
            <w:noWrap/>
            <w:vAlign w:val="center"/>
            <w:hideMark/>
          </w:tcPr>
          <w:p w14:paraId="03F377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E3CB2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96.33</w:t>
            </w:r>
          </w:p>
        </w:tc>
        <w:tc>
          <w:tcPr>
            <w:tcW w:w="1418" w:type="dxa"/>
            <w:gridSpan w:val="3"/>
            <w:tcBorders>
              <w:top w:val="nil"/>
              <w:left w:val="nil"/>
              <w:bottom w:val="nil"/>
              <w:right w:val="nil"/>
            </w:tcBorders>
            <w:shd w:val="clear" w:color="auto" w:fill="FFFFFF" w:themeFill="background2"/>
            <w:noWrap/>
            <w:vAlign w:val="center"/>
            <w:hideMark/>
          </w:tcPr>
          <w:p w14:paraId="6999F2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51F37C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92.65</w:t>
            </w:r>
          </w:p>
        </w:tc>
        <w:tc>
          <w:tcPr>
            <w:tcW w:w="1276" w:type="dxa"/>
            <w:tcBorders>
              <w:top w:val="nil"/>
              <w:left w:val="nil"/>
              <w:bottom w:val="nil"/>
              <w:right w:val="nil"/>
            </w:tcBorders>
            <w:shd w:val="clear" w:color="auto" w:fill="FFFFFF" w:themeFill="background2"/>
            <w:noWrap/>
            <w:vAlign w:val="center"/>
            <w:hideMark/>
          </w:tcPr>
          <w:p w14:paraId="050C71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95FC1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97.06</w:t>
            </w:r>
          </w:p>
        </w:tc>
        <w:tc>
          <w:tcPr>
            <w:tcW w:w="1276" w:type="dxa"/>
            <w:tcBorders>
              <w:top w:val="nil"/>
              <w:left w:val="nil"/>
              <w:bottom w:val="nil"/>
              <w:right w:val="nil"/>
            </w:tcBorders>
            <w:shd w:val="clear" w:color="auto" w:fill="FFFFFF" w:themeFill="background2"/>
            <w:noWrap/>
            <w:vAlign w:val="center"/>
            <w:hideMark/>
          </w:tcPr>
          <w:p w14:paraId="798809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D744A4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7707F6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c>
          <w:tcPr>
            <w:tcW w:w="1324" w:type="dxa"/>
            <w:tcBorders>
              <w:top w:val="nil"/>
              <w:left w:val="nil"/>
              <w:bottom w:val="nil"/>
              <w:right w:val="nil"/>
            </w:tcBorders>
            <w:shd w:val="clear" w:color="auto" w:fill="E5E5E5" w:themeFill="background1" w:themeFillTint="33"/>
            <w:noWrap/>
            <w:vAlign w:val="center"/>
            <w:hideMark/>
          </w:tcPr>
          <w:p w14:paraId="078882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97.60</w:t>
            </w:r>
          </w:p>
        </w:tc>
        <w:tc>
          <w:tcPr>
            <w:tcW w:w="1418" w:type="dxa"/>
            <w:gridSpan w:val="2"/>
            <w:tcBorders>
              <w:top w:val="nil"/>
              <w:left w:val="nil"/>
              <w:bottom w:val="nil"/>
              <w:right w:val="nil"/>
            </w:tcBorders>
            <w:shd w:val="clear" w:color="auto" w:fill="E5E5E5" w:themeFill="background1" w:themeFillTint="33"/>
            <w:noWrap/>
            <w:vAlign w:val="center"/>
            <w:hideMark/>
          </w:tcPr>
          <w:p w14:paraId="1AF279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32C0D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97.15</w:t>
            </w:r>
          </w:p>
        </w:tc>
        <w:tc>
          <w:tcPr>
            <w:tcW w:w="1276" w:type="dxa"/>
            <w:tcBorders>
              <w:top w:val="nil"/>
              <w:left w:val="nil"/>
              <w:bottom w:val="nil"/>
              <w:right w:val="nil"/>
            </w:tcBorders>
            <w:shd w:val="clear" w:color="auto" w:fill="E5E5E5" w:themeFill="background1" w:themeFillTint="33"/>
            <w:noWrap/>
            <w:vAlign w:val="center"/>
            <w:hideMark/>
          </w:tcPr>
          <w:p w14:paraId="2C1288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5E0073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96.40</w:t>
            </w:r>
          </w:p>
        </w:tc>
        <w:tc>
          <w:tcPr>
            <w:tcW w:w="1418" w:type="dxa"/>
            <w:gridSpan w:val="3"/>
            <w:tcBorders>
              <w:top w:val="nil"/>
              <w:left w:val="nil"/>
              <w:bottom w:val="nil"/>
              <w:right w:val="nil"/>
            </w:tcBorders>
            <w:shd w:val="clear" w:color="auto" w:fill="E5E5E5" w:themeFill="background1" w:themeFillTint="33"/>
            <w:noWrap/>
            <w:vAlign w:val="center"/>
            <w:hideMark/>
          </w:tcPr>
          <w:p w14:paraId="525A22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6E2B2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92.91</w:t>
            </w:r>
          </w:p>
        </w:tc>
        <w:tc>
          <w:tcPr>
            <w:tcW w:w="1276" w:type="dxa"/>
            <w:tcBorders>
              <w:top w:val="nil"/>
              <w:left w:val="nil"/>
              <w:bottom w:val="nil"/>
              <w:right w:val="nil"/>
            </w:tcBorders>
            <w:shd w:val="clear" w:color="auto" w:fill="E5E5E5" w:themeFill="background1" w:themeFillTint="33"/>
            <w:noWrap/>
            <w:vAlign w:val="center"/>
            <w:hideMark/>
          </w:tcPr>
          <w:p w14:paraId="21F219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FBF57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97.15</w:t>
            </w:r>
          </w:p>
        </w:tc>
        <w:tc>
          <w:tcPr>
            <w:tcW w:w="1276" w:type="dxa"/>
            <w:tcBorders>
              <w:top w:val="nil"/>
              <w:left w:val="nil"/>
              <w:bottom w:val="nil"/>
              <w:right w:val="nil"/>
            </w:tcBorders>
            <w:shd w:val="clear" w:color="auto" w:fill="E5E5E5" w:themeFill="background1" w:themeFillTint="33"/>
            <w:noWrap/>
            <w:vAlign w:val="center"/>
            <w:hideMark/>
          </w:tcPr>
          <w:p w14:paraId="4A8362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7DA34F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615203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c>
          <w:tcPr>
            <w:tcW w:w="1324" w:type="dxa"/>
            <w:tcBorders>
              <w:top w:val="nil"/>
              <w:left w:val="nil"/>
              <w:bottom w:val="nil"/>
              <w:right w:val="nil"/>
            </w:tcBorders>
            <w:shd w:val="clear" w:color="auto" w:fill="FFFFFF" w:themeFill="background2"/>
            <w:noWrap/>
            <w:vAlign w:val="center"/>
            <w:hideMark/>
          </w:tcPr>
          <w:p w14:paraId="22563A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97.70</w:t>
            </w:r>
          </w:p>
        </w:tc>
        <w:tc>
          <w:tcPr>
            <w:tcW w:w="1418" w:type="dxa"/>
            <w:gridSpan w:val="2"/>
            <w:tcBorders>
              <w:top w:val="nil"/>
              <w:left w:val="nil"/>
              <w:bottom w:val="nil"/>
              <w:right w:val="nil"/>
            </w:tcBorders>
            <w:shd w:val="clear" w:color="auto" w:fill="FFFFFF" w:themeFill="background2"/>
            <w:noWrap/>
            <w:vAlign w:val="center"/>
            <w:hideMark/>
          </w:tcPr>
          <w:p w14:paraId="611CA3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2C3AF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97.23</w:t>
            </w:r>
          </w:p>
        </w:tc>
        <w:tc>
          <w:tcPr>
            <w:tcW w:w="1276" w:type="dxa"/>
            <w:tcBorders>
              <w:top w:val="nil"/>
              <w:left w:val="nil"/>
              <w:bottom w:val="nil"/>
              <w:right w:val="nil"/>
            </w:tcBorders>
            <w:shd w:val="clear" w:color="auto" w:fill="FFFFFF" w:themeFill="background2"/>
            <w:noWrap/>
            <w:vAlign w:val="center"/>
            <w:hideMark/>
          </w:tcPr>
          <w:p w14:paraId="484219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AD379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96.48</w:t>
            </w:r>
          </w:p>
        </w:tc>
        <w:tc>
          <w:tcPr>
            <w:tcW w:w="1418" w:type="dxa"/>
            <w:gridSpan w:val="3"/>
            <w:tcBorders>
              <w:top w:val="nil"/>
              <w:left w:val="nil"/>
              <w:bottom w:val="nil"/>
              <w:right w:val="nil"/>
            </w:tcBorders>
            <w:shd w:val="clear" w:color="auto" w:fill="FFFFFF" w:themeFill="background2"/>
            <w:noWrap/>
            <w:vAlign w:val="center"/>
            <w:hideMark/>
          </w:tcPr>
          <w:p w14:paraId="0DDF40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8C4D2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92.98</w:t>
            </w:r>
          </w:p>
        </w:tc>
        <w:tc>
          <w:tcPr>
            <w:tcW w:w="1276" w:type="dxa"/>
            <w:tcBorders>
              <w:top w:val="nil"/>
              <w:left w:val="nil"/>
              <w:bottom w:val="nil"/>
              <w:right w:val="nil"/>
            </w:tcBorders>
            <w:shd w:val="clear" w:color="auto" w:fill="FFFFFF" w:themeFill="background2"/>
            <w:noWrap/>
            <w:vAlign w:val="center"/>
            <w:hideMark/>
          </w:tcPr>
          <w:p w14:paraId="41C9B2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71CD2D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97.24</w:t>
            </w:r>
          </w:p>
        </w:tc>
        <w:tc>
          <w:tcPr>
            <w:tcW w:w="1276" w:type="dxa"/>
            <w:tcBorders>
              <w:top w:val="nil"/>
              <w:left w:val="nil"/>
              <w:bottom w:val="nil"/>
              <w:right w:val="nil"/>
            </w:tcBorders>
            <w:shd w:val="clear" w:color="auto" w:fill="FFFFFF" w:themeFill="background2"/>
            <w:noWrap/>
            <w:vAlign w:val="center"/>
            <w:hideMark/>
          </w:tcPr>
          <w:p w14:paraId="6746F2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52EDB0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792EC3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324" w:type="dxa"/>
            <w:tcBorders>
              <w:top w:val="nil"/>
              <w:left w:val="nil"/>
              <w:bottom w:val="nil"/>
              <w:right w:val="nil"/>
            </w:tcBorders>
            <w:shd w:val="clear" w:color="auto" w:fill="E5E5E5" w:themeFill="background1" w:themeFillTint="33"/>
            <w:noWrap/>
            <w:vAlign w:val="center"/>
            <w:hideMark/>
          </w:tcPr>
          <w:p w14:paraId="120CAC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97.80</w:t>
            </w:r>
          </w:p>
        </w:tc>
        <w:tc>
          <w:tcPr>
            <w:tcW w:w="1418" w:type="dxa"/>
            <w:gridSpan w:val="2"/>
            <w:tcBorders>
              <w:top w:val="nil"/>
              <w:left w:val="nil"/>
              <w:bottom w:val="nil"/>
              <w:right w:val="nil"/>
            </w:tcBorders>
            <w:shd w:val="clear" w:color="auto" w:fill="E5E5E5" w:themeFill="background1" w:themeFillTint="33"/>
            <w:noWrap/>
            <w:vAlign w:val="center"/>
            <w:hideMark/>
          </w:tcPr>
          <w:p w14:paraId="0B41A9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711DC8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97.35</w:t>
            </w:r>
          </w:p>
        </w:tc>
        <w:tc>
          <w:tcPr>
            <w:tcW w:w="1276" w:type="dxa"/>
            <w:tcBorders>
              <w:top w:val="nil"/>
              <w:left w:val="nil"/>
              <w:bottom w:val="nil"/>
              <w:right w:val="nil"/>
            </w:tcBorders>
            <w:shd w:val="clear" w:color="auto" w:fill="E5E5E5" w:themeFill="background1" w:themeFillTint="33"/>
            <w:noWrap/>
            <w:vAlign w:val="center"/>
            <w:hideMark/>
          </w:tcPr>
          <w:p w14:paraId="1E9D87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1C513A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96.61</w:t>
            </w:r>
          </w:p>
        </w:tc>
        <w:tc>
          <w:tcPr>
            <w:tcW w:w="1418" w:type="dxa"/>
            <w:gridSpan w:val="3"/>
            <w:tcBorders>
              <w:top w:val="nil"/>
              <w:left w:val="nil"/>
              <w:bottom w:val="nil"/>
              <w:right w:val="nil"/>
            </w:tcBorders>
            <w:shd w:val="clear" w:color="auto" w:fill="E5E5E5" w:themeFill="background1" w:themeFillTint="33"/>
            <w:noWrap/>
            <w:vAlign w:val="center"/>
            <w:hideMark/>
          </w:tcPr>
          <w:p w14:paraId="732F0A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EB6AC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93.28</w:t>
            </w:r>
          </w:p>
        </w:tc>
        <w:tc>
          <w:tcPr>
            <w:tcW w:w="1276" w:type="dxa"/>
            <w:tcBorders>
              <w:top w:val="nil"/>
              <w:left w:val="nil"/>
              <w:bottom w:val="nil"/>
              <w:right w:val="nil"/>
            </w:tcBorders>
            <w:shd w:val="clear" w:color="auto" w:fill="E5E5E5" w:themeFill="background1" w:themeFillTint="33"/>
            <w:noWrap/>
            <w:vAlign w:val="center"/>
            <w:hideMark/>
          </w:tcPr>
          <w:p w14:paraId="70FB32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FD1E5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97.37</w:t>
            </w:r>
          </w:p>
        </w:tc>
        <w:tc>
          <w:tcPr>
            <w:tcW w:w="1276" w:type="dxa"/>
            <w:tcBorders>
              <w:top w:val="nil"/>
              <w:left w:val="nil"/>
              <w:bottom w:val="nil"/>
              <w:right w:val="nil"/>
            </w:tcBorders>
            <w:shd w:val="clear" w:color="auto" w:fill="E5E5E5" w:themeFill="background1" w:themeFillTint="33"/>
            <w:noWrap/>
            <w:vAlign w:val="center"/>
            <w:hideMark/>
          </w:tcPr>
          <w:p w14:paraId="624E69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445C462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21966F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w:t>
            </w:r>
          </w:p>
        </w:tc>
        <w:tc>
          <w:tcPr>
            <w:tcW w:w="1324" w:type="dxa"/>
            <w:tcBorders>
              <w:top w:val="nil"/>
              <w:left w:val="nil"/>
              <w:bottom w:val="nil"/>
              <w:right w:val="nil"/>
            </w:tcBorders>
            <w:shd w:val="clear" w:color="auto" w:fill="FFFFFF" w:themeFill="background2"/>
            <w:noWrap/>
            <w:vAlign w:val="center"/>
            <w:hideMark/>
          </w:tcPr>
          <w:p w14:paraId="234E72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97.91</w:t>
            </w:r>
          </w:p>
        </w:tc>
        <w:tc>
          <w:tcPr>
            <w:tcW w:w="1418" w:type="dxa"/>
            <w:gridSpan w:val="2"/>
            <w:tcBorders>
              <w:top w:val="nil"/>
              <w:left w:val="nil"/>
              <w:bottom w:val="nil"/>
              <w:right w:val="nil"/>
            </w:tcBorders>
            <w:shd w:val="clear" w:color="auto" w:fill="FFFFFF" w:themeFill="background2"/>
            <w:noWrap/>
            <w:vAlign w:val="center"/>
            <w:hideMark/>
          </w:tcPr>
          <w:p w14:paraId="137B99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7AB40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97.49</w:t>
            </w:r>
          </w:p>
        </w:tc>
        <w:tc>
          <w:tcPr>
            <w:tcW w:w="1276" w:type="dxa"/>
            <w:tcBorders>
              <w:top w:val="nil"/>
              <w:left w:val="nil"/>
              <w:bottom w:val="nil"/>
              <w:right w:val="nil"/>
            </w:tcBorders>
            <w:shd w:val="clear" w:color="auto" w:fill="FFFFFF" w:themeFill="background2"/>
            <w:noWrap/>
            <w:vAlign w:val="center"/>
            <w:hideMark/>
          </w:tcPr>
          <w:p w14:paraId="4FC89C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E2EFB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96.67</w:t>
            </w:r>
          </w:p>
        </w:tc>
        <w:tc>
          <w:tcPr>
            <w:tcW w:w="1418" w:type="dxa"/>
            <w:gridSpan w:val="3"/>
            <w:tcBorders>
              <w:top w:val="nil"/>
              <w:left w:val="nil"/>
              <w:bottom w:val="nil"/>
              <w:right w:val="nil"/>
            </w:tcBorders>
            <w:shd w:val="clear" w:color="auto" w:fill="FFFFFF" w:themeFill="background2"/>
            <w:noWrap/>
            <w:vAlign w:val="center"/>
            <w:hideMark/>
          </w:tcPr>
          <w:p w14:paraId="4B7AE8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548AE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93.62</w:t>
            </w:r>
          </w:p>
        </w:tc>
        <w:tc>
          <w:tcPr>
            <w:tcW w:w="1276" w:type="dxa"/>
            <w:tcBorders>
              <w:top w:val="nil"/>
              <w:left w:val="nil"/>
              <w:bottom w:val="nil"/>
              <w:right w:val="nil"/>
            </w:tcBorders>
            <w:shd w:val="clear" w:color="auto" w:fill="FFFFFF" w:themeFill="background2"/>
            <w:noWrap/>
            <w:vAlign w:val="center"/>
            <w:hideMark/>
          </w:tcPr>
          <w:p w14:paraId="106277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C7DCA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97.49</w:t>
            </w:r>
          </w:p>
        </w:tc>
        <w:tc>
          <w:tcPr>
            <w:tcW w:w="1276" w:type="dxa"/>
            <w:tcBorders>
              <w:top w:val="nil"/>
              <w:left w:val="nil"/>
              <w:bottom w:val="nil"/>
              <w:right w:val="nil"/>
            </w:tcBorders>
            <w:shd w:val="clear" w:color="auto" w:fill="FFFFFF" w:themeFill="background2"/>
            <w:noWrap/>
            <w:vAlign w:val="center"/>
            <w:hideMark/>
          </w:tcPr>
          <w:p w14:paraId="70CB5A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4E3865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2FC3C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w:t>
            </w:r>
          </w:p>
        </w:tc>
        <w:tc>
          <w:tcPr>
            <w:tcW w:w="1324" w:type="dxa"/>
            <w:tcBorders>
              <w:top w:val="nil"/>
              <w:left w:val="nil"/>
              <w:bottom w:val="nil"/>
              <w:right w:val="nil"/>
            </w:tcBorders>
            <w:shd w:val="clear" w:color="auto" w:fill="E5E5E5" w:themeFill="background1" w:themeFillTint="33"/>
            <w:noWrap/>
            <w:vAlign w:val="center"/>
            <w:hideMark/>
          </w:tcPr>
          <w:p w14:paraId="4197CE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97.99</w:t>
            </w:r>
          </w:p>
        </w:tc>
        <w:tc>
          <w:tcPr>
            <w:tcW w:w="1418" w:type="dxa"/>
            <w:gridSpan w:val="2"/>
            <w:tcBorders>
              <w:top w:val="nil"/>
              <w:left w:val="nil"/>
              <w:bottom w:val="nil"/>
              <w:right w:val="nil"/>
            </w:tcBorders>
            <w:shd w:val="clear" w:color="auto" w:fill="E5E5E5" w:themeFill="background1" w:themeFillTint="33"/>
            <w:noWrap/>
            <w:vAlign w:val="center"/>
            <w:hideMark/>
          </w:tcPr>
          <w:p w14:paraId="77C7DB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93E97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97.61</w:t>
            </w:r>
          </w:p>
        </w:tc>
        <w:tc>
          <w:tcPr>
            <w:tcW w:w="1276" w:type="dxa"/>
            <w:tcBorders>
              <w:top w:val="nil"/>
              <w:left w:val="nil"/>
              <w:bottom w:val="nil"/>
              <w:right w:val="nil"/>
            </w:tcBorders>
            <w:shd w:val="clear" w:color="auto" w:fill="E5E5E5" w:themeFill="background1" w:themeFillTint="33"/>
            <w:noWrap/>
            <w:vAlign w:val="center"/>
            <w:hideMark/>
          </w:tcPr>
          <w:p w14:paraId="0145E2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710E8D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96.76</w:t>
            </w:r>
          </w:p>
        </w:tc>
        <w:tc>
          <w:tcPr>
            <w:tcW w:w="1418" w:type="dxa"/>
            <w:gridSpan w:val="3"/>
            <w:tcBorders>
              <w:top w:val="nil"/>
              <w:left w:val="nil"/>
              <w:bottom w:val="nil"/>
              <w:right w:val="nil"/>
            </w:tcBorders>
            <w:shd w:val="clear" w:color="auto" w:fill="E5E5E5" w:themeFill="background1" w:themeFillTint="33"/>
            <w:noWrap/>
            <w:vAlign w:val="center"/>
            <w:hideMark/>
          </w:tcPr>
          <w:p w14:paraId="565B55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8FEB8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93.94</w:t>
            </w:r>
          </w:p>
        </w:tc>
        <w:tc>
          <w:tcPr>
            <w:tcW w:w="1276" w:type="dxa"/>
            <w:tcBorders>
              <w:top w:val="nil"/>
              <w:left w:val="nil"/>
              <w:bottom w:val="nil"/>
              <w:right w:val="nil"/>
            </w:tcBorders>
            <w:shd w:val="clear" w:color="auto" w:fill="E5E5E5" w:themeFill="background1" w:themeFillTint="33"/>
            <w:noWrap/>
            <w:vAlign w:val="center"/>
            <w:hideMark/>
          </w:tcPr>
          <w:p w14:paraId="2F0588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025C82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97.59</w:t>
            </w:r>
          </w:p>
        </w:tc>
        <w:tc>
          <w:tcPr>
            <w:tcW w:w="1276" w:type="dxa"/>
            <w:tcBorders>
              <w:top w:val="nil"/>
              <w:left w:val="nil"/>
              <w:bottom w:val="nil"/>
              <w:right w:val="nil"/>
            </w:tcBorders>
            <w:shd w:val="clear" w:color="auto" w:fill="E5E5E5" w:themeFill="background1" w:themeFillTint="33"/>
            <w:noWrap/>
            <w:vAlign w:val="center"/>
            <w:hideMark/>
          </w:tcPr>
          <w:p w14:paraId="320069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6D49149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37A59C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c>
          <w:tcPr>
            <w:tcW w:w="1324" w:type="dxa"/>
            <w:tcBorders>
              <w:top w:val="nil"/>
              <w:left w:val="nil"/>
              <w:bottom w:val="nil"/>
              <w:right w:val="nil"/>
            </w:tcBorders>
            <w:shd w:val="clear" w:color="auto" w:fill="FFFFFF" w:themeFill="background2"/>
            <w:noWrap/>
            <w:vAlign w:val="center"/>
            <w:hideMark/>
          </w:tcPr>
          <w:p w14:paraId="6778C0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98.07</w:t>
            </w:r>
          </w:p>
        </w:tc>
        <w:tc>
          <w:tcPr>
            <w:tcW w:w="1418" w:type="dxa"/>
            <w:gridSpan w:val="2"/>
            <w:tcBorders>
              <w:top w:val="nil"/>
              <w:left w:val="nil"/>
              <w:bottom w:val="nil"/>
              <w:right w:val="nil"/>
            </w:tcBorders>
            <w:shd w:val="clear" w:color="auto" w:fill="FFFFFF" w:themeFill="background2"/>
            <w:noWrap/>
            <w:vAlign w:val="center"/>
            <w:hideMark/>
          </w:tcPr>
          <w:p w14:paraId="1E84F4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DB721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97.67</w:t>
            </w:r>
          </w:p>
        </w:tc>
        <w:tc>
          <w:tcPr>
            <w:tcW w:w="1276" w:type="dxa"/>
            <w:tcBorders>
              <w:top w:val="nil"/>
              <w:left w:val="nil"/>
              <w:bottom w:val="nil"/>
              <w:right w:val="nil"/>
            </w:tcBorders>
            <w:shd w:val="clear" w:color="auto" w:fill="FFFFFF" w:themeFill="background2"/>
            <w:noWrap/>
            <w:vAlign w:val="center"/>
            <w:hideMark/>
          </w:tcPr>
          <w:p w14:paraId="25831C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31DA87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96.85</w:t>
            </w:r>
          </w:p>
        </w:tc>
        <w:tc>
          <w:tcPr>
            <w:tcW w:w="1418" w:type="dxa"/>
            <w:gridSpan w:val="3"/>
            <w:tcBorders>
              <w:top w:val="nil"/>
              <w:left w:val="nil"/>
              <w:bottom w:val="nil"/>
              <w:right w:val="nil"/>
            </w:tcBorders>
            <w:shd w:val="clear" w:color="auto" w:fill="FFFFFF" w:themeFill="background2"/>
            <w:noWrap/>
            <w:vAlign w:val="center"/>
            <w:hideMark/>
          </w:tcPr>
          <w:p w14:paraId="279053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6DD06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94.18</w:t>
            </w:r>
          </w:p>
        </w:tc>
        <w:tc>
          <w:tcPr>
            <w:tcW w:w="1276" w:type="dxa"/>
            <w:tcBorders>
              <w:top w:val="nil"/>
              <w:left w:val="nil"/>
              <w:bottom w:val="nil"/>
              <w:right w:val="nil"/>
            </w:tcBorders>
            <w:shd w:val="clear" w:color="auto" w:fill="FFFFFF" w:themeFill="background2"/>
            <w:noWrap/>
            <w:vAlign w:val="center"/>
            <w:hideMark/>
          </w:tcPr>
          <w:p w14:paraId="484062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6922B0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97.68</w:t>
            </w:r>
          </w:p>
        </w:tc>
        <w:tc>
          <w:tcPr>
            <w:tcW w:w="1276" w:type="dxa"/>
            <w:tcBorders>
              <w:top w:val="nil"/>
              <w:left w:val="nil"/>
              <w:bottom w:val="nil"/>
              <w:right w:val="nil"/>
            </w:tcBorders>
            <w:shd w:val="clear" w:color="auto" w:fill="FFFFFF" w:themeFill="background2"/>
            <w:noWrap/>
            <w:vAlign w:val="center"/>
            <w:hideMark/>
          </w:tcPr>
          <w:p w14:paraId="72C792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035224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7A70F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w:t>
            </w:r>
          </w:p>
        </w:tc>
        <w:tc>
          <w:tcPr>
            <w:tcW w:w="1324" w:type="dxa"/>
            <w:tcBorders>
              <w:top w:val="nil"/>
              <w:left w:val="nil"/>
              <w:bottom w:val="nil"/>
              <w:right w:val="nil"/>
            </w:tcBorders>
            <w:shd w:val="clear" w:color="auto" w:fill="E5E5E5" w:themeFill="background1" w:themeFillTint="33"/>
            <w:noWrap/>
            <w:vAlign w:val="center"/>
            <w:hideMark/>
          </w:tcPr>
          <w:p w14:paraId="4EF9B3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98.12</w:t>
            </w:r>
          </w:p>
        </w:tc>
        <w:tc>
          <w:tcPr>
            <w:tcW w:w="1418" w:type="dxa"/>
            <w:gridSpan w:val="2"/>
            <w:tcBorders>
              <w:top w:val="nil"/>
              <w:left w:val="nil"/>
              <w:bottom w:val="nil"/>
              <w:right w:val="nil"/>
            </w:tcBorders>
            <w:shd w:val="clear" w:color="auto" w:fill="E5E5E5" w:themeFill="background1" w:themeFillTint="33"/>
            <w:noWrap/>
            <w:vAlign w:val="center"/>
            <w:hideMark/>
          </w:tcPr>
          <w:p w14:paraId="5C6A00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9AD13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97.70</w:t>
            </w:r>
          </w:p>
        </w:tc>
        <w:tc>
          <w:tcPr>
            <w:tcW w:w="1276" w:type="dxa"/>
            <w:tcBorders>
              <w:top w:val="nil"/>
              <w:left w:val="nil"/>
              <w:bottom w:val="nil"/>
              <w:right w:val="nil"/>
            </w:tcBorders>
            <w:shd w:val="clear" w:color="auto" w:fill="E5E5E5" w:themeFill="background1" w:themeFillTint="33"/>
            <w:noWrap/>
            <w:vAlign w:val="center"/>
            <w:hideMark/>
          </w:tcPr>
          <w:p w14:paraId="2FD8F3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30FA72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96.91</w:t>
            </w:r>
          </w:p>
        </w:tc>
        <w:tc>
          <w:tcPr>
            <w:tcW w:w="1418" w:type="dxa"/>
            <w:gridSpan w:val="3"/>
            <w:tcBorders>
              <w:top w:val="nil"/>
              <w:left w:val="nil"/>
              <w:bottom w:val="nil"/>
              <w:right w:val="nil"/>
            </w:tcBorders>
            <w:shd w:val="clear" w:color="auto" w:fill="E5E5E5" w:themeFill="background1" w:themeFillTint="33"/>
            <w:noWrap/>
            <w:vAlign w:val="center"/>
            <w:hideMark/>
          </w:tcPr>
          <w:p w14:paraId="130620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6D192C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94.41</w:t>
            </w:r>
          </w:p>
        </w:tc>
        <w:tc>
          <w:tcPr>
            <w:tcW w:w="1276" w:type="dxa"/>
            <w:tcBorders>
              <w:top w:val="nil"/>
              <w:left w:val="nil"/>
              <w:bottom w:val="nil"/>
              <w:right w:val="nil"/>
            </w:tcBorders>
            <w:shd w:val="clear" w:color="auto" w:fill="E5E5E5" w:themeFill="background1" w:themeFillTint="33"/>
            <w:noWrap/>
            <w:vAlign w:val="center"/>
            <w:hideMark/>
          </w:tcPr>
          <w:p w14:paraId="79C979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13ACD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97.73</w:t>
            </w:r>
          </w:p>
        </w:tc>
        <w:tc>
          <w:tcPr>
            <w:tcW w:w="1276" w:type="dxa"/>
            <w:tcBorders>
              <w:top w:val="nil"/>
              <w:left w:val="nil"/>
              <w:bottom w:val="nil"/>
              <w:right w:val="nil"/>
            </w:tcBorders>
            <w:shd w:val="clear" w:color="auto" w:fill="E5E5E5" w:themeFill="background1" w:themeFillTint="33"/>
            <w:noWrap/>
            <w:vAlign w:val="center"/>
            <w:hideMark/>
          </w:tcPr>
          <w:p w14:paraId="07D84E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06B311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6170D4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w:t>
            </w:r>
          </w:p>
        </w:tc>
        <w:tc>
          <w:tcPr>
            <w:tcW w:w="1324" w:type="dxa"/>
            <w:tcBorders>
              <w:top w:val="nil"/>
              <w:left w:val="nil"/>
              <w:bottom w:val="nil"/>
              <w:right w:val="nil"/>
            </w:tcBorders>
            <w:shd w:val="clear" w:color="auto" w:fill="FFFFFF" w:themeFill="background2"/>
            <w:noWrap/>
            <w:vAlign w:val="center"/>
            <w:hideMark/>
          </w:tcPr>
          <w:p w14:paraId="4088F9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98.17</w:t>
            </w:r>
          </w:p>
        </w:tc>
        <w:tc>
          <w:tcPr>
            <w:tcW w:w="1418" w:type="dxa"/>
            <w:gridSpan w:val="2"/>
            <w:tcBorders>
              <w:top w:val="nil"/>
              <w:left w:val="nil"/>
              <w:bottom w:val="nil"/>
              <w:right w:val="nil"/>
            </w:tcBorders>
            <w:shd w:val="clear" w:color="auto" w:fill="FFFFFF" w:themeFill="background2"/>
            <w:noWrap/>
            <w:vAlign w:val="center"/>
            <w:hideMark/>
          </w:tcPr>
          <w:p w14:paraId="61D76E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0A798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97.81</w:t>
            </w:r>
          </w:p>
        </w:tc>
        <w:tc>
          <w:tcPr>
            <w:tcW w:w="1276" w:type="dxa"/>
            <w:tcBorders>
              <w:top w:val="nil"/>
              <w:left w:val="nil"/>
              <w:bottom w:val="nil"/>
              <w:right w:val="nil"/>
            </w:tcBorders>
            <w:shd w:val="clear" w:color="auto" w:fill="FFFFFF" w:themeFill="background2"/>
            <w:noWrap/>
            <w:vAlign w:val="center"/>
            <w:hideMark/>
          </w:tcPr>
          <w:p w14:paraId="588FD4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0EA88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97.01</w:t>
            </w:r>
          </w:p>
        </w:tc>
        <w:tc>
          <w:tcPr>
            <w:tcW w:w="1418" w:type="dxa"/>
            <w:gridSpan w:val="3"/>
            <w:tcBorders>
              <w:top w:val="nil"/>
              <w:left w:val="nil"/>
              <w:bottom w:val="nil"/>
              <w:right w:val="nil"/>
            </w:tcBorders>
            <w:shd w:val="clear" w:color="auto" w:fill="FFFFFF" w:themeFill="background2"/>
            <w:noWrap/>
            <w:vAlign w:val="center"/>
            <w:hideMark/>
          </w:tcPr>
          <w:p w14:paraId="607B2F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0EBC9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94.56</w:t>
            </w:r>
          </w:p>
        </w:tc>
        <w:tc>
          <w:tcPr>
            <w:tcW w:w="1276" w:type="dxa"/>
            <w:tcBorders>
              <w:top w:val="nil"/>
              <w:left w:val="nil"/>
              <w:bottom w:val="nil"/>
              <w:right w:val="nil"/>
            </w:tcBorders>
            <w:shd w:val="clear" w:color="auto" w:fill="FFFFFF" w:themeFill="background2"/>
            <w:noWrap/>
            <w:vAlign w:val="center"/>
            <w:hideMark/>
          </w:tcPr>
          <w:p w14:paraId="2093C6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603710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97.80</w:t>
            </w:r>
          </w:p>
        </w:tc>
        <w:tc>
          <w:tcPr>
            <w:tcW w:w="1276" w:type="dxa"/>
            <w:tcBorders>
              <w:top w:val="nil"/>
              <w:left w:val="nil"/>
              <w:bottom w:val="nil"/>
              <w:right w:val="nil"/>
            </w:tcBorders>
            <w:shd w:val="clear" w:color="auto" w:fill="FFFFFF" w:themeFill="background2"/>
            <w:noWrap/>
            <w:vAlign w:val="center"/>
            <w:hideMark/>
          </w:tcPr>
          <w:p w14:paraId="3B9363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526864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B45FE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w:t>
            </w:r>
          </w:p>
        </w:tc>
        <w:tc>
          <w:tcPr>
            <w:tcW w:w="1324" w:type="dxa"/>
            <w:tcBorders>
              <w:top w:val="nil"/>
              <w:left w:val="nil"/>
              <w:bottom w:val="nil"/>
              <w:right w:val="nil"/>
            </w:tcBorders>
            <w:shd w:val="clear" w:color="auto" w:fill="E5E5E5" w:themeFill="background1" w:themeFillTint="33"/>
            <w:noWrap/>
            <w:vAlign w:val="center"/>
            <w:hideMark/>
          </w:tcPr>
          <w:p w14:paraId="5740EC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98.24</w:t>
            </w:r>
          </w:p>
        </w:tc>
        <w:tc>
          <w:tcPr>
            <w:tcW w:w="1418" w:type="dxa"/>
            <w:gridSpan w:val="2"/>
            <w:tcBorders>
              <w:top w:val="nil"/>
              <w:left w:val="nil"/>
              <w:bottom w:val="nil"/>
              <w:right w:val="nil"/>
            </w:tcBorders>
            <w:shd w:val="clear" w:color="auto" w:fill="E5E5E5" w:themeFill="background1" w:themeFillTint="33"/>
            <w:noWrap/>
            <w:vAlign w:val="center"/>
            <w:hideMark/>
          </w:tcPr>
          <w:p w14:paraId="70C899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5ABBBC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97.87</w:t>
            </w:r>
          </w:p>
        </w:tc>
        <w:tc>
          <w:tcPr>
            <w:tcW w:w="1276" w:type="dxa"/>
            <w:tcBorders>
              <w:top w:val="nil"/>
              <w:left w:val="nil"/>
              <w:bottom w:val="nil"/>
              <w:right w:val="nil"/>
            </w:tcBorders>
            <w:shd w:val="clear" w:color="auto" w:fill="E5E5E5" w:themeFill="background1" w:themeFillTint="33"/>
            <w:noWrap/>
            <w:vAlign w:val="center"/>
            <w:hideMark/>
          </w:tcPr>
          <w:p w14:paraId="6F3CD3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0B85CA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97.11</w:t>
            </w:r>
          </w:p>
        </w:tc>
        <w:tc>
          <w:tcPr>
            <w:tcW w:w="1418" w:type="dxa"/>
            <w:gridSpan w:val="3"/>
            <w:tcBorders>
              <w:top w:val="nil"/>
              <w:left w:val="nil"/>
              <w:bottom w:val="nil"/>
              <w:right w:val="nil"/>
            </w:tcBorders>
            <w:shd w:val="clear" w:color="auto" w:fill="E5E5E5" w:themeFill="background1" w:themeFillTint="33"/>
            <w:noWrap/>
            <w:vAlign w:val="center"/>
            <w:hideMark/>
          </w:tcPr>
          <w:p w14:paraId="26A981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FD625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94.74</w:t>
            </w:r>
          </w:p>
        </w:tc>
        <w:tc>
          <w:tcPr>
            <w:tcW w:w="1276" w:type="dxa"/>
            <w:tcBorders>
              <w:top w:val="nil"/>
              <w:left w:val="nil"/>
              <w:bottom w:val="nil"/>
              <w:right w:val="nil"/>
            </w:tcBorders>
            <w:shd w:val="clear" w:color="auto" w:fill="E5E5E5" w:themeFill="background1" w:themeFillTint="33"/>
            <w:noWrap/>
            <w:vAlign w:val="center"/>
            <w:hideMark/>
          </w:tcPr>
          <w:p w14:paraId="656CA4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13FB97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97.88</w:t>
            </w:r>
          </w:p>
        </w:tc>
        <w:tc>
          <w:tcPr>
            <w:tcW w:w="1276" w:type="dxa"/>
            <w:tcBorders>
              <w:top w:val="nil"/>
              <w:left w:val="nil"/>
              <w:bottom w:val="nil"/>
              <w:right w:val="nil"/>
            </w:tcBorders>
            <w:shd w:val="clear" w:color="auto" w:fill="E5E5E5" w:themeFill="background1" w:themeFillTint="33"/>
            <w:noWrap/>
            <w:vAlign w:val="center"/>
            <w:hideMark/>
          </w:tcPr>
          <w:p w14:paraId="35F6B9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B903A5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1F97D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w:t>
            </w:r>
          </w:p>
        </w:tc>
        <w:tc>
          <w:tcPr>
            <w:tcW w:w="1324" w:type="dxa"/>
            <w:tcBorders>
              <w:top w:val="nil"/>
              <w:left w:val="nil"/>
              <w:bottom w:val="nil"/>
              <w:right w:val="nil"/>
            </w:tcBorders>
            <w:shd w:val="clear" w:color="auto" w:fill="FFFFFF" w:themeFill="background2"/>
            <w:noWrap/>
            <w:vAlign w:val="center"/>
            <w:hideMark/>
          </w:tcPr>
          <w:p w14:paraId="1B61A3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98.30</w:t>
            </w:r>
          </w:p>
        </w:tc>
        <w:tc>
          <w:tcPr>
            <w:tcW w:w="1418" w:type="dxa"/>
            <w:gridSpan w:val="2"/>
            <w:tcBorders>
              <w:top w:val="nil"/>
              <w:left w:val="nil"/>
              <w:bottom w:val="nil"/>
              <w:right w:val="nil"/>
            </w:tcBorders>
            <w:shd w:val="clear" w:color="auto" w:fill="FFFFFF" w:themeFill="background2"/>
            <w:noWrap/>
            <w:vAlign w:val="center"/>
            <w:hideMark/>
          </w:tcPr>
          <w:p w14:paraId="0BC29A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3AE6F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97.95</w:t>
            </w:r>
          </w:p>
        </w:tc>
        <w:tc>
          <w:tcPr>
            <w:tcW w:w="1276" w:type="dxa"/>
            <w:tcBorders>
              <w:top w:val="nil"/>
              <w:left w:val="nil"/>
              <w:bottom w:val="nil"/>
              <w:right w:val="nil"/>
            </w:tcBorders>
            <w:shd w:val="clear" w:color="auto" w:fill="FFFFFF" w:themeFill="background2"/>
            <w:noWrap/>
            <w:vAlign w:val="center"/>
            <w:hideMark/>
          </w:tcPr>
          <w:p w14:paraId="160202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662B80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97.22</w:t>
            </w:r>
          </w:p>
        </w:tc>
        <w:tc>
          <w:tcPr>
            <w:tcW w:w="1418" w:type="dxa"/>
            <w:gridSpan w:val="3"/>
            <w:tcBorders>
              <w:top w:val="nil"/>
              <w:left w:val="nil"/>
              <w:bottom w:val="nil"/>
              <w:right w:val="nil"/>
            </w:tcBorders>
            <w:shd w:val="clear" w:color="auto" w:fill="FFFFFF" w:themeFill="background2"/>
            <w:noWrap/>
            <w:vAlign w:val="center"/>
            <w:hideMark/>
          </w:tcPr>
          <w:p w14:paraId="2DFB05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11FCFB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94.97</w:t>
            </w:r>
          </w:p>
        </w:tc>
        <w:tc>
          <w:tcPr>
            <w:tcW w:w="1276" w:type="dxa"/>
            <w:tcBorders>
              <w:top w:val="nil"/>
              <w:left w:val="nil"/>
              <w:bottom w:val="nil"/>
              <w:right w:val="nil"/>
            </w:tcBorders>
            <w:shd w:val="clear" w:color="auto" w:fill="FFFFFF" w:themeFill="background2"/>
            <w:noWrap/>
            <w:vAlign w:val="center"/>
            <w:hideMark/>
          </w:tcPr>
          <w:p w14:paraId="315A25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6A6E5C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97.96</w:t>
            </w:r>
          </w:p>
        </w:tc>
        <w:tc>
          <w:tcPr>
            <w:tcW w:w="1276" w:type="dxa"/>
            <w:tcBorders>
              <w:top w:val="nil"/>
              <w:left w:val="nil"/>
              <w:bottom w:val="nil"/>
              <w:right w:val="nil"/>
            </w:tcBorders>
            <w:shd w:val="clear" w:color="auto" w:fill="FFFFFF" w:themeFill="background2"/>
            <w:noWrap/>
            <w:vAlign w:val="center"/>
            <w:hideMark/>
          </w:tcPr>
          <w:p w14:paraId="26EA0A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DCCE7F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71AD6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w:t>
            </w:r>
          </w:p>
        </w:tc>
        <w:tc>
          <w:tcPr>
            <w:tcW w:w="1324" w:type="dxa"/>
            <w:tcBorders>
              <w:top w:val="nil"/>
              <w:left w:val="nil"/>
              <w:bottom w:val="nil"/>
              <w:right w:val="nil"/>
            </w:tcBorders>
            <w:shd w:val="clear" w:color="auto" w:fill="E5E5E5" w:themeFill="background1" w:themeFillTint="33"/>
            <w:noWrap/>
            <w:vAlign w:val="center"/>
            <w:hideMark/>
          </w:tcPr>
          <w:p w14:paraId="0B955E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98.40</w:t>
            </w:r>
          </w:p>
        </w:tc>
        <w:tc>
          <w:tcPr>
            <w:tcW w:w="1418" w:type="dxa"/>
            <w:gridSpan w:val="2"/>
            <w:tcBorders>
              <w:top w:val="nil"/>
              <w:left w:val="nil"/>
              <w:bottom w:val="nil"/>
              <w:right w:val="nil"/>
            </w:tcBorders>
            <w:shd w:val="clear" w:color="auto" w:fill="E5E5E5" w:themeFill="background1" w:themeFillTint="33"/>
            <w:noWrap/>
            <w:vAlign w:val="center"/>
            <w:hideMark/>
          </w:tcPr>
          <w:p w14:paraId="7C4C66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A168B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98.06</w:t>
            </w:r>
          </w:p>
        </w:tc>
        <w:tc>
          <w:tcPr>
            <w:tcW w:w="1276" w:type="dxa"/>
            <w:tcBorders>
              <w:top w:val="nil"/>
              <w:left w:val="nil"/>
              <w:bottom w:val="nil"/>
              <w:right w:val="nil"/>
            </w:tcBorders>
            <w:shd w:val="clear" w:color="auto" w:fill="E5E5E5" w:themeFill="background1" w:themeFillTint="33"/>
            <w:noWrap/>
            <w:vAlign w:val="center"/>
            <w:hideMark/>
          </w:tcPr>
          <w:p w14:paraId="6E0436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32B75F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97.36</w:t>
            </w:r>
          </w:p>
        </w:tc>
        <w:tc>
          <w:tcPr>
            <w:tcW w:w="1418" w:type="dxa"/>
            <w:gridSpan w:val="3"/>
            <w:tcBorders>
              <w:top w:val="nil"/>
              <w:left w:val="nil"/>
              <w:bottom w:val="nil"/>
              <w:right w:val="nil"/>
            </w:tcBorders>
            <w:shd w:val="clear" w:color="auto" w:fill="E5E5E5" w:themeFill="background1" w:themeFillTint="33"/>
            <w:noWrap/>
            <w:vAlign w:val="center"/>
            <w:hideMark/>
          </w:tcPr>
          <w:p w14:paraId="3FE68C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AB2F4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95.17</w:t>
            </w:r>
          </w:p>
        </w:tc>
        <w:tc>
          <w:tcPr>
            <w:tcW w:w="1276" w:type="dxa"/>
            <w:tcBorders>
              <w:top w:val="nil"/>
              <w:left w:val="nil"/>
              <w:bottom w:val="nil"/>
              <w:right w:val="nil"/>
            </w:tcBorders>
            <w:shd w:val="clear" w:color="auto" w:fill="E5E5E5" w:themeFill="background1" w:themeFillTint="33"/>
            <w:noWrap/>
            <w:vAlign w:val="center"/>
            <w:hideMark/>
          </w:tcPr>
          <w:p w14:paraId="0E4771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65E1C7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98.07</w:t>
            </w:r>
          </w:p>
        </w:tc>
        <w:tc>
          <w:tcPr>
            <w:tcW w:w="1276" w:type="dxa"/>
            <w:tcBorders>
              <w:top w:val="nil"/>
              <w:left w:val="nil"/>
              <w:bottom w:val="nil"/>
              <w:right w:val="nil"/>
            </w:tcBorders>
            <w:shd w:val="clear" w:color="auto" w:fill="E5E5E5" w:themeFill="background1" w:themeFillTint="33"/>
            <w:noWrap/>
            <w:vAlign w:val="center"/>
            <w:hideMark/>
          </w:tcPr>
          <w:p w14:paraId="21B813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A628A8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28EB42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w:t>
            </w:r>
          </w:p>
        </w:tc>
        <w:tc>
          <w:tcPr>
            <w:tcW w:w="1324" w:type="dxa"/>
            <w:tcBorders>
              <w:top w:val="nil"/>
              <w:left w:val="nil"/>
              <w:bottom w:val="nil"/>
              <w:right w:val="nil"/>
            </w:tcBorders>
            <w:shd w:val="clear" w:color="auto" w:fill="FFFFFF" w:themeFill="background2"/>
            <w:noWrap/>
            <w:vAlign w:val="center"/>
            <w:hideMark/>
          </w:tcPr>
          <w:p w14:paraId="646102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98.49</w:t>
            </w:r>
          </w:p>
        </w:tc>
        <w:tc>
          <w:tcPr>
            <w:tcW w:w="1418" w:type="dxa"/>
            <w:gridSpan w:val="2"/>
            <w:tcBorders>
              <w:top w:val="nil"/>
              <w:left w:val="nil"/>
              <w:bottom w:val="nil"/>
              <w:right w:val="nil"/>
            </w:tcBorders>
            <w:shd w:val="clear" w:color="auto" w:fill="FFFFFF" w:themeFill="background2"/>
            <w:noWrap/>
            <w:vAlign w:val="center"/>
            <w:hideMark/>
          </w:tcPr>
          <w:p w14:paraId="789E69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0376B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98.14</w:t>
            </w:r>
          </w:p>
        </w:tc>
        <w:tc>
          <w:tcPr>
            <w:tcW w:w="1276" w:type="dxa"/>
            <w:tcBorders>
              <w:top w:val="nil"/>
              <w:left w:val="nil"/>
              <w:bottom w:val="nil"/>
              <w:right w:val="nil"/>
            </w:tcBorders>
            <w:shd w:val="clear" w:color="auto" w:fill="FFFFFF" w:themeFill="background2"/>
            <w:noWrap/>
            <w:vAlign w:val="center"/>
            <w:hideMark/>
          </w:tcPr>
          <w:p w14:paraId="1923E5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1129C9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97.50</w:t>
            </w:r>
          </w:p>
        </w:tc>
        <w:tc>
          <w:tcPr>
            <w:tcW w:w="1418" w:type="dxa"/>
            <w:gridSpan w:val="3"/>
            <w:tcBorders>
              <w:top w:val="nil"/>
              <w:left w:val="nil"/>
              <w:bottom w:val="nil"/>
              <w:right w:val="nil"/>
            </w:tcBorders>
            <w:shd w:val="clear" w:color="auto" w:fill="FFFFFF" w:themeFill="background2"/>
            <w:noWrap/>
            <w:vAlign w:val="center"/>
            <w:hideMark/>
          </w:tcPr>
          <w:p w14:paraId="0B225D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0709D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95.36</w:t>
            </w:r>
          </w:p>
        </w:tc>
        <w:tc>
          <w:tcPr>
            <w:tcW w:w="1276" w:type="dxa"/>
            <w:tcBorders>
              <w:top w:val="nil"/>
              <w:left w:val="nil"/>
              <w:bottom w:val="nil"/>
              <w:right w:val="nil"/>
            </w:tcBorders>
            <w:shd w:val="clear" w:color="auto" w:fill="FFFFFF" w:themeFill="background2"/>
            <w:noWrap/>
            <w:vAlign w:val="center"/>
            <w:hideMark/>
          </w:tcPr>
          <w:p w14:paraId="3B504D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12A996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98.16</w:t>
            </w:r>
          </w:p>
        </w:tc>
        <w:tc>
          <w:tcPr>
            <w:tcW w:w="1276" w:type="dxa"/>
            <w:tcBorders>
              <w:top w:val="nil"/>
              <w:left w:val="nil"/>
              <w:bottom w:val="nil"/>
              <w:right w:val="nil"/>
            </w:tcBorders>
            <w:shd w:val="clear" w:color="auto" w:fill="FFFFFF" w:themeFill="background2"/>
            <w:noWrap/>
            <w:vAlign w:val="center"/>
            <w:hideMark/>
          </w:tcPr>
          <w:p w14:paraId="0EF28E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977CB2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0169CB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w:t>
            </w:r>
          </w:p>
        </w:tc>
        <w:tc>
          <w:tcPr>
            <w:tcW w:w="1324" w:type="dxa"/>
            <w:tcBorders>
              <w:top w:val="nil"/>
              <w:left w:val="nil"/>
              <w:bottom w:val="nil"/>
              <w:right w:val="nil"/>
            </w:tcBorders>
            <w:shd w:val="clear" w:color="auto" w:fill="E5E5E5" w:themeFill="background1" w:themeFillTint="33"/>
            <w:noWrap/>
            <w:vAlign w:val="center"/>
            <w:hideMark/>
          </w:tcPr>
          <w:p w14:paraId="52C0AC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98.54</w:t>
            </w:r>
          </w:p>
        </w:tc>
        <w:tc>
          <w:tcPr>
            <w:tcW w:w="1418" w:type="dxa"/>
            <w:gridSpan w:val="2"/>
            <w:tcBorders>
              <w:top w:val="nil"/>
              <w:left w:val="nil"/>
              <w:bottom w:val="nil"/>
              <w:right w:val="nil"/>
            </w:tcBorders>
            <w:shd w:val="clear" w:color="auto" w:fill="E5E5E5" w:themeFill="background1" w:themeFillTint="33"/>
            <w:noWrap/>
            <w:vAlign w:val="center"/>
            <w:hideMark/>
          </w:tcPr>
          <w:p w14:paraId="44A836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044D0C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98.20</w:t>
            </w:r>
          </w:p>
        </w:tc>
        <w:tc>
          <w:tcPr>
            <w:tcW w:w="1276" w:type="dxa"/>
            <w:tcBorders>
              <w:top w:val="nil"/>
              <w:left w:val="nil"/>
              <w:bottom w:val="nil"/>
              <w:right w:val="nil"/>
            </w:tcBorders>
            <w:shd w:val="clear" w:color="auto" w:fill="E5E5E5" w:themeFill="background1" w:themeFillTint="33"/>
            <w:noWrap/>
            <w:vAlign w:val="center"/>
            <w:hideMark/>
          </w:tcPr>
          <w:p w14:paraId="1AF028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0A48DA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97.62</w:t>
            </w:r>
          </w:p>
        </w:tc>
        <w:tc>
          <w:tcPr>
            <w:tcW w:w="1418" w:type="dxa"/>
            <w:gridSpan w:val="3"/>
            <w:tcBorders>
              <w:top w:val="nil"/>
              <w:left w:val="nil"/>
              <w:bottom w:val="nil"/>
              <w:right w:val="nil"/>
            </w:tcBorders>
            <w:shd w:val="clear" w:color="auto" w:fill="E5E5E5" w:themeFill="background1" w:themeFillTint="33"/>
            <w:noWrap/>
            <w:vAlign w:val="center"/>
            <w:hideMark/>
          </w:tcPr>
          <w:p w14:paraId="27EFE6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96CAB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95.55</w:t>
            </w:r>
          </w:p>
        </w:tc>
        <w:tc>
          <w:tcPr>
            <w:tcW w:w="1276" w:type="dxa"/>
            <w:tcBorders>
              <w:top w:val="nil"/>
              <w:left w:val="nil"/>
              <w:bottom w:val="nil"/>
              <w:right w:val="nil"/>
            </w:tcBorders>
            <w:shd w:val="clear" w:color="auto" w:fill="E5E5E5" w:themeFill="background1" w:themeFillTint="33"/>
            <w:noWrap/>
            <w:vAlign w:val="center"/>
            <w:hideMark/>
          </w:tcPr>
          <w:p w14:paraId="18FA61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86CD6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98.23</w:t>
            </w:r>
          </w:p>
        </w:tc>
        <w:tc>
          <w:tcPr>
            <w:tcW w:w="1276" w:type="dxa"/>
            <w:tcBorders>
              <w:top w:val="nil"/>
              <w:left w:val="nil"/>
              <w:bottom w:val="nil"/>
              <w:right w:val="nil"/>
            </w:tcBorders>
            <w:shd w:val="clear" w:color="auto" w:fill="E5E5E5" w:themeFill="background1" w:themeFillTint="33"/>
            <w:noWrap/>
            <w:vAlign w:val="center"/>
            <w:hideMark/>
          </w:tcPr>
          <w:p w14:paraId="626435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8EC072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3B88E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w:t>
            </w:r>
          </w:p>
        </w:tc>
        <w:tc>
          <w:tcPr>
            <w:tcW w:w="1324" w:type="dxa"/>
            <w:tcBorders>
              <w:top w:val="nil"/>
              <w:left w:val="nil"/>
              <w:bottom w:val="nil"/>
              <w:right w:val="nil"/>
            </w:tcBorders>
            <w:shd w:val="clear" w:color="auto" w:fill="FFFFFF" w:themeFill="background2"/>
            <w:noWrap/>
            <w:vAlign w:val="center"/>
            <w:hideMark/>
          </w:tcPr>
          <w:p w14:paraId="1A4DF1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98.59</w:t>
            </w:r>
          </w:p>
        </w:tc>
        <w:tc>
          <w:tcPr>
            <w:tcW w:w="1418" w:type="dxa"/>
            <w:gridSpan w:val="2"/>
            <w:tcBorders>
              <w:top w:val="nil"/>
              <w:left w:val="nil"/>
              <w:bottom w:val="nil"/>
              <w:right w:val="nil"/>
            </w:tcBorders>
            <w:shd w:val="clear" w:color="auto" w:fill="FFFFFF" w:themeFill="background2"/>
            <w:noWrap/>
            <w:vAlign w:val="center"/>
            <w:hideMark/>
          </w:tcPr>
          <w:p w14:paraId="3B3E67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4127C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98.25</w:t>
            </w:r>
          </w:p>
        </w:tc>
        <w:tc>
          <w:tcPr>
            <w:tcW w:w="1276" w:type="dxa"/>
            <w:tcBorders>
              <w:top w:val="nil"/>
              <w:left w:val="nil"/>
              <w:bottom w:val="nil"/>
              <w:right w:val="nil"/>
            </w:tcBorders>
            <w:shd w:val="clear" w:color="auto" w:fill="FFFFFF" w:themeFill="background2"/>
            <w:noWrap/>
            <w:vAlign w:val="center"/>
            <w:hideMark/>
          </w:tcPr>
          <w:p w14:paraId="34465F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0AD248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97.71</w:t>
            </w:r>
          </w:p>
        </w:tc>
        <w:tc>
          <w:tcPr>
            <w:tcW w:w="1418" w:type="dxa"/>
            <w:gridSpan w:val="3"/>
            <w:tcBorders>
              <w:top w:val="nil"/>
              <w:left w:val="nil"/>
              <w:bottom w:val="nil"/>
              <w:right w:val="nil"/>
            </w:tcBorders>
            <w:shd w:val="clear" w:color="auto" w:fill="FFFFFF" w:themeFill="background2"/>
            <w:noWrap/>
            <w:vAlign w:val="center"/>
            <w:hideMark/>
          </w:tcPr>
          <w:p w14:paraId="40295F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E3976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95.62</w:t>
            </w:r>
          </w:p>
        </w:tc>
        <w:tc>
          <w:tcPr>
            <w:tcW w:w="1276" w:type="dxa"/>
            <w:tcBorders>
              <w:top w:val="nil"/>
              <w:left w:val="nil"/>
              <w:bottom w:val="nil"/>
              <w:right w:val="nil"/>
            </w:tcBorders>
            <w:shd w:val="clear" w:color="auto" w:fill="FFFFFF" w:themeFill="background2"/>
            <w:noWrap/>
            <w:vAlign w:val="center"/>
            <w:hideMark/>
          </w:tcPr>
          <w:p w14:paraId="4D896CD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2C211FD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98.28</w:t>
            </w:r>
          </w:p>
        </w:tc>
        <w:tc>
          <w:tcPr>
            <w:tcW w:w="1276" w:type="dxa"/>
            <w:tcBorders>
              <w:top w:val="nil"/>
              <w:left w:val="nil"/>
              <w:bottom w:val="nil"/>
              <w:right w:val="nil"/>
            </w:tcBorders>
            <w:shd w:val="clear" w:color="auto" w:fill="FFFFFF" w:themeFill="background2"/>
            <w:noWrap/>
            <w:vAlign w:val="center"/>
            <w:hideMark/>
          </w:tcPr>
          <w:p w14:paraId="0DD03E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7E93896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61DA24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w:t>
            </w:r>
          </w:p>
        </w:tc>
        <w:tc>
          <w:tcPr>
            <w:tcW w:w="1324" w:type="dxa"/>
            <w:tcBorders>
              <w:top w:val="nil"/>
              <w:left w:val="nil"/>
              <w:bottom w:val="nil"/>
              <w:right w:val="nil"/>
            </w:tcBorders>
            <w:shd w:val="clear" w:color="auto" w:fill="E5E5E5" w:themeFill="background1" w:themeFillTint="33"/>
            <w:noWrap/>
            <w:vAlign w:val="center"/>
            <w:hideMark/>
          </w:tcPr>
          <w:p w14:paraId="08BBEB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98.64</w:t>
            </w:r>
          </w:p>
        </w:tc>
        <w:tc>
          <w:tcPr>
            <w:tcW w:w="1418" w:type="dxa"/>
            <w:gridSpan w:val="2"/>
            <w:tcBorders>
              <w:top w:val="nil"/>
              <w:left w:val="nil"/>
              <w:bottom w:val="nil"/>
              <w:right w:val="nil"/>
            </w:tcBorders>
            <w:shd w:val="clear" w:color="auto" w:fill="E5E5E5" w:themeFill="background1" w:themeFillTint="33"/>
            <w:noWrap/>
            <w:vAlign w:val="center"/>
            <w:hideMark/>
          </w:tcPr>
          <w:p w14:paraId="2C401A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3248A5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98.30</w:t>
            </w:r>
          </w:p>
        </w:tc>
        <w:tc>
          <w:tcPr>
            <w:tcW w:w="1276" w:type="dxa"/>
            <w:tcBorders>
              <w:top w:val="nil"/>
              <w:left w:val="nil"/>
              <w:bottom w:val="nil"/>
              <w:right w:val="nil"/>
            </w:tcBorders>
            <w:shd w:val="clear" w:color="auto" w:fill="E5E5E5" w:themeFill="background1" w:themeFillTint="33"/>
            <w:noWrap/>
            <w:vAlign w:val="center"/>
            <w:hideMark/>
          </w:tcPr>
          <w:p w14:paraId="2810D4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28B6EB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97.73</w:t>
            </w:r>
          </w:p>
        </w:tc>
        <w:tc>
          <w:tcPr>
            <w:tcW w:w="1418" w:type="dxa"/>
            <w:gridSpan w:val="3"/>
            <w:tcBorders>
              <w:top w:val="nil"/>
              <w:left w:val="nil"/>
              <w:bottom w:val="nil"/>
              <w:right w:val="nil"/>
            </w:tcBorders>
            <w:shd w:val="clear" w:color="auto" w:fill="E5E5E5" w:themeFill="background1" w:themeFillTint="33"/>
            <w:noWrap/>
            <w:vAlign w:val="center"/>
            <w:hideMark/>
          </w:tcPr>
          <w:p w14:paraId="0C86DB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C9E26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95.87</w:t>
            </w:r>
          </w:p>
        </w:tc>
        <w:tc>
          <w:tcPr>
            <w:tcW w:w="1276" w:type="dxa"/>
            <w:tcBorders>
              <w:top w:val="nil"/>
              <w:left w:val="nil"/>
              <w:bottom w:val="nil"/>
              <w:right w:val="nil"/>
            </w:tcBorders>
            <w:shd w:val="clear" w:color="auto" w:fill="E5E5E5" w:themeFill="background1" w:themeFillTint="33"/>
            <w:noWrap/>
            <w:vAlign w:val="center"/>
            <w:hideMark/>
          </w:tcPr>
          <w:p w14:paraId="4A30D3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E2373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98.35</w:t>
            </w:r>
          </w:p>
        </w:tc>
        <w:tc>
          <w:tcPr>
            <w:tcW w:w="1276" w:type="dxa"/>
            <w:tcBorders>
              <w:top w:val="nil"/>
              <w:left w:val="nil"/>
              <w:bottom w:val="nil"/>
              <w:right w:val="nil"/>
            </w:tcBorders>
            <w:shd w:val="clear" w:color="auto" w:fill="E5E5E5" w:themeFill="background1" w:themeFillTint="33"/>
            <w:noWrap/>
            <w:vAlign w:val="center"/>
            <w:hideMark/>
          </w:tcPr>
          <w:p w14:paraId="411931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6E1E27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7D0BCA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w:t>
            </w:r>
          </w:p>
        </w:tc>
        <w:tc>
          <w:tcPr>
            <w:tcW w:w="1324" w:type="dxa"/>
            <w:tcBorders>
              <w:top w:val="nil"/>
              <w:left w:val="nil"/>
              <w:bottom w:val="nil"/>
              <w:right w:val="nil"/>
            </w:tcBorders>
            <w:shd w:val="clear" w:color="auto" w:fill="FFFFFF" w:themeFill="background2"/>
            <w:noWrap/>
            <w:vAlign w:val="center"/>
            <w:hideMark/>
          </w:tcPr>
          <w:p w14:paraId="485DC7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98.68</w:t>
            </w:r>
          </w:p>
        </w:tc>
        <w:tc>
          <w:tcPr>
            <w:tcW w:w="1418" w:type="dxa"/>
            <w:gridSpan w:val="2"/>
            <w:tcBorders>
              <w:top w:val="nil"/>
              <w:left w:val="nil"/>
              <w:bottom w:val="nil"/>
              <w:right w:val="nil"/>
            </w:tcBorders>
            <w:shd w:val="clear" w:color="auto" w:fill="FFFFFF" w:themeFill="background2"/>
            <w:noWrap/>
            <w:vAlign w:val="center"/>
            <w:hideMark/>
          </w:tcPr>
          <w:p w14:paraId="50AC92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771B9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98.40</w:t>
            </w:r>
          </w:p>
        </w:tc>
        <w:tc>
          <w:tcPr>
            <w:tcW w:w="1276" w:type="dxa"/>
            <w:tcBorders>
              <w:top w:val="nil"/>
              <w:left w:val="nil"/>
              <w:bottom w:val="nil"/>
              <w:right w:val="nil"/>
            </w:tcBorders>
            <w:shd w:val="clear" w:color="auto" w:fill="FFFFFF" w:themeFill="background2"/>
            <w:noWrap/>
            <w:vAlign w:val="center"/>
            <w:hideMark/>
          </w:tcPr>
          <w:p w14:paraId="30E9DA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167DC6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97.75</w:t>
            </w:r>
          </w:p>
        </w:tc>
        <w:tc>
          <w:tcPr>
            <w:tcW w:w="1418" w:type="dxa"/>
            <w:gridSpan w:val="3"/>
            <w:tcBorders>
              <w:top w:val="nil"/>
              <w:left w:val="nil"/>
              <w:bottom w:val="nil"/>
              <w:right w:val="nil"/>
            </w:tcBorders>
            <w:shd w:val="clear" w:color="auto" w:fill="FFFFFF" w:themeFill="background2"/>
            <w:noWrap/>
            <w:vAlign w:val="center"/>
            <w:hideMark/>
          </w:tcPr>
          <w:p w14:paraId="72422A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F6B2E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96.00</w:t>
            </w:r>
          </w:p>
        </w:tc>
        <w:tc>
          <w:tcPr>
            <w:tcW w:w="1276" w:type="dxa"/>
            <w:tcBorders>
              <w:top w:val="nil"/>
              <w:left w:val="nil"/>
              <w:bottom w:val="nil"/>
              <w:right w:val="nil"/>
            </w:tcBorders>
            <w:shd w:val="clear" w:color="auto" w:fill="FFFFFF" w:themeFill="background2"/>
            <w:noWrap/>
            <w:vAlign w:val="center"/>
            <w:hideMark/>
          </w:tcPr>
          <w:p w14:paraId="7DF1F1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5CCDE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98.40</w:t>
            </w:r>
          </w:p>
        </w:tc>
        <w:tc>
          <w:tcPr>
            <w:tcW w:w="1276" w:type="dxa"/>
            <w:tcBorders>
              <w:top w:val="nil"/>
              <w:left w:val="nil"/>
              <w:bottom w:val="nil"/>
              <w:right w:val="nil"/>
            </w:tcBorders>
            <w:shd w:val="clear" w:color="auto" w:fill="FFFFFF" w:themeFill="background2"/>
            <w:noWrap/>
            <w:vAlign w:val="center"/>
            <w:hideMark/>
          </w:tcPr>
          <w:p w14:paraId="5F9309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99F0EB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2BA39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w:t>
            </w:r>
          </w:p>
        </w:tc>
        <w:tc>
          <w:tcPr>
            <w:tcW w:w="1324" w:type="dxa"/>
            <w:tcBorders>
              <w:top w:val="nil"/>
              <w:left w:val="nil"/>
              <w:bottom w:val="nil"/>
              <w:right w:val="nil"/>
            </w:tcBorders>
            <w:shd w:val="clear" w:color="auto" w:fill="E5E5E5" w:themeFill="background1" w:themeFillTint="33"/>
            <w:noWrap/>
            <w:vAlign w:val="center"/>
            <w:hideMark/>
          </w:tcPr>
          <w:p w14:paraId="7D2A07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98.72</w:t>
            </w:r>
          </w:p>
        </w:tc>
        <w:tc>
          <w:tcPr>
            <w:tcW w:w="1418" w:type="dxa"/>
            <w:gridSpan w:val="2"/>
            <w:tcBorders>
              <w:top w:val="nil"/>
              <w:left w:val="nil"/>
              <w:bottom w:val="nil"/>
              <w:right w:val="nil"/>
            </w:tcBorders>
            <w:shd w:val="clear" w:color="auto" w:fill="E5E5E5" w:themeFill="background1" w:themeFillTint="33"/>
            <w:noWrap/>
            <w:vAlign w:val="center"/>
            <w:hideMark/>
          </w:tcPr>
          <w:p w14:paraId="5081AE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A1647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98.45</w:t>
            </w:r>
          </w:p>
        </w:tc>
        <w:tc>
          <w:tcPr>
            <w:tcW w:w="1276" w:type="dxa"/>
            <w:tcBorders>
              <w:top w:val="nil"/>
              <w:left w:val="nil"/>
              <w:bottom w:val="nil"/>
              <w:right w:val="nil"/>
            </w:tcBorders>
            <w:shd w:val="clear" w:color="auto" w:fill="E5E5E5" w:themeFill="background1" w:themeFillTint="33"/>
            <w:noWrap/>
            <w:vAlign w:val="center"/>
            <w:hideMark/>
          </w:tcPr>
          <w:p w14:paraId="63D375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425132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97.86</w:t>
            </w:r>
          </w:p>
        </w:tc>
        <w:tc>
          <w:tcPr>
            <w:tcW w:w="1418" w:type="dxa"/>
            <w:gridSpan w:val="3"/>
            <w:tcBorders>
              <w:top w:val="nil"/>
              <w:left w:val="nil"/>
              <w:bottom w:val="nil"/>
              <w:right w:val="nil"/>
            </w:tcBorders>
            <w:shd w:val="clear" w:color="auto" w:fill="E5E5E5" w:themeFill="background1" w:themeFillTint="33"/>
            <w:noWrap/>
            <w:vAlign w:val="center"/>
            <w:hideMark/>
          </w:tcPr>
          <w:p w14:paraId="401601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7563C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96.18</w:t>
            </w:r>
          </w:p>
        </w:tc>
        <w:tc>
          <w:tcPr>
            <w:tcW w:w="1276" w:type="dxa"/>
            <w:tcBorders>
              <w:top w:val="nil"/>
              <w:left w:val="nil"/>
              <w:bottom w:val="nil"/>
              <w:right w:val="nil"/>
            </w:tcBorders>
            <w:shd w:val="clear" w:color="auto" w:fill="E5E5E5" w:themeFill="background1" w:themeFillTint="33"/>
            <w:noWrap/>
            <w:vAlign w:val="center"/>
            <w:hideMark/>
          </w:tcPr>
          <w:p w14:paraId="3256C1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454E40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98.46</w:t>
            </w:r>
          </w:p>
        </w:tc>
        <w:tc>
          <w:tcPr>
            <w:tcW w:w="1276" w:type="dxa"/>
            <w:tcBorders>
              <w:top w:val="nil"/>
              <w:left w:val="nil"/>
              <w:bottom w:val="nil"/>
              <w:right w:val="nil"/>
            </w:tcBorders>
            <w:shd w:val="clear" w:color="auto" w:fill="E5E5E5" w:themeFill="background1" w:themeFillTint="33"/>
            <w:noWrap/>
            <w:vAlign w:val="center"/>
            <w:hideMark/>
          </w:tcPr>
          <w:p w14:paraId="661BF5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5439158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605AB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w:t>
            </w:r>
          </w:p>
        </w:tc>
        <w:tc>
          <w:tcPr>
            <w:tcW w:w="1324" w:type="dxa"/>
            <w:tcBorders>
              <w:top w:val="nil"/>
              <w:left w:val="nil"/>
              <w:bottom w:val="nil"/>
              <w:right w:val="nil"/>
            </w:tcBorders>
            <w:shd w:val="clear" w:color="auto" w:fill="FFFFFF" w:themeFill="background2"/>
            <w:noWrap/>
            <w:vAlign w:val="center"/>
            <w:hideMark/>
          </w:tcPr>
          <w:p w14:paraId="62A164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98.79</w:t>
            </w:r>
          </w:p>
        </w:tc>
        <w:tc>
          <w:tcPr>
            <w:tcW w:w="1418" w:type="dxa"/>
            <w:gridSpan w:val="2"/>
            <w:tcBorders>
              <w:top w:val="nil"/>
              <w:left w:val="nil"/>
              <w:bottom w:val="nil"/>
              <w:right w:val="nil"/>
            </w:tcBorders>
            <w:shd w:val="clear" w:color="auto" w:fill="FFFFFF" w:themeFill="background2"/>
            <w:noWrap/>
            <w:vAlign w:val="center"/>
            <w:hideMark/>
          </w:tcPr>
          <w:p w14:paraId="648E3F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402855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98.49</w:t>
            </w:r>
          </w:p>
        </w:tc>
        <w:tc>
          <w:tcPr>
            <w:tcW w:w="1276" w:type="dxa"/>
            <w:tcBorders>
              <w:top w:val="nil"/>
              <w:left w:val="nil"/>
              <w:bottom w:val="nil"/>
              <w:right w:val="nil"/>
            </w:tcBorders>
            <w:shd w:val="clear" w:color="auto" w:fill="FFFFFF" w:themeFill="background2"/>
            <w:noWrap/>
            <w:vAlign w:val="center"/>
            <w:hideMark/>
          </w:tcPr>
          <w:p w14:paraId="6660C9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2A1A3E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97.93</w:t>
            </w:r>
          </w:p>
        </w:tc>
        <w:tc>
          <w:tcPr>
            <w:tcW w:w="1418" w:type="dxa"/>
            <w:gridSpan w:val="3"/>
            <w:tcBorders>
              <w:top w:val="nil"/>
              <w:left w:val="nil"/>
              <w:bottom w:val="nil"/>
              <w:right w:val="nil"/>
            </w:tcBorders>
            <w:shd w:val="clear" w:color="auto" w:fill="FFFFFF" w:themeFill="background2"/>
            <w:noWrap/>
            <w:vAlign w:val="center"/>
            <w:hideMark/>
          </w:tcPr>
          <w:p w14:paraId="4BEAA0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030B88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96.35</w:t>
            </w:r>
          </w:p>
        </w:tc>
        <w:tc>
          <w:tcPr>
            <w:tcW w:w="1276" w:type="dxa"/>
            <w:tcBorders>
              <w:top w:val="nil"/>
              <w:left w:val="nil"/>
              <w:bottom w:val="nil"/>
              <w:right w:val="nil"/>
            </w:tcBorders>
            <w:shd w:val="clear" w:color="auto" w:fill="FFFFFF" w:themeFill="background2"/>
            <w:noWrap/>
            <w:vAlign w:val="center"/>
            <w:hideMark/>
          </w:tcPr>
          <w:p w14:paraId="6C8894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EB49E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98.52</w:t>
            </w:r>
          </w:p>
        </w:tc>
        <w:tc>
          <w:tcPr>
            <w:tcW w:w="1276" w:type="dxa"/>
            <w:tcBorders>
              <w:top w:val="nil"/>
              <w:left w:val="nil"/>
              <w:bottom w:val="nil"/>
              <w:right w:val="nil"/>
            </w:tcBorders>
            <w:shd w:val="clear" w:color="auto" w:fill="FFFFFF" w:themeFill="background2"/>
            <w:noWrap/>
            <w:vAlign w:val="center"/>
            <w:hideMark/>
          </w:tcPr>
          <w:p w14:paraId="022157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D7A434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2CFC5B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w:t>
            </w:r>
          </w:p>
        </w:tc>
        <w:tc>
          <w:tcPr>
            <w:tcW w:w="1324" w:type="dxa"/>
            <w:tcBorders>
              <w:top w:val="nil"/>
              <w:left w:val="nil"/>
              <w:bottom w:val="nil"/>
              <w:right w:val="nil"/>
            </w:tcBorders>
            <w:shd w:val="clear" w:color="auto" w:fill="E5E5E5" w:themeFill="background1" w:themeFillTint="33"/>
            <w:noWrap/>
            <w:vAlign w:val="center"/>
            <w:hideMark/>
          </w:tcPr>
          <w:p w14:paraId="6859A9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98.86</w:t>
            </w:r>
          </w:p>
        </w:tc>
        <w:tc>
          <w:tcPr>
            <w:tcW w:w="1418" w:type="dxa"/>
            <w:gridSpan w:val="2"/>
            <w:tcBorders>
              <w:top w:val="nil"/>
              <w:left w:val="nil"/>
              <w:bottom w:val="nil"/>
              <w:right w:val="nil"/>
            </w:tcBorders>
            <w:shd w:val="clear" w:color="auto" w:fill="E5E5E5" w:themeFill="background1" w:themeFillTint="33"/>
            <w:noWrap/>
            <w:vAlign w:val="center"/>
            <w:hideMark/>
          </w:tcPr>
          <w:p w14:paraId="52C677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2E4F6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98.56</w:t>
            </w:r>
          </w:p>
        </w:tc>
        <w:tc>
          <w:tcPr>
            <w:tcW w:w="1276" w:type="dxa"/>
            <w:tcBorders>
              <w:top w:val="nil"/>
              <w:left w:val="nil"/>
              <w:bottom w:val="nil"/>
              <w:right w:val="nil"/>
            </w:tcBorders>
            <w:shd w:val="clear" w:color="auto" w:fill="E5E5E5" w:themeFill="background1" w:themeFillTint="33"/>
            <w:noWrap/>
            <w:vAlign w:val="center"/>
            <w:hideMark/>
          </w:tcPr>
          <w:p w14:paraId="44CC83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74DA38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98.00</w:t>
            </w:r>
          </w:p>
        </w:tc>
        <w:tc>
          <w:tcPr>
            <w:tcW w:w="1418" w:type="dxa"/>
            <w:gridSpan w:val="3"/>
            <w:tcBorders>
              <w:top w:val="nil"/>
              <w:left w:val="nil"/>
              <w:bottom w:val="nil"/>
              <w:right w:val="nil"/>
            </w:tcBorders>
            <w:shd w:val="clear" w:color="auto" w:fill="E5E5E5" w:themeFill="background1" w:themeFillTint="33"/>
            <w:noWrap/>
            <w:vAlign w:val="center"/>
            <w:hideMark/>
          </w:tcPr>
          <w:p w14:paraId="72B17D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1E2ACA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96.41</w:t>
            </w:r>
          </w:p>
        </w:tc>
        <w:tc>
          <w:tcPr>
            <w:tcW w:w="1276" w:type="dxa"/>
            <w:tcBorders>
              <w:top w:val="nil"/>
              <w:left w:val="nil"/>
              <w:bottom w:val="nil"/>
              <w:right w:val="nil"/>
            </w:tcBorders>
            <w:shd w:val="clear" w:color="auto" w:fill="E5E5E5" w:themeFill="background1" w:themeFillTint="33"/>
            <w:noWrap/>
            <w:vAlign w:val="center"/>
            <w:hideMark/>
          </w:tcPr>
          <w:p w14:paraId="6A9E5B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581C00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98.59</w:t>
            </w:r>
          </w:p>
        </w:tc>
        <w:tc>
          <w:tcPr>
            <w:tcW w:w="1276" w:type="dxa"/>
            <w:tcBorders>
              <w:top w:val="nil"/>
              <w:left w:val="nil"/>
              <w:bottom w:val="nil"/>
              <w:right w:val="nil"/>
            </w:tcBorders>
            <w:shd w:val="clear" w:color="auto" w:fill="E5E5E5" w:themeFill="background1" w:themeFillTint="33"/>
            <w:noWrap/>
            <w:vAlign w:val="center"/>
            <w:hideMark/>
          </w:tcPr>
          <w:p w14:paraId="453F6E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1F24230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673AB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w:t>
            </w:r>
          </w:p>
        </w:tc>
        <w:tc>
          <w:tcPr>
            <w:tcW w:w="1324" w:type="dxa"/>
            <w:tcBorders>
              <w:top w:val="nil"/>
              <w:left w:val="nil"/>
              <w:bottom w:val="nil"/>
              <w:right w:val="nil"/>
            </w:tcBorders>
            <w:shd w:val="clear" w:color="auto" w:fill="FFFFFF" w:themeFill="background2"/>
            <w:noWrap/>
            <w:vAlign w:val="center"/>
            <w:hideMark/>
          </w:tcPr>
          <w:p w14:paraId="5E89E3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98.91</w:t>
            </w:r>
          </w:p>
        </w:tc>
        <w:tc>
          <w:tcPr>
            <w:tcW w:w="1418" w:type="dxa"/>
            <w:gridSpan w:val="2"/>
            <w:tcBorders>
              <w:top w:val="nil"/>
              <w:left w:val="nil"/>
              <w:bottom w:val="nil"/>
              <w:right w:val="nil"/>
            </w:tcBorders>
            <w:shd w:val="clear" w:color="auto" w:fill="FFFFFF" w:themeFill="background2"/>
            <w:noWrap/>
            <w:vAlign w:val="center"/>
            <w:hideMark/>
          </w:tcPr>
          <w:p w14:paraId="6AE56D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7EB943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98.62</w:t>
            </w:r>
          </w:p>
        </w:tc>
        <w:tc>
          <w:tcPr>
            <w:tcW w:w="1276" w:type="dxa"/>
            <w:tcBorders>
              <w:top w:val="nil"/>
              <w:left w:val="nil"/>
              <w:bottom w:val="nil"/>
              <w:right w:val="nil"/>
            </w:tcBorders>
            <w:shd w:val="clear" w:color="auto" w:fill="FFFFFF" w:themeFill="background2"/>
            <w:noWrap/>
            <w:vAlign w:val="center"/>
            <w:hideMark/>
          </w:tcPr>
          <w:p w14:paraId="24650E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53F38E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98.08</w:t>
            </w:r>
          </w:p>
        </w:tc>
        <w:tc>
          <w:tcPr>
            <w:tcW w:w="1418" w:type="dxa"/>
            <w:gridSpan w:val="3"/>
            <w:tcBorders>
              <w:top w:val="nil"/>
              <w:left w:val="nil"/>
              <w:bottom w:val="nil"/>
              <w:right w:val="nil"/>
            </w:tcBorders>
            <w:shd w:val="clear" w:color="auto" w:fill="FFFFFF" w:themeFill="background2"/>
            <w:noWrap/>
            <w:vAlign w:val="center"/>
            <w:hideMark/>
          </w:tcPr>
          <w:p w14:paraId="41A7F7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63C6DC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96.52</w:t>
            </w:r>
          </w:p>
        </w:tc>
        <w:tc>
          <w:tcPr>
            <w:tcW w:w="1276" w:type="dxa"/>
            <w:tcBorders>
              <w:top w:val="nil"/>
              <w:left w:val="nil"/>
              <w:bottom w:val="nil"/>
              <w:right w:val="nil"/>
            </w:tcBorders>
            <w:shd w:val="clear" w:color="auto" w:fill="FFFFFF" w:themeFill="background2"/>
            <w:noWrap/>
            <w:vAlign w:val="center"/>
            <w:hideMark/>
          </w:tcPr>
          <w:p w14:paraId="5F0E95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4D827A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98.65</w:t>
            </w:r>
          </w:p>
        </w:tc>
        <w:tc>
          <w:tcPr>
            <w:tcW w:w="1276" w:type="dxa"/>
            <w:tcBorders>
              <w:top w:val="nil"/>
              <w:left w:val="nil"/>
              <w:bottom w:val="nil"/>
              <w:right w:val="nil"/>
            </w:tcBorders>
            <w:shd w:val="clear" w:color="auto" w:fill="FFFFFF" w:themeFill="background2"/>
            <w:noWrap/>
            <w:vAlign w:val="center"/>
            <w:hideMark/>
          </w:tcPr>
          <w:p w14:paraId="21A702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EF472B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E5E5E5" w:themeFill="background1" w:themeFillTint="33"/>
            <w:noWrap/>
            <w:vAlign w:val="center"/>
            <w:hideMark/>
          </w:tcPr>
          <w:p w14:paraId="4861B8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w:t>
            </w:r>
          </w:p>
        </w:tc>
        <w:tc>
          <w:tcPr>
            <w:tcW w:w="1324" w:type="dxa"/>
            <w:tcBorders>
              <w:top w:val="nil"/>
              <w:left w:val="nil"/>
              <w:bottom w:val="nil"/>
              <w:right w:val="nil"/>
            </w:tcBorders>
            <w:shd w:val="clear" w:color="auto" w:fill="E5E5E5" w:themeFill="background1" w:themeFillTint="33"/>
            <w:noWrap/>
            <w:vAlign w:val="center"/>
            <w:hideMark/>
          </w:tcPr>
          <w:p w14:paraId="67E002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98.96</w:t>
            </w:r>
          </w:p>
        </w:tc>
        <w:tc>
          <w:tcPr>
            <w:tcW w:w="1418" w:type="dxa"/>
            <w:gridSpan w:val="2"/>
            <w:tcBorders>
              <w:top w:val="nil"/>
              <w:left w:val="nil"/>
              <w:bottom w:val="nil"/>
              <w:right w:val="nil"/>
            </w:tcBorders>
            <w:shd w:val="clear" w:color="auto" w:fill="E5E5E5" w:themeFill="background1" w:themeFillTint="33"/>
            <w:noWrap/>
            <w:vAlign w:val="center"/>
            <w:hideMark/>
          </w:tcPr>
          <w:p w14:paraId="17C61E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2684EB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98.65</w:t>
            </w:r>
          </w:p>
        </w:tc>
        <w:tc>
          <w:tcPr>
            <w:tcW w:w="1276" w:type="dxa"/>
            <w:tcBorders>
              <w:top w:val="nil"/>
              <w:left w:val="nil"/>
              <w:bottom w:val="nil"/>
              <w:right w:val="nil"/>
            </w:tcBorders>
            <w:shd w:val="clear" w:color="auto" w:fill="E5E5E5" w:themeFill="background1" w:themeFillTint="33"/>
            <w:noWrap/>
            <w:vAlign w:val="center"/>
            <w:hideMark/>
          </w:tcPr>
          <w:p w14:paraId="544D64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E5E5E5" w:themeFill="background1" w:themeFillTint="33"/>
            <w:noWrap/>
            <w:vAlign w:val="center"/>
            <w:hideMark/>
          </w:tcPr>
          <w:p w14:paraId="3825B6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98.14</w:t>
            </w:r>
          </w:p>
        </w:tc>
        <w:tc>
          <w:tcPr>
            <w:tcW w:w="1418" w:type="dxa"/>
            <w:gridSpan w:val="3"/>
            <w:tcBorders>
              <w:top w:val="nil"/>
              <w:left w:val="nil"/>
              <w:bottom w:val="nil"/>
              <w:right w:val="nil"/>
            </w:tcBorders>
            <w:shd w:val="clear" w:color="auto" w:fill="E5E5E5" w:themeFill="background1" w:themeFillTint="33"/>
            <w:noWrap/>
            <w:vAlign w:val="center"/>
            <w:hideMark/>
          </w:tcPr>
          <w:p w14:paraId="19E00D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E5E5E5" w:themeFill="background1" w:themeFillTint="33"/>
            <w:noWrap/>
            <w:vAlign w:val="center"/>
            <w:hideMark/>
          </w:tcPr>
          <w:p w14:paraId="4375EB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96.61</w:t>
            </w:r>
          </w:p>
        </w:tc>
        <w:tc>
          <w:tcPr>
            <w:tcW w:w="1276" w:type="dxa"/>
            <w:tcBorders>
              <w:top w:val="nil"/>
              <w:left w:val="nil"/>
              <w:bottom w:val="nil"/>
              <w:right w:val="nil"/>
            </w:tcBorders>
            <w:shd w:val="clear" w:color="auto" w:fill="E5E5E5" w:themeFill="background1" w:themeFillTint="33"/>
            <w:noWrap/>
            <w:vAlign w:val="center"/>
            <w:hideMark/>
          </w:tcPr>
          <w:p w14:paraId="1DD142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E5E5E5" w:themeFill="background1" w:themeFillTint="33"/>
            <w:noWrap/>
            <w:vAlign w:val="center"/>
            <w:hideMark/>
          </w:tcPr>
          <w:p w14:paraId="7FE7FB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98.70</w:t>
            </w:r>
          </w:p>
        </w:tc>
        <w:tc>
          <w:tcPr>
            <w:tcW w:w="1276" w:type="dxa"/>
            <w:tcBorders>
              <w:top w:val="nil"/>
              <w:left w:val="nil"/>
              <w:bottom w:val="nil"/>
              <w:right w:val="nil"/>
            </w:tcBorders>
            <w:shd w:val="clear" w:color="auto" w:fill="E5E5E5" w:themeFill="background1" w:themeFillTint="33"/>
            <w:noWrap/>
            <w:vAlign w:val="center"/>
            <w:hideMark/>
          </w:tcPr>
          <w:p w14:paraId="019EAA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009BB96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nil"/>
              <w:right w:val="nil"/>
            </w:tcBorders>
            <w:shd w:val="clear" w:color="auto" w:fill="FFFFFF" w:themeFill="background2"/>
            <w:noWrap/>
            <w:vAlign w:val="center"/>
            <w:hideMark/>
          </w:tcPr>
          <w:p w14:paraId="42E1D0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w:t>
            </w:r>
          </w:p>
        </w:tc>
        <w:tc>
          <w:tcPr>
            <w:tcW w:w="1324" w:type="dxa"/>
            <w:tcBorders>
              <w:top w:val="nil"/>
              <w:left w:val="nil"/>
              <w:bottom w:val="nil"/>
              <w:right w:val="nil"/>
            </w:tcBorders>
            <w:shd w:val="clear" w:color="auto" w:fill="FFFFFF" w:themeFill="background2"/>
            <w:noWrap/>
            <w:vAlign w:val="center"/>
            <w:hideMark/>
          </w:tcPr>
          <w:p w14:paraId="6C187E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98.99</w:t>
            </w:r>
          </w:p>
        </w:tc>
        <w:tc>
          <w:tcPr>
            <w:tcW w:w="1418" w:type="dxa"/>
            <w:gridSpan w:val="2"/>
            <w:tcBorders>
              <w:top w:val="nil"/>
              <w:left w:val="nil"/>
              <w:bottom w:val="nil"/>
              <w:right w:val="nil"/>
            </w:tcBorders>
            <w:shd w:val="clear" w:color="auto" w:fill="FFFFFF" w:themeFill="background2"/>
            <w:noWrap/>
            <w:vAlign w:val="center"/>
            <w:hideMark/>
          </w:tcPr>
          <w:p w14:paraId="02C041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4AD4E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98.72</w:t>
            </w:r>
          </w:p>
        </w:tc>
        <w:tc>
          <w:tcPr>
            <w:tcW w:w="1276" w:type="dxa"/>
            <w:tcBorders>
              <w:top w:val="nil"/>
              <w:left w:val="nil"/>
              <w:bottom w:val="nil"/>
              <w:right w:val="nil"/>
            </w:tcBorders>
            <w:shd w:val="clear" w:color="auto" w:fill="FFFFFF" w:themeFill="background2"/>
            <w:noWrap/>
            <w:vAlign w:val="center"/>
            <w:hideMark/>
          </w:tcPr>
          <w:p w14:paraId="27B304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nil"/>
              <w:right w:val="nil"/>
            </w:tcBorders>
            <w:shd w:val="clear" w:color="auto" w:fill="FFFFFF" w:themeFill="background2"/>
            <w:noWrap/>
            <w:vAlign w:val="center"/>
            <w:hideMark/>
          </w:tcPr>
          <w:p w14:paraId="19AF51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98.17</w:t>
            </w:r>
          </w:p>
        </w:tc>
        <w:tc>
          <w:tcPr>
            <w:tcW w:w="1418" w:type="dxa"/>
            <w:gridSpan w:val="3"/>
            <w:tcBorders>
              <w:top w:val="nil"/>
              <w:left w:val="nil"/>
              <w:bottom w:val="nil"/>
              <w:right w:val="nil"/>
            </w:tcBorders>
            <w:shd w:val="clear" w:color="auto" w:fill="FFFFFF" w:themeFill="background2"/>
            <w:noWrap/>
            <w:vAlign w:val="center"/>
            <w:hideMark/>
          </w:tcPr>
          <w:p w14:paraId="75D928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nil"/>
              <w:right w:val="nil"/>
            </w:tcBorders>
            <w:shd w:val="clear" w:color="auto" w:fill="FFFFFF" w:themeFill="background2"/>
            <w:noWrap/>
            <w:vAlign w:val="center"/>
            <w:hideMark/>
          </w:tcPr>
          <w:p w14:paraId="26F873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96.67</w:t>
            </w:r>
          </w:p>
        </w:tc>
        <w:tc>
          <w:tcPr>
            <w:tcW w:w="1276" w:type="dxa"/>
            <w:tcBorders>
              <w:top w:val="nil"/>
              <w:left w:val="nil"/>
              <w:bottom w:val="nil"/>
              <w:right w:val="nil"/>
            </w:tcBorders>
            <w:shd w:val="clear" w:color="auto" w:fill="FFFFFF" w:themeFill="background2"/>
            <w:noWrap/>
            <w:vAlign w:val="center"/>
            <w:hideMark/>
          </w:tcPr>
          <w:p w14:paraId="24651C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nil"/>
              <w:right w:val="nil"/>
            </w:tcBorders>
            <w:shd w:val="clear" w:color="auto" w:fill="FFFFFF" w:themeFill="background2"/>
            <w:noWrap/>
            <w:vAlign w:val="center"/>
            <w:hideMark/>
          </w:tcPr>
          <w:p w14:paraId="5600ED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98.74</w:t>
            </w:r>
          </w:p>
        </w:tc>
        <w:tc>
          <w:tcPr>
            <w:tcW w:w="1276" w:type="dxa"/>
            <w:tcBorders>
              <w:top w:val="nil"/>
              <w:left w:val="nil"/>
              <w:bottom w:val="nil"/>
              <w:right w:val="nil"/>
            </w:tcBorders>
            <w:shd w:val="clear" w:color="auto" w:fill="FFFFFF" w:themeFill="background2"/>
            <w:noWrap/>
            <w:vAlign w:val="center"/>
            <w:hideMark/>
          </w:tcPr>
          <w:p w14:paraId="7C91CE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2ECC092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right w:val="nil"/>
            </w:tcBorders>
            <w:shd w:val="clear" w:color="auto" w:fill="E5E5E5" w:themeFill="background1" w:themeFillTint="33"/>
            <w:noWrap/>
            <w:vAlign w:val="center"/>
            <w:hideMark/>
          </w:tcPr>
          <w:p w14:paraId="71233E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w:t>
            </w:r>
          </w:p>
        </w:tc>
        <w:tc>
          <w:tcPr>
            <w:tcW w:w="1324" w:type="dxa"/>
            <w:tcBorders>
              <w:top w:val="nil"/>
              <w:left w:val="nil"/>
              <w:right w:val="nil"/>
            </w:tcBorders>
            <w:shd w:val="clear" w:color="auto" w:fill="E5E5E5" w:themeFill="background1" w:themeFillTint="33"/>
            <w:noWrap/>
            <w:vAlign w:val="center"/>
            <w:hideMark/>
          </w:tcPr>
          <w:p w14:paraId="702BA3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99.03</w:t>
            </w:r>
          </w:p>
        </w:tc>
        <w:tc>
          <w:tcPr>
            <w:tcW w:w="1418" w:type="dxa"/>
            <w:gridSpan w:val="2"/>
            <w:tcBorders>
              <w:top w:val="nil"/>
              <w:left w:val="nil"/>
              <w:right w:val="nil"/>
            </w:tcBorders>
            <w:shd w:val="clear" w:color="auto" w:fill="E5E5E5" w:themeFill="background1" w:themeFillTint="33"/>
            <w:noWrap/>
            <w:vAlign w:val="center"/>
            <w:hideMark/>
          </w:tcPr>
          <w:p w14:paraId="551CB6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right w:val="nil"/>
            </w:tcBorders>
            <w:shd w:val="clear" w:color="auto" w:fill="E5E5E5" w:themeFill="background1" w:themeFillTint="33"/>
            <w:noWrap/>
            <w:vAlign w:val="center"/>
            <w:hideMark/>
          </w:tcPr>
          <w:p w14:paraId="49900E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98.78</w:t>
            </w:r>
          </w:p>
        </w:tc>
        <w:tc>
          <w:tcPr>
            <w:tcW w:w="1276" w:type="dxa"/>
            <w:tcBorders>
              <w:top w:val="nil"/>
              <w:left w:val="nil"/>
              <w:right w:val="nil"/>
            </w:tcBorders>
            <w:shd w:val="clear" w:color="auto" w:fill="E5E5E5" w:themeFill="background1" w:themeFillTint="33"/>
            <w:noWrap/>
            <w:vAlign w:val="center"/>
            <w:hideMark/>
          </w:tcPr>
          <w:p w14:paraId="368746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right w:val="nil"/>
            </w:tcBorders>
            <w:shd w:val="clear" w:color="auto" w:fill="E5E5E5" w:themeFill="background1" w:themeFillTint="33"/>
            <w:noWrap/>
            <w:vAlign w:val="center"/>
            <w:hideMark/>
          </w:tcPr>
          <w:p w14:paraId="7E9D90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98.23</w:t>
            </w:r>
          </w:p>
        </w:tc>
        <w:tc>
          <w:tcPr>
            <w:tcW w:w="1418" w:type="dxa"/>
            <w:gridSpan w:val="3"/>
            <w:tcBorders>
              <w:top w:val="nil"/>
              <w:left w:val="nil"/>
              <w:right w:val="nil"/>
            </w:tcBorders>
            <w:shd w:val="clear" w:color="auto" w:fill="E5E5E5" w:themeFill="background1" w:themeFillTint="33"/>
            <w:noWrap/>
            <w:vAlign w:val="center"/>
            <w:hideMark/>
          </w:tcPr>
          <w:p w14:paraId="7DB049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right w:val="nil"/>
            </w:tcBorders>
            <w:shd w:val="clear" w:color="auto" w:fill="E5E5E5" w:themeFill="background1" w:themeFillTint="33"/>
            <w:noWrap/>
            <w:vAlign w:val="center"/>
            <w:hideMark/>
          </w:tcPr>
          <w:p w14:paraId="6EF1BD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96.69</w:t>
            </w:r>
          </w:p>
        </w:tc>
        <w:tc>
          <w:tcPr>
            <w:tcW w:w="1276" w:type="dxa"/>
            <w:tcBorders>
              <w:top w:val="nil"/>
              <w:left w:val="nil"/>
              <w:right w:val="nil"/>
            </w:tcBorders>
            <w:shd w:val="clear" w:color="auto" w:fill="E5E5E5" w:themeFill="background1" w:themeFillTint="33"/>
            <w:noWrap/>
            <w:vAlign w:val="center"/>
            <w:hideMark/>
          </w:tcPr>
          <w:p w14:paraId="4B0624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right w:val="nil"/>
            </w:tcBorders>
            <w:shd w:val="clear" w:color="auto" w:fill="E5E5E5" w:themeFill="background1" w:themeFillTint="33"/>
            <w:noWrap/>
            <w:vAlign w:val="center"/>
            <w:hideMark/>
          </w:tcPr>
          <w:p w14:paraId="45BD06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98.78</w:t>
            </w:r>
          </w:p>
        </w:tc>
        <w:tc>
          <w:tcPr>
            <w:tcW w:w="1276" w:type="dxa"/>
            <w:tcBorders>
              <w:top w:val="nil"/>
              <w:left w:val="nil"/>
              <w:right w:val="nil"/>
            </w:tcBorders>
            <w:shd w:val="clear" w:color="auto" w:fill="E5E5E5" w:themeFill="background1" w:themeFillTint="33"/>
            <w:noWrap/>
            <w:vAlign w:val="center"/>
            <w:hideMark/>
          </w:tcPr>
          <w:p w14:paraId="7F9C6B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r w:rsidR="00961617" w:rsidRPr="00545C7F" w14:paraId="326980B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59" w:type="dxa"/>
            <w:tcBorders>
              <w:top w:val="nil"/>
              <w:left w:val="nil"/>
              <w:bottom w:val="single" w:sz="4" w:space="0" w:color="auto"/>
              <w:right w:val="nil"/>
            </w:tcBorders>
            <w:shd w:val="clear" w:color="auto" w:fill="auto"/>
            <w:noWrap/>
            <w:vAlign w:val="center"/>
            <w:hideMark/>
          </w:tcPr>
          <w:p w14:paraId="648854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c>
          <w:tcPr>
            <w:tcW w:w="1324" w:type="dxa"/>
            <w:tcBorders>
              <w:top w:val="nil"/>
              <w:left w:val="nil"/>
              <w:bottom w:val="single" w:sz="4" w:space="0" w:color="auto"/>
              <w:right w:val="nil"/>
            </w:tcBorders>
            <w:shd w:val="clear" w:color="auto" w:fill="auto"/>
            <w:noWrap/>
            <w:vAlign w:val="center"/>
            <w:hideMark/>
          </w:tcPr>
          <w:p w14:paraId="5D24F7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99.08</w:t>
            </w:r>
          </w:p>
        </w:tc>
        <w:tc>
          <w:tcPr>
            <w:tcW w:w="1418" w:type="dxa"/>
            <w:gridSpan w:val="2"/>
            <w:tcBorders>
              <w:top w:val="nil"/>
              <w:left w:val="nil"/>
              <w:bottom w:val="single" w:sz="4" w:space="0" w:color="auto"/>
              <w:right w:val="nil"/>
            </w:tcBorders>
            <w:shd w:val="clear" w:color="auto" w:fill="auto"/>
            <w:noWrap/>
            <w:vAlign w:val="center"/>
            <w:hideMark/>
          </w:tcPr>
          <w:p w14:paraId="6E4102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single" w:sz="4" w:space="0" w:color="auto"/>
              <w:right w:val="nil"/>
            </w:tcBorders>
            <w:shd w:val="clear" w:color="auto" w:fill="auto"/>
            <w:noWrap/>
            <w:vAlign w:val="center"/>
            <w:hideMark/>
          </w:tcPr>
          <w:p w14:paraId="4F143C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98.82</w:t>
            </w:r>
          </w:p>
        </w:tc>
        <w:tc>
          <w:tcPr>
            <w:tcW w:w="1276" w:type="dxa"/>
            <w:tcBorders>
              <w:top w:val="nil"/>
              <w:left w:val="nil"/>
              <w:bottom w:val="single" w:sz="4" w:space="0" w:color="auto"/>
              <w:right w:val="nil"/>
            </w:tcBorders>
            <w:shd w:val="clear" w:color="auto" w:fill="auto"/>
            <w:noWrap/>
            <w:vAlign w:val="center"/>
            <w:hideMark/>
          </w:tcPr>
          <w:p w14:paraId="565260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559" w:type="dxa"/>
            <w:gridSpan w:val="2"/>
            <w:tcBorders>
              <w:top w:val="nil"/>
              <w:left w:val="nil"/>
              <w:bottom w:val="single" w:sz="4" w:space="0" w:color="auto"/>
              <w:right w:val="nil"/>
            </w:tcBorders>
            <w:shd w:val="clear" w:color="auto" w:fill="auto"/>
            <w:noWrap/>
            <w:vAlign w:val="center"/>
            <w:hideMark/>
          </w:tcPr>
          <w:p w14:paraId="31558A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98.35</w:t>
            </w:r>
          </w:p>
        </w:tc>
        <w:tc>
          <w:tcPr>
            <w:tcW w:w="1418" w:type="dxa"/>
            <w:gridSpan w:val="3"/>
            <w:tcBorders>
              <w:top w:val="nil"/>
              <w:left w:val="nil"/>
              <w:bottom w:val="single" w:sz="4" w:space="0" w:color="auto"/>
              <w:right w:val="nil"/>
            </w:tcBorders>
            <w:shd w:val="clear" w:color="auto" w:fill="auto"/>
            <w:noWrap/>
            <w:vAlign w:val="center"/>
            <w:hideMark/>
          </w:tcPr>
          <w:p w14:paraId="39B4DC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417" w:type="dxa"/>
            <w:gridSpan w:val="2"/>
            <w:tcBorders>
              <w:top w:val="nil"/>
              <w:left w:val="nil"/>
              <w:bottom w:val="single" w:sz="4" w:space="0" w:color="auto"/>
              <w:right w:val="nil"/>
            </w:tcBorders>
            <w:shd w:val="clear" w:color="auto" w:fill="auto"/>
            <w:noWrap/>
            <w:vAlign w:val="center"/>
            <w:hideMark/>
          </w:tcPr>
          <w:p w14:paraId="6A7408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96.82</w:t>
            </w:r>
          </w:p>
        </w:tc>
        <w:tc>
          <w:tcPr>
            <w:tcW w:w="1276" w:type="dxa"/>
            <w:tcBorders>
              <w:top w:val="nil"/>
              <w:left w:val="nil"/>
              <w:bottom w:val="single" w:sz="4" w:space="0" w:color="auto"/>
              <w:right w:val="nil"/>
            </w:tcBorders>
            <w:shd w:val="clear" w:color="auto" w:fill="auto"/>
            <w:noWrap/>
            <w:vAlign w:val="center"/>
            <w:hideMark/>
          </w:tcPr>
          <w:p w14:paraId="00848A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c>
          <w:tcPr>
            <w:tcW w:w="1276" w:type="dxa"/>
            <w:tcBorders>
              <w:top w:val="nil"/>
              <w:left w:val="nil"/>
              <w:bottom w:val="single" w:sz="4" w:space="0" w:color="auto"/>
              <w:right w:val="nil"/>
            </w:tcBorders>
            <w:shd w:val="clear" w:color="auto" w:fill="auto"/>
            <w:noWrap/>
            <w:vAlign w:val="center"/>
            <w:hideMark/>
          </w:tcPr>
          <w:p w14:paraId="77CA10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98.84</w:t>
            </w:r>
          </w:p>
        </w:tc>
        <w:tc>
          <w:tcPr>
            <w:tcW w:w="1276" w:type="dxa"/>
            <w:tcBorders>
              <w:top w:val="nil"/>
              <w:left w:val="nil"/>
              <w:bottom w:val="single" w:sz="4" w:space="0" w:color="auto"/>
              <w:right w:val="nil"/>
            </w:tcBorders>
            <w:shd w:val="clear" w:color="auto" w:fill="auto"/>
            <w:noWrap/>
            <w:vAlign w:val="center"/>
            <w:hideMark/>
          </w:tcPr>
          <w:p w14:paraId="1DF09A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100.00</w:t>
            </w:r>
          </w:p>
        </w:tc>
      </w:tr>
    </w:tbl>
    <w:p w14:paraId="147AA420" w14:textId="77777777" w:rsidR="00961617" w:rsidRPr="002F5864" w:rsidRDefault="00961617" w:rsidP="00E13B5E">
      <w:pPr>
        <w:pStyle w:val="Source"/>
        <w:rPr>
          <w:b/>
        </w:rPr>
      </w:pPr>
      <w:r w:rsidRPr="002F5864">
        <w:rPr>
          <w:b/>
        </w:rPr>
        <w:t>Source:</w:t>
      </w:r>
      <w:r w:rsidRPr="002F5864">
        <w:t xml:space="preserve"> </w:t>
      </w:r>
      <w:r w:rsidRPr="002F5864">
        <w:tab/>
        <w:t>Department of Employment administrative data</w:t>
      </w:r>
      <w:r w:rsidRPr="002F5864">
        <w:rPr>
          <w:b/>
        </w:rPr>
        <w:t>.</w:t>
      </w:r>
    </w:p>
    <w:p w14:paraId="3FF71E57" w14:textId="77777777" w:rsidR="00961617" w:rsidRPr="002F5864" w:rsidRDefault="00864C5E" w:rsidP="00961617">
      <w:pPr>
        <w:spacing w:before="120"/>
        <w:rPr>
          <w:rFonts w:cstheme="minorHAnsi"/>
          <w:sz w:val="18"/>
          <w:szCs w:val="18"/>
        </w:rPr>
      </w:pPr>
      <w:hyperlink w:anchor="Place_A22" w:history="1">
        <w:r w:rsidR="00961617" w:rsidRPr="004A74AA">
          <w:rPr>
            <w:rStyle w:val="Hyperlink"/>
            <w:rFonts w:cstheme="minorHAnsi"/>
            <w:sz w:val="18"/>
            <w:szCs w:val="18"/>
          </w:rPr>
          <w:t>Return to Table 3.2</w:t>
        </w:r>
      </w:hyperlink>
      <w:r w:rsidR="00961617" w:rsidRPr="002F5864">
        <w:rPr>
          <w:rFonts w:cstheme="minorHAnsi"/>
          <w:sz w:val="18"/>
          <w:szCs w:val="18"/>
        </w:rPr>
        <w:t xml:space="preserve"> where this data is referenced.</w:t>
      </w:r>
    </w:p>
    <w:p w14:paraId="0653CAB9" w14:textId="77777777" w:rsidR="00961617" w:rsidRPr="002F5864" w:rsidRDefault="00961617" w:rsidP="00961617">
      <w:pPr>
        <w:rPr>
          <w:rFonts w:eastAsiaTheme="majorEastAsia" w:cstheme="minorHAnsi"/>
          <w:sz w:val="20"/>
        </w:rPr>
      </w:pPr>
      <w:r w:rsidRPr="002F5864">
        <w:rPr>
          <w:rFonts w:eastAsiaTheme="majorEastAsia" w:cstheme="minorHAnsi"/>
        </w:rPr>
        <w:br w:type="page"/>
      </w:r>
    </w:p>
    <w:p w14:paraId="5794C9E3" w14:textId="77777777" w:rsidR="00961617" w:rsidRPr="002F5864" w:rsidRDefault="00961617" w:rsidP="00961617">
      <w:pPr>
        <w:pStyle w:val="TableheadingforappendixA1"/>
        <w:rPr>
          <w:rFonts w:cstheme="minorHAnsi"/>
        </w:rPr>
      </w:pPr>
      <w:bookmarkStart w:id="618" w:name="_Toc513129896"/>
      <w:r w:rsidRPr="002F5864">
        <w:rPr>
          <w:rFonts w:cstheme="minorHAnsi"/>
        </w:rPr>
        <w:t>Table A2.3:</w:t>
      </w:r>
      <w:r>
        <w:rPr>
          <w:rFonts w:cstheme="minorHAnsi"/>
        </w:rPr>
        <w:t xml:space="preserve"> </w:t>
      </w:r>
      <w:r w:rsidRPr="002F5864">
        <w:rPr>
          <w:rFonts w:cstheme="minorHAnsi"/>
        </w:rPr>
        <w:t>Employment and education outcomes for new entrants, JSA 2009 (per cent)</w:t>
      </w:r>
      <w:bookmarkEnd w:id="618"/>
    </w:p>
    <w:tbl>
      <w:tblPr>
        <w:tblStyle w:val="TableGrid"/>
        <w:tblW w:w="12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1277"/>
        <w:gridCol w:w="1278"/>
        <w:gridCol w:w="1278"/>
        <w:gridCol w:w="1136"/>
      </w:tblGrid>
      <w:tr w:rsidR="00961617" w:rsidRPr="00545C7F" w14:paraId="61AC8CA8" w14:textId="77777777" w:rsidTr="0020771F">
        <w:trPr>
          <w:trHeight w:hRule="exact" w:val="571"/>
          <w:tblHeader/>
        </w:trPr>
        <w:tc>
          <w:tcPr>
            <w:tcW w:w="7338" w:type="dxa"/>
            <w:shd w:val="clear" w:color="auto" w:fill="1E3D6B"/>
            <w:vAlign w:val="center"/>
          </w:tcPr>
          <w:p w14:paraId="0211E987" w14:textId="77777777" w:rsidR="00961617" w:rsidRPr="00545C7F" w:rsidRDefault="00961617" w:rsidP="0020771F">
            <w:pPr>
              <w:rPr>
                <w:rFonts w:cstheme="minorHAnsi"/>
                <w:b/>
                <w:color w:val="FFFFFF" w:themeColor="background2"/>
                <w:sz w:val="20"/>
                <w:szCs w:val="20"/>
              </w:rPr>
            </w:pPr>
            <w:bookmarkStart w:id="619" w:name="Title_A23"/>
            <w:bookmarkEnd w:id="619"/>
            <w:r w:rsidRPr="00545C7F">
              <w:rPr>
                <w:rFonts w:cstheme="minorHAnsi"/>
                <w:b/>
                <w:color w:val="FFFFFF" w:themeColor="background2"/>
                <w:sz w:val="20"/>
                <w:szCs w:val="20"/>
              </w:rPr>
              <w:t>Characteristics</w:t>
            </w:r>
          </w:p>
        </w:tc>
        <w:tc>
          <w:tcPr>
            <w:tcW w:w="1277" w:type="dxa"/>
            <w:shd w:val="clear" w:color="auto" w:fill="1E3D6B"/>
            <w:vAlign w:val="center"/>
          </w:tcPr>
          <w:p w14:paraId="04388E47" w14:textId="77777777" w:rsidR="00961617" w:rsidRPr="00545C7F" w:rsidRDefault="00961617" w:rsidP="0020771F">
            <w:pPr>
              <w:pStyle w:val="Tablefirstcolumn"/>
              <w:ind w:right="-61"/>
              <w:rPr>
                <w:rFonts w:cstheme="minorHAnsi"/>
                <w:b/>
                <w:bCs/>
                <w:color w:val="FFFFFF" w:themeColor="background2"/>
              </w:rPr>
            </w:pPr>
            <w:r w:rsidRPr="00545C7F">
              <w:rPr>
                <w:rFonts w:cstheme="minorHAnsi"/>
                <w:b/>
                <w:bCs/>
                <w:color w:val="FFFFFF" w:themeColor="background2"/>
              </w:rPr>
              <w:t>Full time Employment</w:t>
            </w:r>
          </w:p>
        </w:tc>
        <w:tc>
          <w:tcPr>
            <w:tcW w:w="1278" w:type="dxa"/>
            <w:shd w:val="clear" w:color="auto" w:fill="1E3D6B"/>
            <w:vAlign w:val="center"/>
          </w:tcPr>
          <w:p w14:paraId="08B6F00C" w14:textId="77777777" w:rsidR="00961617" w:rsidRPr="00545C7F" w:rsidRDefault="00961617" w:rsidP="0020771F">
            <w:pPr>
              <w:pStyle w:val="Tablefirstcolumn"/>
              <w:ind w:right="-61"/>
              <w:rPr>
                <w:rFonts w:cstheme="minorHAnsi"/>
                <w:b/>
                <w:bCs/>
                <w:color w:val="FFFFFF" w:themeColor="background2"/>
              </w:rPr>
            </w:pPr>
            <w:r w:rsidRPr="00545C7F">
              <w:rPr>
                <w:rFonts w:cstheme="minorHAnsi"/>
                <w:b/>
                <w:bCs/>
                <w:color w:val="FFFFFF" w:themeColor="background2"/>
              </w:rPr>
              <w:t>Part time Employment</w:t>
            </w:r>
          </w:p>
        </w:tc>
        <w:tc>
          <w:tcPr>
            <w:tcW w:w="1278" w:type="dxa"/>
            <w:shd w:val="clear" w:color="auto" w:fill="1E3D6B"/>
            <w:vAlign w:val="center"/>
          </w:tcPr>
          <w:p w14:paraId="6D23B3F2" w14:textId="77777777" w:rsidR="00961617" w:rsidRPr="00545C7F" w:rsidRDefault="00961617" w:rsidP="0020771F">
            <w:pPr>
              <w:pStyle w:val="Tablefirstcolumn"/>
              <w:ind w:right="-61"/>
              <w:rPr>
                <w:rFonts w:cstheme="minorHAnsi"/>
                <w:b/>
                <w:bCs/>
                <w:color w:val="FFFFFF" w:themeColor="background2"/>
              </w:rPr>
            </w:pPr>
            <w:r w:rsidRPr="00545C7F">
              <w:rPr>
                <w:rFonts w:cstheme="minorHAnsi"/>
                <w:b/>
                <w:bCs/>
                <w:color w:val="FFFFFF" w:themeColor="background2"/>
              </w:rPr>
              <w:t>Total Employment</w:t>
            </w:r>
          </w:p>
        </w:tc>
        <w:tc>
          <w:tcPr>
            <w:tcW w:w="1136" w:type="dxa"/>
            <w:shd w:val="clear" w:color="auto" w:fill="1E3D6B"/>
            <w:vAlign w:val="center"/>
          </w:tcPr>
          <w:p w14:paraId="0DBB3352" w14:textId="77777777" w:rsidR="00961617" w:rsidRPr="00545C7F" w:rsidRDefault="00961617" w:rsidP="0020771F">
            <w:pPr>
              <w:pStyle w:val="Tablefirstcolumn"/>
              <w:ind w:right="-61"/>
              <w:rPr>
                <w:rFonts w:cstheme="minorHAnsi"/>
                <w:b/>
                <w:bCs/>
                <w:color w:val="FFFFFF" w:themeColor="background2"/>
              </w:rPr>
            </w:pPr>
            <w:r w:rsidRPr="00545C7F">
              <w:rPr>
                <w:rFonts w:cstheme="minorHAnsi"/>
                <w:b/>
                <w:bCs/>
                <w:color w:val="FFFFFF" w:themeColor="background2"/>
              </w:rPr>
              <w:t>Education</w:t>
            </w:r>
          </w:p>
        </w:tc>
      </w:tr>
      <w:tr w:rsidR="00961617" w:rsidRPr="00545C7F" w14:paraId="218B4430" w14:textId="77777777" w:rsidTr="0020771F">
        <w:trPr>
          <w:trHeight w:hRule="exact" w:val="397"/>
        </w:trPr>
        <w:tc>
          <w:tcPr>
            <w:tcW w:w="7338" w:type="dxa"/>
            <w:vAlign w:val="center"/>
          </w:tcPr>
          <w:p w14:paraId="339CE7E4" w14:textId="77777777" w:rsidR="00961617" w:rsidRPr="00545C7F" w:rsidRDefault="00961617" w:rsidP="0020771F">
            <w:pPr>
              <w:rPr>
                <w:rFonts w:cstheme="minorHAnsi"/>
                <w:sz w:val="20"/>
                <w:szCs w:val="20"/>
              </w:rPr>
            </w:pPr>
            <w:r w:rsidRPr="00545C7F">
              <w:rPr>
                <w:rFonts w:cstheme="minorHAnsi"/>
                <w:sz w:val="20"/>
                <w:szCs w:val="20"/>
              </w:rPr>
              <w:t>Commencement stream: Stream 1</w:t>
            </w:r>
          </w:p>
        </w:tc>
        <w:tc>
          <w:tcPr>
            <w:tcW w:w="1277" w:type="dxa"/>
            <w:vAlign w:val="center"/>
          </w:tcPr>
          <w:p w14:paraId="2578EE0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39.8</w:t>
            </w:r>
          </w:p>
        </w:tc>
        <w:tc>
          <w:tcPr>
            <w:tcW w:w="1278" w:type="dxa"/>
            <w:vAlign w:val="center"/>
          </w:tcPr>
          <w:p w14:paraId="2B5007A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29.0</w:t>
            </w:r>
          </w:p>
        </w:tc>
        <w:tc>
          <w:tcPr>
            <w:tcW w:w="1278" w:type="dxa"/>
            <w:vAlign w:val="center"/>
          </w:tcPr>
          <w:p w14:paraId="3841DF8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68.8</w:t>
            </w:r>
          </w:p>
        </w:tc>
        <w:tc>
          <w:tcPr>
            <w:tcW w:w="1136" w:type="dxa"/>
            <w:vAlign w:val="center"/>
          </w:tcPr>
          <w:p w14:paraId="52299D7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21.9</w:t>
            </w:r>
          </w:p>
        </w:tc>
      </w:tr>
      <w:tr w:rsidR="00961617" w:rsidRPr="00545C7F" w14:paraId="3627931E" w14:textId="77777777" w:rsidTr="0020771F">
        <w:trPr>
          <w:trHeight w:hRule="exact" w:val="397"/>
        </w:trPr>
        <w:tc>
          <w:tcPr>
            <w:tcW w:w="7338" w:type="dxa"/>
            <w:shd w:val="clear" w:color="auto" w:fill="E5E5E5" w:themeFill="background1" w:themeFillTint="33"/>
            <w:vAlign w:val="center"/>
          </w:tcPr>
          <w:p w14:paraId="76C3AA5E" w14:textId="77777777" w:rsidR="00961617" w:rsidRPr="00545C7F" w:rsidRDefault="00961617" w:rsidP="0020771F">
            <w:pPr>
              <w:pStyle w:val="Tablefirstcolumn"/>
              <w:rPr>
                <w:rFonts w:cstheme="minorHAnsi"/>
              </w:rPr>
            </w:pPr>
            <w:r w:rsidRPr="00545C7F">
              <w:rPr>
                <w:rFonts w:cstheme="minorHAnsi"/>
              </w:rPr>
              <w:t>Commencement stream: Stream 2</w:t>
            </w:r>
          </w:p>
        </w:tc>
        <w:tc>
          <w:tcPr>
            <w:tcW w:w="1277" w:type="dxa"/>
            <w:shd w:val="clear" w:color="auto" w:fill="E5E5E5" w:themeFill="background1" w:themeFillTint="33"/>
            <w:vAlign w:val="center"/>
          </w:tcPr>
          <w:p w14:paraId="4B6BDC8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27.3</w:t>
            </w:r>
          </w:p>
        </w:tc>
        <w:tc>
          <w:tcPr>
            <w:tcW w:w="1278" w:type="dxa"/>
            <w:shd w:val="clear" w:color="auto" w:fill="E5E5E5" w:themeFill="background1" w:themeFillTint="33"/>
            <w:vAlign w:val="center"/>
          </w:tcPr>
          <w:p w14:paraId="03F8BF3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24.7</w:t>
            </w:r>
          </w:p>
        </w:tc>
        <w:tc>
          <w:tcPr>
            <w:tcW w:w="1278" w:type="dxa"/>
            <w:shd w:val="clear" w:color="auto" w:fill="E5E5E5" w:themeFill="background1" w:themeFillTint="33"/>
            <w:vAlign w:val="center"/>
          </w:tcPr>
          <w:p w14:paraId="78CBE74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52.0</w:t>
            </w:r>
          </w:p>
        </w:tc>
        <w:tc>
          <w:tcPr>
            <w:tcW w:w="1136" w:type="dxa"/>
            <w:shd w:val="clear" w:color="auto" w:fill="E5E5E5" w:themeFill="background1" w:themeFillTint="33"/>
            <w:vAlign w:val="center"/>
          </w:tcPr>
          <w:p w14:paraId="4174BA9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29.1</w:t>
            </w:r>
          </w:p>
        </w:tc>
      </w:tr>
      <w:tr w:rsidR="00961617" w:rsidRPr="00545C7F" w14:paraId="04654E82" w14:textId="77777777" w:rsidTr="0020771F">
        <w:trPr>
          <w:trHeight w:hRule="exact" w:val="397"/>
        </w:trPr>
        <w:tc>
          <w:tcPr>
            <w:tcW w:w="7338" w:type="dxa"/>
            <w:vAlign w:val="center"/>
          </w:tcPr>
          <w:p w14:paraId="2743B254" w14:textId="77777777" w:rsidR="00961617" w:rsidRPr="00545C7F" w:rsidRDefault="00961617" w:rsidP="0020771F">
            <w:pPr>
              <w:pStyle w:val="Tablefirstcolumn"/>
              <w:rPr>
                <w:rFonts w:cstheme="minorHAnsi"/>
              </w:rPr>
            </w:pPr>
            <w:r w:rsidRPr="00545C7F">
              <w:rPr>
                <w:rFonts w:cstheme="minorHAnsi"/>
              </w:rPr>
              <w:t>Commencement stream: Stream 3</w:t>
            </w:r>
          </w:p>
        </w:tc>
        <w:tc>
          <w:tcPr>
            <w:tcW w:w="1277" w:type="dxa"/>
            <w:vAlign w:val="center"/>
          </w:tcPr>
          <w:p w14:paraId="6B1CFE7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17.5</w:t>
            </w:r>
          </w:p>
        </w:tc>
        <w:tc>
          <w:tcPr>
            <w:tcW w:w="1278" w:type="dxa"/>
            <w:vAlign w:val="center"/>
          </w:tcPr>
          <w:p w14:paraId="525B96D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22.5</w:t>
            </w:r>
          </w:p>
        </w:tc>
        <w:tc>
          <w:tcPr>
            <w:tcW w:w="1278" w:type="dxa"/>
            <w:vAlign w:val="center"/>
          </w:tcPr>
          <w:p w14:paraId="1EB68E2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40.0</w:t>
            </w:r>
          </w:p>
        </w:tc>
        <w:tc>
          <w:tcPr>
            <w:tcW w:w="1136" w:type="dxa"/>
            <w:vAlign w:val="center"/>
          </w:tcPr>
          <w:p w14:paraId="5C780BB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33.6</w:t>
            </w:r>
          </w:p>
        </w:tc>
      </w:tr>
      <w:tr w:rsidR="00961617" w:rsidRPr="00545C7F" w14:paraId="58BBF078" w14:textId="77777777" w:rsidTr="0020771F">
        <w:trPr>
          <w:trHeight w:hRule="exact" w:val="397"/>
        </w:trPr>
        <w:tc>
          <w:tcPr>
            <w:tcW w:w="7338" w:type="dxa"/>
            <w:shd w:val="clear" w:color="auto" w:fill="E5E5E5" w:themeFill="background1" w:themeFillTint="33"/>
            <w:vAlign w:val="center"/>
          </w:tcPr>
          <w:p w14:paraId="3D819676" w14:textId="77777777" w:rsidR="00961617" w:rsidRPr="00545C7F" w:rsidRDefault="00961617" w:rsidP="0020771F">
            <w:pPr>
              <w:pStyle w:val="Tablefirstcolumn"/>
              <w:rPr>
                <w:rFonts w:cstheme="minorHAnsi"/>
              </w:rPr>
            </w:pPr>
            <w:r w:rsidRPr="00545C7F">
              <w:rPr>
                <w:rFonts w:cstheme="minorHAnsi"/>
              </w:rPr>
              <w:t>Commencement stream: Stream 4</w:t>
            </w:r>
          </w:p>
        </w:tc>
        <w:tc>
          <w:tcPr>
            <w:tcW w:w="1277" w:type="dxa"/>
            <w:shd w:val="clear" w:color="auto" w:fill="E5E5E5" w:themeFill="background1" w:themeFillTint="33"/>
            <w:vAlign w:val="center"/>
          </w:tcPr>
          <w:p w14:paraId="2F76006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23.3</w:t>
            </w:r>
          </w:p>
        </w:tc>
        <w:tc>
          <w:tcPr>
            <w:tcW w:w="1278" w:type="dxa"/>
            <w:shd w:val="clear" w:color="auto" w:fill="E5E5E5" w:themeFill="background1" w:themeFillTint="33"/>
            <w:vAlign w:val="center"/>
          </w:tcPr>
          <w:p w14:paraId="5CFAAA4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12.9</w:t>
            </w:r>
          </w:p>
        </w:tc>
        <w:tc>
          <w:tcPr>
            <w:tcW w:w="1278" w:type="dxa"/>
            <w:shd w:val="clear" w:color="auto" w:fill="E5E5E5" w:themeFill="background1" w:themeFillTint="33"/>
            <w:vAlign w:val="center"/>
          </w:tcPr>
          <w:p w14:paraId="1763B32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36.2</w:t>
            </w:r>
          </w:p>
        </w:tc>
        <w:tc>
          <w:tcPr>
            <w:tcW w:w="1136" w:type="dxa"/>
            <w:shd w:val="clear" w:color="auto" w:fill="E5E5E5" w:themeFill="background1" w:themeFillTint="33"/>
            <w:vAlign w:val="center"/>
          </w:tcPr>
          <w:p w14:paraId="66DD741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31.5</w:t>
            </w:r>
          </w:p>
        </w:tc>
      </w:tr>
      <w:tr w:rsidR="00961617" w:rsidRPr="00545C7F" w14:paraId="5E08A58F" w14:textId="77777777" w:rsidTr="0020771F">
        <w:trPr>
          <w:trHeight w:hRule="exact" w:val="397"/>
        </w:trPr>
        <w:tc>
          <w:tcPr>
            <w:tcW w:w="7338" w:type="dxa"/>
            <w:vAlign w:val="center"/>
          </w:tcPr>
          <w:p w14:paraId="3D05226E" w14:textId="77777777" w:rsidR="00961617" w:rsidRPr="00545C7F" w:rsidRDefault="00961617" w:rsidP="0020771F">
            <w:pPr>
              <w:pStyle w:val="Tablefirstcolumn"/>
              <w:rPr>
                <w:rFonts w:cstheme="minorHAnsi"/>
              </w:rPr>
            </w:pPr>
            <w:r w:rsidRPr="00545C7F">
              <w:rPr>
                <w:rFonts w:cstheme="minorHAnsi"/>
              </w:rPr>
              <w:t>Long-term capacity to participate in the labour force: Partial capacity</w:t>
            </w:r>
          </w:p>
        </w:tc>
        <w:tc>
          <w:tcPr>
            <w:tcW w:w="1277" w:type="dxa"/>
            <w:vAlign w:val="center"/>
          </w:tcPr>
          <w:p w14:paraId="0906B2F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15.6</w:t>
            </w:r>
          </w:p>
        </w:tc>
        <w:tc>
          <w:tcPr>
            <w:tcW w:w="1278" w:type="dxa"/>
            <w:vAlign w:val="center"/>
          </w:tcPr>
          <w:p w14:paraId="610BD7B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29.5</w:t>
            </w:r>
          </w:p>
        </w:tc>
        <w:tc>
          <w:tcPr>
            <w:tcW w:w="1278" w:type="dxa"/>
            <w:vAlign w:val="center"/>
          </w:tcPr>
          <w:p w14:paraId="1E5F4D3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45.1</w:t>
            </w:r>
          </w:p>
        </w:tc>
        <w:tc>
          <w:tcPr>
            <w:tcW w:w="1136" w:type="dxa"/>
            <w:vAlign w:val="center"/>
          </w:tcPr>
          <w:p w14:paraId="4922FB1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24.5</w:t>
            </w:r>
          </w:p>
        </w:tc>
      </w:tr>
      <w:tr w:rsidR="00961617" w:rsidRPr="00545C7F" w14:paraId="4465972D" w14:textId="77777777" w:rsidTr="0020771F">
        <w:trPr>
          <w:trHeight w:hRule="exact" w:val="397"/>
        </w:trPr>
        <w:tc>
          <w:tcPr>
            <w:tcW w:w="7338" w:type="dxa"/>
            <w:shd w:val="clear" w:color="auto" w:fill="E5E5E5" w:themeFill="background1" w:themeFillTint="33"/>
            <w:vAlign w:val="center"/>
          </w:tcPr>
          <w:p w14:paraId="0CC43BDD" w14:textId="77777777" w:rsidR="00961617" w:rsidRPr="00545C7F" w:rsidRDefault="00961617" w:rsidP="0020771F">
            <w:pPr>
              <w:pStyle w:val="Tablefirstcolumn"/>
              <w:rPr>
                <w:rFonts w:cstheme="minorHAnsi"/>
              </w:rPr>
            </w:pPr>
            <w:r w:rsidRPr="00545C7F">
              <w:rPr>
                <w:rFonts w:cstheme="minorHAnsi"/>
              </w:rPr>
              <w:t>Long-term capacity to participate in the labour force: Not partial capacity</w:t>
            </w:r>
          </w:p>
        </w:tc>
        <w:tc>
          <w:tcPr>
            <w:tcW w:w="1277" w:type="dxa"/>
            <w:shd w:val="clear" w:color="auto" w:fill="E5E5E5" w:themeFill="background1" w:themeFillTint="33"/>
            <w:vAlign w:val="center"/>
          </w:tcPr>
          <w:p w14:paraId="5F3949C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39.6</w:t>
            </w:r>
          </w:p>
        </w:tc>
        <w:tc>
          <w:tcPr>
            <w:tcW w:w="1278" w:type="dxa"/>
            <w:shd w:val="clear" w:color="auto" w:fill="E5E5E5" w:themeFill="background1" w:themeFillTint="33"/>
            <w:vAlign w:val="center"/>
          </w:tcPr>
          <w:p w14:paraId="33CF3AF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26.4</w:t>
            </w:r>
          </w:p>
        </w:tc>
        <w:tc>
          <w:tcPr>
            <w:tcW w:w="1278" w:type="dxa"/>
            <w:shd w:val="clear" w:color="auto" w:fill="E5E5E5" w:themeFill="background1" w:themeFillTint="33"/>
            <w:vAlign w:val="center"/>
          </w:tcPr>
          <w:p w14:paraId="3016FFD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66.0</w:t>
            </w:r>
          </w:p>
        </w:tc>
        <w:tc>
          <w:tcPr>
            <w:tcW w:w="1136" w:type="dxa"/>
            <w:shd w:val="clear" w:color="auto" w:fill="E5E5E5" w:themeFill="background1" w:themeFillTint="33"/>
            <w:vAlign w:val="center"/>
          </w:tcPr>
          <w:p w14:paraId="7D626FB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25.0</w:t>
            </w:r>
          </w:p>
        </w:tc>
      </w:tr>
      <w:tr w:rsidR="00961617" w:rsidRPr="00545C7F" w14:paraId="44D7EF76" w14:textId="77777777" w:rsidTr="0020771F">
        <w:trPr>
          <w:trHeight w:hRule="exact" w:val="397"/>
        </w:trPr>
        <w:tc>
          <w:tcPr>
            <w:tcW w:w="7338" w:type="dxa"/>
            <w:vAlign w:val="center"/>
          </w:tcPr>
          <w:p w14:paraId="08657A62" w14:textId="77777777" w:rsidR="00961617" w:rsidRPr="00545C7F" w:rsidRDefault="00961617" w:rsidP="0020771F">
            <w:pPr>
              <w:pStyle w:val="Tablefirstcolumn"/>
              <w:rPr>
                <w:rFonts w:cstheme="minorHAnsi"/>
              </w:rPr>
            </w:pPr>
            <w:r w:rsidRPr="00545C7F">
              <w:rPr>
                <w:rFonts w:cstheme="minorHAnsi"/>
              </w:rPr>
              <w:t>Gender and age group: Males aged &lt; 25 years</w:t>
            </w:r>
          </w:p>
        </w:tc>
        <w:tc>
          <w:tcPr>
            <w:tcW w:w="1277" w:type="dxa"/>
            <w:vAlign w:val="center"/>
          </w:tcPr>
          <w:p w14:paraId="3814BDB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40.6</w:t>
            </w:r>
          </w:p>
        </w:tc>
        <w:tc>
          <w:tcPr>
            <w:tcW w:w="1278" w:type="dxa"/>
            <w:vAlign w:val="center"/>
          </w:tcPr>
          <w:p w14:paraId="0EBE231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22.2</w:t>
            </w:r>
          </w:p>
        </w:tc>
        <w:tc>
          <w:tcPr>
            <w:tcW w:w="1278" w:type="dxa"/>
            <w:vAlign w:val="center"/>
          </w:tcPr>
          <w:p w14:paraId="2F540F0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62.8</w:t>
            </w:r>
          </w:p>
        </w:tc>
        <w:tc>
          <w:tcPr>
            <w:tcW w:w="1136" w:type="dxa"/>
            <w:vAlign w:val="center"/>
          </w:tcPr>
          <w:p w14:paraId="46D06C4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32.7</w:t>
            </w:r>
          </w:p>
        </w:tc>
      </w:tr>
      <w:tr w:rsidR="00961617" w:rsidRPr="00545C7F" w14:paraId="70F487D1" w14:textId="77777777" w:rsidTr="0020771F">
        <w:trPr>
          <w:trHeight w:hRule="exact" w:val="397"/>
        </w:trPr>
        <w:tc>
          <w:tcPr>
            <w:tcW w:w="7338" w:type="dxa"/>
            <w:shd w:val="clear" w:color="auto" w:fill="E5E5E5" w:themeFill="background1" w:themeFillTint="33"/>
            <w:vAlign w:val="center"/>
          </w:tcPr>
          <w:p w14:paraId="2B0A56C3" w14:textId="77777777" w:rsidR="00961617" w:rsidRPr="00545C7F" w:rsidRDefault="00961617" w:rsidP="0020771F">
            <w:pPr>
              <w:pStyle w:val="Tablefirstcolumn"/>
              <w:rPr>
                <w:rFonts w:cstheme="minorHAnsi"/>
              </w:rPr>
            </w:pPr>
            <w:r w:rsidRPr="00545C7F">
              <w:rPr>
                <w:rFonts w:cstheme="minorHAnsi"/>
              </w:rPr>
              <w:t>Gender and age group: Males aged 25-49 years</w:t>
            </w:r>
          </w:p>
        </w:tc>
        <w:tc>
          <w:tcPr>
            <w:tcW w:w="1277" w:type="dxa"/>
            <w:shd w:val="clear" w:color="auto" w:fill="E5E5E5" w:themeFill="background1" w:themeFillTint="33"/>
            <w:vAlign w:val="center"/>
          </w:tcPr>
          <w:p w14:paraId="46AF48F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48.3</w:t>
            </w:r>
          </w:p>
        </w:tc>
        <w:tc>
          <w:tcPr>
            <w:tcW w:w="1278" w:type="dxa"/>
            <w:shd w:val="clear" w:color="auto" w:fill="E5E5E5" w:themeFill="background1" w:themeFillTint="33"/>
            <w:vAlign w:val="center"/>
          </w:tcPr>
          <w:p w14:paraId="4D8EE23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19.4</w:t>
            </w:r>
          </w:p>
        </w:tc>
        <w:tc>
          <w:tcPr>
            <w:tcW w:w="1278" w:type="dxa"/>
            <w:shd w:val="clear" w:color="auto" w:fill="E5E5E5" w:themeFill="background1" w:themeFillTint="33"/>
            <w:vAlign w:val="center"/>
          </w:tcPr>
          <w:p w14:paraId="7D88C0C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67.7</w:t>
            </w:r>
          </w:p>
        </w:tc>
        <w:tc>
          <w:tcPr>
            <w:tcW w:w="1136" w:type="dxa"/>
            <w:shd w:val="clear" w:color="auto" w:fill="E5E5E5" w:themeFill="background1" w:themeFillTint="33"/>
            <w:vAlign w:val="center"/>
          </w:tcPr>
          <w:p w14:paraId="02577A1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19.5</w:t>
            </w:r>
          </w:p>
        </w:tc>
      </w:tr>
      <w:tr w:rsidR="00961617" w:rsidRPr="00545C7F" w14:paraId="2DF25479" w14:textId="77777777" w:rsidTr="0020771F">
        <w:trPr>
          <w:trHeight w:hRule="exact" w:val="397"/>
        </w:trPr>
        <w:tc>
          <w:tcPr>
            <w:tcW w:w="7338" w:type="dxa"/>
            <w:vAlign w:val="center"/>
          </w:tcPr>
          <w:p w14:paraId="700B6299" w14:textId="77777777" w:rsidR="00961617" w:rsidRPr="00545C7F" w:rsidRDefault="00961617" w:rsidP="0020771F">
            <w:pPr>
              <w:pStyle w:val="Tablefirstcolumn"/>
              <w:rPr>
                <w:rFonts w:cstheme="minorHAnsi"/>
              </w:rPr>
            </w:pPr>
            <w:r w:rsidRPr="00545C7F">
              <w:rPr>
                <w:rFonts w:cstheme="minorHAnsi"/>
              </w:rPr>
              <w:t>Gender and age group: Males ages 50+ years</w:t>
            </w:r>
          </w:p>
        </w:tc>
        <w:tc>
          <w:tcPr>
            <w:tcW w:w="1277" w:type="dxa"/>
            <w:vAlign w:val="center"/>
          </w:tcPr>
          <w:p w14:paraId="7FD27A4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35.8</w:t>
            </w:r>
          </w:p>
        </w:tc>
        <w:tc>
          <w:tcPr>
            <w:tcW w:w="1278" w:type="dxa"/>
            <w:vAlign w:val="center"/>
          </w:tcPr>
          <w:p w14:paraId="48AA930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20.1</w:t>
            </w:r>
          </w:p>
        </w:tc>
        <w:tc>
          <w:tcPr>
            <w:tcW w:w="1278" w:type="dxa"/>
            <w:vAlign w:val="center"/>
          </w:tcPr>
          <w:p w14:paraId="52D7FA5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55.9</w:t>
            </w:r>
          </w:p>
        </w:tc>
        <w:tc>
          <w:tcPr>
            <w:tcW w:w="1136" w:type="dxa"/>
            <w:vAlign w:val="center"/>
          </w:tcPr>
          <w:p w14:paraId="42AACFC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9.0</w:t>
            </w:r>
          </w:p>
        </w:tc>
      </w:tr>
      <w:tr w:rsidR="00961617" w:rsidRPr="00545C7F" w14:paraId="1B56E473" w14:textId="77777777" w:rsidTr="0020771F">
        <w:trPr>
          <w:trHeight w:hRule="exact" w:val="397"/>
        </w:trPr>
        <w:tc>
          <w:tcPr>
            <w:tcW w:w="7338" w:type="dxa"/>
            <w:shd w:val="clear" w:color="auto" w:fill="E5E5E5" w:themeFill="background1" w:themeFillTint="33"/>
            <w:vAlign w:val="center"/>
          </w:tcPr>
          <w:p w14:paraId="449F6280" w14:textId="77777777" w:rsidR="00961617" w:rsidRPr="00545C7F" w:rsidRDefault="00961617" w:rsidP="0020771F">
            <w:pPr>
              <w:pStyle w:val="Tablefirstcolumn"/>
              <w:rPr>
                <w:rFonts w:cstheme="minorHAnsi"/>
              </w:rPr>
            </w:pPr>
            <w:r w:rsidRPr="00545C7F">
              <w:rPr>
                <w:rFonts w:cstheme="minorHAnsi"/>
              </w:rPr>
              <w:t>Gender and age group: Females aged &lt; 25 years</w:t>
            </w:r>
          </w:p>
        </w:tc>
        <w:tc>
          <w:tcPr>
            <w:tcW w:w="1277" w:type="dxa"/>
            <w:shd w:val="clear" w:color="auto" w:fill="E5E5E5" w:themeFill="background1" w:themeFillTint="33"/>
            <w:vAlign w:val="center"/>
          </w:tcPr>
          <w:p w14:paraId="3192995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31.7</w:t>
            </w:r>
          </w:p>
        </w:tc>
        <w:tc>
          <w:tcPr>
            <w:tcW w:w="1278" w:type="dxa"/>
            <w:shd w:val="clear" w:color="auto" w:fill="E5E5E5" w:themeFill="background1" w:themeFillTint="33"/>
            <w:vAlign w:val="center"/>
          </w:tcPr>
          <w:p w14:paraId="6011C4C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30.4</w:t>
            </w:r>
          </w:p>
        </w:tc>
        <w:tc>
          <w:tcPr>
            <w:tcW w:w="1278" w:type="dxa"/>
            <w:shd w:val="clear" w:color="auto" w:fill="E5E5E5" w:themeFill="background1" w:themeFillTint="33"/>
            <w:vAlign w:val="center"/>
          </w:tcPr>
          <w:p w14:paraId="24B79B4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62.1</w:t>
            </w:r>
          </w:p>
        </w:tc>
        <w:tc>
          <w:tcPr>
            <w:tcW w:w="1136" w:type="dxa"/>
            <w:shd w:val="clear" w:color="auto" w:fill="E5E5E5" w:themeFill="background1" w:themeFillTint="33"/>
            <w:vAlign w:val="center"/>
          </w:tcPr>
          <w:p w14:paraId="32CDC6F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37.2</w:t>
            </w:r>
          </w:p>
        </w:tc>
      </w:tr>
      <w:tr w:rsidR="00961617" w:rsidRPr="00545C7F" w14:paraId="19C30CFD" w14:textId="77777777" w:rsidTr="0020771F">
        <w:trPr>
          <w:trHeight w:hRule="exact" w:val="397"/>
        </w:trPr>
        <w:tc>
          <w:tcPr>
            <w:tcW w:w="7338" w:type="dxa"/>
            <w:vAlign w:val="center"/>
          </w:tcPr>
          <w:p w14:paraId="6F86C6C6" w14:textId="77777777" w:rsidR="00961617" w:rsidRPr="00545C7F" w:rsidRDefault="00961617" w:rsidP="0020771F">
            <w:pPr>
              <w:pStyle w:val="Tablefirstcolumn"/>
              <w:rPr>
                <w:rFonts w:cstheme="minorHAnsi"/>
              </w:rPr>
            </w:pPr>
            <w:r w:rsidRPr="00545C7F">
              <w:rPr>
                <w:rFonts w:cstheme="minorHAnsi"/>
              </w:rPr>
              <w:t>Gender and age group: Females aged 25-49 years</w:t>
            </w:r>
          </w:p>
        </w:tc>
        <w:tc>
          <w:tcPr>
            <w:tcW w:w="1277" w:type="dxa"/>
            <w:vAlign w:val="center"/>
          </w:tcPr>
          <w:p w14:paraId="2084803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29.0</w:t>
            </w:r>
          </w:p>
        </w:tc>
        <w:tc>
          <w:tcPr>
            <w:tcW w:w="1278" w:type="dxa"/>
            <w:vAlign w:val="center"/>
          </w:tcPr>
          <w:p w14:paraId="163748D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33.4</w:t>
            </w:r>
          </w:p>
        </w:tc>
        <w:tc>
          <w:tcPr>
            <w:tcW w:w="1278" w:type="dxa"/>
            <w:vAlign w:val="center"/>
          </w:tcPr>
          <w:p w14:paraId="61F26D4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62.4</w:t>
            </w:r>
          </w:p>
        </w:tc>
        <w:tc>
          <w:tcPr>
            <w:tcW w:w="1136" w:type="dxa"/>
            <w:vAlign w:val="center"/>
          </w:tcPr>
          <w:p w14:paraId="2C56D20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24.5</w:t>
            </w:r>
          </w:p>
        </w:tc>
      </w:tr>
      <w:tr w:rsidR="00961617" w:rsidRPr="00545C7F" w14:paraId="0C0008E1" w14:textId="77777777" w:rsidTr="0020771F">
        <w:trPr>
          <w:trHeight w:hRule="exact" w:val="397"/>
        </w:trPr>
        <w:tc>
          <w:tcPr>
            <w:tcW w:w="7338" w:type="dxa"/>
            <w:shd w:val="clear" w:color="auto" w:fill="E5E5E5" w:themeFill="background1" w:themeFillTint="33"/>
            <w:vAlign w:val="center"/>
          </w:tcPr>
          <w:p w14:paraId="6AD60838" w14:textId="77777777" w:rsidR="00961617" w:rsidRPr="00545C7F" w:rsidRDefault="00961617" w:rsidP="0020771F">
            <w:pPr>
              <w:pStyle w:val="Tablefirstcolumn"/>
              <w:rPr>
                <w:rFonts w:cstheme="minorHAnsi"/>
              </w:rPr>
            </w:pPr>
            <w:r w:rsidRPr="00545C7F">
              <w:rPr>
                <w:rFonts w:cstheme="minorHAnsi"/>
              </w:rPr>
              <w:t>Gender and age group: Females aged 50+ years</w:t>
            </w:r>
          </w:p>
        </w:tc>
        <w:tc>
          <w:tcPr>
            <w:tcW w:w="1277" w:type="dxa"/>
            <w:shd w:val="clear" w:color="auto" w:fill="E5E5E5" w:themeFill="background1" w:themeFillTint="33"/>
            <w:vAlign w:val="center"/>
          </w:tcPr>
          <w:p w14:paraId="3006430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19.8</w:t>
            </w:r>
          </w:p>
        </w:tc>
        <w:tc>
          <w:tcPr>
            <w:tcW w:w="1278" w:type="dxa"/>
            <w:shd w:val="clear" w:color="auto" w:fill="E5E5E5" w:themeFill="background1" w:themeFillTint="33"/>
            <w:vAlign w:val="center"/>
          </w:tcPr>
          <w:p w14:paraId="7B4658F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32.9</w:t>
            </w:r>
          </w:p>
        </w:tc>
        <w:tc>
          <w:tcPr>
            <w:tcW w:w="1278" w:type="dxa"/>
            <w:shd w:val="clear" w:color="auto" w:fill="E5E5E5" w:themeFill="background1" w:themeFillTint="33"/>
            <w:vAlign w:val="center"/>
          </w:tcPr>
          <w:p w14:paraId="54CF7AA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52.7</w:t>
            </w:r>
          </w:p>
        </w:tc>
        <w:tc>
          <w:tcPr>
            <w:tcW w:w="1136" w:type="dxa"/>
            <w:shd w:val="clear" w:color="auto" w:fill="E5E5E5" w:themeFill="background1" w:themeFillTint="33"/>
            <w:vAlign w:val="center"/>
          </w:tcPr>
          <w:p w14:paraId="36A250B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16.4</w:t>
            </w:r>
          </w:p>
        </w:tc>
      </w:tr>
      <w:tr w:rsidR="00961617" w:rsidRPr="00545C7F" w14:paraId="34A7C667" w14:textId="77777777" w:rsidTr="0020771F">
        <w:trPr>
          <w:trHeight w:hRule="exact" w:val="397"/>
        </w:trPr>
        <w:tc>
          <w:tcPr>
            <w:tcW w:w="7338" w:type="dxa"/>
            <w:vAlign w:val="center"/>
          </w:tcPr>
          <w:p w14:paraId="78614546" w14:textId="77777777" w:rsidR="00961617" w:rsidRPr="00545C7F" w:rsidRDefault="00961617" w:rsidP="0020771F">
            <w:pPr>
              <w:pStyle w:val="Tablefirstcolumn"/>
              <w:rPr>
                <w:rFonts w:cstheme="minorHAnsi"/>
              </w:rPr>
            </w:pPr>
            <w:r w:rsidRPr="00545C7F">
              <w:rPr>
                <w:rFonts w:cstheme="minorHAnsi"/>
              </w:rPr>
              <w:t>Income support type: NSA/YA(O)</w:t>
            </w:r>
          </w:p>
        </w:tc>
        <w:tc>
          <w:tcPr>
            <w:tcW w:w="1277" w:type="dxa"/>
            <w:vAlign w:val="center"/>
          </w:tcPr>
          <w:p w14:paraId="46AB8EB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37.7</w:t>
            </w:r>
          </w:p>
        </w:tc>
        <w:tc>
          <w:tcPr>
            <w:tcW w:w="1278" w:type="dxa"/>
            <w:vAlign w:val="center"/>
          </w:tcPr>
          <w:p w14:paraId="3E8E8E6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25.5</w:t>
            </w:r>
          </w:p>
        </w:tc>
        <w:tc>
          <w:tcPr>
            <w:tcW w:w="1278" w:type="dxa"/>
            <w:vAlign w:val="center"/>
          </w:tcPr>
          <w:p w14:paraId="7DF98DF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63.2</w:t>
            </w:r>
          </w:p>
        </w:tc>
        <w:tc>
          <w:tcPr>
            <w:tcW w:w="1136" w:type="dxa"/>
            <w:vAlign w:val="center"/>
          </w:tcPr>
          <w:p w14:paraId="69C7E4F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24.2</w:t>
            </w:r>
          </w:p>
        </w:tc>
      </w:tr>
      <w:tr w:rsidR="00961617" w:rsidRPr="00545C7F" w14:paraId="51DCAA71" w14:textId="77777777" w:rsidTr="0020771F">
        <w:trPr>
          <w:trHeight w:hRule="exact" w:val="397"/>
        </w:trPr>
        <w:tc>
          <w:tcPr>
            <w:tcW w:w="7338" w:type="dxa"/>
            <w:shd w:val="clear" w:color="auto" w:fill="E5E5E5" w:themeFill="background1" w:themeFillTint="33"/>
            <w:vAlign w:val="center"/>
          </w:tcPr>
          <w:p w14:paraId="23731BC3" w14:textId="77777777" w:rsidR="00961617" w:rsidRPr="00545C7F" w:rsidRDefault="00961617" w:rsidP="0020771F">
            <w:pPr>
              <w:pStyle w:val="Tablefirstcolumn"/>
              <w:rPr>
                <w:rFonts w:cstheme="minorHAnsi"/>
              </w:rPr>
            </w:pPr>
            <w:r w:rsidRPr="00545C7F">
              <w:rPr>
                <w:rFonts w:cstheme="minorHAnsi"/>
              </w:rPr>
              <w:t>Income support type: PPP/PPS</w:t>
            </w:r>
          </w:p>
        </w:tc>
        <w:tc>
          <w:tcPr>
            <w:tcW w:w="1277" w:type="dxa"/>
            <w:shd w:val="clear" w:color="auto" w:fill="E5E5E5" w:themeFill="background1" w:themeFillTint="33"/>
            <w:vAlign w:val="center"/>
          </w:tcPr>
          <w:p w14:paraId="11FCC01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19.5</w:t>
            </w:r>
          </w:p>
        </w:tc>
        <w:tc>
          <w:tcPr>
            <w:tcW w:w="1278" w:type="dxa"/>
            <w:shd w:val="clear" w:color="auto" w:fill="E5E5E5" w:themeFill="background1" w:themeFillTint="33"/>
            <w:vAlign w:val="center"/>
          </w:tcPr>
          <w:p w14:paraId="2862DBD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36.9</w:t>
            </w:r>
          </w:p>
        </w:tc>
        <w:tc>
          <w:tcPr>
            <w:tcW w:w="1278" w:type="dxa"/>
            <w:shd w:val="clear" w:color="auto" w:fill="E5E5E5" w:themeFill="background1" w:themeFillTint="33"/>
            <w:vAlign w:val="center"/>
          </w:tcPr>
          <w:p w14:paraId="7397E57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56.4</w:t>
            </w:r>
          </w:p>
        </w:tc>
        <w:tc>
          <w:tcPr>
            <w:tcW w:w="1136" w:type="dxa"/>
            <w:shd w:val="clear" w:color="auto" w:fill="E5E5E5" w:themeFill="background1" w:themeFillTint="33"/>
            <w:vAlign w:val="center"/>
          </w:tcPr>
          <w:p w14:paraId="254B392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29.0</w:t>
            </w:r>
          </w:p>
        </w:tc>
      </w:tr>
      <w:tr w:rsidR="00961617" w:rsidRPr="00545C7F" w14:paraId="0F084275" w14:textId="77777777" w:rsidTr="0020771F">
        <w:trPr>
          <w:trHeight w:hRule="exact" w:val="397"/>
        </w:trPr>
        <w:tc>
          <w:tcPr>
            <w:tcW w:w="7338" w:type="dxa"/>
            <w:vAlign w:val="center"/>
          </w:tcPr>
          <w:p w14:paraId="19839502" w14:textId="77777777" w:rsidR="00961617" w:rsidRPr="00545C7F" w:rsidRDefault="00961617" w:rsidP="0020771F">
            <w:pPr>
              <w:pStyle w:val="Tablefirstcolumn"/>
              <w:rPr>
                <w:rFonts w:cstheme="minorHAnsi"/>
              </w:rPr>
            </w:pPr>
            <w:r w:rsidRPr="00545C7F">
              <w:rPr>
                <w:rFonts w:cstheme="minorHAnsi"/>
              </w:rPr>
              <w:t>Income support type: Other income support type/not on income support</w:t>
            </w:r>
          </w:p>
        </w:tc>
        <w:tc>
          <w:tcPr>
            <w:tcW w:w="1277" w:type="dxa"/>
            <w:vAlign w:val="center"/>
          </w:tcPr>
          <w:p w14:paraId="67F82D0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24.6</w:t>
            </w:r>
          </w:p>
        </w:tc>
        <w:tc>
          <w:tcPr>
            <w:tcW w:w="1278" w:type="dxa"/>
            <w:vAlign w:val="center"/>
          </w:tcPr>
          <w:p w14:paraId="36E4C52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22.3</w:t>
            </w:r>
          </w:p>
        </w:tc>
        <w:tc>
          <w:tcPr>
            <w:tcW w:w="1278" w:type="dxa"/>
            <w:vAlign w:val="center"/>
          </w:tcPr>
          <w:p w14:paraId="016B5D6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46.9</w:t>
            </w:r>
          </w:p>
        </w:tc>
        <w:tc>
          <w:tcPr>
            <w:tcW w:w="1136" w:type="dxa"/>
            <w:vAlign w:val="center"/>
          </w:tcPr>
          <w:p w14:paraId="0EEC01A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33.4</w:t>
            </w:r>
          </w:p>
        </w:tc>
      </w:tr>
      <w:tr w:rsidR="00961617" w:rsidRPr="00545C7F" w14:paraId="48757A60" w14:textId="77777777" w:rsidTr="0020771F">
        <w:trPr>
          <w:trHeight w:hRule="exact" w:val="397"/>
        </w:trPr>
        <w:tc>
          <w:tcPr>
            <w:tcW w:w="7338" w:type="dxa"/>
            <w:shd w:val="clear" w:color="auto" w:fill="E5E5E5" w:themeFill="background1" w:themeFillTint="33"/>
            <w:vAlign w:val="center"/>
          </w:tcPr>
          <w:p w14:paraId="4AEA38DD" w14:textId="77777777" w:rsidR="00961617" w:rsidRPr="00545C7F" w:rsidRDefault="00961617" w:rsidP="0020771F">
            <w:pPr>
              <w:pStyle w:val="Tablefirstcolumn"/>
              <w:rPr>
                <w:rFonts w:cstheme="minorHAnsi"/>
              </w:rPr>
            </w:pPr>
            <w:r w:rsidRPr="00545C7F">
              <w:rPr>
                <w:rFonts w:cstheme="minorHAnsi"/>
              </w:rPr>
              <w:t>Geographic location: Major Cities of Australia</w:t>
            </w:r>
          </w:p>
        </w:tc>
        <w:tc>
          <w:tcPr>
            <w:tcW w:w="1277" w:type="dxa"/>
            <w:shd w:val="clear" w:color="auto" w:fill="E5E5E5" w:themeFill="background1" w:themeFillTint="33"/>
            <w:vAlign w:val="center"/>
          </w:tcPr>
          <w:p w14:paraId="16945AE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36.5</w:t>
            </w:r>
          </w:p>
        </w:tc>
        <w:tc>
          <w:tcPr>
            <w:tcW w:w="1278" w:type="dxa"/>
            <w:shd w:val="clear" w:color="auto" w:fill="E5E5E5" w:themeFill="background1" w:themeFillTint="33"/>
            <w:vAlign w:val="center"/>
          </w:tcPr>
          <w:p w14:paraId="546F2AC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25.6</w:t>
            </w:r>
          </w:p>
        </w:tc>
        <w:tc>
          <w:tcPr>
            <w:tcW w:w="1278" w:type="dxa"/>
            <w:shd w:val="clear" w:color="auto" w:fill="E5E5E5" w:themeFill="background1" w:themeFillTint="33"/>
            <w:vAlign w:val="center"/>
          </w:tcPr>
          <w:p w14:paraId="47C8E13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62.1</w:t>
            </w:r>
          </w:p>
        </w:tc>
        <w:tc>
          <w:tcPr>
            <w:tcW w:w="1136" w:type="dxa"/>
            <w:shd w:val="clear" w:color="auto" w:fill="E5E5E5" w:themeFill="background1" w:themeFillTint="33"/>
            <w:vAlign w:val="center"/>
          </w:tcPr>
          <w:p w14:paraId="0075F64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24.2</w:t>
            </w:r>
          </w:p>
        </w:tc>
      </w:tr>
      <w:tr w:rsidR="00961617" w:rsidRPr="00545C7F" w14:paraId="1BDD8A1D" w14:textId="77777777" w:rsidTr="0020771F">
        <w:trPr>
          <w:trHeight w:hRule="exact" w:val="397"/>
        </w:trPr>
        <w:tc>
          <w:tcPr>
            <w:tcW w:w="7338" w:type="dxa"/>
            <w:vAlign w:val="center"/>
          </w:tcPr>
          <w:p w14:paraId="5DE48F63" w14:textId="77777777" w:rsidR="00961617" w:rsidRPr="00545C7F" w:rsidRDefault="00961617" w:rsidP="0020771F">
            <w:pPr>
              <w:pStyle w:val="Tablefirstcolumn"/>
              <w:rPr>
                <w:rFonts w:cstheme="minorHAnsi"/>
              </w:rPr>
            </w:pPr>
            <w:r w:rsidRPr="00545C7F">
              <w:rPr>
                <w:rFonts w:cstheme="minorHAnsi"/>
              </w:rPr>
              <w:t xml:space="preserve">Geographic location: Inner Regional </w:t>
            </w:r>
          </w:p>
        </w:tc>
        <w:tc>
          <w:tcPr>
            <w:tcW w:w="1277" w:type="dxa"/>
            <w:vAlign w:val="center"/>
          </w:tcPr>
          <w:p w14:paraId="245DBE7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31.1</w:t>
            </w:r>
          </w:p>
        </w:tc>
        <w:tc>
          <w:tcPr>
            <w:tcW w:w="1278" w:type="dxa"/>
            <w:vAlign w:val="center"/>
          </w:tcPr>
          <w:p w14:paraId="3B603AC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32.0</w:t>
            </w:r>
          </w:p>
        </w:tc>
        <w:tc>
          <w:tcPr>
            <w:tcW w:w="1278" w:type="dxa"/>
            <w:vAlign w:val="center"/>
          </w:tcPr>
          <w:p w14:paraId="75BC184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63.1</w:t>
            </w:r>
          </w:p>
        </w:tc>
        <w:tc>
          <w:tcPr>
            <w:tcW w:w="1136" w:type="dxa"/>
            <w:vAlign w:val="center"/>
          </w:tcPr>
          <w:p w14:paraId="4BFBF47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25.6</w:t>
            </w:r>
          </w:p>
        </w:tc>
      </w:tr>
      <w:tr w:rsidR="00961617" w:rsidRPr="00545C7F" w14:paraId="10FCA6C1" w14:textId="77777777" w:rsidTr="0020771F">
        <w:trPr>
          <w:trHeight w:hRule="exact" w:val="397"/>
        </w:trPr>
        <w:tc>
          <w:tcPr>
            <w:tcW w:w="7338" w:type="dxa"/>
            <w:shd w:val="clear" w:color="auto" w:fill="E5E5E5" w:themeFill="background1" w:themeFillTint="33"/>
            <w:vAlign w:val="center"/>
          </w:tcPr>
          <w:p w14:paraId="1D084611" w14:textId="77777777" w:rsidR="00961617" w:rsidRPr="00545C7F" w:rsidRDefault="00961617" w:rsidP="0020771F">
            <w:pPr>
              <w:pStyle w:val="Tablefirstcolumn"/>
              <w:rPr>
                <w:rFonts w:cstheme="minorHAnsi"/>
              </w:rPr>
            </w:pPr>
            <w:r w:rsidRPr="00545C7F">
              <w:rPr>
                <w:rFonts w:cstheme="minorHAnsi"/>
              </w:rPr>
              <w:t>Geographic location: Other</w:t>
            </w:r>
          </w:p>
        </w:tc>
        <w:tc>
          <w:tcPr>
            <w:tcW w:w="1277" w:type="dxa"/>
            <w:shd w:val="clear" w:color="auto" w:fill="E5E5E5" w:themeFill="background1" w:themeFillTint="33"/>
            <w:vAlign w:val="center"/>
          </w:tcPr>
          <w:p w14:paraId="6174B13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33.0</w:t>
            </w:r>
          </w:p>
        </w:tc>
        <w:tc>
          <w:tcPr>
            <w:tcW w:w="1278" w:type="dxa"/>
            <w:shd w:val="clear" w:color="auto" w:fill="E5E5E5" w:themeFill="background1" w:themeFillTint="33"/>
            <w:vAlign w:val="center"/>
          </w:tcPr>
          <w:p w14:paraId="54C0AB2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26.8</w:t>
            </w:r>
          </w:p>
        </w:tc>
        <w:tc>
          <w:tcPr>
            <w:tcW w:w="1278" w:type="dxa"/>
            <w:shd w:val="clear" w:color="auto" w:fill="E5E5E5" w:themeFill="background1" w:themeFillTint="33"/>
            <w:vAlign w:val="center"/>
          </w:tcPr>
          <w:p w14:paraId="7E720AB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59.8</w:t>
            </w:r>
          </w:p>
        </w:tc>
        <w:tc>
          <w:tcPr>
            <w:tcW w:w="1136" w:type="dxa"/>
            <w:shd w:val="clear" w:color="auto" w:fill="E5E5E5" w:themeFill="background1" w:themeFillTint="33"/>
            <w:vAlign w:val="center"/>
          </w:tcPr>
          <w:p w14:paraId="7813219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23.6</w:t>
            </w:r>
          </w:p>
        </w:tc>
      </w:tr>
      <w:tr w:rsidR="00961617" w:rsidRPr="00545C7F" w14:paraId="3482FC89" w14:textId="77777777" w:rsidTr="0020771F">
        <w:trPr>
          <w:trHeight w:hRule="exact" w:val="397"/>
        </w:trPr>
        <w:tc>
          <w:tcPr>
            <w:tcW w:w="7338" w:type="dxa"/>
            <w:vAlign w:val="center"/>
          </w:tcPr>
          <w:p w14:paraId="4795E832" w14:textId="77777777" w:rsidR="00961617" w:rsidRPr="00545C7F" w:rsidRDefault="00961617" w:rsidP="0020771F">
            <w:pPr>
              <w:pStyle w:val="Tablefirstcolumn"/>
              <w:rPr>
                <w:rFonts w:cstheme="minorHAnsi"/>
              </w:rPr>
            </w:pPr>
            <w:r w:rsidRPr="00545C7F">
              <w:rPr>
                <w:rFonts w:cstheme="minorHAnsi"/>
              </w:rPr>
              <w:t>Highest level of education: Less than Year 10</w:t>
            </w:r>
          </w:p>
        </w:tc>
        <w:tc>
          <w:tcPr>
            <w:tcW w:w="1277" w:type="dxa"/>
            <w:vAlign w:val="center"/>
          </w:tcPr>
          <w:p w14:paraId="5CF994D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20.7</w:t>
            </w:r>
          </w:p>
        </w:tc>
        <w:tc>
          <w:tcPr>
            <w:tcW w:w="1278" w:type="dxa"/>
            <w:vAlign w:val="center"/>
          </w:tcPr>
          <w:p w14:paraId="6DCFCB4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17.9</w:t>
            </w:r>
          </w:p>
        </w:tc>
        <w:tc>
          <w:tcPr>
            <w:tcW w:w="1278" w:type="dxa"/>
            <w:vAlign w:val="center"/>
          </w:tcPr>
          <w:p w14:paraId="57B748F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38.6</w:t>
            </w:r>
          </w:p>
        </w:tc>
        <w:tc>
          <w:tcPr>
            <w:tcW w:w="1136" w:type="dxa"/>
            <w:vAlign w:val="center"/>
          </w:tcPr>
          <w:p w14:paraId="2D76756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28.7</w:t>
            </w:r>
          </w:p>
        </w:tc>
      </w:tr>
      <w:tr w:rsidR="00961617" w:rsidRPr="00545C7F" w14:paraId="58A1D012" w14:textId="77777777" w:rsidTr="0020771F">
        <w:trPr>
          <w:trHeight w:hRule="exact" w:val="397"/>
        </w:trPr>
        <w:tc>
          <w:tcPr>
            <w:tcW w:w="7338" w:type="dxa"/>
            <w:shd w:val="clear" w:color="auto" w:fill="E5E5E5" w:themeFill="background1" w:themeFillTint="33"/>
            <w:vAlign w:val="center"/>
          </w:tcPr>
          <w:p w14:paraId="201EE0DF" w14:textId="77777777" w:rsidR="00961617" w:rsidRPr="00545C7F" w:rsidRDefault="00961617" w:rsidP="0020771F">
            <w:pPr>
              <w:pStyle w:val="Tablefirstcolumn"/>
              <w:rPr>
                <w:rFonts w:cstheme="minorHAnsi"/>
              </w:rPr>
            </w:pPr>
            <w:r w:rsidRPr="00545C7F">
              <w:rPr>
                <w:rFonts w:cstheme="minorHAnsi"/>
              </w:rPr>
              <w:t>Highest level of education: Year 10/11</w:t>
            </w:r>
          </w:p>
        </w:tc>
        <w:tc>
          <w:tcPr>
            <w:tcW w:w="1277" w:type="dxa"/>
            <w:shd w:val="clear" w:color="auto" w:fill="E5E5E5" w:themeFill="background1" w:themeFillTint="33"/>
            <w:vAlign w:val="center"/>
          </w:tcPr>
          <w:p w14:paraId="5BA5A15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28.0</w:t>
            </w:r>
          </w:p>
        </w:tc>
        <w:tc>
          <w:tcPr>
            <w:tcW w:w="1278" w:type="dxa"/>
            <w:shd w:val="clear" w:color="auto" w:fill="E5E5E5" w:themeFill="background1" w:themeFillTint="33"/>
            <w:vAlign w:val="center"/>
          </w:tcPr>
          <w:p w14:paraId="7C2AF6F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27.1</w:t>
            </w:r>
          </w:p>
        </w:tc>
        <w:tc>
          <w:tcPr>
            <w:tcW w:w="1278" w:type="dxa"/>
            <w:shd w:val="clear" w:color="auto" w:fill="E5E5E5" w:themeFill="background1" w:themeFillTint="33"/>
            <w:vAlign w:val="center"/>
          </w:tcPr>
          <w:p w14:paraId="17507D2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55.1</w:t>
            </w:r>
          </w:p>
        </w:tc>
        <w:tc>
          <w:tcPr>
            <w:tcW w:w="1136" w:type="dxa"/>
            <w:shd w:val="clear" w:color="auto" w:fill="E5E5E5" w:themeFill="background1" w:themeFillTint="33"/>
            <w:vAlign w:val="center"/>
          </w:tcPr>
          <w:p w14:paraId="05DF0A7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20.9</w:t>
            </w:r>
          </w:p>
        </w:tc>
      </w:tr>
      <w:tr w:rsidR="00961617" w:rsidRPr="00545C7F" w14:paraId="387742B3" w14:textId="77777777" w:rsidTr="0020771F">
        <w:trPr>
          <w:trHeight w:hRule="exact" w:val="397"/>
        </w:trPr>
        <w:tc>
          <w:tcPr>
            <w:tcW w:w="7338" w:type="dxa"/>
            <w:vAlign w:val="center"/>
          </w:tcPr>
          <w:p w14:paraId="52B83601" w14:textId="77777777" w:rsidR="00961617" w:rsidRPr="00545C7F" w:rsidRDefault="00961617" w:rsidP="0020771F">
            <w:pPr>
              <w:pStyle w:val="Tablefirstcolumn"/>
              <w:rPr>
                <w:rFonts w:cstheme="minorHAnsi"/>
              </w:rPr>
            </w:pPr>
            <w:r w:rsidRPr="00545C7F">
              <w:rPr>
                <w:rFonts w:cstheme="minorHAnsi"/>
              </w:rPr>
              <w:t>Highest level of education: Year 12</w:t>
            </w:r>
          </w:p>
        </w:tc>
        <w:tc>
          <w:tcPr>
            <w:tcW w:w="1277" w:type="dxa"/>
            <w:vAlign w:val="center"/>
          </w:tcPr>
          <w:p w14:paraId="7FFC9AA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33.1</w:t>
            </w:r>
          </w:p>
        </w:tc>
        <w:tc>
          <w:tcPr>
            <w:tcW w:w="1278" w:type="dxa"/>
            <w:vAlign w:val="center"/>
          </w:tcPr>
          <w:p w14:paraId="18C6E8A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29.0</w:t>
            </w:r>
          </w:p>
        </w:tc>
        <w:tc>
          <w:tcPr>
            <w:tcW w:w="1278" w:type="dxa"/>
            <w:vAlign w:val="center"/>
          </w:tcPr>
          <w:p w14:paraId="21D7B6E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62.1</w:t>
            </w:r>
          </w:p>
        </w:tc>
        <w:tc>
          <w:tcPr>
            <w:tcW w:w="1136" w:type="dxa"/>
            <w:vAlign w:val="center"/>
          </w:tcPr>
          <w:p w14:paraId="6B9118F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32.4</w:t>
            </w:r>
          </w:p>
        </w:tc>
      </w:tr>
      <w:tr w:rsidR="00961617" w:rsidRPr="00545C7F" w14:paraId="5CE7C578" w14:textId="77777777" w:rsidTr="0020771F">
        <w:trPr>
          <w:trHeight w:hRule="exact" w:val="397"/>
        </w:trPr>
        <w:tc>
          <w:tcPr>
            <w:tcW w:w="7338" w:type="dxa"/>
            <w:shd w:val="clear" w:color="auto" w:fill="E5E5E5" w:themeFill="background1" w:themeFillTint="33"/>
            <w:vAlign w:val="center"/>
          </w:tcPr>
          <w:p w14:paraId="5246A2D2" w14:textId="77777777" w:rsidR="00961617" w:rsidRPr="00545C7F" w:rsidRDefault="00961617" w:rsidP="0020771F">
            <w:pPr>
              <w:pStyle w:val="Tablefirstcolumn"/>
              <w:rPr>
                <w:rFonts w:cstheme="minorHAnsi"/>
              </w:rPr>
            </w:pPr>
            <w:r w:rsidRPr="00545C7F">
              <w:rPr>
                <w:rFonts w:cstheme="minorHAnsi"/>
              </w:rPr>
              <w:t>Highest level of education: TAFE/Diploma</w:t>
            </w:r>
          </w:p>
        </w:tc>
        <w:tc>
          <w:tcPr>
            <w:tcW w:w="1277" w:type="dxa"/>
            <w:shd w:val="clear" w:color="auto" w:fill="E5E5E5" w:themeFill="background1" w:themeFillTint="33"/>
            <w:vAlign w:val="center"/>
          </w:tcPr>
          <w:p w14:paraId="7AE12B4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38.2</w:t>
            </w:r>
          </w:p>
        </w:tc>
        <w:tc>
          <w:tcPr>
            <w:tcW w:w="1278" w:type="dxa"/>
            <w:shd w:val="clear" w:color="auto" w:fill="E5E5E5" w:themeFill="background1" w:themeFillTint="33"/>
            <w:vAlign w:val="center"/>
          </w:tcPr>
          <w:p w14:paraId="2B47211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28.8</w:t>
            </w:r>
          </w:p>
        </w:tc>
        <w:tc>
          <w:tcPr>
            <w:tcW w:w="1278" w:type="dxa"/>
            <w:shd w:val="clear" w:color="auto" w:fill="E5E5E5" w:themeFill="background1" w:themeFillTint="33"/>
            <w:vAlign w:val="center"/>
          </w:tcPr>
          <w:p w14:paraId="62CD030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67.0</w:t>
            </w:r>
          </w:p>
        </w:tc>
        <w:tc>
          <w:tcPr>
            <w:tcW w:w="1136" w:type="dxa"/>
            <w:shd w:val="clear" w:color="auto" w:fill="E5E5E5" w:themeFill="background1" w:themeFillTint="33"/>
            <w:vAlign w:val="center"/>
          </w:tcPr>
          <w:p w14:paraId="6DFB4DE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20.3</w:t>
            </w:r>
          </w:p>
        </w:tc>
      </w:tr>
      <w:tr w:rsidR="00961617" w:rsidRPr="00545C7F" w14:paraId="7C080D14" w14:textId="77777777" w:rsidTr="0020771F">
        <w:trPr>
          <w:trHeight w:hRule="exact" w:val="397"/>
        </w:trPr>
        <w:tc>
          <w:tcPr>
            <w:tcW w:w="7338" w:type="dxa"/>
            <w:vAlign w:val="center"/>
          </w:tcPr>
          <w:p w14:paraId="428F7BDD" w14:textId="77777777" w:rsidR="00961617" w:rsidRPr="00545C7F" w:rsidRDefault="00961617" w:rsidP="0020771F">
            <w:pPr>
              <w:pStyle w:val="Tablefirstcolumn"/>
              <w:rPr>
                <w:rFonts w:cstheme="minorHAnsi"/>
              </w:rPr>
            </w:pPr>
            <w:r w:rsidRPr="00545C7F">
              <w:rPr>
                <w:rFonts w:cstheme="minorHAnsi"/>
              </w:rPr>
              <w:t>Highest level of education: Degree/Post-graduate</w:t>
            </w:r>
          </w:p>
        </w:tc>
        <w:tc>
          <w:tcPr>
            <w:tcW w:w="1277" w:type="dxa"/>
            <w:vAlign w:val="center"/>
          </w:tcPr>
          <w:p w14:paraId="158F9D03"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47.5</w:t>
            </w:r>
          </w:p>
        </w:tc>
        <w:tc>
          <w:tcPr>
            <w:tcW w:w="1278" w:type="dxa"/>
            <w:vAlign w:val="center"/>
          </w:tcPr>
          <w:p w14:paraId="418739C2"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27.1</w:t>
            </w:r>
          </w:p>
        </w:tc>
        <w:tc>
          <w:tcPr>
            <w:tcW w:w="1278" w:type="dxa"/>
            <w:vAlign w:val="center"/>
          </w:tcPr>
          <w:p w14:paraId="7BBF8DC2"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74.6</w:t>
            </w:r>
          </w:p>
        </w:tc>
        <w:tc>
          <w:tcPr>
            <w:tcW w:w="1136" w:type="dxa"/>
            <w:vAlign w:val="center"/>
          </w:tcPr>
          <w:p w14:paraId="7EAE33D9"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21.5</w:t>
            </w:r>
          </w:p>
        </w:tc>
      </w:tr>
      <w:tr w:rsidR="00961617" w:rsidRPr="00545C7F" w14:paraId="493D016F" w14:textId="77777777" w:rsidTr="0020771F">
        <w:trPr>
          <w:trHeight w:hRule="exact" w:val="397"/>
        </w:trPr>
        <w:tc>
          <w:tcPr>
            <w:tcW w:w="7338" w:type="dxa"/>
            <w:shd w:val="clear" w:color="auto" w:fill="E5E5E5" w:themeFill="background1" w:themeFillTint="33"/>
            <w:vAlign w:val="center"/>
          </w:tcPr>
          <w:p w14:paraId="5BEAC534" w14:textId="77777777" w:rsidR="00961617" w:rsidRPr="00545C7F" w:rsidRDefault="00961617" w:rsidP="0020771F">
            <w:pPr>
              <w:pStyle w:val="Tablefirstcolumn"/>
              <w:rPr>
                <w:rFonts w:cstheme="minorHAnsi"/>
              </w:rPr>
            </w:pPr>
            <w:r w:rsidRPr="00545C7F">
              <w:rPr>
                <w:rFonts w:cstheme="minorHAnsi"/>
              </w:rPr>
              <w:t>Client group: Indigenous</w:t>
            </w:r>
          </w:p>
        </w:tc>
        <w:tc>
          <w:tcPr>
            <w:tcW w:w="1277" w:type="dxa"/>
            <w:shd w:val="clear" w:color="auto" w:fill="E5E5E5" w:themeFill="background1" w:themeFillTint="33"/>
            <w:vAlign w:val="center"/>
          </w:tcPr>
          <w:p w14:paraId="589C4F5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25.4</w:t>
            </w:r>
          </w:p>
        </w:tc>
        <w:tc>
          <w:tcPr>
            <w:tcW w:w="1278" w:type="dxa"/>
            <w:shd w:val="clear" w:color="auto" w:fill="E5E5E5" w:themeFill="background1" w:themeFillTint="33"/>
            <w:vAlign w:val="center"/>
          </w:tcPr>
          <w:p w14:paraId="7F9D2C5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15.9</w:t>
            </w:r>
          </w:p>
        </w:tc>
        <w:tc>
          <w:tcPr>
            <w:tcW w:w="1278" w:type="dxa"/>
            <w:shd w:val="clear" w:color="auto" w:fill="E5E5E5" w:themeFill="background1" w:themeFillTint="33"/>
            <w:vAlign w:val="center"/>
          </w:tcPr>
          <w:p w14:paraId="4BBC424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41.3</w:t>
            </w:r>
          </w:p>
        </w:tc>
        <w:tc>
          <w:tcPr>
            <w:tcW w:w="1136" w:type="dxa"/>
            <w:shd w:val="clear" w:color="auto" w:fill="E5E5E5" w:themeFill="background1" w:themeFillTint="33"/>
            <w:vAlign w:val="center"/>
          </w:tcPr>
          <w:p w14:paraId="104885A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33.2</w:t>
            </w:r>
          </w:p>
        </w:tc>
      </w:tr>
      <w:tr w:rsidR="00961617" w:rsidRPr="00545C7F" w14:paraId="396C2A4D" w14:textId="77777777" w:rsidTr="0020771F">
        <w:trPr>
          <w:trHeight w:hRule="exact" w:val="397"/>
        </w:trPr>
        <w:tc>
          <w:tcPr>
            <w:tcW w:w="7338" w:type="dxa"/>
            <w:vAlign w:val="center"/>
          </w:tcPr>
          <w:p w14:paraId="446CD305" w14:textId="77777777" w:rsidR="00961617" w:rsidRPr="00545C7F" w:rsidRDefault="00961617" w:rsidP="0020771F">
            <w:pPr>
              <w:pStyle w:val="Tablefirstcolumn"/>
              <w:rPr>
                <w:rFonts w:cstheme="minorHAnsi"/>
              </w:rPr>
            </w:pPr>
            <w:r w:rsidRPr="00545C7F">
              <w:rPr>
                <w:rFonts w:cstheme="minorHAnsi"/>
              </w:rPr>
              <w:t>Client group: Non-Indigenous</w:t>
            </w:r>
          </w:p>
        </w:tc>
        <w:tc>
          <w:tcPr>
            <w:tcW w:w="1277" w:type="dxa"/>
            <w:vAlign w:val="center"/>
          </w:tcPr>
          <w:p w14:paraId="1DE83C8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35.4</w:t>
            </w:r>
          </w:p>
        </w:tc>
        <w:tc>
          <w:tcPr>
            <w:tcW w:w="1278" w:type="dxa"/>
            <w:vAlign w:val="center"/>
          </w:tcPr>
          <w:p w14:paraId="716725D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27.6</w:t>
            </w:r>
          </w:p>
        </w:tc>
        <w:tc>
          <w:tcPr>
            <w:tcW w:w="1278" w:type="dxa"/>
            <w:vAlign w:val="center"/>
          </w:tcPr>
          <w:p w14:paraId="1D2298C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63.0</w:t>
            </w:r>
          </w:p>
        </w:tc>
        <w:tc>
          <w:tcPr>
            <w:tcW w:w="1136" w:type="dxa"/>
            <w:vAlign w:val="center"/>
          </w:tcPr>
          <w:p w14:paraId="534C83E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24.1</w:t>
            </w:r>
          </w:p>
        </w:tc>
      </w:tr>
      <w:tr w:rsidR="00961617" w:rsidRPr="00545C7F" w14:paraId="3C1C8240" w14:textId="77777777" w:rsidTr="0020771F">
        <w:trPr>
          <w:trHeight w:hRule="exact" w:val="397"/>
        </w:trPr>
        <w:tc>
          <w:tcPr>
            <w:tcW w:w="7338" w:type="dxa"/>
            <w:shd w:val="clear" w:color="auto" w:fill="E5E5E5" w:themeFill="background1" w:themeFillTint="33"/>
            <w:vAlign w:val="center"/>
          </w:tcPr>
          <w:p w14:paraId="059FA478" w14:textId="77777777" w:rsidR="00961617" w:rsidRPr="00545C7F" w:rsidRDefault="00961617" w:rsidP="0020771F">
            <w:pPr>
              <w:pStyle w:val="Tablefirstcolumn"/>
              <w:rPr>
                <w:rFonts w:cstheme="minorHAnsi"/>
              </w:rPr>
            </w:pPr>
            <w:r w:rsidRPr="00545C7F">
              <w:rPr>
                <w:rFonts w:cstheme="minorHAnsi"/>
              </w:rPr>
              <w:t>Client group: Job seekers with a disability as identified by JCA/ESAt</w:t>
            </w:r>
          </w:p>
        </w:tc>
        <w:tc>
          <w:tcPr>
            <w:tcW w:w="1277" w:type="dxa"/>
            <w:shd w:val="clear" w:color="auto" w:fill="E5E5E5" w:themeFill="background1" w:themeFillTint="33"/>
            <w:vAlign w:val="center"/>
          </w:tcPr>
          <w:p w14:paraId="5875309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16.1</w:t>
            </w:r>
          </w:p>
        </w:tc>
        <w:tc>
          <w:tcPr>
            <w:tcW w:w="1278" w:type="dxa"/>
            <w:shd w:val="clear" w:color="auto" w:fill="E5E5E5" w:themeFill="background1" w:themeFillTint="33"/>
            <w:vAlign w:val="center"/>
          </w:tcPr>
          <w:p w14:paraId="22D4DB2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24.3</w:t>
            </w:r>
          </w:p>
        </w:tc>
        <w:tc>
          <w:tcPr>
            <w:tcW w:w="1278" w:type="dxa"/>
            <w:shd w:val="clear" w:color="auto" w:fill="E5E5E5" w:themeFill="background1" w:themeFillTint="33"/>
            <w:vAlign w:val="center"/>
          </w:tcPr>
          <w:p w14:paraId="5AE8550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40.4</w:t>
            </w:r>
          </w:p>
        </w:tc>
        <w:tc>
          <w:tcPr>
            <w:tcW w:w="1136" w:type="dxa"/>
            <w:shd w:val="clear" w:color="auto" w:fill="E5E5E5" w:themeFill="background1" w:themeFillTint="33"/>
            <w:vAlign w:val="center"/>
          </w:tcPr>
          <w:p w14:paraId="1E1238D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24.4</w:t>
            </w:r>
          </w:p>
        </w:tc>
      </w:tr>
      <w:tr w:rsidR="00961617" w:rsidRPr="00545C7F" w14:paraId="518B02C7" w14:textId="77777777" w:rsidTr="0020771F">
        <w:trPr>
          <w:trHeight w:hRule="exact" w:val="397"/>
        </w:trPr>
        <w:tc>
          <w:tcPr>
            <w:tcW w:w="7338" w:type="dxa"/>
            <w:vAlign w:val="center"/>
          </w:tcPr>
          <w:p w14:paraId="2CBDB6C8" w14:textId="77777777" w:rsidR="00961617" w:rsidRPr="00545C7F" w:rsidRDefault="00961617" w:rsidP="0020771F">
            <w:pPr>
              <w:pStyle w:val="Tablefirstcolumn"/>
              <w:rPr>
                <w:rFonts w:cstheme="minorHAnsi"/>
              </w:rPr>
            </w:pPr>
            <w:r w:rsidRPr="00545C7F">
              <w:rPr>
                <w:rFonts w:cstheme="minorHAnsi"/>
              </w:rPr>
              <w:t>Client group: Non-English speaking background</w:t>
            </w:r>
          </w:p>
        </w:tc>
        <w:tc>
          <w:tcPr>
            <w:tcW w:w="1277" w:type="dxa"/>
            <w:vAlign w:val="center"/>
          </w:tcPr>
          <w:p w14:paraId="0519CED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29.9</w:t>
            </w:r>
          </w:p>
        </w:tc>
        <w:tc>
          <w:tcPr>
            <w:tcW w:w="1278" w:type="dxa"/>
            <w:vAlign w:val="center"/>
          </w:tcPr>
          <w:p w14:paraId="4A2163E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21.2</w:t>
            </w:r>
          </w:p>
        </w:tc>
        <w:tc>
          <w:tcPr>
            <w:tcW w:w="1278" w:type="dxa"/>
            <w:vAlign w:val="center"/>
          </w:tcPr>
          <w:p w14:paraId="7E016AA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51.1</w:t>
            </w:r>
          </w:p>
        </w:tc>
        <w:tc>
          <w:tcPr>
            <w:tcW w:w="1136" w:type="dxa"/>
            <w:vAlign w:val="center"/>
          </w:tcPr>
          <w:p w14:paraId="17667B0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30.7</w:t>
            </w:r>
          </w:p>
        </w:tc>
      </w:tr>
      <w:tr w:rsidR="00961617" w:rsidRPr="00545C7F" w14:paraId="61FD2052" w14:textId="77777777" w:rsidTr="0020771F">
        <w:trPr>
          <w:trHeight w:hRule="exact" w:val="397"/>
        </w:trPr>
        <w:tc>
          <w:tcPr>
            <w:tcW w:w="7338" w:type="dxa"/>
            <w:shd w:val="clear" w:color="auto" w:fill="E5E5E5" w:themeFill="background1" w:themeFillTint="33"/>
            <w:vAlign w:val="center"/>
          </w:tcPr>
          <w:p w14:paraId="5CF66575" w14:textId="77777777" w:rsidR="00961617" w:rsidRPr="00545C7F" w:rsidRDefault="00961617" w:rsidP="0020771F">
            <w:pPr>
              <w:pStyle w:val="Tablefirstcolumn"/>
              <w:rPr>
                <w:rFonts w:cstheme="minorHAnsi"/>
              </w:rPr>
            </w:pPr>
            <w:r w:rsidRPr="00545C7F">
              <w:rPr>
                <w:rFonts w:cstheme="minorHAnsi"/>
              </w:rPr>
              <w:t>Client group: Mixed or low English proficiency</w:t>
            </w:r>
          </w:p>
        </w:tc>
        <w:tc>
          <w:tcPr>
            <w:tcW w:w="1277" w:type="dxa"/>
            <w:shd w:val="clear" w:color="auto" w:fill="E5E5E5" w:themeFill="background1" w:themeFillTint="33"/>
            <w:vAlign w:val="center"/>
          </w:tcPr>
          <w:p w14:paraId="739F192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20.0</w:t>
            </w:r>
          </w:p>
        </w:tc>
        <w:tc>
          <w:tcPr>
            <w:tcW w:w="1278" w:type="dxa"/>
            <w:shd w:val="clear" w:color="auto" w:fill="E5E5E5" w:themeFill="background1" w:themeFillTint="33"/>
            <w:vAlign w:val="center"/>
          </w:tcPr>
          <w:p w14:paraId="39961E8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15.9</w:t>
            </w:r>
          </w:p>
        </w:tc>
        <w:tc>
          <w:tcPr>
            <w:tcW w:w="1278" w:type="dxa"/>
            <w:shd w:val="clear" w:color="auto" w:fill="E5E5E5" w:themeFill="background1" w:themeFillTint="33"/>
            <w:vAlign w:val="center"/>
          </w:tcPr>
          <w:p w14:paraId="4F1EF87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35.9</w:t>
            </w:r>
          </w:p>
        </w:tc>
        <w:tc>
          <w:tcPr>
            <w:tcW w:w="1136" w:type="dxa"/>
            <w:shd w:val="clear" w:color="auto" w:fill="E5E5E5" w:themeFill="background1" w:themeFillTint="33"/>
            <w:vAlign w:val="center"/>
          </w:tcPr>
          <w:p w14:paraId="722DCC2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38.8</w:t>
            </w:r>
          </w:p>
        </w:tc>
      </w:tr>
      <w:tr w:rsidR="00961617" w:rsidRPr="00545C7F" w14:paraId="668FE30E" w14:textId="77777777" w:rsidTr="0020771F">
        <w:trPr>
          <w:trHeight w:hRule="exact" w:val="397"/>
        </w:trPr>
        <w:tc>
          <w:tcPr>
            <w:tcW w:w="7338" w:type="dxa"/>
            <w:vAlign w:val="center"/>
          </w:tcPr>
          <w:p w14:paraId="46CDE040" w14:textId="77777777" w:rsidR="00961617" w:rsidRPr="00545C7F" w:rsidRDefault="00961617" w:rsidP="0020771F">
            <w:pPr>
              <w:pStyle w:val="Tablefirstcolumn"/>
              <w:rPr>
                <w:rFonts w:cstheme="minorHAnsi"/>
              </w:rPr>
            </w:pPr>
            <w:r w:rsidRPr="00545C7F">
              <w:rPr>
                <w:rFonts w:cstheme="minorHAnsi"/>
              </w:rPr>
              <w:t>Client group: Single parents</w:t>
            </w:r>
          </w:p>
        </w:tc>
        <w:tc>
          <w:tcPr>
            <w:tcW w:w="1277" w:type="dxa"/>
            <w:vAlign w:val="center"/>
          </w:tcPr>
          <w:p w14:paraId="6320D7C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22.6</w:t>
            </w:r>
          </w:p>
        </w:tc>
        <w:tc>
          <w:tcPr>
            <w:tcW w:w="1278" w:type="dxa"/>
            <w:vAlign w:val="center"/>
          </w:tcPr>
          <w:p w14:paraId="7E02058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39.6</w:t>
            </w:r>
          </w:p>
        </w:tc>
        <w:tc>
          <w:tcPr>
            <w:tcW w:w="1278" w:type="dxa"/>
            <w:vAlign w:val="center"/>
          </w:tcPr>
          <w:p w14:paraId="2E9A833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62.2</w:t>
            </w:r>
          </w:p>
        </w:tc>
        <w:tc>
          <w:tcPr>
            <w:tcW w:w="1136" w:type="dxa"/>
            <w:vAlign w:val="center"/>
          </w:tcPr>
          <w:p w14:paraId="78A82B3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27.8</w:t>
            </w:r>
          </w:p>
        </w:tc>
      </w:tr>
      <w:tr w:rsidR="00961617" w:rsidRPr="00545C7F" w14:paraId="09FFB38E" w14:textId="77777777" w:rsidTr="0020771F">
        <w:trPr>
          <w:trHeight w:hRule="exact" w:val="397"/>
        </w:trPr>
        <w:tc>
          <w:tcPr>
            <w:tcW w:w="7338" w:type="dxa"/>
            <w:shd w:val="clear" w:color="auto" w:fill="E5E5E5" w:themeFill="background1" w:themeFillTint="33"/>
            <w:vAlign w:val="center"/>
          </w:tcPr>
          <w:p w14:paraId="390681E7" w14:textId="77777777" w:rsidR="00961617" w:rsidRPr="00545C7F" w:rsidRDefault="00961617" w:rsidP="0020771F">
            <w:pPr>
              <w:pStyle w:val="Tablefirstcolumn"/>
              <w:rPr>
                <w:rFonts w:cstheme="minorHAnsi"/>
              </w:rPr>
            </w:pPr>
            <w:r w:rsidRPr="00545C7F">
              <w:rPr>
                <w:rFonts w:cstheme="minorHAnsi"/>
              </w:rPr>
              <w:t>Client group: Ex-offenders</w:t>
            </w:r>
          </w:p>
        </w:tc>
        <w:tc>
          <w:tcPr>
            <w:tcW w:w="1277" w:type="dxa"/>
            <w:shd w:val="clear" w:color="auto" w:fill="E5E5E5" w:themeFill="background1" w:themeFillTint="33"/>
            <w:vAlign w:val="center"/>
          </w:tcPr>
          <w:p w14:paraId="49B2516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38.2</w:t>
            </w:r>
          </w:p>
        </w:tc>
        <w:tc>
          <w:tcPr>
            <w:tcW w:w="1278" w:type="dxa"/>
            <w:shd w:val="clear" w:color="auto" w:fill="E5E5E5" w:themeFill="background1" w:themeFillTint="33"/>
            <w:vAlign w:val="center"/>
          </w:tcPr>
          <w:p w14:paraId="58E90DF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15.3</w:t>
            </w:r>
          </w:p>
        </w:tc>
        <w:tc>
          <w:tcPr>
            <w:tcW w:w="1278" w:type="dxa"/>
            <w:shd w:val="clear" w:color="auto" w:fill="E5E5E5" w:themeFill="background1" w:themeFillTint="33"/>
            <w:vAlign w:val="center"/>
          </w:tcPr>
          <w:p w14:paraId="7FC9B61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53.5</w:t>
            </w:r>
          </w:p>
        </w:tc>
        <w:tc>
          <w:tcPr>
            <w:tcW w:w="1136" w:type="dxa"/>
            <w:shd w:val="clear" w:color="auto" w:fill="E5E5E5" w:themeFill="background1" w:themeFillTint="33"/>
            <w:vAlign w:val="center"/>
          </w:tcPr>
          <w:p w14:paraId="785C5A4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12.4</w:t>
            </w:r>
          </w:p>
        </w:tc>
      </w:tr>
      <w:tr w:rsidR="00961617" w:rsidRPr="00545C7F" w14:paraId="3DE09244" w14:textId="77777777" w:rsidTr="0020771F">
        <w:trPr>
          <w:trHeight w:hRule="exact" w:val="397"/>
        </w:trPr>
        <w:tc>
          <w:tcPr>
            <w:tcW w:w="7338" w:type="dxa"/>
            <w:vAlign w:val="center"/>
          </w:tcPr>
          <w:p w14:paraId="319801C3" w14:textId="77777777" w:rsidR="00961617" w:rsidRPr="00545C7F" w:rsidRDefault="00961617" w:rsidP="0020771F">
            <w:pPr>
              <w:pStyle w:val="Tablefirstcolumn"/>
              <w:rPr>
                <w:rFonts w:cstheme="minorHAnsi"/>
              </w:rPr>
            </w:pPr>
            <w:r w:rsidRPr="00545C7F">
              <w:rPr>
                <w:rFonts w:cstheme="minorHAnsi"/>
              </w:rPr>
              <w:t>Client group: Homeless</w:t>
            </w:r>
          </w:p>
        </w:tc>
        <w:tc>
          <w:tcPr>
            <w:tcW w:w="1277" w:type="dxa"/>
            <w:vAlign w:val="center"/>
          </w:tcPr>
          <w:p w14:paraId="2F88720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32.4</w:t>
            </w:r>
          </w:p>
        </w:tc>
        <w:tc>
          <w:tcPr>
            <w:tcW w:w="1278" w:type="dxa"/>
            <w:vAlign w:val="center"/>
          </w:tcPr>
          <w:p w14:paraId="208A53E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18.8</w:t>
            </w:r>
          </w:p>
        </w:tc>
        <w:tc>
          <w:tcPr>
            <w:tcW w:w="1278" w:type="dxa"/>
            <w:vAlign w:val="center"/>
          </w:tcPr>
          <w:p w14:paraId="75C0851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51.2</w:t>
            </w:r>
          </w:p>
        </w:tc>
        <w:tc>
          <w:tcPr>
            <w:tcW w:w="1136" w:type="dxa"/>
            <w:vAlign w:val="center"/>
          </w:tcPr>
          <w:p w14:paraId="75BF104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29.0</w:t>
            </w:r>
          </w:p>
        </w:tc>
      </w:tr>
      <w:tr w:rsidR="00961617" w:rsidRPr="00545C7F" w14:paraId="1836ADDD" w14:textId="77777777" w:rsidTr="0020771F">
        <w:trPr>
          <w:trHeight w:hRule="exact" w:val="397"/>
        </w:trPr>
        <w:tc>
          <w:tcPr>
            <w:tcW w:w="7338" w:type="dxa"/>
            <w:shd w:val="clear" w:color="auto" w:fill="8EAEDE"/>
            <w:vAlign w:val="center"/>
          </w:tcPr>
          <w:p w14:paraId="6B581B22" w14:textId="77777777" w:rsidR="00961617" w:rsidRPr="00545C7F" w:rsidRDefault="00961617" w:rsidP="0020771F">
            <w:pPr>
              <w:pStyle w:val="Tablefirstcolumn"/>
              <w:rPr>
                <w:rFonts w:cstheme="minorHAnsi"/>
              </w:rPr>
            </w:pPr>
            <w:r w:rsidRPr="00545C7F">
              <w:rPr>
                <w:rFonts w:cstheme="minorHAnsi"/>
              </w:rPr>
              <w:t>Total</w:t>
            </w:r>
          </w:p>
        </w:tc>
        <w:tc>
          <w:tcPr>
            <w:tcW w:w="1277" w:type="dxa"/>
            <w:shd w:val="clear" w:color="auto" w:fill="8EAEDE"/>
            <w:vAlign w:val="center"/>
          </w:tcPr>
          <w:p w14:paraId="2E15DEC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35.0</w:t>
            </w:r>
          </w:p>
        </w:tc>
        <w:tc>
          <w:tcPr>
            <w:tcW w:w="1278" w:type="dxa"/>
            <w:shd w:val="clear" w:color="auto" w:fill="8EAEDE"/>
            <w:vAlign w:val="center"/>
          </w:tcPr>
          <w:p w14:paraId="1810B38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27.1</w:t>
            </w:r>
          </w:p>
        </w:tc>
        <w:tc>
          <w:tcPr>
            <w:tcW w:w="1278" w:type="dxa"/>
            <w:shd w:val="clear" w:color="auto" w:fill="8EAEDE"/>
            <w:vAlign w:val="center"/>
          </w:tcPr>
          <w:p w14:paraId="53C48BE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62.1</w:t>
            </w:r>
          </w:p>
        </w:tc>
        <w:tc>
          <w:tcPr>
            <w:tcW w:w="1136" w:type="dxa"/>
            <w:shd w:val="clear" w:color="auto" w:fill="8EAEDE"/>
            <w:vAlign w:val="center"/>
          </w:tcPr>
          <w:p w14:paraId="3637DD6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24.5</w:t>
            </w:r>
          </w:p>
        </w:tc>
      </w:tr>
    </w:tbl>
    <w:p w14:paraId="04B8B627" w14:textId="77777777" w:rsidR="00961617" w:rsidRPr="002F5864" w:rsidRDefault="00961617" w:rsidP="00E13B5E">
      <w:pPr>
        <w:pStyle w:val="Notes"/>
      </w:pPr>
      <w:r w:rsidRPr="002F5864">
        <w:rPr>
          <w:b/>
        </w:rPr>
        <w:t xml:space="preserve">Note: </w:t>
      </w:r>
      <w:r w:rsidR="00E13B5E">
        <w:rPr>
          <w:b/>
        </w:rPr>
        <w:tab/>
      </w:r>
      <w:r w:rsidRPr="002F5864">
        <w:t>Excludes job seekers living in communities that were subsequently transferred to the Remote Jobs and Communities Programme in July 2013.</w:t>
      </w:r>
    </w:p>
    <w:p w14:paraId="3D30B8DB" w14:textId="77777777" w:rsidR="00961617" w:rsidRPr="002F5864" w:rsidRDefault="00961617" w:rsidP="00E13B5E">
      <w:pPr>
        <w:pStyle w:val="Source"/>
      </w:pPr>
      <w:r w:rsidRPr="002F5864">
        <w:rPr>
          <w:b/>
        </w:rPr>
        <w:t>Source:</w:t>
      </w:r>
      <w:r w:rsidRPr="002F5864">
        <w:t xml:space="preserve"> </w:t>
      </w:r>
      <w:r w:rsidR="00E13B5E">
        <w:tab/>
      </w:r>
      <w:r w:rsidRPr="002F5864">
        <w:t>Department of Employment Post Programme Monitoring Survey.</w:t>
      </w:r>
    </w:p>
    <w:p w14:paraId="1130765D"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0B39883C" w14:textId="77777777" w:rsidR="00961617" w:rsidRPr="002F5864" w:rsidRDefault="00864C5E" w:rsidP="00961617">
      <w:pPr>
        <w:pStyle w:val="ListParagraph"/>
        <w:keepNext/>
        <w:keepLines/>
        <w:numPr>
          <w:ilvl w:val="0"/>
          <w:numId w:val="95"/>
        </w:numPr>
        <w:spacing w:line="240" w:lineRule="auto"/>
        <w:rPr>
          <w:rFonts w:cstheme="minorHAnsi"/>
          <w:b/>
          <w:sz w:val="18"/>
          <w:szCs w:val="20"/>
        </w:rPr>
      </w:pPr>
      <w:hyperlink w:anchor="Place_A23a" w:history="1">
        <w:r w:rsidR="00961617" w:rsidRPr="004A74AA">
          <w:rPr>
            <w:rStyle w:val="Hyperlink"/>
            <w:rFonts w:cstheme="minorHAnsi"/>
            <w:sz w:val="18"/>
            <w:szCs w:val="18"/>
          </w:rPr>
          <w:t>Return to Figure 3.2</w:t>
        </w:r>
      </w:hyperlink>
      <w:r w:rsidR="00961617" w:rsidRPr="002F5864">
        <w:rPr>
          <w:rFonts w:cstheme="minorHAnsi"/>
          <w:sz w:val="18"/>
          <w:szCs w:val="18"/>
        </w:rPr>
        <w:t xml:space="preserve"> where this data is referenced</w:t>
      </w:r>
      <w:r w:rsidR="00BB7BEA">
        <w:rPr>
          <w:rFonts w:cstheme="minorHAnsi"/>
          <w:sz w:val="18"/>
          <w:szCs w:val="18"/>
        </w:rPr>
        <w:t>.</w:t>
      </w:r>
    </w:p>
    <w:p w14:paraId="392C0CFC" w14:textId="77777777" w:rsidR="00961617" w:rsidRPr="002F5864" w:rsidRDefault="00864C5E" w:rsidP="00961617">
      <w:pPr>
        <w:pStyle w:val="ListParagraph"/>
        <w:keepNext/>
        <w:keepLines/>
        <w:numPr>
          <w:ilvl w:val="0"/>
          <w:numId w:val="95"/>
        </w:numPr>
        <w:spacing w:line="240" w:lineRule="auto"/>
        <w:rPr>
          <w:rFonts w:cstheme="minorHAnsi"/>
          <w:b/>
          <w:sz w:val="18"/>
          <w:szCs w:val="20"/>
        </w:rPr>
      </w:pPr>
      <w:hyperlink w:anchor="Place_A23b" w:history="1">
        <w:r w:rsidR="00961617" w:rsidRPr="004A74AA">
          <w:rPr>
            <w:rStyle w:val="Hyperlink"/>
            <w:rFonts w:cstheme="minorHAnsi"/>
            <w:sz w:val="18"/>
            <w:szCs w:val="18"/>
          </w:rPr>
          <w:t>Return to Figure 3.3</w:t>
        </w:r>
      </w:hyperlink>
      <w:r w:rsidR="00961617" w:rsidRPr="002F5864">
        <w:rPr>
          <w:rFonts w:cstheme="minorHAnsi"/>
          <w:sz w:val="18"/>
          <w:szCs w:val="18"/>
        </w:rPr>
        <w:t xml:space="preserve"> where this data is referenced</w:t>
      </w:r>
      <w:r w:rsidR="00BB7BEA">
        <w:rPr>
          <w:rFonts w:cstheme="minorHAnsi"/>
          <w:sz w:val="18"/>
          <w:szCs w:val="18"/>
        </w:rPr>
        <w:t>.</w:t>
      </w:r>
    </w:p>
    <w:p w14:paraId="69FAF94F" w14:textId="77777777" w:rsidR="00961617" w:rsidRPr="002F5864" w:rsidRDefault="00864C5E" w:rsidP="00961617">
      <w:pPr>
        <w:pStyle w:val="ListParagraph"/>
        <w:keepNext/>
        <w:keepLines/>
        <w:numPr>
          <w:ilvl w:val="0"/>
          <w:numId w:val="95"/>
        </w:numPr>
        <w:spacing w:line="240" w:lineRule="auto"/>
        <w:rPr>
          <w:rFonts w:cstheme="minorHAnsi"/>
          <w:b/>
          <w:sz w:val="18"/>
          <w:szCs w:val="20"/>
        </w:rPr>
      </w:pPr>
      <w:hyperlink w:anchor="Place_A23c" w:history="1">
        <w:r w:rsidR="00961617" w:rsidRPr="004A74AA">
          <w:rPr>
            <w:rStyle w:val="Hyperlink"/>
            <w:rFonts w:cstheme="minorHAnsi"/>
            <w:sz w:val="18"/>
            <w:szCs w:val="18"/>
          </w:rPr>
          <w:t>Return to Figure 3.4</w:t>
        </w:r>
      </w:hyperlink>
      <w:r w:rsidR="00961617" w:rsidRPr="002F5864">
        <w:rPr>
          <w:rFonts w:cstheme="minorHAnsi"/>
          <w:sz w:val="18"/>
          <w:szCs w:val="18"/>
        </w:rPr>
        <w:t xml:space="preserve"> where this data is referenced.</w:t>
      </w:r>
    </w:p>
    <w:p w14:paraId="5C3B3CC4" w14:textId="77777777" w:rsidR="00961617" w:rsidRPr="002F5864" w:rsidRDefault="00961617" w:rsidP="00961617">
      <w:pPr>
        <w:pStyle w:val="Sourceandnotetext"/>
        <w:spacing w:before="0" w:after="0"/>
        <w:rPr>
          <w:rFonts w:cstheme="minorHAnsi"/>
        </w:rPr>
      </w:pPr>
    </w:p>
    <w:p w14:paraId="679708B6" w14:textId="77777777" w:rsidR="00961617" w:rsidRPr="002F5864" w:rsidRDefault="00961617" w:rsidP="00961617">
      <w:pPr>
        <w:rPr>
          <w:rFonts w:eastAsiaTheme="majorEastAsia" w:cstheme="minorHAnsi"/>
          <w:b/>
          <w:i/>
        </w:rPr>
      </w:pPr>
      <w:r w:rsidRPr="002F5864">
        <w:rPr>
          <w:rFonts w:eastAsiaTheme="majorEastAsia" w:cstheme="minorHAnsi"/>
        </w:rPr>
        <w:br w:type="page"/>
      </w:r>
    </w:p>
    <w:p w14:paraId="28362255" w14:textId="77777777" w:rsidR="00961617" w:rsidRPr="002F5864" w:rsidRDefault="00961617" w:rsidP="00961617">
      <w:pPr>
        <w:pStyle w:val="TableheadingforappendixA1"/>
        <w:rPr>
          <w:rFonts w:cstheme="minorHAnsi"/>
        </w:rPr>
      </w:pPr>
      <w:bookmarkStart w:id="620" w:name="_Toc513129897"/>
      <w:r w:rsidRPr="002F5864">
        <w:rPr>
          <w:rFonts w:cstheme="minorHAnsi"/>
        </w:rPr>
        <w:t>Table A2.4:</w:t>
      </w:r>
      <w:r>
        <w:rPr>
          <w:rFonts w:cstheme="minorHAnsi"/>
        </w:rPr>
        <w:t xml:space="preserve"> </w:t>
      </w:r>
      <w:r w:rsidRPr="002F5864">
        <w:rPr>
          <w:rFonts w:cstheme="minorHAnsi"/>
        </w:rPr>
        <w:t>Employment and education outcomes for new entrants, JSA 2012 (per cent)</w:t>
      </w:r>
      <w:bookmarkEnd w:id="620"/>
    </w:p>
    <w:tbl>
      <w:tblPr>
        <w:tblStyle w:val="TableGrid"/>
        <w:tblW w:w="12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1277"/>
        <w:gridCol w:w="1278"/>
        <w:gridCol w:w="1278"/>
        <w:gridCol w:w="1136"/>
      </w:tblGrid>
      <w:tr w:rsidR="00961617" w:rsidRPr="00545C7F" w14:paraId="1A62158B" w14:textId="77777777" w:rsidTr="0020771F">
        <w:trPr>
          <w:trHeight w:hRule="exact" w:val="571"/>
          <w:tblHeader/>
        </w:trPr>
        <w:tc>
          <w:tcPr>
            <w:tcW w:w="7196" w:type="dxa"/>
            <w:shd w:val="clear" w:color="auto" w:fill="1E3D6B"/>
            <w:vAlign w:val="center"/>
          </w:tcPr>
          <w:p w14:paraId="3FCFE627" w14:textId="77777777" w:rsidR="00961617" w:rsidRPr="00545C7F" w:rsidRDefault="00961617" w:rsidP="0020771F">
            <w:pPr>
              <w:rPr>
                <w:rFonts w:cstheme="minorHAnsi"/>
                <w:b/>
                <w:color w:val="FFFFFF" w:themeColor="background2"/>
                <w:sz w:val="20"/>
                <w:szCs w:val="20"/>
              </w:rPr>
            </w:pPr>
            <w:bookmarkStart w:id="621" w:name="Title_A24"/>
            <w:bookmarkEnd w:id="621"/>
            <w:r w:rsidRPr="00545C7F">
              <w:rPr>
                <w:rFonts w:cstheme="minorHAnsi"/>
                <w:b/>
                <w:color w:val="FFFFFF" w:themeColor="background2"/>
                <w:sz w:val="20"/>
                <w:szCs w:val="20"/>
              </w:rPr>
              <w:t>Characteristics</w:t>
            </w:r>
          </w:p>
        </w:tc>
        <w:tc>
          <w:tcPr>
            <w:tcW w:w="1277" w:type="dxa"/>
            <w:shd w:val="clear" w:color="auto" w:fill="1E3D6B"/>
            <w:vAlign w:val="center"/>
          </w:tcPr>
          <w:p w14:paraId="25BD46C1"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Full time Employment</w:t>
            </w:r>
          </w:p>
        </w:tc>
        <w:tc>
          <w:tcPr>
            <w:tcW w:w="1278" w:type="dxa"/>
            <w:shd w:val="clear" w:color="auto" w:fill="1E3D6B"/>
            <w:vAlign w:val="center"/>
          </w:tcPr>
          <w:p w14:paraId="695012C2"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Part time Employment</w:t>
            </w:r>
          </w:p>
        </w:tc>
        <w:tc>
          <w:tcPr>
            <w:tcW w:w="1278" w:type="dxa"/>
            <w:shd w:val="clear" w:color="auto" w:fill="1E3D6B"/>
            <w:vAlign w:val="center"/>
          </w:tcPr>
          <w:p w14:paraId="3FEC829B"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Total Employment</w:t>
            </w:r>
          </w:p>
        </w:tc>
        <w:tc>
          <w:tcPr>
            <w:tcW w:w="1136" w:type="dxa"/>
            <w:shd w:val="clear" w:color="auto" w:fill="1E3D6B"/>
            <w:vAlign w:val="center"/>
          </w:tcPr>
          <w:p w14:paraId="6F5B3DE3"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Education</w:t>
            </w:r>
          </w:p>
        </w:tc>
      </w:tr>
      <w:tr w:rsidR="00961617" w:rsidRPr="00545C7F" w14:paraId="7AADBEDB" w14:textId="77777777" w:rsidTr="0020771F">
        <w:trPr>
          <w:trHeight w:hRule="exact" w:val="397"/>
        </w:trPr>
        <w:tc>
          <w:tcPr>
            <w:tcW w:w="7196" w:type="dxa"/>
            <w:vAlign w:val="center"/>
          </w:tcPr>
          <w:p w14:paraId="3FE13483" w14:textId="77777777" w:rsidR="00961617" w:rsidRPr="00545C7F" w:rsidRDefault="00961617" w:rsidP="0020771F">
            <w:pPr>
              <w:rPr>
                <w:rFonts w:cstheme="minorHAnsi"/>
                <w:sz w:val="20"/>
                <w:szCs w:val="20"/>
              </w:rPr>
            </w:pPr>
            <w:bookmarkStart w:id="622" w:name="_Toc435104241"/>
            <w:bookmarkStart w:id="623" w:name="_Toc435695215"/>
            <w:bookmarkStart w:id="624" w:name="_Toc436142575"/>
            <w:r w:rsidRPr="00545C7F">
              <w:rPr>
                <w:rFonts w:cstheme="minorHAnsi"/>
                <w:sz w:val="20"/>
                <w:szCs w:val="20"/>
              </w:rPr>
              <w:t>Commencement stream: Stream 1</w:t>
            </w:r>
          </w:p>
        </w:tc>
        <w:tc>
          <w:tcPr>
            <w:tcW w:w="1277" w:type="dxa"/>
            <w:vAlign w:val="center"/>
          </w:tcPr>
          <w:p w14:paraId="3DA8563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37.3</w:t>
            </w:r>
          </w:p>
        </w:tc>
        <w:tc>
          <w:tcPr>
            <w:tcW w:w="1278" w:type="dxa"/>
            <w:vAlign w:val="center"/>
          </w:tcPr>
          <w:p w14:paraId="7E00408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25.7</w:t>
            </w:r>
          </w:p>
        </w:tc>
        <w:tc>
          <w:tcPr>
            <w:tcW w:w="1278" w:type="dxa"/>
            <w:vAlign w:val="center"/>
          </w:tcPr>
          <w:p w14:paraId="6AB8CFB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63.0</w:t>
            </w:r>
          </w:p>
        </w:tc>
        <w:tc>
          <w:tcPr>
            <w:tcW w:w="1136" w:type="dxa"/>
            <w:vAlign w:val="center"/>
          </w:tcPr>
          <w:p w14:paraId="4F047FF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21.6</w:t>
            </w:r>
          </w:p>
        </w:tc>
      </w:tr>
      <w:tr w:rsidR="00961617" w:rsidRPr="00545C7F" w14:paraId="0EF8969F" w14:textId="77777777" w:rsidTr="0020771F">
        <w:trPr>
          <w:trHeight w:hRule="exact" w:val="397"/>
        </w:trPr>
        <w:tc>
          <w:tcPr>
            <w:tcW w:w="7196" w:type="dxa"/>
            <w:shd w:val="clear" w:color="auto" w:fill="E5E5E5" w:themeFill="background1" w:themeFillTint="33"/>
            <w:vAlign w:val="center"/>
          </w:tcPr>
          <w:p w14:paraId="767FC420" w14:textId="77777777" w:rsidR="00961617" w:rsidRPr="00545C7F" w:rsidRDefault="00961617" w:rsidP="0020771F">
            <w:pPr>
              <w:pStyle w:val="Tablefirstcolumn"/>
              <w:rPr>
                <w:rFonts w:cstheme="minorHAnsi"/>
              </w:rPr>
            </w:pPr>
            <w:r w:rsidRPr="00545C7F">
              <w:rPr>
                <w:rFonts w:cstheme="minorHAnsi"/>
              </w:rPr>
              <w:t>Commencement stream: Stream 2</w:t>
            </w:r>
          </w:p>
        </w:tc>
        <w:tc>
          <w:tcPr>
            <w:tcW w:w="1277" w:type="dxa"/>
            <w:shd w:val="clear" w:color="auto" w:fill="E5E5E5" w:themeFill="background1" w:themeFillTint="33"/>
            <w:vAlign w:val="center"/>
          </w:tcPr>
          <w:p w14:paraId="1E94077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18.3</w:t>
            </w:r>
          </w:p>
        </w:tc>
        <w:tc>
          <w:tcPr>
            <w:tcW w:w="1278" w:type="dxa"/>
            <w:shd w:val="clear" w:color="auto" w:fill="E5E5E5" w:themeFill="background1" w:themeFillTint="33"/>
            <w:vAlign w:val="center"/>
          </w:tcPr>
          <w:p w14:paraId="2FEF6C9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23.8</w:t>
            </w:r>
          </w:p>
        </w:tc>
        <w:tc>
          <w:tcPr>
            <w:tcW w:w="1278" w:type="dxa"/>
            <w:shd w:val="clear" w:color="auto" w:fill="E5E5E5" w:themeFill="background1" w:themeFillTint="33"/>
            <w:vAlign w:val="center"/>
          </w:tcPr>
          <w:p w14:paraId="0F24FF0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42.1</w:t>
            </w:r>
          </w:p>
        </w:tc>
        <w:tc>
          <w:tcPr>
            <w:tcW w:w="1136" w:type="dxa"/>
            <w:shd w:val="clear" w:color="auto" w:fill="E5E5E5" w:themeFill="background1" w:themeFillTint="33"/>
            <w:vAlign w:val="center"/>
          </w:tcPr>
          <w:p w14:paraId="1959395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28.3</w:t>
            </w:r>
          </w:p>
        </w:tc>
      </w:tr>
      <w:tr w:rsidR="00961617" w:rsidRPr="00545C7F" w14:paraId="175EB7E5" w14:textId="77777777" w:rsidTr="0020771F">
        <w:trPr>
          <w:trHeight w:hRule="exact" w:val="397"/>
        </w:trPr>
        <w:tc>
          <w:tcPr>
            <w:tcW w:w="7196" w:type="dxa"/>
            <w:vAlign w:val="center"/>
          </w:tcPr>
          <w:p w14:paraId="71B6FC18" w14:textId="77777777" w:rsidR="00961617" w:rsidRPr="00545C7F" w:rsidRDefault="00961617" w:rsidP="0020771F">
            <w:pPr>
              <w:pStyle w:val="Tablefirstcolumn"/>
              <w:rPr>
                <w:rFonts w:cstheme="minorHAnsi"/>
              </w:rPr>
            </w:pPr>
            <w:r w:rsidRPr="00545C7F">
              <w:rPr>
                <w:rFonts w:cstheme="minorHAnsi"/>
              </w:rPr>
              <w:t>Commencement stream: Stream 3</w:t>
            </w:r>
          </w:p>
        </w:tc>
        <w:tc>
          <w:tcPr>
            <w:tcW w:w="1277" w:type="dxa"/>
            <w:vAlign w:val="center"/>
          </w:tcPr>
          <w:p w14:paraId="13F2169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8.4</w:t>
            </w:r>
          </w:p>
        </w:tc>
        <w:tc>
          <w:tcPr>
            <w:tcW w:w="1278" w:type="dxa"/>
            <w:vAlign w:val="center"/>
          </w:tcPr>
          <w:p w14:paraId="495A3C1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16.4</w:t>
            </w:r>
          </w:p>
        </w:tc>
        <w:tc>
          <w:tcPr>
            <w:tcW w:w="1278" w:type="dxa"/>
            <w:vAlign w:val="center"/>
          </w:tcPr>
          <w:p w14:paraId="25C0C50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24.8</w:t>
            </w:r>
          </w:p>
        </w:tc>
        <w:tc>
          <w:tcPr>
            <w:tcW w:w="1136" w:type="dxa"/>
            <w:vAlign w:val="center"/>
          </w:tcPr>
          <w:p w14:paraId="6F547D7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29.5</w:t>
            </w:r>
          </w:p>
        </w:tc>
      </w:tr>
      <w:tr w:rsidR="00961617" w:rsidRPr="00545C7F" w14:paraId="44D10B76" w14:textId="77777777" w:rsidTr="0020771F">
        <w:trPr>
          <w:trHeight w:hRule="exact" w:val="397"/>
        </w:trPr>
        <w:tc>
          <w:tcPr>
            <w:tcW w:w="7196" w:type="dxa"/>
            <w:shd w:val="clear" w:color="auto" w:fill="E5E5E5" w:themeFill="background1" w:themeFillTint="33"/>
            <w:vAlign w:val="center"/>
          </w:tcPr>
          <w:p w14:paraId="27C1885C" w14:textId="77777777" w:rsidR="00961617" w:rsidRPr="00545C7F" w:rsidRDefault="00961617" w:rsidP="0020771F">
            <w:pPr>
              <w:pStyle w:val="Tablefirstcolumn"/>
              <w:rPr>
                <w:rFonts w:cstheme="minorHAnsi"/>
              </w:rPr>
            </w:pPr>
            <w:r w:rsidRPr="00545C7F">
              <w:rPr>
                <w:rFonts w:cstheme="minorHAnsi"/>
              </w:rPr>
              <w:t>Commencement stream: Stream 4</w:t>
            </w:r>
          </w:p>
        </w:tc>
        <w:tc>
          <w:tcPr>
            <w:tcW w:w="1277" w:type="dxa"/>
            <w:shd w:val="clear" w:color="auto" w:fill="E5E5E5" w:themeFill="background1" w:themeFillTint="33"/>
            <w:vAlign w:val="center"/>
          </w:tcPr>
          <w:p w14:paraId="469905C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n.a.</w:t>
            </w:r>
          </w:p>
        </w:tc>
        <w:tc>
          <w:tcPr>
            <w:tcW w:w="1278" w:type="dxa"/>
            <w:shd w:val="clear" w:color="auto" w:fill="E5E5E5" w:themeFill="background1" w:themeFillTint="33"/>
            <w:vAlign w:val="center"/>
          </w:tcPr>
          <w:p w14:paraId="7780047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n.a. </w:t>
            </w:r>
          </w:p>
        </w:tc>
        <w:tc>
          <w:tcPr>
            <w:tcW w:w="1278" w:type="dxa"/>
            <w:shd w:val="clear" w:color="auto" w:fill="E5E5E5" w:themeFill="background1" w:themeFillTint="33"/>
            <w:vAlign w:val="center"/>
          </w:tcPr>
          <w:p w14:paraId="0537A97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31.2</w:t>
            </w:r>
          </w:p>
        </w:tc>
        <w:tc>
          <w:tcPr>
            <w:tcW w:w="1136" w:type="dxa"/>
            <w:shd w:val="clear" w:color="auto" w:fill="E5E5E5" w:themeFill="background1" w:themeFillTint="33"/>
            <w:vAlign w:val="center"/>
          </w:tcPr>
          <w:p w14:paraId="436CED1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42.2</w:t>
            </w:r>
          </w:p>
        </w:tc>
      </w:tr>
      <w:tr w:rsidR="00961617" w:rsidRPr="00545C7F" w14:paraId="7E3D20DD" w14:textId="77777777" w:rsidTr="0020771F">
        <w:trPr>
          <w:trHeight w:hRule="exact" w:val="397"/>
        </w:trPr>
        <w:tc>
          <w:tcPr>
            <w:tcW w:w="7196" w:type="dxa"/>
            <w:vAlign w:val="center"/>
          </w:tcPr>
          <w:p w14:paraId="22B181DD" w14:textId="77777777" w:rsidR="00961617" w:rsidRPr="00545C7F" w:rsidRDefault="00961617" w:rsidP="0020771F">
            <w:pPr>
              <w:pStyle w:val="Tablefirstcolumn"/>
              <w:rPr>
                <w:rFonts w:cstheme="minorHAnsi"/>
              </w:rPr>
            </w:pPr>
            <w:r w:rsidRPr="00545C7F">
              <w:rPr>
                <w:rFonts w:cstheme="minorHAnsi"/>
              </w:rPr>
              <w:t>Long-term capacity to participate in the labour force: Partial capacity</w:t>
            </w:r>
          </w:p>
        </w:tc>
        <w:tc>
          <w:tcPr>
            <w:tcW w:w="1277" w:type="dxa"/>
            <w:vAlign w:val="center"/>
          </w:tcPr>
          <w:p w14:paraId="0ECFC68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9.3</w:t>
            </w:r>
          </w:p>
        </w:tc>
        <w:tc>
          <w:tcPr>
            <w:tcW w:w="1278" w:type="dxa"/>
            <w:vAlign w:val="center"/>
          </w:tcPr>
          <w:p w14:paraId="53FF778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23.2</w:t>
            </w:r>
          </w:p>
        </w:tc>
        <w:tc>
          <w:tcPr>
            <w:tcW w:w="1278" w:type="dxa"/>
            <w:vAlign w:val="center"/>
          </w:tcPr>
          <w:p w14:paraId="0A98DA5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32.5</w:t>
            </w:r>
          </w:p>
        </w:tc>
        <w:tc>
          <w:tcPr>
            <w:tcW w:w="1136" w:type="dxa"/>
            <w:vAlign w:val="center"/>
          </w:tcPr>
          <w:p w14:paraId="24FC4DB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24.8</w:t>
            </w:r>
          </w:p>
        </w:tc>
      </w:tr>
      <w:tr w:rsidR="00961617" w:rsidRPr="00545C7F" w14:paraId="293FF411" w14:textId="77777777" w:rsidTr="0020771F">
        <w:trPr>
          <w:trHeight w:hRule="exact" w:val="397"/>
        </w:trPr>
        <w:tc>
          <w:tcPr>
            <w:tcW w:w="7196" w:type="dxa"/>
            <w:shd w:val="clear" w:color="auto" w:fill="E5E5E5" w:themeFill="background1" w:themeFillTint="33"/>
            <w:vAlign w:val="center"/>
          </w:tcPr>
          <w:p w14:paraId="0A22CCE1" w14:textId="77777777" w:rsidR="00961617" w:rsidRPr="00545C7F" w:rsidRDefault="00961617" w:rsidP="0020771F">
            <w:pPr>
              <w:pStyle w:val="Tablefirstcolumn"/>
              <w:rPr>
                <w:rFonts w:cstheme="minorHAnsi"/>
              </w:rPr>
            </w:pPr>
            <w:r w:rsidRPr="00545C7F">
              <w:rPr>
                <w:rFonts w:cstheme="minorHAnsi"/>
              </w:rPr>
              <w:t>Long-term capacity to participate in the labour force: Not partial capacity</w:t>
            </w:r>
          </w:p>
        </w:tc>
        <w:tc>
          <w:tcPr>
            <w:tcW w:w="1277" w:type="dxa"/>
            <w:shd w:val="clear" w:color="auto" w:fill="E5E5E5" w:themeFill="background1" w:themeFillTint="33"/>
            <w:vAlign w:val="center"/>
          </w:tcPr>
          <w:p w14:paraId="741A7A5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36.1</w:t>
            </w:r>
          </w:p>
        </w:tc>
        <w:tc>
          <w:tcPr>
            <w:tcW w:w="1278" w:type="dxa"/>
            <w:shd w:val="clear" w:color="auto" w:fill="E5E5E5" w:themeFill="background1" w:themeFillTint="33"/>
            <w:vAlign w:val="center"/>
          </w:tcPr>
          <w:p w14:paraId="36D3B0E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24.8</w:t>
            </w:r>
          </w:p>
        </w:tc>
        <w:tc>
          <w:tcPr>
            <w:tcW w:w="1278" w:type="dxa"/>
            <w:shd w:val="clear" w:color="auto" w:fill="E5E5E5" w:themeFill="background1" w:themeFillTint="33"/>
            <w:vAlign w:val="center"/>
          </w:tcPr>
          <w:p w14:paraId="72362D0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60.9</w:t>
            </w:r>
          </w:p>
        </w:tc>
        <w:tc>
          <w:tcPr>
            <w:tcW w:w="1136" w:type="dxa"/>
            <w:shd w:val="clear" w:color="auto" w:fill="E5E5E5" w:themeFill="background1" w:themeFillTint="33"/>
            <w:vAlign w:val="center"/>
          </w:tcPr>
          <w:p w14:paraId="2369B48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24.1</w:t>
            </w:r>
          </w:p>
        </w:tc>
      </w:tr>
      <w:tr w:rsidR="00961617" w:rsidRPr="00545C7F" w14:paraId="13E9743F" w14:textId="77777777" w:rsidTr="0020771F">
        <w:trPr>
          <w:trHeight w:hRule="exact" w:val="397"/>
        </w:trPr>
        <w:tc>
          <w:tcPr>
            <w:tcW w:w="7196" w:type="dxa"/>
            <w:vAlign w:val="center"/>
          </w:tcPr>
          <w:p w14:paraId="1582F32A" w14:textId="77777777" w:rsidR="00961617" w:rsidRPr="00545C7F" w:rsidRDefault="00961617" w:rsidP="0020771F">
            <w:pPr>
              <w:pStyle w:val="Tablefirstcolumn"/>
              <w:rPr>
                <w:rFonts w:cstheme="minorHAnsi"/>
              </w:rPr>
            </w:pPr>
            <w:r w:rsidRPr="00545C7F">
              <w:rPr>
                <w:rFonts w:cstheme="minorHAnsi"/>
              </w:rPr>
              <w:t>Gender and age group: Males aged &lt; 25 years</w:t>
            </w:r>
          </w:p>
        </w:tc>
        <w:tc>
          <w:tcPr>
            <w:tcW w:w="1277" w:type="dxa"/>
            <w:vAlign w:val="center"/>
          </w:tcPr>
          <w:p w14:paraId="5BB7549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33.4</w:t>
            </w:r>
          </w:p>
        </w:tc>
        <w:tc>
          <w:tcPr>
            <w:tcW w:w="1278" w:type="dxa"/>
            <w:vAlign w:val="center"/>
          </w:tcPr>
          <w:p w14:paraId="2334355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22.1</w:t>
            </w:r>
          </w:p>
        </w:tc>
        <w:tc>
          <w:tcPr>
            <w:tcW w:w="1278" w:type="dxa"/>
            <w:vAlign w:val="center"/>
          </w:tcPr>
          <w:p w14:paraId="24EFFFD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55.5</w:t>
            </w:r>
          </w:p>
        </w:tc>
        <w:tc>
          <w:tcPr>
            <w:tcW w:w="1136" w:type="dxa"/>
            <w:vAlign w:val="center"/>
          </w:tcPr>
          <w:p w14:paraId="2636806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33.2</w:t>
            </w:r>
          </w:p>
        </w:tc>
      </w:tr>
      <w:tr w:rsidR="00961617" w:rsidRPr="00545C7F" w14:paraId="12A9401C" w14:textId="77777777" w:rsidTr="0020771F">
        <w:trPr>
          <w:trHeight w:hRule="exact" w:val="397"/>
        </w:trPr>
        <w:tc>
          <w:tcPr>
            <w:tcW w:w="7196" w:type="dxa"/>
            <w:shd w:val="clear" w:color="auto" w:fill="E5E5E5" w:themeFill="background1" w:themeFillTint="33"/>
            <w:vAlign w:val="center"/>
          </w:tcPr>
          <w:p w14:paraId="7E1D5386" w14:textId="77777777" w:rsidR="00961617" w:rsidRPr="00545C7F" w:rsidRDefault="00961617" w:rsidP="0020771F">
            <w:pPr>
              <w:pStyle w:val="Tablefirstcolumn"/>
              <w:rPr>
                <w:rFonts w:cstheme="minorHAnsi"/>
              </w:rPr>
            </w:pPr>
            <w:r w:rsidRPr="00545C7F">
              <w:rPr>
                <w:rFonts w:cstheme="minorHAnsi"/>
              </w:rPr>
              <w:t>Gender and age group: Males aged 25-49 years</w:t>
            </w:r>
          </w:p>
        </w:tc>
        <w:tc>
          <w:tcPr>
            <w:tcW w:w="1277" w:type="dxa"/>
            <w:shd w:val="clear" w:color="auto" w:fill="E5E5E5" w:themeFill="background1" w:themeFillTint="33"/>
            <w:vAlign w:val="center"/>
          </w:tcPr>
          <w:p w14:paraId="461A363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44.6</w:t>
            </w:r>
          </w:p>
        </w:tc>
        <w:tc>
          <w:tcPr>
            <w:tcW w:w="1278" w:type="dxa"/>
            <w:shd w:val="clear" w:color="auto" w:fill="E5E5E5" w:themeFill="background1" w:themeFillTint="33"/>
            <w:vAlign w:val="center"/>
          </w:tcPr>
          <w:p w14:paraId="769DA8A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16.7</w:t>
            </w:r>
          </w:p>
        </w:tc>
        <w:tc>
          <w:tcPr>
            <w:tcW w:w="1278" w:type="dxa"/>
            <w:shd w:val="clear" w:color="auto" w:fill="E5E5E5" w:themeFill="background1" w:themeFillTint="33"/>
            <w:vAlign w:val="center"/>
          </w:tcPr>
          <w:p w14:paraId="195CDB8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61.3</w:t>
            </w:r>
          </w:p>
        </w:tc>
        <w:tc>
          <w:tcPr>
            <w:tcW w:w="1136" w:type="dxa"/>
            <w:shd w:val="clear" w:color="auto" w:fill="E5E5E5" w:themeFill="background1" w:themeFillTint="33"/>
            <w:vAlign w:val="center"/>
          </w:tcPr>
          <w:p w14:paraId="1A5D91A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17.5</w:t>
            </w:r>
          </w:p>
        </w:tc>
      </w:tr>
      <w:tr w:rsidR="00961617" w:rsidRPr="00545C7F" w14:paraId="759B16D1" w14:textId="77777777" w:rsidTr="0020771F">
        <w:trPr>
          <w:trHeight w:hRule="exact" w:val="397"/>
        </w:trPr>
        <w:tc>
          <w:tcPr>
            <w:tcW w:w="7196" w:type="dxa"/>
            <w:vAlign w:val="center"/>
          </w:tcPr>
          <w:p w14:paraId="020D2B7F" w14:textId="77777777" w:rsidR="00961617" w:rsidRPr="00545C7F" w:rsidRDefault="00961617" w:rsidP="0020771F">
            <w:pPr>
              <w:pStyle w:val="Tablefirstcolumn"/>
              <w:rPr>
                <w:rFonts w:cstheme="minorHAnsi"/>
              </w:rPr>
            </w:pPr>
            <w:r w:rsidRPr="00545C7F">
              <w:rPr>
                <w:rFonts w:cstheme="minorHAnsi"/>
              </w:rPr>
              <w:t>Gender and age group: Males ages 50+ years</w:t>
            </w:r>
          </w:p>
        </w:tc>
        <w:tc>
          <w:tcPr>
            <w:tcW w:w="1277" w:type="dxa"/>
            <w:vAlign w:val="center"/>
          </w:tcPr>
          <w:p w14:paraId="4E4A58E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28.3</w:t>
            </w:r>
          </w:p>
        </w:tc>
        <w:tc>
          <w:tcPr>
            <w:tcW w:w="1278" w:type="dxa"/>
            <w:vAlign w:val="center"/>
          </w:tcPr>
          <w:p w14:paraId="1540EDB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20.2</w:t>
            </w:r>
          </w:p>
        </w:tc>
        <w:tc>
          <w:tcPr>
            <w:tcW w:w="1278" w:type="dxa"/>
            <w:vAlign w:val="center"/>
          </w:tcPr>
          <w:p w14:paraId="76EB2EA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48.5</w:t>
            </w:r>
          </w:p>
        </w:tc>
        <w:tc>
          <w:tcPr>
            <w:tcW w:w="1136" w:type="dxa"/>
            <w:vAlign w:val="center"/>
          </w:tcPr>
          <w:p w14:paraId="3769EC4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12.5</w:t>
            </w:r>
          </w:p>
        </w:tc>
      </w:tr>
      <w:tr w:rsidR="00961617" w:rsidRPr="00545C7F" w14:paraId="5469BFC3" w14:textId="77777777" w:rsidTr="0020771F">
        <w:trPr>
          <w:trHeight w:hRule="exact" w:val="397"/>
        </w:trPr>
        <w:tc>
          <w:tcPr>
            <w:tcW w:w="7196" w:type="dxa"/>
            <w:shd w:val="clear" w:color="auto" w:fill="E5E5E5" w:themeFill="background1" w:themeFillTint="33"/>
            <w:vAlign w:val="center"/>
          </w:tcPr>
          <w:p w14:paraId="59C74FC1" w14:textId="77777777" w:rsidR="00961617" w:rsidRPr="00545C7F" w:rsidRDefault="00961617" w:rsidP="0020771F">
            <w:pPr>
              <w:pStyle w:val="Tablefirstcolumn"/>
              <w:rPr>
                <w:rFonts w:cstheme="minorHAnsi"/>
              </w:rPr>
            </w:pPr>
            <w:r w:rsidRPr="00545C7F">
              <w:rPr>
                <w:rFonts w:cstheme="minorHAnsi"/>
              </w:rPr>
              <w:t>Gender and age group: Females aged &lt; 25 years</w:t>
            </w:r>
          </w:p>
        </w:tc>
        <w:tc>
          <w:tcPr>
            <w:tcW w:w="1277" w:type="dxa"/>
            <w:shd w:val="clear" w:color="auto" w:fill="E5E5E5" w:themeFill="background1" w:themeFillTint="33"/>
            <w:vAlign w:val="center"/>
          </w:tcPr>
          <w:p w14:paraId="4E4B747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27.2</w:t>
            </w:r>
          </w:p>
        </w:tc>
        <w:tc>
          <w:tcPr>
            <w:tcW w:w="1278" w:type="dxa"/>
            <w:shd w:val="clear" w:color="auto" w:fill="E5E5E5" w:themeFill="background1" w:themeFillTint="33"/>
            <w:vAlign w:val="center"/>
          </w:tcPr>
          <w:p w14:paraId="3FBF821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28.7</w:t>
            </w:r>
          </w:p>
        </w:tc>
        <w:tc>
          <w:tcPr>
            <w:tcW w:w="1278" w:type="dxa"/>
            <w:shd w:val="clear" w:color="auto" w:fill="E5E5E5" w:themeFill="background1" w:themeFillTint="33"/>
            <w:vAlign w:val="center"/>
          </w:tcPr>
          <w:p w14:paraId="30EDD70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55.9</w:t>
            </w:r>
          </w:p>
        </w:tc>
        <w:tc>
          <w:tcPr>
            <w:tcW w:w="1136" w:type="dxa"/>
            <w:shd w:val="clear" w:color="auto" w:fill="E5E5E5" w:themeFill="background1" w:themeFillTint="33"/>
            <w:vAlign w:val="center"/>
          </w:tcPr>
          <w:p w14:paraId="2F5E6C3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35.9</w:t>
            </w:r>
          </w:p>
        </w:tc>
      </w:tr>
      <w:tr w:rsidR="00961617" w:rsidRPr="00545C7F" w14:paraId="2D8AF6C0" w14:textId="77777777" w:rsidTr="0020771F">
        <w:trPr>
          <w:trHeight w:hRule="exact" w:val="397"/>
        </w:trPr>
        <w:tc>
          <w:tcPr>
            <w:tcW w:w="7196" w:type="dxa"/>
            <w:vAlign w:val="center"/>
          </w:tcPr>
          <w:p w14:paraId="77EE7081" w14:textId="77777777" w:rsidR="00961617" w:rsidRPr="00545C7F" w:rsidRDefault="00961617" w:rsidP="0020771F">
            <w:pPr>
              <w:pStyle w:val="Tablefirstcolumn"/>
              <w:rPr>
                <w:rFonts w:cstheme="minorHAnsi"/>
              </w:rPr>
            </w:pPr>
            <w:r w:rsidRPr="00545C7F">
              <w:rPr>
                <w:rFonts w:cstheme="minorHAnsi"/>
              </w:rPr>
              <w:t>Gender and age group: Females aged 25-49 years</w:t>
            </w:r>
          </w:p>
        </w:tc>
        <w:tc>
          <w:tcPr>
            <w:tcW w:w="1277" w:type="dxa"/>
            <w:vAlign w:val="center"/>
          </w:tcPr>
          <w:p w14:paraId="115F0EC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25.5</w:t>
            </w:r>
          </w:p>
        </w:tc>
        <w:tc>
          <w:tcPr>
            <w:tcW w:w="1278" w:type="dxa"/>
            <w:vAlign w:val="center"/>
          </w:tcPr>
          <w:p w14:paraId="06C7DE1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30.8</w:t>
            </w:r>
          </w:p>
        </w:tc>
        <w:tc>
          <w:tcPr>
            <w:tcW w:w="1278" w:type="dxa"/>
            <w:vAlign w:val="center"/>
          </w:tcPr>
          <w:p w14:paraId="3CA0B9E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56.3</w:t>
            </w:r>
          </w:p>
        </w:tc>
        <w:tc>
          <w:tcPr>
            <w:tcW w:w="1136" w:type="dxa"/>
            <w:vAlign w:val="center"/>
          </w:tcPr>
          <w:p w14:paraId="7D07C12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27.8</w:t>
            </w:r>
          </w:p>
        </w:tc>
      </w:tr>
      <w:tr w:rsidR="00961617" w:rsidRPr="00545C7F" w14:paraId="743F06E5" w14:textId="77777777" w:rsidTr="0020771F">
        <w:trPr>
          <w:trHeight w:hRule="exact" w:val="397"/>
        </w:trPr>
        <w:tc>
          <w:tcPr>
            <w:tcW w:w="7196" w:type="dxa"/>
            <w:shd w:val="clear" w:color="auto" w:fill="E5E5E5" w:themeFill="background1" w:themeFillTint="33"/>
            <w:vAlign w:val="center"/>
          </w:tcPr>
          <w:p w14:paraId="4728F319" w14:textId="77777777" w:rsidR="00961617" w:rsidRPr="00545C7F" w:rsidRDefault="00961617" w:rsidP="0020771F">
            <w:pPr>
              <w:pStyle w:val="Tablefirstcolumn"/>
              <w:rPr>
                <w:rFonts w:cstheme="minorHAnsi"/>
              </w:rPr>
            </w:pPr>
            <w:r w:rsidRPr="00545C7F">
              <w:rPr>
                <w:rFonts w:cstheme="minorHAnsi"/>
              </w:rPr>
              <w:t>Gender and age group: Females aged 50+ years</w:t>
            </w:r>
          </w:p>
        </w:tc>
        <w:tc>
          <w:tcPr>
            <w:tcW w:w="1277" w:type="dxa"/>
            <w:shd w:val="clear" w:color="auto" w:fill="E5E5E5" w:themeFill="background1" w:themeFillTint="33"/>
            <w:vAlign w:val="center"/>
          </w:tcPr>
          <w:p w14:paraId="0902EDA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19.5</w:t>
            </w:r>
          </w:p>
        </w:tc>
        <w:tc>
          <w:tcPr>
            <w:tcW w:w="1278" w:type="dxa"/>
            <w:shd w:val="clear" w:color="auto" w:fill="E5E5E5" w:themeFill="background1" w:themeFillTint="33"/>
            <w:vAlign w:val="center"/>
          </w:tcPr>
          <w:p w14:paraId="50633AB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27.2</w:t>
            </w:r>
          </w:p>
        </w:tc>
        <w:tc>
          <w:tcPr>
            <w:tcW w:w="1278" w:type="dxa"/>
            <w:shd w:val="clear" w:color="auto" w:fill="E5E5E5" w:themeFill="background1" w:themeFillTint="33"/>
            <w:vAlign w:val="center"/>
          </w:tcPr>
          <w:p w14:paraId="09D14B2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46.7</w:t>
            </w:r>
          </w:p>
        </w:tc>
        <w:tc>
          <w:tcPr>
            <w:tcW w:w="1136" w:type="dxa"/>
            <w:shd w:val="clear" w:color="auto" w:fill="E5E5E5" w:themeFill="background1" w:themeFillTint="33"/>
            <w:vAlign w:val="center"/>
          </w:tcPr>
          <w:p w14:paraId="3D3D505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13.9</w:t>
            </w:r>
          </w:p>
        </w:tc>
      </w:tr>
      <w:tr w:rsidR="00961617" w:rsidRPr="00545C7F" w14:paraId="7DD39E1F" w14:textId="77777777" w:rsidTr="0020771F">
        <w:trPr>
          <w:trHeight w:hRule="exact" w:val="397"/>
        </w:trPr>
        <w:tc>
          <w:tcPr>
            <w:tcW w:w="7196" w:type="dxa"/>
            <w:vAlign w:val="center"/>
          </w:tcPr>
          <w:p w14:paraId="30F8665E" w14:textId="77777777" w:rsidR="00961617" w:rsidRPr="00545C7F" w:rsidRDefault="00961617" w:rsidP="0020771F">
            <w:pPr>
              <w:pStyle w:val="Tablefirstcolumn"/>
              <w:rPr>
                <w:rFonts w:cstheme="minorHAnsi"/>
              </w:rPr>
            </w:pPr>
            <w:r w:rsidRPr="00545C7F">
              <w:rPr>
                <w:rFonts w:cstheme="minorHAnsi"/>
              </w:rPr>
              <w:t>Income support type: NSA/YA(O)</w:t>
            </w:r>
          </w:p>
        </w:tc>
        <w:tc>
          <w:tcPr>
            <w:tcW w:w="1277" w:type="dxa"/>
            <w:vAlign w:val="center"/>
          </w:tcPr>
          <w:p w14:paraId="447C02A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33.7</w:t>
            </w:r>
          </w:p>
        </w:tc>
        <w:tc>
          <w:tcPr>
            <w:tcW w:w="1278" w:type="dxa"/>
            <w:vAlign w:val="center"/>
          </w:tcPr>
          <w:p w14:paraId="647DDC9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24.4</w:t>
            </w:r>
          </w:p>
        </w:tc>
        <w:tc>
          <w:tcPr>
            <w:tcW w:w="1278" w:type="dxa"/>
            <w:vAlign w:val="center"/>
          </w:tcPr>
          <w:p w14:paraId="4B8366B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58.1</w:t>
            </w:r>
          </w:p>
        </w:tc>
        <w:tc>
          <w:tcPr>
            <w:tcW w:w="1136" w:type="dxa"/>
            <w:vAlign w:val="center"/>
          </w:tcPr>
          <w:p w14:paraId="0B09461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23.3</w:t>
            </w:r>
          </w:p>
        </w:tc>
      </w:tr>
      <w:tr w:rsidR="00961617" w:rsidRPr="00545C7F" w14:paraId="29CCE0B7" w14:textId="77777777" w:rsidTr="0020771F">
        <w:trPr>
          <w:trHeight w:hRule="exact" w:val="397"/>
        </w:trPr>
        <w:tc>
          <w:tcPr>
            <w:tcW w:w="7196" w:type="dxa"/>
            <w:shd w:val="clear" w:color="auto" w:fill="E5E5E5" w:themeFill="background1" w:themeFillTint="33"/>
            <w:vAlign w:val="center"/>
          </w:tcPr>
          <w:p w14:paraId="3A66186D" w14:textId="77777777" w:rsidR="00961617" w:rsidRPr="00545C7F" w:rsidRDefault="00961617" w:rsidP="0020771F">
            <w:pPr>
              <w:pStyle w:val="Tablefirstcolumn"/>
              <w:rPr>
                <w:rFonts w:cstheme="minorHAnsi"/>
              </w:rPr>
            </w:pPr>
            <w:r w:rsidRPr="00545C7F">
              <w:rPr>
                <w:rFonts w:cstheme="minorHAnsi"/>
              </w:rPr>
              <w:t>Income support type: PPP/PPS</w:t>
            </w:r>
          </w:p>
        </w:tc>
        <w:tc>
          <w:tcPr>
            <w:tcW w:w="1277" w:type="dxa"/>
            <w:shd w:val="clear" w:color="auto" w:fill="E5E5E5" w:themeFill="background1" w:themeFillTint="33"/>
            <w:vAlign w:val="center"/>
          </w:tcPr>
          <w:p w14:paraId="79C3EF8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8.7</w:t>
            </w:r>
          </w:p>
        </w:tc>
        <w:tc>
          <w:tcPr>
            <w:tcW w:w="1278" w:type="dxa"/>
            <w:shd w:val="clear" w:color="auto" w:fill="E5E5E5" w:themeFill="background1" w:themeFillTint="33"/>
            <w:vAlign w:val="center"/>
          </w:tcPr>
          <w:p w14:paraId="6CC8F76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29.4</w:t>
            </w:r>
          </w:p>
        </w:tc>
        <w:tc>
          <w:tcPr>
            <w:tcW w:w="1278" w:type="dxa"/>
            <w:shd w:val="clear" w:color="auto" w:fill="E5E5E5" w:themeFill="background1" w:themeFillTint="33"/>
            <w:vAlign w:val="center"/>
          </w:tcPr>
          <w:p w14:paraId="74C7A02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38.1</w:t>
            </w:r>
          </w:p>
        </w:tc>
        <w:tc>
          <w:tcPr>
            <w:tcW w:w="1136" w:type="dxa"/>
            <w:shd w:val="clear" w:color="auto" w:fill="E5E5E5" w:themeFill="background1" w:themeFillTint="33"/>
            <w:vAlign w:val="center"/>
          </w:tcPr>
          <w:p w14:paraId="2957D68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33.2</w:t>
            </w:r>
          </w:p>
        </w:tc>
      </w:tr>
      <w:tr w:rsidR="00961617" w:rsidRPr="00545C7F" w14:paraId="3DB44D1C" w14:textId="77777777" w:rsidTr="0020771F">
        <w:trPr>
          <w:trHeight w:hRule="exact" w:val="397"/>
        </w:trPr>
        <w:tc>
          <w:tcPr>
            <w:tcW w:w="7196" w:type="dxa"/>
            <w:vAlign w:val="center"/>
          </w:tcPr>
          <w:p w14:paraId="33D59BC1" w14:textId="77777777" w:rsidR="00961617" w:rsidRPr="00545C7F" w:rsidRDefault="00961617" w:rsidP="0020771F">
            <w:pPr>
              <w:pStyle w:val="Tablefirstcolumn"/>
              <w:rPr>
                <w:rFonts w:cstheme="minorHAnsi"/>
              </w:rPr>
            </w:pPr>
            <w:r w:rsidRPr="00545C7F">
              <w:rPr>
                <w:rFonts w:cstheme="minorHAnsi"/>
              </w:rPr>
              <w:t>Income support type: Other income support type/not on income support</w:t>
            </w:r>
          </w:p>
        </w:tc>
        <w:tc>
          <w:tcPr>
            <w:tcW w:w="1277" w:type="dxa"/>
            <w:vAlign w:val="center"/>
          </w:tcPr>
          <w:p w14:paraId="24C51BB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14.1</w:t>
            </w:r>
          </w:p>
        </w:tc>
        <w:tc>
          <w:tcPr>
            <w:tcW w:w="1278" w:type="dxa"/>
            <w:vAlign w:val="center"/>
          </w:tcPr>
          <w:p w14:paraId="38C45AA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20.7</w:t>
            </w:r>
          </w:p>
        </w:tc>
        <w:tc>
          <w:tcPr>
            <w:tcW w:w="1278" w:type="dxa"/>
            <w:vAlign w:val="center"/>
          </w:tcPr>
          <w:p w14:paraId="5FD75E9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34.8</w:t>
            </w:r>
          </w:p>
        </w:tc>
        <w:tc>
          <w:tcPr>
            <w:tcW w:w="1136" w:type="dxa"/>
            <w:vAlign w:val="center"/>
          </w:tcPr>
          <w:p w14:paraId="6455769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35.5</w:t>
            </w:r>
          </w:p>
        </w:tc>
      </w:tr>
      <w:tr w:rsidR="00961617" w:rsidRPr="00545C7F" w14:paraId="05D69D41" w14:textId="77777777" w:rsidTr="0020771F">
        <w:trPr>
          <w:trHeight w:hRule="exact" w:val="397"/>
        </w:trPr>
        <w:tc>
          <w:tcPr>
            <w:tcW w:w="7196" w:type="dxa"/>
            <w:shd w:val="clear" w:color="auto" w:fill="E5E5E5" w:themeFill="background1" w:themeFillTint="33"/>
            <w:vAlign w:val="center"/>
          </w:tcPr>
          <w:p w14:paraId="48FF107A" w14:textId="77777777" w:rsidR="00961617" w:rsidRPr="00545C7F" w:rsidRDefault="00961617" w:rsidP="0020771F">
            <w:pPr>
              <w:pStyle w:val="Tablefirstcolumn"/>
              <w:rPr>
                <w:rFonts w:cstheme="minorHAnsi"/>
              </w:rPr>
            </w:pPr>
            <w:r w:rsidRPr="00545C7F">
              <w:rPr>
                <w:rFonts w:cstheme="minorHAnsi"/>
              </w:rPr>
              <w:t>Geographic location: Major Cities of Australia</w:t>
            </w:r>
          </w:p>
        </w:tc>
        <w:tc>
          <w:tcPr>
            <w:tcW w:w="1277" w:type="dxa"/>
            <w:shd w:val="clear" w:color="auto" w:fill="E5E5E5" w:themeFill="background1" w:themeFillTint="33"/>
            <w:vAlign w:val="center"/>
          </w:tcPr>
          <w:p w14:paraId="7C27E1F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32.5</w:t>
            </w:r>
          </w:p>
        </w:tc>
        <w:tc>
          <w:tcPr>
            <w:tcW w:w="1278" w:type="dxa"/>
            <w:shd w:val="clear" w:color="auto" w:fill="E5E5E5" w:themeFill="background1" w:themeFillTint="33"/>
            <w:vAlign w:val="center"/>
          </w:tcPr>
          <w:p w14:paraId="2114FC8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23.0</w:t>
            </w:r>
          </w:p>
        </w:tc>
        <w:tc>
          <w:tcPr>
            <w:tcW w:w="1278" w:type="dxa"/>
            <w:shd w:val="clear" w:color="auto" w:fill="E5E5E5" w:themeFill="background1" w:themeFillTint="33"/>
            <w:vAlign w:val="center"/>
          </w:tcPr>
          <w:p w14:paraId="3D279BD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55.5</w:t>
            </w:r>
          </w:p>
        </w:tc>
        <w:tc>
          <w:tcPr>
            <w:tcW w:w="1136" w:type="dxa"/>
            <w:shd w:val="clear" w:color="auto" w:fill="E5E5E5" w:themeFill="background1" w:themeFillTint="33"/>
            <w:vAlign w:val="center"/>
          </w:tcPr>
          <w:p w14:paraId="3392125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23.6</w:t>
            </w:r>
          </w:p>
        </w:tc>
      </w:tr>
      <w:tr w:rsidR="00961617" w:rsidRPr="00545C7F" w14:paraId="452E0EB4" w14:textId="77777777" w:rsidTr="0020771F">
        <w:trPr>
          <w:trHeight w:hRule="exact" w:val="397"/>
        </w:trPr>
        <w:tc>
          <w:tcPr>
            <w:tcW w:w="7196" w:type="dxa"/>
            <w:vAlign w:val="center"/>
          </w:tcPr>
          <w:p w14:paraId="155B6D94" w14:textId="77777777" w:rsidR="00961617" w:rsidRPr="00545C7F" w:rsidRDefault="00961617" w:rsidP="0020771F">
            <w:pPr>
              <w:pStyle w:val="Tablefirstcolumn"/>
              <w:rPr>
                <w:rFonts w:cstheme="minorHAnsi"/>
              </w:rPr>
            </w:pPr>
            <w:r w:rsidRPr="00545C7F">
              <w:rPr>
                <w:rFonts w:cstheme="minorHAnsi"/>
              </w:rPr>
              <w:t xml:space="preserve">Geographic location: Inner Regional </w:t>
            </w:r>
          </w:p>
        </w:tc>
        <w:tc>
          <w:tcPr>
            <w:tcW w:w="1277" w:type="dxa"/>
            <w:vAlign w:val="center"/>
          </w:tcPr>
          <w:p w14:paraId="6F878B9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27.2</w:t>
            </w:r>
          </w:p>
        </w:tc>
        <w:tc>
          <w:tcPr>
            <w:tcW w:w="1278" w:type="dxa"/>
            <w:vAlign w:val="center"/>
          </w:tcPr>
          <w:p w14:paraId="3E04503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27.2</w:t>
            </w:r>
          </w:p>
        </w:tc>
        <w:tc>
          <w:tcPr>
            <w:tcW w:w="1278" w:type="dxa"/>
            <w:vAlign w:val="center"/>
          </w:tcPr>
          <w:p w14:paraId="4685445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54.3</w:t>
            </w:r>
          </w:p>
        </w:tc>
        <w:tc>
          <w:tcPr>
            <w:tcW w:w="1136" w:type="dxa"/>
            <w:vAlign w:val="center"/>
          </w:tcPr>
          <w:p w14:paraId="019B7D9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24.7</w:t>
            </w:r>
          </w:p>
        </w:tc>
      </w:tr>
      <w:tr w:rsidR="00961617" w:rsidRPr="00545C7F" w14:paraId="4876347C" w14:textId="77777777" w:rsidTr="0020771F">
        <w:trPr>
          <w:trHeight w:hRule="exact" w:val="397"/>
        </w:trPr>
        <w:tc>
          <w:tcPr>
            <w:tcW w:w="7196" w:type="dxa"/>
            <w:shd w:val="clear" w:color="auto" w:fill="E5E5E5" w:themeFill="background1" w:themeFillTint="33"/>
            <w:vAlign w:val="center"/>
          </w:tcPr>
          <w:p w14:paraId="12F6EB1B" w14:textId="77777777" w:rsidR="00961617" w:rsidRPr="00545C7F" w:rsidRDefault="00961617" w:rsidP="0020771F">
            <w:pPr>
              <w:pStyle w:val="Tablefirstcolumn"/>
              <w:rPr>
                <w:rFonts w:cstheme="minorHAnsi"/>
              </w:rPr>
            </w:pPr>
            <w:r w:rsidRPr="00545C7F">
              <w:rPr>
                <w:rFonts w:cstheme="minorHAnsi"/>
              </w:rPr>
              <w:t>Geographic location: Other</w:t>
            </w:r>
          </w:p>
        </w:tc>
        <w:tc>
          <w:tcPr>
            <w:tcW w:w="1277" w:type="dxa"/>
            <w:shd w:val="clear" w:color="auto" w:fill="E5E5E5" w:themeFill="background1" w:themeFillTint="33"/>
            <w:vAlign w:val="center"/>
          </w:tcPr>
          <w:p w14:paraId="25A6365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30.5</w:t>
            </w:r>
          </w:p>
        </w:tc>
        <w:tc>
          <w:tcPr>
            <w:tcW w:w="1278" w:type="dxa"/>
            <w:shd w:val="clear" w:color="auto" w:fill="E5E5E5" w:themeFill="background1" w:themeFillTint="33"/>
            <w:vAlign w:val="center"/>
          </w:tcPr>
          <w:p w14:paraId="747F5EA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26.4</w:t>
            </w:r>
          </w:p>
        </w:tc>
        <w:tc>
          <w:tcPr>
            <w:tcW w:w="1278" w:type="dxa"/>
            <w:shd w:val="clear" w:color="auto" w:fill="E5E5E5" w:themeFill="background1" w:themeFillTint="33"/>
            <w:vAlign w:val="center"/>
          </w:tcPr>
          <w:p w14:paraId="5560001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56.9</w:t>
            </w:r>
          </w:p>
        </w:tc>
        <w:tc>
          <w:tcPr>
            <w:tcW w:w="1136" w:type="dxa"/>
            <w:shd w:val="clear" w:color="auto" w:fill="E5E5E5" w:themeFill="background1" w:themeFillTint="33"/>
            <w:vAlign w:val="center"/>
          </w:tcPr>
          <w:p w14:paraId="5EF06C4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22.1</w:t>
            </w:r>
          </w:p>
        </w:tc>
      </w:tr>
      <w:tr w:rsidR="00961617" w:rsidRPr="00545C7F" w14:paraId="645EF698" w14:textId="77777777" w:rsidTr="0020771F">
        <w:trPr>
          <w:trHeight w:hRule="exact" w:val="397"/>
        </w:trPr>
        <w:tc>
          <w:tcPr>
            <w:tcW w:w="7196" w:type="dxa"/>
            <w:vAlign w:val="center"/>
          </w:tcPr>
          <w:p w14:paraId="79C85355" w14:textId="77777777" w:rsidR="00961617" w:rsidRPr="00545C7F" w:rsidRDefault="00961617" w:rsidP="0020771F">
            <w:pPr>
              <w:pStyle w:val="Tablefirstcolumn"/>
              <w:rPr>
                <w:rFonts w:cstheme="minorHAnsi"/>
              </w:rPr>
            </w:pPr>
            <w:r w:rsidRPr="00545C7F">
              <w:rPr>
                <w:rFonts w:cstheme="minorHAnsi"/>
              </w:rPr>
              <w:t>Highest level of education: Less than Year 10</w:t>
            </w:r>
          </w:p>
        </w:tc>
        <w:tc>
          <w:tcPr>
            <w:tcW w:w="1277" w:type="dxa"/>
            <w:vAlign w:val="center"/>
          </w:tcPr>
          <w:p w14:paraId="1531DF5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19.0</w:t>
            </w:r>
          </w:p>
        </w:tc>
        <w:tc>
          <w:tcPr>
            <w:tcW w:w="1278" w:type="dxa"/>
            <w:vAlign w:val="center"/>
          </w:tcPr>
          <w:p w14:paraId="3552B37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16.7</w:t>
            </w:r>
          </w:p>
        </w:tc>
        <w:tc>
          <w:tcPr>
            <w:tcW w:w="1278" w:type="dxa"/>
            <w:vAlign w:val="center"/>
          </w:tcPr>
          <w:p w14:paraId="40BB134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35.7</w:t>
            </w:r>
          </w:p>
        </w:tc>
        <w:tc>
          <w:tcPr>
            <w:tcW w:w="1136" w:type="dxa"/>
            <w:vAlign w:val="center"/>
          </w:tcPr>
          <w:p w14:paraId="63DE5B3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21.0</w:t>
            </w:r>
          </w:p>
        </w:tc>
      </w:tr>
      <w:tr w:rsidR="00961617" w:rsidRPr="00545C7F" w14:paraId="336EDF10" w14:textId="77777777" w:rsidTr="0020771F">
        <w:trPr>
          <w:trHeight w:hRule="exact" w:val="397"/>
        </w:trPr>
        <w:tc>
          <w:tcPr>
            <w:tcW w:w="7196" w:type="dxa"/>
            <w:shd w:val="clear" w:color="auto" w:fill="E5E5E5" w:themeFill="background1" w:themeFillTint="33"/>
            <w:vAlign w:val="center"/>
          </w:tcPr>
          <w:p w14:paraId="2A271158" w14:textId="77777777" w:rsidR="00961617" w:rsidRPr="00545C7F" w:rsidRDefault="00961617" w:rsidP="0020771F">
            <w:pPr>
              <w:pStyle w:val="Tablefirstcolumn"/>
              <w:rPr>
                <w:rFonts w:cstheme="minorHAnsi"/>
              </w:rPr>
            </w:pPr>
            <w:r w:rsidRPr="00545C7F">
              <w:rPr>
                <w:rFonts w:cstheme="minorHAnsi"/>
              </w:rPr>
              <w:t>Highest level of education: Year 10/11</w:t>
            </w:r>
          </w:p>
        </w:tc>
        <w:tc>
          <w:tcPr>
            <w:tcW w:w="1277" w:type="dxa"/>
            <w:shd w:val="clear" w:color="auto" w:fill="E5E5E5" w:themeFill="background1" w:themeFillTint="33"/>
            <w:vAlign w:val="center"/>
          </w:tcPr>
          <w:p w14:paraId="37D1149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24.8</w:t>
            </w:r>
          </w:p>
        </w:tc>
        <w:tc>
          <w:tcPr>
            <w:tcW w:w="1278" w:type="dxa"/>
            <w:shd w:val="clear" w:color="auto" w:fill="E5E5E5" w:themeFill="background1" w:themeFillTint="33"/>
            <w:vAlign w:val="center"/>
          </w:tcPr>
          <w:p w14:paraId="6B0ECFF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20.8</w:t>
            </w:r>
          </w:p>
        </w:tc>
        <w:tc>
          <w:tcPr>
            <w:tcW w:w="1278" w:type="dxa"/>
            <w:shd w:val="clear" w:color="auto" w:fill="E5E5E5" w:themeFill="background1" w:themeFillTint="33"/>
            <w:vAlign w:val="center"/>
          </w:tcPr>
          <w:p w14:paraId="324D605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45.6</w:t>
            </w:r>
          </w:p>
        </w:tc>
        <w:tc>
          <w:tcPr>
            <w:tcW w:w="1136" w:type="dxa"/>
            <w:shd w:val="clear" w:color="auto" w:fill="E5E5E5" w:themeFill="background1" w:themeFillTint="33"/>
            <w:vAlign w:val="center"/>
          </w:tcPr>
          <w:p w14:paraId="5D76D8F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18.5</w:t>
            </w:r>
          </w:p>
        </w:tc>
      </w:tr>
      <w:tr w:rsidR="00961617" w:rsidRPr="00545C7F" w14:paraId="61B75EEE" w14:textId="77777777" w:rsidTr="0020771F">
        <w:trPr>
          <w:trHeight w:hRule="exact" w:val="397"/>
        </w:trPr>
        <w:tc>
          <w:tcPr>
            <w:tcW w:w="7196" w:type="dxa"/>
            <w:vAlign w:val="center"/>
          </w:tcPr>
          <w:p w14:paraId="3F704666" w14:textId="77777777" w:rsidR="00961617" w:rsidRPr="00545C7F" w:rsidRDefault="00961617" w:rsidP="0020771F">
            <w:pPr>
              <w:pStyle w:val="Tablefirstcolumn"/>
              <w:rPr>
                <w:rFonts w:cstheme="minorHAnsi"/>
              </w:rPr>
            </w:pPr>
            <w:r w:rsidRPr="00545C7F">
              <w:rPr>
                <w:rFonts w:cstheme="minorHAnsi"/>
              </w:rPr>
              <w:t>Highest level of education: Year 12</w:t>
            </w:r>
          </w:p>
        </w:tc>
        <w:tc>
          <w:tcPr>
            <w:tcW w:w="1277" w:type="dxa"/>
            <w:vAlign w:val="center"/>
          </w:tcPr>
          <w:p w14:paraId="51498BD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26.6</w:t>
            </w:r>
          </w:p>
        </w:tc>
        <w:tc>
          <w:tcPr>
            <w:tcW w:w="1278" w:type="dxa"/>
            <w:vAlign w:val="center"/>
          </w:tcPr>
          <w:p w14:paraId="0D87DB8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26.3</w:t>
            </w:r>
          </w:p>
        </w:tc>
        <w:tc>
          <w:tcPr>
            <w:tcW w:w="1278" w:type="dxa"/>
            <w:vAlign w:val="center"/>
          </w:tcPr>
          <w:p w14:paraId="2FFDAB0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52.9</w:t>
            </w:r>
          </w:p>
        </w:tc>
        <w:tc>
          <w:tcPr>
            <w:tcW w:w="1136" w:type="dxa"/>
            <w:vAlign w:val="center"/>
          </w:tcPr>
          <w:p w14:paraId="3195FA7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31.4</w:t>
            </w:r>
          </w:p>
        </w:tc>
      </w:tr>
      <w:tr w:rsidR="00961617" w:rsidRPr="00545C7F" w14:paraId="6F27363D" w14:textId="77777777" w:rsidTr="0020771F">
        <w:trPr>
          <w:trHeight w:hRule="exact" w:val="397"/>
        </w:trPr>
        <w:tc>
          <w:tcPr>
            <w:tcW w:w="7196" w:type="dxa"/>
            <w:shd w:val="clear" w:color="auto" w:fill="E5E5E5" w:themeFill="background1" w:themeFillTint="33"/>
            <w:vAlign w:val="center"/>
          </w:tcPr>
          <w:p w14:paraId="52C1C247" w14:textId="77777777" w:rsidR="00961617" w:rsidRPr="00545C7F" w:rsidRDefault="00961617" w:rsidP="0020771F">
            <w:pPr>
              <w:pStyle w:val="Tablefirstcolumn"/>
              <w:rPr>
                <w:rFonts w:cstheme="minorHAnsi"/>
              </w:rPr>
            </w:pPr>
            <w:r w:rsidRPr="00545C7F">
              <w:rPr>
                <w:rFonts w:cstheme="minorHAnsi"/>
              </w:rPr>
              <w:t>Highest level of education: TAFE/Diploma</w:t>
            </w:r>
          </w:p>
        </w:tc>
        <w:tc>
          <w:tcPr>
            <w:tcW w:w="1277" w:type="dxa"/>
            <w:shd w:val="clear" w:color="auto" w:fill="E5E5E5" w:themeFill="background1" w:themeFillTint="33"/>
            <w:vAlign w:val="center"/>
          </w:tcPr>
          <w:p w14:paraId="6E46F44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33.7</w:t>
            </w:r>
          </w:p>
        </w:tc>
        <w:tc>
          <w:tcPr>
            <w:tcW w:w="1278" w:type="dxa"/>
            <w:shd w:val="clear" w:color="auto" w:fill="E5E5E5" w:themeFill="background1" w:themeFillTint="33"/>
            <w:vAlign w:val="center"/>
          </w:tcPr>
          <w:p w14:paraId="3315795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25.6</w:t>
            </w:r>
          </w:p>
        </w:tc>
        <w:tc>
          <w:tcPr>
            <w:tcW w:w="1278" w:type="dxa"/>
            <w:shd w:val="clear" w:color="auto" w:fill="E5E5E5" w:themeFill="background1" w:themeFillTint="33"/>
            <w:vAlign w:val="center"/>
          </w:tcPr>
          <w:p w14:paraId="59DCF81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59.3</w:t>
            </w:r>
          </w:p>
        </w:tc>
        <w:tc>
          <w:tcPr>
            <w:tcW w:w="1136" w:type="dxa"/>
            <w:shd w:val="clear" w:color="auto" w:fill="E5E5E5" w:themeFill="background1" w:themeFillTint="33"/>
            <w:vAlign w:val="center"/>
          </w:tcPr>
          <w:p w14:paraId="0D25688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22.9</w:t>
            </w:r>
          </w:p>
        </w:tc>
      </w:tr>
      <w:tr w:rsidR="00961617" w:rsidRPr="00545C7F" w14:paraId="0C95918B" w14:textId="77777777" w:rsidTr="0020771F">
        <w:trPr>
          <w:trHeight w:hRule="exact" w:val="397"/>
        </w:trPr>
        <w:tc>
          <w:tcPr>
            <w:tcW w:w="7196" w:type="dxa"/>
            <w:vAlign w:val="center"/>
          </w:tcPr>
          <w:p w14:paraId="4E58BB65" w14:textId="77777777" w:rsidR="00961617" w:rsidRPr="00545C7F" w:rsidRDefault="00961617" w:rsidP="0020771F">
            <w:pPr>
              <w:pStyle w:val="Tablefirstcolumn"/>
              <w:rPr>
                <w:rFonts w:cstheme="minorHAnsi"/>
              </w:rPr>
            </w:pPr>
            <w:r w:rsidRPr="00545C7F">
              <w:rPr>
                <w:rFonts w:cstheme="minorHAnsi"/>
              </w:rPr>
              <w:t>Highest level of education: Degree/Post-graduate</w:t>
            </w:r>
          </w:p>
        </w:tc>
        <w:tc>
          <w:tcPr>
            <w:tcW w:w="1277" w:type="dxa"/>
            <w:vAlign w:val="center"/>
          </w:tcPr>
          <w:p w14:paraId="3D19E7A2" w14:textId="77777777" w:rsidR="00961617" w:rsidRPr="00545C7F" w:rsidRDefault="00961617" w:rsidP="0020771F">
            <w:pPr>
              <w:pStyle w:val="tabletextslim"/>
              <w:spacing w:before="23"/>
              <w:ind w:right="102"/>
              <w:rPr>
                <w:rFonts w:cstheme="minorHAnsi"/>
                <w:b/>
                <w:sz w:val="20"/>
                <w:szCs w:val="20"/>
              </w:rPr>
            </w:pPr>
            <w:r w:rsidRPr="00545C7F">
              <w:rPr>
                <w:rFonts w:cstheme="minorHAnsi"/>
                <w:sz w:val="20"/>
                <w:szCs w:val="20"/>
              </w:rPr>
              <w:t>44.5</w:t>
            </w:r>
          </w:p>
        </w:tc>
        <w:tc>
          <w:tcPr>
            <w:tcW w:w="1278" w:type="dxa"/>
            <w:vAlign w:val="center"/>
          </w:tcPr>
          <w:p w14:paraId="25D818CE" w14:textId="77777777" w:rsidR="00961617" w:rsidRPr="00545C7F" w:rsidRDefault="00961617" w:rsidP="0020771F">
            <w:pPr>
              <w:pStyle w:val="tabletextslim"/>
              <w:spacing w:before="23"/>
              <w:ind w:right="102"/>
              <w:rPr>
                <w:rFonts w:cstheme="minorHAnsi"/>
                <w:b/>
                <w:sz w:val="20"/>
                <w:szCs w:val="20"/>
              </w:rPr>
            </w:pPr>
            <w:r w:rsidRPr="00545C7F">
              <w:rPr>
                <w:rFonts w:cstheme="minorHAnsi"/>
                <w:sz w:val="20"/>
                <w:szCs w:val="20"/>
              </w:rPr>
              <w:t>26.3</w:t>
            </w:r>
          </w:p>
        </w:tc>
        <w:tc>
          <w:tcPr>
            <w:tcW w:w="1278" w:type="dxa"/>
            <w:vAlign w:val="center"/>
          </w:tcPr>
          <w:p w14:paraId="6E3C6057" w14:textId="77777777" w:rsidR="00961617" w:rsidRPr="00545C7F" w:rsidRDefault="00961617" w:rsidP="0020771F">
            <w:pPr>
              <w:pStyle w:val="tabletextslim"/>
              <w:spacing w:before="23"/>
              <w:ind w:right="102"/>
              <w:rPr>
                <w:rFonts w:cstheme="minorHAnsi"/>
                <w:b/>
                <w:sz w:val="20"/>
                <w:szCs w:val="20"/>
              </w:rPr>
            </w:pPr>
            <w:r w:rsidRPr="00545C7F">
              <w:rPr>
                <w:rFonts w:cstheme="minorHAnsi"/>
                <w:sz w:val="20"/>
                <w:szCs w:val="20"/>
              </w:rPr>
              <w:t>70.8</w:t>
            </w:r>
          </w:p>
        </w:tc>
        <w:tc>
          <w:tcPr>
            <w:tcW w:w="1136" w:type="dxa"/>
            <w:vAlign w:val="center"/>
          </w:tcPr>
          <w:p w14:paraId="1D48CAB7" w14:textId="77777777" w:rsidR="00961617" w:rsidRPr="00545C7F" w:rsidRDefault="00961617" w:rsidP="0020771F">
            <w:pPr>
              <w:pStyle w:val="tabletextslim"/>
              <w:spacing w:before="23"/>
              <w:ind w:right="102"/>
              <w:rPr>
                <w:rFonts w:cstheme="minorHAnsi"/>
                <w:b/>
                <w:sz w:val="20"/>
                <w:szCs w:val="20"/>
              </w:rPr>
            </w:pPr>
            <w:r w:rsidRPr="00545C7F">
              <w:rPr>
                <w:rFonts w:cstheme="minorHAnsi"/>
                <w:sz w:val="20"/>
                <w:szCs w:val="20"/>
              </w:rPr>
              <w:t>21.1</w:t>
            </w:r>
          </w:p>
        </w:tc>
      </w:tr>
      <w:tr w:rsidR="00961617" w:rsidRPr="00545C7F" w14:paraId="2128E94D" w14:textId="77777777" w:rsidTr="0020771F">
        <w:trPr>
          <w:trHeight w:hRule="exact" w:val="397"/>
        </w:trPr>
        <w:tc>
          <w:tcPr>
            <w:tcW w:w="7196" w:type="dxa"/>
            <w:shd w:val="clear" w:color="auto" w:fill="E5E5E5" w:themeFill="background1" w:themeFillTint="33"/>
            <w:vAlign w:val="center"/>
          </w:tcPr>
          <w:p w14:paraId="60FD4AC6" w14:textId="77777777" w:rsidR="00961617" w:rsidRPr="00545C7F" w:rsidRDefault="00961617" w:rsidP="0020771F">
            <w:pPr>
              <w:pStyle w:val="Tablefirstcolumn"/>
              <w:rPr>
                <w:rFonts w:cstheme="minorHAnsi"/>
              </w:rPr>
            </w:pPr>
            <w:r w:rsidRPr="00545C7F">
              <w:rPr>
                <w:rFonts w:cstheme="minorHAnsi"/>
              </w:rPr>
              <w:t>Client group: Indigenous</w:t>
            </w:r>
          </w:p>
        </w:tc>
        <w:tc>
          <w:tcPr>
            <w:tcW w:w="1277" w:type="dxa"/>
            <w:shd w:val="clear" w:color="auto" w:fill="E5E5E5" w:themeFill="background1" w:themeFillTint="33"/>
            <w:vAlign w:val="center"/>
          </w:tcPr>
          <w:p w14:paraId="702A807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24.1</w:t>
            </w:r>
          </w:p>
        </w:tc>
        <w:tc>
          <w:tcPr>
            <w:tcW w:w="1278" w:type="dxa"/>
            <w:shd w:val="clear" w:color="auto" w:fill="E5E5E5" w:themeFill="background1" w:themeFillTint="33"/>
            <w:vAlign w:val="center"/>
          </w:tcPr>
          <w:p w14:paraId="2990579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13.1</w:t>
            </w:r>
          </w:p>
        </w:tc>
        <w:tc>
          <w:tcPr>
            <w:tcW w:w="1278" w:type="dxa"/>
            <w:shd w:val="clear" w:color="auto" w:fill="E5E5E5" w:themeFill="background1" w:themeFillTint="33"/>
            <w:vAlign w:val="center"/>
          </w:tcPr>
          <w:p w14:paraId="217BF77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37.2</w:t>
            </w:r>
          </w:p>
        </w:tc>
        <w:tc>
          <w:tcPr>
            <w:tcW w:w="1136" w:type="dxa"/>
            <w:shd w:val="clear" w:color="auto" w:fill="E5E5E5" w:themeFill="background1" w:themeFillTint="33"/>
            <w:vAlign w:val="center"/>
          </w:tcPr>
          <w:p w14:paraId="2BD18D5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28.7</w:t>
            </w:r>
          </w:p>
        </w:tc>
      </w:tr>
      <w:tr w:rsidR="00961617" w:rsidRPr="00545C7F" w14:paraId="16B095AB" w14:textId="77777777" w:rsidTr="0020771F">
        <w:trPr>
          <w:trHeight w:hRule="exact" w:val="397"/>
        </w:trPr>
        <w:tc>
          <w:tcPr>
            <w:tcW w:w="7196" w:type="dxa"/>
            <w:vAlign w:val="center"/>
          </w:tcPr>
          <w:p w14:paraId="398AF182" w14:textId="77777777" w:rsidR="00961617" w:rsidRPr="00545C7F" w:rsidRDefault="00961617" w:rsidP="0020771F">
            <w:pPr>
              <w:pStyle w:val="Tablefirstcolumn"/>
              <w:rPr>
                <w:rFonts w:cstheme="minorHAnsi"/>
              </w:rPr>
            </w:pPr>
            <w:r w:rsidRPr="00545C7F">
              <w:rPr>
                <w:rFonts w:cstheme="minorHAnsi"/>
              </w:rPr>
              <w:t>Client group: Non-Indigenous</w:t>
            </w:r>
          </w:p>
        </w:tc>
        <w:tc>
          <w:tcPr>
            <w:tcW w:w="1277" w:type="dxa"/>
            <w:vAlign w:val="center"/>
          </w:tcPr>
          <w:p w14:paraId="225FED7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31.6</w:t>
            </w:r>
          </w:p>
        </w:tc>
        <w:tc>
          <w:tcPr>
            <w:tcW w:w="1278" w:type="dxa"/>
            <w:vAlign w:val="center"/>
          </w:tcPr>
          <w:p w14:paraId="5525643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24.6</w:t>
            </w:r>
          </w:p>
        </w:tc>
        <w:tc>
          <w:tcPr>
            <w:tcW w:w="1278" w:type="dxa"/>
            <w:vAlign w:val="center"/>
          </w:tcPr>
          <w:p w14:paraId="1681789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56.2</w:t>
            </w:r>
          </w:p>
        </w:tc>
        <w:tc>
          <w:tcPr>
            <w:tcW w:w="1136" w:type="dxa"/>
            <w:vAlign w:val="center"/>
          </w:tcPr>
          <w:p w14:paraId="7FFC8CC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23.4</w:t>
            </w:r>
          </w:p>
        </w:tc>
      </w:tr>
      <w:tr w:rsidR="00961617" w:rsidRPr="00545C7F" w14:paraId="6CFA5EF8" w14:textId="77777777" w:rsidTr="0020771F">
        <w:trPr>
          <w:trHeight w:hRule="exact" w:val="397"/>
        </w:trPr>
        <w:tc>
          <w:tcPr>
            <w:tcW w:w="7196" w:type="dxa"/>
            <w:shd w:val="clear" w:color="auto" w:fill="E5E5E5" w:themeFill="background1" w:themeFillTint="33"/>
            <w:vAlign w:val="center"/>
          </w:tcPr>
          <w:p w14:paraId="0F6A749A" w14:textId="77777777" w:rsidR="00961617" w:rsidRPr="00545C7F" w:rsidRDefault="00961617" w:rsidP="0020771F">
            <w:pPr>
              <w:pStyle w:val="Tablefirstcolumn"/>
              <w:rPr>
                <w:rFonts w:cstheme="minorHAnsi"/>
              </w:rPr>
            </w:pPr>
            <w:r w:rsidRPr="00545C7F">
              <w:rPr>
                <w:rFonts w:cstheme="minorHAnsi"/>
              </w:rPr>
              <w:t>Client group: Job seekers with a disability as identified by JCA/ESAt</w:t>
            </w:r>
          </w:p>
        </w:tc>
        <w:tc>
          <w:tcPr>
            <w:tcW w:w="1277" w:type="dxa"/>
            <w:shd w:val="clear" w:color="auto" w:fill="E5E5E5" w:themeFill="background1" w:themeFillTint="33"/>
            <w:vAlign w:val="center"/>
          </w:tcPr>
          <w:p w14:paraId="0207E34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9.5</w:t>
            </w:r>
          </w:p>
        </w:tc>
        <w:tc>
          <w:tcPr>
            <w:tcW w:w="1278" w:type="dxa"/>
            <w:shd w:val="clear" w:color="auto" w:fill="E5E5E5" w:themeFill="background1" w:themeFillTint="33"/>
            <w:vAlign w:val="center"/>
          </w:tcPr>
          <w:p w14:paraId="03A60E0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15.7</w:t>
            </w:r>
          </w:p>
        </w:tc>
        <w:tc>
          <w:tcPr>
            <w:tcW w:w="1278" w:type="dxa"/>
            <w:shd w:val="clear" w:color="auto" w:fill="E5E5E5" w:themeFill="background1" w:themeFillTint="33"/>
            <w:vAlign w:val="center"/>
          </w:tcPr>
          <w:p w14:paraId="14740A9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25.2</w:t>
            </w:r>
          </w:p>
        </w:tc>
        <w:tc>
          <w:tcPr>
            <w:tcW w:w="1136" w:type="dxa"/>
            <w:shd w:val="clear" w:color="auto" w:fill="E5E5E5" w:themeFill="background1" w:themeFillTint="33"/>
            <w:vAlign w:val="center"/>
          </w:tcPr>
          <w:p w14:paraId="42C7259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16.3</w:t>
            </w:r>
          </w:p>
        </w:tc>
      </w:tr>
      <w:tr w:rsidR="00961617" w:rsidRPr="00545C7F" w14:paraId="2105DB54" w14:textId="77777777" w:rsidTr="0020771F">
        <w:trPr>
          <w:trHeight w:hRule="exact" w:val="397"/>
        </w:trPr>
        <w:tc>
          <w:tcPr>
            <w:tcW w:w="7196" w:type="dxa"/>
            <w:vAlign w:val="center"/>
          </w:tcPr>
          <w:p w14:paraId="5C1A4654" w14:textId="77777777" w:rsidR="00961617" w:rsidRPr="00545C7F" w:rsidRDefault="00961617" w:rsidP="0020771F">
            <w:pPr>
              <w:pStyle w:val="Tablefirstcolumn"/>
              <w:rPr>
                <w:rFonts w:cstheme="minorHAnsi"/>
              </w:rPr>
            </w:pPr>
            <w:r w:rsidRPr="00545C7F">
              <w:rPr>
                <w:rFonts w:cstheme="minorHAnsi"/>
              </w:rPr>
              <w:t>Client group: Non-English speaking background</w:t>
            </w:r>
          </w:p>
        </w:tc>
        <w:tc>
          <w:tcPr>
            <w:tcW w:w="1277" w:type="dxa"/>
            <w:vAlign w:val="center"/>
          </w:tcPr>
          <w:p w14:paraId="7708F6A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26.7</w:t>
            </w:r>
          </w:p>
        </w:tc>
        <w:tc>
          <w:tcPr>
            <w:tcW w:w="1278" w:type="dxa"/>
            <w:vAlign w:val="center"/>
          </w:tcPr>
          <w:p w14:paraId="2DEA70D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19.9</w:t>
            </w:r>
          </w:p>
        </w:tc>
        <w:tc>
          <w:tcPr>
            <w:tcW w:w="1278" w:type="dxa"/>
            <w:vAlign w:val="center"/>
          </w:tcPr>
          <w:p w14:paraId="15F7560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46.6</w:t>
            </w:r>
          </w:p>
        </w:tc>
        <w:tc>
          <w:tcPr>
            <w:tcW w:w="1136" w:type="dxa"/>
            <w:vAlign w:val="center"/>
          </w:tcPr>
          <w:p w14:paraId="4CACECD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28.0</w:t>
            </w:r>
          </w:p>
        </w:tc>
      </w:tr>
      <w:tr w:rsidR="00961617" w:rsidRPr="00545C7F" w14:paraId="7E61A0F2" w14:textId="77777777" w:rsidTr="0020771F">
        <w:trPr>
          <w:trHeight w:hRule="exact" w:val="397"/>
        </w:trPr>
        <w:tc>
          <w:tcPr>
            <w:tcW w:w="7196" w:type="dxa"/>
            <w:shd w:val="clear" w:color="auto" w:fill="E5E5E5" w:themeFill="background1" w:themeFillTint="33"/>
            <w:vAlign w:val="center"/>
          </w:tcPr>
          <w:p w14:paraId="78BBF157" w14:textId="77777777" w:rsidR="00961617" w:rsidRPr="00545C7F" w:rsidRDefault="00961617" w:rsidP="0020771F">
            <w:pPr>
              <w:pStyle w:val="Tablefirstcolumn"/>
              <w:rPr>
                <w:rFonts w:cstheme="minorHAnsi"/>
              </w:rPr>
            </w:pPr>
            <w:r w:rsidRPr="00545C7F">
              <w:rPr>
                <w:rFonts w:cstheme="minorHAnsi"/>
              </w:rPr>
              <w:t>Client group: Mixed or low English proficiency</w:t>
            </w:r>
          </w:p>
        </w:tc>
        <w:tc>
          <w:tcPr>
            <w:tcW w:w="1277" w:type="dxa"/>
            <w:shd w:val="clear" w:color="auto" w:fill="E5E5E5" w:themeFill="background1" w:themeFillTint="33"/>
            <w:vAlign w:val="center"/>
          </w:tcPr>
          <w:p w14:paraId="5D268FE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19.6</w:t>
            </w:r>
          </w:p>
        </w:tc>
        <w:tc>
          <w:tcPr>
            <w:tcW w:w="1278" w:type="dxa"/>
            <w:shd w:val="clear" w:color="auto" w:fill="E5E5E5" w:themeFill="background1" w:themeFillTint="33"/>
            <w:vAlign w:val="center"/>
          </w:tcPr>
          <w:p w14:paraId="2B6BE0D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13.2</w:t>
            </w:r>
          </w:p>
        </w:tc>
        <w:tc>
          <w:tcPr>
            <w:tcW w:w="1278" w:type="dxa"/>
            <w:shd w:val="clear" w:color="auto" w:fill="E5E5E5" w:themeFill="background1" w:themeFillTint="33"/>
            <w:vAlign w:val="center"/>
          </w:tcPr>
          <w:p w14:paraId="649D9A5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32.8</w:t>
            </w:r>
          </w:p>
        </w:tc>
        <w:tc>
          <w:tcPr>
            <w:tcW w:w="1136" w:type="dxa"/>
            <w:shd w:val="clear" w:color="auto" w:fill="E5E5E5" w:themeFill="background1" w:themeFillTint="33"/>
            <w:vAlign w:val="center"/>
          </w:tcPr>
          <w:p w14:paraId="0D367CE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32.6</w:t>
            </w:r>
          </w:p>
        </w:tc>
      </w:tr>
      <w:tr w:rsidR="00961617" w:rsidRPr="00545C7F" w14:paraId="77489036" w14:textId="77777777" w:rsidTr="0020771F">
        <w:trPr>
          <w:trHeight w:hRule="exact" w:val="397"/>
        </w:trPr>
        <w:tc>
          <w:tcPr>
            <w:tcW w:w="7196" w:type="dxa"/>
            <w:vAlign w:val="center"/>
          </w:tcPr>
          <w:p w14:paraId="0268629F" w14:textId="77777777" w:rsidR="00961617" w:rsidRPr="00545C7F" w:rsidRDefault="00961617" w:rsidP="0020771F">
            <w:pPr>
              <w:pStyle w:val="Tablefirstcolumn"/>
              <w:rPr>
                <w:rFonts w:cstheme="minorHAnsi"/>
              </w:rPr>
            </w:pPr>
            <w:r w:rsidRPr="00545C7F">
              <w:rPr>
                <w:rFonts w:cstheme="minorHAnsi"/>
              </w:rPr>
              <w:t>Client group: Single parents</w:t>
            </w:r>
          </w:p>
        </w:tc>
        <w:tc>
          <w:tcPr>
            <w:tcW w:w="1277" w:type="dxa"/>
            <w:vAlign w:val="center"/>
          </w:tcPr>
          <w:p w14:paraId="799C273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11.7</w:t>
            </w:r>
          </w:p>
        </w:tc>
        <w:tc>
          <w:tcPr>
            <w:tcW w:w="1278" w:type="dxa"/>
            <w:vAlign w:val="center"/>
          </w:tcPr>
          <w:p w14:paraId="7699E87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33.3</w:t>
            </w:r>
          </w:p>
        </w:tc>
        <w:tc>
          <w:tcPr>
            <w:tcW w:w="1278" w:type="dxa"/>
            <w:vAlign w:val="center"/>
          </w:tcPr>
          <w:p w14:paraId="0978DD1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45.0</w:t>
            </w:r>
          </w:p>
        </w:tc>
        <w:tc>
          <w:tcPr>
            <w:tcW w:w="1136" w:type="dxa"/>
            <w:vAlign w:val="center"/>
          </w:tcPr>
          <w:p w14:paraId="7CC6F241"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35.5</w:t>
            </w:r>
          </w:p>
        </w:tc>
      </w:tr>
      <w:tr w:rsidR="00961617" w:rsidRPr="00545C7F" w14:paraId="29F58251" w14:textId="77777777" w:rsidTr="0020771F">
        <w:trPr>
          <w:trHeight w:hRule="exact" w:val="397"/>
        </w:trPr>
        <w:tc>
          <w:tcPr>
            <w:tcW w:w="7196" w:type="dxa"/>
            <w:shd w:val="clear" w:color="auto" w:fill="E5E5E5" w:themeFill="background1" w:themeFillTint="33"/>
            <w:vAlign w:val="center"/>
          </w:tcPr>
          <w:p w14:paraId="35D15756" w14:textId="77777777" w:rsidR="00961617" w:rsidRPr="00545C7F" w:rsidRDefault="00961617" w:rsidP="0020771F">
            <w:pPr>
              <w:pStyle w:val="Tablefirstcolumn"/>
              <w:rPr>
                <w:rFonts w:cstheme="minorHAnsi"/>
              </w:rPr>
            </w:pPr>
            <w:r w:rsidRPr="00545C7F">
              <w:rPr>
                <w:rFonts w:cstheme="minorHAnsi"/>
              </w:rPr>
              <w:t>Client group: Ex-offenders</w:t>
            </w:r>
          </w:p>
        </w:tc>
        <w:tc>
          <w:tcPr>
            <w:tcW w:w="1277" w:type="dxa"/>
            <w:shd w:val="clear" w:color="auto" w:fill="E5E5E5" w:themeFill="background1" w:themeFillTint="33"/>
            <w:vAlign w:val="center"/>
          </w:tcPr>
          <w:p w14:paraId="3B10517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31.6</w:t>
            </w:r>
          </w:p>
        </w:tc>
        <w:tc>
          <w:tcPr>
            <w:tcW w:w="1278" w:type="dxa"/>
            <w:shd w:val="clear" w:color="auto" w:fill="E5E5E5" w:themeFill="background1" w:themeFillTint="33"/>
            <w:vAlign w:val="center"/>
          </w:tcPr>
          <w:p w14:paraId="7C12FAA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13.8</w:t>
            </w:r>
          </w:p>
        </w:tc>
        <w:tc>
          <w:tcPr>
            <w:tcW w:w="1278" w:type="dxa"/>
            <w:shd w:val="clear" w:color="auto" w:fill="E5E5E5" w:themeFill="background1" w:themeFillTint="33"/>
            <w:vAlign w:val="center"/>
          </w:tcPr>
          <w:p w14:paraId="7F27CFF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45.4</w:t>
            </w:r>
          </w:p>
        </w:tc>
        <w:tc>
          <w:tcPr>
            <w:tcW w:w="1136" w:type="dxa"/>
            <w:shd w:val="clear" w:color="auto" w:fill="E5E5E5" w:themeFill="background1" w:themeFillTint="33"/>
            <w:vAlign w:val="center"/>
          </w:tcPr>
          <w:p w14:paraId="3562CA3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n.a.</w:t>
            </w:r>
          </w:p>
        </w:tc>
      </w:tr>
      <w:tr w:rsidR="00961617" w:rsidRPr="00545C7F" w14:paraId="35E92EFD" w14:textId="77777777" w:rsidTr="0020771F">
        <w:trPr>
          <w:trHeight w:hRule="exact" w:val="397"/>
        </w:trPr>
        <w:tc>
          <w:tcPr>
            <w:tcW w:w="7196" w:type="dxa"/>
            <w:vAlign w:val="center"/>
          </w:tcPr>
          <w:p w14:paraId="4A953671" w14:textId="77777777" w:rsidR="00961617" w:rsidRPr="00545C7F" w:rsidRDefault="00961617" w:rsidP="0020771F">
            <w:pPr>
              <w:pStyle w:val="Tablefirstcolumn"/>
              <w:rPr>
                <w:rFonts w:cstheme="minorHAnsi"/>
              </w:rPr>
            </w:pPr>
            <w:r w:rsidRPr="00545C7F">
              <w:rPr>
                <w:rFonts w:cstheme="minorHAnsi"/>
              </w:rPr>
              <w:t>Client group: Homeless</w:t>
            </w:r>
          </w:p>
        </w:tc>
        <w:tc>
          <w:tcPr>
            <w:tcW w:w="1277" w:type="dxa"/>
            <w:vAlign w:val="center"/>
          </w:tcPr>
          <w:p w14:paraId="59565EC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27.5</w:t>
            </w:r>
          </w:p>
        </w:tc>
        <w:tc>
          <w:tcPr>
            <w:tcW w:w="1278" w:type="dxa"/>
            <w:vAlign w:val="center"/>
          </w:tcPr>
          <w:p w14:paraId="617F987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15.9</w:t>
            </w:r>
          </w:p>
        </w:tc>
        <w:tc>
          <w:tcPr>
            <w:tcW w:w="1278" w:type="dxa"/>
            <w:vAlign w:val="center"/>
          </w:tcPr>
          <w:p w14:paraId="7708FDB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43.4</w:t>
            </w:r>
          </w:p>
        </w:tc>
        <w:tc>
          <w:tcPr>
            <w:tcW w:w="1136" w:type="dxa"/>
            <w:vAlign w:val="center"/>
          </w:tcPr>
          <w:p w14:paraId="2EF98828"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26.5</w:t>
            </w:r>
          </w:p>
        </w:tc>
      </w:tr>
      <w:tr w:rsidR="00961617" w:rsidRPr="00545C7F" w14:paraId="0E745DB1" w14:textId="77777777" w:rsidTr="0020771F">
        <w:trPr>
          <w:trHeight w:hRule="exact" w:val="397"/>
        </w:trPr>
        <w:tc>
          <w:tcPr>
            <w:tcW w:w="7196" w:type="dxa"/>
            <w:shd w:val="clear" w:color="auto" w:fill="8EAEDE"/>
            <w:vAlign w:val="center"/>
          </w:tcPr>
          <w:p w14:paraId="4DBC6C30" w14:textId="77777777" w:rsidR="00961617" w:rsidRPr="00545C7F" w:rsidRDefault="00961617" w:rsidP="0020771F">
            <w:pPr>
              <w:pStyle w:val="Tablefirstcolumn"/>
              <w:rPr>
                <w:rFonts w:cstheme="minorHAnsi"/>
              </w:rPr>
            </w:pPr>
            <w:r w:rsidRPr="00545C7F">
              <w:rPr>
                <w:rFonts w:cstheme="minorHAnsi"/>
              </w:rPr>
              <w:t>Total</w:t>
            </w:r>
          </w:p>
        </w:tc>
        <w:tc>
          <w:tcPr>
            <w:tcW w:w="1277" w:type="dxa"/>
            <w:shd w:val="clear" w:color="auto" w:fill="8EAEDE"/>
            <w:vAlign w:val="center"/>
          </w:tcPr>
          <w:p w14:paraId="508F43D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31.1</w:t>
            </w:r>
          </w:p>
        </w:tc>
        <w:tc>
          <w:tcPr>
            <w:tcW w:w="1278" w:type="dxa"/>
            <w:shd w:val="clear" w:color="auto" w:fill="8EAEDE"/>
            <w:vAlign w:val="center"/>
          </w:tcPr>
          <w:p w14:paraId="232A066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24.2</w:t>
            </w:r>
          </w:p>
        </w:tc>
        <w:tc>
          <w:tcPr>
            <w:tcW w:w="1278" w:type="dxa"/>
            <w:shd w:val="clear" w:color="auto" w:fill="8EAEDE"/>
            <w:vAlign w:val="center"/>
          </w:tcPr>
          <w:p w14:paraId="1E44E7A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55.3</w:t>
            </w:r>
          </w:p>
        </w:tc>
        <w:tc>
          <w:tcPr>
            <w:tcW w:w="1136" w:type="dxa"/>
            <w:shd w:val="clear" w:color="auto" w:fill="8EAEDE"/>
            <w:vAlign w:val="center"/>
          </w:tcPr>
          <w:p w14:paraId="5477AEA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23.7</w:t>
            </w:r>
          </w:p>
        </w:tc>
      </w:tr>
    </w:tbl>
    <w:p w14:paraId="213B100B" w14:textId="77777777" w:rsidR="00961617" w:rsidRPr="002F5864" w:rsidRDefault="00961617" w:rsidP="00961617">
      <w:pPr>
        <w:pStyle w:val="Sourceandnotetext"/>
        <w:spacing w:before="0" w:after="0"/>
        <w:rPr>
          <w:rFonts w:cstheme="minorHAnsi"/>
        </w:rPr>
      </w:pPr>
      <w:r w:rsidRPr="002F5864">
        <w:rPr>
          <w:rFonts w:cstheme="minorHAnsi"/>
        </w:rPr>
        <w:t xml:space="preserve">n.a.: </w:t>
      </w:r>
      <w:r w:rsidR="00E13B5E">
        <w:rPr>
          <w:rFonts w:cstheme="minorHAnsi"/>
        </w:rPr>
        <w:tab/>
      </w:r>
      <w:r w:rsidRPr="002F5864">
        <w:rPr>
          <w:rFonts w:cstheme="minorHAnsi"/>
        </w:rPr>
        <w:t>Not available due to high relative standard errors.</w:t>
      </w:r>
    </w:p>
    <w:p w14:paraId="71E32712" w14:textId="77777777" w:rsidR="00961617" w:rsidRPr="002F5864" w:rsidRDefault="00961617" w:rsidP="00E13B5E">
      <w:pPr>
        <w:pStyle w:val="Notes"/>
      </w:pPr>
      <w:r w:rsidRPr="002F5864">
        <w:rPr>
          <w:b/>
        </w:rPr>
        <w:t xml:space="preserve">Note: </w:t>
      </w:r>
      <w:r w:rsidR="00E13B5E">
        <w:rPr>
          <w:b/>
        </w:rPr>
        <w:tab/>
      </w:r>
      <w:r w:rsidRPr="002F5864">
        <w:t>Excludes job seekers living in communities that were subsequently transferred to the Remote Jobs and Communities Programme in July 2013.</w:t>
      </w:r>
    </w:p>
    <w:p w14:paraId="325EDCC5" w14:textId="77777777" w:rsidR="00961617" w:rsidRPr="002F5864" w:rsidRDefault="00961617" w:rsidP="00E13B5E">
      <w:pPr>
        <w:pStyle w:val="Source"/>
      </w:pPr>
      <w:r w:rsidRPr="002F5864">
        <w:rPr>
          <w:b/>
        </w:rPr>
        <w:t>Source:</w:t>
      </w:r>
      <w:r w:rsidR="00E13B5E">
        <w:rPr>
          <w:b/>
        </w:rPr>
        <w:tab/>
      </w:r>
      <w:r w:rsidRPr="002F5864">
        <w:t xml:space="preserve"> Department of Employment Post Programme Monitoring Survey.</w:t>
      </w:r>
    </w:p>
    <w:p w14:paraId="7C483586"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793A4C37"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a" w:history="1">
        <w:r w:rsidR="004A74AA" w:rsidRPr="004A74AA">
          <w:rPr>
            <w:rStyle w:val="Hyperlink"/>
            <w:rFonts w:cstheme="minorHAnsi"/>
            <w:sz w:val="18"/>
            <w:szCs w:val="18"/>
          </w:rPr>
          <w:t>Return to Figure 3.2</w:t>
        </w:r>
      </w:hyperlink>
      <w:r w:rsidR="004A74AA" w:rsidRPr="002F5864">
        <w:rPr>
          <w:rFonts w:cstheme="minorHAnsi"/>
          <w:sz w:val="18"/>
          <w:szCs w:val="18"/>
        </w:rPr>
        <w:t xml:space="preserve"> where this data is referenced</w:t>
      </w:r>
      <w:r w:rsidR="004A74AA">
        <w:rPr>
          <w:rFonts w:cstheme="minorHAnsi"/>
          <w:sz w:val="18"/>
          <w:szCs w:val="18"/>
        </w:rPr>
        <w:t>.</w:t>
      </w:r>
    </w:p>
    <w:p w14:paraId="4C8AC19B"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b" w:history="1">
        <w:r w:rsidR="004A74AA" w:rsidRPr="004A74AA">
          <w:rPr>
            <w:rStyle w:val="Hyperlink"/>
            <w:rFonts w:cstheme="minorHAnsi"/>
            <w:sz w:val="18"/>
            <w:szCs w:val="18"/>
          </w:rPr>
          <w:t>Return to Figure 3.3</w:t>
        </w:r>
      </w:hyperlink>
      <w:r w:rsidR="004A74AA" w:rsidRPr="002F5864">
        <w:rPr>
          <w:rFonts w:cstheme="minorHAnsi"/>
          <w:sz w:val="18"/>
          <w:szCs w:val="18"/>
        </w:rPr>
        <w:t xml:space="preserve"> where this data is referenced</w:t>
      </w:r>
      <w:r w:rsidR="004A74AA">
        <w:rPr>
          <w:rFonts w:cstheme="minorHAnsi"/>
          <w:sz w:val="18"/>
          <w:szCs w:val="18"/>
        </w:rPr>
        <w:t>.</w:t>
      </w:r>
    </w:p>
    <w:p w14:paraId="0232393E"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c" w:history="1">
        <w:r w:rsidR="004A74AA" w:rsidRPr="004A74AA">
          <w:rPr>
            <w:rStyle w:val="Hyperlink"/>
            <w:rFonts w:cstheme="minorHAnsi"/>
            <w:sz w:val="18"/>
            <w:szCs w:val="18"/>
          </w:rPr>
          <w:t>Return to Figure 3.4</w:t>
        </w:r>
      </w:hyperlink>
      <w:r w:rsidR="004A74AA" w:rsidRPr="002F5864">
        <w:rPr>
          <w:rFonts w:cstheme="minorHAnsi"/>
          <w:sz w:val="18"/>
          <w:szCs w:val="18"/>
        </w:rPr>
        <w:t xml:space="preserve"> where this data is referenced.</w:t>
      </w:r>
    </w:p>
    <w:p w14:paraId="5BCAC282" w14:textId="77777777" w:rsidR="00961617" w:rsidRPr="002F5864" w:rsidRDefault="00961617" w:rsidP="00961617">
      <w:pPr>
        <w:rPr>
          <w:rFonts w:eastAsiaTheme="majorEastAsia" w:cstheme="minorHAnsi"/>
          <w:b/>
          <w:i/>
        </w:rPr>
      </w:pPr>
      <w:r w:rsidRPr="002F5864">
        <w:rPr>
          <w:rFonts w:eastAsiaTheme="majorEastAsia" w:cstheme="minorHAnsi"/>
        </w:rPr>
        <w:br w:type="page"/>
      </w:r>
    </w:p>
    <w:p w14:paraId="0C94DDE8" w14:textId="77777777" w:rsidR="00961617" w:rsidRPr="002F5864" w:rsidRDefault="00961617" w:rsidP="00961617">
      <w:pPr>
        <w:pStyle w:val="TableheadingforappendixA1"/>
        <w:rPr>
          <w:rFonts w:cstheme="minorHAnsi"/>
        </w:rPr>
      </w:pPr>
      <w:bookmarkStart w:id="625" w:name="_Toc513129898"/>
      <w:r w:rsidRPr="002F5864">
        <w:rPr>
          <w:rFonts w:cstheme="minorHAnsi"/>
        </w:rPr>
        <w:t>Table A2.5: Comparison of employment and education outcomes for new entrants, JSA 2009 and JSA 2012 (percentage point difference)</w:t>
      </w:r>
      <w:bookmarkEnd w:id="625"/>
    </w:p>
    <w:tbl>
      <w:tblPr>
        <w:tblStyle w:val="TableGrid"/>
        <w:tblW w:w="1191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1277"/>
        <w:gridCol w:w="1278"/>
        <w:gridCol w:w="1280"/>
        <w:gridCol w:w="1136"/>
      </w:tblGrid>
      <w:tr w:rsidR="00961617" w:rsidRPr="00545C7F" w14:paraId="731CEBC3" w14:textId="77777777" w:rsidTr="0020771F">
        <w:trPr>
          <w:trHeight w:hRule="exact" w:val="571"/>
          <w:tblHeader/>
        </w:trPr>
        <w:tc>
          <w:tcPr>
            <w:tcW w:w="6946" w:type="dxa"/>
            <w:shd w:val="clear" w:color="auto" w:fill="1E3D6B"/>
            <w:vAlign w:val="center"/>
          </w:tcPr>
          <w:p w14:paraId="4611CE3E" w14:textId="77777777" w:rsidR="00961617" w:rsidRPr="00545C7F" w:rsidRDefault="00961617" w:rsidP="0020771F">
            <w:pPr>
              <w:ind w:right="-62"/>
              <w:rPr>
                <w:rFonts w:cstheme="minorHAnsi"/>
                <w:b/>
                <w:color w:val="FFFFFF" w:themeColor="background2"/>
                <w:sz w:val="20"/>
                <w:szCs w:val="20"/>
              </w:rPr>
            </w:pPr>
            <w:bookmarkStart w:id="626" w:name="Title_A25"/>
            <w:bookmarkEnd w:id="626"/>
            <w:r w:rsidRPr="00545C7F">
              <w:rPr>
                <w:rFonts w:cstheme="minorHAnsi"/>
                <w:b/>
                <w:color w:val="FFFFFF" w:themeColor="background2"/>
                <w:sz w:val="20"/>
                <w:szCs w:val="20"/>
              </w:rPr>
              <w:t>Characteristics</w:t>
            </w:r>
          </w:p>
        </w:tc>
        <w:tc>
          <w:tcPr>
            <w:tcW w:w="1277" w:type="dxa"/>
            <w:shd w:val="clear" w:color="auto" w:fill="1E3D6B"/>
            <w:vAlign w:val="center"/>
          </w:tcPr>
          <w:p w14:paraId="34220CDF" w14:textId="77777777" w:rsidR="00961617" w:rsidRPr="00545C7F" w:rsidRDefault="00961617" w:rsidP="0020771F">
            <w:pPr>
              <w:pStyle w:val="Tablefirstcolumn"/>
              <w:ind w:right="-62"/>
              <w:rPr>
                <w:rFonts w:cstheme="minorHAnsi"/>
                <w:b/>
                <w:bCs/>
                <w:color w:val="FFFFFF" w:themeColor="background2"/>
              </w:rPr>
            </w:pPr>
            <w:r w:rsidRPr="00545C7F">
              <w:rPr>
                <w:rFonts w:cstheme="minorHAnsi"/>
                <w:b/>
                <w:bCs/>
                <w:color w:val="FFFFFF" w:themeColor="background2"/>
              </w:rPr>
              <w:t>Full time Employment</w:t>
            </w:r>
          </w:p>
        </w:tc>
        <w:tc>
          <w:tcPr>
            <w:tcW w:w="1278" w:type="dxa"/>
            <w:shd w:val="clear" w:color="auto" w:fill="1E3D6B"/>
            <w:vAlign w:val="center"/>
          </w:tcPr>
          <w:p w14:paraId="19549384" w14:textId="77777777" w:rsidR="00961617" w:rsidRPr="00545C7F" w:rsidRDefault="00961617" w:rsidP="0020771F">
            <w:pPr>
              <w:pStyle w:val="Tablefirstcolumn"/>
              <w:ind w:right="-62"/>
              <w:rPr>
                <w:rFonts w:cstheme="minorHAnsi"/>
                <w:b/>
                <w:bCs/>
                <w:color w:val="FFFFFF" w:themeColor="background2"/>
              </w:rPr>
            </w:pPr>
            <w:r w:rsidRPr="00545C7F">
              <w:rPr>
                <w:rFonts w:cstheme="minorHAnsi"/>
                <w:b/>
                <w:bCs/>
                <w:color w:val="FFFFFF" w:themeColor="background2"/>
              </w:rPr>
              <w:t>Part time Employment</w:t>
            </w:r>
          </w:p>
        </w:tc>
        <w:tc>
          <w:tcPr>
            <w:tcW w:w="1280" w:type="dxa"/>
            <w:shd w:val="clear" w:color="auto" w:fill="1E3D6B"/>
            <w:vAlign w:val="center"/>
          </w:tcPr>
          <w:p w14:paraId="5CABF3E3" w14:textId="77777777" w:rsidR="00961617" w:rsidRPr="00545C7F" w:rsidRDefault="00961617" w:rsidP="0020771F">
            <w:pPr>
              <w:pStyle w:val="Tablefirstcolumn"/>
              <w:ind w:right="-62"/>
              <w:rPr>
                <w:rFonts w:cstheme="minorHAnsi"/>
                <w:b/>
                <w:bCs/>
                <w:color w:val="FFFFFF" w:themeColor="background2"/>
              </w:rPr>
            </w:pPr>
            <w:r w:rsidRPr="00545C7F">
              <w:rPr>
                <w:rFonts w:cstheme="minorHAnsi"/>
                <w:b/>
                <w:bCs/>
                <w:color w:val="FFFFFF" w:themeColor="background2"/>
              </w:rPr>
              <w:t>Total Employment</w:t>
            </w:r>
          </w:p>
        </w:tc>
        <w:tc>
          <w:tcPr>
            <w:tcW w:w="1136" w:type="dxa"/>
            <w:shd w:val="clear" w:color="auto" w:fill="1E3D6B"/>
            <w:vAlign w:val="center"/>
          </w:tcPr>
          <w:p w14:paraId="4BB82980" w14:textId="77777777" w:rsidR="00961617" w:rsidRPr="00545C7F" w:rsidRDefault="00961617" w:rsidP="0020771F">
            <w:pPr>
              <w:pStyle w:val="Tablefirstcolumn"/>
              <w:ind w:right="-62"/>
              <w:rPr>
                <w:rFonts w:cstheme="minorHAnsi"/>
                <w:b/>
                <w:bCs/>
                <w:color w:val="FFFFFF" w:themeColor="background2"/>
              </w:rPr>
            </w:pPr>
            <w:r w:rsidRPr="00545C7F">
              <w:rPr>
                <w:rFonts w:cstheme="minorHAnsi"/>
                <w:b/>
                <w:bCs/>
                <w:color w:val="FFFFFF" w:themeColor="background2"/>
              </w:rPr>
              <w:t>Education</w:t>
            </w:r>
          </w:p>
        </w:tc>
      </w:tr>
      <w:tr w:rsidR="00961617" w:rsidRPr="00545C7F" w14:paraId="7A9CF9DD" w14:textId="77777777" w:rsidTr="0020771F">
        <w:trPr>
          <w:trHeight w:hRule="exact" w:val="397"/>
        </w:trPr>
        <w:tc>
          <w:tcPr>
            <w:tcW w:w="6946" w:type="dxa"/>
            <w:vAlign w:val="center"/>
          </w:tcPr>
          <w:p w14:paraId="378D96FE" w14:textId="77777777" w:rsidR="00961617" w:rsidRPr="00545C7F" w:rsidRDefault="00961617" w:rsidP="0020771F">
            <w:pPr>
              <w:ind w:right="-62"/>
              <w:rPr>
                <w:rFonts w:cstheme="minorHAnsi"/>
                <w:sz w:val="20"/>
                <w:szCs w:val="20"/>
              </w:rPr>
            </w:pPr>
            <w:r w:rsidRPr="00545C7F">
              <w:rPr>
                <w:rFonts w:cstheme="minorHAnsi"/>
                <w:sz w:val="20"/>
                <w:szCs w:val="20"/>
              </w:rPr>
              <w:t>Commencement stream: Stream 1</w:t>
            </w:r>
          </w:p>
        </w:tc>
        <w:tc>
          <w:tcPr>
            <w:tcW w:w="1277" w:type="dxa"/>
            <w:vAlign w:val="center"/>
          </w:tcPr>
          <w:p w14:paraId="4DE6718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w:t>
            </w:r>
          </w:p>
        </w:tc>
        <w:tc>
          <w:tcPr>
            <w:tcW w:w="1278" w:type="dxa"/>
            <w:vAlign w:val="center"/>
          </w:tcPr>
          <w:p w14:paraId="1C9F21E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w:t>
            </w:r>
          </w:p>
        </w:tc>
        <w:tc>
          <w:tcPr>
            <w:tcW w:w="1280" w:type="dxa"/>
            <w:vAlign w:val="center"/>
          </w:tcPr>
          <w:p w14:paraId="1FE4D2D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-5.8</w:t>
            </w:r>
          </w:p>
        </w:tc>
        <w:tc>
          <w:tcPr>
            <w:tcW w:w="1136" w:type="dxa"/>
            <w:vAlign w:val="center"/>
          </w:tcPr>
          <w:p w14:paraId="287A65B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-0.3</w:t>
            </w:r>
          </w:p>
        </w:tc>
      </w:tr>
      <w:tr w:rsidR="00961617" w:rsidRPr="00545C7F" w14:paraId="5FC76473" w14:textId="77777777" w:rsidTr="0020771F">
        <w:trPr>
          <w:trHeight w:hRule="exact" w:val="397"/>
        </w:trPr>
        <w:tc>
          <w:tcPr>
            <w:tcW w:w="6946" w:type="dxa"/>
            <w:shd w:val="clear" w:color="auto" w:fill="E5E5E5" w:themeFill="background1" w:themeFillTint="33"/>
            <w:vAlign w:val="center"/>
          </w:tcPr>
          <w:p w14:paraId="732A9210" w14:textId="77777777" w:rsidR="00961617" w:rsidRPr="00545C7F" w:rsidRDefault="00961617" w:rsidP="0020771F">
            <w:pPr>
              <w:pStyle w:val="Tablefirstcolumn"/>
              <w:ind w:right="-62"/>
              <w:rPr>
                <w:rFonts w:cstheme="minorHAnsi"/>
              </w:rPr>
            </w:pPr>
            <w:r w:rsidRPr="00545C7F">
              <w:rPr>
                <w:rFonts w:cstheme="minorHAnsi"/>
              </w:rPr>
              <w:t>Commencement stream: Stream 2</w:t>
            </w:r>
          </w:p>
        </w:tc>
        <w:tc>
          <w:tcPr>
            <w:tcW w:w="1277" w:type="dxa"/>
            <w:shd w:val="clear" w:color="auto" w:fill="E5E5E5" w:themeFill="background1" w:themeFillTint="33"/>
            <w:vAlign w:val="center"/>
          </w:tcPr>
          <w:p w14:paraId="4332568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-9.0</w:t>
            </w:r>
          </w:p>
        </w:tc>
        <w:tc>
          <w:tcPr>
            <w:tcW w:w="1278" w:type="dxa"/>
            <w:shd w:val="clear" w:color="auto" w:fill="E5E5E5" w:themeFill="background1" w:themeFillTint="33"/>
            <w:vAlign w:val="center"/>
          </w:tcPr>
          <w:p w14:paraId="7D2EC72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-0.9</w:t>
            </w:r>
          </w:p>
        </w:tc>
        <w:tc>
          <w:tcPr>
            <w:tcW w:w="1280" w:type="dxa"/>
            <w:shd w:val="clear" w:color="auto" w:fill="E5E5E5" w:themeFill="background1" w:themeFillTint="33"/>
            <w:vAlign w:val="center"/>
          </w:tcPr>
          <w:p w14:paraId="069BB11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-9.9</w:t>
            </w:r>
          </w:p>
        </w:tc>
        <w:tc>
          <w:tcPr>
            <w:tcW w:w="1136" w:type="dxa"/>
            <w:shd w:val="clear" w:color="auto" w:fill="E5E5E5" w:themeFill="background1" w:themeFillTint="33"/>
            <w:vAlign w:val="center"/>
          </w:tcPr>
          <w:p w14:paraId="1DE470C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-0.8</w:t>
            </w:r>
          </w:p>
        </w:tc>
      </w:tr>
      <w:tr w:rsidR="00961617" w:rsidRPr="00545C7F" w14:paraId="43194279" w14:textId="77777777" w:rsidTr="0020771F">
        <w:trPr>
          <w:trHeight w:hRule="exact" w:val="397"/>
        </w:trPr>
        <w:tc>
          <w:tcPr>
            <w:tcW w:w="6946" w:type="dxa"/>
            <w:vAlign w:val="center"/>
          </w:tcPr>
          <w:p w14:paraId="7F6567AA" w14:textId="77777777" w:rsidR="00961617" w:rsidRPr="00545C7F" w:rsidRDefault="00961617" w:rsidP="0020771F">
            <w:pPr>
              <w:pStyle w:val="Tablefirstcolumn"/>
              <w:ind w:right="-62"/>
              <w:rPr>
                <w:rFonts w:cstheme="minorHAnsi"/>
              </w:rPr>
            </w:pPr>
            <w:r w:rsidRPr="00545C7F">
              <w:rPr>
                <w:rFonts w:cstheme="minorHAnsi"/>
              </w:rPr>
              <w:t>Commencement stream: Stream 3</w:t>
            </w:r>
          </w:p>
        </w:tc>
        <w:tc>
          <w:tcPr>
            <w:tcW w:w="1277" w:type="dxa"/>
            <w:vAlign w:val="center"/>
          </w:tcPr>
          <w:p w14:paraId="7046E76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-9.1</w:t>
            </w:r>
          </w:p>
        </w:tc>
        <w:tc>
          <w:tcPr>
            <w:tcW w:w="1278" w:type="dxa"/>
            <w:vAlign w:val="center"/>
          </w:tcPr>
          <w:p w14:paraId="6B295EC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-6.1</w:t>
            </w:r>
          </w:p>
        </w:tc>
        <w:tc>
          <w:tcPr>
            <w:tcW w:w="1280" w:type="dxa"/>
            <w:vAlign w:val="center"/>
          </w:tcPr>
          <w:p w14:paraId="2D25967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-15.2</w:t>
            </w:r>
          </w:p>
        </w:tc>
        <w:tc>
          <w:tcPr>
            <w:tcW w:w="1136" w:type="dxa"/>
            <w:vAlign w:val="center"/>
          </w:tcPr>
          <w:p w14:paraId="160B1B0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-4.1</w:t>
            </w:r>
          </w:p>
        </w:tc>
      </w:tr>
      <w:tr w:rsidR="00961617" w:rsidRPr="00545C7F" w14:paraId="7227C1A8" w14:textId="77777777" w:rsidTr="0020771F">
        <w:trPr>
          <w:trHeight w:hRule="exact" w:val="397"/>
        </w:trPr>
        <w:tc>
          <w:tcPr>
            <w:tcW w:w="6946" w:type="dxa"/>
            <w:shd w:val="clear" w:color="auto" w:fill="E5E5E5" w:themeFill="background1" w:themeFillTint="33"/>
            <w:vAlign w:val="center"/>
          </w:tcPr>
          <w:p w14:paraId="3B17EEC1" w14:textId="77777777" w:rsidR="00961617" w:rsidRPr="00545C7F" w:rsidRDefault="00961617" w:rsidP="0020771F">
            <w:pPr>
              <w:pStyle w:val="Tablefirstcolumn"/>
              <w:ind w:right="-62"/>
              <w:rPr>
                <w:rFonts w:cstheme="minorHAnsi"/>
              </w:rPr>
            </w:pPr>
            <w:r w:rsidRPr="00545C7F">
              <w:rPr>
                <w:rFonts w:cstheme="minorHAnsi"/>
              </w:rPr>
              <w:t>Commencement stream: Stream 4</w:t>
            </w:r>
          </w:p>
        </w:tc>
        <w:tc>
          <w:tcPr>
            <w:tcW w:w="1277" w:type="dxa"/>
            <w:shd w:val="clear" w:color="auto" w:fill="E5E5E5" w:themeFill="background1" w:themeFillTint="33"/>
            <w:vAlign w:val="center"/>
          </w:tcPr>
          <w:p w14:paraId="202F30F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n.a.</w:t>
            </w:r>
          </w:p>
        </w:tc>
        <w:tc>
          <w:tcPr>
            <w:tcW w:w="1278" w:type="dxa"/>
            <w:shd w:val="clear" w:color="auto" w:fill="E5E5E5" w:themeFill="background1" w:themeFillTint="33"/>
            <w:vAlign w:val="center"/>
          </w:tcPr>
          <w:p w14:paraId="4D75445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n.a.</w:t>
            </w:r>
          </w:p>
        </w:tc>
        <w:tc>
          <w:tcPr>
            <w:tcW w:w="1280" w:type="dxa"/>
            <w:shd w:val="clear" w:color="auto" w:fill="E5E5E5" w:themeFill="background1" w:themeFillTint="33"/>
            <w:vAlign w:val="center"/>
          </w:tcPr>
          <w:p w14:paraId="26CAF58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-5.0</w:t>
            </w:r>
          </w:p>
        </w:tc>
        <w:tc>
          <w:tcPr>
            <w:tcW w:w="1136" w:type="dxa"/>
            <w:shd w:val="clear" w:color="auto" w:fill="E5E5E5" w:themeFill="background1" w:themeFillTint="33"/>
            <w:vAlign w:val="center"/>
          </w:tcPr>
          <w:p w14:paraId="5339F98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10.7</w:t>
            </w:r>
          </w:p>
        </w:tc>
      </w:tr>
      <w:tr w:rsidR="00961617" w:rsidRPr="00545C7F" w14:paraId="723C8995" w14:textId="77777777" w:rsidTr="0020771F">
        <w:trPr>
          <w:trHeight w:hRule="exact" w:val="397"/>
        </w:trPr>
        <w:tc>
          <w:tcPr>
            <w:tcW w:w="6946" w:type="dxa"/>
            <w:vAlign w:val="center"/>
          </w:tcPr>
          <w:p w14:paraId="7A3D3AA5" w14:textId="77777777" w:rsidR="00961617" w:rsidRPr="00545C7F" w:rsidRDefault="00961617" w:rsidP="0020771F">
            <w:pPr>
              <w:pStyle w:val="Tablefirstcolumn"/>
              <w:ind w:right="-62"/>
              <w:rPr>
                <w:rFonts w:cstheme="minorHAnsi"/>
              </w:rPr>
            </w:pPr>
            <w:r w:rsidRPr="00545C7F">
              <w:rPr>
                <w:rFonts w:cstheme="minorHAnsi"/>
              </w:rPr>
              <w:t>Long-term capacity to participate in the labour force: Partial capacity</w:t>
            </w:r>
          </w:p>
        </w:tc>
        <w:tc>
          <w:tcPr>
            <w:tcW w:w="1277" w:type="dxa"/>
            <w:vAlign w:val="center"/>
          </w:tcPr>
          <w:p w14:paraId="19FFCC7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w:t>
            </w:r>
          </w:p>
        </w:tc>
        <w:tc>
          <w:tcPr>
            <w:tcW w:w="1278" w:type="dxa"/>
            <w:vAlign w:val="center"/>
          </w:tcPr>
          <w:p w14:paraId="0552F8A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w:t>
            </w:r>
          </w:p>
        </w:tc>
        <w:tc>
          <w:tcPr>
            <w:tcW w:w="1280" w:type="dxa"/>
            <w:vAlign w:val="center"/>
          </w:tcPr>
          <w:p w14:paraId="5B1AAE5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-12.6</w:t>
            </w:r>
          </w:p>
        </w:tc>
        <w:tc>
          <w:tcPr>
            <w:tcW w:w="1136" w:type="dxa"/>
            <w:vAlign w:val="center"/>
          </w:tcPr>
          <w:p w14:paraId="299FCB0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0.3</w:t>
            </w:r>
          </w:p>
        </w:tc>
      </w:tr>
      <w:tr w:rsidR="00961617" w:rsidRPr="00545C7F" w14:paraId="45972CE2" w14:textId="77777777" w:rsidTr="0020771F">
        <w:trPr>
          <w:trHeight w:hRule="exact" w:val="397"/>
        </w:trPr>
        <w:tc>
          <w:tcPr>
            <w:tcW w:w="6946" w:type="dxa"/>
            <w:shd w:val="clear" w:color="auto" w:fill="E5E5E5" w:themeFill="background1" w:themeFillTint="33"/>
            <w:vAlign w:val="center"/>
          </w:tcPr>
          <w:p w14:paraId="17770242" w14:textId="77777777" w:rsidR="00961617" w:rsidRPr="00545C7F" w:rsidRDefault="00961617" w:rsidP="0020771F">
            <w:pPr>
              <w:pStyle w:val="Tablefirstcolumn"/>
              <w:ind w:right="-62"/>
              <w:rPr>
                <w:rFonts w:cstheme="minorHAnsi"/>
              </w:rPr>
            </w:pPr>
            <w:r w:rsidRPr="00545C7F">
              <w:rPr>
                <w:rFonts w:cstheme="minorHAnsi"/>
              </w:rPr>
              <w:t>Long-term capacity to participate in the labour force: Not partial capacity</w:t>
            </w:r>
          </w:p>
        </w:tc>
        <w:tc>
          <w:tcPr>
            <w:tcW w:w="1277" w:type="dxa"/>
            <w:shd w:val="clear" w:color="auto" w:fill="E5E5E5" w:themeFill="background1" w:themeFillTint="33"/>
            <w:vAlign w:val="center"/>
          </w:tcPr>
          <w:p w14:paraId="4B9E4B7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w:t>
            </w:r>
          </w:p>
        </w:tc>
        <w:tc>
          <w:tcPr>
            <w:tcW w:w="1278" w:type="dxa"/>
            <w:shd w:val="clear" w:color="auto" w:fill="E5E5E5" w:themeFill="background1" w:themeFillTint="33"/>
            <w:vAlign w:val="center"/>
          </w:tcPr>
          <w:p w14:paraId="12C1AB2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-1.6</w:t>
            </w:r>
          </w:p>
        </w:tc>
        <w:tc>
          <w:tcPr>
            <w:tcW w:w="1280" w:type="dxa"/>
            <w:shd w:val="clear" w:color="auto" w:fill="E5E5E5" w:themeFill="background1" w:themeFillTint="33"/>
            <w:vAlign w:val="center"/>
          </w:tcPr>
          <w:p w14:paraId="2AD00DB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-5.1</w:t>
            </w:r>
          </w:p>
        </w:tc>
        <w:tc>
          <w:tcPr>
            <w:tcW w:w="1136" w:type="dxa"/>
            <w:shd w:val="clear" w:color="auto" w:fill="E5E5E5" w:themeFill="background1" w:themeFillTint="33"/>
            <w:vAlign w:val="center"/>
          </w:tcPr>
          <w:p w14:paraId="0AAA62A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-0.9</w:t>
            </w:r>
          </w:p>
        </w:tc>
      </w:tr>
      <w:tr w:rsidR="00961617" w:rsidRPr="00545C7F" w14:paraId="30B7FEED" w14:textId="77777777" w:rsidTr="0020771F">
        <w:trPr>
          <w:trHeight w:hRule="exact" w:val="397"/>
        </w:trPr>
        <w:tc>
          <w:tcPr>
            <w:tcW w:w="6946" w:type="dxa"/>
            <w:vAlign w:val="center"/>
          </w:tcPr>
          <w:p w14:paraId="53A1A4E1" w14:textId="77777777" w:rsidR="00961617" w:rsidRPr="00545C7F" w:rsidRDefault="00961617" w:rsidP="0020771F">
            <w:pPr>
              <w:pStyle w:val="Tablefirstcolumn"/>
              <w:ind w:right="-62"/>
              <w:rPr>
                <w:rFonts w:cstheme="minorHAnsi"/>
              </w:rPr>
            </w:pPr>
            <w:r w:rsidRPr="00545C7F">
              <w:rPr>
                <w:rFonts w:cstheme="minorHAnsi"/>
              </w:rPr>
              <w:t>Gender and age group: Males aged &lt; 25 years</w:t>
            </w:r>
          </w:p>
        </w:tc>
        <w:tc>
          <w:tcPr>
            <w:tcW w:w="1277" w:type="dxa"/>
            <w:vAlign w:val="center"/>
          </w:tcPr>
          <w:p w14:paraId="7B3F303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-7.2</w:t>
            </w:r>
          </w:p>
        </w:tc>
        <w:tc>
          <w:tcPr>
            <w:tcW w:w="1278" w:type="dxa"/>
            <w:vAlign w:val="center"/>
          </w:tcPr>
          <w:p w14:paraId="42299E1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-0.1</w:t>
            </w:r>
          </w:p>
        </w:tc>
        <w:tc>
          <w:tcPr>
            <w:tcW w:w="1280" w:type="dxa"/>
            <w:vAlign w:val="center"/>
          </w:tcPr>
          <w:p w14:paraId="51A20E8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-7.3</w:t>
            </w:r>
          </w:p>
        </w:tc>
        <w:tc>
          <w:tcPr>
            <w:tcW w:w="1136" w:type="dxa"/>
            <w:vAlign w:val="center"/>
          </w:tcPr>
          <w:p w14:paraId="5115144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0.5</w:t>
            </w:r>
          </w:p>
        </w:tc>
      </w:tr>
      <w:tr w:rsidR="00961617" w:rsidRPr="00545C7F" w14:paraId="34908F6A" w14:textId="77777777" w:rsidTr="0020771F">
        <w:trPr>
          <w:trHeight w:hRule="exact" w:val="397"/>
        </w:trPr>
        <w:tc>
          <w:tcPr>
            <w:tcW w:w="6946" w:type="dxa"/>
            <w:shd w:val="clear" w:color="auto" w:fill="E5E5E5" w:themeFill="background1" w:themeFillTint="33"/>
            <w:vAlign w:val="center"/>
          </w:tcPr>
          <w:p w14:paraId="1DBB8BBD" w14:textId="77777777" w:rsidR="00961617" w:rsidRPr="00545C7F" w:rsidRDefault="00961617" w:rsidP="0020771F">
            <w:pPr>
              <w:pStyle w:val="Tablefirstcolumn"/>
              <w:ind w:right="-62"/>
              <w:rPr>
                <w:rFonts w:cstheme="minorHAnsi"/>
              </w:rPr>
            </w:pPr>
            <w:r w:rsidRPr="00545C7F">
              <w:rPr>
                <w:rFonts w:cstheme="minorHAnsi"/>
              </w:rPr>
              <w:t>Gender and age group: Males aged 25-49 years</w:t>
            </w:r>
          </w:p>
        </w:tc>
        <w:tc>
          <w:tcPr>
            <w:tcW w:w="1277" w:type="dxa"/>
            <w:shd w:val="clear" w:color="auto" w:fill="E5E5E5" w:themeFill="background1" w:themeFillTint="33"/>
            <w:vAlign w:val="center"/>
          </w:tcPr>
          <w:p w14:paraId="3EEC89A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-3.7</w:t>
            </w:r>
          </w:p>
        </w:tc>
        <w:tc>
          <w:tcPr>
            <w:tcW w:w="1278" w:type="dxa"/>
            <w:shd w:val="clear" w:color="auto" w:fill="E5E5E5" w:themeFill="background1" w:themeFillTint="33"/>
            <w:vAlign w:val="center"/>
          </w:tcPr>
          <w:p w14:paraId="1368D9A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w:t>
            </w:r>
          </w:p>
        </w:tc>
        <w:tc>
          <w:tcPr>
            <w:tcW w:w="1280" w:type="dxa"/>
            <w:shd w:val="clear" w:color="auto" w:fill="E5E5E5" w:themeFill="background1" w:themeFillTint="33"/>
            <w:vAlign w:val="center"/>
          </w:tcPr>
          <w:p w14:paraId="3871BDC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-6.4</w:t>
            </w:r>
          </w:p>
        </w:tc>
        <w:tc>
          <w:tcPr>
            <w:tcW w:w="1136" w:type="dxa"/>
            <w:shd w:val="clear" w:color="auto" w:fill="E5E5E5" w:themeFill="background1" w:themeFillTint="33"/>
            <w:vAlign w:val="center"/>
          </w:tcPr>
          <w:p w14:paraId="7E8AF97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-2.0</w:t>
            </w:r>
          </w:p>
        </w:tc>
      </w:tr>
      <w:tr w:rsidR="00961617" w:rsidRPr="00545C7F" w14:paraId="383D3E78" w14:textId="77777777" w:rsidTr="0020771F">
        <w:trPr>
          <w:trHeight w:hRule="exact" w:val="397"/>
        </w:trPr>
        <w:tc>
          <w:tcPr>
            <w:tcW w:w="6946" w:type="dxa"/>
            <w:vAlign w:val="center"/>
          </w:tcPr>
          <w:p w14:paraId="28DA98DF" w14:textId="77777777" w:rsidR="00961617" w:rsidRPr="00545C7F" w:rsidRDefault="00961617" w:rsidP="0020771F">
            <w:pPr>
              <w:pStyle w:val="Tablefirstcolumn"/>
              <w:ind w:right="-62"/>
              <w:rPr>
                <w:rFonts w:cstheme="minorHAnsi"/>
              </w:rPr>
            </w:pPr>
            <w:r w:rsidRPr="00545C7F">
              <w:rPr>
                <w:rFonts w:cstheme="minorHAnsi"/>
              </w:rPr>
              <w:t>Gender and age group: Males ages 50+ years</w:t>
            </w:r>
          </w:p>
        </w:tc>
        <w:tc>
          <w:tcPr>
            <w:tcW w:w="1277" w:type="dxa"/>
            <w:vAlign w:val="center"/>
          </w:tcPr>
          <w:p w14:paraId="652761C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-7.5</w:t>
            </w:r>
          </w:p>
        </w:tc>
        <w:tc>
          <w:tcPr>
            <w:tcW w:w="1278" w:type="dxa"/>
            <w:vAlign w:val="center"/>
          </w:tcPr>
          <w:p w14:paraId="32DFD78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0.1</w:t>
            </w:r>
          </w:p>
        </w:tc>
        <w:tc>
          <w:tcPr>
            <w:tcW w:w="1280" w:type="dxa"/>
            <w:vAlign w:val="center"/>
          </w:tcPr>
          <w:p w14:paraId="505D338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-7.4</w:t>
            </w:r>
          </w:p>
        </w:tc>
        <w:tc>
          <w:tcPr>
            <w:tcW w:w="1136" w:type="dxa"/>
            <w:vAlign w:val="center"/>
          </w:tcPr>
          <w:p w14:paraId="228DE2A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w:t>
            </w:r>
          </w:p>
        </w:tc>
      </w:tr>
      <w:tr w:rsidR="00961617" w:rsidRPr="00545C7F" w14:paraId="055FEB0A" w14:textId="77777777" w:rsidTr="0020771F">
        <w:trPr>
          <w:trHeight w:hRule="exact" w:val="397"/>
        </w:trPr>
        <w:tc>
          <w:tcPr>
            <w:tcW w:w="6946" w:type="dxa"/>
            <w:shd w:val="clear" w:color="auto" w:fill="E5E5E5" w:themeFill="background1" w:themeFillTint="33"/>
            <w:vAlign w:val="center"/>
          </w:tcPr>
          <w:p w14:paraId="2092499A" w14:textId="77777777" w:rsidR="00961617" w:rsidRPr="00545C7F" w:rsidRDefault="00961617" w:rsidP="0020771F">
            <w:pPr>
              <w:pStyle w:val="Tablefirstcolumn"/>
              <w:ind w:right="-62"/>
              <w:rPr>
                <w:rFonts w:cstheme="minorHAnsi"/>
              </w:rPr>
            </w:pPr>
            <w:r w:rsidRPr="00545C7F">
              <w:rPr>
                <w:rFonts w:cstheme="minorHAnsi"/>
              </w:rPr>
              <w:t>Gender and age group: Females aged &lt; 25 years</w:t>
            </w:r>
          </w:p>
        </w:tc>
        <w:tc>
          <w:tcPr>
            <w:tcW w:w="1277" w:type="dxa"/>
            <w:shd w:val="clear" w:color="auto" w:fill="E5E5E5" w:themeFill="background1" w:themeFillTint="33"/>
            <w:vAlign w:val="center"/>
          </w:tcPr>
          <w:p w14:paraId="271E61C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-4.5</w:t>
            </w:r>
          </w:p>
        </w:tc>
        <w:tc>
          <w:tcPr>
            <w:tcW w:w="1278" w:type="dxa"/>
            <w:shd w:val="clear" w:color="auto" w:fill="E5E5E5" w:themeFill="background1" w:themeFillTint="33"/>
            <w:vAlign w:val="center"/>
          </w:tcPr>
          <w:p w14:paraId="5399D80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-1.7</w:t>
            </w:r>
          </w:p>
        </w:tc>
        <w:tc>
          <w:tcPr>
            <w:tcW w:w="1280" w:type="dxa"/>
            <w:shd w:val="clear" w:color="auto" w:fill="E5E5E5" w:themeFill="background1" w:themeFillTint="33"/>
            <w:vAlign w:val="center"/>
          </w:tcPr>
          <w:p w14:paraId="50022C8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w:t>
            </w:r>
          </w:p>
        </w:tc>
        <w:tc>
          <w:tcPr>
            <w:tcW w:w="1136" w:type="dxa"/>
            <w:shd w:val="clear" w:color="auto" w:fill="E5E5E5" w:themeFill="background1" w:themeFillTint="33"/>
            <w:vAlign w:val="center"/>
          </w:tcPr>
          <w:p w14:paraId="7E72637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-1.3</w:t>
            </w:r>
          </w:p>
        </w:tc>
      </w:tr>
      <w:tr w:rsidR="00961617" w:rsidRPr="00545C7F" w14:paraId="62E53DE2" w14:textId="77777777" w:rsidTr="0020771F">
        <w:trPr>
          <w:trHeight w:hRule="exact" w:val="397"/>
        </w:trPr>
        <w:tc>
          <w:tcPr>
            <w:tcW w:w="6946" w:type="dxa"/>
            <w:vAlign w:val="center"/>
          </w:tcPr>
          <w:p w14:paraId="4BC88153" w14:textId="77777777" w:rsidR="00961617" w:rsidRPr="00545C7F" w:rsidRDefault="00961617" w:rsidP="0020771F">
            <w:pPr>
              <w:pStyle w:val="Tablefirstcolumn"/>
              <w:ind w:right="-62"/>
              <w:rPr>
                <w:rFonts w:cstheme="minorHAnsi"/>
              </w:rPr>
            </w:pPr>
            <w:r w:rsidRPr="00545C7F">
              <w:rPr>
                <w:rFonts w:cstheme="minorHAnsi"/>
              </w:rPr>
              <w:t>Gender and age group: Females aged 25-49 years</w:t>
            </w:r>
          </w:p>
        </w:tc>
        <w:tc>
          <w:tcPr>
            <w:tcW w:w="1277" w:type="dxa"/>
            <w:vAlign w:val="center"/>
          </w:tcPr>
          <w:p w14:paraId="66162AD0"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-3.5</w:t>
            </w:r>
          </w:p>
        </w:tc>
        <w:tc>
          <w:tcPr>
            <w:tcW w:w="1278" w:type="dxa"/>
            <w:vAlign w:val="center"/>
          </w:tcPr>
          <w:p w14:paraId="7B75495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-2.6</w:t>
            </w:r>
          </w:p>
        </w:tc>
        <w:tc>
          <w:tcPr>
            <w:tcW w:w="1280" w:type="dxa"/>
            <w:vAlign w:val="center"/>
          </w:tcPr>
          <w:p w14:paraId="5D8BC8B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-6.1</w:t>
            </w:r>
          </w:p>
        </w:tc>
        <w:tc>
          <w:tcPr>
            <w:tcW w:w="1136" w:type="dxa"/>
            <w:vAlign w:val="center"/>
          </w:tcPr>
          <w:p w14:paraId="56A068E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3.3</w:t>
            </w:r>
          </w:p>
        </w:tc>
      </w:tr>
      <w:tr w:rsidR="00961617" w:rsidRPr="00545C7F" w14:paraId="4AC71E67" w14:textId="77777777" w:rsidTr="0020771F">
        <w:trPr>
          <w:trHeight w:hRule="exact" w:val="397"/>
        </w:trPr>
        <w:tc>
          <w:tcPr>
            <w:tcW w:w="6946" w:type="dxa"/>
            <w:shd w:val="clear" w:color="auto" w:fill="E5E5E5" w:themeFill="background1" w:themeFillTint="33"/>
            <w:vAlign w:val="center"/>
          </w:tcPr>
          <w:p w14:paraId="0F83EA63" w14:textId="77777777" w:rsidR="00961617" w:rsidRPr="00545C7F" w:rsidRDefault="00961617" w:rsidP="0020771F">
            <w:pPr>
              <w:pStyle w:val="Tablefirstcolumn"/>
              <w:ind w:right="-62"/>
              <w:rPr>
                <w:rFonts w:cstheme="minorHAnsi"/>
              </w:rPr>
            </w:pPr>
            <w:r w:rsidRPr="00545C7F">
              <w:rPr>
                <w:rFonts w:cstheme="minorHAnsi"/>
              </w:rPr>
              <w:t>Gender and age group: Females aged 50+ years</w:t>
            </w:r>
          </w:p>
        </w:tc>
        <w:tc>
          <w:tcPr>
            <w:tcW w:w="1277" w:type="dxa"/>
            <w:shd w:val="clear" w:color="auto" w:fill="E5E5E5" w:themeFill="background1" w:themeFillTint="33"/>
            <w:vAlign w:val="center"/>
          </w:tcPr>
          <w:p w14:paraId="52C37EE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-0.3</w:t>
            </w:r>
          </w:p>
        </w:tc>
        <w:tc>
          <w:tcPr>
            <w:tcW w:w="1278" w:type="dxa"/>
            <w:shd w:val="clear" w:color="auto" w:fill="E5E5E5" w:themeFill="background1" w:themeFillTint="33"/>
            <w:vAlign w:val="center"/>
          </w:tcPr>
          <w:p w14:paraId="30E9355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-5.7</w:t>
            </w:r>
          </w:p>
        </w:tc>
        <w:tc>
          <w:tcPr>
            <w:tcW w:w="1280" w:type="dxa"/>
            <w:shd w:val="clear" w:color="auto" w:fill="E5E5E5" w:themeFill="background1" w:themeFillTint="33"/>
            <w:vAlign w:val="center"/>
          </w:tcPr>
          <w:p w14:paraId="7DAF61D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-6.0</w:t>
            </w:r>
          </w:p>
        </w:tc>
        <w:tc>
          <w:tcPr>
            <w:tcW w:w="1136" w:type="dxa"/>
            <w:shd w:val="clear" w:color="auto" w:fill="E5E5E5" w:themeFill="background1" w:themeFillTint="33"/>
            <w:vAlign w:val="center"/>
          </w:tcPr>
          <w:p w14:paraId="4C49EAF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w:t>
            </w:r>
          </w:p>
        </w:tc>
      </w:tr>
      <w:tr w:rsidR="00961617" w:rsidRPr="00545C7F" w14:paraId="66E16F50" w14:textId="77777777" w:rsidTr="0020771F">
        <w:trPr>
          <w:trHeight w:hRule="exact" w:val="397"/>
        </w:trPr>
        <w:tc>
          <w:tcPr>
            <w:tcW w:w="6946" w:type="dxa"/>
            <w:vAlign w:val="center"/>
          </w:tcPr>
          <w:p w14:paraId="53E6431D" w14:textId="77777777" w:rsidR="00961617" w:rsidRPr="00545C7F" w:rsidRDefault="00961617" w:rsidP="0020771F">
            <w:pPr>
              <w:pStyle w:val="Tablefirstcolumn"/>
              <w:ind w:right="-62"/>
              <w:rPr>
                <w:rFonts w:cstheme="minorHAnsi"/>
              </w:rPr>
            </w:pPr>
            <w:r w:rsidRPr="00545C7F">
              <w:rPr>
                <w:rFonts w:cstheme="minorHAnsi"/>
              </w:rPr>
              <w:t>Income support type: NSA/YA(O)</w:t>
            </w:r>
          </w:p>
        </w:tc>
        <w:tc>
          <w:tcPr>
            <w:tcW w:w="1277" w:type="dxa"/>
            <w:vAlign w:val="center"/>
          </w:tcPr>
          <w:p w14:paraId="43A9866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-4.0</w:t>
            </w:r>
          </w:p>
        </w:tc>
        <w:tc>
          <w:tcPr>
            <w:tcW w:w="1278" w:type="dxa"/>
            <w:vAlign w:val="center"/>
          </w:tcPr>
          <w:p w14:paraId="5994FEB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-1.1</w:t>
            </w:r>
          </w:p>
        </w:tc>
        <w:tc>
          <w:tcPr>
            <w:tcW w:w="1280" w:type="dxa"/>
            <w:vAlign w:val="center"/>
          </w:tcPr>
          <w:p w14:paraId="43FCBD9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-5.1</w:t>
            </w:r>
          </w:p>
        </w:tc>
        <w:tc>
          <w:tcPr>
            <w:tcW w:w="1136" w:type="dxa"/>
            <w:vAlign w:val="center"/>
          </w:tcPr>
          <w:p w14:paraId="5203625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-0.9</w:t>
            </w:r>
          </w:p>
        </w:tc>
      </w:tr>
      <w:tr w:rsidR="00961617" w:rsidRPr="00545C7F" w14:paraId="1ED92B2C" w14:textId="77777777" w:rsidTr="0020771F">
        <w:trPr>
          <w:trHeight w:hRule="exact" w:val="397"/>
        </w:trPr>
        <w:tc>
          <w:tcPr>
            <w:tcW w:w="6946" w:type="dxa"/>
            <w:shd w:val="clear" w:color="auto" w:fill="E5E5E5" w:themeFill="background1" w:themeFillTint="33"/>
            <w:vAlign w:val="center"/>
          </w:tcPr>
          <w:p w14:paraId="71782E9F" w14:textId="77777777" w:rsidR="00961617" w:rsidRPr="00545C7F" w:rsidRDefault="00961617" w:rsidP="0020771F">
            <w:pPr>
              <w:pStyle w:val="Tablefirstcolumn"/>
              <w:ind w:right="-62"/>
              <w:rPr>
                <w:rFonts w:cstheme="minorHAnsi"/>
              </w:rPr>
            </w:pPr>
            <w:r w:rsidRPr="00545C7F">
              <w:rPr>
                <w:rFonts w:cstheme="minorHAnsi"/>
              </w:rPr>
              <w:t>Income support type: PPP/PPS</w:t>
            </w:r>
          </w:p>
        </w:tc>
        <w:tc>
          <w:tcPr>
            <w:tcW w:w="1277" w:type="dxa"/>
            <w:shd w:val="clear" w:color="auto" w:fill="E5E5E5" w:themeFill="background1" w:themeFillTint="33"/>
            <w:vAlign w:val="center"/>
          </w:tcPr>
          <w:p w14:paraId="2AA16C7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-10.8</w:t>
            </w:r>
          </w:p>
        </w:tc>
        <w:tc>
          <w:tcPr>
            <w:tcW w:w="1278" w:type="dxa"/>
            <w:shd w:val="clear" w:color="auto" w:fill="E5E5E5" w:themeFill="background1" w:themeFillTint="33"/>
            <w:vAlign w:val="center"/>
          </w:tcPr>
          <w:p w14:paraId="0DCA0D6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-7.5</w:t>
            </w:r>
          </w:p>
        </w:tc>
        <w:tc>
          <w:tcPr>
            <w:tcW w:w="1280" w:type="dxa"/>
            <w:shd w:val="clear" w:color="auto" w:fill="E5E5E5" w:themeFill="background1" w:themeFillTint="33"/>
            <w:vAlign w:val="center"/>
          </w:tcPr>
          <w:p w14:paraId="1B7221C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-18.3</w:t>
            </w:r>
          </w:p>
        </w:tc>
        <w:tc>
          <w:tcPr>
            <w:tcW w:w="1136" w:type="dxa"/>
            <w:shd w:val="clear" w:color="auto" w:fill="E5E5E5" w:themeFill="background1" w:themeFillTint="33"/>
            <w:vAlign w:val="center"/>
          </w:tcPr>
          <w:p w14:paraId="0485DF6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4.2</w:t>
            </w:r>
          </w:p>
        </w:tc>
      </w:tr>
      <w:tr w:rsidR="00961617" w:rsidRPr="00545C7F" w14:paraId="679D9017" w14:textId="77777777" w:rsidTr="0020771F">
        <w:trPr>
          <w:trHeight w:hRule="exact" w:val="397"/>
        </w:trPr>
        <w:tc>
          <w:tcPr>
            <w:tcW w:w="6946" w:type="dxa"/>
            <w:vAlign w:val="center"/>
          </w:tcPr>
          <w:p w14:paraId="0C59F0E8" w14:textId="77777777" w:rsidR="00961617" w:rsidRPr="00545C7F" w:rsidRDefault="00961617" w:rsidP="0020771F">
            <w:pPr>
              <w:pStyle w:val="Tablefirstcolumn"/>
              <w:ind w:right="-62"/>
              <w:rPr>
                <w:rFonts w:cstheme="minorHAnsi"/>
              </w:rPr>
            </w:pPr>
            <w:r w:rsidRPr="00545C7F">
              <w:rPr>
                <w:rFonts w:cstheme="minorHAnsi"/>
              </w:rPr>
              <w:t>Income support type: Other income support type/not on income support</w:t>
            </w:r>
          </w:p>
        </w:tc>
        <w:tc>
          <w:tcPr>
            <w:tcW w:w="1277" w:type="dxa"/>
            <w:vAlign w:val="center"/>
          </w:tcPr>
          <w:p w14:paraId="717BB76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-10.5</w:t>
            </w:r>
          </w:p>
        </w:tc>
        <w:tc>
          <w:tcPr>
            <w:tcW w:w="1278" w:type="dxa"/>
            <w:vAlign w:val="center"/>
          </w:tcPr>
          <w:p w14:paraId="3238541F"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-1.6</w:t>
            </w:r>
          </w:p>
        </w:tc>
        <w:tc>
          <w:tcPr>
            <w:tcW w:w="1280" w:type="dxa"/>
            <w:vAlign w:val="center"/>
          </w:tcPr>
          <w:p w14:paraId="35FFF16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-12.1</w:t>
            </w:r>
          </w:p>
        </w:tc>
        <w:tc>
          <w:tcPr>
            <w:tcW w:w="1136" w:type="dxa"/>
            <w:vAlign w:val="center"/>
          </w:tcPr>
          <w:p w14:paraId="36DD6CA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2.1</w:t>
            </w:r>
          </w:p>
        </w:tc>
      </w:tr>
      <w:tr w:rsidR="00961617" w:rsidRPr="00545C7F" w14:paraId="079DA346" w14:textId="77777777" w:rsidTr="0020771F">
        <w:trPr>
          <w:trHeight w:hRule="exact" w:val="397"/>
        </w:trPr>
        <w:tc>
          <w:tcPr>
            <w:tcW w:w="6946" w:type="dxa"/>
            <w:shd w:val="clear" w:color="auto" w:fill="E5E5E5" w:themeFill="background1" w:themeFillTint="33"/>
            <w:vAlign w:val="center"/>
          </w:tcPr>
          <w:p w14:paraId="22ADAB42" w14:textId="77777777" w:rsidR="00961617" w:rsidRPr="00545C7F" w:rsidRDefault="00961617" w:rsidP="0020771F">
            <w:pPr>
              <w:pStyle w:val="Tablefirstcolumn"/>
              <w:ind w:right="-62"/>
              <w:rPr>
                <w:rFonts w:cstheme="minorHAnsi"/>
              </w:rPr>
            </w:pPr>
            <w:r w:rsidRPr="00545C7F">
              <w:rPr>
                <w:rFonts w:cstheme="minorHAnsi"/>
              </w:rPr>
              <w:t>Geographic location: Major Cities of Australia</w:t>
            </w:r>
          </w:p>
        </w:tc>
        <w:tc>
          <w:tcPr>
            <w:tcW w:w="1277" w:type="dxa"/>
            <w:shd w:val="clear" w:color="auto" w:fill="E5E5E5" w:themeFill="background1" w:themeFillTint="33"/>
            <w:vAlign w:val="center"/>
          </w:tcPr>
          <w:p w14:paraId="7B8FC1D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-4.0</w:t>
            </w:r>
          </w:p>
        </w:tc>
        <w:tc>
          <w:tcPr>
            <w:tcW w:w="1278" w:type="dxa"/>
            <w:shd w:val="clear" w:color="auto" w:fill="E5E5E5" w:themeFill="background1" w:themeFillTint="33"/>
            <w:vAlign w:val="center"/>
          </w:tcPr>
          <w:p w14:paraId="550C3E27"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-2.6</w:t>
            </w:r>
          </w:p>
        </w:tc>
        <w:tc>
          <w:tcPr>
            <w:tcW w:w="1280" w:type="dxa"/>
            <w:shd w:val="clear" w:color="auto" w:fill="E5E5E5" w:themeFill="background1" w:themeFillTint="33"/>
            <w:vAlign w:val="center"/>
          </w:tcPr>
          <w:p w14:paraId="51B9517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-6.6</w:t>
            </w:r>
          </w:p>
        </w:tc>
        <w:tc>
          <w:tcPr>
            <w:tcW w:w="1136" w:type="dxa"/>
            <w:shd w:val="clear" w:color="auto" w:fill="E5E5E5" w:themeFill="background1" w:themeFillTint="33"/>
            <w:vAlign w:val="center"/>
          </w:tcPr>
          <w:p w14:paraId="4D77CA6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-0.6</w:t>
            </w:r>
          </w:p>
        </w:tc>
      </w:tr>
      <w:tr w:rsidR="00961617" w:rsidRPr="00545C7F" w14:paraId="2CDBE0F2" w14:textId="77777777" w:rsidTr="0020771F">
        <w:trPr>
          <w:trHeight w:hRule="exact" w:val="397"/>
        </w:trPr>
        <w:tc>
          <w:tcPr>
            <w:tcW w:w="6946" w:type="dxa"/>
            <w:vAlign w:val="center"/>
          </w:tcPr>
          <w:p w14:paraId="458D6894" w14:textId="77777777" w:rsidR="00961617" w:rsidRPr="00545C7F" w:rsidRDefault="00961617" w:rsidP="0020771F">
            <w:pPr>
              <w:pStyle w:val="Tablefirstcolumn"/>
              <w:ind w:right="-62"/>
              <w:rPr>
                <w:rFonts w:cstheme="minorHAnsi"/>
              </w:rPr>
            </w:pPr>
            <w:r w:rsidRPr="00545C7F">
              <w:rPr>
                <w:rFonts w:cstheme="minorHAnsi"/>
              </w:rPr>
              <w:t xml:space="preserve">Geographic location: Inner Regional </w:t>
            </w:r>
          </w:p>
        </w:tc>
        <w:tc>
          <w:tcPr>
            <w:tcW w:w="1277" w:type="dxa"/>
            <w:vAlign w:val="center"/>
          </w:tcPr>
          <w:p w14:paraId="5CF1DFC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-3.9</w:t>
            </w:r>
          </w:p>
        </w:tc>
        <w:tc>
          <w:tcPr>
            <w:tcW w:w="1278" w:type="dxa"/>
            <w:vAlign w:val="center"/>
          </w:tcPr>
          <w:p w14:paraId="4623230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-4.8</w:t>
            </w:r>
          </w:p>
        </w:tc>
        <w:tc>
          <w:tcPr>
            <w:tcW w:w="1280" w:type="dxa"/>
            <w:vAlign w:val="center"/>
          </w:tcPr>
          <w:p w14:paraId="4D0454F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-8.8</w:t>
            </w:r>
          </w:p>
        </w:tc>
        <w:tc>
          <w:tcPr>
            <w:tcW w:w="1136" w:type="dxa"/>
            <w:vAlign w:val="center"/>
          </w:tcPr>
          <w:p w14:paraId="3A3C0D6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-0.9</w:t>
            </w:r>
          </w:p>
        </w:tc>
      </w:tr>
      <w:tr w:rsidR="00961617" w:rsidRPr="00545C7F" w14:paraId="283CABBD" w14:textId="77777777" w:rsidTr="0020771F">
        <w:trPr>
          <w:trHeight w:hRule="exact" w:val="397"/>
        </w:trPr>
        <w:tc>
          <w:tcPr>
            <w:tcW w:w="6946" w:type="dxa"/>
            <w:shd w:val="clear" w:color="auto" w:fill="E5E5E5" w:themeFill="background1" w:themeFillTint="33"/>
            <w:vAlign w:val="center"/>
          </w:tcPr>
          <w:p w14:paraId="0A516F4C" w14:textId="77777777" w:rsidR="00961617" w:rsidRPr="00545C7F" w:rsidRDefault="00961617" w:rsidP="0020771F">
            <w:pPr>
              <w:pStyle w:val="Tablefirstcolumn"/>
              <w:ind w:right="-62"/>
              <w:rPr>
                <w:rFonts w:cstheme="minorHAnsi"/>
              </w:rPr>
            </w:pPr>
            <w:r w:rsidRPr="00545C7F">
              <w:rPr>
                <w:rFonts w:cstheme="minorHAnsi"/>
              </w:rPr>
              <w:t>Geographic location: Other</w:t>
            </w:r>
          </w:p>
        </w:tc>
        <w:tc>
          <w:tcPr>
            <w:tcW w:w="1277" w:type="dxa"/>
            <w:shd w:val="clear" w:color="auto" w:fill="E5E5E5" w:themeFill="background1" w:themeFillTint="33"/>
            <w:vAlign w:val="center"/>
          </w:tcPr>
          <w:p w14:paraId="71275FB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-2.5</w:t>
            </w:r>
          </w:p>
        </w:tc>
        <w:tc>
          <w:tcPr>
            <w:tcW w:w="1278" w:type="dxa"/>
            <w:shd w:val="clear" w:color="auto" w:fill="E5E5E5" w:themeFill="background1" w:themeFillTint="33"/>
            <w:vAlign w:val="center"/>
          </w:tcPr>
          <w:p w14:paraId="0E90F18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-0.4</w:t>
            </w:r>
          </w:p>
        </w:tc>
        <w:tc>
          <w:tcPr>
            <w:tcW w:w="1280" w:type="dxa"/>
            <w:shd w:val="clear" w:color="auto" w:fill="E5E5E5" w:themeFill="background1" w:themeFillTint="33"/>
            <w:vAlign w:val="center"/>
          </w:tcPr>
          <w:p w14:paraId="698E013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w:t>
            </w:r>
          </w:p>
        </w:tc>
        <w:tc>
          <w:tcPr>
            <w:tcW w:w="1136" w:type="dxa"/>
            <w:shd w:val="clear" w:color="auto" w:fill="E5E5E5" w:themeFill="background1" w:themeFillTint="33"/>
            <w:vAlign w:val="center"/>
          </w:tcPr>
          <w:p w14:paraId="07D2420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w:t>
            </w:r>
          </w:p>
        </w:tc>
      </w:tr>
      <w:tr w:rsidR="00961617" w:rsidRPr="00545C7F" w14:paraId="44E2B503" w14:textId="77777777" w:rsidTr="0020771F">
        <w:trPr>
          <w:trHeight w:hRule="exact" w:val="397"/>
        </w:trPr>
        <w:tc>
          <w:tcPr>
            <w:tcW w:w="6946" w:type="dxa"/>
            <w:vAlign w:val="center"/>
          </w:tcPr>
          <w:p w14:paraId="3A954249" w14:textId="77777777" w:rsidR="00961617" w:rsidRPr="00545C7F" w:rsidRDefault="00961617" w:rsidP="0020771F">
            <w:pPr>
              <w:pStyle w:val="Tablefirstcolumn"/>
              <w:ind w:right="-62"/>
              <w:rPr>
                <w:rFonts w:cstheme="minorHAnsi"/>
              </w:rPr>
            </w:pPr>
            <w:r w:rsidRPr="00545C7F">
              <w:rPr>
                <w:rFonts w:cstheme="minorHAnsi"/>
              </w:rPr>
              <w:t>Highest level of education: Less than Year 10</w:t>
            </w:r>
          </w:p>
        </w:tc>
        <w:tc>
          <w:tcPr>
            <w:tcW w:w="1277" w:type="dxa"/>
            <w:vAlign w:val="center"/>
          </w:tcPr>
          <w:p w14:paraId="0B1CAF1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-1.7</w:t>
            </w:r>
          </w:p>
        </w:tc>
        <w:tc>
          <w:tcPr>
            <w:tcW w:w="1278" w:type="dxa"/>
            <w:vAlign w:val="center"/>
          </w:tcPr>
          <w:p w14:paraId="667573D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-1.2</w:t>
            </w:r>
          </w:p>
        </w:tc>
        <w:tc>
          <w:tcPr>
            <w:tcW w:w="1280" w:type="dxa"/>
            <w:vAlign w:val="center"/>
          </w:tcPr>
          <w:p w14:paraId="42E92C2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w:t>
            </w:r>
          </w:p>
        </w:tc>
        <w:tc>
          <w:tcPr>
            <w:tcW w:w="1136" w:type="dxa"/>
            <w:vAlign w:val="center"/>
          </w:tcPr>
          <w:p w14:paraId="064FF7D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-7.7</w:t>
            </w:r>
          </w:p>
        </w:tc>
      </w:tr>
      <w:tr w:rsidR="00961617" w:rsidRPr="00545C7F" w14:paraId="177C6AD4" w14:textId="77777777" w:rsidTr="0020771F">
        <w:trPr>
          <w:trHeight w:hRule="exact" w:val="397"/>
        </w:trPr>
        <w:tc>
          <w:tcPr>
            <w:tcW w:w="6946" w:type="dxa"/>
            <w:shd w:val="clear" w:color="auto" w:fill="E5E5E5" w:themeFill="background1" w:themeFillTint="33"/>
            <w:vAlign w:val="center"/>
          </w:tcPr>
          <w:p w14:paraId="484714BF" w14:textId="77777777" w:rsidR="00961617" w:rsidRPr="00545C7F" w:rsidRDefault="00961617" w:rsidP="0020771F">
            <w:pPr>
              <w:pStyle w:val="Tablefirstcolumn"/>
              <w:ind w:right="-62"/>
              <w:rPr>
                <w:rFonts w:cstheme="minorHAnsi"/>
              </w:rPr>
            </w:pPr>
            <w:r w:rsidRPr="00545C7F">
              <w:rPr>
                <w:rFonts w:cstheme="minorHAnsi"/>
              </w:rPr>
              <w:t>Highest level of education: Year 10/11</w:t>
            </w:r>
          </w:p>
        </w:tc>
        <w:tc>
          <w:tcPr>
            <w:tcW w:w="1277" w:type="dxa"/>
            <w:shd w:val="clear" w:color="auto" w:fill="E5E5E5" w:themeFill="background1" w:themeFillTint="33"/>
            <w:vAlign w:val="center"/>
          </w:tcPr>
          <w:p w14:paraId="69F3C95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w:t>
            </w:r>
          </w:p>
        </w:tc>
        <w:tc>
          <w:tcPr>
            <w:tcW w:w="1278" w:type="dxa"/>
            <w:shd w:val="clear" w:color="auto" w:fill="E5E5E5" w:themeFill="background1" w:themeFillTint="33"/>
            <w:vAlign w:val="center"/>
          </w:tcPr>
          <w:p w14:paraId="4880D6C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w:t>
            </w:r>
          </w:p>
        </w:tc>
        <w:tc>
          <w:tcPr>
            <w:tcW w:w="1280" w:type="dxa"/>
            <w:shd w:val="clear" w:color="auto" w:fill="E5E5E5" w:themeFill="background1" w:themeFillTint="33"/>
            <w:vAlign w:val="center"/>
          </w:tcPr>
          <w:p w14:paraId="11BCF3B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-9.5</w:t>
            </w:r>
          </w:p>
        </w:tc>
        <w:tc>
          <w:tcPr>
            <w:tcW w:w="1136" w:type="dxa"/>
            <w:shd w:val="clear" w:color="auto" w:fill="E5E5E5" w:themeFill="background1" w:themeFillTint="33"/>
            <w:vAlign w:val="center"/>
          </w:tcPr>
          <w:p w14:paraId="18DDFE9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-2.4</w:t>
            </w:r>
          </w:p>
        </w:tc>
      </w:tr>
      <w:tr w:rsidR="00961617" w:rsidRPr="00545C7F" w14:paraId="29B51C8E" w14:textId="77777777" w:rsidTr="0020771F">
        <w:trPr>
          <w:trHeight w:hRule="exact" w:val="397"/>
        </w:trPr>
        <w:tc>
          <w:tcPr>
            <w:tcW w:w="6946" w:type="dxa"/>
            <w:vAlign w:val="center"/>
          </w:tcPr>
          <w:p w14:paraId="1B1B128C" w14:textId="77777777" w:rsidR="00961617" w:rsidRPr="00545C7F" w:rsidRDefault="00961617" w:rsidP="0020771F">
            <w:pPr>
              <w:pStyle w:val="Tablefirstcolumn"/>
              <w:ind w:right="-62"/>
              <w:rPr>
                <w:rFonts w:cstheme="minorHAnsi"/>
              </w:rPr>
            </w:pPr>
            <w:r w:rsidRPr="00545C7F">
              <w:rPr>
                <w:rFonts w:cstheme="minorHAnsi"/>
              </w:rPr>
              <w:t>Highest level of education: Year 12</w:t>
            </w:r>
          </w:p>
        </w:tc>
        <w:tc>
          <w:tcPr>
            <w:tcW w:w="1277" w:type="dxa"/>
            <w:vAlign w:val="center"/>
          </w:tcPr>
          <w:p w14:paraId="78A33BE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-6.5</w:t>
            </w:r>
          </w:p>
        </w:tc>
        <w:tc>
          <w:tcPr>
            <w:tcW w:w="1278" w:type="dxa"/>
            <w:vAlign w:val="center"/>
          </w:tcPr>
          <w:p w14:paraId="293F06B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w:t>
            </w:r>
          </w:p>
        </w:tc>
        <w:tc>
          <w:tcPr>
            <w:tcW w:w="1280" w:type="dxa"/>
            <w:vAlign w:val="center"/>
          </w:tcPr>
          <w:p w14:paraId="71F1214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-9.2</w:t>
            </w:r>
          </w:p>
        </w:tc>
        <w:tc>
          <w:tcPr>
            <w:tcW w:w="1136" w:type="dxa"/>
            <w:vAlign w:val="center"/>
          </w:tcPr>
          <w:p w14:paraId="4A974EC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-1.0</w:t>
            </w:r>
          </w:p>
        </w:tc>
      </w:tr>
      <w:tr w:rsidR="00961617" w:rsidRPr="00545C7F" w14:paraId="33A3044F" w14:textId="77777777" w:rsidTr="0020771F">
        <w:trPr>
          <w:trHeight w:hRule="exact" w:val="397"/>
        </w:trPr>
        <w:tc>
          <w:tcPr>
            <w:tcW w:w="6946" w:type="dxa"/>
            <w:shd w:val="clear" w:color="auto" w:fill="E5E5E5" w:themeFill="background1" w:themeFillTint="33"/>
            <w:vAlign w:val="center"/>
          </w:tcPr>
          <w:p w14:paraId="24153048" w14:textId="77777777" w:rsidR="00961617" w:rsidRPr="00545C7F" w:rsidRDefault="00961617" w:rsidP="0020771F">
            <w:pPr>
              <w:pStyle w:val="Tablefirstcolumn"/>
              <w:ind w:right="-62"/>
              <w:rPr>
                <w:rFonts w:cstheme="minorHAnsi"/>
              </w:rPr>
            </w:pPr>
            <w:r w:rsidRPr="00545C7F">
              <w:rPr>
                <w:rFonts w:cstheme="minorHAnsi"/>
              </w:rPr>
              <w:t>Highest level of education: TAFE/Diploma</w:t>
            </w:r>
          </w:p>
        </w:tc>
        <w:tc>
          <w:tcPr>
            <w:tcW w:w="1277" w:type="dxa"/>
            <w:shd w:val="clear" w:color="auto" w:fill="E5E5E5" w:themeFill="background1" w:themeFillTint="33"/>
            <w:vAlign w:val="center"/>
          </w:tcPr>
          <w:p w14:paraId="5BE9F29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-4.5</w:t>
            </w:r>
          </w:p>
        </w:tc>
        <w:tc>
          <w:tcPr>
            <w:tcW w:w="1278" w:type="dxa"/>
            <w:shd w:val="clear" w:color="auto" w:fill="E5E5E5" w:themeFill="background1" w:themeFillTint="33"/>
            <w:vAlign w:val="center"/>
          </w:tcPr>
          <w:p w14:paraId="390BE8F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w:t>
            </w:r>
          </w:p>
        </w:tc>
        <w:tc>
          <w:tcPr>
            <w:tcW w:w="1280" w:type="dxa"/>
            <w:shd w:val="clear" w:color="auto" w:fill="E5E5E5" w:themeFill="background1" w:themeFillTint="33"/>
            <w:vAlign w:val="center"/>
          </w:tcPr>
          <w:p w14:paraId="18F607D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-7.7</w:t>
            </w:r>
          </w:p>
        </w:tc>
        <w:tc>
          <w:tcPr>
            <w:tcW w:w="1136" w:type="dxa"/>
            <w:shd w:val="clear" w:color="auto" w:fill="E5E5E5" w:themeFill="background1" w:themeFillTint="33"/>
            <w:vAlign w:val="center"/>
          </w:tcPr>
          <w:p w14:paraId="31981D2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2.6</w:t>
            </w:r>
          </w:p>
        </w:tc>
      </w:tr>
      <w:tr w:rsidR="00961617" w:rsidRPr="00545C7F" w14:paraId="7A204E77" w14:textId="77777777" w:rsidTr="0020771F">
        <w:trPr>
          <w:trHeight w:hRule="exact" w:val="397"/>
        </w:trPr>
        <w:tc>
          <w:tcPr>
            <w:tcW w:w="6946" w:type="dxa"/>
            <w:vAlign w:val="center"/>
          </w:tcPr>
          <w:p w14:paraId="0FE92BCF" w14:textId="77777777" w:rsidR="00961617" w:rsidRPr="00545C7F" w:rsidRDefault="00961617" w:rsidP="0020771F">
            <w:pPr>
              <w:pStyle w:val="Tablefirstcolumn"/>
              <w:ind w:right="-62"/>
              <w:rPr>
                <w:rFonts w:cstheme="minorHAnsi"/>
              </w:rPr>
            </w:pPr>
            <w:r w:rsidRPr="00545C7F">
              <w:rPr>
                <w:rFonts w:cstheme="minorHAnsi"/>
              </w:rPr>
              <w:t>Highest level of education: Degree/Post-graduate</w:t>
            </w:r>
          </w:p>
        </w:tc>
        <w:tc>
          <w:tcPr>
            <w:tcW w:w="1277" w:type="dxa"/>
            <w:vAlign w:val="center"/>
          </w:tcPr>
          <w:p w14:paraId="7F426742"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-3.0</w:t>
            </w:r>
          </w:p>
        </w:tc>
        <w:tc>
          <w:tcPr>
            <w:tcW w:w="1278" w:type="dxa"/>
            <w:vAlign w:val="center"/>
          </w:tcPr>
          <w:p w14:paraId="31803E9F"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-0.8</w:t>
            </w:r>
          </w:p>
        </w:tc>
        <w:tc>
          <w:tcPr>
            <w:tcW w:w="1280" w:type="dxa"/>
            <w:vAlign w:val="center"/>
          </w:tcPr>
          <w:p w14:paraId="1FEF261E"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-3.8</w:t>
            </w:r>
          </w:p>
        </w:tc>
        <w:tc>
          <w:tcPr>
            <w:tcW w:w="1136" w:type="dxa"/>
            <w:vAlign w:val="center"/>
          </w:tcPr>
          <w:p w14:paraId="349603E6" w14:textId="77777777" w:rsidR="00961617" w:rsidRPr="00545C7F" w:rsidRDefault="00961617" w:rsidP="0020771F">
            <w:pPr>
              <w:pStyle w:val="tabletextslim"/>
              <w:spacing w:before="23"/>
              <w:ind w:right="139"/>
              <w:rPr>
                <w:rFonts w:cstheme="minorHAnsi"/>
                <w:b/>
                <w:sz w:val="20"/>
                <w:szCs w:val="20"/>
              </w:rPr>
            </w:pPr>
            <w:r w:rsidRPr="00545C7F">
              <w:rPr>
                <w:rFonts w:cstheme="minorHAnsi"/>
                <w:sz w:val="20"/>
                <w:szCs w:val="20"/>
              </w:rPr>
              <w:t>-0.4</w:t>
            </w:r>
          </w:p>
        </w:tc>
      </w:tr>
      <w:tr w:rsidR="00961617" w:rsidRPr="00545C7F" w14:paraId="28C96873" w14:textId="77777777" w:rsidTr="0020771F">
        <w:trPr>
          <w:trHeight w:hRule="exact" w:val="397"/>
        </w:trPr>
        <w:tc>
          <w:tcPr>
            <w:tcW w:w="6946" w:type="dxa"/>
            <w:shd w:val="clear" w:color="auto" w:fill="E5E5E5" w:themeFill="background1" w:themeFillTint="33"/>
            <w:vAlign w:val="center"/>
          </w:tcPr>
          <w:p w14:paraId="446F291C" w14:textId="77777777" w:rsidR="00961617" w:rsidRPr="00545C7F" w:rsidRDefault="00961617" w:rsidP="0020771F">
            <w:pPr>
              <w:pStyle w:val="Tablefirstcolumn"/>
              <w:ind w:right="-62"/>
              <w:rPr>
                <w:rFonts w:cstheme="minorHAnsi"/>
              </w:rPr>
            </w:pPr>
            <w:r w:rsidRPr="00545C7F">
              <w:rPr>
                <w:rFonts w:cstheme="minorHAnsi"/>
              </w:rPr>
              <w:t>Client group: Indigenous</w:t>
            </w:r>
          </w:p>
        </w:tc>
        <w:tc>
          <w:tcPr>
            <w:tcW w:w="1277" w:type="dxa"/>
            <w:shd w:val="clear" w:color="auto" w:fill="E5E5E5" w:themeFill="background1" w:themeFillTint="33"/>
            <w:vAlign w:val="center"/>
          </w:tcPr>
          <w:p w14:paraId="7788F70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-1.3</w:t>
            </w:r>
          </w:p>
        </w:tc>
        <w:tc>
          <w:tcPr>
            <w:tcW w:w="1278" w:type="dxa"/>
            <w:shd w:val="clear" w:color="auto" w:fill="E5E5E5" w:themeFill="background1" w:themeFillTint="33"/>
            <w:vAlign w:val="center"/>
          </w:tcPr>
          <w:p w14:paraId="5C78C76A"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-2.8</w:t>
            </w:r>
          </w:p>
        </w:tc>
        <w:tc>
          <w:tcPr>
            <w:tcW w:w="1280" w:type="dxa"/>
            <w:shd w:val="clear" w:color="auto" w:fill="E5E5E5" w:themeFill="background1" w:themeFillTint="33"/>
            <w:vAlign w:val="center"/>
          </w:tcPr>
          <w:p w14:paraId="208716A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-4.1</w:t>
            </w:r>
          </w:p>
        </w:tc>
        <w:tc>
          <w:tcPr>
            <w:tcW w:w="1136" w:type="dxa"/>
            <w:shd w:val="clear" w:color="auto" w:fill="E5E5E5" w:themeFill="background1" w:themeFillTint="33"/>
            <w:vAlign w:val="center"/>
          </w:tcPr>
          <w:p w14:paraId="797C189E"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-4.5</w:t>
            </w:r>
          </w:p>
        </w:tc>
      </w:tr>
      <w:tr w:rsidR="00961617" w:rsidRPr="00545C7F" w14:paraId="5887DD0F" w14:textId="77777777" w:rsidTr="0020771F">
        <w:trPr>
          <w:trHeight w:hRule="exact" w:val="397"/>
        </w:trPr>
        <w:tc>
          <w:tcPr>
            <w:tcW w:w="6946" w:type="dxa"/>
            <w:vAlign w:val="center"/>
          </w:tcPr>
          <w:p w14:paraId="51B8D1C7" w14:textId="77777777" w:rsidR="00961617" w:rsidRPr="00545C7F" w:rsidRDefault="00961617" w:rsidP="0020771F">
            <w:pPr>
              <w:pStyle w:val="Tablefirstcolumn"/>
              <w:ind w:right="-62"/>
              <w:rPr>
                <w:rFonts w:cstheme="minorHAnsi"/>
              </w:rPr>
            </w:pPr>
            <w:r w:rsidRPr="00545C7F">
              <w:rPr>
                <w:rFonts w:cstheme="minorHAnsi"/>
              </w:rPr>
              <w:t>Client group: Non-Indigenous</w:t>
            </w:r>
          </w:p>
        </w:tc>
        <w:tc>
          <w:tcPr>
            <w:tcW w:w="1277" w:type="dxa"/>
            <w:vAlign w:val="center"/>
          </w:tcPr>
          <w:p w14:paraId="3A549C8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-3.8</w:t>
            </w:r>
          </w:p>
        </w:tc>
        <w:tc>
          <w:tcPr>
            <w:tcW w:w="1278" w:type="dxa"/>
            <w:vAlign w:val="center"/>
          </w:tcPr>
          <w:p w14:paraId="5B04D93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-3.0</w:t>
            </w:r>
          </w:p>
        </w:tc>
        <w:tc>
          <w:tcPr>
            <w:tcW w:w="1280" w:type="dxa"/>
            <w:vAlign w:val="center"/>
          </w:tcPr>
          <w:p w14:paraId="640D7FA6"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-6.8</w:t>
            </w:r>
          </w:p>
        </w:tc>
        <w:tc>
          <w:tcPr>
            <w:tcW w:w="1136" w:type="dxa"/>
            <w:vAlign w:val="center"/>
          </w:tcPr>
          <w:p w14:paraId="74E6E26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-0.7</w:t>
            </w:r>
          </w:p>
        </w:tc>
      </w:tr>
      <w:tr w:rsidR="00961617" w:rsidRPr="00545C7F" w14:paraId="3B866535" w14:textId="77777777" w:rsidTr="00EE47DD">
        <w:trPr>
          <w:trHeight w:hRule="exact" w:val="397"/>
        </w:trPr>
        <w:tc>
          <w:tcPr>
            <w:tcW w:w="6946" w:type="dxa"/>
            <w:shd w:val="clear" w:color="auto" w:fill="E5E5E5" w:themeFill="background1" w:themeFillTint="33"/>
            <w:vAlign w:val="center"/>
          </w:tcPr>
          <w:p w14:paraId="6F387445" w14:textId="77777777" w:rsidR="00961617" w:rsidRPr="00545C7F" w:rsidRDefault="00961617" w:rsidP="0020771F">
            <w:pPr>
              <w:pStyle w:val="Tablefirstcolumn"/>
              <w:ind w:right="-62"/>
              <w:rPr>
                <w:rFonts w:cstheme="minorHAnsi"/>
              </w:rPr>
            </w:pPr>
            <w:r w:rsidRPr="00545C7F">
              <w:rPr>
                <w:rFonts w:cstheme="minorHAnsi"/>
              </w:rPr>
              <w:t>Client group: Job seekers with a disability as identified by JCA/ESAt</w:t>
            </w:r>
          </w:p>
        </w:tc>
        <w:tc>
          <w:tcPr>
            <w:tcW w:w="1277" w:type="dxa"/>
            <w:shd w:val="clear" w:color="auto" w:fill="E5E5E5" w:themeFill="background1" w:themeFillTint="33"/>
            <w:vAlign w:val="center"/>
          </w:tcPr>
          <w:p w14:paraId="63D1638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-6.6</w:t>
            </w:r>
          </w:p>
        </w:tc>
        <w:tc>
          <w:tcPr>
            <w:tcW w:w="1278" w:type="dxa"/>
            <w:shd w:val="clear" w:color="auto" w:fill="E5E5E5" w:themeFill="background1" w:themeFillTint="33"/>
            <w:vAlign w:val="center"/>
          </w:tcPr>
          <w:p w14:paraId="72E3A0E2"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-8.6</w:t>
            </w:r>
          </w:p>
        </w:tc>
        <w:tc>
          <w:tcPr>
            <w:tcW w:w="1280" w:type="dxa"/>
            <w:shd w:val="clear" w:color="auto" w:fill="E5E5E5" w:themeFill="background1" w:themeFillTint="33"/>
            <w:vAlign w:val="center"/>
          </w:tcPr>
          <w:p w14:paraId="219FE774"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-15.2</w:t>
            </w:r>
          </w:p>
        </w:tc>
        <w:tc>
          <w:tcPr>
            <w:tcW w:w="1136" w:type="dxa"/>
            <w:shd w:val="clear" w:color="auto" w:fill="E5E5E5" w:themeFill="background1" w:themeFillTint="33"/>
            <w:vAlign w:val="center"/>
          </w:tcPr>
          <w:p w14:paraId="0E7F0F9B"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-8.1</w:t>
            </w:r>
          </w:p>
        </w:tc>
      </w:tr>
      <w:tr w:rsidR="00961617" w:rsidRPr="00545C7F" w14:paraId="7CD0D4BA" w14:textId="77777777" w:rsidTr="00EE47DD">
        <w:trPr>
          <w:trHeight w:hRule="exact" w:val="397"/>
        </w:trPr>
        <w:tc>
          <w:tcPr>
            <w:tcW w:w="6946" w:type="dxa"/>
            <w:vAlign w:val="center"/>
          </w:tcPr>
          <w:p w14:paraId="2DE56910" w14:textId="77777777" w:rsidR="00961617" w:rsidRPr="00545C7F" w:rsidRDefault="00961617" w:rsidP="0020771F">
            <w:pPr>
              <w:pStyle w:val="Tablefirstcolumn"/>
              <w:ind w:right="-62"/>
              <w:rPr>
                <w:rFonts w:cstheme="minorHAnsi"/>
              </w:rPr>
            </w:pPr>
            <w:r w:rsidRPr="00545C7F">
              <w:rPr>
                <w:rFonts w:cstheme="minorHAnsi"/>
              </w:rPr>
              <w:t>Client group: Non-English speaking background</w:t>
            </w:r>
          </w:p>
        </w:tc>
        <w:tc>
          <w:tcPr>
            <w:tcW w:w="1277" w:type="dxa"/>
            <w:vAlign w:val="center"/>
          </w:tcPr>
          <w:p w14:paraId="54FC573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-3.2</w:t>
            </w:r>
          </w:p>
        </w:tc>
        <w:tc>
          <w:tcPr>
            <w:tcW w:w="1278" w:type="dxa"/>
            <w:vAlign w:val="center"/>
          </w:tcPr>
          <w:p w14:paraId="6FABA37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-1.3</w:t>
            </w:r>
          </w:p>
        </w:tc>
        <w:tc>
          <w:tcPr>
            <w:tcW w:w="1280" w:type="dxa"/>
            <w:vAlign w:val="center"/>
          </w:tcPr>
          <w:p w14:paraId="26ABD49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-4.5</w:t>
            </w:r>
          </w:p>
        </w:tc>
        <w:tc>
          <w:tcPr>
            <w:tcW w:w="1136" w:type="dxa"/>
            <w:vAlign w:val="center"/>
          </w:tcPr>
          <w:p w14:paraId="290696B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w:t>
            </w:r>
          </w:p>
        </w:tc>
      </w:tr>
      <w:tr w:rsidR="00961617" w:rsidRPr="00545C7F" w14:paraId="27005DA8" w14:textId="77777777" w:rsidTr="00EE47DD">
        <w:trPr>
          <w:trHeight w:hRule="exact" w:val="397"/>
        </w:trPr>
        <w:tc>
          <w:tcPr>
            <w:tcW w:w="6946" w:type="dxa"/>
            <w:shd w:val="clear" w:color="auto" w:fill="E5E5E5" w:themeFill="background1" w:themeFillTint="33"/>
            <w:vAlign w:val="center"/>
          </w:tcPr>
          <w:p w14:paraId="727DD323" w14:textId="77777777" w:rsidR="00961617" w:rsidRPr="00545C7F" w:rsidRDefault="00961617" w:rsidP="0020771F">
            <w:pPr>
              <w:pStyle w:val="Tablefirstcolumn"/>
              <w:ind w:right="-62"/>
              <w:rPr>
                <w:rFonts w:cstheme="minorHAnsi"/>
              </w:rPr>
            </w:pPr>
            <w:r w:rsidRPr="00545C7F">
              <w:rPr>
                <w:rFonts w:cstheme="minorHAnsi"/>
              </w:rPr>
              <w:t>Client group: Mixed or low English proficiency</w:t>
            </w:r>
          </w:p>
        </w:tc>
        <w:tc>
          <w:tcPr>
            <w:tcW w:w="1277" w:type="dxa"/>
            <w:shd w:val="clear" w:color="auto" w:fill="E5E5E5" w:themeFill="background1" w:themeFillTint="33"/>
            <w:vAlign w:val="center"/>
          </w:tcPr>
          <w:p w14:paraId="6019D16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-0.4</w:t>
            </w:r>
          </w:p>
        </w:tc>
        <w:tc>
          <w:tcPr>
            <w:tcW w:w="1278" w:type="dxa"/>
            <w:shd w:val="clear" w:color="auto" w:fill="E5E5E5" w:themeFill="background1" w:themeFillTint="33"/>
            <w:vAlign w:val="center"/>
          </w:tcPr>
          <w:p w14:paraId="59829D8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-2.7</w:t>
            </w:r>
          </w:p>
        </w:tc>
        <w:tc>
          <w:tcPr>
            <w:tcW w:w="1280" w:type="dxa"/>
            <w:shd w:val="clear" w:color="auto" w:fill="E5E5E5" w:themeFill="background1" w:themeFillTint="33"/>
            <w:vAlign w:val="center"/>
          </w:tcPr>
          <w:p w14:paraId="02E31B3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-3.1</w:t>
            </w:r>
          </w:p>
        </w:tc>
        <w:tc>
          <w:tcPr>
            <w:tcW w:w="1136" w:type="dxa"/>
            <w:shd w:val="clear" w:color="auto" w:fill="E5E5E5" w:themeFill="background1" w:themeFillTint="33"/>
            <w:vAlign w:val="center"/>
          </w:tcPr>
          <w:p w14:paraId="5D97E385"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-6.2</w:t>
            </w:r>
          </w:p>
        </w:tc>
      </w:tr>
      <w:tr w:rsidR="00961617" w:rsidRPr="00545C7F" w14:paraId="5E916E4B" w14:textId="77777777" w:rsidTr="00EE47DD">
        <w:trPr>
          <w:trHeight w:hRule="exact" w:val="397"/>
        </w:trPr>
        <w:tc>
          <w:tcPr>
            <w:tcW w:w="6946" w:type="dxa"/>
            <w:vAlign w:val="center"/>
          </w:tcPr>
          <w:p w14:paraId="5415B592" w14:textId="77777777" w:rsidR="00961617" w:rsidRPr="00545C7F" w:rsidRDefault="00961617" w:rsidP="0020771F">
            <w:pPr>
              <w:pStyle w:val="Tablefirstcolumn"/>
              <w:ind w:right="-62"/>
              <w:rPr>
                <w:rFonts w:cstheme="minorHAnsi"/>
              </w:rPr>
            </w:pPr>
            <w:r w:rsidRPr="00545C7F">
              <w:rPr>
                <w:rFonts w:cstheme="minorHAnsi"/>
              </w:rPr>
              <w:t>Client group: Single parents</w:t>
            </w:r>
          </w:p>
        </w:tc>
        <w:tc>
          <w:tcPr>
            <w:tcW w:w="1277" w:type="dxa"/>
            <w:vAlign w:val="center"/>
          </w:tcPr>
          <w:p w14:paraId="5FE37D1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-10.9</w:t>
            </w:r>
          </w:p>
        </w:tc>
        <w:tc>
          <w:tcPr>
            <w:tcW w:w="1278" w:type="dxa"/>
            <w:vAlign w:val="center"/>
          </w:tcPr>
          <w:p w14:paraId="35423658"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-6.3</w:t>
            </w:r>
          </w:p>
        </w:tc>
        <w:tc>
          <w:tcPr>
            <w:tcW w:w="1280" w:type="dxa"/>
            <w:vAlign w:val="center"/>
          </w:tcPr>
          <w:p w14:paraId="482B8BC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-17.2</w:t>
            </w:r>
          </w:p>
        </w:tc>
        <w:tc>
          <w:tcPr>
            <w:tcW w:w="1136" w:type="dxa"/>
            <w:vAlign w:val="center"/>
          </w:tcPr>
          <w:p w14:paraId="499E723D"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7.7</w:t>
            </w:r>
          </w:p>
        </w:tc>
      </w:tr>
      <w:tr w:rsidR="00961617" w:rsidRPr="00545C7F" w14:paraId="77553D38" w14:textId="77777777" w:rsidTr="00EE47DD">
        <w:trPr>
          <w:trHeight w:hRule="exact" w:val="397"/>
        </w:trPr>
        <w:tc>
          <w:tcPr>
            <w:tcW w:w="6946" w:type="dxa"/>
            <w:shd w:val="clear" w:color="auto" w:fill="E5E5E5" w:themeFill="background1" w:themeFillTint="33"/>
            <w:vAlign w:val="center"/>
          </w:tcPr>
          <w:p w14:paraId="0C410ED0" w14:textId="77777777" w:rsidR="00961617" w:rsidRPr="00545C7F" w:rsidRDefault="00961617" w:rsidP="0020771F">
            <w:pPr>
              <w:pStyle w:val="Tablefirstcolumn"/>
              <w:ind w:right="-62"/>
              <w:rPr>
                <w:rFonts w:cstheme="minorHAnsi"/>
              </w:rPr>
            </w:pPr>
            <w:r w:rsidRPr="00545C7F">
              <w:rPr>
                <w:rFonts w:cstheme="minorHAnsi"/>
              </w:rPr>
              <w:t>Client group: Ex-offenders</w:t>
            </w:r>
          </w:p>
        </w:tc>
        <w:tc>
          <w:tcPr>
            <w:tcW w:w="1277" w:type="dxa"/>
            <w:shd w:val="clear" w:color="auto" w:fill="E5E5E5" w:themeFill="background1" w:themeFillTint="33"/>
            <w:vAlign w:val="center"/>
          </w:tcPr>
          <w:p w14:paraId="36E1F3B1"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-6.6</w:t>
            </w:r>
          </w:p>
        </w:tc>
        <w:tc>
          <w:tcPr>
            <w:tcW w:w="1278" w:type="dxa"/>
            <w:shd w:val="clear" w:color="auto" w:fill="E5E5E5" w:themeFill="background1" w:themeFillTint="33"/>
            <w:vAlign w:val="center"/>
          </w:tcPr>
          <w:p w14:paraId="154E94A3"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-1.5</w:t>
            </w:r>
          </w:p>
        </w:tc>
        <w:tc>
          <w:tcPr>
            <w:tcW w:w="1280" w:type="dxa"/>
            <w:shd w:val="clear" w:color="auto" w:fill="E5E5E5" w:themeFill="background1" w:themeFillTint="33"/>
            <w:vAlign w:val="center"/>
          </w:tcPr>
          <w:p w14:paraId="02A8E1B3"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-8.1</w:t>
            </w:r>
          </w:p>
        </w:tc>
        <w:tc>
          <w:tcPr>
            <w:tcW w:w="1136" w:type="dxa"/>
            <w:shd w:val="clear" w:color="auto" w:fill="E5E5E5" w:themeFill="background1" w:themeFillTint="33"/>
            <w:vAlign w:val="center"/>
          </w:tcPr>
          <w:p w14:paraId="23E73126"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n.a.</w:t>
            </w:r>
          </w:p>
        </w:tc>
      </w:tr>
      <w:tr w:rsidR="00961617" w:rsidRPr="00545C7F" w14:paraId="16801B7A" w14:textId="77777777" w:rsidTr="00EE47DD">
        <w:trPr>
          <w:trHeight w:hRule="exact" w:val="397"/>
        </w:trPr>
        <w:tc>
          <w:tcPr>
            <w:tcW w:w="6946" w:type="dxa"/>
            <w:vAlign w:val="center"/>
          </w:tcPr>
          <w:p w14:paraId="1C1A89F4" w14:textId="77777777" w:rsidR="00961617" w:rsidRPr="00545C7F" w:rsidRDefault="00961617" w:rsidP="0020771F">
            <w:pPr>
              <w:pStyle w:val="Tablefirstcolumn"/>
              <w:ind w:right="-62"/>
              <w:rPr>
                <w:rFonts w:cstheme="minorHAnsi"/>
              </w:rPr>
            </w:pPr>
            <w:r w:rsidRPr="00545C7F">
              <w:rPr>
                <w:rFonts w:cstheme="minorHAnsi"/>
              </w:rPr>
              <w:t>Client group: Homeless</w:t>
            </w:r>
          </w:p>
        </w:tc>
        <w:tc>
          <w:tcPr>
            <w:tcW w:w="1277" w:type="dxa"/>
            <w:vAlign w:val="center"/>
          </w:tcPr>
          <w:p w14:paraId="412B0BD0"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-4.9</w:t>
            </w:r>
          </w:p>
        </w:tc>
        <w:tc>
          <w:tcPr>
            <w:tcW w:w="1278" w:type="dxa"/>
            <w:vAlign w:val="center"/>
          </w:tcPr>
          <w:p w14:paraId="2B7110EB"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-2.9</w:t>
            </w:r>
          </w:p>
        </w:tc>
        <w:tc>
          <w:tcPr>
            <w:tcW w:w="1280" w:type="dxa"/>
            <w:vAlign w:val="center"/>
          </w:tcPr>
          <w:p w14:paraId="2BA2BF7E"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-7.8</w:t>
            </w:r>
          </w:p>
        </w:tc>
        <w:tc>
          <w:tcPr>
            <w:tcW w:w="1136" w:type="dxa"/>
            <w:vAlign w:val="center"/>
          </w:tcPr>
          <w:p w14:paraId="1D99207D" w14:textId="77777777" w:rsidR="00961617" w:rsidRPr="00545C7F" w:rsidRDefault="00961617" w:rsidP="0020771F">
            <w:pPr>
              <w:pStyle w:val="tabletextslim"/>
              <w:spacing w:before="23"/>
              <w:ind w:right="139"/>
              <w:rPr>
                <w:rFonts w:cstheme="minorHAnsi"/>
                <w:sz w:val="20"/>
                <w:szCs w:val="20"/>
                <w:highlight w:val="yellow"/>
              </w:rPr>
            </w:pPr>
            <w:r w:rsidRPr="00545C7F">
              <w:rPr>
                <w:rFonts w:cstheme="minorHAnsi"/>
                <w:sz w:val="20"/>
                <w:szCs w:val="20"/>
              </w:rPr>
              <w:t>-2.5</w:t>
            </w:r>
          </w:p>
        </w:tc>
      </w:tr>
      <w:tr w:rsidR="00961617" w:rsidRPr="00545C7F" w14:paraId="4FFA0683" w14:textId="77777777" w:rsidTr="00EE47DD">
        <w:trPr>
          <w:trHeight w:hRule="exact" w:val="397"/>
        </w:trPr>
        <w:tc>
          <w:tcPr>
            <w:tcW w:w="6946" w:type="dxa"/>
            <w:shd w:val="clear" w:color="auto" w:fill="8EAEDE"/>
            <w:vAlign w:val="center"/>
          </w:tcPr>
          <w:p w14:paraId="4BAAD669" w14:textId="77777777" w:rsidR="00961617" w:rsidRPr="00545C7F" w:rsidRDefault="00961617" w:rsidP="0020771F">
            <w:pPr>
              <w:pStyle w:val="Tablefirstcolumn"/>
              <w:ind w:right="-62"/>
              <w:rPr>
                <w:rFonts w:cstheme="minorHAnsi"/>
              </w:rPr>
            </w:pPr>
            <w:r w:rsidRPr="00545C7F">
              <w:rPr>
                <w:rFonts w:cstheme="minorHAnsi"/>
              </w:rPr>
              <w:t>Total</w:t>
            </w:r>
          </w:p>
        </w:tc>
        <w:tc>
          <w:tcPr>
            <w:tcW w:w="1277" w:type="dxa"/>
            <w:shd w:val="clear" w:color="auto" w:fill="8EAEDE"/>
            <w:vAlign w:val="center"/>
          </w:tcPr>
          <w:p w14:paraId="73F051BC"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-3.9</w:t>
            </w:r>
          </w:p>
        </w:tc>
        <w:tc>
          <w:tcPr>
            <w:tcW w:w="1278" w:type="dxa"/>
            <w:shd w:val="clear" w:color="auto" w:fill="8EAEDE"/>
            <w:vAlign w:val="center"/>
          </w:tcPr>
          <w:p w14:paraId="657C8019"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-2.9</w:t>
            </w:r>
          </w:p>
        </w:tc>
        <w:tc>
          <w:tcPr>
            <w:tcW w:w="1280" w:type="dxa"/>
            <w:shd w:val="clear" w:color="auto" w:fill="8EAEDE"/>
            <w:vAlign w:val="center"/>
          </w:tcPr>
          <w:p w14:paraId="744B2103"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-6.8</w:t>
            </w:r>
          </w:p>
        </w:tc>
        <w:tc>
          <w:tcPr>
            <w:tcW w:w="1136" w:type="dxa"/>
            <w:shd w:val="clear" w:color="auto" w:fill="8EAEDE"/>
            <w:vAlign w:val="center"/>
          </w:tcPr>
          <w:p w14:paraId="013E5971" w14:textId="77777777" w:rsidR="00961617" w:rsidRPr="00545C7F" w:rsidRDefault="00961617" w:rsidP="0020771F">
            <w:pPr>
              <w:pStyle w:val="tabletextslim"/>
              <w:spacing w:before="23"/>
              <w:ind w:right="139"/>
              <w:rPr>
                <w:rFonts w:cstheme="minorHAnsi"/>
                <w:sz w:val="20"/>
                <w:szCs w:val="20"/>
              </w:rPr>
            </w:pPr>
            <w:r w:rsidRPr="00545C7F">
              <w:rPr>
                <w:rFonts w:cstheme="minorHAnsi"/>
                <w:sz w:val="20"/>
                <w:szCs w:val="20"/>
              </w:rPr>
              <w:t>-0.8</w:t>
            </w:r>
          </w:p>
        </w:tc>
      </w:tr>
    </w:tbl>
    <w:p w14:paraId="45D8ADDA" w14:textId="77777777" w:rsidR="00961617" w:rsidRPr="002F5864" w:rsidRDefault="00961617" w:rsidP="00961617">
      <w:pPr>
        <w:pStyle w:val="Sourceandnotetext"/>
        <w:spacing w:before="0" w:after="0"/>
        <w:rPr>
          <w:rFonts w:cstheme="minorHAnsi"/>
        </w:rPr>
      </w:pPr>
      <w:r w:rsidRPr="002F5864">
        <w:rPr>
          <w:rFonts w:cstheme="minorHAnsi"/>
        </w:rPr>
        <w:t xml:space="preserve">n.a.: </w:t>
      </w:r>
      <w:r w:rsidR="00E13B5E">
        <w:rPr>
          <w:rFonts w:cstheme="minorHAnsi"/>
        </w:rPr>
        <w:tab/>
      </w:r>
      <w:r w:rsidRPr="002F5864">
        <w:rPr>
          <w:rFonts w:cstheme="minorHAnsi"/>
        </w:rPr>
        <w:t>Not available due to high relative standard errors.</w:t>
      </w:r>
    </w:p>
    <w:p w14:paraId="24925678" w14:textId="77777777" w:rsidR="00961617" w:rsidRPr="002F5864" w:rsidRDefault="00961617" w:rsidP="00E13B5E">
      <w:pPr>
        <w:pStyle w:val="Notes"/>
      </w:pPr>
      <w:r w:rsidRPr="002F5864">
        <w:rPr>
          <w:b/>
        </w:rPr>
        <w:t xml:space="preserve">Note: </w:t>
      </w:r>
      <w:r w:rsidR="00E13B5E">
        <w:rPr>
          <w:b/>
        </w:rPr>
        <w:tab/>
      </w:r>
      <w:r w:rsidRPr="002F5864">
        <w:t>Excludes job seekers living in communities that were subsequently transferred to the Remote Jobs and Communities Programme in July 2013.</w:t>
      </w:r>
    </w:p>
    <w:p w14:paraId="1D0BFE01" w14:textId="77777777" w:rsidR="00961617" w:rsidRPr="002F5864" w:rsidRDefault="00961617" w:rsidP="00E13B5E">
      <w:pPr>
        <w:pStyle w:val="Source"/>
      </w:pPr>
      <w:r w:rsidRPr="002F5864">
        <w:rPr>
          <w:b/>
        </w:rPr>
        <w:t>Source:</w:t>
      </w:r>
      <w:r w:rsidRPr="002F5864">
        <w:t xml:space="preserve"> </w:t>
      </w:r>
      <w:r w:rsidR="00E13B5E">
        <w:tab/>
      </w:r>
      <w:r w:rsidRPr="002F5864">
        <w:t>Department of Employment Post Programme Monitoring Survey.</w:t>
      </w:r>
    </w:p>
    <w:p w14:paraId="701C3FFB"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06CF754D"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a" w:history="1">
        <w:r w:rsidR="004A74AA" w:rsidRPr="004A74AA">
          <w:rPr>
            <w:rStyle w:val="Hyperlink"/>
            <w:rFonts w:cstheme="minorHAnsi"/>
            <w:sz w:val="18"/>
            <w:szCs w:val="18"/>
          </w:rPr>
          <w:t>Return to Figure 3.2</w:t>
        </w:r>
      </w:hyperlink>
      <w:r w:rsidR="004A74AA" w:rsidRPr="002F5864">
        <w:rPr>
          <w:rFonts w:cstheme="minorHAnsi"/>
          <w:sz w:val="18"/>
          <w:szCs w:val="18"/>
        </w:rPr>
        <w:t xml:space="preserve"> where this data is referenced</w:t>
      </w:r>
      <w:r w:rsidR="004A74AA">
        <w:rPr>
          <w:rFonts w:cstheme="minorHAnsi"/>
          <w:sz w:val="18"/>
          <w:szCs w:val="18"/>
        </w:rPr>
        <w:t>.</w:t>
      </w:r>
    </w:p>
    <w:p w14:paraId="5FD3BADA"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b" w:history="1">
        <w:r w:rsidR="004A74AA" w:rsidRPr="004A74AA">
          <w:rPr>
            <w:rStyle w:val="Hyperlink"/>
            <w:rFonts w:cstheme="minorHAnsi"/>
            <w:sz w:val="18"/>
            <w:szCs w:val="18"/>
          </w:rPr>
          <w:t>Return to Figure 3.3</w:t>
        </w:r>
      </w:hyperlink>
      <w:r w:rsidR="004A74AA" w:rsidRPr="002F5864">
        <w:rPr>
          <w:rFonts w:cstheme="minorHAnsi"/>
          <w:sz w:val="18"/>
          <w:szCs w:val="18"/>
        </w:rPr>
        <w:t xml:space="preserve"> where this data is referenced</w:t>
      </w:r>
      <w:r w:rsidR="004A74AA">
        <w:rPr>
          <w:rFonts w:cstheme="minorHAnsi"/>
          <w:sz w:val="18"/>
          <w:szCs w:val="18"/>
        </w:rPr>
        <w:t>.</w:t>
      </w:r>
    </w:p>
    <w:p w14:paraId="58B419A8" w14:textId="77777777" w:rsidR="004A74AA" w:rsidRPr="002F5864" w:rsidRDefault="00864C5E" w:rsidP="004A74AA">
      <w:pPr>
        <w:pStyle w:val="ListParagraph"/>
        <w:keepNext/>
        <w:keepLines/>
        <w:numPr>
          <w:ilvl w:val="0"/>
          <w:numId w:val="95"/>
        </w:numPr>
        <w:spacing w:line="240" w:lineRule="auto"/>
        <w:rPr>
          <w:rFonts w:cstheme="minorHAnsi"/>
          <w:b/>
          <w:sz w:val="18"/>
          <w:szCs w:val="20"/>
        </w:rPr>
      </w:pPr>
      <w:hyperlink w:anchor="Place_A23c" w:history="1">
        <w:r w:rsidR="004A74AA" w:rsidRPr="004A74AA">
          <w:rPr>
            <w:rStyle w:val="Hyperlink"/>
            <w:rFonts w:cstheme="minorHAnsi"/>
            <w:sz w:val="18"/>
            <w:szCs w:val="18"/>
          </w:rPr>
          <w:t>Return to Figure 3.4</w:t>
        </w:r>
      </w:hyperlink>
      <w:r w:rsidR="004A74AA" w:rsidRPr="002F5864">
        <w:rPr>
          <w:rFonts w:cstheme="minorHAnsi"/>
          <w:sz w:val="18"/>
          <w:szCs w:val="18"/>
        </w:rPr>
        <w:t xml:space="preserve"> where this data is referenced.</w:t>
      </w:r>
    </w:p>
    <w:p w14:paraId="1049216B" w14:textId="77777777" w:rsidR="00961617" w:rsidRPr="002F5864" w:rsidRDefault="00961617" w:rsidP="00961617">
      <w:pPr>
        <w:rPr>
          <w:rFonts w:eastAsiaTheme="majorEastAsia" w:cstheme="minorHAnsi"/>
        </w:rPr>
      </w:pPr>
      <w:r w:rsidRPr="002F5864">
        <w:rPr>
          <w:rFonts w:eastAsiaTheme="majorEastAsia" w:cstheme="minorHAnsi"/>
        </w:rPr>
        <w:br w:type="page"/>
      </w:r>
    </w:p>
    <w:p w14:paraId="6093C21D" w14:textId="77777777" w:rsidR="00961617" w:rsidRPr="002F5864" w:rsidRDefault="00961617" w:rsidP="00961617">
      <w:pPr>
        <w:pStyle w:val="TableheadingforappendixA1"/>
        <w:rPr>
          <w:rFonts w:cstheme="minorHAnsi"/>
        </w:rPr>
      </w:pPr>
      <w:bookmarkStart w:id="627" w:name="_Toc513129899"/>
      <w:bookmarkEnd w:id="622"/>
      <w:bookmarkEnd w:id="623"/>
      <w:bookmarkEnd w:id="624"/>
      <w:r w:rsidRPr="002F5864">
        <w:rPr>
          <w:rFonts w:cstheme="minorHAnsi"/>
        </w:rPr>
        <w:t>Table A2.6: Income support status rates and average marginal effect (AME) estimates for the predicted probability of income support status 12 months after registration date, JSA 2012 compared with JSA 2009</w:t>
      </w:r>
      <w:bookmarkEnd w:id="627"/>
      <w:r w:rsidRPr="002F5864">
        <w:rPr>
          <w:rFonts w:cstheme="minorHAnsi"/>
        </w:rPr>
        <w:t xml:space="preserve"> </w:t>
      </w:r>
    </w:p>
    <w:tbl>
      <w:tblPr>
        <w:tblW w:w="14598" w:type="dxa"/>
        <w:tblInd w:w="93" w:type="dxa"/>
        <w:tblLook w:val="04A0" w:firstRow="1" w:lastRow="0" w:firstColumn="1" w:lastColumn="0" w:noHBand="0" w:noVBand="1"/>
      </w:tblPr>
      <w:tblGrid>
        <w:gridCol w:w="5118"/>
        <w:gridCol w:w="1580"/>
        <w:gridCol w:w="1580"/>
        <w:gridCol w:w="1580"/>
        <w:gridCol w:w="1580"/>
        <w:gridCol w:w="1580"/>
        <w:gridCol w:w="1580"/>
      </w:tblGrid>
      <w:tr w:rsidR="00961617" w:rsidRPr="00545C7F" w14:paraId="28C1337C" w14:textId="77777777" w:rsidTr="0020771F">
        <w:trPr>
          <w:trHeight w:val="864"/>
          <w:tblHeader/>
        </w:trPr>
        <w:tc>
          <w:tcPr>
            <w:tcW w:w="5118" w:type="dxa"/>
            <w:shd w:val="clear" w:color="auto" w:fill="1E3D6B"/>
            <w:noWrap/>
            <w:hideMark/>
          </w:tcPr>
          <w:p w14:paraId="1F8AADE0" w14:textId="77777777" w:rsidR="00961617" w:rsidRPr="00545C7F" w:rsidRDefault="00961617" w:rsidP="0020771F">
            <w:pPr>
              <w:spacing w:after="0" w:line="240" w:lineRule="auto"/>
              <w:rPr>
                <w:rFonts w:eastAsia="Times New Roman" w:cstheme="minorHAnsi"/>
                <w:b/>
                <w:color w:val="FFFFFF" w:themeColor="background2"/>
                <w:sz w:val="20"/>
                <w:szCs w:val="20"/>
                <w:lang w:eastAsia="en-AU"/>
              </w:rPr>
            </w:pPr>
            <w:bookmarkStart w:id="628" w:name="Title_A26"/>
            <w:bookmarkEnd w:id="628"/>
            <w:r w:rsidRPr="00545C7F">
              <w:rPr>
                <w:rFonts w:eastAsia="Times New Roman" w:cstheme="minorHAnsi"/>
                <w:b/>
                <w:color w:val="FFFFFF" w:themeColor="background2"/>
                <w:sz w:val="20"/>
                <w:szCs w:val="20"/>
                <w:lang w:eastAsia="en-AU"/>
              </w:rPr>
              <w:t>Job seeker characteristics</w:t>
            </w:r>
          </w:p>
        </w:tc>
        <w:tc>
          <w:tcPr>
            <w:tcW w:w="1580" w:type="dxa"/>
            <w:shd w:val="clear" w:color="auto" w:fill="1E3D6B"/>
            <w:hideMark/>
          </w:tcPr>
          <w:p w14:paraId="263D2DF6"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OFF </w:t>
            </w:r>
            <w:r w:rsidRPr="00545C7F">
              <w:rPr>
                <w:rFonts w:eastAsia="Times New Roman" w:cstheme="minorHAnsi"/>
                <w:b/>
                <w:color w:val="FFFFFF" w:themeColor="background2"/>
                <w:sz w:val="20"/>
                <w:szCs w:val="20"/>
                <w:lang w:eastAsia="en-AU"/>
              </w:rPr>
              <w:br/>
              <w:t>Observed</w:t>
            </w:r>
            <w:r w:rsidRPr="00545C7F">
              <w:rPr>
                <w:rFonts w:eastAsia="Times New Roman" w:cstheme="minorHAnsi"/>
                <w:b/>
                <w:color w:val="FFFFFF" w:themeColor="background2"/>
                <w:sz w:val="20"/>
                <w:szCs w:val="20"/>
                <w:lang w:eastAsia="en-AU"/>
              </w:rPr>
              <w:br/>
              <w:t xml:space="preserve"> (%)</w:t>
            </w:r>
          </w:p>
        </w:tc>
        <w:tc>
          <w:tcPr>
            <w:tcW w:w="1580" w:type="dxa"/>
            <w:shd w:val="clear" w:color="auto" w:fill="1E3D6B"/>
            <w:hideMark/>
          </w:tcPr>
          <w:p w14:paraId="14190A11"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OFF </w:t>
            </w:r>
            <w:r w:rsidRPr="00545C7F">
              <w:rPr>
                <w:rFonts w:eastAsia="Times New Roman" w:cstheme="minorHAnsi"/>
                <w:b/>
                <w:color w:val="FFFFFF" w:themeColor="background2"/>
                <w:sz w:val="20"/>
                <w:szCs w:val="20"/>
                <w:lang w:eastAsia="en-AU"/>
              </w:rPr>
              <w:br/>
              <w:t>AME estimate (ppt)</w:t>
            </w:r>
          </w:p>
        </w:tc>
        <w:tc>
          <w:tcPr>
            <w:tcW w:w="1580" w:type="dxa"/>
            <w:shd w:val="clear" w:color="auto" w:fill="1E3D6B"/>
            <w:hideMark/>
          </w:tcPr>
          <w:p w14:paraId="1FA3DD88"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PARTIAL Observed </w:t>
            </w:r>
            <w:r w:rsidRPr="00545C7F">
              <w:rPr>
                <w:rFonts w:eastAsia="Times New Roman" w:cstheme="minorHAnsi"/>
                <w:b/>
                <w:color w:val="FFFFFF" w:themeColor="background2"/>
                <w:sz w:val="20"/>
                <w:szCs w:val="20"/>
                <w:lang w:eastAsia="en-AU"/>
              </w:rPr>
              <w:br/>
              <w:t>(%)</w:t>
            </w:r>
          </w:p>
        </w:tc>
        <w:tc>
          <w:tcPr>
            <w:tcW w:w="1580" w:type="dxa"/>
            <w:shd w:val="clear" w:color="auto" w:fill="1E3D6B"/>
            <w:hideMark/>
          </w:tcPr>
          <w:p w14:paraId="6C767C73"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PARTIAL </w:t>
            </w:r>
            <w:r w:rsidRPr="00545C7F">
              <w:rPr>
                <w:rFonts w:eastAsia="Times New Roman" w:cstheme="minorHAnsi"/>
                <w:b/>
                <w:color w:val="FFFFFF" w:themeColor="background2"/>
                <w:sz w:val="20"/>
                <w:szCs w:val="20"/>
                <w:lang w:eastAsia="en-AU"/>
              </w:rPr>
              <w:br/>
              <w:t>AME estimate (ppt)</w:t>
            </w:r>
          </w:p>
        </w:tc>
        <w:tc>
          <w:tcPr>
            <w:tcW w:w="1580" w:type="dxa"/>
            <w:shd w:val="clear" w:color="auto" w:fill="1E3D6B"/>
            <w:hideMark/>
          </w:tcPr>
          <w:p w14:paraId="18914403"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FULL </w:t>
            </w:r>
            <w:r w:rsidRPr="00545C7F">
              <w:rPr>
                <w:rFonts w:eastAsia="Times New Roman" w:cstheme="minorHAnsi"/>
                <w:b/>
                <w:color w:val="FFFFFF" w:themeColor="background2"/>
                <w:sz w:val="20"/>
                <w:szCs w:val="20"/>
                <w:lang w:eastAsia="en-AU"/>
              </w:rPr>
              <w:br/>
              <w:t xml:space="preserve">Observed </w:t>
            </w:r>
            <w:r w:rsidRPr="00545C7F">
              <w:rPr>
                <w:rFonts w:eastAsia="Times New Roman" w:cstheme="minorHAnsi"/>
                <w:b/>
                <w:color w:val="FFFFFF" w:themeColor="background2"/>
                <w:sz w:val="20"/>
                <w:szCs w:val="20"/>
                <w:lang w:eastAsia="en-AU"/>
              </w:rPr>
              <w:br/>
              <w:t>(%)</w:t>
            </w:r>
          </w:p>
        </w:tc>
        <w:tc>
          <w:tcPr>
            <w:tcW w:w="1580" w:type="dxa"/>
            <w:shd w:val="clear" w:color="auto" w:fill="1E3D6B"/>
            <w:hideMark/>
          </w:tcPr>
          <w:p w14:paraId="17EAE0DD"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 xml:space="preserve">FULL </w:t>
            </w:r>
            <w:r w:rsidRPr="00545C7F">
              <w:rPr>
                <w:rFonts w:eastAsia="Times New Roman" w:cstheme="minorHAnsi"/>
                <w:b/>
                <w:color w:val="FFFFFF" w:themeColor="background2"/>
                <w:sz w:val="20"/>
                <w:szCs w:val="20"/>
                <w:lang w:eastAsia="en-AU"/>
              </w:rPr>
              <w:br/>
              <w:t xml:space="preserve"> AME estimate (ppt)</w:t>
            </w:r>
          </w:p>
        </w:tc>
      </w:tr>
      <w:tr w:rsidR="00961617" w:rsidRPr="00545C7F" w14:paraId="2BAB3D7D" w14:textId="77777777" w:rsidTr="0020771F">
        <w:trPr>
          <w:trHeight w:val="288"/>
        </w:trPr>
        <w:tc>
          <w:tcPr>
            <w:tcW w:w="5118" w:type="dxa"/>
            <w:tcBorders>
              <w:top w:val="nil"/>
            </w:tcBorders>
            <w:shd w:val="clear" w:color="auto" w:fill="FFFFFF" w:themeFill="background2"/>
            <w:vAlign w:val="center"/>
            <w:hideMark/>
          </w:tcPr>
          <w:p w14:paraId="16E0F48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Total Streams 1 to 4</w:t>
            </w:r>
          </w:p>
        </w:tc>
        <w:tc>
          <w:tcPr>
            <w:tcW w:w="1580" w:type="dxa"/>
            <w:tcBorders>
              <w:top w:val="nil"/>
            </w:tcBorders>
            <w:shd w:val="clear" w:color="auto" w:fill="FFFFFF" w:themeFill="background2"/>
            <w:noWrap/>
            <w:vAlign w:val="center"/>
            <w:hideMark/>
          </w:tcPr>
          <w:p w14:paraId="4F12197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55.8</w:t>
            </w:r>
          </w:p>
        </w:tc>
        <w:tc>
          <w:tcPr>
            <w:tcW w:w="1580" w:type="dxa"/>
            <w:tcBorders>
              <w:top w:val="nil"/>
            </w:tcBorders>
            <w:shd w:val="clear" w:color="auto" w:fill="FFFFFF" w:themeFill="background2"/>
            <w:noWrap/>
            <w:vAlign w:val="center"/>
            <w:hideMark/>
          </w:tcPr>
          <w:p w14:paraId="0467C11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580" w:type="dxa"/>
            <w:tcBorders>
              <w:top w:val="nil"/>
            </w:tcBorders>
            <w:shd w:val="clear" w:color="auto" w:fill="FFFFFF" w:themeFill="background2"/>
            <w:noWrap/>
            <w:vAlign w:val="center"/>
            <w:hideMark/>
          </w:tcPr>
          <w:p w14:paraId="1B66BD6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12.3</w:t>
            </w:r>
          </w:p>
        </w:tc>
        <w:tc>
          <w:tcPr>
            <w:tcW w:w="1580" w:type="dxa"/>
            <w:tcBorders>
              <w:top w:val="nil"/>
            </w:tcBorders>
            <w:shd w:val="clear" w:color="auto" w:fill="FFFFFF" w:themeFill="background2"/>
            <w:noWrap/>
            <w:vAlign w:val="center"/>
            <w:hideMark/>
          </w:tcPr>
          <w:p w14:paraId="4F7C3D6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p>
        </w:tc>
        <w:tc>
          <w:tcPr>
            <w:tcW w:w="1580" w:type="dxa"/>
            <w:tcBorders>
              <w:top w:val="nil"/>
            </w:tcBorders>
            <w:shd w:val="clear" w:color="auto" w:fill="FFFFFF" w:themeFill="background2"/>
            <w:noWrap/>
            <w:vAlign w:val="center"/>
            <w:hideMark/>
          </w:tcPr>
          <w:p w14:paraId="6C4B97D7"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31.9</w:t>
            </w:r>
          </w:p>
        </w:tc>
        <w:tc>
          <w:tcPr>
            <w:tcW w:w="1580" w:type="dxa"/>
            <w:tcBorders>
              <w:top w:val="nil"/>
            </w:tcBorders>
            <w:shd w:val="clear" w:color="auto" w:fill="FFFFFF" w:themeFill="background2"/>
            <w:noWrap/>
            <w:vAlign w:val="center"/>
            <w:hideMark/>
          </w:tcPr>
          <w:p w14:paraId="2B0CF8A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w:t>
            </w:r>
          </w:p>
        </w:tc>
      </w:tr>
      <w:tr w:rsidR="00961617" w:rsidRPr="00545C7F" w14:paraId="185136CE" w14:textId="77777777" w:rsidTr="0020771F">
        <w:trPr>
          <w:trHeight w:val="288"/>
        </w:trPr>
        <w:tc>
          <w:tcPr>
            <w:tcW w:w="5118" w:type="dxa"/>
            <w:tcBorders>
              <w:top w:val="nil"/>
            </w:tcBorders>
            <w:shd w:val="clear" w:color="auto" w:fill="E5E5E5" w:themeFill="background1" w:themeFillTint="33"/>
            <w:vAlign w:val="center"/>
            <w:hideMark/>
          </w:tcPr>
          <w:p w14:paraId="6362A7B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Stream 1</w:t>
            </w:r>
          </w:p>
        </w:tc>
        <w:tc>
          <w:tcPr>
            <w:tcW w:w="1580" w:type="dxa"/>
            <w:tcBorders>
              <w:top w:val="nil"/>
            </w:tcBorders>
            <w:shd w:val="clear" w:color="auto" w:fill="E5E5E5" w:themeFill="background1" w:themeFillTint="33"/>
            <w:noWrap/>
            <w:vAlign w:val="center"/>
            <w:hideMark/>
          </w:tcPr>
          <w:p w14:paraId="5AC835D9"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61.7</w:t>
            </w:r>
          </w:p>
        </w:tc>
        <w:tc>
          <w:tcPr>
            <w:tcW w:w="1580" w:type="dxa"/>
            <w:tcBorders>
              <w:top w:val="nil"/>
            </w:tcBorders>
            <w:shd w:val="clear" w:color="auto" w:fill="E5E5E5" w:themeFill="background1" w:themeFillTint="33"/>
            <w:noWrap/>
            <w:vAlign w:val="center"/>
            <w:hideMark/>
          </w:tcPr>
          <w:p w14:paraId="4DC6AC0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w:t>
            </w:r>
          </w:p>
        </w:tc>
        <w:tc>
          <w:tcPr>
            <w:tcW w:w="1580" w:type="dxa"/>
            <w:tcBorders>
              <w:top w:val="nil"/>
            </w:tcBorders>
            <w:shd w:val="clear" w:color="auto" w:fill="E5E5E5" w:themeFill="background1" w:themeFillTint="33"/>
            <w:noWrap/>
            <w:vAlign w:val="center"/>
            <w:hideMark/>
          </w:tcPr>
          <w:p w14:paraId="59C2A5D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10.9</w:t>
            </w:r>
          </w:p>
        </w:tc>
        <w:tc>
          <w:tcPr>
            <w:tcW w:w="1580" w:type="dxa"/>
            <w:tcBorders>
              <w:top w:val="nil"/>
            </w:tcBorders>
            <w:shd w:val="clear" w:color="auto" w:fill="E5E5E5" w:themeFill="background1" w:themeFillTint="33"/>
            <w:noWrap/>
            <w:vAlign w:val="center"/>
            <w:hideMark/>
          </w:tcPr>
          <w:p w14:paraId="1B6026E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tcBorders>
              <w:top w:val="nil"/>
            </w:tcBorders>
            <w:shd w:val="clear" w:color="auto" w:fill="E5E5E5" w:themeFill="background1" w:themeFillTint="33"/>
            <w:noWrap/>
            <w:vAlign w:val="center"/>
            <w:hideMark/>
          </w:tcPr>
          <w:p w14:paraId="52C06B6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27.4</w:t>
            </w:r>
          </w:p>
        </w:tc>
        <w:tc>
          <w:tcPr>
            <w:tcW w:w="1580" w:type="dxa"/>
            <w:tcBorders>
              <w:top w:val="nil"/>
            </w:tcBorders>
            <w:shd w:val="clear" w:color="auto" w:fill="E5E5E5" w:themeFill="background1" w:themeFillTint="33"/>
            <w:noWrap/>
            <w:vAlign w:val="center"/>
            <w:hideMark/>
          </w:tcPr>
          <w:p w14:paraId="3AE5AE0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r>
      <w:tr w:rsidR="00961617" w:rsidRPr="00545C7F" w14:paraId="6E3B2C7D" w14:textId="77777777" w:rsidTr="0020771F">
        <w:trPr>
          <w:trHeight w:val="288"/>
        </w:trPr>
        <w:tc>
          <w:tcPr>
            <w:tcW w:w="5118" w:type="dxa"/>
            <w:tcBorders>
              <w:top w:val="nil"/>
            </w:tcBorders>
            <w:shd w:val="clear" w:color="auto" w:fill="FFFFFF" w:themeFill="background2"/>
            <w:vAlign w:val="center"/>
            <w:hideMark/>
          </w:tcPr>
          <w:p w14:paraId="7EB0398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Stream 2</w:t>
            </w:r>
          </w:p>
        </w:tc>
        <w:tc>
          <w:tcPr>
            <w:tcW w:w="1580" w:type="dxa"/>
            <w:tcBorders>
              <w:top w:val="nil"/>
            </w:tcBorders>
            <w:shd w:val="clear" w:color="auto" w:fill="FFFFFF" w:themeFill="background2"/>
            <w:noWrap/>
            <w:vAlign w:val="center"/>
            <w:hideMark/>
          </w:tcPr>
          <w:p w14:paraId="499BCED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38.8</w:t>
            </w:r>
          </w:p>
        </w:tc>
        <w:tc>
          <w:tcPr>
            <w:tcW w:w="1580" w:type="dxa"/>
            <w:tcBorders>
              <w:top w:val="nil"/>
            </w:tcBorders>
            <w:shd w:val="clear" w:color="auto" w:fill="FFFFFF" w:themeFill="background2"/>
            <w:noWrap/>
            <w:vAlign w:val="center"/>
            <w:hideMark/>
          </w:tcPr>
          <w:p w14:paraId="795A6C4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w:t>
            </w:r>
          </w:p>
        </w:tc>
        <w:tc>
          <w:tcPr>
            <w:tcW w:w="1580" w:type="dxa"/>
            <w:tcBorders>
              <w:top w:val="nil"/>
            </w:tcBorders>
            <w:shd w:val="clear" w:color="auto" w:fill="FFFFFF" w:themeFill="background2"/>
            <w:noWrap/>
            <w:vAlign w:val="center"/>
            <w:hideMark/>
          </w:tcPr>
          <w:p w14:paraId="1CFA15F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18.3</w:t>
            </w:r>
          </w:p>
        </w:tc>
        <w:tc>
          <w:tcPr>
            <w:tcW w:w="1580" w:type="dxa"/>
            <w:tcBorders>
              <w:top w:val="nil"/>
            </w:tcBorders>
            <w:shd w:val="clear" w:color="auto" w:fill="FFFFFF" w:themeFill="background2"/>
            <w:noWrap/>
            <w:vAlign w:val="center"/>
            <w:hideMark/>
          </w:tcPr>
          <w:p w14:paraId="4129D44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tcBorders>
              <w:top w:val="nil"/>
            </w:tcBorders>
            <w:shd w:val="clear" w:color="auto" w:fill="FFFFFF" w:themeFill="background2"/>
            <w:noWrap/>
            <w:vAlign w:val="center"/>
            <w:hideMark/>
          </w:tcPr>
          <w:p w14:paraId="7CC1E4C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42.8</w:t>
            </w:r>
          </w:p>
        </w:tc>
        <w:tc>
          <w:tcPr>
            <w:tcW w:w="1580" w:type="dxa"/>
            <w:tcBorders>
              <w:top w:val="nil"/>
            </w:tcBorders>
            <w:shd w:val="clear" w:color="auto" w:fill="FFFFFF" w:themeFill="background2"/>
            <w:noWrap/>
            <w:vAlign w:val="center"/>
            <w:hideMark/>
          </w:tcPr>
          <w:p w14:paraId="3571EA6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r>
      <w:tr w:rsidR="00961617" w:rsidRPr="00545C7F" w14:paraId="735E601C" w14:textId="77777777" w:rsidTr="0020771F">
        <w:trPr>
          <w:trHeight w:val="288"/>
        </w:trPr>
        <w:tc>
          <w:tcPr>
            <w:tcW w:w="5118" w:type="dxa"/>
            <w:tcBorders>
              <w:top w:val="nil"/>
            </w:tcBorders>
            <w:shd w:val="clear" w:color="auto" w:fill="E5E5E5" w:themeFill="background1" w:themeFillTint="33"/>
            <w:vAlign w:val="center"/>
            <w:hideMark/>
          </w:tcPr>
          <w:p w14:paraId="6F26AFE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Stream 3</w:t>
            </w:r>
          </w:p>
        </w:tc>
        <w:tc>
          <w:tcPr>
            <w:tcW w:w="1580" w:type="dxa"/>
            <w:tcBorders>
              <w:top w:val="nil"/>
            </w:tcBorders>
            <w:shd w:val="clear" w:color="auto" w:fill="E5E5E5" w:themeFill="background1" w:themeFillTint="33"/>
            <w:noWrap/>
            <w:vAlign w:val="center"/>
            <w:hideMark/>
          </w:tcPr>
          <w:p w14:paraId="3A36C10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19.3</w:t>
            </w:r>
          </w:p>
        </w:tc>
        <w:tc>
          <w:tcPr>
            <w:tcW w:w="1580" w:type="dxa"/>
            <w:tcBorders>
              <w:top w:val="nil"/>
            </w:tcBorders>
            <w:shd w:val="clear" w:color="auto" w:fill="E5E5E5" w:themeFill="background1" w:themeFillTint="33"/>
            <w:noWrap/>
            <w:vAlign w:val="center"/>
            <w:hideMark/>
          </w:tcPr>
          <w:p w14:paraId="6198057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580" w:type="dxa"/>
            <w:tcBorders>
              <w:top w:val="nil"/>
            </w:tcBorders>
            <w:shd w:val="clear" w:color="auto" w:fill="E5E5E5" w:themeFill="background1" w:themeFillTint="33"/>
            <w:noWrap/>
            <w:vAlign w:val="center"/>
            <w:hideMark/>
          </w:tcPr>
          <w:p w14:paraId="201714A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19.4</w:t>
            </w:r>
          </w:p>
        </w:tc>
        <w:tc>
          <w:tcPr>
            <w:tcW w:w="1580" w:type="dxa"/>
            <w:tcBorders>
              <w:top w:val="nil"/>
            </w:tcBorders>
            <w:shd w:val="clear" w:color="auto" w:fill="E5E5E5" w:themeFill="background1" w:themeFillTint="33"/>
            <w:noWrap/>
            <w:vAlign w:val="center"/>
            <w:hideMark/>
          </w:tcPr>
          <w:p w14:paraId="308023C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580" w:type="dxa"/>
            <w:tcBorders>
              <w:top w:val="nil"/>
            </w:tcBorders>
            <w:shd w:val="clear" w:color="auto" w:fill="E5E5E5" w:themeFill="background1" w:themeFillTint="33"/>
            <w:noWrap/>
            <w:vAlign w:val="center"/>
            <w:hideMark/>
          </w:tcPr>
          <w:p w14:paraId="3EE8A23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61.3</w:t>
            </w:r>
          </w:p>
        </w:tc>
        <w:tc>
          <w:tcPr>
            <w:tcW w:w="1580" w:type="dxa"/>
            <w:tcBorders>
              <w:top w:val="nil"/>
            </w:tcBorders>
            <w:shd w:val="clear" w:color="auto" w:fill="E5E5E5" w:themeFill="background1" w:themeFillTint="33"/>
            <w:noWrap/>
            <w:vAlign w:val="center"/>
            <w:hideMark/>
          </w:tcPr>
          <w:p w14:paraId="7DA30E09"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r>
      <w:tr w:rsidR="00961617" w:rsidRPr="00545C7F" w14:paraId="215E0CF8" w14:textId="77777777" w:rsidTr="0020771F">
        <w:trPr>
          <w:trHeight w:val="288"/>
        </w:trPr>
        <w:tc>
          <w:tcPr>
            <w:tcW w:w="5118" w:type="dxa"/>
            <w:tcBorders>
              <w:top w:val="nil"/>
            </w:tcBorders>
            <w:shd w:val="clear" w:color="auto" w:fill="FFFFFF" w:themeFill="background2"/>
            <w:vAlign w:val="center"/>
            <w:hideMark/>
          </w:tcPr>
          <w:p w14:paraId="069A014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Stream 4</w:t>
            </w:r>
          </w:p>
        </w:tc>
        <w:tc>
          <w:tcPr>
            <w:tcW w:w="1580" w:type="dxa"/>
            <w:tcBorders>
              <w:top w:val="nil"/>
            </w:tcBorders>
            <w:shd w:val="clear" w:color="auto" w:fill="FFFFFF" w:themeFill="background2"/>
            <w:noWrap/>
            <w:vAlign w:val="center"/>
            <w:hideMark/>
          </w:tcPr>
          <w:p w14:paraId="5D305C1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33.5</w:t>
            </w:r>
          </w:p>
        </w:tc>
        <w:tc>
          <w:tcPr>
            <w:tcW w:w="1580" w:type="dxa"/>
            <w:tcBorders>
              <w:top w:val="nil"/>
            </w:tcBorders>
            <w:shd w:val="clear" w:color="auto" w:fill="FFFFFF" w:themeFill="background2"/>
            <w:noWrap/>
            <w:vAlign w:val="center"/>
            <w:hideMark/>
          </w:tcPr>
          <w:p w14:paraId="234A6B0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580" w:type="dxa"/>
            <w:tcBorders>
              <w:top w:val="nil"/>
            </w:tcBorders>
            <w:shd w:val="clear" w:color="auto" w:fill="FFFFFF" w:themeFill="background2"/>
            <w:noWrap/>
            <w:vAlign w:val="center"/>
            <w:hideMark/>
          </w:tcPr>
          <w:p w14:paraId="78F9932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w:t>
            </w:r>
          </w:p>
        </w:tc>
        <w:tc>
          <w:tcPr>
            <w:tcW w:w="1580" w:type="dxa"/>
            <w:tcBorders>
              <w:top w:val="nil"/>
            </w:tcBorders>
            <w:shd w:val="clear" w:color="auto" w:fill="FFFFFF" w:themeFill="background2"/>
            <w:noWrap/>
            <w:vAlign w:val="center"/>
            <w:hideMark/>
          </w:tcPr>
          <w:p w14:paraId="198E6F2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FFFFFF" w:themeFill="background2"/>
            <w:noWrap/>
            <w:vAlign w:val="center"/>
            <w:hideMark/>
          </w:tcPr>
          <w:p w14:paraId="084AB89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w:t>
            </w:r>
          </w:p>
        </w:tc>
        <w:tc>
          <w:tcPr>
            <w:tcW w:w="1580" w:type="dxa"/>
            <w:tcBorders>
              <w:top w:val="nil"/>
            </w:tcBorders>
            <w:shd w:val="clear" w:color="auto" w:fill="FFFFFF" w:themeFill="background2"/>
            <w:noWrap/>
            <w:vAlign w:val="center"/>
            <w:hideMark/>
          </w:tcPr>
          <w:p w14:paraId="3597F35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r>
      <w:tr w:rsidR="00961617" w:rsidRPr="00545C7F" w14:paraId="3D072B00" w14:textId="77777777" w:rsidTr="0020771F">
        <w:trPr>
          <w:trHeight w:val="288"/>
        </w:trPr>
        <w:tc>
          <w:tcPr>
            <w:tcW w:w="5118" w:type="dxa"/>
            <w:shd w:val="clear" w:color="auto" w:fill="E5E5E5" w:themeFill="background1" w:themeFillTint="33"/>
            <w:vAlign w:val="center"/>
            <w:hideMark/>
          </w:tcPr>
          <w:p w14:paraId="302455D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 total</w:t>
            </w:r>
          </w:p>
        </w:tc>
        <w:tc>
          <w:tcPr>
            <w:tcW w:w="1580" w:type="dxa"/>
            <w:shd w:val="clear" w:color="auto" w:fill="E5E5E5" w:themeFill="background1" w:themeFillTint="33"/>
            <w:noWrap/>
            <w:vAlign w:val="center"/>
            <w:hideMark/>
          </w:tcPr>
          <w:p w14:paraId="7CFD16F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43.5</w:t>
            </w:r>
          </w:p>
        </w:tc>
        <w:tc>
          <w:tcPr>
            <w:tcW w:w="1580" w:type="dxa"/>
            <w:shd w:val="clear" w:color="auto" w:fill="E5E5E5" w:themeFill="background1" w:themeFillTint="33"/>
            <w:noWrap/>
            <w:vAlign w:val="center"/>
            <w:hideMark/>
          </w:tcPr>
          <w:p w14:paraId="14667B4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w:t>
            </w:r>
          </w:p>
        </w:tc>
        <w:tc>
          <w:tcPr>
            <w:tcW w:w="1580" w:type="dxa"/>
            <w:shd w:val="clear" w:color="auto" w:fill="E5E5E5" w:themeFill="background1" w:themeFillTint="33"/>
            <w:noWrap/>
            <w:vAlign w:val="center"/>
            <w:hideMark/>
          </w:tcPr>
          <w:p w14:paraId="3A94880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c>
          <w:tcPr>
            <w:tcW w:w="1580" w:type="dxa"/>
            <w:shd w:val="clear" w:color="auto" w:fill="E5E5E5" w:themeFill="background1" w:themeFillTint="33"/>
            <w:noWrap/>
            <w:vAlign w:val="center"/>
            <w:hideMark/>
          </w:tcPr>
          <w:p w14:paraId="6F33F6B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w:t>
            </w:r>
          </w:p>
        </w:tc>
        <w:tc>
          <w:tcPr>
            <w:tcW w:w="1580" w:type="dxa"/>
            <w:shd w:val="clear" w:color="auto" w:fill="E5E5E5" w:themeFill="background1" w:themeFillTint="33"/>
            <w:noWrap/>
            <w:vAlign w:val="center"/>
            <w:hideMark/>
          </w:tcPr>
          <w:p w14:paraId="378DD4AE"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w:t>
            </w:r>
          </w:p>
        </w:tc>
        <w:tc>
          <w:tcPr>
            <w:tcW w:w="1580" w:type="dxa"/>
            <w:shd w:val="clear" w:color="auto" w:fill="E5E5E5" w:themeFill="background1" w:themeFillTint="33"/>
            <w:noWrap/>
            <w:vAlign w:val="center"/>
            <w:hideMark/>
          </w:tcPr>
          <w:p w14:paraId="5724E23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r>
      <w:tr w:rsidR="00961617" w:rsidRPr="00545C7F" w14:paraId="789699F7" w14:textId="77777777" w:rsidTr="0020771F">
        <w:trPr>
          <w:trHeight w:val="288"/>
        </w:trPr>
        <w:tc>
          <w:tcPr>
            <w:tcW w:w="5118" w:type="dxa"/>
            <w:tcBorders>
              <w:top w:val="nil"/>
            </w:tcBorders>
            <w:shd w:val="clear" w:color="auto" w:fill="FFFFFF" w:themeFill="background2"/>
            <w:vAlign w:val="center"/>
            <w:hideMark/>
          </w:tcPr>
          <w:p w14:paraId="570982B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 Stream 1</w:t>
            </w:r>
          </w:p>
        </w:tc>
        <w:tc>
          <w:tcPr>
            <w:tcW w:w="1580" w:type="dxa"/>
            <w:tcBorders>
              <w:top w:val="nil"/>
            </w:tcBorders>
            <w:shd w:val="clear" w:color="auto" w:fill="FFFFFF" w:themeFill="background2"/>
            <w:noWrap/>
            <w:vAlign w:val="center"/>
            <w:hideMark/>
          </w:tcPr>
          <w:p w14:paraId="22E910B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58.9</w:t>
            </w:r>
          </w:p>
        </w:tc>
        <w:tc>
          <w:tcPr>
            <w:tcW w:w="1580" w:type="dxa"/>
            <w:tcBorders>
              <w:top w:val="nil"/>
            </w:tcBorders>
            <w:shd w:val="clear" w:color="auto" w:fill="FFFFFF" w:themeFill="background2"/>
            <w:noWrap/>
            <w:vAlign w:val="center"/>
            <w:hideMark/>
          </w:tcPr>
          <w:p w14:paraId="6232C24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580" w:type="dxa"/>
            <w:tcBorders>
              <w:top w:val="nil"/>
            </w:tcBorders>
            <w:shd w:val="clear" w:color="auto" w:fill="FFFFFF" w:themeFill="background2"/>
            <w:noWrap/>
            <w:vAlign w:val="center"/>
            <w:hideMark/>
          </w:tcPr>
          <w:p w14:paraId="5052EA9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tcBorders>
              <w:top w:val="nil"/>
            </w:tcBorders>
            <w:shd w:val="clear" w:color="auto" w:fill="FFFFFF" w:themeFill="background2"/>
            <w:noWrap/>
            <w:vAlign w:val="center"/>
            <w:hideMark/>
          </w:tcPr>
          <w:p w14:paraId="17FD83E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w:t>
            </w:r>
          </w:p>
        </w:tc>
        <w:tc>
          <w:tcPr>
            <w:tcW w:w="1580" w:type="dxa"/>
            <w:tcBorders>
              <w:top w:val="nil"/>
            </w:tcBorders>
            <w:shd w:val="clear" w:color="auto" w:fill="FFFFFF" w:themeFill="background2"/>
            <w:noWrap/>
            <w:vAlign w:val="center"/>
            <w:hideMark/>
          </w:tcPr>
          <w:p w14:paraId="73BB37B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33.6</w:t>
            </w:r>
          </w:p>
        </w:tc>
        <w:tc>
          <w:tcPr>
            <w:tcW w:w="1580" w:type="dxa"/>
            <w:tcBorders>
              <w:top w:val="nil"/>
            </w:tcBorders>
            <w:shd w:val="clear" w:color="auto" w:fill="FFFFFF" w:themeFill="background2"/>
            <w:noWrap/>
            <w:vAlign w:val="center"/>
            <w:hideMark/>
          </w:tcPr>
          <w:p w14:paraId="705499A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r>
      <w:tr w:rsidR="00961617" w:rsidRPr="00545C7F" w14:paraId="1789ACA0" w14:textId="77777777" w:rsidTr="0020771F">
        <w:trPr>
          <w:trHeight w:val="288"/>
        </w:trPr>
        <w:tc>
          <w:tcPr>
            <w:tcW w:w="5118" w:type="dxa"/>
            <w:tcBorders>
              <w:top w:val="nil"/>
            </w:tcBorders>
            <w:shd w:val="clear" w:color="auto" w:fill="E5E5E5" w:themeFill="background1" w:themeFillTint="33"/>
            <w:vAlign w:val="center"/>
            <w:hideMark/>
          </w:tcPr>
          <w:p w14:paraId="449D88E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 Stream 2</w:t>
            </w:r>
          </w:p>
        </w:tc>
        <w:tc>
          <w:tcPr>
            <w:tcW w:w="1580" w:type="dxa"/>
            <w:tcBorders>
              <w:top w:val="nil"/>
            </w:tcBorders>
            <w:shd w:val="clear" w:color="auto" w:fill="E5E5E5" w:themeFill="background1" w:themeFillTint="33"/>
            <w:noWrap/>
            <w:vAlign w:val="center"/>
            <w:hideMark/>
          </w:tcPr>
          <w:p w14:paraId="6A99B63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45.0</w:t>
            </w:r>
          </w:p>
        </w:tc>
        <w:tc>
          <w:tcPr>
            <w:tcW w:w="1580" w:type="dxa"/>
            <w:tcBorders>
              <w:top w:val="nil"/>
            </w:tcBorders>
            <w:shd w:val="clear" w:color="auto" w:fill="E5E5E5" w:themeFill="background1" w:themeFillTint="33"/>
            <w:noWrap/>
            <w:vAlign w:val="center"/>
            <w:hideMark/>
          </w:tcPr>
          <w:p w14:paraId="25F16EC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w:t>
            </w:r>
          </w:p>
        </w:tc>
        <w:tc>
          <w:tcPr>
            <w:tcW w:w="1580" w:type="dxa"/>
            <w:tcBorders>
              <w:top w:val="nil"/>
            </w:tcBorders>
            <w:shd w:val="clear" w:color="auto" w:fill="E5E5E5" w:themeFill="background1" w:themeFillTint="33"/>
            <w:noWrap/>
            <w:vAlign w:val="center"/>
            <w:hideMark/>
          </w:tcPr>
          <w:p w14:paraId="3A344EC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w:t>
            </w:r>
          </w:p>
        </w:tc>
        <w:tc>
          <w:tcPr>
            <w:tcW w:w="1580" w:type="dxa"/>
            <w:tcBorders>
              <w:top w:val="nil"/>
            </w:tcBorders>
            <w:shd w:val="clear" w:color="auto" w:fill="E5E5E5" w:themeFill="background1" w:themeFillTint="33"/>
            <w:noWrap/>
            <w:vAlign w:val="center"/>
            <w:hideMark/>
          </w:tcPr>
          <w:p w14:paraId="03BE9A1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4228F7A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46.4</w:t>
            </w:r>
          </w:p>
        </w:tc>
        <w:tc>
          <w:tcPr>
            <w:tcW w:w="1580" w:type="dxa"/>
            <w:tcBorders>
              <w:top w:val="nil"/>
            </w:tcBorders>
            <w:shd w:val="clear" w:color="auto" w:fill="E5E5E5" w:themeFill="background1" w:themeFillTint="33"/>
            <w:noWrap/>
            <w:vAlign w:val="center"/>
            <w:hideMark/>
          </w:tcPr>
          <w:p w14:paraId="38B1C97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r>
      <w:tr w:rsidR="00961617" w:rsidRPr="00545C7F" w14:paraId="70931294" w14:textId="77777777" w:rsidTr="0020771F">
        <w:trPr>
          <w:trHeight w:val="288"/>
        </w:trPr>
        <w:tc>
          <w:tcPr>
            <w:tcW w:w="5118" w:type="dxa"/>
            <w:tcBorders>
              <w:top w:val="nil"/>
            </w:tcBorders>
            <w:shd w:val="clear" w:color="auto" w:fill="FFFFFF" w:themeFill="background2"/>
            <w:vAlign w:val="center"/>
            <w:hideMark/>
          </w:tcPr>
          <w:p w14:paraId="17B02EE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 Stream 3</w:t>
            </w:r>
          </w:p>
        </w:tc>
        <w:tc>
          <w:tcPr>
            <w:tcW w:w="1580" w:type="dxa"/>
            <w:tcBorders>
              <w:top w:val="nil"/>
            </w:tcBorders>
            <w:shd w:val="clear" w:color="auto" w:fill="FFFFFF" w:themeFill="background2"/>
            <w:noWrap/>
            <w:vAlign w:val="center"/>
            <w:hideMark/>
          </w:tcPr>
          <w:p w14:paraId="5D04E16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25.1</w:t>
            </w:r>
          </w:p>
        </w:tc>
        <w:tc>
          <w:tcPr>
            <w:tcW w:w="1580" w:type="dxa"/>
            <w:tcBorders>
              <w:top w:val="nil"/>
            </w:tcBorders>
            <w:shd w:val="clear" w:color="auto" w:fill="FFFFFF" w:themeFill="background2"/>
            <w:noWrap/>
            <w:vAlign w:val="center"/>
            <w:hideMark/>
          </w:tcPr>
          <w:p w14:paraId="1F49470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580" w:type="dxa"/>
            <w:tcBorders>
              <w:top w:val="nil"/>
            </w:tcBorders>
            <w:shd w:val="clear" w:color="auto" w:fill="FFFFFF" w:themeFill="background2"/>
            <w:noWrap/>
            <w:vAlign w:val="center"/>
            <w:hideMark/>
          </w:tcPr>
          <w:p w14:paraId="59369A0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c>
          <w:tcPr>
            <w:tcW w:w="1580" w:type="dxa"/>
            <w:tcBorders>
              <w:top w:val="nil"/>
            </w:tcBorders>
            <w:shd w:val="clear" w:color="auto" w:fill="FFFFFF" w:themeFill="background2"/>
            <w:noWrap/>
            <w:vAlign w:val="center"/>
            <w:hideMark/>
          </w:tcPr>
          <w:p w14:paraId="1EBEF6A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580" w:type="dxa"/>
            <w:tcBorders>
              <w:top w:val="nil"/>
            </w:tcBorders>
            <w:shd w:val="clear" w:color="auto" w:fill="FFFFFF" w:themeFill="background2"/>
            <w:noWrap/>
            <w:vAlign w:val="center"/>
            <w:hideMark/>
          </w:tcPr>
          <w:p w14:paraId="1F081EEF"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64.7</w:t>
            </w:r>
          </w:p>
        </w:tc>
        <w:tc>
          <w:tcPr>
            <w:tcW w:w="1580" w:type="dxa"/>
            <w:tcBorders>
              <w:top w:val="nil"/>
            </w:tcBorders>
            <w:shd w:val="clear" w:color="auto" w:fill="FFFFFF" w:themeFill="background2"/>
            <w:noWrap/>
            <w:vAlign w:val="center"/>
            <w:hideMark/>
          </w:tcPr>
          <w:p w14:paraId="1597834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r>
      <w:tr w:rsidR="00961617" w:rsidRPr="00545C7F" w14:paraId="2E98BF19" w14:textId="77777777" w:rsidTr="0020771F">
        <w:trPr>
          <w:trHeight w:val="288"/>
        </w:trPr>
        <w:tc>
          <w:tcPr>
            <w:tcW w:w="5118" w:type="dxa"/>
            <w:tcBorders>
              <w:top w:val="nil"/>
            </w:tcBorders>
            <w:shd w:val="clear" w:color="auto" w:fill="E5E5E5" w:themeFill="background1" w:themeFillTint="33"/>
            <w:vAlign w:val="center"/>
            <w:hideMark/>
          </w:tcPr>
          <w:p w14:paraId="553C99E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 Stream 4</w:t>
            </w:r>
          </w:p>
        </w:tc>
        <w:tc>
          <w:tcPr>
            <w:tcW w:w="1580" w:type="dxa"/>
            <w:tcBorders>
              <w:top w:val="nil"/>
            </w:tcBorders>
            <w:shd w:val="clear" w:color="auto" w:fill="E5E5E5" w:themeFill="background1" w:themeFillTint="33"/>
            <w:noWrap/>
            <w:vAlign w:val="center"/>
            <w:hideMark/>
          </w:tcPr>
          <w:p w14:paraId="10E9CAC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30.8</w:t>
            </w:r>
          </w:p>
        </w:tc>
        <w:tc>
          <w:tcPr>
            <w:tcW w:w="1580" w:type="dxa"/>
            <w:tcBorders>
              <w:top w:val="nil"/>
            </w:tcBorders>
            <w:shd w:val="clear" w:color="auto" w:fill="E5E5E5" w:themeFill="background1" w:themeFillTint="33"/>
            <w:noWrap/>
            <w:vAlign w:val="center"/>
            <w:hideMark/>
          </w:tcPr>
          <w:p w14:paraId="7414F82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580" w:type="dxa"/>
            <w:tcBorders>
              <w:top w:val="nil"/>
            </w:tcBorders>
            <w:shd w:val="clear" w:color="auto" w:fill="E5E5E5" w:themeFill="background1" w:themeFillTint="33"/>
            <w:noWrap/>
            <w:vAlign w:val="center"/>
            <w:hideMark/>
          </w:tcPr>
          <w:p w14:paraId="6381C5E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580" w:type="dxa"/>
            <w:tcBorders>
              <w:top w:val="nil"/>
            </w:tcBorders>
            <w:shd w:val="clear" w:color="auto" w:fill="E5E5E5" w:themeFill="background1" w:themeFillTint="33"/>
            <w:noWrap/>
            <w:vAlign w:val="center"/>
            <w:hideMark/>
          </w:tcPr>
          <w:p w14:paraId="04928DA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p>
        </w:tc>
        <w:tc>
          <w:tcPr>
            <w:tcW w:w="1580" w:type="dxa"/>
            <w:tcBorders>
              <w:top w:val="nil"/>
            </w:tcBorders>
            <w:shd w:val="clear" w:color="auto" w:fill="E5E5E5" w:themeFill="background1" w:themeFillTint="33"/>
            <w:noWrap/>
            <w:vAlign w:val="center"/>
            <w:hideMark/>
          </w:tcPr>
          <w:p w14:paraId="055226B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65.0</w:t>
            </w:r>
          </w:p>
        </w:tc>
        <w:tc>
          <w:tcPr>
            <w:tcW w:w="1580" w:type="dxa"/>
            <w:tcBorders>
              <w:top w:val="nil"/>
            </w:tcBorders>
            <w:shd w:val="clear" w:color="auto" w:fill="E5E5E5" w:themeFill="background1" w:themeFillTint="33"/>
            <w:noWrap/>
            <w:vAlign w:val="center"/>
            <w:hideMark/>
          </w:tcPr>
          <w:p w14:paraId="3BA4713B"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r>
      <w:tr w:rsidR="00961617" w:rsidRPr="00545C7F" w14:paraId="48F95E39" w14:textId="77777777" w:rsidTr="0020771F">
        <w:trPr>
          <w:trHeight w:val="288"/>
        </w:trPr>
        <w:tc>
          <w:tcPr>
            <w:tcW w:w="5118" w:type="dxa"/>
            <w:shd w:val="clear" w:color="auto" w:fill="FFFFFF" w:themeFill="background2"/>
            <w:vAlign w:val="center"/>
            <w:hideMark/>
          </w:tcPr>
          <w:p w14:paraId="34E7F3AE"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Part-time capacity, total</w:t>
            </w:r>
          </w:p>
        </w:tc>
        <w:tc>
          <w:tcPr>
            <w:tcW w:w="1580" w:type="dxa"/>
            <w:shd w:val="clear" w:color="auto" w:fill="FFFFFF" w:themeFill="background2"/>
            <w:noWrap/>
            <w:vAlign w:val="center"/>
            <w:hideMark/>
          </w:tcPr>
          <w:p w14:paraId="417C2CA2"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22.0</w:t>
            </w:r>
          </w:p>
        </w:tc>
        <w:tc>
          <w:tcPr>
            <w:tcW w:w="1580" w:type="dxa"/>
            <w:shd w:val="clear" w:color="auto" w:fill="FFFFFF" w:themeFill="background2"/>
            <w:noWrap/>
            <w:vAlign w:val="center"/>
            <w:hideMark/>
          </w:tcPr>
          <w:p w14:paraId="53C9153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580" w:type="dxa"/>
            <w:shd w:val="clear" w:color="auto" w:fill="FFFFFF" w:themeFill="background2"/>
            <w:noWrap/>
            <w:vAlign w:val="center"/>
            <w:hideMark/>
          </w:tcPr>
          <w:p w14:paraId="643F10E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22.7</w:t>
            </w:r>
          </w:p>
        </w:tc>
        <w:tc>
          <w:tcPr>
            <w:tcW w:w="1580" w:type="dxa"/>
            <w:shd w:val="clear" w:color="auto" w:fill="FFFFFF" w:themeFill="background2"/>
            <w:noWrap/>
            <w:vAlign w:val="center"/>
            <w:hideMark/>
          </w:tcPr>
          <w:p w14:paraId="627863C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580" w:type="dxa"/>
            <w:shd w:val="clear" w:color="auto" w:fill="FFFFFF" w:themeFill="background2"/>
            <w:noWrap/>
            <w:vAlign w:val="center"/>
            <w:hideMark/>
          </w:tcPr>
          <w:p w14:paraId="3F98BEC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55.3</w:t>
            </w:r>
          </w:p>
        </w:tc>
        <w:tc>
          <w:tcPr>
            <w:tcW w:w="1580" w:type="dxa"/>
            <w:shd w:val="clear" w:color="auto" w:fill="FFFFFF" w:themeFill="background2"/>
            <w:noWrap/>
            <w:vAlign w:val="center"/>
            <w:hideMark/>
          </w:tcPr>
          <w:p w14:paraId="61DBD14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w:t>
            </w:r>
          </w:p>
        </w:tc>
      </w:tr>
      <w:tr w:rsidR="00961617" w:rsidRPr="00545C7F" w14:paraId="004AC50D" w14:textId="77777777" w:rsidTr="0020771F">
        <w:trPr>
          <w:trHeight w:val="288"/>
        </w:trPr>
        <w:tc>
          <w:tcPr>
            <w:tcW w:w="5118" w:type="dxa"/>
            <w:tcBorders>
              <w:top w:val="nil"/>
            </w:tcBorders>
            <w:shd w:val="clear" w:color="auto" w:fill="E5E5E5" w:themeFill="background1" w:themeFillTint="33"/>
            <w:vAlign w:val="center"/>
            <w:hideMark/>
          </w:tcPr>
          <w:p w14:paraId="21A0961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Part-time capacity Stream 1</w:t>
            </w:r>
          </w:p>
        </w:tc>
        <w:tc>
          <w:tcPr>
            <w:tcW w:w="1580" w:type="dxa"/>
            <w:tcBorders>
              <w:top w:val="nil"/>
            </w:tcBorders>
            <w:shd w:val="clear" w:color="auto" w:fill="E5E5E5" w:themeFill="background1" w:themeFillTint="33"/>
            <w:noWrap/>
            <w:vAlign w:val="center"/>
            <w:hideMark/>
          </w:tcPr>
          <w:p w14:paraId="28AA9A9E"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29.4</w:t>
            </w:r>
          </w:p>
        </w:tc>
        <w:tc>
          <w:tcPr>
            <w:tcW w:w="1580" w:type="dxa"/>
            <w:tcBorders>
              <w:top w:val="nil"/>
            </w:tcBorders>
            <w:shd w:val="clear" w:color="auto" w:fill="E5E5E5" w:themeFill="background1" w:themeFillTint="33"/>
            <w:noWrap/>
            <w:vAlign w:val="center"/>
            <w:hideMark/>
          </w:tcPr>
          <w:p w14:paraId="33FA63F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w:t>
            </w:r>
          </w:p>
        </w:tc>
        <w:tc>
          <w:tcPr>
            <w:tcW w:w="1580" w:type="dxa"/>
            <w:tcBorders>
              <w:top w:val="nil"/>
            </w:tcBorders>
            <w:shd w:val="clear" w:color="auto" w:fill="E5E5E5" w:themeFill="background1" w:themeFillTint="33"/>
            <w:noWrap/>
            <w:vAlign w:val="center"/>
            <w:hideMark/>
          </w:tcPr>
          <w:p w14:paraId="27D98F9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21.4</w:t>
            </w:r>
          </w:p>
        </w:tc>
        <w:tc>
          <w:tcPr>
            <w:tcW w:w="1580" w:type="dxa"/>
            <w:tcBorders>
              <w:top w:val="nil"/>
            </w:tcBorders>
            <w:shd w:val="clear" w:color="auto" w:fill="E5E5E5" w:themeFill="background1" w:themeFillTint="33"/>
            <w:noWrap/>
            <w:vAlign w:val="center"/>
            <w:hideMark/>
          </w:tcPr>
          <w:p w14:paraId="60654DD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2967483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49.1</w:t>
            </w:r>
          </w:p>
        </w:tc>
        <w:tc>
          <w:tcPr>
            <w:tcW w:w="1580" w:type="dxa"/>
            <w:tcBorders>
              <w:top w:val="nil"/>
            </w:tcBorders>
            <w:shd w:val="clear" w:color="auto" w:fill="E5E5E5" w:themeFill="background1" w:themeFillTint="33"/>
            <w:noWrap/>
            <w:vAlign w:val="center"/>
            <w:hideMark/>
          </w:tcPr>
          <w:p w14:paraId="7A49E7B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r>
      <w:tr w:rsidR="00961617" w:rsidRPr="00545C7F" w14:paraId="00E86705" w14:textId="77777777" w:rsidTr="0020771F">
        <w:trPr>
          <w:trHeight w:val="288"/>
        </w:trPr>
        <w:tc>
          <w:tcPr>
            <w:tcW w:w="5118" w:type="dxa"/>
            <w:tcBorders>
              <w:top w:val="nil"/>
            </w:tcBorders>
            <w:shd w:val="clear" w:color="auto" w:fill="FFFFFF" w:themeFill="background2"/>
            <w:vAlign w:val="center"/>
            <w:hideMark/>
          </w:tcPr>
          <w:p w14:paraId="4F76437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Part-time capacity Stream 2</w:t>
            </w:r>
          </w:p>
        </w:tc>
        <w:tc>
          <w:tcPr>
            <w:tcW w:w="1580" w:type="dxa"/>
            <w:tcBorders>
              <w:top w:val="nil"/>
            </w:tcBorders>
            <w:shd w:val="clear" w:color="auto" w:fill="FFFFFF" w:themeFill="background2"/>
            <w:noWrap/>
            <w:vAlign w:val="center"/>
            <w:hideMark/>
          </w:tcPr>
          <w:p w14:paraId="0707DBF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15.6</w:t>
            </w:r>
          </w:p>
        </w:tc>
        <w:tc>
          <w:tcPr>
            <w:tcW w:w="1580" w:type="dxa"/>
            <w:tcBorders>
              <w:top w:val="nil"/>
            </w:tcBorders>
            <w:shd w:val="clear" w:color="auto" w:fill="FFFFFF" w:themeFill="background2"/>
            <w:noWrap/>
            <w:vAlign w:val="center"/>
            <w:hideMark/>
          </w:tcPr>
          <w:p w14:paraId="538F6F5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580" w:type="dxa"/>
            <w:tcBorders>
              <w:top w:val="nil"/>
            </w:tcBorders>
            <w:shd w:val="clear" w:color="auto" w:fill="FFFFFF" w:themeFill="background2"/>
            <w:noWrap/>
            <w:vAlign w:val="center"/>
            <w:hideMark/>
          </w:tcPr>
          <w:p w14:paraId="40B0700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27.9</w:t>
            </w:r>
          </w:p>
        </w:tc>
        <w:tc>
          <w:tcPr>
            <w:tcW w:w="1580" w:type="dxa"/>
            <w:tcBorders>
              <w:top w:val="nil"/>
            </w:tcBorders>
            <w:shd w:val="clear" w:color="auto" w:fill="FFFFFF" w:themeFill="background2"/>
            <w:noWrap/>
            <w:vAlign w:val="center"/>
            <w:hideMark/>
          </w:tcPr>
          <w:p w14:paraId="4BC647D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580" w:type="dxa"/>
            <w:tcBorders>
              <w:top w:val="nil"/>
            </w:tcBorders>
            <w:shd w:val="clear" w:color="auto" w:fill="FFFFFF" w:themeFill="background2"/>
            <w:noWrap/>
            <w:vAlign w:val="center"/>
            <w:hideMark/>
          </w:tcPr>
          <w:p w14:paraId="10BF86CF"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56.6</w:t>
            </w:r>
          </w:p>
        </w:tc>
        <w:tc>
          <w:tcPr>
            <w:tcW w:w="1580" w:type="dxa"/>
            <w:tcBorders>
              <w:top w:val="nil"/>
            </w:tcBorders>
            <w:shd w:val="clear" w:color="auto" w:fill="FFFFFF" w:themeFill="background2"/>
            <w:noWrap/>
            <w:vAlign w:val="center"/>
            <w:hideMark/>
          </w:tcPr>
          <w:p w14:paraId="1EA37C6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r>
      <w:tr w:rsidR="00961617" w:rsidRPr="00545C7F" w14:paraId="33D57A80" w14:textId="77777777" w:rsidTr="0020771F">
        <w:trPr>
          <w:trHeight w:val="288"/>
        </w:trPr>
        <w:tc>
          <w:tcPr>
            <w:tcW w:w="5118" w:type="dxa"/>
            <w:tcBorders>
              <w:top w:val="nil"/>
            </w:tcBorders>
            <w:shd w:val="clear" w:color="auto" w:fill="E5E5E5" w:themeFill="background1" w:themeFillTint="33"/>
            <w:vAlign w:val="center"/>
            <w:hideMark/>
          </w:tcPr>
          <w:p w14:paraId="6EC4D7F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Part-time capacity Stream 3</w:t>
            </w:r>
          </w:p>
        </w:tc>
        <w:tc>
          <w:tcPr>
            <w:tcW w:w="1580" w:type="dxa"/>
            <w:tcBorders>
              <w:top w:val="nil"/>
            </w:tcBorders>
            <w:shd w:val="clear" w:color="auto" w:fill="E5E5E5" w:themeFill="background1" w:themeFillTint="33"/>
            <w:noWrap/>
            <w:vAlign w:val="center"/>
            <w:hideMark/>
          </w:tcPr>
          <w:p w14:paraId="109F3FC9"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w:t>
            </w:r>
          </w:p>
        </w:tc>
        <w:tc>
          <w:tcPr>
            <w:tcW w:w="1580" w:type="dxa"/>
            <w:tcBorders>
              <w:top w:val="nil"/>
            </w:tcBorders>
            <w:shd w:val="clear" w:color="auto" w:fill="E5E5E5" w:themeFill="background1" w:themeFillTint="33"/>
            <w:noWrap/>
            <w:vAlign w:val="center"/>
            <w:hideMark/>
          </w:tcPr>
          <w:p w14:paraId="485EC17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p>
        </w:tc>
        <w:tc>
          <w:tcPr>
            <w:tcW w:w="1580" w:type="dxa"/>
            <w:tcBorders>
              <w:top w:val="nil"/>
            </w:tcBorders>
            <w:shd w:val="clear" w:color="auto" w:fill="E5E5E5" w:themeFill="background1" w:themeFillTint="33"/>
            <w:noWrap/>
            <w:vAlign w:val="center"/>
            <w:hideMark/>
          </w:tcPr>
          <w:p w14:paraId="7631861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23.3</w:t>
            </w:r>
          </w:p>
        </w:tc>
        <w:tc>
          <w:tcPr>
            <w:tcW w:w="1580" w:type="dxa"/>
            <w:tcBorders>
              <w:top w:val="nil"/>
            </w:tcBorders>
            <w:shd w:val="clear" w:color="auto" w:fill="E5E5E5" w:themeFill="background1" w:themeFillTint="33"/>
            <w:noWrap/>
            <w:vAlign w:val="center"/>
            <w:hideMark/>
          </w:tcPr>
          <w:p w14:paraId="64F2FF1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580" w:type="dxa"/>
            <w:tcBorders>
              <w:top w:val="nil"/>
            </w:tcBorders>
            <w:shd w:val="clear" w:color="auto" w:fill="E5E5E5" w:themeFill="background1" w:themeFillTint="33"/>
            <w:noWrap/>
            <w:vAlign w:val="center"/>
            <w:hideMark/>
          </w:tcPr>
          <w:p w14:paraId="59311F99"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68.1</w:t>
            </w:r>
          </w:p>
        </w:tc>
        <w:tc>
          <w:tcPr>
            <w:tcW w:w="1580" w:type="dxa"/>
            <w:tcBorders>
              <w:top w:val="nil"/>
            </w:tcBorders>
            <w:shd w:val="clear" w:color="auto" w:fill="E5E5E5" w:themeFill="background1" w:themeFillTint="33"/>
            <w:noWrap/>
            <w:vAlign w:val="center"/>
            <w:hideMark/>
          </w:tcPr>
          <w:p w14:paraId="4C960F4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r>
      <w:tr w:rsidR="00961617" w:rsidRPr="00545C7F" w14:paraId="14047651" w14:textId="77777777" w:rsidTr="0020771F">
        <w:trPr>
          <w:trHeight w:val="288"/>
        </w:trPr>
        <w:tc>
          <w:tcPr>
            <w:tcW w:w="5118" w:type="dxa"/>
            <w:tcBorders>
              <w:top w:val="nil"/>
            </w:tcBorders>
            <w:shd w:val="clear" w:color="auto" w:fill="FFFFFF" w:themeFill="background2"/>
            <w:vAlign w:val="center"/>
            <w:hideMark/>
          </w:tcPr>
          <w:p w14:paraId="1FC95A91"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Part-time capacity Stream 4</w:t>
            </w:r>
          </w:p>
        </w:tc>
        <w:tc>
          <w:tcPr>
            <w:tcW w:w="1580" w:type="dxa"/>
            <w:tcBorders>
              <w:top w:val="nil"/>
            </w:tcBorders>
            <w:shd w:val="clear" w:color="auto" w:fill="FFFFFF" w:themeFill="background2"/>
            <w:noWrap/>
            <w:vAlign w:val="center"/>
            <w:hideMark/>
          </w:tcPr>
          <w:p w14:paraId="0AA42CE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12.8</w:t>
            </w:r>
          </w:p>
        </w:tc>
        <w:tc>
          <w:tcPr>
            <w:tcW w:w="1580" w:type="dxa"/>
            <w:tcBorders>
              <w:top w:val="nil"/>
            </w:tcBorders>
            <w:shd w:val="clear" w:color="auto" w:fill="FFFFFF" w:themeFill="background2"/>
            <w:noWrap/>
            <w:vAlign w:val="center"/>
            <w:hideMark/>
          </w:tcPr>
          <w:p w14:paraId="575AF3D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5749E7E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11.1</w:t>
            </w:r>
          </w:p>
        </w:tc>
        <w:tc>
          <w:tcPr>
            <w:tcW w:w="1580" w:type="dxa"/>
            <w:tcBorders>
              <w:top w:val="nil"/>
            </w:tcBorders>
            <w:shd w:val="clear" w:color="auto" w:fill="FFFFFF" w:themeFill="background2"/>
            <w:noWrap/>
            <w:vAlign w:val="center"/>
            <w:hideMark/>
          </w:tcPr>
          <w:p w14:paraId="495296D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0071444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76.1</w:t>
            </w:r>
          </w:p>
        </w:tc>
        <w:tc>
          <w:tcPr>
            <w:tcW w:w="1580" w:type="dxa"/>
            <w:tcBorders>
              <w:top w:val="nil"/>
            </w:tcBorders>
            <w:shd w:val="clear" w:color="auto" w:fill="FFFFFF" w:themeFill="background2"/>
            <w:noWrap/>
            <w:vAlign w:val="center"/>
            <w:hideMark/>
          </w:tcPr>
          <w:p w14:paraId="1454CB3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r w:rsidRPr="00545C7F">
              <w:rPr>
                <w:rFonts w:cstheme="minorHAnsi"/>
                <w:color w:val="000000"/>
                <w:sz w:val="20"/>
                <w:szCs w:val="20"/>
                <w:vertAlign w:val="superscript"/>
              </w:rPr>
              <w:t xml:space="preserve"> *</w:t>
            </w:r>
          </w:p>
        </w:tc>
      </w:tr>
      <w:tr w:rsidR="00961617" w:rsidRPr="00545C7F" w14:paraId="2ACD8AE5" w14:textId="77777777" w:rsidTr="0020771F">
        <w:trPr>
          <w:trHeight w:val="288"/>
        </w:trPr>
        <w:tc>
          <w:tcPr>
            <w:tcW w:w="5118" w:type="dxa"/>
            <w:shd w:val="clear" w:color="auto" w:fill="E5E5E5" w:themeFill="background1" w:themeFillTint="33"/>
            <w:vAlign w:val="center"/>
            <w:hideMark/>
          </w:tcPr>
          <w:p w14:paraId="0A3BBA0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Males, total</w:t>
            </w:r>
          </w:p>
        </w:tc>
        <w:tc>
          <w:tcPr>
            <w:tcW w:w="1580" w:type="dxa"/>
            <w:shd w:val="clear" w:color="auto" w:fill="E5E5E5" w:themeFill="background1" w:themeFillTint="33"/>
            <w:noWrap/>
            <w:vAlign w:val="center"/>
            <w:hideMark/>
          </w:tcPr>
          <w:p w14:paraId="305CBAB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59.6</w:t>
            </w:r>
          </w:p>
        </w:tc>
        <w:tc>
          <w:tcPr>
            <w:tcW w:w="1580" w:type="dxa"/>
            <w:shd w:val="clear" w:color="auto" w:fill="E5E5E5" w:themeFill="background1" w:themeFillTint="33"/>
            <w:noWrap/>
            <w:vAlign w:val="center"/>
            <w:hideMark/>
          </w:tcPr>
          <w:p w14:paraId="707476C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580" w:type="dxa"/>
            <w:shd w:val="clear" w:color="auto" w:fill="E5E5E5" w:themeFill="background1" w:themeFillTint="33"/>
            <w:noWrap/>
            <w:vAlign w:val="center"/>
            <w:hideMark/>
          </w:tcPr>
          <w:p w14:paraId="3EFCB20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w:t>
            </w:r>
          </w:p>
        </w:tc>
        <w:tc>
          <w:tcPr>
            <w:tcW w:w="1580" w:type="dxa"/>
            <w:shd w:val="clear" w:color="auto" w:fill="E5E5E5" w:themeFill="background1" w:themeFillTint="33"/>
            <w:noWrap/>
            <w:vAlign w:val="center"/>
            <w:hideMark/>
          </w:tcPr>
          <w:p w14:paraId="7F45912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w:t>
            </w:r>
          </w:p>
        </w:tc>
        <w:tc>
          <w:tcPr>
            <w:tcW w:w="1580" w:type="dxa"/>
            <w:shd w:val="clear" w:color="auto" w:fill="E5E5E5" w:themeFill="background1" w:themeFillTint="33"/>
            <w:noWrap/>
            <w:vAlign w:val="center"/>
            <w:hideMark/>
          </w:tcPr>
          <w:p w14:paraId="2ADF49C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31.1</w:t>
            </w:r>
          </w:p>
        </w:tc>
        <w:tc>
          <w:tcPr>
            <w:tcW w:w="1580" w:type="dxa"/>
            <w:shd w:val="clear" w:color="auto" w:fill="E5E5E5" w:themeFill="background1" w:themeFillTint="33"/>
            <w:noWrap/>
            <w:vAlign w:val="center"/>
            <w:hideMark/>
          </w:tcPr>
          <w:p w14:paraId="531D6C3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w:t>
            </w:r>
          </w:p>
        </w:tc>
      </w:tr>
      <w:tr w:rsidR="00961617" w:rsidRPr="00545C7F" w14:paraId="233DD11F" w14:textId="77777777" w:rsidTr="0020771F">
        <w:trPr>
          <w:trHeight w:val="288"/>
        </w:trPr>
        <w:tc>
          <w:tcPr>
            <w:tcW w:w="5118" w:type="dxa"/>
            <w:tcBorders>
              <w:top w:val="nil"/>
            </w:tcBorders>
            <w:shd w:val="clear" w:color="auto" w:fill="FFFFFF" w:themeFill="background2"/>
            <w:vAlign w:val="center"/>
            <w:hideMark/>
          </w:tcPr>
          <w:p w14:paraId="2A5631E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Males Stream 1</w:t>
            </w:r>
          </w:p>
        </w:tc>
        <w:tc>
          <w:tcPr>
            <w:tcW w:w="1580" w:type="dxa"/>
            <w:tcBorders>
              <w:top w:val="nil"/>
            </w:tcBorders>
            <w:shd w:val="clear" w:color="auto" w:fill="FFFFFF" w:themeFill="background2"/>
            <w:noWrap/>
            <w:vAlign w:val="center"/>
            <w:hideMark/>
          </w:tcPr>
          <w:p w14:paraId="47C56C6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63.1</w:t>
            </w:r>
          </w:p>
        </w:tc>
        <w:tc>
          <w:tcPr>
            <w:tcW w:w="1580" w:type="dxa"/>
            <w:tcBorders>
              <w:top w:val="nil"/>
            </w:tcBorders>
            <w:shd w:val="clear" w:color="auto" w:fill="FFFFFF" w:themeFill="background2"/>
            <w:noWrap/>
            <w:vAlign w:val="center"/>
            <w:hideMark/>
          </w:tcPr>
          <w:p w14:paraId="7BDC33B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c>
          <w:tcPr>
            <w:tcW w:w="1580" w:type="dxa"/>
            <w:tcBorders>
              <w:top w:val="nil"/>
            </w:tcBorders>
            <w:shd w:val="clear" w:color="auto" w:fill="FFFFFF" w:themeFill="background2"/>
            <w:noWrap/>
            <w:vAlign w:val="center"/>
            <w:hideMark/>
          </w:tcPr>
          <w:p w14:paraId="49B9935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w:t>
            </w:r>
          </w:p>
        </w:tc>
        <w:tc>
          <w:tcPr>
            <w:tcW w:w="1580" w:type="dxa"/>
            <w:tcBorders>
              <w:top w:val="nil"/>
            </w:tcBorders>
            <w:shd w:val="clear" w:color="auto" w:fill="FFFFFF" w:themeFill="background2"/>
            <w:noWrap/>
            <w:vAlign w:val="center"/>
            <w:hideMark/>
          </w:tcPr>
          <w:p w14:paraId="6F56DEC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FFFFFF" w:themeFill="background2"/>
            <w:noWrap/>
            <w:vAlign w:val="center"/>
            <w:hideMark/>
          </w:tcPr>
          <w:p w14:paraId="72AE490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28.1</w:t>
            </w:r>
          </w:p>
        </w:tc>
        <w:tc>
          <w:tcPr>
            <w:tcW w:w="1580" w:type="dxa"/>
            <w:tcBorders>
              <w:top w:val="nil"/>
            </w:tcBorders>
            <w:shd w:val="clear" w:color="auto" w:fill="FFFFFF" w:themeFill="background2"/>
            <w:noWrap/>
            <w:vAlign w:val="center"/>
            <w:hideMark/>
          </w:tcPr>
          <w:p w14:paraId="23342A0C"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w:t>
            </w:r>
          </w:p>
        </w:tc>
      </w:tr>
      <w:tr w:rsidR="00961617" w:rsidRPr="00545C7F" w14:paraId="6ADB5AC4" w14:textId="77777777" w:rsidTr="0020771F">
        <w:trPr>
          <w:trHeight w:val="288"/>
        </w:trPr>
        <w:tc>
          <w:tcPr>
            <w:tcW w:w="5118" w:type="dxa"/>
            <w:tcBorders>
              <w:top w:val="nil"/>
            </w:tcBorders>
            <w:shd w:val="clear" w:color="auto" w:fill="E5E5E5" w:themeFill="background1" w:themeFillTint="33"/>
            <w:vAlign w:val="center"/>
            <w:hideMark/>
          </w:tcPr>
          <w:p w14:paraId="158C660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Males Stream 2</w:t>
            </w:r>
          </w:p>
        </w:tc>
        <w:tc>
          <w:tcPr>
            <w:tcW w:w="1580" w:type="dxa"/>
            <w:tcBorders>
              <w:top w:val="nil"/>
            </w:tcBorders>
            <w:shd w:val="clear" w:color="auto" w:fill="E5E5E5" w:themeFill="background1" w:themeFillTint="33"/>
            <w:noWrap/>
            <w:vAlign w:val="center"/>
            <w:hideMark/>
          </w:tcPr>
          <w:p w14:paraId="46331D9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42.5</w:t>
            </w:r>
          </w:p>
        </w:tc>
        <w:tc>
          <w:tcPr>
            <w:tcW w:w="1580" w:type="dxa"/>
            <w:tcBorders>
              <w:top w:val="nil"/>
            </w:tcBorders>
            <w:shd w:val="clear" w:color="auto" w:fill="E5E5E5" w:themeFill="background1" w:themeFillTint="33"/>
            <w:noWrap/>
            <w:vAlign w:val="center"/>
            <w:hideMark/>
          </w:tcPr>
          <w:p w14:paraId="32031E2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w:t>
            </w:r>
          </w:p>
        </w:tc>
        <w:tc>
          <w:tcPr>
            <w:tcW w:w="1580" w:type="dxa"/>
            <w:tcBorders>
              <w:top w:val="nil"/>
            </w:tcBorders>
            <w:shd w:val="clear" w:color="auto" w:fill="E5E5E5" w:themeFill="background1" w:themeFillTint="33"/>
            <w:noWrap/>
            <w:vAlign w:val="center"/>
            <w:hideMark/>
          </w:tcPr>
          <w:p w14:paraId="3CA847A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1580" w:type="dxa"/>
            <w:tcBorders>
              <w:top w:val="nil"/>
            </w:tcBorders>
            <w:shd w:val="clear" w:color="auto" w:fill="E5E5E5" w:themeFill="background1" w:themeFillTint="33"/>
            <w:noWrap/>
            <w:vAlign w:val="center"/>
            <w:hideMark/>
          </w:tcPr>
          <w:p w14:paraId="1ED2E10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p>
        </w:tc>
        <w:tc>
          <w:tcPr>
            <w:tcW w:w="1580" w:type="dxa"/>
            <w:tcBorders>
              <w:top w:val="nil"/>
            </w:tcBorders>
            <w:shd w:val="clear" w:color="auto" w:fill="E5E5E5" w:themeFill="background1" w:themeFillTint="33"/>
            <w:noWrap/>
            <w:vAlign w:val="center"/>
            <w:hideMark/>
          </w:tcPr>
          <w:p w14:paraId="1B0FF5A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44.2</w:t>
            </w:r>
          </w:p>
        </w:tc>
        <w:tc>
          <w:tcPr>
            <w:tcW w:w="1580" w:type="dxa"/>
            <w:tcBorders>
              <w:top w:val="nil"/>
            </w:tcBorders>
            <w:shd w:val="clear" w:color="auto" w:fill="E5E5E5" w:themeFill="background1" w:themeFillTint="33"/>
            <w:noWrap/>
            <w:vAlign w:val="center"/>
            <w:hideMark/>
          </w:tcPr>
          <w:p w14:paraId="4E4FEA46"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r>
      <w:tr w:rsidR="00961617" w:rsidRPr="00545C7F" w14:paraId="3F1ED7FE" w14:textId="77777777" w:rsidTr="0020771F">
        <w:trPr>
          <w:trHeight w:val="288"/>
        </w:trPr>
        <w:tc>
          <w:tcPr>
            <w:tcW w:w="5118" w:type="dxa"/>
            <w:tcBorders>
              <w:top w:val="nil"/>
            </w:tcBorders>
            <w:shd w:val="clear" w:color="auto" w:fill="FFFFFF" w:themeFill="background2"/>
            <w:vAlign w:val="center"/>
            <w:hideMark/>
          </w:tcPr>
          <w:p w14:paraId="7C35FB2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Males Stream 3</w:t>
            </w:r>
          </w:p>
        </w:tc>
        <w:tc>
          <w:tcPr>
            <w:tcW w:w="1580" w:type="dxa"/>
            <w:tcBorders>
              <w:top w:val="nil"/>
            </w:tcBorders>
            <w:shd w:val="clear" w:color="auto" w:fill="FFFFFF" w:themeFill="background2"/>
            <w:noWrap/>
            <w:vAlign w:val="center"/>
            <w:hideMark/>
          </w:tcPr>
          <w:p w14:paraId="3DF0DB03"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33.5</w:t>
            </w:r>
          </w:p>
        </w:tc>
        <w:tc>
          <w:tcPr>
            <w:tcW w:w="1580" w:type="dxa"/>
            <w:tcBorders>
              <w:top w:val="nil"/>
            </w:tcBorders>
            <w:shd w:val="clear" w:color="auto" w:fill="FFFFFF" w:themeFill="background2"/>
            <w:noWrap/>
            <w:vAlign w:val="center"/>
            <w:hideMark/>
          </w:tcPr>
          <w:p w14:paraId="5C0EE5D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42937A1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10.6</w:t>
            </w:r>
          </w:p>
        </w:tc>
        <w:tc>
          <w:tcPr>
            <w:tcW w:w="1580" w:type="dxa"/>
            <w:tcBorders>
              <w:top w:val="nil"/>
            </w:tcBorders>
            <w:shd w:val="clear" w:color="auto" w:fill="FFFFFF" w:themeFill="background2"/>
            <w:noWrap/>
            <w:vAlign w:val="center"/>
            <w:hideMark/>
          </w:tcPr>
          <w:p w14:paraId="2EBE8A4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580" w:type="dxa"/>
            <w:tcBorders>
              <w:top w:val="nil"/>
            </w:tcBorders>
            <w:shd w:val="clear" w:color="auto" w:fill="FFFFFF" w:themeFill="background2"/>
            <w:noWrap/>
            <w:vAlign w:val="center"/>
            <w:hideMark/>
          </w:tcPr>
          <w:p w14:paraId="5ECCD203"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56.0</w:t>
            </w:r>
          </w:p>
        </w:tc>
        <w:tc>
          <w:tcPr>
            <w:tcW w:w="1580" w:type="dxa"/>
            <w:tcBorders>
              <w:top w:val="nil"/>
            </w:tcBorders>
            <w:shd w:val="clear" w:color="auto" w:fill="FFFFFF" w:themeFill="background2"/>
            <w:noWrap/>
            <w:vAlign w:val="center"/>
            <w:hideMark/>
          </w:tcPr>
          <w:p w14:paraId="72A1AAB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r>
      <w:tr w:rsidR="00961617" w:rsidRPr="00545C7F" w14:paraId="56268E3E" w14:textId="77777777" w:rsidTr="0020771F">
        <w:trPr>
          <w:trHeight w:val="288"/>
        </w:trPr>
        <w:tc>
          <w:tcPr>
            <w:tcW w:w="5118" w:type="dxa"/>
            <w:tcBorders>
              <w:top w:val="nil"/>
            </w:tcBorders>
            <w:shd w:val="clear" w:color="auto" w:fill="E5E5E5" w:themeFill="background1" w:themeFillTint="33"/>
            <w:vAlign w:val="center"/>
            <w:hideMark/>
          </w:tcPr>
          <w:p w14:paraId="1D50F70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Males Stream 4</w:t>
            </w:r>
          </w:p>
        </w:tc>
        <w:tc>
          <w:tcPr>
            <w:tcW w:w="1580" w:type="dxa"/>
            <w:tcBorders>
              <w:top w:val="nil"/>
            </w:tcBorders>
            <w:shd w:val="clear" w:color="auto" w:fill="E5E5E5" w:themeFill="background1" w:themeFillTint="33"/>
            <w:noWrap/>
            <w:vAlign w:val="center"/>
            <w:hideMark/>
          </w:tcPr>
          <w:p w14:paraId="4621938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37.8</w:t>
            </w:r>
          </w:p>
        </w:tc>
        <w:tc>
          <w:tcPr>
            <w:tcW w:w="1580" w:type="dxa"/>
            <w:tcBorders>
              <w:top w:val="nil"/>
            </w:tcBorders>
            <w:shd w:val="clear" w:color="auto" w:fill="E5E5E5" w:themeFill="background1" w:themeFillTint="33"/>
            <w:noWrap/>
            <w:vAlign w:val="center"/>
            <w:hideMark/>
          </w:tcPr>
          <w:p w14:paraId="1125363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580" w:type="dxa"/>
            <w:tcBorders>
              <w:top w:val="nil"/>
            </w:tcBorders>
            <w:shd w:val="clear" w:color="auto" w:fill="E5E5E5" w:themeFill="background1" w:themeFillTint="33"/>
            <w:noWrap/>
            <w:vAlign w:val="center"/>
            <w:hideMark/>
          </w:tcPr>
          <w:p w14:paraId="5B9D170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w:t>
            </w:r>
          </w:p>
        </w:tc>
        <w:tc>
          <w:tcPr>
            <w:tcW w:w="1580" w:type="dxa"/>
            <w:tcBorders>
              <w:top w:val="nil"/>
            </w:tcBorders>
            <w:shd w:val="clear" w:color="auto" w:fill="E5E5E5" w:themeFill="background1" w:themeFillTint="33"/>
            <w:noWrap/>
            <w:vAlign w:val="center"/>
            <w:hideMark/>
          </w:tcPr>
          <w:p w14:paraId="3489FD0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E5E5E5" w:themeFill="background1" w:themeFillTint="33"/>
            <w:noWrap/>
            <w:vAlign w:val="center"/>
            <w:hideMark/>
          </w:tcPr>
          <w:p w14:paraId="2CBBDA7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55.5</w:t>
            </w:r>
          </w:p>
        </w:tc>
        <w:tc>
          <w:tcPr>
            <w:tcW w:w="1580" w:type="dxa"/>
            <w:tcBorders>
              <w:top w:val="nil"/>
            </w:tcBorders>
            <w:shd w:val="clear" w:color="auto" w:fill="E5E5E5" w:themeFill="background1" w:themeFillTint="33"/>
            <w:noWrap/>
            <w:vAlign w:val="center"/>
            <w:hideMark/>
          </w:tcPr>
          <w:p w14:paraId="3DB7FB0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r>
      <w:tr w:rsidR="00961617" w:rsidRPr="00545C7F" w14:paraId="0C6ECEF5" w14:textId="77777777" w:rsidTr="0020771F">
        <w:trPr>
          <w:trHeight w:val="288"/>
        </w:trPr>
        <w:tc>
          <w:tcPr>
            <w:tcW w:w="5118" w:type="dxa"/>
            <w:shd w:val="clear" w:color="auto" w:fill="FFFFFF" w:themeFill="background2"/>
            <w:vAlign w:val="center"/>
            <w:hideMark/>
          </w:tcPr>
          <w:p w14:paraId="202BB1A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Females, total</w:t>
            </w:r>
          </w:p>
        </w:tc>
        <w:tc>
          <w:tcPr>
            <w:tcW w:w="1580" w:type="dxa"/>
            <w:shd w:val="clear" w:color="auto" w:fill="FFFFFF" w:themeFill="background2"/>
            <w:noWrap/>
            <w:vAlign w:val="center"/>
            <w:hideMark/>
          </w:tcPr>
          <w:p w14:paraId="474BE27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51.3</w:t>
            </w:r>
          </w:p>
        </w:tc>
        <w:tc>
          <w:tcPr>
            <w:tcW w:w="1580" w:type="dxa"/>
            <w:shd w:val="clear" w:color="auto" w:fill="FFFFFF" w:themeFill="background2"/>
            <w:noWrap/>
            <w:vAlign w:val="center"/>
            <w:hideMark/>
          </w:tcPr>
          <w:p w14:paraId="453B8D9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c>
          <w:tcPr>
            <w:tcW w:w="1580" w:type="dxa"/>
            <w:shd w:val="clear" w:color="auto" w:fill="FFFFFF" w:themeFill="background2"/>
            <w:noWrap/>
            <w:vAlign w:val="center"/>
            <w:hideMark/>
          </w:tcPr>
          <w:p w14:paraId="18B32FE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15.9</w:t>
            </w:r>
          </w:p>
        </w:tc>
        <w:tc>
          <w:tcPr>
            <w:tcW w:w="1580" w:type="dxa"/>
            <w:shd w:val="clear" w:color="auto" w:fill="FFFFFF" w:themeFill="background2"/>
            <w:noWrap/>
            <w:vAlign w:val="center"/>
            <w:hideMark/>
          </w:tcPr>
          <w:p w14:paraId="2D4148D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p>
        </w:tc>
        <w:tc>
          <w:tcPr>
            <w:tcW w:w="1580" w:type="dxa"/>
            <w:shd w:val="clear" w:color="auto" w:fill="FFFFFF" w:themeFill="background2"/>
            <w:noWrap/>
            <w:vAlign w:val="center"/>
            <w:hideMark/>
          </w:tcPr>
          <w:p w14:paraId="3C9377F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32.8</w:t>
            </w:r>
          </w:p>
        </w:tc>
        <w:tc>
          <w:tcPr>
            <w:tcW w:w="1580" w:type="dxa"/>
            <w:shd w:val="clear" w:color="auto" w:fill="FFFFFF" w:themeFill="background2"/>
            <w:noWrap/>
            <w:vAlign w:val="center"/>
            <w:hideMark/>
          </w:tcPr>
          <w:p w14:paraId="006DB96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r>
      <w:tr w:rsidR="00961617" w:rsidRPr="00545C7F" w14:paraId="6A6C0000" w14:textId="77777777" w:rsidTr="0020771F">
        <w:trPr>
          <w:trHeight w:val="288"/>
        </w:trPr>
        <w:tc>
          <w:tcPr>
            <w:tcW w:w="5118" w:type="dxa"/>
            <w:tcBorders>
              <w:top w:val="nil"/>
            </w:tcBorders>
            <w:shd w:val="clear" w:color="auto" w:fill="E5E5E5" w:themeFill="background1" w:themeFillTint="33"/>
            <w:vAlign w:val="center"/>
            <w:hideMark/>
          </w:tcPr>
          <w:p w14:paraId="1206505E"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Females Stream 1</w:t>
            </w:r>
          </w:p>
        </w:tc>
        <w:tc>
          <w:tcPr>
            <w:tcW w:w="1580" w:type="dxa"/>
            <w:tcBorders>
              <w:top w:val="nil"/>
            </w:tcBorders>
            <w:shd w:val="clear" w:color="auto" w:fill="E5E5E5" w:themeFill="background1" w:themeFillTint="33"/>
            <w:noWrap/>
            <w:vAlign w:val="center"/>
            <w:hideMark/>
          </w:tcPr>
          <w:p w14:paraId="1745F07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59.7</w:t>
            </w:r>
          </w:p>
        </w:tc>
        <w:tc>
          <w:tcPr>
            <w:tcW w:w="1580" w:type="dxa"/>
            <w:tcBorders>
              <w:top w:val="nil"/>
            </w:tcBorders>
            <w:shd w:val="clear" w:color="auto" w:fill="E5E5E5" w:themeFill="background1" w:themeFillTint="33"/>
            <w:noWrap/>
            <w:vAlign w:val="center"/>
            <w:hideMark/>
          </w:tcPr>
          <w:p w14:paraId="7125E9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580" w:type="dxa"/>
            <w:tcBorders>
              <w:top w:val="nil"/>
            </w:tcBorders>
            <w:shd w:val="clear" w:color="auto" w:fill="E5E5E5" w:themeFill="background1" w:themeFillTint="33"/>
            <w:noWrap/>
            <w:vAlign w:val="center"/>
            <w:hideMark/>
          </w:tcPr>
          <w:p w14:paraId="56787F3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13.9</w:t>
            </w:r>
          </w:p>
        </w:tc>
        <w:tc>
          <w:tcPr>
            <w:tcW w:w="1580" w:type="dxa"/>
            <w:tcBorders>
              <w:top w:val="nil"/>
            </w:tcBorders>
            <w:shd w:val="clear" w:color="auto" w:fill="E5E5E5" w:themeFill="background1" w:themeFillTint="33"/>
            <w:noWrap/>
            <w:vAlign w:val="center"/>
            <w:hideMark/>
          </w:tcPr>
          <w:p w14:paraId="67B4E18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580" w:type="dxa"/>
            <w:tcBorders>
              <w:top w:val="nil"/>
            </w:tcBorders>
            <w:shd w:val="clear" w:color="auto" w:fill="E5E5E5" w:themeFill="background1" w:themeFillTint="33"/>
            <w:noWrap/>
            <w:vAlign w:val="center"/>
            <w:hideMark/>
          </w:tcPr>
          <w:p w14:paraId="213BF61F"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26.4</w:t>
            </w:r>
          </w:p>
        </w:tc>
        <w:tc>
          <w:tcPr>
            <w:tcW w:w="1580" w:type="dxa"/>
            <w:tcBorders>
              <w:top w:val="nil"/>
            </w:tcBorders>
            <w:shd w:val="clear" w:color="auto" w:fill="E5E5E5" w:themeFill="background1" w:themeFillTint="33"/>
            <w:noWrap/>
            <w:vAlign w:val="center"/>
            <w:hideMark/>
          </w:tcPr>
          <w:p w14:paraId="145DB81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r>
      <w:tr w:rsidR="00961617" w:rsidRPr="00545C7F" w14:paraId="46B432FB" w14:textId="77777777" w:rsidTr="0020771F">
        <w:trPr>
          <w:trHeight w:val="288"/>
        </w:trPr>
        <w:tc>
          <w:tcPr>
            <w:tcW w:w="5118" w:type="dxa"/>
            <w:tcBorders>
              <w:top w:val="nil"/>
            </w:tcBorders>
            <w:shd w:val="clear" w:color="auto" w:fill="FFFFFF" w:themeFill="background2"/>
            <w:vAlign w:val="center"/>
            <w:hideMark/>
          </w:tcPr>
          <w:p w14:paraId="4C49024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Females Stream 2</w:t>
            </w:r>
          </w:p>
        </w:tc>
        <w:tc>
          <w:tcPr>
            <w:tcW w:w="1580" w:type="dxa"/>
            <w:tcBorders>
              <w:top w:val="nil"/>
            </w:tcBorders>
            <w:shd w:val="clear" w:color="auto" w:fill="FFFFFF" w:themeFill="background2"/>
            <w:noWrap/>
            <w:vAlign w:val="center"/>
            <w:hideMark/>
          </w:tcPr>
          <w:p w14:paraId="27EA18F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36.5</w:t>
            </w:r>
          </w:p>
        </w:tc>
        <w:tc>
          <w:tcPr>
            <w:tcW w:w="1580" w:type="dxa"/>
            <w:tcBorders>
              <w:top w:val="nil"/>
            </w:tcBorders>
            <w:shd w:val="clear" w:color="auto" w:fill="FFFFFF" w:themeFill="background2"/>
            <w:noWrap/>
            <w:vAlign w:val="center"/>
            <w:hideMark/>
          </w:tcPr>
          <w:p w14:paraId="5ACBAEA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c>
          <w:tcPr>
            <w:tcW w:w="1580" w:type="dxa"/>
            <w:tcBorders>
              <w:top w:val="nil"/>
            </w:tcBorders>
            <w:shd w:val="clear" w:color="auto" w:fill="FFFFFF" w:themeFill="background2"/>
            <w:noWrap/>
            <w:vAlign w:val="center"/>
            <w:hideMark/>
          </w:tcPr>
          <w:p w14:paraId="52F7A24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21.5</w:t>
            </w:r>
          </w:p>
        </w:tc>
        <w:tc>
          <w:tcPr>
            <w:tcW w:w="1580" w:type="dxa"/>
            <w:tcBorders>
              <w:top w:val="nil"/>
            </w:tcBorders>
            <w:shd w:val="clear" w:color="auto" w:fill="FFFFFF" w:themeFill="background2"/>
            <w:noWrap/>
            <w:vAlign w:val="center"/>
            <w:hideMark/>
          </w:tcPr>
          <w:p w14:paraId="0119F37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tcBorders>
              <w:top w:val="nil"/>
            </w:tcBorders>
            <w:shd w:val="clear" w:color="auto" w:fill="FFFFFF" w:themeFill="background2"/>
            <w:noWrap/>
            <w:vAlign w:val="center"/>
            <w:hideMark/>
          </w:tcPr>
          <w:p w14:paraId="5B9EA68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42.0</w:t>
            </w:r>
          </w:p>
        </w:tc>
        <w:tc>
          <w:tcPr>
            <w:tcW w:w="1580" w:type="dxa"/>
            <w:tcBorders>
              <w:top w:val="nil"/>
            </w:tcBorders>
            <w:shd w:val="clear" w:color="auto" w:fill="FFFFFF" w:themeFill="background2"/>
            <w:noWrap/>
            <w:vAlign w:val="center"/>
            <w:hideMark/>
          </w:tcPr>
          <w:p w14:paraId="706751A6"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r>
      <w:tr w:rsidR="00961617" w:rsidRPr="00545C7F" w14:paraId="5839BC14" w14:textId="77777777" w:rsidTr="0020771F">
        <w:trPr>
          <w:trHeight w:val="288"/>
        </w:trPr>
        <w:tc>
          <w:tcPr>
            <w:tcW w:w="5118" w:type="dxa"/>
            <w:tcBorders>
              <w:top w:val="nil"/>
            </w:tcBorders>
            <w:shd w:val="clear" w:color="auto" w:fill="E5E5E5" w:themeFill="background1" w:themeFillTint="33"/>
            <w:vAlign w:val="center"/>
            <w:hideMark/>
          </w:tcPr>
          <w:p w14:paraId="0A14B3C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Females Stream 3</w:t>
            </w:r>
          </w:p>
        </w:tc>
        <w:tc>
          <w:tcPr>
            <w:tcW w:w="1580" w:type="dxa"/>
            <w:tcBorders>
              <w:top w:val="nil"/>
            </w:tcBorders>
            <w:shd w:val="clear" w:color="auto" w:fill="E5E5E5" w:themeFill="background1" w:themeFillTint="33"/>
            <w:noWrap/>
            <w:vAlign w:val="center"/>
            <w:hideMark/>
          </w:tcPr>
          <w:p w14:paraId="5740D48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16.0</w:t>
            </w:r>
          </w:p>
        </w:tc>
        <w:tc>
          <w:tcPr>
            <w:tcW w:w="1580" w:type="dxa"/>
            <w:tcBorders>
              <w:top w:val="nil"/>
            </w:tcBorders>
            <w:shd w:val="clear" w:color="auto" w:fill="E5E5E5" w:themeFill="background1" w:themeFillTint="33"/>
            <w:noWrap/>
            <w:vAlign w:val="center"/>
            <w:hideMark/>
          </w:tcPr>
          <w:p w14:paraId="6D25D14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580" w:type="dxa"/>
            <w:tcBorders>
              <w:top w:val="nil"/>
            </w:tcBorders>
            <w:shd w:val="clear" w:color="auto" w:fill="E5E5E5" w:themeFill="background1" w:themeFillTint="33"/>
            <w:noWrap/>
            <w:vAlign w:val="center"/>
            <w:hideMark/>
          </w:tcPr>
          <w:p w14:paraId="5ED9636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21.5</w:t>
            </w:r>
          </w:p>
        </w:tc>
        <w:tc>
          <w:tcPr>
            <w:tcW w:w="1580" w:type="dxa"/>
            <w:tcBorders>
              <w:top w:val="nil"/>
            </w:tcBorders>
            <w:shd w:val="clear" w:color="auto" w:fill="E5E5E5" w:themeFill="background1" w:themeFillTint="33"/>
            <w:noWrap/>
            <w:vAlign w:val="center"/>
            <w:hideMark/>
          </w:tcPr>
          <w:p w14:paraId="54C780F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580" w:type="dxa"/>
            <w:tcBorders>
              <w:top w:val="nil"/>
            </w:tcBorders>
            <w:shd w:val="clear" w:color="auto" w:fill="E5E5E5" w:themeFill="background1" w:themeFillTint="33"/>
            <w:noWrap/>
            <w:vAlign w:val="center"/>
            <w:hideMark/>
          </w:tcPr>
          <w:p w14:paraId="04AC85E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62.5</w:t>
            </w:r>
          </w:p>
        </w:tc>
        <w:tc>
          <w:tcPr>
            <w:tcW w:w="1580" w:type="dxa"/>
            <w:tcBorders>
              <w:top w:val="nil"/>
            </w:tcBorders>
            <w:shd w:val="clear" w:color="auto" w:fill="E5E5E5" w:themeFill="background1" w:themeFillTint="33"/>
            <w:noWrap/>
            <w:vAlign w:val="center"/>
            <w:hideMark/>
          </w:tcPr>
          <w:p w14:paraId="699A1C3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r>
      <w:tr w:rsidR="00961617" w:rsidRPr="00545C7F" w14:paraId="025A0C54" w14:textId="77777777" w:rsidTr="0020771F">
        <w:trPr>
          <w:trHeight w:val="288"/>
        </w:trPr>
        <w:tc>
          <w:tcPr>
            <w:tcW w:w="5118" w:type="dxa"/>
            <w:tcBorders>
              <w:top w:val="nil"/>
            </w:tcBorders>
            <w:shd w:val="clear" w:color="auto" w:fill="FFFFFF" w:themeFill="background2"/>
            <w:vAlign w:val="center"/>
            <w:hideMark/>
          </w:tcPr>
          <w:p w14:paraId="39F1316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Females Stream 4</w:t>
            </w:r>
          </w:p>
        </w:tc>
        <w:tc>
          <w:tcPr>
            <w:tcW w:w="1580" w:type="dxa"/>
            <w:tcBorders>
              <w:top w:val="nil"/>
            </w:tcBorders>
            <w:shd w:val="clear" w:color="auto" w:fill="FFFFFF" w:themeFill="background2"/>
            <w:noWrap/>
            <w:vAlign w:val="center"/>
            <w:hideMark/>
          </w:tcPr>
          <w:p w14:paraId="7500B94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25.8</w:t>
            </w:r>
          </w:p>
        </w:tc>
        <w:tc>
          <w:tcPr>
            <w:tcW w:w="1580" w:type="dxa"/>
            <w:tcBorders>
              <w:top w:val="nil"/>
            </w:tcBorders>
            <w:shd w:val="clear" w:color="auto" w:fill="FFFFFF" w:themeFill="background2"/>
            <w:noWrap/>
            <w:vAlign w:val="center"/>
            <w:hideMark/>
          </w:tcPr>
          <w:p w14:paraId="37D0742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580" w:type="dxa"/>
            <w:tcBorders>
              <w:top w:val="nil"/>
            </w:tcBorders>
            <w:shd w:val="clear" w:color="auto" w:fill="FFFFFF" w:themeFill="background2"/>
            <w:noWrap/>
            <w:vAlign w:val="center"/>
            <w:hideMark/>
          </w:tcPr>
          <w:p w14:paraId="53046E7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11.7</w:t>
            </w:r>
          </w:p>
        </w:tc>
        <w:tc>
          <w:tcPr>
            <w:tcW w:w="1580" w:type="dxa"/>
            <w:tcBorders>
              <w:top w:val="nil"/>
            </w:tcBorders>
            <w:shd w:val="clear" w:color="auto" w:fill="FFFFFF" w:themeFill="background2"/>
            <w:noWrap/>
            <w:vAlign w:val="center"/>
            <w:hideMark/>
          </w:tcPr>
          <w:p w14:paraId="6C0E4F2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tcBorders>
              <w:top w:val="nil"/>
            </w:tcBorders>
            <w:shd w:val="clear" w:color="auto" w:fill="FFFFFF" w:themeFill="background2"/>
            <w:noWrap/>
            <w:vAlign w:val="center"/>
            <w:hideMark/>
          </w:tcPr>
          <w:p w14:paraId="7BFE698B"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62.5</w:t>
            </w:r>
          </w:p>
        </w:tc>
        <w:tc>
          <w:tcPr>
            <w:tcW w:w="1580" w:type="dxa"/>
            <w:tcBorders>
              <w:top w:val="nil"/>
            </w:tcBorders>
            <w:shd w:val="clear" w:color="auto" w:fill="FFFFFF" w:themeFill="background2"/>
            <w:noWrap/>
            <w:vAlign w:val="center"/>
            <w:hideMark/>
          </w:tcPr>
          <w:p w14:paraId="6A24017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r>
      <w:tr w:rsidR="00961617" w:rsidRPr="00545C7F" w14:paraId="3CCD93F7" w14:textId="77777777" w:rsidTr="0020771F">
        <w:trPr>
          <w:trHeight w:val="276"/>
        </w:trPr>
        <w:tc>
          <w:tcPr>
            <w:tcW w:w="5118" w:type="dxa"/>
            <w:shd w:val="clear" w:color="auto" w:fill="E5E5E5" w:themeFill="background1" w:themeFillTint="33"/>
            <w:vAlign w:val="center"/>
            <w:hideMark/>
          </w:tcPr>
          <w:p w14:paraId="5397A5E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Youth (under 25 years), total</w:t>
            </w:r>
          </w:p>
        </w:tc>
        <w:tc>
          <w:tcPr>
            <w:tcW w:w="1580" w:type="dxa"/>
            <w:shd w:val="clear" w:color="auto" w:fill="E5E5E5" w:themeFill="background1" w:themeFillTint="33"/>
            <w:noWrap/>
            <w:vAlign w:val="center"/>
            <w:hideMark/>
          </w:tcPr>
          <w:p w14:paraId="7BC4F313"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w:t>
            </w:r>
          </w:p>
        </w:tc>
        <w:tc>
          <w:tcPr>
            <w:tcW w:w="1580" w:type="dxa"/>
            <w:shd w:val="clear" w:color="auto" w:fill="E5E5E5" w:themeFill="background1" w:themeFillTint="33"/>
            <w:noWrap/>
            <w:vAlign w:val="center"/>
            <w:hideMark/>
          </w:tcPr>
          <w:p w14:paraId="4DAE14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580" w:type="dxa"/>
            <w:shd w:val="clear" w:color="auto" w:fill="E5E5E5" w:themeFill="background1" w:themeFillTint="33"/>
            <w:noWrap/>
            <w:vAlign w:val="center"/>
            <w:hideMark/>
          </w:tcPr>
          <w:p w14:paraId="2A5211B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9.6</w:t>
            </w:r>
          </w:p>
        </w:tc>
        <w:tc>
          <w:tcPr>
            <w:tcW w:w="1580" w:type="dxa"/>
            <w:shd w:val="clear" w:color="auto" w:fill="E5E5E5" w:themeFill="background1" w:themeFillTint="33"/>
            <w:noWrap/>
            <w:vAlign w:val="center"/>
            <w:hideMark/>
          </w:tcPr>
          <w:p w14:paraId="297F0A0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shd w:val="clear" w:color="auto" w:fill="E5E5E5" w:themeFill="background1" w:themeFillTint="33"/>
            <w:noWrap/>
            <w:vAlign w:val="center"/>
            <w:hideMark/>
          </w:tcPr>
          <w:p w14:paraId="09AF7E64"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32.3</w:t>
            </w:r>
          </w:p>
        </w:tc>
        <w:tc>
          <w:tcPr>
            <w:tcW w:w="1580" w:type="dxa"/>
            <w:shd w:val="clear" w:color="auto" w:fill="E5E5E5" w:themeFill="background1" w:themeFillTint="33"/>
            <w:noWrap/>
            <w:vAlign w:val="center"/>
            <w:hideMark/>
          </w:tcPr>
          <w:p w14:paraId="2C90746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r>
      <w:tr w:rsidR="00961617" w:rsidRPr="00545C7F" w14:paraId="55A3FD3A" w14:textId="77777777" w:rsidTr="0020771F">
        <w:trPr>
          <w:trHeight w:val="288"/>
        </w:trPr>
        <w:tc>
          <w:tcPr>
            <w:tcW w:w="5118" w:type="dxa"/>
            <w:tcBorders>
              <w:top w:val="nil"/>
            </w:tcBorders>
            <w:shd w:val="clear" w:color="auto" w:fill="FFFFFF" w:themeFill="background2"/>
            <w:vAlign w:val="center"/>
            <w:hideMark/>
          </w:tcPr>
          <w:p w14:paraId="35B245B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Youth Stream 1</w:t>
            </w:r>
          </w:p>
        </w:tc>
        <w:tc>
          <w:tcPr>
            <w:tcW w:w="1580" w:type="dxa"/>
            <w:tcBorders>
              <w:top w:val="nil"/>
            </w:tcBorders>
            <w:shd w:val="clear" w:color="auto" w:fill="FFFFFF" w:themeFill="background2"/>
            <w:noWrap/>
            <w:vAlign w:val="center"/>
            <w:hideMark/>
          </w:tcPr>
          <w:p w14:paraId="132884C6"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63.1</w:t>
            </w:r>
          </w:p>
        </w:tc>
        <w:tc>
          <w:tcPr>
            <w:tcW w:w="1580" w:type="dxa"/>
            <w:tcBorders>
              <w:top w:val="nil"/>
            </w:tcBorders>
            <w:shd w:val="clear" w:color="auto" w:fill="FFFFFF" w:themeFill="background2"/>
            <w:noWrap/>
            <w:vAlign w:val="center"/>
            <w:hideMark/>
          </w:tcPr>
          <w:p w14:paraId="147A61D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580" w:type="dxa"/>
            <w:tcBorders>
              <w:top w:val="nil"/>
            </w:tcBorders>
            <w:shd w:val="clear" w:color="auto" w:fill="FFFFFF" w:themeFill="background2"/>
            <w:noWrap/>
            <w:vAlign w:val="center"/>
            <w:hideMark/>
          </w:tcPr>
          <w:p w14:paraId="3609557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w:t>
            </w:r>
          </w:p>
        </w:tc>
        <w:tc>
          <w:tcPr>
            <w:tcW w:w="1580" w:type="dxa"/>
            <w:tcBorders>
              <w:top w:val="nil"/>
            </w:tcBorders>
            <w:shd w:val="clear" w:color="auto" w:fill="FFFFFF" w:themeFill="background2"/>
            <w:noWrap/>
            <w:vAlign w:val="center"/>
            <w:hideMark/>
          </w:tcPr>
          <w:p w14:paraId="1F21A66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580" w:type="dxa"/>
            <w:tcBorders>
              <w:top w:val="nil"/>
            </w:tcBorders>
            <w:shd w:val="clear" w:color="auto" w:fill="FFFFFF" w:themeFill="background2"/>
            <w:noWrap/>
            <w:vAlign w:val="center"/>
            <w:hideMark/>
          </w:tcPr>
          <w:p w14:paraId="68FA93C3"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27.9</w:t>
            </w:r>
          </w:p>
        </w:tc>
        <w:tc>
          <w:tcPr>
            <w:tcW w:w="1580" w:type="dxa"/>
            <w:tcBorders>
              <w:top w:val="nil"/>
            </w:tcBorders>
            <w:shd w:val="clear" w:color="auto" w:fill="FFFFFF" w:themeFill="background2"/>
            <w:noWrap/>
            <w:vAlign w:val="center"/>
            <w:hideMark/>
          </w:tcPr>
          <w:p w14:paraId="70039CD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r>
      <w:tr w:rsidR="00961617" w:rsidRPr="00545C7F" w14:paraId="27C75687" w14:textId="77777777" w:rsidTr="0020771F">
        <w:trPr>
          <w:trHeight w:val="288"/>
        </w:trPr>
        <w:tc>
          <w:tcPr>
            <w:tcW w:w="5118" w:type="dxa"/>
            <w:tcBorders>
              <w:top w:val="nil"/>
            </w:tcBorders>
            <w:shd w:val="clear" w:color="auto" w:fill="E5E5E5" w:themeFill="background1" w:themeFillTint="33"/>
            <w:vAlign w:val="center"/>
            <w:hideMark/>
          </w:tcPr>
          <w:p w14:paraId="0F368B4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Youth Stream 2</w:t>
            </w:r>
          </w:p>
        </w:tc>
        <w:tc>
          <w:tcPr>
            <w:tcW w:w="1580" w:type="dxa"/>
            <w:tcBorders>
              <w:top w:val="nil"/>
            </w:tcBorders>
            <w:shd w:val="clear" w:color="auto" w:fill="E5E5E5" w:themeFill="background1" w:themeFillTint="33"/>
            <w:noWrap/>
            <w:vAlign w:val="center"/>
            <w:hideMark/>
          </w:tcPr>
          <w:p w14:paraId="3A8A5AF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45.1</w:t>
            </w:r>
          </w:p>
        </w:tc>
        <w:tc>
          <w:tcPr>
            <w:tcW w:w="1580" w:type="dxa"/>
            <w:tcBorders>
              <w:top w:val="nil"/>
            </w:tcBorders>
            <w:shd w:val="clear" w:color="auto" w:fill="E5E5E5" w:themeFill="background1" w:themeFillTint="33"/>
            <w:noWrap/>
            <w:vAlign w:val="center"/>
            <w:hideMark/>
          </w:tcPr>
          <w:p w14:paraId="68D0A1B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580" w:type="dxa"/>
            <w:tcBorders>
              <w:top w:val="nil"/>
            </w:tcBorders>
            <w:shd w:val="clear" w:color="auto" w:fill="E5E5E5" w:themeFill="background1" w:themeFillTint="33"/>
            <w:noWrap/>
            <w:vAlign w:val="center"/>
            <w:hideMark/>
          </w:tcPr>
          <w:p w14:paraId="26D846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12.4</w:t>
            </w:r>
          </w:p>
        </w:tc>
        <w:tc>
          <w:tcPr>
            <w:tcW w:w="1580" w:type="dxa"/>
            <w:tcBorders>
              <w:top w:val="nil"/>
            </w:tcBorders>
            <w:shd w:val="clear" w:color="auto" w:fill="E5E5E5" w:themeFill="background1" w:themeFillTint="33"/>
            <w:noWrap/>
            <w:vAlign w:val="center"/>
            <w:hideMark/>
          </w:tcPr>
          <w:p w14:paraId="52122A0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p>
        </w:tc>
        <w:tc>
          <w:tcPr>
            <w:tcW w:w="1580" w:type="dxa"/>
            <w:tcBorders>
              <w:top w:val="nil"/>
            </w:tcBorders>
            <w:shd w:val="clear" w:color="auto" w:fill="E5E5E5" w:themeFill="background1" w:themeFillTint="33"/>
            <w:noWrap/>
            <w:vAlign w:val="center"/>
            <w:hideMark/>
          </w:tcPr>
          <w:p w14:paraId="1DE3EA8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42.5</w:t>
            </w:r>
          </w:p>
        </w:tc>
        <w:tc>
          <w:tcPr>
            <w:tcW w:w="1580" w:type="dxa"/>
            <w:tcBorders>
              <w:top w:val="nil"/>
            </w:tcBorders>
            <w:shd w:val="clear" w:color="auto" w:fill="E5E5E5" w:themeFill="background1" w:themeFillTint="33"/>
            <w:noWrap/>
            <w:vAlign w:val="center"/>
            <w:hideMark/>
          </w:tcPr>
          <w:p w14:paraId="4BA8DA3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r>
      <w:tr w:rsidR="00961617" w:rsidRPr="00545C7F" w14:paraId="7F3C2946" w14:textId="77777777" w:rsidTr="0020771F">
        <w:trPr>
          <w:trHeight w:val="288"/>
        </w:trPr>
        <w:tc>
          <w:tcPr>
            <w:tcW w:w="5118" w:type="dxa"/>
            <w:tcBorders>
              <w:top w:val="nil"/>
            </w:tcBorders>
            <w:shd w:val="clear" w:color="auto" w:fill="FFFFFF" w:themeFill="background2"/>
            <w:vAlign w:val="center"/>
            <w:hideMark/>
          </w:tcPr>
          <w:p w14:paraId="254F52E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Youth Stream 3</w:t>
            </w:r>
          </w:p>
        </w:tc>
        <w:tc>
          <w:tcPr>
            <w:tcW w:w="1580" w:type="dxa"/>
            <w:tcBorders>
              <w:top w:val="nil"/>
            </w:tcBorders>
            <w:shd w:val="clear" w:color="auto" w:fill="FFFFFF" w:themeFill="background2"/>
            <w:noWrap/>
            <w:vAlign w:val="center"/>
            <w:hideMark/>
          </w:tcPr>
          <w:p w14:paraId="6F2B79C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26.9</w:t>
            </w:r>
          </w:p>
        </w:tc>
        <w:tc>
          <w:tcPr>
            <w:tcW w:w="1580" w:type="dxa"/>
            <w:tcBorders>
              <w:top w:val="nil"/>
            </w:tcBorders>
            <w:shd w:val="clear" w:color="auto" w:fill="FFFFFF" w:themeFill="background2"/>
            <w:noWrap/>
            <w:vAlign w:val="center"/>
            <w:hideMark/>
          </w:tcPr>
          <w:p w14:paraId="71EB7A5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580" w:type="dxa"/>
            <w:tcBorders>
              <w:top w:val="nil"/>
            </w:tcBorders>
            <w:shd w:val="clear" w:color="auto" w:fill="FFFFFF" w:themeFill="background2"/>
            <w:noWrap/>
            <w:vAlign w:val="center"/>
            <w:hideMark/>
          </w:tcPr>
          <w:p w14:paraId="71C06A1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11.3</w:t>
            </w:r>
          </w:p>
        </w:tc>
        <w:tc>
          <w:tcPr>
            <w:tcW w:w="1580" w:type="dxa"/>
            <w:tcBorders>
              <w:top w:val="nil"/>
            </w:tcBorders>
            <w:shd w:val="clear" w:color="auto" w:fill="FFFFFF" w:themeFill="background2"/>
            <w:noWrap/>
            <w:vAlign w:val="center"/>
            <w:hideMark/>
          </w:tcPr>
          <w:p w14:paraId="7DB2C72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tcBorders>
              <w:top w:val="nil"/>
            </w:tcBorders>
            <w:shd w:val="clear" w:color="auto" w:fill="FFFFFF" w:themeFill="background2"/>
            <w:noWrap/>
            <w:vAlign w:val="center"/>
            <w:hideMark/>
          </w:tcPr>
          <w:p w14:paraId="4E8EF21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61.8</w:t>
            </w:r>
          </w:p>
        </w:tc>
        <w:tc>
          <w:tcPr>
            <w:tcW w:w="1580" w:type="dxa"/>
            <w:tcBorders>
              <w:top w:val="nil"/>
            </w:tcBorders>
            <w:shd w:val="clear" w:color="auto" w:fill="FFFFFF" w:themeFill="background2"/>
            <w:noWrap/>
            <w:vAlign w:val="center"/>
            <w:hideMark/>
          </w:tcPr>
          <w:p w14:paraId="5CE95A5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r>
      <w:tr w:rsidR="00961617" w:rsidRPr="00545C7F" w14:paraId="3A4CA043" w14:textId="77777777" w:rsidTr="0020771F">
        <w:trPr>
          <w:trHeight w:val="288"/>
        </w:trPr>
        <w:tc>
          <w:tcPr>
            <w:tcW w:w="5118" w:type="dxa"/>
            <w:tcBorders>
              <w:top w:val="nil"/>
            </w:tcBorders>
            <w:shd w:val="clear" w:color="auto" w:fill="E5E5E5" w:themeFill="background1" w:themeFillTint="33"/>
            <w:vAlign w:val="center"/>
            <w:hideMark/>
          </w:tcPr>
          <w:p w14:paraId="420868E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Youth  Stream 4</w:t>
            </w:r>
          </w:p>
        </w:tc>
        <w:tc>
          <w:tcPr>
            <w:tcW w:w="1580" w:type="dxa"/>
            <w:tcBorders>
              <w:top w:val="nil"/>
            </w:tcBorders>
            <w:shd w:val="clear" w:color="auto" w:fill="E5E5E5" w:themeFill="background1" w:themeFillTint="33"/>
            <w:noWrap/>
            <w:vAlign w:val="center"/>
            <w:hideMark/>
          </w:tcPr>
          <w:p w14:paraId="57AE27BC"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35.9</w:t>
            </w:r>
          </w:p>
        </w:tc>
        <w:tc>
          <w:tcPr>
            <w:tcW w:w="1580" w:type="dxa"/>
            <w:tcBorders>
              <w:top w:val="nil"/>
            </w:tcBorders>
            <w:shd w:val="clear" w:color="auto" w:fill="E5E5E5" w:themeFill="background1" w:themeFillTint="33"/>
            <w:noWrap/>
            <w:vAlign w:val="center"/>
            <w:hideMark/>
          </w:tcPr>
          <w:p w14:paraId="4F3736C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580" w:type="dxa"/>
            <w:tcBorders>
              <w:top w:val="nil"/>
            </w:tcBorders>
            <w:shd w:val="clear" w:color="auto" w:fill="E5E5E5" w:themeFill="background1" w:themeFillTint="33"/>
            <w:noWrap/>
            <w:vAlign w:val="center"/>
            <w:hideMark/>
          </w:tcPr>
          <w:p w14:paraId="143C73B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c>
          <w:tcPr>
            <w:tcW w:w="1580" w:type="dxa"/>
            <w:tcBorders>
              <w:top w:val="nil"/>
            </w:tcBorders>
            <w:shd w:val="clear" w:color="auto" w:fill="E5E5E5" w:themeFill="background1" w:themeFillTint="33"/>
            <w:noWrap/>
            <w:vAlign w:val="center"/>
            <w:hideMark/>
          </w:tcPr>
          <w:p w14:paraId="6E2EFE2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tcBorders>
              <w:top w:val="nil"/>
            </w:tcBorders>
            <w:shd w:val="clear" w:color="auto" w:fill="E5E5E5" w:themeFill="background1" w:themeFillTint="33"/>
            <w:noWrap/>
            <w:vAlign w:val="center"/>
            <w:hideMark/>
          </w:tcPr>
          <w:p w14:paraId="1BD9087E"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58.5</w:t>
            </w:r>
          </w:p>
        </w:tc>
        <w:tc>
          <w:tcPr>
            <w:tcW w:w="1580" w:type="dxa"/>
            <w:tcBorders>
              <w:top w:val="nil"/>
            </w:tcBorders>
            <w:shd w:val="clear" w:color="auto" w:fill="E5E5E5" w:themeFill="background1" w:themeFillTint="33"/>
            <w:noWrap/>
            <w:vAlign w:val="center"/>
            <w:hideMark/>
          </w:tcPr>
          <w:p w14:paraId="70279A0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r>
      <w:tr w:rsidR="00961617" w:rsidRPr="00545C7F" w14:paraId="555C4D12" w14:textId="77777777" w:rsidTr="0020771F">
        <w:trPr>
          <w:trHeight w:val="288"/>
        </w:trPr>
        <w:tc>
          <w:tcPr>
            <w:tcW w:w="5118" w:type="dxa"/>
            <w:shd w:val="clear" w:color="auto" w:fill="FFFFFF" w:themeFill="background2"/>
            <w:vAlign w:val="center"/>
            <w:hideMark/>
          </w:tcPr>
          <w:p w14:paraId="28ACFA4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Aged 25 to 30 years, total</w:t>
            </w:r>
          </w:p>
        </w:tc>
        <w:tc>
          <w:tcPr>
            <w:tcW w:w="1580" w:type="dxa"/>
            <w:shd w:val="clear" w:color="auto" w:fill="FFFFFF" w:themeFill="background2"/>
            <w:noWrap/>
            <w:vAlign w:val="center"/>
            <w:hideMark/>
          </w:tcPr>
          <w:p w14:paraId="0F0ABB7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61.4</w:t>
            </w:r>
          </w:p>
        </w:tc>
        <w:tc>
          <w:tcPr>
            <w:tcW w:w="1580" w:type="dxa"/>
            <w:shd w:val="clear" w:color="auto" w:fill="FFFFFF" w:themeFill="background2"/>
            <w:noWrap/>
            <w:vAlign w:val="center"/>
            <w:hideMark/>
          </w:tcPr>
          <w:p w14:paraId="29C6316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w:t>
            </w:r>
          </w:p>
        </w:tc>
        <w:tc>
          <w:tcPr>
            <w:tcW w:w="1580" w:type="dxa"/>
            <w:shd w:val="clear" w:color="auto" w:fill="FFFFFF" w:themeFill="background2"/>
            <w:noWrap/>
            <w:vAlign w:val="center"/>
            <w:hideMark/>
          </w:tcPr>
          <w:p w14:paraId="3362E5B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w:t>
            </w:r>
          </w:p>
        </w:tc>
        <w:tc>
          <w:tcPr>
            <w:tcW w:w="1580" w:type="dxa"/>
            <w:shd w:val="clear" w:color="auto" w:fill="FFFFFF" w:themeFill="background2"/>
            <w:noWrap/>
            <w:vAlign w:val="center"/>
            <w:hideMark/>
          </w:tcPr>
          <w:p w14:paraId="74142D8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w:t>
            </w:r>
          </w:p>
        </w:tc>
        <w:tc>
          <w:tcPr>
            <w:tcW w:w="1580" w:type="dxa"/>
            <w:shd w:val="clear" w:color="auto" w:fill="FFFFFF" w:themeFill="background2"/>
            <w:noWrap/>
            <w:vAlign w:val="center"/>
            <w:hideMark/>
          </w:tcPr>
          <w:p w14:paraId="45241BF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29.7</w:t>
            </w:r>
          </w:p>
        </w:tc>
        <w:tc>
          <w:tcPr>
            <w:tcW w:w="1580" w:type="dxa"/>
            <w:shd w:val="clear" w:color="auto" w:fill="FFFFFF" w:themeFill="background2"/>
            <w:noWrap/>
            <w:vAlign w:val="center"/>
            <w:hideMark/>
          </w:tcPr>
          <w:p w14:paraId="1550BC8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r>
      <w:tr w:rsidR="00961617" w:rsidRPr="00545C7F" w14:paraId="2AE9C528" w14:textId="77777777" w:rsidTr="0020771F">
        <w:trPr>
          <w:trHeight w:val="276"/>
        </w:trPr>
        <w:tc>
          <w:tcPr>
            <w:tcW w:w="5118" w:type="dxa"/>
            <w:tcBorders>
              <w:top w:val="nil"/>
            </w:tcBorders>
            <w:shd w:val="clear" w:color="auto" w:fill="E5E5E5" w:themeFill="background1" w:themeFillTint="33"/>
            <w:vAlign w:val="center"/>
            <w:hideMark/>
          </w:tcPr>
          <w:p w14:paraId="51058BD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 25 to 30 Stream 1</w:t>
            </w:r>
          </w:p>
        </w:tc>
        <w:tc>
          <w:tcPr>
            <w:tcW w:w="1580" w:type="dxa"/>
            <w:tcBorders>
              <w:top w:val="nil"/>
            </w:tcBorders>
            <w:shd w:val="clear" w:color="auto" w:fill="E5E5E5" w:themeFill="background1" w:themeFillTint="33"/>
            <w:noWrap/>
            <w:vAlign w:val="center"/>
            <w:hideMark/>
          </w:tcPr>
          <w:p w14:paraId="5CD1E0C9"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66.3</w:t>
            </w:r>
          </w:p>
        </w:tc>
        <w:tc>
          <w:tcPr>
            <w:tcW w:w="1580" w:type="dxa"/>
            <w:tcBorders>
              <w:top w:val="nil"/>
            </w:tcBorders>
            <w:shd w:val="clear" w:color="auto" w:fill="E5E5E5" w:themeFill="background1" w:themeFillTint="33"/>
            <w:noWrap/>
            <w:vAlign w:val="center"/>
            <w:hideMark/>
          </w:tcPr>
          <w:p w14:paraId="7AA975A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580" w:type="dxa"/>
            <w:tcBorders>
              <w:top w:val="nil"/>
            </w:tcBorders>
            <w:shd w:val="clear" w:color="auto" w:fill="E5E5E5" w:themeFill="background1" w:themeFillTint="33"/>
            <w:noWrap/>
            <w:vAlign w:val="center"/>
            <w:hideMark/>
          </w:tcPr>
          <w:p w14:paraId="52128FE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580" w:type="dxa"/>
            <w:tcBorders>
              <w:top w:val="nil"/>
            </w:tcBorders>
            <w:shd w:val="clear" w:color="auto" w:fill="E5E5E5" w:themeFill="background1" w:themeFillTint="33"/>
            <w:noWrap/>
            <w:vAlign w:val="center"/>
            <w:hideMark/>
          </w:tcPr>
          <w:p w14:paraId="2D2893C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E5E5E5" w:themeFill="background1" w:themeFillTint="33"/>
            <w:noWrap/>
            <w:vAlign w:val="center"/>
            <w:hideMark/>
          </w:tcPr>
          <w:p w14:paraId="08B9E58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25.8</w:t>
            </w:r>
          </w:p>
        </w:tc>
        <w:tc>
          <w:tcPr>
            <w:tcW w:w="1580" w:type="dxa"/>
            <w:tcBorders>
              <w:top w:val="nil"/>
            </w:tcBorders>
            <w:shd w:val="clear" w:color="auto" w:fill="E5E5E5" w:themeFill="background1" w:themeFillTint="33"/>
            <w:noWrap/>
            <w:vAlign w:val="center"/>
            <w:hideMark/>
          </w:tcPr>
          <w:p w14:paraId="5EA63FC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r>
      <w:tr w:rsidR="00961617" w:rsidRPr="00545C7F" w14:paraId="725E1E5F" w14:textId="77777777" w:rsidTr="0020771F">
        <w:trPr>
          <w:trHeight w:val="276"/>
        </w:trPr>
        <w:tc>
          <w:tcPr>
            <w:tcW w:w="5118" w:type="dxa"/>
            <w:tcBorders>
              <w:top w:val="nil"/>
            </w:tcBorders>
            <w:shd w:val="clear" w:color="auto" w:fill="FFFFFF" w:themeFill="background2"/>
            <w:vAlign w:val="center"/>
            <w:hideMark/>
          </w:tcPr>
          <w:p w14:paraId="653D5FC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 25 to 30 Stream 2</w:t>
            </w:r>
          </w:p>
        </w:tc>
        <w:tc>
          <w:tcPr>
            <w:tcW w:w="1580" w:type="dxa"/>
            <w:tcBorders>
              <w:top w:val="nil"/>
            </w:tcBorders>
            <w:shd w:val="clear" w:color="auto" w:fill="FFFFFF" w:themeFill="background2"/>
            <w:noWrap/>
            <w:vAlign w:val="center"/>
            <w:hideMark/>
          </w:tcPr>
          <w:p w14:paraId="7E9043BC"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38.2</w:t>
            </w:r>
          </w:p>
        </w:tc>
        <w:tc>
          <w:tcPr>
            <w:tcW w:w="1580" w:type="dxa"/>
            <w:tcBorders>
              <w:top w:val="nil"/>
            </w:tcBorders>
            <w:shd w:val="clear" w:color="auto" w:fill="FFFFFF" w:themeFill="background2"/>
            <w:noWrap/>
            <w:vAlign w:val="center"/>
            <w:hideMark/>
          </w:tcPr>
          <w:p w14:paraId="7F83797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580" w:type="dxa"/>
            <w:tcBorders>
              <w:top w:val="nil"/>
            </w:tcBorders>
            <w:shd w:val="clear" w:color="auto" w:fill="FFFFFF" w:themeFill="background2"/>
            <w:noWrap/>
            <w:vAlign w:val="center"/>
            <w:hideMark/>
          </w:tcPr>
          <w:p w14:paraId="71D7689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15.4</w:t>
            </w:r>
          </w:p>
        </w:tc>
        <w:tc>
          <w:tcPr>
            <w:tcW w:w="1580" w:type="dxa"/>
            <w:tcBorders>
              <w:top w:val="nil"/>
            </w:tcBorders>
            <w:shd w:val="clear" w:color="auto" w:fill="FFFFFF" w:themeFill="background2"/>
            <w:noWrap/>
            <w:vAlign w:val="center"/>
            <w:hideMark/>
          </w:tcPr>
          <w:p w14:paraId="6FD3BEF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p>
        </w:tc>
        <w:tc>
          <w:tcPr>
            <w:tcW w:w="1580" w:type="dxa"/>
            <w:tcBorders>
              <w:top w:val="nil"/>
            </w:tcBorders>
            <w:shd w:val="clear" w:color="auto" w:fill="FFFFFF" w:themeFill="background2"/>
            <w:noWrap/>
            <w:vAlign w:val="center"/>
            <w:hideMark/>
          </w:tcPr>
          <w:p w14:paraId="29521BC4"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46.4</w:t>
            </w:r>
          </w:p>
        </w:tc>
        <w:tc>
          <w:tcPr>
            <w:tcW w:w="1580" w:type="dxa"/>
            <w:tcBorders>
              <w:top w:val="nil"/>
            </w:tcBorders>
            <w:shd w:val="clear" w:color="auto" w:fill="FFFFFF" w:themeFill="background2"/>
            <w:noWrap/>
            <w:vAlign w:val="center"/>
            <w:hideMark/>
          </w:tcPr>
          <w:p w14:paraId="4E0008C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r>
      <w:tr w:rsidR="00961617" w:rsidRPr="00545C7F" w14:paraId="7E4C86F4" w14:textId="77777777" w:rsidTr="0020771F">
        <w:trPr>
          <w:trHeight w:val="276"/>
        </w:trPr>
        <w:tc>
          <w:tcPr>
            <w:tcW w:w="5118" w:type="dxa"/>
            <w:tcBorders>
              <w:top w:val="nil"/>
            </w:tcBorders>
            <w:shd w:val="clear" w:color="auto" w:fill="E5E5E5" w:themeFill="background1" w:themeFillTint="33"/>
            <w:vAlign w:val="center"/>
            <w:hideMark/>
          </w:tcPr>
          <w:p w14:paraId="1FC01F6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 25 to 30  Stream 3</w:t>
            </w:r>
          </w:p>
        </w:tc>
        <w:tc>
          <w:tcPr>
            <w:tcW w:w="1580" w:type="dxa"/>
            <w:tcBorders>
              <w:top w:val="nil"/>
            </w:tcBorders>
            <w:shd w:val="clear" w:color="auto" w:fill="E5E5E5" w:themeFill="background1" w:themeFillTint="33"/>
            <w:noWrap/>
            <w:vAlign w:val="center"/>
            <w:hideMark/>
          </w:tcPr>
          <w:p w14:paraId="28821DE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13.5</w:t>
            </w:r>
          </w:p>
        </w:tc>
        <w:tc>
          <w:tcPr>
            <w:tcW w:w="1580" w:type="dxa"/>
            <w:tcBorders>
              <w:top w:val="nil"/>
            </w:tcBorders>
            <w:shd w:val="clear" w:color="auto" w:fill="E5E5E5" w:themeFill="background1" w:themeFillTint="33"/>
            <w:noWrap/>
            <w:vAlign w:val="center"/>
            <w:hideMark/>
          </w:tcPr>
          <w:p w14:paraId="22C2963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580" w:type="dxa"/>
            <w:tcBorders>
              <w:top w:val="nil"/>
            </w:tcBorders>
            <w:shd w:val="clear" w:color="auto" w:fill="E5E5E5" w:themeFill="background1" w:themeFillTint="33"/>
            <w:noWrap/>
            <w:vAlign w:val="center"/>
            <w:hideMark/>
          </w:tcPr>
          <w:p w14:paraId="1E0A822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20.4</w:t>
            </w:r>
          </w:p>
        </w:tc>
        <w:tc>
          <w:tcPr>
            <w:tcW w:w="1580" w:type="dxa"/>
            <w:tcBorders>
              <w:top w:val="nil"/>
            </w:tcBorders>
            <w:shd w:val="clear" w:color="auto" w:fill="E5E5E5" w:themeFill="background1" w:themeFillTint="33"/>
            <w:noWrap/>
            <w:vAlign w:val="center"/>
            <w:hideMark/>
          </w:tcPr>
          <w:p w14:paraId="142F931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580" w:type="dxa"/>
            <w:tcBorders>
              <w:top w:val="nil"/>
            </w:tcBorders>
            <w:shd w:val="clear" w:color="auto" w:fill="E5E5E5" w:themeFill="background1" w:themeFillTint="33"/>
            <w:noWrap/>
            <w:vAlign w:val="center"/>
            <w:hideMark/>
          </w:tcPr>
          <w:p w14:paraId="0029D3E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66.1</w:t>
            </w:r>
          </w:p>
        </w:tc>
        <w:tc>
          <w:tcPr>
            <w:tcW w:w="1580" w:type="dxa"/>
            <w:tcBorders>
              <w:top w:val="nil"/>
            </w:tcBorders>
            <w:shd w:val="clear" w:color="auto" w:fill="E5E5E5" w:themeFill="background1" w:themeFillTint="33"/>
            <w:noWrap/>
            <w:vAlign w:val="center"/>
            <w:hideMark/>
          </w:tcPr>
          <w:p w14:paraId="5FB3583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r>
      <w:tr w:rsidR="00961617" w:rsidRPr="00545C7F" w14:paraId="213A8A05" w14:textId="77777777" w:rsidTr="0020771F">
        <w:trPr>
          <w:trHeight w:val="288"/>
        </w:trPr>
        <w:tc>
          <w:tcPr>
            <w:tcW w:w="5118" w:type="dxa"/>
            <w:tcBorders>
              <w:top w:val="nil"/>
            </w:tcBorders>
            <w:shd w:val="clear" w:color="auto" w:fill="FFFFFF" w:themeFill="background2"/>
            <w:vAlign w:val="center"/>
            <w:hideMark/>
          </w:tcPr>
          <w:p w14:paraId="58E23DB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 25 to 30  Stream 4</w:t>
            </w:r>
          </w:p>
        </w:tc>
        <w:tc>
          <w:tcPr>
            <w:tcW w:w="1580" w:type="dxa"/>
            <w:tcBorders>
              <w:top w:val="nil"/>
            </w:tcBorders>
            <w:shd w:val="clear" w:color="auto" w:fill="FFFFFF" w:themeFill="background2"/>
            <w:noWrap/>
            <w:vAlign w:val="center"/>
            <w:hideMark/>
          </w:tcPr>
          <w:p w14:paraId="7A66981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36.0</w:t>
            </w:r>
          </w:p>
        </w:tc>
        <w:tc>
          <w:tcPr>
            <w:tcW w:w="1580" w:type="dxa"/>
            <w:tcBorders>
              <w:top w:val="nil"/>
            </w:tcBorders>
            <w:shd w:val="clear" w:color="auto" w:fill="FFFFFF" w:themeFill="background2"/>
            <w:noWrap/>
            <w:vAlign w:val="center"/>
            <w:hideMark/>
          </w:tcPr>
          <w:p w14:paraId="4CE5281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580" w:type="dxa"/>
            <w:tcBorders>
              <w:top w:val="nil"/>
            </w:tcBorders>
            <w:shd w:val="clear" w:color="auto" w:fill="FFFFFF" w:themeFill="background2"/>
            <w:noWrap/>
            <w:vAlign w:val="center"/>
            <w:hideMark/>
          </w:tcPr>
          <w:p w14:paraId="0E4082E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c>
          <w:tcPr>
            <w:tcW w:w="1580" w:type="dxa"/>
            <w:tcBorders>
              <w:top w:val="nil"/>
            </w:tcBorders>
            <w:shd w:val="clear" w:color="auto" w:fill="FFFFFF" w:themeFill="background2"/>
            <w:noWrap/>
            <w:vAlign w:val="center"/>
            <w:hideMark/>
          </w:tcPr>
          <w:p w14:paraId="5BEBA63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580" w:type="dxa"/>
            <w:tcBorders>
              <w:top w:val="nil"/>
            </w:tcBorders>
            <w:shd w:val="clear" w:color="auto" w:fill="FFFFFF" w:themeFill="background2"/>
            <w:noWrap/>
            <w:vAlign w:val="center"/>
            <w:hideMark/>
          </w:tcPr>
          <w:p w14:paraId="7A55AB2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56.7</w:t>
            </w:r>
          </w:p>
        </w:tc>
        <w:tc>
          <w:tcPr>
            <w:tcW w:w="1580" w:type="dxa"/>
            <w:tcBorders>
              <w:top w:val="nil"/>
            </w:tcBorders>
            <w:shd w:val="clear" w:color="auto" w:fill="FFFFFF" w:themeFill="background2"/>
            <w:noWrap/>
            <w:vAlign w:val="center"/>
            <w:hideMark/>
          </w:tcPr>
          <w:p w14:paraId="4394096E"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w:t>
            </w:r>
          </w:p>
        </w:tc>
      </w:tr>
      <w:tr w:rsidR="00961617" w:rsidRPr="00545C7F" w14:paraId="1B3840CA" w14:textId="77777777" w:rsidTr="0020771F">
        <w:trPr>
          <w:trHeight w:val="288"/>
        </w:trPr>
        <w:tc>
          <w:tcPr>
            <w:tcW w:w="5118" w:type="dxa"/>
            <w:shd w:val="clear" w:color="auto" w:fill="E5E5E5" w:themeFill="background1" w:themeFillTint="33"/>
            <w:vAlign w:val="center"/>
            <w:hideMark/>
          </w:tcPr>
          <w:p w14:paraId="5DCD991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Aged 30 to 50 years total</w:t>
            </w:r>
          </w:p>
        </w:tc>
        <w:tc>
          <w:tcPr>
            <w:tcW w:w="1580" w:type="dxa"/>
            <w:shd w:val="clear" w:color="auto" w:fill="E5E5E5" w:themeFill="background1" w:themeFillTint="33"/>
            <w:noWrap/>
            <w:vAlign w:val="center"/>
            <w:hideMark/>
          </w:tcPr>
          <w:p w14:paraId="3377C953"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53.8</w:t>
            </w:r>
          </w:p>
        </w:tc>
        <w:tc>
          <w:tcPr>
            <w:tcW w:w="1580" w:type="dxa"/>
            <w:shd w:val="clear" w:color="auto" w:fill="E5E5E5" w:themeFill="background1" w:themeFillTint="33"/>
            <w:noWrap/>
            <w:vAlign w:val="center"/>
            <w:hideMark/>
          </w:tcPr>
          <w:p w14:paraId="15733C3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shd w:val="clear" w:color="auto" w:fill="E5E5E5" w:themeFill="background1" w:themeFillTint="33"/>
            <w:noWrap/>
            <w:vAlign w:val="center"/>
            <w:hideMark/>
          </w:tcPr>
          <w:p w14:paraId="00D8B86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w:t>
            </w:r>
          </w:p>
        </w:tc>
        <w:tc>
          <w:tcPr>
            <w:tcW w:w="1580" w:type="dxa"/>
            <w:shd w:val="clear" w:color="auto" w:fill="E5E5E5" w:themeFill="background1" w:themeFillTint="33"/>
            <w:noWrap/>
            <w:vAlign w:val="center"/>
            <w:hideMark/>
          </w:tcPr>
          <w:p w14:paraId="152745C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p>
        </w:tc>
        <w:tc>
          <w:tcPr>
            <w:tcW w:w="1580" w:type="dxa"/>
            <w:shd w:val="clear" w:color="auto" w:fill="E5E5E5" w:themeFill="background1" w:themeFillTint="33"/>
            <w:noWrap/>
            <w:vAlign w:val="center"/>
            <w:hideMark/>
          </w:tcPr>
          <w:p w14:paraId="1EAB93AC"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32.0</w:t>
            </w:r>
          </w:p>
        </w:tc>
        <w:tc>
          <w:tcPr>
            <w:tcW w:w="1580" w:type="dxa"/>
            <w:shd w:val="clear" w:color="auto" w:fill="E5E5E5" w:themeFill="background1" w:themeFillTint="33"/>
            <w:noWrap/>
            <w:vAlign w:val="center"/>
            <w:hideMark/>
          </w:tcPr>
          <w:p w14:paraId="374CDFF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r>
      <w:tr w:rsidR="00961617" w:rsidRPr="00545C7F" w14:paraId="3758B9F0" w14:textId="77777777" w:rsidTr="0020771F">
        <w:trPr>
          <w:trHeight w:val="276"/>
        </w:trPr>
        <w:tc>
          <w:tcPr>
            <w:tcW w:w="5118" w:type="dxa"/>
            <w:tcBorders>
              <w:top w:val="nil"/>
            </w:tcBorders>
            <w:shd w:val="clear" w:color="auto" w:fill="FFFFFF" w:themeFill="background2"/>
            <w:vAlign w:val="center"/>
            <w:hideMark/>
          </w:tcPr>
          <w:p w14:paraId="581A368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 30 to 50 Stream 1</w:t>
            </w:r>
          </w:p>
        </w:tc>
        <w:tc>
          <w:tcPr>
            <w:tcW w:w="1580" w:type="dxa"/>
            <w:tcBorders>
              <w:top w:val="nil"/>
            </w:tcBorders>
            <w:shd w:val="clear" w:color="auto" w:fill="FFFFFF" w:themeFill="background2"/>
            <w:noWrap/>
            <w:vAlign w:val="center"/>
            <w:hideMark/>
          </w:tcPr>
          <w:p w14:paraId="00AB059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w:t>
            </w:r>
          </w:p>
        </w:tc>
        <w:tc>
          <w:tcPr>
            <w:tcW w:w="1580" w:type="dxa"/>
            <w:tcBorders>
              <w:top w:val="nil"/>
            </w:tcBorders>
            <w:shd w:val="clear" w:color="auto" w:fill="FFFFFF" w:themeFill="background2"/>
            <w:noWrap/>
            <w:vAlign w:val="center"/>
            <w:hideMark/>
          </w:tcPr>
          <w:p w14:paraId="3C02CB0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580" w:type="dxa"/>
            <w:tcBorders>
              <w:top w:val="nil"/>
            </w:tcBorders>
            <w:shd w:val="clear" w:color="auto" w:fill="FFFFFF" w:themeFill="background2"/>
            <w:noWrap/>
            <w:vAlign w:val="center"/>
            <w:hideMark/>
          </w:tcPr>
          <w:p w14:paraId="5232819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12.3</w:t>
            </w:r>
          </w:p>
        </w:tc>
        <w:tc>
          <w:tcPr>
            <w:tcW w:w="1580" w:type="dxa"/>
            <w:tcBorders>
              <w:top w:val="nil"/>
            </w:tcBorders>
            <w:shd w:val="clear" w:color="auto" w:fill="FFFFFF" w:themeFill="background2"/>
            <w:noWrap/>
            <w:vAlign w:val="center"/>
            <w:hideMark/>
          </w:tcPr>
          <w:p w14:paraId="76A3355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w:t>
            </w:r>
          </w:p>
        </w:tc>
        <w:tc>
          <w:tcPr>
            <w:tcW w:w="1580" w:type="dxa"/>
            <w:tcBorders>
              <w:top w:val="nil"/>
            </w:tcBorders>
            <w:shd w:val="clear" w:color="auto" w:fill="FFFFFF" w:themeFill="background2"/>
            <w:noWrap/>
            <w:vAlign w:val="center"/>
            <w:hideMark/>
          </w:tcPr>
          <w:p w14:paraId="6E41DAC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27.4</w:t>
            </w:r>
          </w:p>
        </w:tc>
        <w:tc>
          <w:tcPr>
            <w:tcW w:w="1580" w:type="dxa"/>
            <w:tcBorders>
              <w:top w:val="nil"/>
            </w:tcBorders>
            <w:shd w:val="clear" w:color="auto" w:fill="FFFFFF" w:themeFill="background2"/>
            <w:noWrap/>
            <w:vAlign w:val="center"/>
            <w:hideMark/>
          </w:tcPr>
          <w:p w14:paraId="6F735A36"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r>
      <w:tr w:rsidR="00961617" w:rsidRPr="00545C7F" w14:paraId="5D4E4147" w14:textId="77777777" w:rsidTr="0020771F">
        <w:trPr>
          <w:trHeight w:val="276"/>
        </w:trPr>
        <w:tc>
          <w:tcPr>
            <w:tcW w:w="5118" w:type="dxa"/>
            <w:tcBorders>
              <w:top w:val="nil"/>
            </w:tcBorders>
            <w:shd w:val="clear" w:color="auto" w:fill="E5E5E5" w:themeFill="background1" w:themeFillTint="33"/>
            <w:vAlign w:val="center"/>
            <w:hideMark/>
          </w:tcPr>
          <w:p w14:paraId="61E1EA7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Age 30 to 50 Stream 2</w:t>
            </w:r>
          </w:p>
        </w:tc>
        <w:tc>
          <w:tcPr>
            <w:tcW w:w="1580" w:type="dxa"/>
            <w:tcBorders>
              <w:top w:val="nil"/>
            </w:tcBorders>
            <w:shd w:val="clear" w:color="auto" w:fill="E5E5E5" w:themeFill="background1" w:themeFillTint="33"/>
            <w:noWrap/>
            <w:vAlign w:val="center"/>
            <w:hideMark/>
          </w:tcPr>
          <w:p w14:paraId="32EC3BC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28.5</w:t>
            </w:r>
          </w:p>
        </w:tc>
        <w:tc>
          <w:tcPr>
            <w:tcW w:w="1580" w:type="dxa"/>
            <w:tcBorders>
              <w:top w:val="nil"/>
            </w:tcBorders>
            <w:shd w:val="clear" w:color="auto" w:fill="E5E5E5" w:themeFill="background1" w:themeFillTint="33"/>
            <w:noWrap/>
            <w:vAlign w:val="center"/>
            <w:hideMark/>
          </w:tcPr>
          <w:p w14:paraId="2BBF3B9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580" w:type="dxa"/>
            <w:tcBorders>
              <w:top w:val="nil"/>
            </w:tcBorders>
            <w:shd w:val="clear" w:color="auto" w:fill="E5E5E5" w:themeFill="background1" w:themeFillTint="33"/>
            <w:noWrap/>
            <w:vAlign w:val="center"/>
            <w:hideMark/>
          </w:tcPr>
          <w:p w14:paraId="625E871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25.9</w:t>
            </w:r>
          </w:p>
        </w:tc>
        <w:tc>
          <w:tcPr>
            <w:tcW w:w="1580" w:type="dxa"/>
            <w:tcBorders>
              <w:top w:val="nil"/>
            </w:tcBorders>
            <w:shd w:val="clear" w:color="auto" w:fill="E5E5E5" w:themeFill="background1" w:themeFillTint="33"/>
            <w:noWrap/>
            <w:vAlign w:val="center"/>
            <w:hideMark/>
          </w:tcPr>
          <w:p w14:paraId="5F72739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580" w:type="dxa"/>
            <w:tcBorders>
              <w:top w:val="nil"/>
            </w:tcBorders>
            <w:shd w:val="clear" w:color="auto" w:fill="E5E5E5" w:themeFill="background1" w:themeFillTint="33"/>
            <w:noWrap/>
            <w:vAlign w:val="center"/>
            <w:hideMark/>
          </w:tcPr>
          <w:p w14:paraId="44CA7FE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45.7</w:t>
            </w:r>
          </w:p>
        </w:tc>
        <w:tc>
          <w:tcPr>
            <w:tcW w:w="1580" w:type="dxa"/>
            <w:tcBorders>
              <w:top w:val="nil"/>
            </w:tcBorders>
            <w:shd w:val="clear" w:color="auto" w:fill="E5E5E5" w:themeFill="background1" w:themeFillTint="33"/>
            <w:noWrap/>
            <w:vAlign w:val="center"/>
            <w:hideMark/>
          </w:tcPr>
          <w:p w14:paraId="279A161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w:t>
            </w:r>
          </w:p>
        </w:tc>
      </w:tr>
      <w:tr w:rsidR="00961617" w:rsidRPr="00545C7F" w14:paraId="37B5A34D" w14:textId="77777777" w:rsidTr="0020771F">
        <w:trPr>
          <w:trHeight w:val="276"/>
        </w:trPr>
        <w:tc>
          <w:tcPr>
            <w:tcW w:w="5118" w:type="dxa"/>
            <w:tcBorders>
              <w:top w:val="nil"/>
            </w:tcBorders>
            <w:shd w:val="clear" w:color="auto" w:fill="FFFFFF" w:themeFill="background2"/>
            <w:vAlign w:val="center"/>
            <w:hideMark/>
          </w:tcPr>
          <w:p w14:paraId="1E2B213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 30 to 50 Stream 3</w:t>
            </w:r>
          </w:p>
        </w:tc>
        <w:tc>
          <w:tcPr>
            <w:tcW w:w="1580" w:type="dxa"/>
            <w:tcBorders>
              <w:top w:val="nil"/>
            </w:tcBorders>
            <w:shd w:val="clear" w:color="auto" w:fill="FFFFFF" w:themeFill="background2"/>
            <w:noWrap/>
            <w:vAlign w:val="center"/>
            <w:hideMark/>
          </w:tcPr>
          <w:p w14:paraId="77A67F2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13.6</w:t>
            </w:r>
          </w:p>
        </w:tc>
        <w:tc>
          <w:tcPr>
            <w:tcW w:w="1580" w:type="dxa"/>
            <w:tcBorders>
              <w:top w:val="nil"/>
            </w:tcBorders>
            <w:shd w:val="clear" w:color="auto" w:fill="FFFFFF" w:themeFill="background2"/>
            <w:noWrap/>
            <w:vAlign w:val="center"/>
            <w:hideMark/>
          </w:tcPr>
          <w:p w14:paraId="4968767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580" w:type="dxa"/>
            <w:tcBorders>
              <w:top w:val="nil"/>
            </w:tcBorders>
            <w:shd w:val="clear" w:color="auto" w:fill="FFFFFF" w:themeFill="background2"/>
            <w:noWrap/>
            <w:vAlign w:val="center"/>
            <w:hideMark/>
          </w:tcPr>
          <w:p w14:paraId="4794E2A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24.2</w:t>
            </w:r>
          </w:p>
        </w:tc>
        <w:tc>
          <w:tcPr>
            <w:tcW w:w="1580" w:type="dxa"/>
            <w:tcBorders>
              <w:top w:val="nil"/>
            </w:tcBorders>
            <w:shd w:val="clear" w:color="auto" w:fill="FFFFFF" w:themeFill="background2"/>
            <w:noWrap/>
            <w:vAlign w:val="center"/>
            <w:hideMark/>
          </w:tcPr>
          <w:p w14:paraId="35C9234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580" w:type="dxa"/>
            <w:tcBorders>
              <w:top w:val="nil"/>
            </w:tcBorders>
            <w:shd w:val="clear" w:color="auto" w:fill="FFFFFF" w:themeFill="background2"/>
            <w:noWrap/>
            <w:vAlign w:val="center"/>
            <w:hideMark/>
          </w:tcPr>
          <w:p w14:paraId="005BFEA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62.2</w:t>
            </w:r>
          </w:p>
        </w:tc>
        <w:tc>
          <w:tcPr>
            <w:tcW w:w="1580" w:type="dxa"/>
            <w:tcBorders>
              <w:top w:val="nil"/>
            </w:tcBorders>
            <w:shd w:val="clear" w:color="auto" w:fill="FFFFFF" w:themeFill="background2"/>
            <w:noWrap/>
            <w:vAlign w:val="center"/>
            <w:hideMark/>
          </w:tcPr>
          <w:p w14:paraId="64449FDC"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w:t>
            </w:r>
          </w:p>
        </w:tc>
      </w:tr>
      <w:tr w:rsidR="00961617" w:rsidRPr="00545C7F" w14:paraId="267F4938" w14:textId="77777777" w:rsidTr="0020771F">
        <w:trPr>
          <w:trHeight w:val="288"/>
        </w:trPr>
        <w:tc>
          <w:tcPr>
            <w:tcW w:w="5118" w:type="dxa"/>
            <w:tcBorders>
              <w:top w:val="nil"/>
            </w:tcBorders>
            <w:shd w:val="clear" w:color="auto" w:fill="E5E5E5" w:themeFill="background1" w:themeFillTint="33"/>
            <w:vAlign w:val="center"/>
            <w:hideMark/>
          </w:tcPr>
          <w:p w14:paraId="4E4683C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 30 to 50 Stream 4</w:t>
            </w:r>
          </w:p>
        </w:tc>
        <w:tc>
          <w:tcPr>
            <w:tcW w:w="1580" w:type="dxa"/>
            <w:tcBorders>
              <w:top w:val="nil"/>
            </w:tcBorders>
            <w:shd w:val="clear" w:color="auto" w:fill="E5E5E5" w:themeFill="background1" w:themeFillTint="33"/>
            <w:noWrap/>
            <w:vAlign w:val="center"/>
            <w:hideMark/>
          </w:tcPr>
          <w:p w14:paraId="023B76F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31.5</w:t>
            </w:r>
          </w:p>
        </w:tc>
        <w:tc>
          <w:tcPr>
            <w:tcW w:w="1580" w:type="dxa"/>
            <w:tcBorders>
              <w:top w:val="nil"/>
            </w:tcBorders>
            <w:shd w:val="clear" w:color="auto" w:fill="E5E5E5" w:themeFill="background1" w:themeFillTint="33"/>
            <w:noWrap/>
            <w:vAlign w:val="center"/>
            <w:hideMark/>
          </w:tcPr>
          <w:p w14:paraId="3E4EADC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580" w:type="dxa"/>
            <w:tcBorders>
              <w:top w:val="nil"/>
            </w:tcBorders>
            <w:shd w:val="clear" w:color="auto" w:fill="E5E5E5" w:themeFill="background1" w:themeFillTint="33"/>
            <w:noWrap/>
            <w:vAlign w:val="center"/>
            <w:hideMark/>
          </w:tcPr>
          <w:p w14:paraId="6B6C93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c>
          <w:tcPr>
            <w:tcW w:w="1580" w:type="dxa"/>
            <w:tcBorders>
              <w:top w:val="nil"/>
            </w:tcBorders>
            <w:shd w:val="clear" w:color="auto" w:fill="E5E5E5" w:themeFill="background1" w:themeFillTint="33"/>
            <w:noWrap/>
            <w:vAlign w:val="center"/>
            <w:hideMark/>
          </w:tcPr>
          <w:p w14:paraId="3F60333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689A43A9"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w:t>
            </w:r>
          </w:p>
        </w:tc>
        <w:tc>
          <w:tcPr>
            <w:tcW w:w="1580" w:type="dxa"/>
            <w:tcBorders>
              <w:top w:val="nil"/>
            </w:tcBorders>
            <w:shd w:val="clear" w:color="auto" w:fill="E5E5E5" w:themeFill="background1" w:themeFillTint="33"/>
            <w:noWrap/>
            <w:vAlign w:val="center"/>
            <w:hideMark/>
          </w:tcPr>
          <w:p w14:paraId="0122937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r>
      <w:tr w:rsidR="00961617" w:rsidRPr="00545C7F" w14:paraId="217EE6F5" w14:textId="77777777" w:rsidTr="0020771F">
        <w:trPr>
          <w:trHeight w:val="288"/>
        </w:trPr>
        <w:tc>
          <w:tcPr>
            <w:tcW w:w="5118" w:type="dxa"/>
            <w:shd w:val="clear" w:color="auto" w:fill="FFFFFF" w:themeFill="background2"/>
            <w:vAlign w:val="center"/>
            <w:hideMark/>
          </w:tcPr>
          <w:p w14:paraId="7C28A3C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Mature Age (50 years or older), total</w:t>
            </w:r>
          </w:p>
        </w:tc>
        <w:tc>
          <w:tcPr>
            <w:tcW w:w="1580" w:type="dxa"/>
            <w:shd w:val="clear" w:color="auto" w:fill="FFFFFF" w:themeFill="background2"/>
            <w:noWrap/>
            <w:vAlign w:val="center"/>
            <w:hideMark/>
          </w:tcPr>
          <w:p w14:paraId="3E20556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47.9</w:t>
            </w:r>
          </w:p>
        </w:tc>
        <w:tc>
          <w:tcPr>
            <w:tcW w:w="1580" w:type="dxa"/>
            <w:shd w:val="clear" w:color="auto" w:fill="FFFFFF" w:themeFill="background2"/>
            <w:noWrap/>
            <w:vAlign w:val="center"/>
            <w:hideMark/>
          </w:tcPr>
          <w:p w14:paraId="797A6BD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c>
          <w:tcPr>
            <w:tcW w:w="1580" w:type="dxa"/>
            <w:shd w:val="clear" w:color="auto" w:fill="FFFFFF" w:themeFill="background2"/>
            <w:noWrap/>
            <w:vAlign w:val="center"/>
            <w:hideMark/>
          </w:tcPr>
          <w:p w14:paraId="68884C9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19.5</w:t>
            </w:r>
          </w:p>
        </w:tc>
        <w:tc>
          <w:tcPr>
            <w:tcW w:w="1580" w:type="dxa"/>
            <w:shd w:val="clear" w:color="auto" w:fill="FFFFFF" w:themeFill="background2"/>
            <w:noWrap/>
            <w:vAlign w:val="center"/>
            <w:hideMark/>
          </w:tcPr>
          <w:p w14:paraId="4FEEC79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p>
        </w:tc>
        <w:tc>
          <w:tcPr>
            <w:tcW w:w="1580" w:type="dxa"/>
            <w:shd w:val="clear" w:color="auto" w:fill="FFFFFF" w:themeFill="background2"/>
            <w:noWrap/>
            <w:vAlign w:val="center"/>
            <w:hideMark/>
          </w:tcPr>
          <w:p w14:paraId="166B04E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32.5</w:t>
            </w:r>
          </w:p>
        </w:tc>
        <w:tc>
          <w:tcPr>
            <w:tcW w:w="1580" w:type="dxa"/>
            <w:shd w:val="clear" w:color="auto" w:fill="FFFFFF" w:themeFill="background2"/>
            <w:noWrap/>
            <w:vAlign w:val="center"/>
            <w:hideMark/>
          </w:tcPr>
          <w:p w14:paraId="22A7FC1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r>
      <w:tr w:rsidR="00961617" w:rsidRPr="00545C7F" w14:paraId="02BA996A" w14:textId="77777777" w:rsidTr="0020771F">
        <w:trPr>
          <w:trHeight w:val="288"/>
        </w:trPr>
        <w:tc>
          <w:tcPr>
            <w:tcW w:w="5118" w:type="dxa"/>
            <w:tcBorders>
              <w:top w:val="nil"/>
            </w:tcBorders>
            <w:shd w:val="clear" w:color="auto" w:fill="E5E5E5" w:themeFill="background1" w:themeFillTint="33"/>
            <w:vAlign w:val="center"/>
            <w:hideMark/>
          </w:tcPr>
          <w:p w14:paraId="1C6F0E5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Mature Age Stream 1</w:t>
            </w:r>
          </w:p>
        </w:tc>
        <w:tc>
          <w:tcPr>
            <w:tcW w:w="1580" w:type="dxa"/>
            <w:tcBorders>
              <w:top w:val="nil"/>
            </w:tcBorders>
            <w:shd w:val="clear" w:color="auto" w:fill="E5E5E5" w:themeFill="background1" w:themeFillTint="33"/>
            <w:noWrap/>
            <w:vAlign w:val="center"/>
            <w:hideMark/>
          </w:tcPr>
          <w:p w14:paraId="6B86B29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54.8</w:t>
            </w:r>
          </w:p>
        </w:tc>
        <w:tc>
          <w:tcPr>
            <w:tcW w:w="1580" w:type="dxa"/>
            <w:tcBorders>
              <w:top w:val="nil"/>
            </w:tcBorders>
            <w:shd w:val="clear" w:color="auto" w:fill="E5E5E5" w:themeFill="background1" w:themeFillTint="33"/>
            <w:noWrap/>
            <w:vAlign w:val="center"/>
            <w:hideMark/>
          </w:tcPr>
          <w:p w14:paraId="297E3C8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580" w:type="dxa"/>
            <w:tcBorders>
              <w:top w:val="nil"/>
            </w:tcBorders>
            <w:shd w:val="clear" w:color="auto" w:fill="E5E5E5" w:themeFill="background1" w:themeFillTint="33"/>
            <w:noWrap/>
            <w:vAlign w:val="center"/>
            <w:hideMark/>
          </w:tcPr>
          <w:p w14:paraId="6AE4A94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17.6</w:t>
            </w:r>
          </w:p>
        </w:tc>
        <w:tc>
          <w:tcPr>
            <w:tcW w:w="1580" w:type="dxa"/>
            <w:tcBorders>
              <w:top w:val="nil"/>
            </w:tcBorders>
            <w:shd w:val="clear" w:color="auto" w:fill="E5E5E5" w:themeFill="background1" w:themeFillTint="33"/>
            <w:noWrap/>
            <w:vAlign w:val="center"/>
            <w:hideMark/>
          </w:tcPr>
          <w:p w14:paraId="613F2FB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580" w:type="dxa"/>
            <w:tcBorders>
              <w:top w:val="nil"/>
            </w:tcBorders>
            <w:shd w:val="clear" w:color="auto" w:fill="E5E5E5" w:themeFill="background1" w:themeFillTint="33"/>
            <w:noWrap/>
            <w:vAlign w:val="center"/>
            <w:hideMark/>
          </w:tcPr>
          <w:p w14:paraId="50170D7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27.6</w:t>
            </w:r>
          </w:p>
        </w:tc>
        <w:tc>
          <w:tcPr>
            <w:tcW w:w="1580" w:type="dxa"/>
            <w:tcBorders>
              <w:top w:val="nil"/>
            </w:tcBorders>
            <w:shd w:val="clear" w:color="auto" w:fill="E5E5E5" w:themeFill="background1" w:themeFillTint="33"/>
            <w:noWrap/>
            <w:vAlign w:val="center"/>
            <w:hideMark/>
          </w:tcPr>
          <w:p w14:paraId="1F6BB99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r>
      <w:tr w:rsidR="00961617" w:rsidRPr="00545C7F" w14:paraId="0418D284" w14:textId="77777777" w:rsidTr="0020771F">
        <w:trPr>
          <w:trHeight w:val="288"/>
        </w:trPr>
        <w:tc>
          <w:tcPr>
            <w:tcW w:w="5118" w:type="dxa"/>
            <w:tcBorders>
              <w:top w:val="nil"/>
            </w:tcBorders>
            <w:shd w:val="clear" w:color="auto" w:fill="FFFFFF" w:themeFill="background2"/>
            <w:vAlign w:val="center"/>
            <w:hideMark/>
          </w:tcPr>
          <w:p w14:paraId="4B9C31A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Mature Age Stream 2</w:t>
            </w:r>
          </w:p>
        </w:tc>
        <w:tc>
          <w:tcPr>
            <w:tcW w:w="1580" w:type="dxa"/>
            <w:tcBorders>
              <w:top w:val="nil"/>
            </w:tcBorders>
            <w:shd w:val="clear" w:color="auto" w:fill="FFFFFF" w:themeFill="background2"/>
            <w:noWrap/>
            <w:vAlign w:val="center"/>
            <w:hideMark/>
          </w:tcPr>
          <w:p w14:paraId="4229ABB6"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35.7</w:t>
            </w:r>
          </w:p>
        </w:tc>
        <w:tc>
          <w:tcPr>
            <w:tcW w:w="1580" w:type="dxa"/>
            <w:tcBorders>
              <w:top w:val="nil"/>
            </w:tcBorders>
            <w:shd w:val="clear" w:color="auto" w:fill="FFFFFF" w:themeFill="background2"/>
            <w:noWrap/>
            <w:vAlign w:val="center"/>
            <w:hideMark/>
          </w:tcPr>
          <w:p w14:paraId="53AD400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580" w:type="dxa"/>
            <w:tcBorders>
              <w:top w:val="nil"/>
            </w:tcBorders>
            <w:shd w:val="clear" w:color="auto" w:fill="FFFFFF" w:themeFill="background2"/>
            <w:noWrap/>
            <w:vAlign w:val="center"/>
            <w:hideMark/>
          </w:tcPr>
          <w:p w14:paraId="387D4CD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24.3</w:t>
            </w:r>
          </w:p>
        </w:tc>
        <w:tc>
          <w:tcPr>
            <w:tcW w:w="1580" w:type="dxa"/>
            <w:tcBorders>
              <w:top w:val="nil"/>
            </w:tcBorders>
            <w:shd w:val="clear" w:color="auto" w:fill="FFFFFF" w:themeFill="background2"/>
            <w:noWrap/>
            <w:vAlign w:val="center"/>
            <w:hideMark/>
          </w:tcPr>
          <w:p w14:paraId="39FAA6B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580" w:type="dxa"/>
            <w:tcBorders>
              <w:top w:val="nil"/>
            </w:tcBorders>
            <w:shd w:val="clear" w:color="auto" w:fill="FFFFFF" w:themeFill="background2"/>
            <w:noWrap/>
            <w:vAlign w:val="center"/>
            <w:hideMark/>
          </w:tcPr>
          <w:p w14:paraId="5FDA4139"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40.0</w:t>
            </w:r>
          </w:p>
        </w:tc>
        <w:tc>
          <w:tcPr>
            <w:tcW w:w="1580" w:type="dxa"/>
            <w:tcBorders>
              <w:top w:val="nil"/>
            </w:tcBorders>
            <w:shd w:val="clear" w:color="auto" w:fill="FFFFFF" w:themeFill="background2"/>
            <w:noWrap/>
            <w:vAlign w:val="center"/>
            <w:hideMark/>
          </w:tcPr>
          <w:p w14:paraId="53050EE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r>
      <w:tr w:rsidR="00961617" w:rsidRPr="00545C7F" w14:paraId="0BF43A08" w14:textId="77777777" w:rsidTr="0020771F">
        <w:trPr>
          <w:trHeight w:val="288"/>
        </w:trPr>
        <w:tc>
          <w:tcPr>
            <w:tcW w:w="5118" w:type="dxa"/>
            <w:tcBorders>
              <w:top w:val="nil"/>
            </w:tcBorders>
            <w:shd w:val="clear" w:color="auto" w:fill="E5E5E5" w:themeFill="background1" w:themeFillTint="33"/>
            <w:vAlign w:val="center"/>
            <w:hideMark/>
          </w:tcPr>
          <w:p w14:paraId="4750C05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Mature Age Stream 3</w:t>
            </w:r>
          </w:p>
        </w:tc>
        <w:tc>
          <w:tcPr>
            <w:tcW w:w="1580" w:type="dxa"/>
            <w:tcBorders>
              <w:top w:val="nil"/>
            </w:tcBorders>
            <w:shd w:val="clear" w:color="auto" w:fill="E5E5E5" w:themeFill="background1" w:themeFillTint="33"/>
            <w:noWrap/>
            <w:vAlign w:val="center"/>
            <w:hideMark/>
          </w:tcPr>
          <w:p w14:paraId="7FEF676C"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26.0</w:t>
            </w:r>
          </w:p>
        </w:tc>
        <w:tc>
          <w:tcPr>
            <w:tcW w:w="1580" w:type="dxa"/>
            <w:tcBorders>
              <w:top w:val="nil"/>
            </w:tcBorders>
            <w:shd w:val="clear" w:color="auto" w:fill="E5E5E5" w:themeFill="background1" w:themeFillTint="33"/>
            <w:noWrap/>
            <w:vAlign w:val="center"/>
            <w:hideMark/>
          </w:tcPr>
          <w:p w14:paraId="1E5FA5A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5663B90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22.5</w:t>
            </w:r>
          </w:p>
        </w:tc>
        <w:tc>
          <w:tcPr>
            <w:tcW w:w="1580" w:type="dxa"/>
            <w:tcBorders>
              <w:top w:val="nil"/>
            </w:tcBorders>
            <w:shd w:val="clear" w:color="auto" w:fill="E5E5E5" w:themeFill="background1" w:themeFillTint="33"/>
            <w:noWrap/>
            <w:vAlign w:val="center"/>
            <w:hideMark/>
          </w:tcPr>
          <w:p w14:paraId="4ABE6A4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580" w:type="dxa"/>
            <w:tcBorders>
              <w:top w:val="nil"/>
            </w:tcBorders>
            <w:shd w:val="clear" w:color="auto" w:fill="E5E5E5" w:themeFill="background1" w:themeFillTint="33"/>
            <w:noWrap/>
            <w:vAlign w:val="center"/>
            <w:hideMark/>
          </w:tcPr>
          <w:p w14:paraId="06002819"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51.5</w:t>
            </w:r>
          </w:p>
        </w:tc>
        <w:tc>
          <w:tcPr>
            <w:tcW w:w="1580" w:type="dxa"/>
            <w:tcBorders>
              <w:top w:val="nil"/>
            </w:tcBorders>
            <w:shd w:val="clear" w:color="auto" w:fill="E5E5E5" w:themeFill="background1" w:themeFillTint="33"/>
            <w:noWrap/>
            <w:vAlign w:val="center"/>
            <w:hideMark/>
          </w:tcPr>
          <w:p w14:paraId="4F0EF5B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r>
      <w:tr w:rsidR="00961617" w:rsidRPr="00545C7F" w14:paraId="260E3849" w14:textId="77777777" w:rsidTr="0020771F">
        <w:trPr>
          <w:trHeight w:val="288"/>
        </w:trPr>
        <w:tc>
          <w:tcPr>
            <w:tcW w:w="5118" w:type="dxa"/>
            <w:tcBorders>
              <w:top w:val="nil"/>
            </w:tcBorders>
            <w:shd w:val="clear" w:color="auto" w:fill="FFFFFF" w:themeFill="background2"/>
            <w:vAlign w:val="center"/>
            <w:hideMark/>
          </w:tcPr>
          <w:p w14:paraId="3362F74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Mature Age Stream 4</w:t>
            </w:r>
          </w:p>
        </w:tc>
        <w:tc>
          <w:tcPr>
            <w:tcW w:w="1580" w:type="dxa"/>
            <w:tcBorders>
              <w:top w:val="nil"/>
            </w:tcBorders>
            <w:shd w:val="clear" w:color="auto" w:fill="FFFFFF" w:themeFill="background2"/>
            <w:noWrap/>
            <w:vAlign w:val="center"/>
            <w:hideMark/>
          </w:tcPr>
          <w:p w14:paraId="76B47B36"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27.6</w:t>
            </w:r>
          </w:p>
        </w:tc>
        <w:tc>
          <w:tcPr>
            <w:tcW w:w="1580" w:type="dxa"/>
            <w:tcBorders>
              <w:top w:val="nil"/>
            </w:tcBorders>
            <w:shd w:val="clear" w:color="auto" w:fill="FFFFFF" w:themeFill="background2"/>
            <w:noWrap/>
            <w:vAlign w:val="center"/>
            <w:hideMark/>
          </w:tcPr>
          <w:p w14:paraId="04E7B77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580" w:type="dxa"/>
            <w:tcBorders>
              <w:top w:val="nil"/>
            </w:tcBorders>
            <w:shd w:val="clear" w:color="auto" w:fill="FFFFFF" w:themeFill="background2"/>
            <w:noWrap/>
            <w:vAlign w:val="center"/>
            <w:hideMark/>
          </w:tcPr>
          <w:p w14:paraId="4875F29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14.8</w:t>
            </w:r>
          </w:p>
        </w:tc>
        <w:tc>
          <w:tcPr>
            <w:tcW w:w="1580" w:type="dxa"/>
            <w:tcBorders>
              <w:top w:val="nil"/>
            </w:tcBorders>
            <w:shd w:val="clear" w:color="auto" w:fill="FFFFFF" w:themeFill="background2"/>
            <w:noWrap/>
            <w:vAlign w:val="center"/>
            <w:hideMark/>
          </w:tcPr>
          <w:p w14:paraId="6FE9A5E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580" w:type="dxa"/>
            <w:tcBorders>
              <w:top w:val="nil"/>
            </w:tcBorders>
            <w:shd w:val="clear" w:color="auto" w:fill="FFFFFF" w:themeFill="background2"/>
            <w:noWrap/>
            <w:vAlign w:val="center"/>
            <w:hideMark/>
          </w:tcPr>
          <w:p w14:paraId="718EC7E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57.6</w:t>
            </w:r>
          </w:p>
        </w:tc>
        <w:tc>
          <w:tcPr>
            <w:tcW w:w="1580" w:type="dxa"/>
            <w:tcBorders>
              <w:top w:val="nil"/>
            </w:tcBorders>
            <w:shd w:val="clear" w:color="auto" w:fill="FFFFFF" w:themeFill="background2"/>
            <w:noWrap/>
            <w:vAlign w:val="center"/>
            <w:hideMark/>
          </w:tcPr>
          <w:p w14:paraId="0D9847FC"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r>
      <w:tr w:rsidR="00961617" w:rsidRPr="00545C7F" w14:paraId="33A0A87B" w14:textId="77777777" w:rsidTr="0020771F">
        <w:trPr>
          <w:trHeight w:val="288"/>
        </w:trPr>
        <w:tc>
          <w:tcPr>
            <w:tcW w:w="5118" w:type="dxa"/>
            <w:shd w:val="clear" w:color="auto" w:fill="E5E5E5" w:themeFill="background1" w:themeFillTint="33"/>
            <w:vAlign w:val="center"/>
            <w:hideMark/>
          </w:tcPr>
          <w:p w14:paraId="0A9202A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Single parents, total</w:t>
            </w:r>
          </w:p>
        </w:tc>
        <w:tc>
          <w:tcPr>
            <w:tcW w:w="1580" w:type="dxa"/>
            <w:shd w:val="clear" w:color="auto" w:fill="E5E5E5" w:themeFill="background1" w:themeFillTint="33"/>
            <w:noWrap/>
            <w:vAlign w:val="center"/>
            <w:hideMark/>
          </w:tcPr>
          <w:p w14:paraId="1E7D0BCD"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26.4</w:t>
            </w:r>
          </w:p>
        </w:tc>
        <w:tc>
          <w:tcPr>
            <w:tcW w:w="1580" w:type="dxa"/>
            <w:shd w:val="clear" w:color="auto" w:fill="E5E5E5" w:themeFill="background1" w:themeFillTint="33"/>
            <w:noWrap/>
            <w:vAlign w:val="center"/>
            <w:hideMark/>
          </w:tcPr>
          <w:p w14:paraId="3E3A7B5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580" w:type="dxa"/>
            <w:shd w:val="clear" w:color="auto" w:fill="E5E5E5" w:themeFill="background1" w:themeFillTint="33"/>
            <w:noWrap/>
            <w:vAlign w:val="center"/>
            <w:hideMark/>
          </w:tcPr>
          <w:p w14:paraId="649B41A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27.7</w:t>
            </w:r>
          </w:p>
        </w:tc>
        <w:tc>
          <w:tcPr>
            <w:tcW w:w="1580" w:type="dxa"/>
            <w:shd w:val="clear" w:color="auto" w:fill="E5E5E5" w:themeFill="background1" w:themeFillTint="33"/>
            <w:noWrap/>
            <w:vAlign w:val="center"/>
            <w:hideMark/>
          </w:tcPr>
          <w:p w14:paraId="333182B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580" w:type="dxa"/>
            <w:shd w:val="clear" w:color="auto" w:fill="E5E5E5" w:themeFill="background1" w:themeFillTint="33"/>
            <w:noWrap/>
            <w:vAlign w:val="center"/>
            <w:hideMark/>
          </w:tcPr>
          <w:p w14:paraId="0D70C6C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45.9</w:t>
            </w:r>
          </w:p>
        </w:tc>
        <w:tc>
          <w:tcPr>
            <w:tcW w:w="1580" w:type="dxa"/>
            <w:shd w:val="clear" w:color="auto" w:fill="E5E5E5" w:themeFill="background1" w:themeFillTint="33"/>
            <w:noWrap/>
            <w:vAlign w:val="center"/>
            <w:hideMark/>
          </w:tcPr>
          <w:p w14:paraId="3A85A1E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r>
      <w:tr w:rsidR="00961617" w:rsidRPr="00545C7F" w14:paraId="68D0943E" w14:textId="77777777" w:rsidTr="0020771F">
        <w:trPr>
          <w:trHeight w:val="288"/>
        </w:trPr>
        <w:tc>
          <w:tcPr>
            <w:tcW w:w="5118" w:type="dxa"/>
            <w:tcBorders>
              <w:top w:val="nil"/>
            </w:tcBorders>
            <w:shd w:val="clear" w:color="auto" w:fill="FFFFFF" w:themeFill="background2"/>
            <w:vAlign w:val="center"/>
            <w:hideMark/>
          </w:tcPr>
          <w:p w14:paraId="356C4BCE"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Single parents Stream 1</w:t>
            </w:r>
          </w:p>
        </w:tc>
        <w:tc>
          <w:tcPr>
            <w:tcW w:w="1580" w:type="dxa"/>
            <w:tcBorders>
              <w:top w:val="nil"/>
            </w:tcBorders>
            <w:shd w:val="clear" w:color="auto" w:fill="FFFFFF" w:themeFill="background2"/>
            <w:noWrap/>
            <w:vAlign w:val="center"/>
            <w:hideMark/>
          </w:tcPr>
          <w:p w14:paraId="16A4DE8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43.0</w:t>
            </w:r>
          </w:p>
        </w:tc>
        <w:tc>
          <w:tcPr>
            <w:tcW w:w="1580" w:type="dxa"/>
            <w:tcBorders>
              <w:top w:val="nil"/>
            </w:tcBorders>
            <w:shd w:val="clear" w:color="auto" w:fill="FFFFFF" w:themeFill="background2"/>
            <w:noWrap/>
            <w:vAlign w:val="center"/>
            <w:hideMark/>
          </w:tcPr>
          <w:p w14:paraId="4DF8A4F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580" w:type="dxa"/>
            <w:tcBorders>
              <w:top w:val="nil"/>
            </w:tcBorders>
            <w:shd w:val="clear" w:color="auto" w:fill="FFFFFF" w:themeFill="background2"/>
            <w:noWrap/>
            <w:vAlign w:val="center"/>
            <w:hideMark/>
          </w:tcPr>
          <w:p w14:paraId="56DDC17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26.0</w:t>
            </w:r>
          </w:p>
        </w:tc>
        <w:tc>
          <w:tcPr>
            <w:tcW w:w="1580" w:type="dxa"/>
            <w:tcBorders>
              <w:top w:val="nil"/>
            </w:tcBorders>
            <w:shd w:val="clear" w:color="auto" w:fill="FFFFFF" w:themeFill="background2"/>
            <w:noWrap/>
            <w:vAlign w:val="center"/>
            <w:hideMark/>
          </w:tcPr>
          <w:p w14:paraId="1452F5D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4DAE71F4"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31.0</w:t>
            </w:r>
          </w:p>
        </w:tc>
        <w:tc>
          <w:tcPr>
            <w:tcW w:w="1580" w:type="dxa"/>
            <w:tcBorders>
              <w:top w:val="nil"/>
            </w:tcBorders>
            <w:shd w:val="clear" w:color="auto" w:fill="FFFFFF" w:themeFill="background2"/>
            <w:noWrap/>
            <w:vAlign w:val="center"/>
            <w:hideMark/>
          </w:tcPr>
          <w:p w14:paraId="38567B9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r>
      <w:tr w:rsidR="00961617" w:rsidRPr="00545C7F" w14:paraId="6A4E307D" w14:textId="77777777" w:rsidTr="0020771F">
        <w:trPr>
          <w:trHeight w:val="288"/>
        </w:trPr>
        <w:tc>
          <w:tcPr>
            <w:tcW w:w="5118" w:type="dxa"/>
            <w:tcBorders>
              <w:top w:val="nil"/>
            </w:tcBorders>
            <w:shd w:val="clear" w:color="auto" w:fill="E5E5E5" w:themeFill="background1" w:themeFillTint="33"/>
            <w:vAlign w:val="center"/>
            <w:hideMark/>
          </w:tcPr>
          <w:p w14:paraId="24D3EB70"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Single parents Stream 2</w:t>
            </w:r>
          </w:p>
        </w:tc>
        <w:tc>
          <w:tcPr>
            <w:tcW w:w="1580" w:type="dxa"/>
            <w:tcBorders>
              <w:top w:val="nil"/>
            </w:tcBorders>
            <w:shd w:val="clear" w:color="auto" w:fill="E5E5E5" w:themeFill="background1" w:themeFillTint="33"/>
            <w:noWrap/>
            <w:vAlign w:val="center"/>
            <w:hideMark/>
          </w:tcPr>
          <w:p w14:paraId="70FBE42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16.5</w:t>
            </w:r>
          </w:p>
        </w:tc>
        <w:tc>
          <w:tcPr>
            <w:tcW w:w="1580" w:type="dxa"/>
            <w:tcBorders>
              <w:top w:val="nil"/>
            </w:tcBorders>
            <w:shd w:val="clear" w:color="auto" w:fill="E5E5E5" w:themeFill="background1" w:themeFillTint="33"/>
            <w:noWrap/>
            <w:vAlign w:val="center"/>
            <w:hideMark/>
          </w:tcPr>
          <w:p w14:paraId="0A6C9C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580" w:type="dxa"/>
            <w:tcBorders>
              <w:top w:val="nil"/>
            </w:tcBorders>
            <w:shd w:val="clear" w:color="auto" w:fill="E5E5E5" w:themeFill="background1" w:themeFillTint="33"/>
            <w:noWrap/>
            <w:vAlign w:val="center"/>
            <w:hideMark/>
          </w:tcPr>
          <w:p w14:paraId="03B945E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35.9</w:t>
            </w:r>
          </w:p>
        </w:tc>
        <w:tc>
          <w:tcPr>
            <w:tcW w:w="1580" w:type="dxa"/>
            <w:tcBorders>
              <w:top w:val="nil"/>
            </w:tcBorders>
            <w:shd w:val="clear" w:color="auto" w:fill="E5E5E5" w:themeFill="background1" w:themeFillTint="33"/>
            <w:noWrap/>
            <w:vAlign w:val="center"/>
            <w:hideMark/>
          </w:tcPr>
          <w:p w14:paraId="75BAAB7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580" w:type="dxa"/>
            <w:tcBorders>
              <w:top w:val="nil"/>
            </w:tcBorders>
            <w:shd w:val="clear" w:color="auto" w:fill="E5E5E5" w:themeFill="background1" w:themeFillTint="33"/>
            <w:noWrap/>
            <w:vAlign w:val="center"/>
            <w:hideMark/>
          </w:tcPr>
          <w:p w14:paraId="1551EA0D"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47.6</w:t>
            </w:r>
          </w:p>
        </w:tc>
        <w:tc>
          <w:tcPr>
            <w:tcW w:w="1580" w:type="dxa"/>
            <w:tcBorders>
              <w:top w:val="nil"/>
            </w:tcBorders>
            <w:shd w:val="clear" w:color="auto" w:fill="E5E5E5" w:themeFill="background1" w:themeFillTint="33"/>
            <w:noWrap/>
            <w:vAlign w:val="center"/>
            <w:hideMark/>
          </w:tcPr>
          <w:p w14:paraId="028CB02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r>
      <w:tr w:rsidR="00961617" w:rsidRPr="00545C7F" w14:paraId="224D2798" w14:textId="77777777" w:rsidTr="0020771F">
        <w:trPr>
          <w:trHeight w:val="288"/>
        </w:trPr>
        <w:tc>
          <w:tcPr>
            <w:tcW w:w="5118" w:type="dxa"/>
            <w:tcBorders>
              <w:top w:val="nil"/>
            </w:tcBorders>
            <w:shd w:val="clear" w:color="auto" w:fill="FFFFFF" w:themeFill="background2"/>
            <w:vAlign w:val="center"/>
            <w:hideMark/>
          </w:tcPr>
          <w:p w14:paraId="54A71C5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Single parents Stream 3</w:t>
            </w:r>
          </w:p>
        </w:tc>
        <w:tc>
          <w:tcPr>
            <w:tcW w:w="1580" w:type="dxa"/>
            <w:tcBorders>
              <w:top w:val="nil"/>
            </w:tcBorders>
            <w:shd w:val="clear" w:color="auto" w:fill="FFFFFF" w:themeFill="background2"/>
            <w:noWrap/>
            <w:vAlign w:val="center"/>
            <w:hideMark/>
          </w:tcPr>
          <w:p w14:paraId="29F6A91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w:t>
            </w:r>
          </w:p>
        </w:tc>
        <w:tc>
          <w:tcPr>
            <w:tcW w:w="1580" w:type="dxa"/>
            <w:tcBorders>
              <w:top w:val="nil"/>
            </w:tcBorders>
            <w:shd w:val="clear" w:color="auto" w:fill="FFFFFF" w:themeFill="background2"/>
            <w:noWrap/>
            <w:vAlign w:val="center"/>
            <w:hideMark/>
          </w:tcPr>
          <w:p w14:paraId="76C1CAB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580" w:type="dxa"/>
            <w:tcBorders>
              <w:top w:val="nil"/>
            </w:tcBorders>
            <w:shd w:val="clear" w:color="auto" w:fill="FFFFFF" w:themeFill="background2"/>
            <w:noWrap/>
            <w:vAlign w:val="center"/>
            <w:hideMark/>
          </w:tcPr>
          <w:p w14:paraId="038BD0B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24.2</w:t>
            </w:r>
          </w:p>
        </w:tc>
        <w:tc>
          <w:tcPr>
            <w:tcW w:w="1580" w:type="dxa"/>
            <w:tcBorders>
              <w:top w:val="nil"/>
            </w:tcBorders>
            <w:shd w:val="clear" w:color="auto" w:fill="FFFFFF" w:themeFill="background2"/>
            <w:noWrap/>
            <w:vAlign w:val="center"/>
            <w:hideMark/>
          </w:tcPr>
          <w:p w14:paraId="25D3A3E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580" w:type="dxa"/>
            <w:tcBorders>
              <w:top w:val="nil"/>
            </w:tcBorders>
            <w:shd w:val="clear" w:color="auto" w:fill="FFFFFF" w:themeFill="background2"/>
            <w:noWrap/>
            <w:vAlign w:val="center"/>
            <w:hideMark/>
          </w:tcPr>
          <w:p w14:paraId="43447697"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69.0</w:t>
            </w:r>
          </w:p>
        </w:tc>
        <w:tc>
          <w:tcPr>
            <w:tcW w:w="1580" w:type="dxa"/>
            <w:tcBorders>
              <w:top w:val="nil"/>
            </w:tcBorders>
            <w:shd w:val="clear" w:color="auto" w:fill="FFFFFF" w:themeFill="background2"/>
            <w:noWrap/>
            <w:vAlign w:val="center"/>
            <w:hideMark/>
          </w:tcPr>
          <w:p w14:paraId="3486613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w:t>
            </w:r>
          </w:p>
        </w:tc>
      </w:tr>
      <w:tr w:rsidR="00961617" w:rsidRPr="00545C7F" w14:paraId="076861CA" w14:textId="77777777" w:rsidTr="0020771F">
        <w:trPr>
          <w:trHeight w:val="288"/>
        </w:trPr>
        <w:tc>
          <w:tcPr>
            <w:tcW w:w="5118" w:type="dxa"/>
            <w:tcBorders>
              <w:top w:val="nil"/>
            </w:tcBorders>
            <w:shd w:val="clear" w:color="auto" w:fill="E5E5E5" w:themeFill="background1" w:themeFillTint="33"/>
            <w:vAlign w:val="center"/>
            <w:hideMark/>
          </w:tcPr>
          <w:p w14:paraId="04F4C22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Single parents Stream 4</w:t>
            </w:r>
          </w:p>
        </w:tc>
        <w:tc>
          <w:tcPr>
            <w:tcW w:w="1580" w:type="dxa"/>
            <w:tcBorders>
              <w:top w:val="nil"/>
            </w:tcBorders>
            <w:shd w:val="clear" w:color="auto" w:fill="E5E5E5" w:themeFill="background1" w:themeFillTint="33"/>
            <w:noWrap/>
            <w:vAlign w:val="center"/>
            <w:hideMark/>
          </w:tcPr>
          <w:p w14:paraId="3CC9BE3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14.0</w:t>
            </w:r>
          </w:p>
        </w:tc>
        <w:tc>
          <w:tcPr>
            <w:tcW w:w="1580" w:type="dxa"/>
            <w:tcBorders>
              <w:top w:val="nil"/>
            </w:tcBorders>
            <w:shd w:val="clear" w:color="auto" w:fill="E5E5E5" w:themeFill="background1" w:themeFillTint="33"/>
            <w:noWrap/>
            <w:vAlign w:val="center"/>
            <w:hideMark/>
          </w:tcPr>
          <w:p w14:paraId="22923E1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5F64952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17.6</w:t>
            </w:r>
          </w:p>
        </w:tc>
        <w:tc>
          <w:tcPr>
            <w:tcW w:w="1580" w:type="dxa"/>
            <w:tcBorders>
              <w:top w:val="nil"/>
            </w:tcBorders>
            <w:shd w:val="clear" w:color="auto" w:fill="E5E5E5" w:themeFill="background1" w:themeFillTint="33"/>
            <w:noWrap/>
            <w:vAlign w:val="center"/>
            <w:hideMark/>
          </w:tcPr>
          <w:p w14:paraId="30B9E33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664F633D"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68.5</w:t>
            </w:r>
          </w:p>
        </w:tc>
        <w:tc>
          <w:tcPr>
            <w:tcW w:w="1580" w:type="dxa"/>
            <w:tcBorders>
              <w:top w:val="nil"/>
            </w:tcBorders>
            <w:shd w:val="clear" w:color="auto" w:fill="E5E5E5" w:themeFill="background1" w:themeFillTint="33"/>
            <w:noWrap/>
            <w:vAlign w:val="center"/>
            <w:hideMark/>
          </w:tcPr>
          <w:p w14:paraId="0E9F115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r w:rsidRPr="00545C7F">
              <w:rPr>
                <w:rFonts w:cstheme="minorHAnsi"/>
                <w:color w:val="000000"/>
                <w:sz w:val="20"/>
                <w:szCs w:val="20"/>
                <w:vertAlign w:val="superscript"/>
              </w:rPr>
              <w:t xml:space="preserve"> *</w:t>
            </w:r>
          </w:p>
        </w:tc>
      </w:tr>
      <w:tr w:rsidR="00961617" w:rsidRPr="00545C7F" w14:paraId="6CBFE174" w14:textId="77777777" w:rsidTr="0020771F">
        <w:trPr>
          <w:trHeight w:val="288"/>
        </w:trPr>
        <w:tc>
          <w:tcPr>
            <w:tcW w:w="5118" w:type="dxa"/>
            <w:shd w:val="clear" w:color="auto" w:fill="FFFFFF" w:themeFill="background2"/>
            <w:vAlign w:val="center"/>
            <w:hideMark/>
          </w:tcPr>
          <w:p w14:paraId="4A7C448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Disability with employment restrictions, total</w:t>
            </w:r>
          </w:p>
        </w:tc>
        <w:tc>
          <w:tcPr>
            <w:tcW w:w="1580" w:type="dxa"/>
            <w:shd w:val="clear" w:color="auto" w:fill="FFFFFF" w:themeFill="background2"/>
            <w:noWrap/>
            <w:vAlign w:val="center"/>
            <w:hideMark/>
          </w:tcPr>
          <w:p w14:paraId="1C5E714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22.8</w:t>
            </w:r>
          </w:p>
        </w:tc>
        <w:tc>
          <w:tcPr>
            <w:tcW w:w="1580" w:type="dxa"/>
            <w:shd w:val="clear" w:color="auto" w:fill="FFFFFF" w:themeFill="background2"/>
            <w:noWrap/>
            <w:vAlign w:val="center"/>
            <w:hideMark/>
          </w:tcPr>
          <w:p w14:paraId="6E2B552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shd w:val="clear" w:color="auto" w:fill="FFFFFF" w:themeFill="background2"/>
            <w:noWrap/>
            <w:vAlign w:val="center"/>
            <w:hideMark/>
          </w:tcPr>
          <w:p w14:paraId="0F6F90A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17.0</w:t>
            </w:r>
          </w:p>
        </w:tc>
        <w:tc>
          <w:tcPr>
            <w:tcW w:w="1580" w:type="dxa"/>
            <w:shd w:val="clear" w:color="auto" w:fill="FFFFFF" w:themeFill="background2"/>
            <w:noWrap/>
            <w:vAlign w:val="center"/>
            <w:hideMark/>
          </w:tcPr>
          <w:p w14:paraId="460CAFA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580" w:type="dxa"/>
            <w:shd w:val="clear" w:color="auto" w:fill="FFFFFF" w:themeFill="background2"/>
            <w:noWrap/>
            <w:vAlign w:val="center"/>
            <w:hideMark/>
          </w:tcPr>
          <w:p w14:paraId="6FBA9B5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w:t>
            </w:r>
          </w:p>
        </w:tc>
        <w:tc>
          <w:tcPr>
            <w:tcW w:w="1580" w:type="dxa"/>
            <w:shd w:val="clear" w:color="auto" w:fill="FFFFFF" w:themeFill="background2"/>
            <w:noWrap/>
            <w:vAlign w:val="center"/>
            <w:hideMark/>
          </w:tcPr>
          <w:p w14:paraId="64E6290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w:t>
            </w:r>
          </w:p>
        </w:tc>
      </w:tr>
      <w:tr w:rsidR="00961617" w:rsidRPr="00545C7F" w14:paraId="750CE83C" w14:textId="77777777" w:rsidTr="0020771F">
        <w:trPr>
          <w:trHeight w:val="288"/>
        </w:trPr>
        <w:tc>
          <w:tcPr>
            <w:tcW w:w="5118" w:type="dxa"/>
            <w:tcBorders>
              <w:top w:val="nil"/>
            </w:tcBorders>
            <w:shd w:val="clear" w:color="auto" w:fill="E5E5E5" w:themeFill="background1" w:themeFillTint="33"/>
            <w:vAlign w:val="center"/>
            <w:hideMark/>
          </w:tcPr>
          <w:p w14:paraId="1839140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Disability with employment restrictions Stream 1</w:t>
            </w:r>
          </w:p>
        </w:tc>
        <w:tc>
          <w:tcPr>
            <w:tcW w:w="1580" w:type="dxa"/>
            <w:tcBorders>
              <w:top w:val="nil"/>
            </w:tcBorders>
            <w:shd w:val="clear" w:color="auto" w:fill="E5E5E5" w:themeFill="background1" w:themeFillTint="33"/>
            <w:noWrap/>
            <w:vAlign w:val="center"/>
            <w:hideMark/>
          </w:tcPr>
          <w:p w14:paraId="60C2382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25.6</w:t>
            </w:r>
          </w:p>
        </w:tc>
        <w:tc>
          <w:tcPr>
            <w:tcW w:w="1580" w:type="dxa"/>
            <w:tcBorders>
              <w:top w:val="nil"/>
            </w:tcBorders>
            <w:shd w:val="clear" w:color="auto" w:fill="E5E5E5" w:themeFill="background1" w:themeFillTint="33"/>
            <w:noWrap/>
            <w:vAlign w:val="center"/>
            <w:hideMark/>
          </w:tcPr>
          <w:p w14:paraId="15F1AB7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c>
          <w:tcPr>
            <w:tcW w:w="1580" w:type="dxa"/>
            <w:tcBorders>
              <w:top w:val="nil"/>
            </w:tcBorders>
            <w:shd w:val="clear" w:color="auto" w:fill="E5E5E5" w:themeFill="background1" w:themeFillTint="33"/>
            <w:noWrap/>
            <w:vAlign w:val="center"/>
            <w:hideMark/>
          </w:tcPr>
          <w:p w14:paraId="734C49B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17.7</w:t>
            </w:r>
          </w:p>
        </w:tc>
        <w:tc>
          <w:tcPr>
            <w:tcW w:w="1580" w:type="dxa"/>
            <w:tcBorders>
              <w:top w:val="nil"/>
            </w:tcBorders>
            <w:shd w:val="clear" w:color="auto" w:fill="E5E5E5" w:themeFill="background1" w:themeFillTint="33"/>
            <w:noWrap/>
            <w:vAlign w:val="center"/>
            <w:hideMark/>
          </w:tcPr>
          <w:p w14:paraId="50B444D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tcBorders>
              <w:top w:val="nil"/>
            </w:tcBorders>
            <w:shd w:val="clear" w:color="auto" w:fill="E5E5E5" w:themeFill="background1" w:themeFillTint="33"/>
            <w:noWrap/>
            <w:vAlign w:val="center"/>
            <w:hideMark/>
          </w:tcPr>
          <w:p w14:paraId="2EC1229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56.7</w:t>
            </w:r>
          </w:p>
        </w:tc>
        <w:tc>
          <w:tcPr>
            <w:tcW w:w="1580" w:type="dxa"/>
            <w:tcBorders>
              <w:top w:val="nil"/>
            </w:tcBorders>
            <w:shd w:val="clear" w:color="auto" w:fill="E5E5E5" w:themeFill="background1" w:themeFillTint="33"/>
            <w:noWrap/>
            <w:vAlign w:val="center"/>
            <w:hideMark/>
          </w:tcPr>
          <w:p w14:paraId="42594084"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r>
      <w:tr w:rsidR="00961617" w:rsidRPr="00545C7F" w14:paraId="2D703FDB" w14:textId="77777777" w:rsidTr="0020771F">
        <w:trPr>
          <w:trHeight w:val="288"/>
        </w:trPr>
        <w:tc>
          <w:tcPr>
            <w:tcW w:w="5118" w:type="dxa"/>
            <w:tcBorders>
              <w:top w:val="nil"/>
            </w:tcBorders>
            <w:shd w:val="clear" w:color="auto" w:fill="FFFFFF" w:themeFill="background2"/>
            <w:vAlign w:val="center"/>
            <w:hideMark/>
          </w:tcPr>
          <w:p w14:paraId="0B362F4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Disability with employment restrictions Stream 2</w:t>
            </w:r>
          </w:p>
        </w:tc>
        <w:tc>
          <w:tcPr>
            <w:tcW w:w="1580" w:type="dxa"/>
            <w:tcBorders>
              <w:top w:val="nil"/>
            </w:tcBorders>
            <w:shd w:val="clear" w:color="auto" w:fill="FFFFFF" w:themeFill="background2"/>
            <w:noWrap/>
            <w:vAlign w:val="center"/>
            <w:hideMark/>
          </w:tcPr>
          <w:p w14:paraId="38C146DC"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19.4</w:t>
            </w:r>
          </w:p>
        </w:tc>
        <w:tc>
          <w:tcPr>
            <w:tcW w:w="1580" w:type="dxa"/>
            <w:tcBorders>
              <w:top w:val="nil"/>
            </w:tcBorders>
            <w:shd w:val="clear" w:color="auto" w:fill="FFFFFF" w:themeFill="background2"/>
            <w:noWrap/>
            <w:vAlign w:val="center"/>
            <w:hideMark/>
          </w:tcPr>
          <w:p w14:paraId="69C82E0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580" w:type="dxa"/>
            <w:tcBorders>
              <w:top w:val="nil"/>
            </w:tcBorders>
            <w:shd w:val="clear" w:color="auto" w:fill="FFFFFF" w:themeFill="background2"/>
            <w:noWrap/>
            <w:vAlign w:val="center"/>
            <w:hideMark/>
          </w:tcPr>
          <w:p w14:paraId="3F99AC2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18.1</w:t>
            </w:r>
          </w:p>
        </w:tc>
        <w:tc>
          <w:tcPr>
            <w:tcW w:w="1580" w:type="dxa"/>
            <w:tcBorders>
              <w:top w:val="nil"/>
            </w:tcBorders>
            <w:shd w:val="clear" w:color="auto" w:fill="FFFFFF" w:themeFill="background2"/>
            <w:noWrap/>
            <w:vAlign w:val="center"/>
            <w:hideMark/>
          </w:tcPr>
          <w:p w14:paraId="056E8BE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580" w:type="dxa"/>
            <w:tcBorders>
              <w:top w:val="nil"/>
            </w:tcBorders>
            <w:shd w:val="clear" w:color="auto" w:fill="FFFFFF" w:themeFill="background2"/>
            <w:noWrap/>
            <w:vAlign w:val="center"/>
            <w:hideMark/>
          </w:tcPr>
          <w:p w14:paraId="7CF9925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62.6</w:t>
            </w:r>
          </w:p>
        </w:tc>
        <w:tc>
          <w:tcPr>
            <w:tcW w:w="1580" w:type="dxa"/>
            <w:tcBorders>
              <w:top w:val="nil"/>
            </w:tcBorders>
            <w:shd w:val="clear" w:color="auto" w:fill="FFFFFF" w:themeFill="background2"/>
            <w:noWrap/>
            <w:vAlign w:val="center"/>
            <w:hideMark/>
          </w:tcPr>
          <w:p w14:paraId="0D706F7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r>
      <w:tr w:rsidR="00961617" w:rsidRPr="00545C7F" w14:paraId="15878DC7" w14:textId="77777777" w:rsidTr="0020771F">
        <w:trPr>
          <w:trHeight w:val="288"/>
        </w:trPr>
        <w:tc>
          <w:tcPr>
            <w:tcW w:w="5118" w:type="dxa"/>
            <w:tcBorders>
              <w:top w:val="nil"/>
            </w:tcBorders>
            <w:shd w:val="clear" w:color="auto" w:fill="E5E5E5" w:themeFill="background1" w:themeFillTint="33"/>
            <w:vAlign w:val="center"/>
            <w:hideMark/>
          </w:tcPr>
          <w:p w14:paraId="464E8D6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Disability with employment restrictions Stream 3</w:t>
            </w:r>
          </w:p>
        </w:tc>
        <w:tc>
          <w:tcPr>
            <w:tcW w:w="1580" w:type="dxa"/>
            <w:tcBorders>
              <w:top w:val="nil"/>
            </w:tcBorders>
            <w:shd w:val="clear" w:color="auto" w:fill="E5E5E5" w:themeFill="background1" w:themeFillTint="33"/>
            <w:noWrap/>
            <w:vAlign w:val="center"/>
            <w:hideMark/>
          </w:tcPr>
          <w:p w14:paraId="4E94526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11.2</w:t>
            </w:r>
          </w:p>
        </w:tc>
        <w:tc>
          <w:tcPr>
            <w:tcW w:w="1580" w:type="dxa"/>
            <w:tcBorders>
              <w:top w:val="nil"/>
            </w:tcBorders>
            <w:shd w:val="clear" w:color="auto" w:fill="E5E5E5" w:themeFill="background1" w:themeFillTint="33"/>
            <w:noWrap/>
            <w:vAlign w:val="center"/>
            <w:hideMark/>
          </w:tcPr>
          <w:p w14:paraId="2B2A486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580" w:type="dxa"/>
            <w:tcBorders>
              <w:top w:val="nil"/>
            </w:tcBorders>
            <w:shd w:val="clear" w:color="auto" w:fill="E5E5E5" w:themeFill="background1" w:themeFillTint="33"/>
            <w:noWrap/>
            <w:vAlign w:val="center"/>
            <w:hideMark/>
          </w:tcPr>
          <w:p w14:paraId="1027A0F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15.7</w:t>
            </w:r>
          </w:p>
        </w:tc>
        <w:tc>
          <w:tcPr>
            <w:tcW w:w="1580" w:type="dxa"/>
            <w:tcBorders>
              <w:top w:val="nil"/>
            </w:tcBorders>
            <w:shd w:val="clear" w:color="auto" w:fill="E5E5E5" w:themeFill="background1" w:themeFillTint="33"/>
            <w:noWrap/>
            <w:vAlign w:val="center"/>
            <w:hideMark/>
          </w:tcPr>
          <w:p w14:paraId="5B56AA2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580" w:type="dxa"/>
            <w:tcBorders>
              <w:top w:val="nil"/>
            </w:tcBorders>
            <w:shd w:val="clear" w:color="auto" w:fill="E5E5E5" w:themeFill="background1" w:themeFillTint="33"/>
            <w:noWrap/>
            <w:vAlign w:val="center"/>
            <w:hideMark/>
          </w:tcPr>
          <w:p w14:paraId="26CB4BA7"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73.1</w:t>
            </w:r>
          </w:p>
        </w:tc>
        <w:tc>
          <w:tcPr>
            <w:tcW w:w="1580" w:type="dxa"/>
            <w:tcBorders>
              <w:top w:val="nil"/>
            </w:tcBorders>
            <w:shd w:val="clear" w:color="auto" w:fill="E5E5E5" w:themeFill="background1" w:themeFillTint="33"/>
            <w:noWrap/>
            <w:vAlign w:val="center"/>
            <w:hideMark/>
          </w:tcPr>
          <w:p w14:paraId="60220E3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r>
      <w:tr w:rsidR="00961617" w:rsidRPr="00545C7F" w14:paraId="743D6554" w14:textId="77777777" w:rsidTr="0020771F">
        <w:trPr>
          <w:trHeight w:val="288"/>
        </w:trPr>
        <w:tc>
          <w:tcPr>
            <w:tcW w:w="5118" w:type="dxa"/>
            <w:tcBorders>
              <w:top w:val="nil"/>
            </w:tcBorders>
            <w:shd w:val="clear" w:color="auto" w:fill="FFFFFF" w:themeFill="background2"/>
            <w:vAlign w:val="center"/>
            <w:hideMark/>
          </w:tcPr>
          <w:p w14:paraId="0C56B73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Disability with employment restrictions Stream 4</w:t>
            </w:r>
          </w:p>
        </w:tc>
        <w:tc>
          <w:tcPr>
            <w:tcW w:w="1580" w:type="dxa"/>
            <w:tcBorders>
              <w:top w:val="nil"/>
            </w:tcBorders>
            <w:shd w:val="clear" w:color="auto" w:fill="FFFFFF" w:themeFill="background2"/>
            <w:noWrap/>
            <w:vAlign w:val="center"/>
            <w:hideMark/>
          </w:tcPr>
          <w:p w14:paraId="75BF0A4C"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19.3</w:t>
            </w:r>
          </w:p>
        </w:tc>
        <w:tc>
          <w:tcPr>
            <w:tcW w:w="1580" w:type="dxa"/>
            <w:tcBorders>
              <w:top w:val="nil"/>
            </w:tcBorders>
            <w:shd w:val="clear" w:color="auto" w:fill="FFFFFF" w:themeFill="background2"/>
            <w:noWrap/>
            <w:vAlign w:val="center"/>
            <w:hideMark/>
          </w:tcPr>
          <w:p w14:paraId="3CFAFF9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580" w:type="dxa"/>
            <w:tcBorders>
              <w:top w:val="nil"/>
            </w:tcBorders>
            <w:shd w:val="clear" w:color="auto" w:fill="FFFFFF" w:themeFill="background2"/>
            <w:noWrap/>
            <w:vAlign w:val="center"/>
            <w:hideMark/>
          </w:tcPr>
          <w:p w14:paraId="042C38F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10.1</w:t>
            </w:r>
          </w:p>
        </w:tc>
        <w:tc>
          <w:tcPr>
            <w:tcW w:w="1580" w:type="dxa"/>
            <w:tcBorders>
              <w:top w:val="nil"/>
            </w:tcBorders>
            <w:shd w:val="clear" w:color="auto" w:fill="FFFFFF" w:themeFill="background2"/>
            <w:noWrap/>
            <w:vAlign w:val="center"/>
            <w:hideMark/>
          </w:tcPr>
          <w:p w14:paraId="2F92584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1C50D7D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70.6</w:t>
            </w:r>
          </w:p>
        </w:tc>
        <w:tc>
          <w:tcPr>
            <w:tcW w:w="1580" w:type="dxa"/>
            <w:tcBorders>
              <w:top w:val="nil"/>
            </w:tcBorders>
            <w:shd w:val="clear" w:color="auto" w:fill="FFFFFF" w:themeFill="background2"/>
            <w:noWrap/>
            <w:vAlign w:val="center"/>
            <w:hideMark/>
          </w:tcPr>
          <w:p w14:paraId="6474E9E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r>
      <w:tr w:rsidR="00961617" w:rsidRPr="00545C7F" w14:paraId="350ADC90" w14:textId="77777777" w:rsidTr="0020771F">
        <w:trPr>
          <w:trHeight w:val="288"/>
        </w:trPr>
        <w:tc>
          <w:tcPr>
            <w:tcW w:w="5118" w:type="dxa"/>
            <w:shd w:val="clear" w:color="auto" w:fill="E5E5E5" w:themeFill="background1" w:themeFillTint="33"/>
            <w:vAlign w:val="center"/>
            <w:hideMark/>
          </w:tcPr>
          <w:p w14:paraId="72654CB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Major cities of Australia, total</w:t>
            </w:r>
          </w:p>
        </w:tc>
        <w:tc>
          <w:tcPr>
            <w:tcW w:w="1580" w:type="dxa"/>
            <w:shd w:val="clear" w:color="auto" w:fill="E5E5E5" w:themeFill="background1" w:themeFillTint="33"/>
            <w:noWrap/>
            <w:vAlign w:val="center"/>
            <w:hideMark/>
          </w:tcPr>
          <w:p w14:paraId="333DC70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57.5</w:t>
            </w:r>
          </w:p>
        </w:tc>
        <w:tc>
          <w:tcPr>
            <w:tcW w:w="1580" w:type="dxa"/>
            <w:shd w:val="clear" w:color="auto" w:fill="E5E5E5" w:themeFill="background1" w:themeFillTint="33"/>
            <w:noWrap/>
            <w:vAlign w:val="center"/>
            <w:hideMark/>
          </w:tcPr>
          <w:p w14:paraId="64082AD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c>
          <w:tcPr>
            <w:tcW w:w="1580" w:type="dxa"/>
            <w:shd w:val="clear" w:color="auto" w:fill="E5E5E5" w:themeFill="background1" w:themeFillTint="33"/>
            <w:noWrap/>
            <w:vAlign w:val="center"/>
            <w:hideMark/>
          </w:tcPr>
          <w:p w14:paraId="2860136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11.3</w:t>
            </w:r>
          </w:p>
        </w:tc>
        <w:tc>
          <w:tcPr>
            <w:tcW w:w="1580" w:type="dxa"/>
            <w:shd w:val="clear" w:color="auto" w:fill="E5E5E5" w:themeFill="background1" w:themeFillTint="33"/>
            <w:noWrap/>
            <w:vAlign w:val="center"/>
            <w:hideMark/>
          </w:tcPr>
          <w:p w14:paraId="08D64BF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w:t>
            </w:r>
          </w:p>
        </w:tc>
        <w:tc>
          <w:tcPr>
            <w:tcW w:w="1580" w:type="dxa"/>
            <w:shd w:val="clear" w:color="auto" w:fill="E5E5E5" w:themeFill="background1" w:themeFillTint="33"/>
            <w:noWrap/>
            <w:vAlign w:val="center"/>
            <w:hideMark/>
          </w:tcPr>
          <w:p w14:paraId="202BFC0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31.1</w:t>
            </w:r>
          </w:p>
        </w:tc>
        <w:tc>
          <w:tcPr>
            <w:tcW w:w="1580" w:type="dxa"/>
            <w:shd w:val="clear" w:color="auto" w:fill="E5E5E5" w:themeFill="background1" w:themeFillTint="33"/>
            <w:noWrap/>
            <w:vAlign w:val="center"/>
            <w:hideMark/>
          </w:tcPr>
          <w:p w14:paraId="527030BE"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r>
      <w:tr w:rsidR="00961617" w:rsidRPr="00545C7F" w14:paraId="0486AE12" w14:textId="77777777" w:rsidTr="0020771F">
        <w:trPr>
          <w:trHeight w:val="288"/>
        </w:trPr>
        <w:tc>
          <w:tcPr>
            <w:tcW w:w="5118" w:type="dxa"/>
            <w:tcBorders>
              <w:top w:val="nil"/>
            </w:tcBorders>
            <w:shd w:val="clear" w:color="auto" w:fill="FFFFFF" w:themeFill="background2"/>
            <w:vAlign w:val="center"/>
            <w:hideMark/>
          </w:tcPr>
          <w:p w14:paraId="7CBC5D9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Major cities of Australia Stream 1</w:t>
            </w:r>
          </w:p>
        </w:tc>
        <w:tc>
          <w:tcPr>
            <w:tcW w:w="1580" w:type="dxa"/>
            <w:tcBorders>
              <w:top w:val="nil"/>
            </w:tcBorders>
            <w:shd w:val="clear" w:color="auto" w:fill="FFFFFF" w:themeFill="background2"/>
            <w:noWrap/>
            <w:vAlign w:val="center"/>
            <w:hideMark/>
          </w:tcPr>
          <w:p w14:paraId="615F95E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62.5</w:t>
            </w:r>
          </w:p>
        </w:tc>
        <w:tc>
          <w:tcPr>
            <w:tcW w:w="1580" w:type="dxa"/>
            <w:tcBorders>
              <w:top w:val="nil"/>
            </w:tcBorders>
            <w:shd w:val="clear" w:color="auto" w:fill="FFFFFF" w:themeFill="background2"/>
            <w:noWrap/>
            <w:vAlign w:val="center"/>
            <w:hideMark/>
          </w:tcPr>
          <w:p w14:paraId="2B06277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c>
          <w:tcPr>
            <w:tcW w:w="1580" w:type="dxa"/>
            <w:tcBorders>
              <w:top w:val="nil"/>
            </w:tcBorders>
            <w:shd w:val="clear" w:color="auto" w:fill="FFFFFF" w:themeFill="background2"/>
            <w:noWrap/>
            <w:vAlign w:val="center"/>
            <w:hideMark/>
          </w:tcPr>
          <w:p w14:paraId="2624DFB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c>
          <w:tcPr>
            <w:tcW w:w="1580" w:type="dxa"/>
            <w:tcBorders>
              <w:top w:val="nil"/>
            </w:tcBorders>
            <w:shd w:val="clear" w:color="auto" w:fill="FFFFFF" w:themeFill="background2"/>
            <w:noWrap/>
            <w:vAlign w:val="center"/>
            <w:hideMark/>
          </w:tcPr>
          <w:p w14:paraId="6FA64C8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w:t>
            </w:r>
          </w:p>
        </w:tc>
        <w:tc>
          <w:tcPr>
            <w:tcW w:w="1580" w:type="dxa"/>
            <w:tcBorders>
              <w:top w:val="nil"/>
            </w:tcBorders>
            <w:shd w:val="clear" w:color="auto" w:fill="FFFFFF" w:themeFill="background2"/>
            <w:noWrap/>
            <w:vAlign w:val="center"/>
            <w:hideMark/>
          </w:tcPr>
          <w:p w14:paraId="59D214CE"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27.4</w:t>
            </w:r>
          </w:p>
        </w:tc>
        <w:tc>
          <w:tcPr>
            <w:tcW w:w="1580" w:type="dxa"/>
            <w:tcBorders>
              <w:top w:val="nil"/>
            </w:tcBorders>
            <w:shd w:val="clear" w:color="auto" w:fill="FFFFFF" w:themeFill="background2"/>
            <w:noWrap/>
            <w:vAlign w:val="center"/>
            <w:hideMark/>
          </w:tcPr>
          <w:p w14:paraId="6B750D2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w:t>
            </w:r>
          </w:p>
        </w:tc>
      </w:tr>
      <w:tr w:rsidR="00961617" w:rsidRPr="00545C7F" w14:paraId="65767F95" w14:textId="77777777" w:rsidTr="0020771F">
        <w:trPr>
          <w:trHeight w:val="288"/>
        </w:trPr>
        <w:tc>
          <w:tcPr>
            <w:tcW w:w="5118" w:type="dxa"/>
            <w:tcBorders>
              <w:top w:val="nil"/>
            </w:tcBorders>
            <w:shd w:val="clear" w:color="auto" w:fill="E5E5E5" w:themeFill="background1" w:themeFillTint="33"/>
            <w:vAlign w:val="center"/>
            <w:hideMark/>
          </w:tcPr>
          <w:p w14:paraId="3DD0A9C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Major cities of Australia Stream 2</w:t>
            </w:r>
          </w:p>
        </w:tc>
        <w:tc>
          <w:tcPr>
            <w:tcW w:w="1580" w:type="dxa"/>
            <w:tcBorders>
              <w:top w:val="nil"/>
            </w:tcBorders>
            <w:shd w:val="clear" w:color="auto" w:fill="E5E5E5" w:themeFill="background1" w:themeFillTint="33"/>
            <w:noWrap/>
            <w:vAlign w:val="center"/>
            <w:hideMark/>
          </w:tcPr>
          <w:p w14:paraId="090EFF5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38.7</w:t>
            </w:r>
          </w:p>
        </w:tc>
        <w:tc>
          <w:tcPr>
            <w:tcW w:w="1580" w:type="dxa"/>
            <w:tcBorders>
              <w:top w:val="nil"/>
            </w:tcBorders>
            <w:shd w:val="clear" w:color="auto" w:fill="E5E5E5" w:themeFill="background1" w:themeFillTint="33"/>
            <w:noWrap/>
            <w:vAlign w:val="center"/>
            <w:hideMark/>
          </w:tcPr>
          <w:p w14:paraId="1F661BE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580" w:type="dxa"/>
            <w:tcBorders>
              <w:top w:val="nil"/>
            </w:tcBorders>
            <w:shd w:val="clear" w:color="auto" w:fill="E5E5E5" w:themeFill="background1" w:themeFillTint="33"/>
            <w:noWrap/>
            <w:vAlign w:val="center"/>
            <w:hideMark/>
          </w:tcPr>
          <w:p w14:paraId="2B490CF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17.8</w:t>
            </w:r>
          </w:p>
        </w:tc>
        <w:tc>
          <w:tcPr>
            <w:tcW w:w="1580" w:type="dxa"/>
            <w:tcBorders>
              <w:top w:val="nil"/>
            </w:tcBorders>
            <w:shd w:val="clear" w:color="auto" w:fill="E5E5E5" w:themeFill="background1" w:themeFillTint="33"/>
            <w:noWrap/>
            <w:vAlign w:val="center"/>
            <w:hideMark/>
          </w:tcPr>
          <w:p w14:paraId="2C8415D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tcBorders>
              <w:top w:val="nil"/>
            </w:tcBorders>
            <w:shd w:val="clear" w:color="auto" w:fill="E5E5E5" w:themeFill="background1" w:themeFillTint="33"/>
            <w:noWrap/>
            <w:vAlign w:val="center"/>
            <w:hideMark/>
          </w:tcPr>
          <w:p w14:paraId="62476B7E"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43.5</w:t>
            </w:r>
          </w:p>
        </w:tc>
        <w:tc>
          <w:tcPr>
            <w:tcW w:w="1580" w:type="dxa"/>
            <w:tcBorders>
              <w:top w:val="nil"/>
            </w:tcBorders>
            <w:shd w:val="clear" w:color="auto" w:fill="E5E5E5" w:themeFill="background1" w:themeFillTint="33"/>
            <w:noWrap/>
            <w:vAlign w:val="center"/>
            <w:hideMark/>
          </w:tcPr>
          <w:p w14:paraId="68F3A10E"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r>
      <w:tr w:rsidR="00961617" w:rsidRPr="00545C7F" w14:paraId="2C33BC39" w14:textId="77777777" w:rsidTr="0020771F">
        <w:trPr>
          <w:trHeight w:val="288"/>
        </w:trPr>
        <w:tc>
          <w:tcPr>
            <w:tcW w:w="5118" w:type="dxa"/>
            <w:tcBorders>
              <w:top w:val="nil"/>
            </w:tcBorders>
            <w:shd w:val="clear" w:color="auto" w:fill="FFFFFF" w:themeFill="background2"/>
            <w:vAlign w:val="center"/>
            <w:hideMark/>
          </w:tcPr>
          <w:p w14:paraId="0E096DBE"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Major cities of Australia Stream 3</w:t>
            </w:r>
          </w:p>
        </w:tc>
        <w:tc>
          <w:tcPr>
            <w:tcW w:w="1580" w:type="dxa"/>
            <w:tcBorders>
              <w:top w:val="nil"/>
            </w:tcBorders>
            <w:shd w:val="clear" w:color="auto" w:fill="FFFFFF" w:themeFill="background2"/>
            <w:noWrap/>
            <w:vAlign w:val="center"/>
            <w:hideMark/>
          </w:tcPr>
          <w:p w14:paraId="1AC3DA1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17.6</w:t>
            </w:r>
          </w:p>
        </w:tc>
        <w:tc>
          <w:tcPr>
            <w:tcW w:w="1580" w:type="dxa"/>
            <w:tcBorders>
              <w:top w:val="nil"/>
            </w:tcBorders>
            <w:shd w:val="clear" w:color="auto" w:fill="FFFFFF" w:themeFill="background2"/>
            <w:noWrap/>
            <w:vAlign w:val="center"/>
            <w:hideMark/>
          </w:tcPr>
          <w:p w14:paraId="66930D9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327DDE4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c>
          <w:tcPr>
            <w:tcW w:w="1580" w:type="dxa"/>
            <w:tcBorders>
              <w:top w:val="nil"/>
            </w:tcBorders>
            <w:shd w:val="clear" w:color="auto" w:fill="FFFFFF" w:themeFill="background2"/>
            <w:noWrap/>
            <w:vAlign w:val="center"/>
            <w:hideMark/>
          </w:tcPr>
          <w:p w14:paraId="21C63ED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580" w:type="dxa"/>
            <w:tcBorders>
              <w:top w:val="nil"/>
            </w:tcBorders>
            <w:shd w:val="clear" w:color="auto" w:fill="FFFFFF" w:themeFill="background2"/>
            <w:noWrap/>
            <w:vAlign w:val="center"/>
            <w:hideMark/>
          </w:tcPr>
          <w:p w14:paraId="4D6666AC"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62.9</w:t>
            </w:r>
          </w:p>
        </w:tc>
        <w:tc>
          <w:tcPr>
            <w:tcW w:w="1580" w:type="dxa"/>
            <w:tcBorders>
              <w:top w:val="nil"/>
            </w:tcBorders>
            <w:shd w:val="clear" w:color="auto" w:fill="FFFFFF" w:themeFill="background2"/>
            <w:noWrap/>
            <w:vAlign w:val="center"/>
            <w:hideMark/>
          </w:tcPr>
          <w:p w14:paraId="6C7DABC6"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r>
      <w:tr w:rsidR="00961617" w:rsidRPr="00545C7F" w14:paraId="3A9D930A" w14:textId="77777777" w:rsidTr="0020771F">
        <w:trPr>
          <w:trHeight w:val="288"/>
        </w:trPr>
        <w:tc>
          <w:tcPr>
            <w:tcW w:w="5118" w:type="dxa"/>
            <w:tcBorders>
              <w:top w:val="nil"/>
            </w:tcBorders>
            <w:shd w:val="clear" w:color="auto" w:fill="E5E5E5" w:themeFill="background1" w:themeFillTint="33"/>
            <w:vAlign w:val="center"/>
            <w:hideMark/>
          </w:tcPr>
          <w:p w14:paraId="57C8A2C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Major cities of Australia Stream 4</w:t>
            </w:r>
          </w:p>
        </w:tc>
        <w:tc>
          <w:tcPr>
            <w:tcW w:w="1580" w:type="dxa"/>
            <w:tcBorders>
              <w:top w:val="nil"/>
            </w:tcBorders>
            <w:shd w:val="clear" w:color="auto" w:fill="E5E5E5" w:themeFill="background1" w:themeFillTint="33"/>
            <w:noWrap/>
            <w:vAlign w:val="center"/>
            <w:hideMark/>
          </w:tcPr>
          <w:p w14:paraId="4718D454"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34.6</w:t>
            </w:r>
          </w:p>
        </w:tc>
        <w:tc>
          <w:tcPr>
            <w:tcW w:w="1580" w:type="dxa"/>
            <w:tcBorders>
              <w:top w:val="nil"/>
            </w:tcBorders>
            <w:shd w:val="clear" w:color="auto" w:fill="E5E5E5" w:themeFill="background1" w:themeFillTint="33"/>
            <w:noWrap/>
            <w:vAlign w:val="center"/>
            <w:hideMark/>
          </w:tcPr>
          <w:p w14:paraId="1E966AE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580" w:type="dxa"/>
            <w:tcBorders>
              <w:top w:val="nil"/>
            </w:tcBorders>
            <w:shd w:val="clear" w:color="auto" w:fill="E5E5E5" w:themeFill="background1" w:themeFillTint="33"/>
            <w:noWrap/>
            <w:vAlign w:val="center"/>
            <w:hideMark/>
          </w:tcPr>
          <w:p w14:paraId="0B90690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w:t>
            </w:r>
          </w:p>
        </w:tc>
        <w:tc>
          <w:tcPr>
            <w:tcW w:w="1580" w:type="dxa"/>
            <w:tcBorders>
              <w:top w:val="nil"/>
            </w:tcBorders>
            <w:shd w:val="clear" w:color="auto" w:fill="E5E5E5" w:themeFill="background1" w:themeFillTint="33"/>
            <w:noWrap/>
            <w:vAlign w:val="center"/>
            <w:hideMark/>
          </w:tcPr>
          <w:p w14:paraId="3E19F91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580" w:type="dxa"/>
            <w:tcBorders>
              <w:top w:val="nil"/>
            </w:tcBorders>
            <w:shd w:val="clear" w:color="auto" w:fill="E5E5E5" w:themeFill="background1" w:themeFillTint="33"/>
            <w:noWrap/>
            <w:vAlign w:val="center"/>
            <w:hideMark/>
          </w:tcPr>
          <w:p w14:paraId="05761FD5"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57.0</w:t>
            </w:r>
          </w:p>
        </w:tc>
        <w:tc>
          <w:tcPr>
            <w:tcW w:w="1580" w:type="dxa"/>
            <w:tcBorders>
              <w:top w:val="nil"/>
            </w:tcBorders>
            <w:shd w:val="clear" w:color="auto" w:fill="E5E5E5" w:themeFill="background1" w:themeFillTint="33"/>
            <w:noWrap/>
            <w:vAlign w:val="center"/>
            <w:hideMark/>
          </w:tcPr>
          <w:p w14:paraId="1FAFE980"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r>
      <w:tr w:rsidR="00961617" w:rsidRPr="00545C7F" w14:paraId="3A561D1A" w14:textId="77777777" w:rsidTr="0020771F">
        <w:trPr>
          <w:trHeight w:val="288"/>
        </w:trPr>
        <w:tc>
          <w:tcPr>
            <w:tcW w:w="5118" w:type="dxa"/>
            <w:shd w:val="clear" w:color="auto" w:fill="FFFFFF" w:themeFill="background2"/>
            <w:vAlign w:val="center"/>
            <w:hideMark/>
          </w:tcPr>
          <w:p w14:paraId="4A1EC1A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Inner regional Australia, total</w:t>
            </w:r>
          </w:p>
        </w:tc>
        <w:tc>
          <w:tcPr>
            <w:tcW w:w="1580" w:type="dxa"/>
            <w:shd w:val="clear" w:color="auto" w:fill="FFFFFF" w:themeFill="background2"/>
            <w:noWrap/>
            <w:vAlign w:val="center"/>
            <w:hideMark/>
          </w:tcPr>
          <w:p w14:paraId="18F8B19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52.0</w:t>
            </w:r>
          </w:p>
        </w:tc>
        <w:tc>
          <w:tcPr>
            <w:tcW w:w="1580" w:type="dxa"/>
            <w:shd w:val="clear" w:color="auto" w:fill="FFFFFF" w:themeFill="background2"/>
            <w:noWrap/>
            <w:vAlign w:val="center"/>
            <w:hideMark/>
          </w:tcPr>
          <w:p w14:paraId="17C09F2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c>
          <w:tcPr>
            <w:tcW w:w="1580" w:type="dxa"/>
            <w:shd w:val="clear" w:color="auto" w:fill="FFFFFF" w:themeFill="background2"/>
            <w:noWrap/>
            <w:vAlign w:val="center"/>
            <w:hideMark/>
          </w:tcPr>
          <w:p w14:paraId="53A5893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14.9</w:t>
            </w:r>
          </w:p>
        </w:tc>
        <w:tc>
          <w:tcPr>
            <w:tcW w:w="1580" w:type="dxa"/>
            <w:shd w:val="clear" w:color="auto" w:fill="FFFFFF" w:themeFill="background2"/>
            <w:noWrap/>
            <w:vAlign w:val="center"/>
            <w:hideMark/>
          </w:tcPr>
          <w:p w14:paraId="108D966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p>
        </w:tc>
        <w:tc>
          <w:tcPr>
            <w:tcW w:w="1580" w:type="dxa"/>
            <w:shd w:val="clear" w:color="auto" w:fill="FFFFFF" w:themeFill="background2"/>
            <w:noWrap/>
            <w:vAlign w:val="center"/>
            <w:hideMark/>
          </w:tcPr>
          <w:p w14:paraId="22CF2F8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33.1</w:t>
            </w:r>
          </w:p>
        </w:tc>
        <w:tc>
          <w:tcPr>
            <w:tcW w:w="1580" w:type="dxa"/>
            <w:shd w:val="clear" w:color="auto" w:fill="FFFFFF" w:themeFill="background2"/>
            <w:noWrap/>
            <w:vAlign w:val="center"/>
            <w:hideMark/>
          </w:tcPr>
          <w:p w14:paraId="015F268A"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r>
      <w:tr w:rsidR="00961617" w:rsidRPr="00545C7F" w14:paraId="62AD23D7" w14:textId="77777777" w:rsidTr="0020771F">
        <w:trPr>
          <w:trHeight w:val="288"/>
        </w:trPr>
        <w:tc>
          <w:tcPr>
            <w:tcW w:w="5118" w:type="dxa"/>
            <w:tcBorders>
              <w:top w:val="nil"/>
            </w:tcBorders>
            <w:shd w:val="clear" w:color="auto" w:fill="E5E5E5" w:themeFill="background1" w:themeFillTint="33"/>
            <w:vAlign w:val="center"/>
            <w:hideMark/>
          </w:tcPr>
          <w:p w14:paraId="14A7454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Inner regional of Australia Stream 1</w:t>
            </w:r>
          </w:p>
        </w:tc>
        <w:tc>
          <w:tcPr>
            <w:tcW w:w="1580" w:type="dxa"/>
            <w:tcBorders>
              <w:top w:val="nil"/>
            </w:tcBorders>
            <w:shd w:val="clear" w:color="auto" w:fill="E5E5E5" w:themeFill="background1" w:themeFillTint="33"/>
            <w:noWrap/>
            <w:vAlign w:val="center"/>
            <w:hideMark/>
          </w:tcPr>
          <w:p w14:paraId="7019FAD3"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58.9</w:t>
            </w:r>
          </w:p>
        </w:tc>
        <w:tc>
          <w:tcPr>
            <w:tcW w:w="1580" w:type="dxa"/>
            <w:tcBorders>
              <w:top w:val="nil"/>
            </w:tcBorders>
            <w:shd w:val="clear" w:color="auto" w:fill="E5E5E5" w:themeFill="background1" w:themeFillTint="33"/>
            <w:noWrap/>
            <w:vAlign w:val="center"/>
            <w:hideMark/>
          </w:tcPr>
          <w:p w14:paraId="2FB873C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c>
          <w:tcPr>
            <w:tcW w:w="1580" w:type="dxa"/>
            <w:tcBorders>
              <w:top w:val="nil"/>
            </w:tcBorders>
            <w:shd w:val="clear" w:color="auto" w:fill="E5E5E5" w:themeFill="background1" w:themeFillTint="33"/>
            <w:noWrap/>
            <w:vAlign w:val="center"/>
            <w:hideMark/>
          </w:tcPr>
          <w:p w14:paraId="523E6E5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1580" w:type="dxa"/>
            <w:tcBorders>
              <w:top w:val="nil"/>
            </w:tcBorders>
            <w:shd w:val="clear" w:color="auto" w:fill="E5E5E5" w:themeFill="background1" w:themeFillTint="33"/>
            <w:noWrap/>
            <w:vAlign w:val="center"/>
            <w:hideMark/>
          </w:tcPr>
          <w:p w14:paraId="401BB94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p>
        </w:tc>
        <w:tc>
          <w:tcPr>
            <w:tcW w:w="1580" w:type="dxa"/>
            <w:tcBorders>
              <w:top w:val="nil"/>
            </w:tcBorders>
            <w:shd w:val="clear" w:color="auto" w:fill="E5E5E5" w:themeFill="background1" w:themeFillTint="33"/>
            <w:noWrap/>
            <w:vAlign w:val="center"/>
            <w:hideMark/>
          </w:tcPr>
          <w:p w14:paraId="02A0939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27.7</w:t>
            </w:r>
          </w:p>
        </w:tc>
        <w:tc>
          <w:tcPr>
            <w:tcW w:w="1580" w:type="dxa"/>
            <w:tcBorders>
              <w:top w:val="nil"/>
            </w:tcBorders>
            <w:shd w:val="clear" w:color="auto" w:fill="E5E5E5" w:themeFill="background1" w:themeFillTint="33"/>
            <w:noWrap/>
            <w:vAlign w:val="center"/>
            <w:hideMark/>
          </w:tcPr>
          <w:p w14:paraId="6549FE49"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r>
      <w:tr w:rsidR="00961617" w:rsidRPr="00545C7F" w14:paraId="18D1711D" w14:textId="77777777" w:rsidTr="0020771F">
        <w:trPr>
          <w:trHeight w:val="288"/>
        </w:trPr>
        <w:tc>
          <w:tcPr>
            <w:tcW w:w="5118" w:type="dxa"/>
            <w:tcBorders>
              <w:top w:val="nil"/>
            </w:tcBorders>
            <w:shd w:val="clear" w:color="auto" w:fill="FFFFFF" w:themeFill="background2"/>
            <w:vAlign w:val="center"/>
            <w:hideMark/>
          </w:tcPr>
          <w:p w14:paraId="2744E07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Inner regional of Australia Stream 2</w:t>
            </w:r>
          </w:p>
        </w:tc>
        <w:tc>
          <w:tcPr>
            <w:tcW w:w="1580" w:type="dxa"/>
            <w:tcBorders>
              <w:top w:val="nil"/>
            </w:tcBorders>
            <w:shd w:val="clear" w:color="auto" w:fill="FFFFFF" w:themeFill="background2"/>
            <w:noWrap/>
            <w:vAlign w:val="center"/>
            <w:hideMark/>
          </w:tcPr>
          <w:p w14:paraId="186454F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37.6</w:t>
            </w:r>
          </w:p>
        </w:tc>
        <w:tc>
          <w:tcPr>
            <w:tcW w:w="1580" w:type="dxa"/>
            <w:tcBorders>
              <w:top w:val="nil"/>
            </w:tcBorders>
            <w:shd w:val="clear" w:color="auto" w:fill="FFFFFF" w:themeFill="background2"/>
            <w:noWrap/>
            <w:vAlign w:val="center"/>
            <w:hideMark/>
          </w:tcPr>
          <w:p w14:paraId="5C1CDE8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w:t>
            </w:r>
          </w:p>
        </w:tc>
        <w:tc>
          <w:tcPr>
            <w:tcW w:w="1580" w:type="dxa"/>
            <w:tcBorders>
              <w:top w:val="nil"/>
            </w:tcBorders>
            <w:shd w:val="clear" w:color="auto" w:fill="FFFFFF" w:themeFill="background2"/>
            <w:noWrap/>
            <w:vAlign w:val="center"/>
            <w:hideMark/>
          </w:tcPr>
          <w:p w14:paraId="5A9297F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20.5</w:t>
            </w:r>
          </w:p>
        </w:tc>
        <w:tc>
          <w:tcPr>
            <w:tcW w:w="1580" w:type="dxa"/>
            <w:tcBorders>
              <w:top w:val="nil"/>
            </w:tcBorders>
            <w:shd w:val="clear" w:color="auto" w:fill="FFFFFF" w:themeFill="background2"/>
            <w:noWrap/>
            <w:vAlign w:val="center"/>
            <w:hideMark/>
          </w:tcPr>
          <w:p w14:paraId="44DDE42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580" w:type="dxa"/>
            <w:tcBorders>
              <w:top w:val="nil"/>
            </w:tcBorders>
            <w:shd w:val="clear" w:color="auto" w:fill="FFFFFF" w:themeFill="background2"/>
            <w:noWrap/>
            <w:vAlign w:val="center"/>
            <w:hideMark/>
          </w:tcPr>
          <w:p w14:paraId="0F85C5AB"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41.9</w:t>
            </w:r>
          </w:p>
        </w:tc>
        <w:tc>
          <w:tcPr>
            <w:tcW w:w="1580" w:type="dxa"/>
            <w:tcBorders>
              <w:top w:val="nil"/>
            </w:tcBorders>
            <w:shd w:val="clear" w:color="auto" w:fill="FFFFFF" w:themeFill="background2"/>
            <w:noWrap/>
            <w:vAlign w:val="center"/>
            <w:hideMark/>
          </w:tcPr>
          <w:p w14:paraId="19FCF86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r>
      <w:tr w:rsidR="00961617" w:rsidRPr="00545C7F" w14:paraId="5752A8E4" w14:textId="77777777" w:rsidTr="0020771F">
        <w:trPr>
          <w:trHeight w:val="288"/>
        </w:trPr>
        <w:tc>
          <w:tcPr>
            <w:tcW w:w="5118" w:type="dxa"/>
            <w:tcBorders>
              <w:top w:val="nil"/>
            </w:tcBorders>
            <w:shd w:val="clear" w:color="auto" w:fill="E5E5E5" w:themeFill="background1" w:themeFillTint="33"/>
            <w:vAlign w:val="center"/>
            <w:hideMark/>
          </w:tcPr>
          <w:p w14:paraId="35ED312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Inner regional of Australia Stream 3</w:t>
            </w:r>
          </w:p>
        </w:tc>
        <w:tc>
          <w:tcPr>
            <w:tcW w:w="1580" w:type="dxa"/>
            <w:tcBorders>
              <w:top w:val="nil"/>
            </w:tcBorders>
            <w:shd w:val="clear" w:color="auto" w:fill="E5E5E5" w:themeFill="background1" w:themeFillTint="33"/>
            <w:noWrap/>
            <w:vAlign w:val="center"/>
            <w:hideMark/>
          </w:tcPr>
          <w:p w14:paraId="6782F01E"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17.1</w:t>
            </w:r>
          </w:p>
        </w:tc>
        <w:tc>
          <w:tcPr>
            <w:tcW w:w="1580" w:type="dxa"/>
            <w:tcBorders>
              <w:top w:val="nil"/>
            </w:tcBorders>
            <w:shd w:val="clear" w:color="auto" w:fill="E5E5E5" w:themeFill="background1" w:themeFillTint="33"/>
            <w:noWrap/>
            <w:vAlign w:val="center"/>
            <w:hideMark/>
          </w:tcPr>
          <w:p w14:paraId="2542980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580" w:type="dxa"/>
            <w:tcBorders>
              <w:top w:val="nil"/>
            </w:tcBorders>
            <w:shd w:val="clear" w:color="auto" w:fill="E5E5E5" w:themeFill="background1" w:themeFillTint="33"/>
            <w:noWrap/>
            <w:vAlign w:val="center"/>
            <w:hideMark/>
          </w:tcPr>
          <w:p w14:paraId="06CEF1F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20.3</w:t>
            </w:r>
          </w:p>
        </w:tc>
        <w:tc>
          <w:tcPr>
            <w:tcW w:w="1580" w:type="dxa"/>
            <w:tcBorders>
              <w:top w:val="nil"/>
            </w:tcBorders>
            <w:shd w:val="clear" w:color="auto" w:fill="E5E5E5" w:themeFill="background1" w:themeFillTint="33"/>
            <w:noWrap/>
            <w:vAlign w:val="center"/>
            <w:hideMark/>
          </w:tcPr>
          <w:p w14:paraId="4C24D3F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580" w:type="dxa"/>
            <w:tcBorders>
              <w:top w:val="nil"/>
            </w:tcBorders>
            <w:shd w:val="clear" w:color="auto" w:fill="E5E5E5" w:themeFill="background1" w:themeFillTint="33"/>
            <w:noWrap/>
            <w:vAlign w:val="center"/>
            <w:hideMark/>
          </w:tcPr>
          <w:p w14:paraId="3BE478A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62.6</w:t>
            </w:r>
          </w:p>
        </w:tc>
        <w:tc>
          <w:tcPr>
            <w:tcW w:w="1580" w:type="dxa"/>
            <w:tcBorders>
              <w:top w:val="nil"/>
            </w:tcBorders>
            <w:shd w:val="clear" w:color="auto" w:fill="E5E5E5" w:themeFill="background1" w:themeFillTint="33"/>
            <w:noWrap/>
            <w:vAlign w:val="center"/>
            <w:hideMark/>
          </w:tcPr>
          <w:p w14:paraId="46F59B46"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r>
      <w:tr w:rsidR="00961617" w:rsidRPr="00545C7F" w14:paraId="014662A3" w14:textId="77777777" w:rsidTr="0020771F">
        <w:trPr>
          <w:trHeight w:val="288"/>
        </w:trPr>
        <w:tc>
          <w:tcPr>
            <w:tcW w:w="5118" w:type="dxa"/>
            <w:tcBorders>
              <w:top w:val="nil"/>
            </w:tcBorders>
            <w:shd w:val="clear" w:color="auto" w:fill="FFFFFF" w:themeFill="background2"/>
            <w:vAlign w:val="center"/>
            <w:hideMark/>
          </w:tcPr>
          <w:p w14:paraId="1926123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Inner regional of Australia Stream 4</w:t>
            </w:r>
          </w:p>
        </w:tc>
        <w:tc>
          <w:tcPr>
            <w:tcW w:w="1580" w:type="dxa"/>
            <w:tcBorders>
              <w:top w:val="nil"/>
            </w:tcBorders>
            <w:shd w:val="clear" w:color="auto" w:fill="FFFFFF" w:themeFill="background2"/>
            <w:noWrap/>
            <w:vAlign w:val="center"/>
            <w:hideMark/>
          </w:tcPr>
          <w:p w14:paraId="64958439"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31.0</w:t>
            </w:r>
          </w:p>
        </w:tc>
        <w:tc>
          <w:tcPr>
            <w:tcW w:w="1580" w:type="dxa"/>
            <w:tcBorders>
              <w:top w:val="nil"/>
            </w:tcBorders>
            <w:shd w:val="clear" w:color="auto" w:fill="FFFFFF" w:themeFill="background2"/>
            <w:noWrap/>
            <w:vAlign w:val="center"/>
            <w:hideMark/>
          </w:tcPr>
          <w:p w14:paraId="56FE5A0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580" w:type="dxa"/>
            <w:tcBorders>
              <w:top w:val="nil"/>
            </w:tcBorders>
            <w:shd w:val="clear" w:color="auto" w:fill="FFFFFF" w:themeFill="background2"/>
            <w:noWrap/>
            <w:vAlign w:val="center"/>
            <w:hideMark/>
          </w:tcPr>
          <w:p w14:paraId="76D141F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w:t>
            </w:r>
          </w:p>
        </w:tc>
        <w:tc>
          <w:tcPr>
            <w:tcW w:w="1580" w:type="dxa"/>
            <w:tcBorders>
              <w:top w:val="nil"/>
            </w:tcBorders>
            <w:shd w:val="clear" w:color="auto" w:fill="FFFFFF" w:themeFill="background2"/>
            <w:noWrap/>
            <w:vAlign w:val="center"/>
            <w:hideMark/>
          </w:tcPr>
          <w:p w14:paraId="54DBB49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0BAC9A7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59.7</w:t>
            </w:r>
          </w:p>
        </w:tc>
        <w:tc>
          <w:tcPr>
            <w:tcW w:w="1580" w:type="dxa"/>
            <w:tcBorders>
              <w:top w:val="nil"/>
            </w:tcBorders>
            <w:shd w:val="clear" w:color="auto" w:fill="FFFFFF" w:themeFill="background2"/>
            <w:noWrap/>
            <w:vAlign w:val="center"/>
            <w:hideMark/>
          </w:tcPr>
          <w:p w14:paraId="77AEA03E"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r>
      <w:tr w:rsidR="00961617" w:rsidRPr="00545C7F" w14:paraId="2AAFF00D" w14:textId="77777777" w:rsidTr="0020771F">
        <w:trPr>
          <w:trHeight w:val="288"/>
        </w:trPr>
        <w:tc>
          <w:tcPr>
            <w:tcW w:w="5118" w:type="dxa"/>
            <w:shd w:val="clear" w:color="auto" w:fill="E5E5E5" w:themeFill="background1" w:themeFillTint="33"/>
            <w:vAlign w:val="center"/>
            <w:hideMark/>
          </w:tcPr>
          <w:p w14:paraId="0442C14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Other geographic locations, total</w:t>
            </w:r>
          </w:p>
        </w:tc>
        <w:tc>
          <w:tcPr>
            <w:tcW w:w="1580" w:type="dxa"/>
            <w:shd w:val="clear" w:color="auto" w:fill="E5E5E5" w:themeFill="background1" w:themeFillTint="33"/>
            <w:noWrap/>
            <w:vAlign w:val="center"/>
            <w:hideMark/>
          </w:tcPr>
          <w:p w14:paraId="0FFDDE99"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52.1</w:t>
            </w:r>
          </w:p>
        </w:tc>
        <w:tc>
          <w:tcPr>
            <w:tcW w:w="1580" w:type="dxa"/>
            <w:shd w:val="clear" w:color="auto" w:fill="E5E5E5" w:themeFill="background1" w:themeFillTint="33"/>
            <w:noWrap/>
            <w:vAlign w:val="center"/>
            <w:hideMark/>
          </w:tcPr>
          <w:p w14:paraId="195140B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c>
          <w:tcPr>
            <w:tcW w:w="1580" w:type="dxa"/>
            <w:shd w:val="clear" w:color="auto" w:fill="E5E5E5" w:themeFill="background1" w:themeFillTint="33"/>
            <w:noWrap/>
            <w:vAlign w:val="center"/>
            <w:hideMark/>
          </w:tcPr>
          <w:p w14:paraId="5D2CC90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13.5</w:t>
            </w:r>
          </w:p>
        </w:tc>
        <w:tc>
          <w:tcPr>
            <w:tcW w:w="1580" w:type="dxa"/>
            <w:shd w:val="clear" w:color="auto" w:fill="E5E5E5" w:themeFill="background1" w:themeFillTint="33"/>
            <w:noWrap/>
            <w:vAlign w:val="center"/>
            <w:hideMark/>
          </w:tcPr>
          <w:p w14:paraId="1A2A3E4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shd w:val="clear" w:color="auto" w:fill="E5E5E5" w:themeFill="background1" w:themeFillTint="33"/>
            <w:noWrap/>
            <w:vAlign w:val="center"/>
            <w:hideMark/>
          </w:tcPr>
          <w:p w14:paraId="61A37F6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34.4</w:t>
            </w:r>
          </w:p>
        </w:tc>
        <w:tc>
          <w:tcPr>
            <w:tcW w:w="1580" w:type="dxa"/>
            <w:shd w:val="clear" w:color="auto" w:fill="E5E5E5" w:themeFill="background1" w:themeFillTint="33"/>
            <w:noWrap/>
            <w:vAlign w:val="center"/>
            <w:hideMark/>
          </w:tcPr>
          <w:p w14:paraId="585AB3C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r>
      <w:tr w:rsidR="00961617" w:rsidRPr="00545C7F" w14:paraId="4986E671" w14:textId="77777777" w:rsidTr="0020771F">
        <w:trPr>
          <w:trHeight w:val="288"/>
        </w:trPr>
        <w:tc>
          <w:tcPr>
            <w:tcW w:w="5118" w:type="dxa"/>
            <w:tcBorders>
              <w:top w:val="nil"/>
            </w:tcBorders>
            <w:shd w:val="clear" w:color="auto" w:fill="FFFFFF" w:themeFill="background2"/>
            <w:vAlign w:val="center"/>
            <w:hideMark/>
          </w:tcPr>
          <w:p w14:paraId="3A98E7E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Other geographic locations Stream 1</w:t>
            </w:r>
          </w:p>
        </w:tc>
        <w:tc>
          <w:tcPr>
            <w:tcW w:w="1580" w:type="dxa"/>
            <w:tcBorders>
              <w:top w:val="nil"/>
            </w:tcBorders>
            <w:shd w:val="clear" w:color="auto" w:fill="FFFFFF" w:themeFill="background2"/>
            <w:noWrap/>
            <w:vAlign w:val="center"/>
            <w:hideMark/>
          </w:tcPr>
          <w:p w14:paraId="170495AE"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61.0</w:t>
            </w:r>
          </w:p>
        </w:tc>
        <w:tc>
          <w:tcPr>
            <w:tcW w:w="1580" w:type="dxa"/>
            <w:tcBorders>
              <w:top w:val="nil"/>
            </w:tcBorders>
            <w:shd w:val="clear" w:color="auto" w:fill="FFFFFF" w:themeFill="background2"/>
            <w:noWrap/>
            <w:vAlign w:val="center"/>
            <w:hideMark/>
          </w:tcPr>
          <w:p w14:paraId="25EF001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w:t>
            </w:r>
          </w:p>
        </w:tc>
        <w:tc>
          <w:tcPr>
            <w:tcW w:w="1580" w:type="dxa"/>
            <w:tcBorders>
              <w:top w:val="nil"/>
            </w:tcBorders>
            <w:shd w:val="clear" w:color="auto" w:fill="FFFFFF" w:themeFill="background2"/>
            <w:noWrap/>
            <w:vAlign w:val="center"/>
            <w:hideMark/>
          </w:tcPr>
          <w:p w14:paraId="5CE4327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12.0</w:t>
            </w:r>
          </w:p>
        </w:tc>
        <w:tc>
          <w:tcPr>
            <w:tcW w:w="1580" w:type="dxa"/>
            <w:tcBorders>
              <w:top w:val="nil"/>
            </w:tcBorders>
            <w:shd w:val="clear" w:color="auto" w:fill="FFFFFF" w:themeFill="background2"/>
            <w:noWrap/>
            <w:vAlign w:val="center"/>
            <w:hideMark/>
          </w:tcPr>
          <w:p w14:paraId="39703E6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580" w:type="dxa"/>
            <w:tcBorders>
              <w:top w:val="nil"/>
            </w:tcBorders>
            <w:shd w:val="clear" w:color="auto" w:fill="FFFFFF" w:themeFill="background2"/>
            <w:noWrap/>
            <w:vAlign w:val="center"/>
            <w:hideMark/>
          </w:tcPr>
          <w:p w14:paraId="22176424"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27.0</w:t>
            </w:r>
          </w:p>
        </w:tc>
        <w:tc>
          <w:tcPr>
            <w:tcW w:w="1580" w:type="dxa"/>
            <w:tcBorders>
              <w:top w:val="nil"/>
            </w:tcBorders>
            <w:shd w:val="clear" w:color="auto" w:fill="FFFFFF" w:themeFill="background2"/>
            <w:noWrap/>
            <w:vAlign w:val="center"/>
            <w:hideMark/>
          </w:tcPr>
          <w:p w14:paraId="766987A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r>
      <w:tr w:rsidR="00961617" w:rsidRPr="00545C7F" w14:paraId="7F7B89D9" w14:textId="77777777" w:rsidTr="0020771F">
        <w:trPr>
          <w:trHeight w:val="288"/>
        </w:trPr>
        <w:tc>
          <w:tcPr>
            <w:tcW w:w="5118" w:type="dxa"/>
            <w:tcBorders>
              <w:top w:val="nil"/>
            </w:tcBorders>
            <w:shd w:val="clear" w:color="auto" w:fill="E5E5E5" w:themeFill="background1" w:themeFillTint="33"/>
            <w:vAlign w:val="center"/>
            <w:hideMark/>
          </w:tcPr>
          <w:p w14:paraId="57435AC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Other geographic locations Stream 2</w:t>
            </w:r>
          </w:p>
        </w:tc>
        <w:tc>
          <w:tcPr>
            <w:tcW w:w="1580" w:type="dxa"/>
            <w:tcBorders>
              <w:top w:val="nil"/>
            </w:tcBorders>
            <w:shd w:val="clear" w:color="auto" w:fill="E5E5E5" w:themeFill="background1" w:themeFillTint="33"/>
            <w:noWrap/>
            <w:vAlign w:val="center"/>
            <w:hideMark/>
          </w:tcPr>
          <w:p w14:paraId="4DFEB3C6"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41.3</w:t>
            </w:r>
          </w:p>
        </w:tc>
        <w:tc>
          <w:tcPr>
            <w:tcW w:w="1580" w:type="dxa"/>
            <w:tcBorders>
              <w:top w:val="nil"/>
            </w:tcBorders>
            <w:shd w:val="clear" w:color="auto" w:fill="E5E5E5" w:themeFill="background1" w:themeFillTint="33"/>
            <w:noWrap/>
            <w:vAlign w:val="center"/>
            <w:hideMark/>
          </w:tcPr>
          <w:p w14:paraId="3F439C34"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c>
          <w:tcPr>
            <w:tcW w:w="1580" w:type="dxa"/>
            <w:tcBorders>
              <w:top w:val="nil"/>
            </w:tcBorders>
            <w:shd w:val="clear" w:color="auto" w:fill="E5E5E5" w:themeFill="background1" w:themeFillTint="33"/>
            <w:noWrap/>
            <w:vAlign w:val="center"/>
            <w:hideMark/>
          </w:tcPr>
          <w:p w14:paraId="1FCC589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16.7</w:t>
            </w:r>
          </w:p>
        </w:tc>
        <w:tc>
          <w:tcPr>
            <w:tcW w:w="1580" w:type="dxa"/>
            <w:tcBorders>
              <w:top w:val="nil"/>
            </w:tcBorders>
            <w:shd w:val="clear" w:color="auto" w:fill="E5E5E5" w:themeFill="background1" w:themeFillTint="33"/>
            <w:noWrap/>
            <w:vAlign w:val="center"/>
            <w:hideMark/>
          </w:tcPr>
          <w:p w14:paraId="7D6FBA0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E5E5E5" w:themeFill="background1" w:themeFillTint="33"/>
            <w:noWrap/>
            <w:vAlign w:val="center"/>
            <w:hideMark/>
          </w:tcPr>
          <w:p w14:paraId="42406D3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42.0</w:t>
            </w:r>
          </w:p>
        </w:tc>
        <w:tc>
          <w:tcPr>
            <w:tcW w:w="1580" w:type="dxa"/>
            <w:tcBorders>
              <w:top w:val="nil"/>
            </w:tcBorders>
            <w:shd w:val="clear" w:color="auto" w:fill="E5E5E5" w:themeFill="background1" w:themeFillTint="33"/>
            <w:noWrap/>
            <w:vAlign w:val="center"/>
            <w:hideMark/>
          </w:tcPr>
          <w:p w14:paraId="3CAACCB1"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r>
      <w:tr w:rsidR="00961617" w:rsidRPr="00545C7F" w14:paraId="35733C39" w14:textId="77777777" w:rsidTr="0020771F">
        <w:trPr>
          <w:trHeight w:val="288"/>
        </w:trPr>
        <w:tc>
          <w:tcPr>
            <w:tcW w:w="5118" w:type="dxa"/>
            <w:tcBorders>
              <w:top w:val="nil"/>
            </w:tcBorders>
            <w:shd w:val="clear" w:color="auto" w:fill="FFFFFF" w:themeFill="background2"/>
            <w:vAlign w:val="center"/>
            <w:hideMark/>
          </w:tcPr>
          <w:p w14:paraId="41644B1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Other geographic locations Stream 3</w:t>
            </w:r>
          </w:p>
        </w:tc>
        <w:tc>
          <w:tcPr>
            <w:tcW w:w="1580" w:type="dxa"/>
            <w:tcBorders>
              <w:top w:val="nil"/>
            </w:tcBorders>
            <w:shd w:val="clear" w:color="auto" w:fill="FFFFFF" w:themeFill="background2"/>
            <w:noWrap/>
            <w:vAlign w:val="center"/>
            <w:hideMark/>
          </w:tcPr>
          <w:p w14:paraId="3FA14B3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24.4</w:t>
            </w:r>
          </w:p>
        </w:tc>
        <w:tc>
          <w:tcPr>
            <w:tcW w:w="1580" w:type="dxa"/>
            <w:tcBorders>
              <w:top w:val="nil"/>
            </w:tcBorders>
            <w:shd w:val="clear" w:color="auto" w:fill="FFFFFF" w:themeFill="background2"/>
            <w:noWrap/>
            <w:vAlign w:val="center"/>
            <w:hideMark/>
          </w:tcPr>
          <w:p w14:paraId="29CEFD4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580" w:type="dxa"/>
            <w:tcBorders>
              <w:top w:val="nil"/>
            </w:tcBorders>
            <w:shd w:val="clear" w:color="auto" w:fill="FFFFFF" w:themeFill="background2"/>
            <w:noWrap/>
            <w:vAlign w:val="center"/>
            <w:hideMark/>
          </w:tcPr>
          <w:p w14:paraId="04D7828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18.3</w:t>
            </w:r>
          </w:p>
        </w:tc>
        <w:tc>
          <w:tcPr>
            <w:tcW w:w="1580" w:type="dxa"/>
            <w:tcBorders>
              <w:top w:val="nil"/>
            </w:tcBorders>
            <w:shd w:val="clear" w:color="auto" w:fill="FFFFFF" w:themeFill="background2"/>
            <w:noWrap/>
            <w:vAlign w:val="center"/>
            <w:hideMark/>
          </w:tcPr>
          <w:p w14:paraId="5AB6766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580" w:type="dxa"/>
            <w:tcBorders>
              <w:top w:val="nil"/>
            </w:tcBorders>
            <w:shd w:val="clear" w:color="auto" w:fill="FFFFFF" w:themeFill="background2"/>
            <w:noWrap/>
            <w:vAlign w:val="center"/>
            <w:hideMark/>
          </w:tcPr>
          <w:p w14:paraId="24E99B6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57.4</w:t>
            </w:r>
          </w:p>
        </w:tc>
        <w:tc>
          <w:tcPr>
            <w:tcW w:w="1580" w:type="dxa"/>
            <w:tcBorders>
              <w:top w:val="nil"/>
            </w:tcBorders>
            <w:shd w:val="clear" w:color="auto" w:fill="FFFFFF" w:themeFill="background2"/>
            <w:noWrap/>
            <w:vAlign w:val="center"/>
            <w:hideMark/>
          </w:tcPr>
          <w:p w14:paraId="30FB583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w:t>
            </w:r>
          </w:p>
        </w:tc>
      </w:tr>
      <w:tr w:rsidR="00961617" w:rsidRPr="00545C7F" w14:paraId="0329D3DE" w14:textId="77777777" w:rsidTr="0020771F">
        <w:trPr>
          <w:trHeight w:val="288"/>
        </w:trPr>
        <w:tc>
          <w:tcPr>
            <w:tcW w:w="5118" w:type="dxa"/>
            <w:tcBorders>
              <w:top w:val="nil"/>
            </w:tcBorders>
            <w:shd w:val="clear" w:color="auto" w:fill="E5E5E5" w:themeFill="background1" w:themeFillTint="33"/>
            <w:vAlign w:val="center"/>
            <w:hideMark/>
          </w:tcPr>
          <w:p w14:paraId="20DA2A2E"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Other geographic locations Stream 4</w:t>
            </w:r>
          </w:p>
        </w:tc>
        <w:tc>
          <w:tcPr>
            <w:tcW w:w="1580" w:type="dxa"/>
            <w:tcBorders>
              <w:top w:val="nil"/>
            </w:tcBorders>
            <w:shd w:val="clear" w:color="auto" w:fill="E5E5E5" w:themeFill="background1" w:themeFillTint="33"/>
            <w:noWrap/>
            <w:vAlign w:val="center"/>
            <w:hideMark/>
          </w:tcPr>
          <w:p w14:paraId="6C90E786"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32.3</w:t>
            </w:r>
          </w:p>
        </w:tc>
        <w:tc>
          <w:tcPr>
            <w:tcW w:w="1580" w:type="dxa"/>
            <w:tcBorders>
              <w:top w:val="nil"/>
            </w:tcBorders>
            <w:shd w:val="clear" w:color="auto" w:fill="E5E5E5" w:themeFill="background1" w:themeFillTint="33"/>
            <w:noWrap/>
            <w:vAlign w:val="center"/>
            <w:hideMark/>
          </w:tcPr>
          <w:p w14:paraId="0E0EDE1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6B6AED1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c>
          <w:tcPr>
            <w:tcW w:w="1580" w:type="dxa"/>
            <w:tcBorders>
              <w:top w:val="nil"/>
            </w:tcBorders>
            <w:shd w:val="clear" w:color="auto" w:fill="E5E5E5" w:themeFill="background1" w:themeFillTint="33"/>
            <w:noWrap/>
            <w:vAlign w:val="center"/>
            <w:hideMark/>
          </w:tcPr>
          <w:p w14:paraId="0016C2A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04357FB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w:t>
            </w:r>
          </w:p>
        </w:tc>
        <w:tc>
          <w:tcPr>
            <w:tcW w:w="1580" w:type="dxa"/>
            <w:tcBorders>
              <w:top w:val="nil"/>
            </w:tcBorders>
            <w:shd w:val="clear" w:color="auto" w:fill="E5E5E5" w:themeFill="background1" w:themeFillTint="33"/>
            <w:noWrap/>
            <w:vAlign w:val="center"/>
            <w:hideMark/>
          </w:tcPr>
          <w:p w14:paraId="13717889"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r w:rsidRPr="00545C7F">
              <w:rPr>
                <w:rFonts w:cstheme="minorHAnsi"/>
                <w:color w:val="000000"/>
                <w:sz w:val="20"/>
                <w:szCs w:val="20"/>
                <w:vertAlign w:val="superscript"/>
              </w:rPr>
              <w:t xml:space="preserve"> *</w:t>
            </w:r>
          </w:p>
        </w:tc>
      </w:tr>
      <w:tr w:rsidR="00961617" w:rsidRPr="00545C7F" w14:paraId="07B0873B" w14:textId="77777777" w:rsidTr="0020771F">
        <w:trPr>
          <w:trHeight w:val="288"/>
        </w:trPr>
        <w:tc>
          <w:tcPr>
            <w:tcW w:w="5118" w:type="dxa"/>
            <w:shd w:val="clear" w:color="auto" w:fill="FFFFFF" w:themeFill="background2"/>
            <w:vAlign w:val="center"/>
            <w:hideMark/>
          </w:tcPr>
          <w:p w14:paraId="76B1A07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Highest level of education - Less than year 12, total</w:t>
            </w:r>
          </w:p>
        </w:tc>
        <w:tc>
          <w:tcPr>
            <w:tcW w:w="1580" w:type="dxa"/>
            <w:shd w:val="clear" w:color="auto" w:fill="FFFFFF" w:themeFill="background2"/>
            <w:noWrap/>
            <w:vAlign w:val="center"/>
            <w:hideMark/>
          </w:tcPr>
          <w:p w14:paraId="1766D5F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47.7</w:t>
            </w:r>
          </w:p>
        </w:tc>
        <w:tc>
          <w:tcPr>
            <w:tcW w:w="1580" w:type="dxa"/>
            <w:shd w:val="clear" w:color="auto" w:fill="FFFFFF" w:themeFill="background2"/>
            <w:noWrap/>
            <w:vAlign w:val="center"/>
            <w:hideMark/>
          </w:tcPr>
          <w:p w14:paraId="5F2A409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580" w:type="dxa"/>
            <w:shd w:val="clear" w:color="auto" w:fill="FFFFFF" w:themeFill="background2"/>
            <w:noWrap/>
            <w:vAlign w:val="center"/>
            <w:hideMark/>
          </w:tcPr>
          <w:p w14:paraId="72FBAF1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12.2</w:t>
            </w:r>
          </w:p>
        </w:tc>
        <w:tc>
          <w:tcPr>
            <w:tcW w:w="1580" w:type="dxa"/>
            <w:shd w:val="clear" w:color="auto" w:fill="FFFFFF" w:themeFill="background2"/>
            <w:noWrap/>
            <w:vAlign w:val="center"/>
            <w:hideMark/>
          </w:tcPr>
          <w:p w14:paraId="3C7A3E2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p>
        </w:tc>
        <w:tc>
          <w:tcPr>
            <w:tcW w:w="1580" w:type="dxa"/>
            <w:shd w:val="clear" w:color="auto" w:fill="FFFFFF" w:themeFill="background2"/>
            <w:noWrap/>
            <w:vAlign w:val="center"/>
            <w:hideMark/>
          </w:tcPr>
          <w:p w14:paraId="38AF752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40.1</w:t>
            </w:r>
          </w:p>
        </w:tc>
        <w:tc>
          <w:tcPr>
            <w:tcW w:w="1580" w:type="dxa"/>
            <w:shd w:val="clear" w:color="auto" w:fill="FFFFFF" w:themeFill="background2"/>
            <w:noWrap/>
            <w:vAlign w:val="center"/>
            <w:hideMark/>
          </w:tcPr>
          <w:p w14:paraId="3E2E0CDE"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w:t>
            </w:r>
          </w:p>
        </w:tc>
      </w:tr>
      <w:tr w:rsidR="00961617" w:rsidRPr="00545C7F" w14:paraId="1186DEAC" w14:textId="77777777" w:rsidTr="0020771F">
        <w:trPr>
          <w:trHeight w:val="288"/>
        </w:trPr>
        <w:tc>
          <w:tcPr>
            <w:tcW w:w="5118" w:type="dxa"/>
            <w:tcBorders>
              <w:top w:val="nil"/>
            </w:tcBorders>
            <w:shd w:val="clear" w:color="auto" w:fill="E5E5E5" w:themeFill="background1" w:themeFillTint="33"/>
            <w:vAlign w:val="center"/>
            <w:hideMark/>
          </w:tcPr>
          <w:p w14:paraId="1A40891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Less than year 12 education Stream 1</w:t>
            </w:r>
          </w:p>
        </w:tc>
        <w:tc>
          <w:tcPr>
            <w:tcW w:w="1580" w:type="dxa"/>
            <w:tcBorders>
              <w:top w:val="nil"/>
            </w:tcBorders>
            <w:shd w:val="clear" w:color="auto" w:fill="E5E5E5" w:themeFill="background1" w:themeFillTint="33"/>
            <w:noWrap/>
            <w:vAlign w:val="center"/>
            <w:hideMark/>
          </w:tcPr>
          <w:p w14:paraId="38D8536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54.9</w:t>
            </w:r>
          </w:p>
        </w:tc>
        <w:tc>
          <w:tcPr>
            <w:tcW w:w="1580" w:type="dxa"/>
            <w:tcBorders>
              <w:top w:val="nil"/>
            </w:tcBorders>
            <w:shd w:val="clear" w:color="auto" w:fill="E5E5E5" w:themeFill="background1" w:themeFillTint="33"/>
            <w:noWrap/>
            <w:vAlign w:val="center"/>
            <w:hideMark/>
          </w:tcPr>
          <w:p w14:paraId="5E058A8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c>
          <w:tcPr>
            <w:tcW w:w="1580" w:type="dxa"/>
            <w:tcBorders>
              <w:top w:val="nil"/>
            </w:tcBorders>
            <w:shd w:val="clear" w:color="auto" w:fill="E5E5E5" w:themeFill="background1" w:themeFillTint="33"/>
            <w:noWrap/>
            <w:vAlign w:val="center"/>
            <w:hideMark/>
          </w:tcPr>
          <w:p w14:paraId="159F9E7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10.7</w:t>
            </w:r>
          </w:p>
        </w:tc>
        <w:tc>
          <w:tcPr>
            <w:tcW w:w="1580" w:type="dxa"/>
            <w:tcBorders>
              <w:top w:val="nil"/>
            </w:tcBorders>
            <w:shd w:val="clear" w:color="auto" w:fill="E5E5E5" w:themeFill="background1" w:themeFillTint="33"/>
            <w:noWrap/>
            <w:vAlign w:val="center"/>
            <w:hideMark/>
          </w:tcPr>
          <w:p w14:paraId="278F94D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4A4D28B6"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34.4</w:t>
            </w:r>
          </w:p>
        </w:tc>
        <w:tc>
          <w:tcPr>
            <w:tcW w:w="1580" w:type="dxa"/>
            <w:tcBorders>
              <w:top w:val="nil"/>
            </w:tcBorders>
            <w:shd w:val="clear" w:color="auto" w:fill="E5E5E5" w:themeFill="background1" w:themeFillTint="33"/>
            <w:noWrap/>
            <w:vAlign w:val="center"/>
            <w:hideMark/>
          </w:tcPr>
          <w:p w14:paraId="0D1FA19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w:t>
            </w:r>
          </w:p>
        </w:tc>
      </w:tr>
      <w:tr w:rsidR="00961617" w:rsidRPr="00545C7F" w14:paraId="7EFF2DCD" w14:textId="77777777" w:rsidTr="0020771F">
        <w:trPr>
          <w:trHeight w:val="288"/>
        </w:trPr>
        <w:tc>
          <w:tcPr>
            <w:tcW w:w="5118" w:type="dxa"/>
            <w:tcBorders>
              <w:top w:val="nil"/>
            </w:tcBorders>
            <w:shd w:val="clear" w:color="auto" w:fill="FFFFFF" w:themeFill="background2"/>
            <w:vAlign w:val="center"/>
            <w:hideMark/>
          </w:tcPr>
          <w:p w14:paraId="7E19248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Less than year 12 education Stream 2</w:t>
            </w:r>
          </w:p>
        </w:tc>
        <w:tc>
          <w:tcPr>
            <w:tcW w:w="1580" w:type="dxa"/>
            <w:tcBorders>
              <w:top w:val="nil"/>
            </w:tcBorders>
            <w:shd w:val="clear" w:color="auto" w:fill="FFFFFF" w:themeFill="background2"/>
            <w:noWrap/>
            <w:vAlign w:val="center"/>
            <w:hideMark/>
          </w:tcPr>
          <w:p w14:paraId="259B4A2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32.3</w:t>
            </w:r>
          </w:p>
        </w:tc>
        <w:tc>
          <w:tcPr>
            <w:tcW w:w="1580" w:type="dxa"/>
            <w:tcBorders>
              <w:top w:val="nil"/>
            </w:tcBorders>
            <w:shd w:val="clear" w:color="auto" w:fill="FFFFFF" w:themeFill="background2"/>
            <w:noWrap/>
            <w:vAlign w:val="center"/>
            <w:hideMark/>
          </w:tcPr>
          <w:p w14:paraId="51787E6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580" w:type="dxa"/>
            <w:tcBorders>
              <w:top w:val="nil"/>
            </w:tcBorders>
            <w:shd w:val="clear" w:color="auto" w:fill="FFFFFF" w:themeFill="background2"/>
            <w:noWrap/>
            <w:vAlign w:val="center"/>
            <w:hideMark/>
          </w:tcPr>
          <w:p w14:paraId="169707A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17.9</w:t>
            </w:r>
          </w:p>
        </w:tc>
        <w:tc>
          <w:tcPr>
            <w:tcW w:w="1580" w:type="dxa"/>
            <w:tcBorders>
              <w:top w:val="nil"/>
            </w:tcBorders>
            <w:shd w:val="clear" w:color="auto" w:fill="FFFFFF" w:themeFill="background2"/>
            <w:noWrap/>
            <w:vAlign w:val="center"/>
            <w:hideMark/>
          </w:tcPr>
          <w:p w14:paraId="3B0D1BE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580" w:type="dxa"/>
            <w:tcBorders>
              <w:top w:val="nil"/>
            </w:tcBorders>
            <w:shd w:val="clear" w:color="auto" w:fill="FFFFFF" w:themeFill="background2"/>
            <w:noWrap/>
            <w:vAlign w:val="center"/>
            <w:hideMark/>
          </w:tcPr>
          <w:p w14:paraId="00F5753F"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49.9</w:t>
            </w:r>
          </w:p>
        </w:tc>
        <w:tc>
          <w:tcPr>
            <w:tcW w:w="1580" w:type="dxa"/>
            <w:tcBorders>
              <w:top w:val="nil"/>
            </w:tcBorders>
            <w:shd w:val="clear" w:color="auto" w:fill="FFFFFF" w:themeFill="background2"/>
            <w:noWrap/>
            <w:vAlign w:val="center"/>
            <w:hideMark/>
          </w:tcPr>
          <w:p w14:paraId="639FA80F"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r>
      <w:tr w:rsidR="00961617" w:rsidRPr="00545C7F" w14:paraId="5073C59D" w14:textId="77777777" w:rsidTr="0020771F">
        <w:trPr>
          <w:trHeight w:val="288"/>
        </w:trPr>
        <w:tc>
          <w:tcPr>
            <w:tcW w:w="5118" w:type="dxa"/>
            <w:tcBorders>
              <w:top w:val="nil"/>
            </w:tcBorders>
            <w:shd w:val="clear" w:color="auto" w:fill="E5E5E5" w:themeFill="background1" w:themeFillTint="33"/>
            <w:vAlign w:val="center"/>
            <w:hideMark/>
          </w:tcPr>
          <w:p w14:paraId="1E8CFB6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Less than year 12 education Stream 3</w:t>
            </w:r>
          </w:p>
        </w:tc>
        <w:tc>
          <w:tcPr>
            <w:tcW w:w="1580" w:type="dxa"/>
            <w:tcBorders>
              <w:top w:val="nil"/>
            </w:tcBorders>
            <w:shd w:val="clear" w:color="auto" w:fill="E5E5E5" w:themeFill="background1" w:themeFillTint="33"/>
            <w:noWrap/>
            <w:vAlign w:val="center"/>
            <w:hideMark/>
          </w:tcPr>
          <w:p w14:paraId="2196321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14.6</w:t>
            </w:r>
          </w:p>
        </w:tc>
        <w:tc>
          <w:tcPr>
            <w:tcW w:w="1580" w:type="dxa"/>
            <w:tcBorders>
              <w:top w:val="nil"/>
            </w:tcBorders>
            <w:shd w:val="clear" w:color="auto" w:fill="E5E5E5" w:themeFill="background1" w:themeFillTint="33"/>
            <w:noWrap/>
            <w:vAlign w:val="center"/>
            <w:hideMark/>
          </w:tcPr>
          <w:p w14:paraId="1A0C0CE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580" w:type="dxa"/>
            <w:tcBorders>
              <w:top w:val="nil"/>
            </w:tcBorders>
            <w:shd w:val="clear" w:color="auto" w:fill="E5E5E5" w:themeFill="background1" w:themeFillTint="33"/>
            <w:noWrap/>
            <w:vAlign w:val="center"/>
            <w:hideMark/>
          </w:tcPr>
          <w:p w14:paraId="5B58838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18.8</w:t>
            </w:r>
          </w:p>
        </w:tc>
        <w:tc>
          <w:tcPr>
            <w:tcW w:w="1580" w:type="dxa"/>
            <w:tcBorders>
              <w:top w:val="nil"/>
            </w:tcBorders>
            <w:shd w:val="clear" w:color="auto" w:fill="E5E5E5" w:themeFill="background1" w:themeFillTint="33"/>
            <w:noWrap/>
            <w:vAlign w:val="center"/>
            <w:hideMark/>
          </w:tcPr>
          <w:p w14:paraId="6DBB1BB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580" w:type="dxa"/>
            <w:tcBorders>
              <w:top w:val="nil"/>
            </w:tcBorders>
            <w:shd w:val="clear" w:color="auto" w:fill="E5E5E5" w:themeFill="background1" w:themeFillTint="33"/>
            <w:noWrap/>
            <w:vAlign w:val="center"/>
            <w:hideMark/>
          </w:tcPr>
          <w:p w14:paraId="3E246DB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66.6</w:t>
            </w:r>
          </w:p>
        </w:tc>
        <w:tc>
          <w:tcPr>
            <w:tcW w:w="1580" w:type="dxa"/>
            <w:tcBorders>
              <w:top w:val="nil"/>
            </w:tcBorders>
            <w:shd w:val="clear" w:color="auto" w:fill="E5E5E5" w:themeFill="background1" w:themeFillTint="33"/>
            <w:noWrap/>
            <w:vAlign w:val="center"/>
            <w:hideMark/>
          </w:tcPr>
          <w:p w14:paraId="1690EA2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r>
      <w:tr w:rsidR="00961617" w:rsidRPr="00545C7F" w14:paraId="5D4A738A" w14:textId="77777777" w:rsidTr="0020771F">
        <w:trPr>
          <w:trHeight w:val="288"/>
        </w:trPr>
        <w:tc>
          <w:tcPr>
            <w:tcW w:w="5118" w:type="dxa"/>
            <w:tcBorders>
              <w:top w:val="nil"/>
            </w:tcBorders>
            <w:shd w:val="clear" w:color="auto" w:fill="FFFFFF" w:themeFill="background2"/>
            <w:vAlign w:val="center"/>
            <w:hideMark/>
          </w:tcPr>
          <w:p w14:paraId="0471040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Less than year 12 education Stream 4</w:t>
            </w:r>
          </w:p>
        </w:tc>
        <w:tc>
          <w:tcPr>
            <w:tcW w:w="1580" w:type="dxa"/>
            <w:tcBorders>
              <w:top w:val="nil"/>
            </w:tcBorders>
            <w:shd w:val="clear" w:color="auto" w:fill="FFFFFF" w:themeFill="background2"/>
            <w:noWrap/>
            <w:vAlign w:val="center"/>
            <w:hideMark/>
          </w:tcPr>
          <w:p w14:paraId="7EB390B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31.4</w:t>
            </w:r>
          </w:p>
        </w:tc>
        <w:tc>
          <w:tcPr>
            <w:tcW w:w="1580" w:type="dxa"/>
            <w:tcBorders>
              <w:top w:val="nil"/>
            </w:tcBorders>
            <w:shd w:val="clear" w:color="auto" w:fill="FFFFFF" w:themeFill="background2"/>
            <w:noWrap/>
            <w:vAlign w:val="center"/>
            <w:hideMark/>
          </w:tcPr>
          <w:p w14:paraId="49C4EF4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580" w:type="dxa"/>
            <w:tcBorders>
              <w:top w:val="nil"/>
            </w:tcBorders>
            <w:shd w:val="clear" w:color="auto" w:fill="FFFFFF" w:themeFill="background2"/>
            <w:noWrap/>
            <w:vAlign w:val="center"/>
            <w:hideMark/>
          </w:tcPr>
          <w:p w14:paraId="231CC61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tcBorders>
              <w:top w:val="nil"/>
            </w:tcBorders>
            <w:shd w:val="clear" w:color="auto" w:fill="FFFFFF" w:themeFill="background2"/>
            <w:noWrap/>
            <w:vAlign w:val="center"/>
            <w:hideMark/>
          </w:tcPr>
          <w:p w14:paraId="21E95DB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580" w:type="dxa"/>
            <w:tcBorders>
              <w:top w:val="nil"/>
            </w:tcBorders>
            <w:shd w:val="clear" w:color="auto" w:fill="FFFFFF" w:themeFill="background2"/>
            <w:noWrap/>
            <w:vAlign w:val="center"/>
            <w:hideMark/>
          </w:tcPr>
          <w:p w14:paraId="10BE0AA2"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61.1</w:t>
            </w:r>
          </w:p>
        </w:tc>
        <w:tc>
          <w:tcPr>
            <w:tcW w:w="1580" w:type="dxa"/>
            <w:tcBorders>
              <w:top w:val="nil"/>
            </w:tcBorders>
            <w:shd w:val="clear" w:color="auto" w:fill="FFFFFF" w:themeFill="background2"/>
            <w:noWrap/>
            <w:vAlign w:val="center"/>
            <w:hideMark/>
          </w:tcPr>
          <w:p w14:paraId="65AA9CB3"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r>
      <w:tr w:rsidR="00961617" w:rsidRPr="00545C7F" w14:paraId="0071D85A" w14:textId="77777777" w:rsidTr="0020771F">
        <w:trPr>
          <w:trHeight w:val="288"/>
        </w:trPr>
        <w:tc>
          <w:tcPr>
            <w:tcW w:w="5118" w:type="dxa"/>
            <w:shd w:val="clear" w:color="auto" w:fill="E5E5E5" w:themeFill="background1" w:themeFillTint="33"/>
            <w:vAlign w:val="center"/>
            <w:hideMark/>
          </w:tcPr>
          <w:p w14:paraId="0C3F604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Highest level of education - Year 12, total</w:t>
            </w:r>
          </w:p>
        </w:tc>
        <w:tc>
          <w:tcPr>
            <w:tcW w:w="1580" w:type="dxa"/>
            <w:shd w:val="clear" w:color="auto" w:fill="E5E5E5" w:themeFill="background1" w:themeFillTint="33"/>
            <w:noWrap/>
            <w:vAlign w:val="center"/>
            <w:hideMark/>
          </w:tcPr>
          <w:p w14:paraId="765D7A4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55.6</w:t>
            </w:r>
          </w:p>
        </w:tc>
        <w:tc>
          <w:tcPr>
            <w:tcW w:w="1580" w:type="dxa"/>
            <w:shd w:val="clear" w:color="auto" w:fill="E5E5E5" w:themeFill="background1" w:themeFillTint="33"/>
            <w:noWrap/>
            <w:vAlign w:val="center"/>
            <w:hideMark/>
          </w:tcPr>
          <w:p w14:paraId="7B27F01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shd w:val="clear" w:color="auto" w:fill="E5E5E5" w:themeFill="background1" w:themeFillTint="33"/>
            <w:noWrap/>
            <w:vAlign w:val="center"/>
            <w:hideMark/>
          </w:tcPr>
          <w:p w14:paraId="4633AD4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12.9</w:t>
            </w:r>
          </w:p>
        </w:tc>
        <w:tc>
          <w:tcPr>
            <w:tcW w:w="1580" w:type="dxa"/>
            <w:shd w:val="clear" w:color="auto" w:fill="E5E5E5" w:themeFill="background1" w:themeFillTint="33"/>
            <w:noWrap/>
            <w:vAlign w:val="center"/>
            <w:hideMark/>
          </w:tcPr>
          <w:p w14:paraId="478C4D4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shd w:val="clear" w:color="auto" w:fill="E5E5E5" w:themeFill="background1" w:themeFillTint="33"/>
            <w:noWrap/>
            <w:vAlign w:val="center"/>
            <w:hideMark/>
          </w:tcPr>
          <w:p w14:paraId="6C7E2CC8"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31.6</w:t>
            </w:r>
          </w:p>
        </w:tc>
        <w:tc>
          <w:tcPr>
            <w:tcW w:w="1580" w:type="dxa"/>
            <w:shd w:val="clear" w:color="auto" w:fill="E5E5E5" w:themeFill="background1" w:themeFillTint="33"/>
            <w:noWrap/>
            <w:vAlign w:val="center"/>
            <w:hideMark/>
          </w:tcPr>
          <w:p w14:paraId="3F88DC22"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w:t>
            </w:r>
          </w:p>
        </w:tc>
      </w:tr>
      <w:tr w:rsidR="00961617" w:rsidRPr="00545C7F" w14:paraId="70E24734" w14:textId="77777777" w:rsidTr="0020771F">
        <w:trPr>
          <w:trHeight w:val="288"/>
        </w:trPr>
        <w:tc>
          <w:tcPr>
            <w:tcW w:w="5118" w:type="dxa"/>
            <w:tcBorders>
              <w:top w:val="nil"/>
            </w:tcBorders>
            <w:shd w:val="clear" w:color="auto" w:fill="FFFFFF" w:themeFill="background2"/>
            <w:vAlign w:val="center"/>
            <w:hideMark/>
          </w:tcPr>
          <w:p w14:paraId="2A859990"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Year 12 education Stream 1</w:t>
            </w:r>
          </w:p>
        </w:tc>
        <w:tc>
          <w:tcPr>
            <w:tcW w:w="1580" w:type="dxa"/>
            <w:tcBorders>
              <w:top w:val="nil"/>
            </w:tcBorders>
            <w:shd w:val="clear" w:color="auto" w:fill="FFFFFF" w:themeFill="background2"/>
            <w:noWrap/>
            <w:vAlign w:val="center"/>
            <w:hideMark/>
          </w:tcPr>
          <w:p w14:paraId="6260EAE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60.6</w:t>
            </w:r>
          </w:p>
        </w:tc>
        <w:tc>
          <w:tcPr>
            <w:tcW w:w="1580" w:type="dxa"/>
            <w:tcBorders>
              <w:top w:val="nil"/>
            </w:tcBorders>
            <w:shd w:val="clear" w:color="auto" w:fill="FFFFFF" w:themeFill="background2"/>
            <w:noWrap/>
            <w:vAlign w:val="center"/>
            <w:hideMark/>
          </w:tcPr>
          <w:p w14:paraId="3B1F763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w:t>
            </w:r>
          </w:p>
        </w:tc>
        <w:tc>
          <w:tcPr>
            <w:tcW w:w="1580" w:type="dxa"/>
            <w:tcBorders>
              <w:top w:val="nil"/>
            </w:tcBorders>
            <w:shd w:val="clear" w:color="auto" w:fill="FFFFFF" w:themeFill="background2"/>
            <w:noWrap/>
            <w:vAlign w:val="center"/>
            <w:hideMark/>
          </w:tcPr>
          <w:p w14:paraId="4108090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1580" w:type="dxa"/>
            <w:tcBorders>
              <w:top w:val="nil"/>
            </w:tcBorders>
            <w:shd w:val="clear" w:color="auto" w:fill="FFFFFF" w:themeFill="background2"/>
            <w:noWrap/>
            <w:vAlign w:val="center"/>
            <w:hideMark/>
          </w:tcPr>
          <w:p w14:paraId="6C4F4FF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580" w:type="dxa"/>
            <w:tcBorders>
              <w:top w:val="nil"/>
            </w:tcBorders>
            <w:shd w:val="clear" w:color="auto" w:fill="FFFFFF" w:themeFill="background2"/>
            <w:noWrap/>
            <w:vAlign w:val="center"/>
            <w:hideMark/>
          </w:tcPr>
          <w:p w14:paraId="39BAE12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28.0</w:t>
            </w:r>
          </w:p>
        </w:tc>
        <w:tc>
          <w:tcPr>
            <w:tcW w:w="1580" w:type="dxa"/>
            <w:tcBorders>
              <w:top w:val="nil"/>
            </w:tcBorders>
            <w:shd w:val="clear" w:color="auto" w:fill="FFFFFF" w:themeFill="background2"/>
            <w:noWrap/>
            <w:vAlign w:val="center"/>
            <w:hideMark/>
          </w:tcPr>
          <w:p w14:paraId="515CD19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w:t>
            </w:r>
          </w:p>
        </w:tc>
      </w:tr>
      <w:tr w:rsidR="00961617" w:rsidRPr="00545C7F" w14:paraId="13BB9A73" w14:textId="77777777" w:rsidTr="0020771F">
        <w:trPr>
          <w:trHeight w:val="288"/>
        </w:trPr>
        <w:tc>
          <w:tcPr>
            <w:tcW w:w="5118" w:type="dxa"/>
            <w:tcBorders>
              <w:top w:val="nil"/>
            </w:tcBorders>
            <w:shd w:val="clear" w:color="auto" w:fill="E5E5E5" w:themeFill="background1" w:themeFillTint="33"/>
            <w:vAlign w:val="center"/>
            <w:hideMark/>
          </w:tcPr>
          <w:p w14:paraId="33D2878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Year 12 education Stream 2</w:t>
            </w:r>
          </w:p>
        </w:tc>
        <w:tc>
          <w:tcPr>
            <w:tcW w:w="1580" w:type="dxa"/>
            <w:tcBorders>
              <w:top w:val="nil"/>
            </w:tcBorders>
            <w:shd w:val="clear" w:color="auto" w:fill="E5E5E5" w:themeFill="background1" w:themeFillTint="33"/>
            <w:noWrap/>
            <w:vAlign w:val="center"/>
            <w:hideMark/>
          </w:tcPr>
          <w:p w14:paraId="2EA7418E"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40.8</w:t>
            </w:r>
          </w:p>
        </w:tc>
        <w:tc>
          <w:tcPr>
            <w:tcW w:w="1580" w:type="dxa"/>
            <w:tcBorders>
              <w:top w:val="nil"/>
            </w:tcBorders>
            <w:shd w:val="clear" w:color="auto" w:fill="E5E5E5" w:themeFill="background1" w:themeFillTint="33"/>
            <w:noWrap/>
            <w:vAlign w:val="center"/>
            <w:hideMark/>
          </w:tcPr>
          <w:p w14:paraId="618ABEC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w:t>
            </w:r>
          </w:p>
        </w:tc>
        <w:tc>
          <w:tcPr>
            <w:tcW w:w="1580" w:type="dxa"/>
            <w:tcBorders>
              <w:top w:val="nil"/>
            </w:tcBorders>
            <w:shd w:val="clear" w:color="auto" w:fill="E5E5E5" w:themeFill="background1" w:themeFillTint="33"/>
            <w:noWrap/>
            <w:vAlign w:val="center"/>
            <w:hideMark/>
          </w:tcPr>
          <w:p w14:paraId="22C68CA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18.0</w:t>
            </w:r>
          </w:p>
        </w:tc>
        <w:tc>
          <w:tcPr>
            <w:tcW w:w="1580" w:type="dxa"/>
            <w:tcBorders>
              <w:top w:val="nil"/>
            </w:tcBorders>
            <w:shd w:val="clear" w:color="auto" w:fill="E5E5E5" w:themeFill="background1" w:themeFillTint="33"/>
            <w:noWrap/>
            <w:vAlign w:val="center"/>
            <w:hideMark/>
          </w:tcPr>
          <w:p w14:paraId="360D9AE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42FCACBE"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41.2</w:t>
            </w:r>
          </w:p>
        </w:tc>
        <w:tc>
          <w:tcPr>
            <w:tcW w:w="1580" w:type="dxa"/>
            <w:tcBorders>
              <w:top w:val="nil"/>
            </w:tcBorders>
            <w:shd w:val="clear" w:color="auto" w:fill="E5E5E5" w:themeFill="background1" w:themeFillTint="33"/>
            <w:noWrap/>
            <w:vAlign w:val="center"/>
            <w:hideMark/>
          </w:tcPr>
          <w:p w14:paraId="727BD58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r>
      <w:tr w:rsidR="00961617" w:rsidRPr="00545C7F" w14:paraId="181E51D3" w14:textId="77777777" w:rsidTr="0020771F">
        <w:trPr>
          <w:trHeight w:val="288"/>
        </w:trPr>
        <w:tc>
          <w:tcPr>
            <w:tcW w:w="5118" w:type="dxa"/>
            <w:tcBorders>
              <w:top w:val="nil"/>
            </w:tcBorders>
            <w:shd w:val="clear" w:color="auto" w:fill="FFFFFF" w:themeFill="background2"/>
            <w:vAlign w:val="center"/>
            <w:hideMark/>
          </w:tcPr>
          <w:p w14:paraId="1F20F1B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Year 12 education Stream 3</w:t>
            </w:r>
          </w:p>
        </w:tc>
        <w:tc>
          <w:tcPr>
            <w:tcW w:w="1580" w:type="dxa"/>
            <w:tcBorders>
              <w:top w:val="nil"/>
            </w:tcBorders>
            <w:shd w:val="clear" w:color="auto" w:fill="FFFFFF" w:themeFill="background2"/>
            <w:noWrap/>
            <w:vAlign w:val="center"/>
            <w:hideMark/>
          </w:tcPr>
          <w:p w14:paraId="4DE6AFD5"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24.4</w:t>
            </w:r>
          </w:p>
        </w:tc>
        <w:tc>
          <w:tcPr>
            <w:tcW w:w="1580" w:type="dxa"/>
            <w:tcBorders>
              <w:top w:val="nil"/>
            </w:tcBorders>
            <w:shd w:val="clear" w:color="auto" w:fill="FFFFFF" w:themeFill="background2"/>
            <w:noWrap/>
            <w:vAlign w:val="center"/>
            <w:hideMark/>
          </w:tcPr>
          <w:p w14:paraId="25F465D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w:t>
            </w:r>
          </w:p>
        </w:tc>
        <w:tc>
          <w:tcPr>
            <w:tcW w:w="1580" w:type="dxa"/>
            <w:tcBorders>
              <w:top w:val="nil"/>
            </w:tcBorders>
            <w:shd w:val="clear" w:color="auto" w:fill="FFFFFF" w:themeFill="background2"/>
            <w:noWrap/>
            <w:vAlign w:val="center"/>
            <w:hideMark/>
          </w:tcPr>
          <w:p w14:paraId="2BF4567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20.6</w:t>
            </w:r>
          </w:p>
        </w:tc>
        <w:tc>
          <w:tcPr>
            <w:tcW w:w="1580" w:type="dxa"/>
            <w:tcBorders>
              <w:top w:val="nil"/>
            </w:tcBorders>
            <w:shd w:val="clear" w:color="auto" w:fill="FFFFFF" w:themeFill="background2"/>
            <w:noWrap/>
            <w:vAlign w:val="center"/>
            <w:hideMark/>
          </w:tcPr>
          <w:p w14:paraId="57A670F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580" w:type="dxa"/>
            <w:tcBorders>
              <w:top w:val="nil"/>
            </w:tcBorders>
            <w:shd w:val="clear" w:color="auto" w:fill="FFFFFF" w:themeFill="background2"/>
            <w:noWrap/>
            <w:vAlign w:val="center"/>
            <w:hideMark/>
          </w:tcPr>
          <w:p w14:paraId="2747B999"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55.0</w:t>
            </w:r>
          </w:p>
        </w:tc>
        <w:tc>
          <w:tcPr>
            <w:tcW w:w="1580" w:type="dxa"/>
            <w:tcBorders>
              <w:top w:val="nil"/>
            </w:tcBorders>
            <w:shd w:val="clear" w:color="auto" w:fill="FFFFFF" w:themeFill="background2"/>
            <w:noWrap/>
            <w:vAlign w:val="center"/>
            <w:hideMark/>
          </w:tcPr>
          <w:p w14:paraId="05A7F994"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w:t>
            </w:r>
          </w:p>
        </w:tc>
      </w:tr>
      <w:tr w:rsidR="00961617" w:rsidRPr="00545C7F" w14:paraId="12085B59" w14:textId="77777777" w:rsidTr="0020771F">
        <w:trPr>
          <w:trHeight w:val="288"/>
        </w:trPr>
        <w:tc>
          <w:tcPr>
            <w:tcW w:w="5118" w:type="dxa"/>
            <w:tcBorders>
              <w:top w:val="nil"/>
            </w:tcBorders>
            <w:shd w:val="clear" w:color="auto" w:fill="E5E5E5" w:themeFill="background1" w:themeFillTint="33"/>
            <w:vAlign w:val="center"/>
            <w:hideMark/>
          </w:tcPr>
          <w:p w14:paraId="5E35C1D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Year 12 education Stream 4</w:t>
            </w:r>
          </w:p>
        </w:tc>
        <w:tc>
          <w:tcPr>
            <w:tcW w:w="1580" w:type="dxa"/>
            <w:tcBorders>
              <w:top w:val="nil"/>
            </w:tcBorders>
            <w:shd w:val="clear" w:color="auto" w:fill="E5E5E5" w:themeFill="background1" w:themeFillTint="33"/>
            <w:noWrap/>
            <w:vAlign w:val="center"/>
            <w:hideMark/>
          </w:tcPr>
          <w:p w14:paraId="4F59A201"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33.4</w:t>
            </w:r>
          </w:p>
        </w:tc>
        <w:tc>
          <w:tcPr>
            <w:tcW w:w="1580" w:type="dxa"/>
            <w:tcBorders>
              <w:top w:val="nil"/>
            </w:tcBorders>
            <w:shd w:val="clear" w:color="auto" w:fill="E5E5E5" w:themeFill="background1" w:themeFillTint="33"/>
            <w:noWrap/>
            <w:vAlign w:val="center"/>
            <w:hideMark/>
          </w:tcPr>
          <w:p w14:paraId="3CA8DED9"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357A068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10.7</w:t>
            </w:r>
          </w:p>
        </w:tc>
        <w:tc>
          <w:tcPr>
            <w:tcW w:w="1580" w:type="dxa"/>
            <w:tcBorders>
              <w:top w:val="nil"/>
            </w:tcBorders>
            <w:shd w:val="clear" w:color="auto" w:fill="E5E5E5" w:themeFill="background1" w:themeFillTint="33"/>
            <w:noWrap/>
            <w:vAlign w:val="center"/>
            <w:hideMark/>
          </w:tcPr>
          <w:p w14:paraId="2559E8E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05498B31"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55.9</w:t>
            </w:r>
          </w:p>
        </w:tc>
        <w:tc>
          <w:tcPr>
            <w:tcW w:w="1580" w:type="dxa"/>
            <w:tcBorders>
              <w:top w:val="nil"/>
            </w:tcBorders>
            <w:shd w:val="clear" w:color="auto" w:fill="E5E5E5" w:themeFill="background1" w:themeFillTint="33"/>
            <w:noWrap/>
            <w:vAlign w:val="center"/>
            <w:hideMark/>
          </w:tcPr>
          <w:p w14:paraId="716D880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r w:rsidRPr="00545C7F">
              <w:rPr>
                <w:rFonts w:cstheme="minorHAnsi"/>
                <w:color w:val="000000"/>
                <w:sz w:val="20"/>
                <w:szCs w:val="20"/>
                <w:vertAlign w:val="superscript"/>
              </w:rPr>
              <w:t xml:space="preserve"> *</w:t>
            </w:r>
          </w:p>
        </w:tc>
      </w:tr>
      <w:tr w:rsidR="00961617" w:rsidRPr="00545C7F" w14:paraId="5C400B14" w14:textId="77777777" w:rsidTr="0020771F">
        <w:trPr>
          <w:trHeight w:val="288"/>
        </w:trPr>
        <w:tc>
          <w:tcPr>
            <w:tcW w:w="5118" w:type="dxa"/>
            <w:shd w:val="clear" w:color="auto" w:fill="FFFFFF" w:themeFill="background2"/>
            <w:vAlign w:val="center"/>
            <w:hideMark/>
          </w:tcPr>
          <w:p w14:paraId="65A520E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Highest level of education - TAFE/Diploma, total</w:t>
            </w:r>
          </w:p>
        </w:tc>
        <w:tc>
          <w:tcPr>
            <w:tcW w:w="1580" w:type="dxa"/>
            <w:shd w:val="clear" w:color="auto" w:fill="FFFFFF" w:themeFill="background2"/>
            <w:noWrap/>
            <w:vAlign w:val="center"/>
            <w:hideMark/>
          </w:tcPr>
          <w:p w14:paraId="0AEC00E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57.5</w:t>
            </w:r>
          </w:p>
        </w:tc>
        <w:tc>
          <w:tcPr>
            <w:tcW w:w="1580" w:type="dxa"/>
            <w:shd w:val="clear" w:color="auto" w:fill="FFFFFF" w:themeFill="background2"/>
            <w:noWrap/>
            <w:vAlign w:val="center"/>
            <w:hideMark/>
          </w:tcPr>
          <w:p w14:paraId="1AEB869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c>
          <w:tcPr>
            <w:tcW w:w="1580" w:type="dxa"/>
            <w:shd w:val="clear" w:color="auto" w:fill="FFFFFF" w:themeFill="background2"/>
            <w:noWrap/>
            <w:vAlign w:val="center"/>
            <w:hideMark/>
          </w:tcPr>
          <w:p w14:paraId="5897458A"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13.0</w:t>
            </w:r>
          </w:p>
        </w:tc>
        <w:tc>
          <w:tcPr>
            <w:tcW w:w="1580" w:type="dxa"/>
            <w:shd w:val="clear" w:color="auto" w:fill="FFFFFF" w:themeFill="background2"/>
            <w:noWrap/>
            <w:vAlign w:val="center"/>
            <w:hideMark/>
          </w:tcPr>
          <w:p w14:paraId="3E53B48C"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w:t>
            </w:r>
          </w:p>
        </w:tc>
        <w:tc>
          <w:tcPr>
            <w:tcW w:w="1580" w:type="dxa"/>
            <w:shd w:val="clear" w:color="auto" w:fill="FFFFFF" w:themeFill="background2"/>
            <w:noWrap/>
            <w:vAlign w:val="center"/>
            <w:hideMark/>
          </w:tcPr>
          <w:p w14:paraId="2C422A8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29.5</w:t>
            </w:r>
          </w:p>
        </w:tc>
        <w:tc>
          <w:tcPr>
            <w:tcW w:w="1580" w:type="dxa"/>
            <w:shd w:val="clear" w:color="auto" w:fill="FFFFFF" w:themeFill="background2"/>
            <w:noWrap/>
            <w:vAlign w:val="center"/>
            <w:hideMark/>
          </w:tcPr>
          <w:p w14:paraId="0166B52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r>
      <w:tr w:rsidR="00961617" w:rsidRPr="00545C7F" w14:paraId="4A1EDCEC" w14:textId="77777777" w:rsidTr="0020771F">
        <w:trPr>
          <w:trHeight w:val="288"/>
        </w:trPr>
        <w:tc>
          <w:tcPr>
            <w:tcW w:w="5118" w:type="dxa"/>
            <w:tcBorders>
              <w:top w:val="nil"/>
            </w:tcBorders>
            <w:shd w:val="clear" w:color="auto" w:fill="E5E5E5" w:themeFill="background1" w:themeFillTint="33"/>
            <w:vAlign w:val="center"/>
            <w:hideMark/>
          </w:tcPr>
          <w:p w14:paraId="1FF5F8C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TAFE/Diploma education Stream 1</w:t>
            </w:r>
          </w:p>
        </w:tc>
        <w:tc>
          <w:tcPr>
            <w:tcW w:w="1580" w:type="dxa"/>
            <w:tcBorders>
              <w:top w:val="nil"/>
            </w:tcBorders>
            <w:shd w:val="clear" w:color="auto" w:fill="E5E5E5" w:themeFill="background1" w:themeFillTint="33"/>
            <w:noWrap/>
            <w:vAlign w:val="center"/>
            <w:hideMark/>
          </w:tcPr>
          <w:p w14:paraId="3A55A88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62.0</w:t>
            </w:r>
          </w:p>
        </w:tc>
        <w:tc>
          <w:tcPr>
            <w:tcW w:w="1580" w:type="dxa"/>
            <w:tcBorders>
              <w:top w:val="nil"/>
            </w:tcBorders>
            <w:shd w:val="clear" w:color="auto" w:fill="E5E5E5" w:themeFill="background1" w:themeFillTint="33"/>
            <w:noWrap/>
            <w:vAlign w:val="center"/>
            <w:hideMark/>
          </w:tcPr>
          <w:p w14:paraId="03304D9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c>
          <w:tcPr>
            <w:tcW w:w="1580" w:type="dxa"/>
            <w:tcBorders>
              <w:top w:val="nil"/>
            </w:tcBorders>
            <w:shd w:val="clear" w:color="auto" w:fill="E5E5E5" w:themeFill="background1" w:themeFillTint="33"/>
            <w:noWrap/>
            <w:vAlign w:val="center"/>
            <w:hideMark/>
          </w:tcPr>
          <w:p w14:paraId="6F1E6DC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c>
          <w:tcPr>
            <w:tcW w:w="1580" w:type="dxa"/>
            <w:tcBorders>
              <w:top w:val="nil"/>
            </w:tcBorders>
            <w:shd w:val="clear" w:color="auto" w:fill="E5E5E5" w:themeFill="background1" w:themeFillTint="33"/>
            <w:noWrap/>
            <w:vAlign w:val="center"/>
            <w:hideMark/>
          </w:tcPr>
          <w:p w14:paraId="7D6755A5"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w:t>
            </w:r>
          </w:p>
        </w:tc>
        <w:tc>
          <w:tcPr>
            <w:tcW w:w="1580" w:type="dxa"/>
            <w:tcBorders>
              <w:top w:val="nil"/>
            </w:tcBorders>
            <w:shd w:val="clear" w:color="auto" w:fill="E5E5E5" w:themeFill="background1" w:themeFillTint="33"/>
            <w:noWrap/>
            <w:vAlign w:val="center"/>
            <w:hideMark/>
          </w:tcPr>
          <w:p w14:paraId="004D9BBF"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26.5</w:t>
            </w:r>
          </w:p>
        </w:tc>
        <w:tc>
          <w:tcPr>
            <w:tcW w:w="1580" w:type="dxa"/>
            <w:tcBorders>
              <w:top w:val="nil"/>
            </w:tcBorders>
            <w:shd w:val="clear" w:color="auto" w:fill="E5E5E5" w:themeFill="background1" w:themeFillTint="33"/>
            <w:noWrap/>
            <w:vAlign w:val="center"/>
            <w:hideMark/>
          </w:tcPr>
          <w:p w14:paraId="3C5CAB27"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r>
      <w:tr w:rsidR="00961617" w:rsidRPr="00545C7F" w14:paraId="55CB5C11" w14:textId="77777777" w:rsidTr="0020771F">
        <w:trPr>
          <w:trHeight w:val="288"/>
        </w:trPr>
        <w:tc>
          <w:tcPr>
            <w:tcW w:w="5118" w:type="dxa"/>
            <w:tcBorders>
              <w:top w:val="nil"/>
            </w:tcBorders>
            <w:shd w:val="clear" w:color="auto" w:fill="FFFFFF" w:themeFill="background2"/>
            <w:vAlign w:val="center"/>
            <w:hideMark/>
          </w:tcPr>
          <w:p w14:paraId="1D0E253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TAFE/Diploma education Stream 2</w:t>
            </w:r>
          </w:p>
        </w:tc>
        <w:tc>
          <w:tcPr>
            <w:tcW w:w="1580" w:type="dxa"/>
            <w:tcBorders>
              <w:top w:val="nil"/>
            </w:tcBorders>
            <w:shd w:val="clear" w:color="auto" w:fill="FFFFFF" w:themeFill="background2"/>
            <w:noWrap/>
            <w:vAlign w:val="center"/>
            <w:hideMark/>
          </w:tcPr>
          <w:p w14:paraId="42B6CD3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36.5</w:t>
            </w:r>
          </w:p>
        </w:tc>
        <w:tc>
          <w:tcPr>
            <w:tcW w:w="1580" w:type="dxa"/>
            <w:tcBorders>
              <w:top w:val="nil"/>
            </w:tcBorders>
            <w:shd w:val="clear" w:color="auto" w:fill="FFFFFF" w:themeFill="background2"/>
            <w:noWrap/>
            <w:vAlign w:val="center"/>
            <w:hideMark/>
          </w:tcPr>
          <w:p w14:paraId="79EC1BE2"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w:t>
            </w:r>
          </w:p>
        </w:tc>
        <w:tc>
          <w:tcPr>
            <w:tcW w:w="1580" w:type="dxa"/>
            <w:tcBorders>
              <w:top w:val="nil"/>
            </w:tcBorders>
            <w:shd w:val="clear" w:color="auto" w:fill="FFFFFF" w:themeFill="background2"/>
            <w:noWrap/>
            <w:vAlign w:val="center"/>
            <w:hideMark/>
          </w:tcPr>
          <w:p w14:paraId="71F6A9E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22.3</w:t>
            </w:r>
          </w:p>
        </w:tc>
        <w:tc>
          <w:tcPr>
            <w:tcW w:w="1580" w:type="dxa"/>
            <w:tcBorders>
              <w:top w:val="nil"/>
            </w:tcBorders>
            <w:shd w:val="clear" w:color="auto" w:fill="FFFFFF" w:themeFill="background2"/>
            <w:noWrap/>
            <w:vAlign w:val="center"/>
            <w:hideMark/>
          </w:tcPr>
          <w:p w14:paraId="1EE200F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580" w:type="dxa"/>
            <w:tcBorders>
              <w:top w:val="nil"/>
            </w:tcBorders>
            <w:shd w:val="clear" w:color="auto" w:fill="FFFFFF" w:themeFill="background2"/>
            <w:noWrap/>
            <w:vAlign w:val="center"/>
            <w:hideMark/>
          </w:tcPr>
          <w:p w14:paraId="5F4C57D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41.2</w:t>
            </w:r>
          </w:p>
        </w:tc>
        <w:tc>
          <w:tcPr>
            <w:tcW w:w="1580" w:type="dxa"/>
            <w:tcBorders>
              <w:top w:val="nil"/>
            </w:tcBorders>
            <w:shd w:val="clear" w:color="auto" w:fill="FFFFFF" w:themeFill="background2"/>
            <w:noWrap/>
            <w:vAlign w:val="center"/>
            <w:hideMark/>
          </w:tcPr>
          <w:p w14:paraId="0ED328A8"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w:t>
            </w:r>
          </w:p>
        </w:tc>
      </w:tr>
      <w:tr w:rsidR="00961617" w:rsidRPr="00545C7F" w14:paraId="12806EA7" w14:textId="77777777" w:rsidTr="0020771F">
        <w:trPr>
          <w:trHeight w:val="288"/>
        </w:trPr>
        <w:tc>
          <w:tcPr>
            <w:tcW w:w="5118" w:type="dxa"/>
            <w:tcBorders>
              <w:top w:val="nil"/>
            </w:tcBorders>
            <w:shd w:val="clear" w:color="auto" w:fill="E5E5E5" w:themeFill="background1" w:themeFillTint="33"/>
            <w:vAlign w:val="center"/>
            <w:hideMark/>
          </w:tcPr>
          <w:p w14:paraId="7597EA5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TAFE/Diploma education Stream 3</w:t>
            </w:r>
          </w:p>
        </w:tc>
        <w:tc>
          <w:tcPr>
            <w:tcW w:w="1580" w:type="dxa"/>
            <w:tcBorders>
              <w:top w:val="nil"/>
            </w:tcBorders>
            <w:shd w:val="clear" w:color="auto" w:fill="E5E5E5" w:themeFill="background1" w:themeFillTint="33"/>
            <w:noWrap/>
            <w:vAlign w:val="center"/>
            <w:hideMark/>
          </w:tcPr>
          <w:p w14:paraId="6006EB1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16.8</w:t>
            </w:r>
          </w:p>
        </w:tc>
        <w:tc>
          <w:tcPr>
            <w:tcW w:w="1580" w:type="dxa"/>
            <w:tcBorders>
              <w:top w:val="nil"/>
            </w:tcBorders>
            <w:shd w:val="clear" w:color="auto" w:fill="E5E5E5" w:themeFill="background1" w:themeFillTint="33"/>
            <w:noWrap/>
            <w:vAlign w:val="center"/>
            <w:hideMark/>
          </w:tcPr>
          <w:p w14:paraId="0475D48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37682773"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23.5</w:t>
            </w:r>
          </w:p>
        </w:tc>
        <w:tc>
          <w:tcPr>
            <w:tcW w:w="1580" w:type="dxa"/>
            <w:tcBorders>
              <w:top w:val="nil"/>
            </w:tcBorders>
            <w:shd w:val="clear" w:color="auto" w:fill="E5E5E5" w:themeFill="background1" w:themeFillTint="33"/>
            <w:noWrap/>
            <w:vAlign w:val="center"/>
            <w:hideMark/>
          </w:tcPr>
          <w:p w14:paraId="31BE34C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580" w:type="dxa"/>
            <w:tcBorders>
              <w:top w:val="nil"/>
            </w:tcBorders>
            <w:shd w:val="clear" w:color="auto" w:fill="E5E5E5" w:themeFill="background1" w:themeFillTint="33"/>
            <w:noWrap/>
            <w:vAlign w:val="center"/>
            <w:hideMark/>
          </w:tcPr>
          <w:p w14:paraId="68FB9380"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59.6</w:t>
            </w:r>
          </w:p>
        </w:tc>
        <w:tc>
          <w:tcPr>
            <w:tcW w:w="1580" w:type="dxa"/>
            <w:tcBorders>
              <w:top w:val="nil"/>
            </w:tcBorders>
            <w:shd w:val="clear" w:color="auto" w:fill="E5E5E5" w:themeFill="background1" w:themeFillTint="33"/>
            <w:noWrap/>
            <w:vAlign w:val="center"/>
            <w:hideMark/>
          </w:tcPr>
          <w:p w14:paraId="1656943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r>
      <w:tr w:rsidR="00961617" w:rsidRPr="00545C7F" w14:paraId="5F05FF35" w14:textId="77777777" w:rsidTr="0020771F">
        <w:trPr>
          <w:trHeight w:val="288"/>
        </w:trPr>
        <w:tc>
          <w:tcPr>
            <w:tcW w:w="5118" w:type="dxa"/>
            <w:tcBorders>
              <w:top w:val="nil"/>
            </w:tcBorders>
            <w:shd w:val="clear" w:color="auto" w:fill="FFFFFF" w:themeFill="background2"/>
            <w:vAlign w:val="center"/>
            <w:hideMark/>
          </w:tcPr>
          <w:p w14:paraId="6421B56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TAFE/Diploma education Stream 4</w:t>
            </w:r>
          </w:p>
        </w:tc>
        <w:tc>
          <w:tcPr>
            <w:tcW w:w="1580" w:type="dxa"/>
            <w:tcBorders>
              <w:top w:val="nil"/>
            </w:tcBorders>
            <w:shd w:val="clear" w:color="auto" w:fill="FFFFFF" w:themeFill="background2"/>
            <w:noWrap/>
            <w:vAlign w:val="center"/>
            <w:hideMark/>
          </w:tcPr>
          <w:p w14:paraId="7C38840F"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34.8</w:t>
            </w:r>
          </w:p>
        </w:tc>
        <w:tc>
          <w:tcPr>
            <w:tcW w:w="1580" w:type="dxa"/>
            <w:tcBorders>
              <w:top w:val="nil"/>
            </w:tcBorders>
            <w:shd w:val="clear" w:color="auto" w:fill="FFFFFF" w:themeFill="background2"/>
            <w:noWrap/>
            <w:vAlign w:val="center"/>
            <w:hideMark/>
          </w:tcPr>
          <w:p w14:paraId="1F2F1F4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580" w:type="dxa"/>
            <w:tcBorders>
              <w:top w:val="nil"/>
            </w:tcBorders>
            <w:shd w:val="clear" w:color="auto" w:fill="FFFFFF" w:themeFill="background2"/>
            <w:noWrap/>
            <w:vAlign w:val="center"/>
            <w:hideMark/>
          </w:tcPr>
          <w:p w14:paraId="6DCF829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11.0</w:t>
            </w:r>
          </w:p>
        </w:tc>
        <w:tc>
          <w:tcPr>
            <w:tcW w:w="1580" w:type="dxa"/>
            <w:tcBorders>
              <w:top w:val="nil"/>
            </w:tcBorders>
            <w:shd w:val="clear" w:color="auto" w:fill="FFFFFF" w:themeFill="background2"/>
            <w:noWrap/>
            <w:vAlign w:val="center"/>
            <w:hideMark/>
          </w:tcPr>
          <w:p w14:paraId="4CD1C39B"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2649E8C0"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54.2</w:t>
            </w:r>
          </w:p>
        </w:tc>
        <w:tc>
          <w:tcPr>
            <w:tcW w:w="1580" w:type="dxa"/>
            <w:tcBorders>
              <w:top w:val="nil"/>
            </w:tcBorders>
            <w:shd w:val="clear" w:color="auto" w:fill="FFFFFF" w:themeFill="background2"/>
            <w:noWrap/>
            <w:vAlign w:val="center"/>
            <w:hideMark/>
          </w:tcPr>
          <w:p w14:paraId="7C72E69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r>
      <w:tr w:rsidR="00961617" w:rsidRPr="00545C7F" w14:paraId="6EF6FCA1" w14:textId="77777777" w:rsidTr="0020771F">
        <w:trPr>
          <w:trHeight w:val="288"/>
        </w:trPr>
        <w:tc>
          <w:tcPr>
            <w:tcW w:w="5118" w:type="dxa"/>
            <w:shd w:val="clear" w:color="auto" w:fill="E5E5E5" w:themeFill="background1" w:themeFillTint="33"/>
            <w:vAlign w:val="center"/>
            <w:hideMark/>
          </w:tcPr>
          <w:p w14:paraId="041C7CE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Highest level of education - Bachelor degree or above, total</w:t>
            </w:r>
          </w:p>
        </w:tc>
        <w:tc>
          <w:tcPr>
            <w:tcW w:w="1580" w:type="dxa"/>
            <w:shd w:val="clear" w:color="auto" w:fill="E5E5E5" w:themeFill="background1" w:themeFillTint="33"/>
            <w:noWrap/>
            <w:vAlign w:val="center"/>
            <w:hideMark/>
          </w:tcPr>
          <w:p w14:paraId="53F186C8"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70.6</w:t>
            </w:r>
          </w:p>
        </w:tc>
        <w:tc>
          <w:tcPr>
            <w:tcW w:w="1580" w:type="dxa"/>
            <w:shd w:val="clear" w:color="auto" w:fill="E5E5E5" w:themeFill="background1" w:themeFillTint="33"/>
            <w:noWrap/>
            <w:vAlign w:val="center"/>
            <w:hideMark/>
          </w:tcPr>
          <w:p w14:paraId="73CC9C1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580" w:type="dxa"/>
            <w:shd w:val="clear" w:color="auto" w:fill="E5E5E5" w:themeFill="background1" w:themeFillTint="33"/>
            <w:noWrap/>
            <w:vAlign w:val="center"/>
            <w:hideMark/>
          </w:tcPr>
          <w:p w14:paraId="0B8C2A3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10.3</w:t>
            </w:r>
          </w:p>
        </w:tc>
        <w:tc>
          <w:tcPr>
            <w:tcW w:w="1580" w:type="dxa"/>
            <w:shd w:val="clear" w:color="auto" w:fill="E5E5E5" w:themeFill="background1" w:themeFillTint="33"/>
            <w:noWrap/>
            <w:vAlign w:val="center"/>
            <w:hideMark/>
          </w:tcPr>
          <w:p w14:paraId="1B3C6B81"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w:t>
            </w:r>
          </w:p>
        </w:tc>
        <w:tc>
          <w:tcPr>
            <w:tcW w:w="1580" w:type="dxa"/>
            <w:shd w:val="clear" w:color="auto" w:fill="E5E5E5" w:themeFill="background1" w:themeFillTint="33"/>
            <w:noWrap/>
            <w:vAlign w:val="center"/>
            <w:hideMark/>
          </w:tcPr>
          <w:p w14:paraId="77F50070"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19.2</w:t>
            </w:r>
          </w:p>
        </w:tc>
        <w:tc>
          <w:tcPr>
            <w:tcW w:w="1580" w:type="dxa"/>
            <w:shd w:val="clear" w:color="auto" w:fill="E5E5E5" w:themeFill="background1" w:themeFillTint="33"/>
            <w:noWrap/>
            <w:vAlign w:val="center"/>
            <w:hideMark/>
          </w:tcPr>
          <w:p w14:paraId="0D1EBAF5"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r>
      <w:tr w:rsidR="00961617" w:rsidRPr="00545C7F" w14:paraId="62B2A3E5" w14:textId="77777777" w:rsidTr="0020771F">
        <w:trPr>
          <w:trHeight w:val="288"/>
        </w:trPr>
        <w:tc>
          <w:tcPr>
            <w:tcW w:w="5118" w:type="dxa"/>
            <w:tcBorders>
              <w:top w:val="nil"/>
            </w:tcBorders>
            <w:shd w:val="clear" w:color="auto" w:fill="FFFFFF" w:themeFill="background2"/>
            <w:vAlign w:val="center"/>
            <w:hideMark/>
          </w:tcPr>
          <w:p w14:paraId="14468C1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Bachelor degree or higher education Stream 1</w:t>
            </w:r>
          </w:p>
        </w:tc>
        <w:tc>
          <w:tcPr>
            <w:tcW w:w="1580" w:type="dxa"/>
            <w:tcBorders>
              <w:top w:val="nil"/>
            </w:tcBorders>
            <w:shd w:val="clear" w:color="auto" w:fill="FFFFFF" w:themeFill="background2"/>
            <w:noWrap/>
            <w:vAlign w:val="center"/>
            <w:hideMark/>
          </w:tcPr>
          <w:p w14:paraId="71796C3A"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72.5</w:t>
            </w:r>
          </w:p>
        </w:tc>
        <w:tc>
          <w:tcPr>
            <w:tcW w:w="1580" w:type="dxa"/>
            <w:tcBorders>
              <w:top w:val="nil"/>
            </w:tcBorders>
            <w:shd w:val="clear" w:color="auto" w:fill="FFFFFF" w:themeFill="background2"/>
            <w:noWrap/>
            <w:vAlign w:val="center"/>
            <w:hideMark/>
          </w:tcPr>
          <w:p w14:paraId="5A39E26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580" w:type="dxa"/>
            <w:tcBorders>
              <w:top w:val="nil"/>
            </w:tcBorders>
            <w:shd w:val="clear" w:color="auto" w:fill="FFFFFF" w:themeFill="background2"/>
            <w:noWrap/>
            <w:vAlign w:val="center"/>
            <w:hideMark/>
          </w:tcPr>
          <w:p w14:paraId="79AF9B0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9.4</w:t>
            </w:r>
          </w:p>
        </w:tc>
        <w:tc>
          <w:tcPr>
            <w:tcW w:w="1580" w:type="dxa"/>
            <w:tcBorders>
              <w:top w:val="nil"/>
            </w:tcBorders>
            <w:shd w:val="clear" w:color="auto" w:fill="FFFFFF" w:themeFill="background2"/>
            <w:noWrap/>
            <w:vAlign w:val="center"/>
            <w:hideMark/>
          </w:tcPr>
          <w:p w14:paraId="60DA4C6E"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580" w:type="dxa"/>
            <w:tcBorders>
              <w:top w:val="nil"/>
            </w:tcBorders>
            <w:shd w:val="clear" w:color="auto" w:fill="FFFFFF" w:themeFill="background2"/>
            <w:noWrap/>
            <w:vAlign w:val="center"/>
            <w:hideMark/>
          </w:tcPr>
          <w:p w14:paraId="31B2F480"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18.0</w:t>
            </w:r>
          </w:p>
        </w:tc>
        <w:tc>
          <w:tcPr>
            <w:tcW w:w="1580" w:type="dxa"/>
            <w:tcBorders>
              <w:top w:val="nil"/>
            </w:tcBorders>
            <w:shd w:val="clear" w:color="auto" w:fill="FFFFFF" w:themeFill="background2"/>
            <w:noWrap/>
            <w:vAlign w:val="center"/>
            <w:hideMark/>
          </w:tcPr>
          <w:p w14:paraId="395A927D"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r>
      <w:tr w:rsidR="00961617" w:rsidRPr="00545C7F" w14:paraId="0985AD6B" w14:textId="77777777" w:rsidTr="0020771F">
        <w:trPr>
          <w:trHeight w:val="288"/>
        </w:trPr>
        <w:tc>
          <w:tcPr>
            <w:tcW w:w="5118" w:type="dxa"/>
            <w:tcBorders>
              <w:top w:val="nil"/>
            </w:tcBorders>
            <w:shd w:val="clear" w:color="auto" w:fill="E5E5E5" w:themeFill="background1" w:themeFillTint="33"/>
            <w:vAlign w:val="center"/>
            <w:hideMark/>
          </w:tcPr>
          <w:p w14:paraId="7A4663E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Bachelor degree or higher education Stream 2</w:t>
            </w:r>
          </w:p>
        </w:tc>
        <w:tc>
          <w:tcPr>
            <w:tcW w:w="1580" w:type="dxa"/>
            <w:tcBorders>
              <w:top w:val="nil"/>
            </w:tcBorders>
            <w:shd w:val="clear" w:color="auto" w:fill="E5E5E5" w:themeFill="background1" w:themeFillTint="33"/>
            <w:noWrap/>
            <w:vAlign w:val="center"/>
            <w:hideMark/>
          </w:tcPr>
          <w:p w14:paraId="79737B57"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59.0</w:t>
            </w:r>
          </w:p>
        </w:tc>
        <w:tc>
          <w:tcPr>
            <w:tcW w:w="1580" w:type="dxa"/>
            <w:tcBorders>
              <w:top w:val="nil"/>
            </w:tcBorders>
            <w:shd w:val="clear" w:color="auto" w:fill="E5E5E5" w:themeFill="background1" w:themeFillTint="33"/>
            <w:noWrap/>
            <w:vAlign w:val="center"/>
            <w:hideMark/>
          </w:tcPr>
          <w:p w14:paraId="5E4FC47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580" w:type="dxa"/>
            <w:tcBorders>
              <w:top w:val="nil"/>
            </w:tcBorders>
            <w:shd w:val="clear" w:color="auto" w:fill="E5E5E5" w:themeFill="background1" w:themeFillTint="33"/>
            <w:noWrap/>
            <w:vAlign w:val="center"/>
            <w:hideMark/>
          </w:tcPr>
          <w:p w14:paraId="35321AC6"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16.2</w:t>
            </w:r>
          </w:p>
        </w:tc>
        <w:tc>
          <w:tcPr>
            <w:tcW w:w="1580" w:type="dxa"/>
            <w:tcBorders>
              <w:top w:val="nil"/>
            </w:tcBorders>
            <w:shd w:val="clear" w:color="auto" w:fill="E5E5E5" w:themeFill="background1" w:themeFillTint="33"/>
            <w:noWrap/>
            <w:vAlign w:val="center"/>
            <w:hideMark/>
          </w:tcPr>
          <w:p w14:paraId="5E39E13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w:t>
            </w:r>
            <w:r w:rsidRPr="00545C7F">
              <w:rPr>
                <w:rFonts w:cstheme="minorHAnsi"/>
                <w:color w:val="000000"/>
                <w:sz w:val="20"/>
                <w:szCs w:val="20"/>
                <w:vertAlign w:val="superscript"/>
              </w:rPr>
              <w:t xml:space="preserve"> *</w:t>
            </w:r>
          </w:p>
        </w:tc>
        <w:tc>
          <w:tcPr>
            <w:tcW w:w="1580" w:type="dxa"/>
            <w:tcBorders>
              <w:top w:val="nil"/>
            </w:tcBorders>
            <w:shd w:val="clear" w:color="auto" w:fill="E5E5E5" w:themeFill="background1" w:themeFillTint="33"/>
            <w:noWrap/>
            <w:vAlign w:val="center"/>
            <w:hideMark/>
          </w:tcPr>
          <w:p w14:paraId="6D81D92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24.9</w:t>
            </w:r>
          </w:p>
        </w:tc>
        <w:tc>
          <w:tcPr>
            <w:tcW w:w="1580" w:type="dxa"/>
            <w:tcBorders>
              <w:top w:val="nil"/>
            </w:tcBorders>
            <w:shd w:val="clear" w:color="auto" w:fill="E5E5E5" w:themeFill="background1" w:themeFillTint="33"/>
            <w:noWrap/>
            <w:vAlign w:val="center"/>
            <w:hideMark/>
          </w:tcPr>
          <w:p w14:paraId="2975067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r>
      <w:tr w:rsidR="00961617" w:rsidRPr="00545C7F" w14:paraId="638B2545" w14:textId="77777777" w:rsidTr="0020771F">
        <w:trPr>
          <w:trHeight w:val="288"/>
        </w:trPr>
        <w:tc>
          <w:tcPr>
            <w:tcW w:w="5118" w:type="dxa"/>
            <w:tcBorders>
              <w:top w:val="nil"/>
            </w:tcBorders>
            <w:shd w:val="clear" w:color="auto" w:fill="FFFFFF" w:themeFill="background2"/>
            <w:vAlign w:val="center"/>
            <w:hideMark/>
          </w:tcPr>
          <w:p w14:paraId="685A9F7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Bachelor degree or higher education Stream 3</w:t>
            </w:r>
          </w:p>
        </w:tc>
        <w:tc>
          <w:tcPr>
            <w:tcW w:w="1580" w:type="dxa"/>
            <w:tcBorders>
              <w:top w:val="nil"/>
            </w:tcBorders>
            <w:shd w:val="clear" w:color="auto" w:fill="FFFFFF" w:themeFill="background2"/>
            <w:noWrap/>
            <w:vAlign w:val="center"/>
            <w:hideMark/>
          </w:tcPr>
          <w:p w14:paraId="77A4578B"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36.4</w:t>
            </w:r>
          </w:p>
        </w:tc>
        <w:tc>
          <w:tcPr>
            <w:tcW w:w="1580" w:type="dxa"/>
            <w:tcBorders>
              <w:top w:val="nil"/>
            </w:tcBorders>
            <w:shd w:val="clear" w:color="auto" w:fill="FFFFFF" w:themeFill="background2"/>
            <w:noWrap/>
            <w:vAlign w:val="center"/>
            <w:hideMark/>
          </w:tcPr>
          <w:p w14:paraId="76BF5BFD"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2638F9B7"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22.5</w:t>
            </w:r>
          </w:p>
        </w:tc>
        <w:tc>
          <w:tcPr>
            <w:tcW w:w="1580" w:type="dxa"/>
            <w:tcBorders>
              <w:top w:val="nil"/>
            </w:tcBorders>
            <w:shd w:val="clear" w:color="auto" w:fill="FFFFFF" w:themeFill="background2"/>
            <w:noWrap/>
            <w:vAlign w:val="center"/>
            <w:hideMark/>
          </w:tcPr>
          <w:p w14:paraId="72D09E3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r w:rsidRPr="00545C7F">
              <w:rPr>
                <w:rFonts w:cstheme="minorHAnsi"/>
                <w:color w:val="000000"/>
                <w:sz w:val="20"/>
                <w:szCs w:val="20"/>
                <w:vertAlign w:val="superscript"/>
              </w:rPr>
              <w:t xml:space="preserve"> *</w:t>
            </w:r>
          </w:p>
        </w:tc>
        <w:tc>
          <w:tcPr>
            <w:tcW w:w="1580" w:type="dxa"/>
            <w:tcBorders>
              <w:top w:val="nil"/>
            </w:tcBorders>
            <w:shd w:val="clear" w:color="auto" w:fill="FFFFFF" w:themeFill="background2"/>
            <w:noWrap/>
            <w:vAlign w:val="center"/>
            <w:hideMark/>
          </w:tcPr>
          <w:p w14:paraId="4853BCA4"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41.0</w:t>
            </w:r>
          </w:p>
        </w:tc>
        <w:tc>
          <w:tcPr>
            <w:tcW w:w="1580" w:type="dxa"/>
            <w:tcBorders>
              <w:top w:val="nil"/>
            </w:tcBorders>
            <w:shd w:val="clear" w:color="auto" w:fill="FFFFFF" w:themeFill="background2"/>
            <w:noWrap/>
            <w:vAlign w:val="center"/>
            <w:hideMark/>
          </w:tcPr>
          <w:p w14:paraId="4F78ACD4"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r w:rsidRPr="00545C7F">
              <w:rPr>
                <w:rFonts w:cstheme="minorHAnsi"/>
                <w:color w:val="000000"/>
                <w:sz w:val="20"/>
                <w:szCs w:val="20"/>
                <w:vertAlign w:val="superscript"/>
              </w:rPr>
              <w:t xml:space="preserve"> *</w:t>
            </w:r>
          </w:p>
        </w:tc>
      </w:tr>
      <w:tr w:rsidR="00961617" w:rsidRPr="00545C7F" w14:paraId="7CC3360D" w14:textId="77777777" w:rsidTr="0020771F">
        <w:trPr>
          <w:trHeight w:val="288"/>
        </w:trPr>
        <w:tc>
          <w:tcPr>
            <w:tcW w:w="5118" w:type="dxa"/>
            <w:tcBorders>
              <w:top w:val="nil"/>
              <w:bottom w:val="single" w:sz="4" w:space="0" w:color="auto"/>
            </w:tcBorders>
            <w:shd w:val="clear" w:color="auto" w:fill="E5E5E5" w:themeFill="background1" w:themeFillTint="33"/>
            <w:vAlign w:val="center"/>
            <w:hideMark/>
          </w:tcPr>
          <w:p w14:paraId="6C21A340"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Bachelor degree or higher education Stream 4</w:t>
            </w:r>
          </w:p>
        </w:tc>
        <w:tc>
          <w:tcPr>
            <w:tcW w:w="1580" w:type="dxa"/>
            <w:tcBorders>
              <w:top w:val="nil"/>
              <w:bottom w:val="single" w:sz="4" w:space="0" w:color="auto"/>
            </w:tcBorders>
            <w:shd w:val="clear" w:color="auto" w:fill="E5E5E5" w:themeFill="background1" w:themeFillTint="33"/>
            <w:noWrap/>
            <w:vAlign w:val="center"/>
            <w:hideMark/>
          </w:tcPr>
          <w:p w14:paraId="6180D0A0" w14:textId="77777777" w:rsidR="00961617" w:rsidRPr="00545C7F" w:rsidRDefault="00961617" w:rsidP="0020771F">
            <w:pPr>
              <w:spacing w:after="0" w:line="240" w:lineRule="auto"/>
              <w:ind w:right="230"/>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40.5</w:t>
            </w:r>
          </w:p>
        </w:tc>
        <w:tc>
          <w:tcPr>
            <w:tcW w:w="1580" w:type="dxa"/>
            <w:tcBorders>
              <w:top w:val="nil"/>
              <w:bottom w:val="single" w:sz="4" w:space="0" w:color="auto"/>
            </w:tcBorders>
            <w:shd w:val="clear" w:color="auto" w:fill="E5E5E5" w:themeFill="background1" w:themeFillTint="33"/>
            <w:noWrap/>
            <w:vAlign w:val="center"/>
            <w:hideMark/>
          </w:tcPr>
          <w:p w14:paraId="25D06610"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w:t>
            </w:r>
            <w:r w:rsidRPr="00545C7F">
              <w:rPr>
                <w:rFonts w:cstheme="minorHAnsi"/>
                <w:color w:val="000000"/>
                <w:sz w:val="20"/>
                <w:szCs w:val="20"/>
                <w:vertAlign w:val="superscript"/>
              </w:rPr>
              <w:t xml:space="preserve"> *</w:t>
            </w:r>
          </w:p>
        </w:tc>
        <w:tc>
          <w:tcPr>
            <w:tcW w:w="1580" w:type="dxa"/>
            <w:tcBorders>
              <w:top w:val="nil"/>
              <w:bottom w:val="single" w:sz="4" w:space="0" w:color="auto"/>
            </w:tcBorders>
            <w:shd w:val="clear" w:color="auto" w:fill="E5E5E5" w:themeFill="background1" w:themeFillTint="33"/>
            <w:noWrap/>
            <w:vAlign w:val="center"/>
            <w:hideMark/>
          </w:tcPr>
          <w:p w14:paraId="46E848C8"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13.2</w:t>
            </w:r>
          </w:p>
        </w:tc>
        <w:tc>
          <w:tcPr>
            <w:tcW w:w="1580" w:type="dxa"/>
            <w:tcBorders>
              <w:top w:val="nil"/>
              <w:bottom w:val="single" w:sz="4" w:space="0" w:color="auto"/>
            </w:tcBorders>
            <w:shd w:val="clear" w:color="auto" w:fill="E5E5E5" w:themeFill="background1" w:themeFillTint="33"/>
            <w:noWrap/>
            <w:vAlign w:val="center"/>
            <w:hideMark/>
          </w:tcPr>
          <w:p w14:paraId="583CF9BF" w14:textId="77777777" w:rsidR="00961617" w:rsidRPr="00545C7F" w:rsidRDefault="00961617" w:rsidP="0020771F">
            <w:pPr>
              <w:spacing w:after="0" w:line="240" w:lineRule="auto"/>
              <w:ind w:right="315"/>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c>
          <w:tcPr>
            <w:tcW w:w="1580" w:type="dxa"/>
            <w:tcBorders>
              <w:top w:val="nil"/>
              <w:bottom w:val="single" w:sz="4" w:space="0" w:color="auto"/>
            </w:tcBorders>
            <w:shd w:val="clear" w:color="auto" w:fill="E5E5E5" w:themeFill="background1" w:themeFillTint="33"/>
            <w:noWrap/>
            <w:vAlign w:val="center"/>
            <w:hideMark/>
          </w:tcPr>
          <w:p w14:paraId="3645ED1A" w14:textId="77777777" w:rsidR="00961617" w:rsidRPr="00545C7F" w:rsidRDefault="00961617" w:rsidP="0020771F">
            <w:pPr>
              <w:spacing w:after="0" w:line="240" w:lineRule="auto"/>
              <w:ind w:right="27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46.4</w:t>
            </w:r>
          </w:p>
        </w:tc>
        <w:tc>
          <w:tcPr>
            <w:tcW w:w="1580" w:type="dxa"/>
            <w:tcBorders>
              <w:top w:val="nil"/>
              <w:bottom w:val="single" w:sz="4" w:space="0" w:color="auto"/>
            </w:tcBorders>
            <w:shd w:val="clear" w:color="auto" w:fill="E5E5E5" w:themeFill="background1" w:themeFillTint="33"/>
            <w:noWrap/>
            <w:vAlign w:val="center"/>
            <w:hideMark/>
          </w:tcPr>
          <w:p w14:paraId="33A5DAAF" w14:textId="77777777" w:rsidR="00961617" w:rsidRPr="00545C7F" w:rsidRDefault="00961617" w:rsidP="0020771F">
            <w:pPr>
              <w:spacing w:after="0" w:line="240" w:lineRule="auto"/>
              <w:ind w:right="291"/>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w:t>
            </w:r>
          </w:p>
        </w:tc>
      </w:tr>
    </w:tbl>
    <w:p w14:paraId="67FD7FB0" w14:textId="77777777" w:rsidR="00E5413A" w:rsidRPr="002F5864" w:rsidRDefault="00E5413A" w:rsidP="00E5413A">
      <w:pPr>
        <w:pStyle w:val="FootnoteText"/>
        <w:tabs>
          <w:tab w:val="clear" w:pos="454"/>
          <w:tab w:val="left" w:pos="709"/>
        </w:tabs>
        <w:ind w:left="284" w:hanging="284"/>
        <w:rPr>
          <w:rFonts w:cstheme="minorHAnsi"/>
          <w:szCs w:val="18"/>
        </w:rPr>
      </w:pPr>
      <w:r w:rsidRPr="002F5864">
        <w:rPr>
          <w:rFonts w:cstheme="minorHAnsi"/>
          <w:color w:val="000000"/>
          <w:szCs w:val="18"/>
          <w:vertAlign w:val="superscript"/>
        </w:rPr>
        <w:t xml:space="preserve">* </w:t>
      </w:r>
      <w:r w:rsidRPr="002F5864">
        <w:rPr>
          <w:rFonts w:cstheme="minorHAnsi"/>
          <w:color w:val="000000"/>
          <w:szCs w:val="18"/>
          <w:vertAlign w:val="superscript"/>
        </w:rPr>
        <w:tab/>
      </w:r>
      <w:r w:rsidRPr="002F5864">
        <w:rPr>
          <w:rFonts w:cstheme="minorHAnsi"/>
          <w:szCs w:val="18"/>
        </w:rPr>
        <w:t>indicates there</w:t>
      </w:r>
      <w:r w:rsidRPr="002F5864">
        <w:rPr>
          <w:rFonts w:cstheme="minorHAnsi"/>
          <w:color w:val="000000"/>
          <w:szCs w:val="18"/>
          <w:vertAlign w:val="superscript"/>
        </w:rPr>
        <w:t xml:space="preserve"> </w:t>
      </w:r>
      <w:r w:rsidRPr="002F5864">
        <w:rPr>
          <w:rFonts w:cstheme="minorHAnsi"/>
          <w:szCs w:val="18"/>
        </w:rPr>
        <w:t>was no significant different difference between JSA 2009 and JSA 2012 for this subgroup at p ≤ .01 .All other AME’s in the table are significantly different at p≤.01 for the specified subgroup within the model.</w:t>
      </w:r>
    </w:p>
    <w:p w14:paraId="03188398" w14:textId="77777777" w:rsidR="00961617" w:rsidRPr="002F5864" w:rsidRDefault="00961617" w:rsidP="00E13B5E">
      <w:pPr>
        <w:pStyle w:val="Notes"/>
      </w:pPr>
      <w:r w:rsidRPr="00E13B5E">
        <w:rPr>
          <w:b/>
        </w:rPr>
        <w:t>Notes</w:t>
      </w:r>
      <w:r w:rsidRPr="002F5864">
        <w:t>:</w:t>
      </w:r>
      <w:r w:rsidRPr="002F5864">
        <w:tab/>
      </w:r>
    </w:p>
    <w:p w14:paraId="5E7D0CF9" w14:textId="77777777" w:rsidR="00961617" w:rsidRPr="00E5413A" w:rsidRDefault="00961617" w:rsidP="00E5413A">
      <w:pPr>
        <w:pStyle w:val="Notesnumbered"/>
        <w:numPr>
          <w:ilvl w:val="0"/>
          <w:numId w:val="258"/>
        </w:numPr>
      </w:pPr>
      <w:r w:rsidRPr="00E5413A">
        <w:t>Stream 1 (Limited) and job seekers 65 and over are excluded.</w:t>
      </w:r>
    </w:p>
    <w:p w14:paraId="7E67937B" w14:textId="77777777" w:rsidR="00961617" w:rsidRPr="00E5413A" w:rsidRDefault="00961617" w:rsidP="00E5413A">
      <w:pPr>
        <w:pStyle w:val="Notesnumbered"/>
        <w:numPr>
          <w:ilvl w:val="0"/>
          <w:numId w:val="258"/>
        </w:numPr>
      </w:pPr>
      <w:r w:rsidRPr="00E5413A">
        <w:t>Observed results are unregressed. AME figures are from regression analysis.</w:t>
      </w:r>
    </w:p>
    <w:p w14:paraId="6691E385" w14:textId="77777777" w:rsidR="00961617" w:rsidRPr="00E5413A" w:rsidRDefault="00961617" w:rsidP="00E5413A">
      <w:pPr>
        <w:pStyle w:val="Notesnumbered"/>
        <w:numPr>
          <w:ilvl w:val="0"/>
          <w:numId w:val="258"/>
        </w:numPr>
      </w:pPr>
      <w:r w:rsidRPr="00E5413A">
        <w:t>Discrepancies may occur between sums of the component items and totals due to rounding.</w:t>
      </w:r>
    </w:p>
    <w:p w14:paraId="05D25FAE" w14:textId="77777777" w:rsidR="00961617" w:rsidRPr="002F5864" w:rsidRDefault="00961617" w:rsidP="00E5413A">
      <w:pPr>
        <w:pStyle w:val="Notesnumbered"/>
        <w:numPr>
          <w:ilvl w:val="0"/>
          <w:numId w:val="258"/>
        </w:numPr>
      </w:pPr>
      <w:r w:rsidRPr="00E5413A">
        <w:t>The observed results in the above table are the combined results for the two study populations (JSA 2009 and JSA 2012). These observed results are provided to give the reader an appreciation of the</w:t>
      </w:r>
      <w:r w:rsidRPr="002F5864">
        <w:t xml:space="preserve"> relative proportions that the AME figures relate to. For instance:</w:t>
      </w:r>
    </w:p>
    <w:p w14:paraId="72AD3B13" w14:textId="77777777" w:rsidR="00961617" w:rsidRPr="002F5864" w:rsidRDefault="00961617" w:rsidP="00E5413A">
      <w:pPr>
        <w:pStyle w:val="FootnoteText"/>
        <w:numPr>
          <w:ilvl w:val="1"/>
          <w:numId w:val="49"/>
        </w:numPr>
        <w:tabs>
          <w:tab w:val="clear" w:pos="454"/>
          <w:tab w:val="left" w:pos="709"/>
        </w:tabs>
        <w:ind w:left="1134"/>
        <w:rPr>
          <w:rFonts w:cstheme="minorHAnsi"/>
          <w:szCs w:val="18"/>
        </w:rPr>
      </w:pPr>
      <w:r w:rsidRPr="002F5864">
        <w:rPr>
          <w:rFonts w:cstheme="minorHAnsi"/>
          <w:szCs w:val="18"/>
        </w:rPr>
        <w:t xml:space="preserve">the five percentage point difference (AME) between models estimated as the proportion of single parents that are off income support at 12 months (derived using regression methods to control for differences between the two study populations) relates to around a quarter of single parents (26.4 per cent observed result across both populations) </w:t>
      </w:r>
    </w:p>
    <w:p w14:paraId="7AC02FD3" w14:textId="77777777" w:rsidR="00961617" w:rsidRPr="002F5864" w:rsidRDefault="00961617" w:rsidP="00E5413A">
      <w:pPr>
        <w:pStyle w:val="FootnoteText"/>
        <w:numPr>
          <w:ilvl w:val="1"/>
          <w:numId w:val="49"/>
        </w:numPr>
        <w:tabs>
          <w:tab w:val="clear" w:pos="454"/>
          <w:tab w:val="left" w:pos="709"/>
        </w:tabs>
        <w:ind w:left="1134"/>
        <w:rPr>
          <w:rFonts w:cstheme="minorHAnsi"/>
          <w:szCs w:val="18"/>
        </w:rPr>
      </w:pPr>
      <w:r w:rsidRPr="002F5864">
        <w:rPr>
          <w:rFonts w:cstheme="minorHAnsi"/>
          <w:szCs w:val="18"/>
        </w:rPr>
        <w:t xml:space="preserve">the estimated 5.4 percentage point difference (AME) between the two models for the proportion of </w:t>
      </w:r>
      <w:r w:rsidRPr="002F5864">
        <w:rPr>
          <w:rFonts w:eastAsia="Times New Roman" w:cstheme="minorHAnsi"/>
          <w:color w:val="000000"/>
          <w:szCs w:val="18"/>
          <w:lang w:val="en-GB" w:eastAsia="en-AU"/>
        </w:rPr>
        <w:t xml:space="preserve">Indigenous </w:t>
      </w:r>
      <w:r w:rsidRPr="002F5864">
        <w:rPr>
          <w:rFonts w:cstheme="minorHAnsi"/>
          <w:szCs w:val="18"/>
        </w:rPr>
        <w:t xml:space="preserve">job seekers that are off income support at 12 months relates to around 40 per cent of </w:t>
      </w:r>
      <w:r w:rsidRPr="002F5864">
        <w:rPr>
          <w:rFonts w:eastAsia="Times New Roman" w:cstheme="minorHAnsi"/>
          <w:color w:val="000000"/>
          <w:szCs w:val="18"/>
          <w:lang w:val="en-GB" w:eastAsia="en-AU"/>
        </w:rPr>
        <w:t xml:space="preserve">Indigenous </w:t>
      </w:r>
      <w:r w:rsidRPr="002F5864">
        <w:rPr>
          <w:rFonts w:cstheme="minorHAnsi"/>
          <w:szCs w:val="18"/>
        </w:rPr>
        <w:t>job seekers (43.5 per cent observed across both populations).</w:t>
      </w:r>
    </w:p>
    <w:p w14:paraId="39F7AF75" w14:textId="77777777" w:rsidR="00961617" w:rsidRPr="002F5864" w:rsidRDefault="00961617" w:rsidP="00E13B5E">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 and Research and Evaluation dataset (RED).</w:t>
      </w:r>
    </w:p>
    <w:p w14:paraId="6E12F471" w14:textId="77777777" w:rsidR="00961617" w:rsidRPr="002F5864" w:rsidRDefault="00864C5E" w:rsidP="00961617">
      <w:pPr>
        <w:spacing w:before="120"/>
        <w:rPr>
          <w:rFonts w:cstheme="minorHAnsi"/>
          <w:sz w:val="18"/>
          <w:szCs w:val="18"/>
        </w:rPr>
      </w:pPr>
      <w:hyperlink w:anchor="Place_A26" w:history="1">
        <w:r w:rsidR="00961617" w:rsidRPr="00B535F8">
          <w:rPr>
            <w:rStyle w:val="Hyperlink"/>
            <w:rFonts w:cstheme="minorHAnsi"/>
            <w:sz w:val="18"/>
            <w:szCs w:val="18"/>
          </w:rPr>
          <w:t>Return to Figure 3.</w:t>
        </w:r>
        <w:r w:rsidR="00E80C53" w:rsidRPr="00B535F8">
          <w:rPr>
            <w:rStyle w:val="Hyperlink"/>
            <w:rFonts w:cstheme="minorHAnsi"/>
            <w:sz w:val="18"/>
            <w:szCs w:val="18"/>
          </w:rPr>
          <w:t>5</w:t>
        </w:r>
      </w:hyperlink>
      <w:r w:rsidR="00961617" w:rsidRPr="002F5864">
        <w:rPr>
          <w:rFonts w:cstheme="minorHAnsi"/>
          <w:sz w:val="18"/>
          <w:szCs w:val="18"/>
        </w:rPr>
        <w:t xml:space="preserve"> where this data is referenced.</w:t>
      </w:r>
    </w:p>
    <w:p w14:paraId="68388431" w14:textId="77777777" w:rsidR="00961617" w:rsidRPr="002F5864" w:rsidRDefault="00961617" w:rsidP="00961617">
      <w:pPr>
        <w:rPr>
          <w:rFonts w:cstheme="minorHAnsi"/>
          <w:b/>
          <w:i/>
          <w:sz w:val="20"/>
        </w:rPr>
      </w:pPr>
      <w:r w:rsidRPr="002F5864">
        <w:rPr>
          <w:rFonts w:cstheme="minorHAnsi"/>
        </w:rPr>
        <w:br w:type="page"/>
      </w:r>
    </w:p>
    <w:p w14:paraId="5B34306E" w14:textId="77777777" w:rsidR="00961617" w:rsidRPr="002F5864" w:rsidRDefault="00961617" w:rsidP="00961617">
      <w:pPr>
        <w:pStyle w:val="TableheadingforappendixA1"/>
        <w:rPr>
          <w:rFonts w:cstheme="minorHAnsi"/>
        </w:rPr>
      </w:pPr>
      <w:bookmarkStart w:id="629" w:name="_Toc513129900"/>
      <w:r w:rsidRPr="002F5864">
        <w:rPr>
          <w:rFonts w:cstheme="minorHAnsi"/>
        </w:rPr>
        <w:t>Table A2.7: Estimated length of time job seekers were on income support by year of registration in JSA (per cent)</w:t>
      </w:r>
      <w:bookmarkEnd w:id="629"/>
    </w:p>
    <w:tbl>
      <w:tblPr>
        <w:tblW w:w="14521" w:type="dxa"/>
        <w:tblInd w:w="93" w:type="dxa"/>
        <w:tblLook w:val="04A0" w:firstRow="1" w:lastRow="0" w:firstColumn="1" w:lastColumn="0" w:noHBand="0" w:noVBand="1"/>
      </w:tblPr>
      <w:tblGrid>
        <w:gridCol w:w="1291"/>
        <w:gridCol w:w="2316"/>
        <w:gridCol w:w="2126"/>
        <w:gridCol w:w="2268"/>
        <w:gridCol w:w="2268"/>
        <w:gridCol w:w="2268"/>
        <w:gridCol w:w="1984"/>
      </w:tblGrid>
      <w:tr w:rsidR="00961617" w:rsidRPr="00545C7F" w14:paraId="384A162D" w14:textId="77777777" w:rsidTr="0020771F">
        <w:trPr>
          <w:trHeight w:hRule="exact" w:val="571"/>
          <w:tblHeader/>
        </w:trPr>
        <w:tc>
          <w:tcPr>
            <w:tcW w:w="1291" w:type="dxa"/>
            <w:shd w:val="clear" w:color="auto" w:fill="1E3D6B"/>
            <w:noWrap/>
            <w:vAlign w:val="center"/>
            <w:hideMark/>
          </w:tcPr>
          <w:p w14:paraId="7C32C3A0"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bookmarkStart w:id="630" w:name="Title_A27"/>
            <w:bookmarkEnd w:id="630"/>
            <w:r w:rsidRPr="00545C7F">
              <w:rPr>
                <w:rFonts w:eastAsia="Times New Roman" w:cstheme="minorHAnsi"/>
                <w:b/>
                <w:bCs/>
                <w:color w:val="FFFFFF" w:themeColor="background2"/>
                <w:sz w:val="20"/>
                <w:szCs w:val="20"/>
                <w:lang w:eastAsia="en-AU"/>
              </w:rPr>
              <w:t>Number of fortnights</w:t>
            </w:r>
          </w:p>
        </w:tc>
        <w:tc>
          <w:tcPr>
            <w:tcW w:w="2316" w:type="dxa"/>
            <w:shd w:val="clear" w:color="auto" w:fill="1E3D6B"/>
            <w:noWrap/>
            <w:vAlign w:val="center"/>
            <w:hideMark/>
          </w:tcPr>
          <w:p w14:paraId="4287BEE5" w14:textId="77777777" w:rsidR="00961617" w:rsidRPr="00545C7F" w:rsidRDefault="00961617" w:rsidP="0020771F">
            <w:pPr>
              <w:spacing w:after="0" w:line="240" w:lineRule="auto"/>
              <w:ind w:left="102"/>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 xml:space="preserve">JSA 2009 in 2009 </w:t>
            </w:r>
          </w:p>
        </w:tc>
        <w:tc>
          <w:tcPr>
            <w:tcW w:w="2126" w:type="dxa"/>
            <w:shd w:val="clear" w:color="auto" w:fill="1E3D6B"/>
            <w:noWrap/>
            <w:vAlign w:val="center"/>
            <w:hideMark/>
          </w:tcPr>
          <w:p w14:paraId="6CB33513"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 xml:space="preserve">JSA 2009 in 2010 </w:t>
            </w:r>
          </w:p>
        </w:tc>
        <w:tc>
          <w:tcPr>
            <w:tcW w:w="2268" w:type="dxa"/>
            <w:shd w:val="clear" w:color="auto" w:fill="1E3D6B"/>
            <w:noWrap/>
            <w:vAlign w:val="center"/>
            <w:hideMark/>
          </w:tcPr>
          <w:p w14:paraId="32080A98"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 xml:space="preserve">JSA 2009 in 2011 </w:t>
            </w:r>
          </w:p>
        </w:tc>
        <w:tc>
          <w:tcPr>
            <w:tcW w:w="2268" w:type="dxa"/>
            <w:shd w:val="clear" w:color="auto" w:fill="1E3D6B"/>
            <w:noWrap/>
            <w:vAlign w:val="center"/>
            <w:hideMark/>
          </w:tcPr>
          <w:p w14:paraId="798B4A3F"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JSA 2012 in 2012</w:t>
            </w:r>
          </w:p>
        </w:tc>
        <w:tc>
          <w:tcPr>
            <w:tcW w:w="2268" w:type="dxa"/>
            <w:shd w:val="clear" w:color="auto" w:fill="1E3D6B"/>
            <w:noWrap/>
            <w:vAlign w:val="center"/>
            <w:hideMark/>
          </w:tcPr>
          <w:p w14:paraId="6FAC5BB4"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 xml:space="preserve">JSA 2012 in 2013 </w:t>
            </w:r>
          </w:p>
        </w:tc>
        <w:tc>
          <w:tcPr>
            <w:tcW w:w="1984" w:type="dxa"/>
            <w:shd w:val="clear" w:color="auto" w:fill="1E3D6B"/>
            <w:noWrap/>
            <w:vAlign w:val="center"/>
            <w:hideMark/>
          </w:tcPr>
          <w:p w14:paraId="4246FC4E" w14:textId="77777777" w:rsidR="00961617" w:rsidRPr="00545C7F" w:rsidRDefault="00961617" w:rsidP="0020771F">
            <w:pPr>
              <w:spacing w:after="0" w:line="240" w:lineRule="auto"/>
              <w:rPr>
                <w:rFonts w:eastAsia="Times New Roman" w:cstheme="minorHAnsi"/>
                <w:b/>
                <w:bCs/>
                <w:color w:val="FFFFFF" w:themeColor="background2"/>
                <w:sz w:val="20"/>
                <w:szCs w:val="20"/>
                <w:lang w:eastAsia="en-AU"/>
              </w:rPr>
            </w:pPr>
            <w:r w:rsidRPr="00545C7F">
              <w:rPr>
                <w:rFonts w:eastAsia="Times New Roman" w:cstheme="minorHAnsi"/>
                <w:b/>
                <w:bCs/>
                <w:color w:val="FFFFFF" w:themeColor="background2"/>
                <w:sz w:val="20"/>
                <w:szCs w:val="20"/>
                <w:lang w:eastAsia="en-AU"/>
              </w:rPr>
              <w:t xml:space="preserve">JSA 2012 in 2014 </w:t>
            </w:r>
          </w:p>
        </w:tc>
      </w:tr>
      <w:tr w:rsidR="00961617" w:rsidRPr="00545C7F" w14:paraId="5C8A8281" w14:textId="77777777" w:rsidTr="0020771F">
        <w:trPr>
          <w:trHeight w:hRule="exact" w:val="284"/>
        </w:trPr>
        <w:tc>
          <w:tcPr>
            <w:tcW w:w="1291" w:type="dxa"/>
            <w:shd w:val="clear" w:color="auto" w:fill="auto"/>
            <w:noWrap/>
            <w:vAlign w:val="bottom"/>
            <w:hideMark/>
          </w:tcPr>
          <w:p w14:paraId="0D418E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w:t>
            </w:r>
          </w:p>
        </w:tc>
        <w:tc>
          <w:tcPr>
            <w:tcW w:w="2316" w:type="dxa"/>
            <w:shd w:val="clear" w:color="auto" w:fill="auto"/>
            <w:noWrap/>
            <w:vAlign w:val="bottom"/>
            <w:hideMark/>
          </w:tcPr>
          <w:p w14:paraId="26F22F3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6.09</w:t>
            </w:r>
          </w:p>
        </w:tc>
        <w:tc>
          <w:tcPr>
            <w:tcW w:w="2126" w:type="dxa"/>
            <w:shd w:val="clear" w:color="auto" w:fill="auto"/>
            <w:noWrap/>
            <w:vAlign w:val="bottom"/>
            <w:hideMark/>
          </w:tcPr>
          <w:p w14:paraId="3409D27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6.37</w:t>
            </w:r>
          </w:p>
        </w:tc>
        <w:tc>
          <w:tcPr>
            <w:tcW w:w="2268" w:type="dxa"/>
            <w:shd w:val="clear" w:color="auto" w:fill="auto"/>
            <w:noWrap/>
            <w:vAlign w:val="bottom"/>
            <w:hideMark/>
          </w:tcPr>
          <w:p w14:paraId="77DC846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6.18</w:t>
            </w:r>
          </w:p>
        </w:tc>
        <w:tc>
          <w:tcPr>
            <w:tcW w:w="2268" w:type="dxa"/>
            <w:shd w:val="clear" w:color="auto" w:fill="auto"/>
            <w:noWrap/>
            <w:vAlign w:val="bottom"/>
            <w:hideMark/>
          </w:tcPr>
          <w:p w14:paraId="61D188A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5.29</w:t>
            </w:r>
          </w:p>
        </w:tc>
        <w:tc>
          <w:tcPr>
            <w:tcW w:w="2268" w:type="dxa"/>
            <w:shd w:val="clear" w:color="auto" w:fill="auto"/>
            <w:noWrap/>
            <w:vAlign w:val="bottom"/>
            <w:hideMark/>
          </w:tcPr>
          <w:p w14:paraId="3E74C2C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4.79</w:t>
            </w:r>
          </w:p>
        </w:tc>
        <w:tc>
          <w:tcPr>
            <w:tcW w:w="1984" w:type="dxa"/>
            <w:shd w:val="clear" w:color="auto" w:fill="auto"/>
            <w:noWrap/>
            <w:vAlign w:val="bottom"/>
            <w:hideMark/>
          </w:tcPr>
          <w:p w14:paraId="2061A1D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4.68</w:t>
            </w:r>
          </w:p>
        </w:tc>
      </w:tr>
      <w:tr w:rsidR="00961617" w:rsidRPr="00545C7F" w14:paraId="3DB2B80D" w14:textId="77777777" w:rsidTr="0020771F">
        <w:trPr>
          <w:trHeight w:hRule="exact" w:val="284"/>
        </w:trPr>
        <w:tc>
          <w:tcPr>
            <w:tcW w:w="1291" w:type="dxa"/>
            <w:shd w:val="clear" w:color="auto" w:fill="E5E5E5" w:themeFill="background1" w:themeFillTint="33"/>
            <w:noWrap/>
            <w:vAlign w:val="bottom"/>
            <w:hideMark/>
          </w:tcPr>
          <w:p w14:paraId="48BD81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2316" w:type="dxa"/>
            <w:shd w:val="clear" w:color="auto" w:fill="E5E5E5" w:themeFill="background1" w:themeFillTint="33"/>
            <w:noWrap/>
            <w:vAlign w:val="bottom"/>
            <w:hideMark/>
          </w:tcPr>
          <w:p w14:paraId="290CC90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6.35</w:t>
            </w:r>
          </w:p>
        </w:tc>
        <w:tc>
          <w:tcPr>
            <w:tcW w:w="2126" w:type="dxa"/>
            <w:shd w:val="clear" w:color="auto" w:fill="E5E5E5" w:themeFill="background1" w:themeFillTint="33"/>
            <w:noWrap/>
            <w:vAlign w:val="bottom"/>
            <w:hideMark/>
          </w:tcPr>
          <w:p w14:paraId="6A8914A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6.61</w:t>
            </w:r>
          </w:p>
        </w:tc>
        <w:tc>
          <w:tcPr>
            <w:tcW w:w="2268" w:type="dxa"/>
            <w:shd w:val="clear" w:color="auto" w:fill="E5E5E5" w:themeFill="background1" w:themeFillTint="33"/>
            <w:noWrap/>
            <w:vAlign w:val="bottom"/>
            <w:hideMark/>
          </w:tcPr>
          <w:p w14:paraId="27EAB90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6.43</w:t>
            </w:r>
          </w:p>
        </w:tc>
        <w:tc>
          <w:tcPr>
            <w:tcW w:w="2268" w:type="dxa"/>
            <w:shd w:val="clear" w:color="auto" w:fill="E5E5E5" w:themeFill="background1" w:themeFillTint="33"/>
            <w:noWrap/>
            <w:vAlign w:val="bottom"/>
            <w:hideMark/>
          </w:tcPr>
          <w:p w14:paraId="72C8A09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5.56</w:t>
            </w:r>
          </w:p>
        </w:tc>
        <w:tc>
          <w:tcPr>
            <w:tcW w:w="2268" w:type="dxa"/>
            <w:shd w:val="clear" w:color="auto" w:fill="E5E5E5" w:themeFill="background1" w:themeFillTint="33"/>
            <w:noWrap/>
            <w:vAlign w:val="bottom"/>
            <w:hideMark/>
          </w:tcPr>
          <w:p w14:paraId="15C5043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5.07</w:t>
            </w:r>
          </w:p>
        </w:tc>
        <w:tc>
          <w:tcPr>
            <w:tcW w:w="1984" w:type="dxa"/>
            <w:shd w:val="clear" w:color="auto" w:fill="E5E5E5" w:themeFill="background1" w:themeFillTint="33"/>
            <w:noWrap/>
            <w:vAlign w:val="bottom"/>
            <w:hideMark/>
          </w:tcPr>
          <w:p w14:paraId="4240741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4.95</w:t>
            </w:r>
          </w:p>
        </w:tc>
      </w:tr>
      <w:tr w:rsidR="00961617" w:rsidRPr="00545C7F" w14:paraId="0B96C5E2" w14:textId="77777777" w:rsidTr="0020771F">
        <w:trPr>
          <w:trHeight w:hRule="exact" w:val="284"/>
        </w:trPr>
        <w:tc>
          <w:tcPr>
            <w:tcW w:w="1291" w:type="dxa"/>
            <w:shd w:val="clear" w:color="auto" w:fill="auto"/>
            <w:noWrap/>
            <w:vAlign w:val="bottom"/>
            <w:hideMark/>
          </w:tcPr>
          <w:p w14:paraId="0C4BA3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2316" w:type="dxa"/>
            <w:shd w:val="clear" w:color="auto" w:fill="auto"/>
            <w:noWrap/>
            <w:vAlign w:val="bottom"/>
            <w:hideMark/>
          </w:tcPr>
          <w:p w14:paraId="4CD83B4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6.30</w:t>
            </w:r>
          </w:p>
        </w:tc>
        <w:tc>
          <w:tcPr>
            <w:tcW w:w="2126" w:type="dxa"/>
            <w:shd w:val="clear" w:color="auto" w:fill="auto"/>
            <w:noWrap/>
            <w:vAlign w:val="bottom"/>
            <w:hideMark/>
          </w:tcPr>
          <w:p w14:paraId="1E66EF0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6.53</w:t>
            </w:r>
          </w:p>
        </w:tc>
        <w:tc>
          <w:tcPr>
            <w:tcW w:w="2268" w:type="dxa"/>
            <w:shd w:val="clear" w:color="auto" w:fill="auto"/>
            <w:noWrap/>
            <w:vAlign w:val="bottom"/>
            <w:hideMark/>
          </w:tcPr>
          <w:p w14:paraId="6DECD06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6.37</w:t>
            </w:r>
          </w:p>
        </w:tc>
        <w:tc>
          <w:tcPr>
            <w:tcW w:w="2268" w:type="dxa"/>
            <w:shd w:val="clear" w:color="auto" w:fill="auto"/>
            <w:noWrap/>
            <w:vAlign w:val="bottom"/>
            <w:hideMark/>
          </w:tcPr>
          <w:p w14:paraId="31032E9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5.57</w:t>
            </w:r>
          </w:p>
        </w:tc>
        <w:tc>
          <w:tcPr>
            <w:tcW w:w="2268" w:type="dxa"/>
            <w:shd w:val="clear" w:color="auto" w:fill="auto"/>
            <w:noWrap/>
            <w:vAlign w:val="bottom"/>
            <w:hideMark/>
          </w:tcPr>
          <w:p w14:paraId="621E7153"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5.10</w:t>
            </w:r>
          </w:p>
        </w:tc>
        <w:tc>
          <w:tcPr>
            <w:tcW w:w="1984" w:type="dxa"/>
            <w:shd w:val="clear" w:color="auto" w:fill="auto"/>
            <w:noWrap/>
            <w:vAlign w:val="bottom"/>
            <w:hideMark/>
          </w:tcPr>
          <w:p w14:paraId="44EE78A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4.99</w:t>
            </w:r>
          </w:p>
        </w:tc>
      </w:tr>
      <w:tr w:rsidR="00961617" w:rsidRPr="00545C7F" w14:paraId="48114029" w14:textId="77777777" w:rsidTr="0020771F">
        <w:trPr>
          <w:trHeight w:hRule="exact" w:val="284"/>
        </w:trPr>
        <w:tc>
          <w:tcPr>
            <w:tcW w:w="1291" w:type="dxa"/>
            <w:shd w:val="clear" w:color="auto" w:fill="E5E5E5" w:themeFill="background1" w:themeFillTint="33"/>
            <w:noWrap/>
            <w:vAlign w:val="bottom"/>
            <w:hideMark/>
          </w:tcPr>
          <w:p w14:paraId="323219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2316" w:type="dxa"/>
            <w:shd w:val="clear" w:color="auto" w:fill="E5E5E5" w:themeFill="background1" w:themeFillTint="33"/>
            <w:noWrap/>
            <w:vAlign w:val="bottom"/>
            <w:hideMark/>
          </w:tcPr>
          <w:p w14:paraId="46FE099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6.12</w:t>
            </w:r>
          </w:p>
        </w:tc>
        <w:tc>
          <w:tcPr>
            <w:tcW w:w="2126" w:type="dxa"/>
            <w:shd w:val="clear" w:color="auto" w:fill="E5E5E5" w:themeFill="background1" w:themeFillTint="33"/>
            <w:noWrap/>
            <w:vAlign w:val="bottom"/>
            <w:hideMark/>
          </w:tcPr>
          <w:p w14:paraId="1AC342B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6.33</w:t>
            </w:r>
          </w:p>
        </w:tc>
        <w:tc>
          <w:tcPr>
            <w:tcW w:w="2268" w:type="dxa"/>
            <w:shd w:val="clear" w:color="auto" w:fill="E5E5E5" w:themeFill="background1" w:themeFillTint="33"/>
            <w:noWrap/>
            <w:vAlign w:val="bottom"/>
            <w:hideMark/>
          </w:tcPr>
          <w:p w14:paraId="4FE45F2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6.19</w:t>
            </w:r>
          </w:p>
        </w:tc>
        <w:tc>
          <w:tcPr>
            <w:tcW w:w="2268" w:type="dxa"/>
            <w:shd w:val="clear" w:color="auto" w:fill="E5E5E5" w:themeFill="background1" w:themeFillTint="33"/>
            <w:noWrap/>
            <w:vAlign w:val="bottom"/>
            <w:hideMark/>
          </w:tcPr>
          <w:p w14:paraId="0722EC6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5.46</w:t>
            </w:r>
          </w:p>
        </w:tc>
        <w:tc>
          <w:tcPr>
            <w:tcW w:w="2268" w:type="dxa"/>
            <w:shd w:val="clear" w:color="auto" w:fill="E5E5E5" w:themeFill="background1" w:themeFillTint="33"/>
            <w:noWrap/>
            <w:vAlign w:val="bottom"/>
            <w:hideMark/>
          </w:tcPr>
          <w:p w14:paraId="61D3FCB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5.04</w:t>
            </w:r>
          </w:p>
        </w:tc>
        <w:tc>
          <w:tcPr>
            <w:tcW w:w="1984" w:type="dxa"/>
            <w:shd w:val="clear" w:color="auto" w:fill="E5E5E5" w:themeFill="background1" w:themeFillTint="33"/>
            <w:noWrap/>
            <w:vAlign w:val="bottom"/>
            <w:hideMark/>
          </w:tcPr>
          <w:p w14:paraId="1C92D56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4.94</w:t>
            </w:r>
          </w:p>
        </w:tc>
      </w:tr>
      <w:tr w:rsidR="00961617" w:rsidRPr="00545C7F" w14:paraId="195BEE82" w14:textId="77777777" w:rsidTr="0020771F">
        <w:trPr>
          <w:trHeight w:hRule="exact" w:val="284"/>
        </w:trPr>
        <w:tc>
          <w:tcPr>
            <w:tcW w:w="1291" w:type="dxa"/>
            <w:shd w:val="clear" w:color="auto" w:fill="auto"/>
            <w:noWrap/>
            <w:vAlign w:val="bottom"/>
            <w:hideMark/>
          </w:tcPr>
          <w:p w14:paraId="58D72E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2316" w:type="dxa"/>
            <w:shd w:val="clear" w:color="auto" w:fill="auto"/>
            <w:noWrap/>
            <w:vAlign w:val="bottom"/>
            <w:hideMark/>
          </w:tcPr>
          <w:p w14:paraId="522A3F8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5.99</w:t>
            </w:r>
          </w:p>
        </w:tc>
        <w:tc>
          <w:tcPr>
            <w:tcW w:w="2126" w:type="dxa"/>
            <w:shd w:val="clear" w:color="auto" w:fill="auto"/>
            <w:noWrap/>
            <w:vAlign w:val="bottom"/>
            <w:hideMark/>
          </w:tcPr>
          <w:p w14:paraId="39D37FC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6.17</w:t>
            </w:r>
          </w:p>
        </w:tc>
        <w:tc>
          <w:tcPr>
            <w:tcW w:w="2268" w:type="dxa"/>
            <w:shd w:val="clear" w:color="auto" w:fill="auto"/>
            <w:noWrap/>
            <w:vAlign w:val="bottom"/>
            <w:hideMark/>
          </w:tcPr>
          <w:p w14:paraId="01D99A1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6.05</w:t>
            </w:r>
          </w:p>
        </w:tc>
        <w:tc>
          <w:tcPr>
            <w:tcW w:w="2268" w:type="dxa"/>
            <w:shd w:val="clear" w:color="auto" w:fill="auto"/>
            <w:noWrap/>
            <w:vAlign w:val="bottom"/>
            <w:hideMark/>
          </w:tcPr>
          <w:p w14:paraId="13F8F89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5.41</w:t>
            </w:r>
          </w:p>
        </w:tc>
        <w:tc>
          <w:tcPr>
            <w:tcW w:w="2268" w:type="dxa"/>
            <w:shd w:val="clear" w:color="auto" w:fill="auto"/>
            <w:noWrap/>
            <w:vAlign w:val="bottom"/>
            <w:hideMark/>
          </w:tcPr>
          <w:p w14:paraId="51656DF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5.02</w:t>
            </w:r>
          </w:p>
        </w:tc>
        <w:tc>
          <w:tcPr>
            <w:tcW w:w="1984" w:type="dxa"/>
            <w:shd w:val="clear" w:color="auto" w:fill="auto"/>
            <w:noWrap/>
            <w:vAlign w:val="bottom"/>
            <w:hideMark/>
          </w:tcPr>
          <w:p w14:paraId="3B391EB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4.93</w:t>
            </w:r>
          </w:p>
        </w:tc>
      </w:tr>
      <w:tr w:rsidR="00961617" w:rsidRPr="00545C7F" w14:paraId="67CFAEAD" w14:textId="77777777" w:rsidTr="0020771F">
        <w:trPr>
          <w:trHeight w:hRule="exact" w:val="284"/>
        </w:trPr>
        <w:tc>
          <w:tcPr>
            <w:tcW w:w="1291" w:type="dxa"/>
            <w:shd w:val="clear" w:color="auto" w:fill="E5E5E5" w:themeFill="background1" w:themeFillTint="33"/>
            <w:noWrap/>
            <w:vAlign w:val="bottom"/>
            <w:hideMark/>
          </w:tcPr>
          <w:p w14:paraId="76D9A2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2316" w:type="dxa"/>
            <w:shd w:val="clear" w:color="auto" w:fill="E5E5E5" w:themeFill="background1" w:themeFillTint="33"/>
            <w:noWrap/>
            <w:vAlign w:val="bottom"/>
            <w:hideMark/>
          </w:tcPr>
          <w:p w14:paraId="162EA37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5.62</w:t>
            </w:r>
          </w:p>
        </w:tc>
        <w:tc>
          <w:tcPr>
            <w:tcW w:w="2126" w:type="dxa"/>
            <w:shd w:val="clear" w:color="auto" w:fill="E5E5E5" w:themeFill="background1" w:themeFillTint="33"/>
            <w:noWrap/>
            <w:vAlign w:val="bottom"/>
            <w:hideMark/>
          </w:tcPr>
          <w:p w14:paraId="1641B1E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5.77</w:t>
            </w:r>
          </w:p>
        </w:tc>
        <w:tc>
          <w:tcPr>
            <w:tcW w:w="2268" w:type="dxa"/>
            <w:shd w:val="clear" w:color="auto" w:fill="E5E5E5" w:themeFill="background1" w:themeFillTint="33"/>
            <w:noWrap/>
            <w:vAlign w:val="bottom"/>
            <w:hideMark/>
          </w:tcPr>
          <w:p w14:paraId="71536C3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5.67</w:t>
            </w:r>
          </w:p>
        </w:tc>
        <w:tc>
          <w:tcPr>
            <w:tcW w:w="2268" w:type="dxa"/>
            <w:shd w:val="clear" w:color="auto" w:fill="E5E5E5" w:themeFill="background1" w:themeFillTint="33"/>
            <w:noWrap/>
            <w:vAlign w:val="bottom"/>
            <w:hideMark/>
          </w:tcPr>
          <w:p w14:paraId="286B971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5.13</w:t>
            </w:r>
          </w:p>
        </w:tc>
        <w:tc>
          <w:tcPr>
            <w:tcW w:w="2268" w:type="dxa"/>
            <w:shd w:val="clear" w:color="auto" w:fill="E5E5E5" w:themeFill="background1" w:themeFillTint="33"/>
            <w:noWrap/>
            <w:vAlign w:val="bottom"/>
            <w:hideMark/>
          </w:tcPr>
          <w:p w14:paraId="4290BCE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4.80</w:t>
            </w:r>
          </w:p>
        </w:tc>
        <w:tc>
          <w:tcPr>
            <w:tcW w:w="1984" w:type="dxa"/>
            <w:shd w:val="clear" w:color="auto" w:fill="E5E5E5" w:themeFill="background1" w:themeFillTint="33"/>
            <w:noWrap/>
            <w:vAlign w:val="bottom"/>
            <w:hideMark/>
          </w:tcPr>
          <w:p w14:paraId="45ABB87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4.72</w:t>
            </w:r>
          </w:p>
        </w:tc>
      </w:tr>
      <w:tr w:rsidR="00961617" w:rsidRPr="00545C7F" w14:paraId="75687E9D" w14:textId="77777777" w:rsidTr="0020771F">
        <w:trPr>
          <w:trHeight w:hRule="exact" w:val="284"/>
        </w:trPr>
        <w:tc>
          <w:tcPr>
            <w:tcW w:w="1291" w:type="dxa"/>
            <w:shd w:val="clear" w:color="auto" w:fill="auto"/>
            <w:noWrap/>
            <w:vAlign w:val="bottom"/>
            <w:hideMark/>
          </w:tcPr>
          <w:p w14:paraId="256D04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2316" w:type="dxa"/>
            <w:shd w:val="clear" w:color="auto" w:fill="auto"/>
            <w:noWrap/>
            <w:vAlign w:val="bottom"/>
            <w:hideMark/>
          </w:tcPr>
          <w:p w14:paraId="625A4FC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5.10</w:t>
            </w:r>
          </w:p>
        </w:tc>
        <w:tc>
          <w:tcPr>
            <w:tcW w:w="2126" w:type="dxa"/>
            <w:shd w:val="clear" w:color="auto" w:fill="auto"/>
            <w:noWrap/>
            <w:vAlign w:val="bottom"/>
            <w:hideMark/>
          </w:tcPr>
          <w:p w14:paraId="3DB3255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5.22</w:t>
            </w:r>
          </w:p>
        </w:tc>
        <w:tc>
          <w:tcPr>
            <w:tcW w:w="2268" w:type="dxa"/>
            <w:shd w:val="clear" w:color="auto" w:fill="auto"/>
            <w:noWrap/>
            <w:vAlign w:val="bottom"/>
            <w:hideMark/>
          </w:tcPr>
          <w:p w14:paraId="1CAD30B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5.14</w:t>
            </w:r>
          </w:p>
        </w:tc>
        <w:tc>
          <w:tcPr>
            <w:tcW w:w="2268" w:type="dxa"/>
            <w:shd w:val="clear" w:color="auto" w:fill="auto"/>
            <w:noWrap/>
            <w:vAlign w:val="bottom"/>
            <w:hideMark/>
          </w:tcPr>
          <w:p w14:paraId="3B336ED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4.72</w:t>
            </w:r>
          </w:p>
        </w:tc>
        <w:tc>
          <w:tcPr>
            <w:tcW w:w="2268" w:type="dxa"/>
            <w:shd w:val="clear" w:color="auto" w:fill="auto"/>
            <w:noWrap/>
            <w:vAlign w:val="bottom"/>
            <w:hideMark/>
          </w:tcPr>
          <w:p w14:paraId="3F311AE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4.44</w:t>
            </w:r>
          </w:p>
        </w:tc>
        <w:tc>
          <w:tcPr>
            <w:tcW w:w="1984" w:type="dxa"/>
            <w:shd w:val="clear" w:color="auto" w:fill="auto"/>
            <w:noWrap/>
            <w:vAlign w:val="bottom"/>
            <w:hideMark/>
          </w:tcPr>
          <w:p w14:paraId="59E305F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4.38</w:t>
            </w:r>
          </w:p>
        </w:tc>
      </w:tr>
      <w:tr w:rsidR="00961617" w:rsidRPr="00545C7F" w14:paraId="04D8BFF2" w14:textId="77777777" w:rsidTr="0020771F">
        <w:trPr>
          <w:trHeight w:hRule="exact" w:val="284"/>
        </w:trPr>
        <w:tc>
          <w:tcPr>
            <w:tcW w:w="1291" w:type="dxa"/>
            <w:shd w:val="clear" w:color="auto" w:fill="E5E5E5" w:themeFill="background1" w:themeFillTint="33"/>
            <w:noWrap/>
            <w:vAlign w:val="bottom"/>
            <w:hideMark/>
          </w:tcPr>
          <w:p w14:paraId="44CE3B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2316" w:type="dxa"/>
            <w:shd w:val="clear" w:color="auto" w:fill="E5E5E5" w:themeFill="background1" w:themeFillTint="33"/>
            <w:noWrap/>
            <w:vAlign w:val="bottom"/>
            <w:hideMark/>
          </w:tcPr>
          <w:p w14:paraId="36CCADA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4.42</w:t>
            </w:r>
          </w:p>
        </w:tc>
        <w:tc>
          <w:tcPr>
            <w:tcW w:w="2126" w:type="dxa"/>
            <w:shd w:val="clear" w:color="auto" w:fill="E5E5E5" w:themeFill="background1" w:themeFillTint="33"/>
            <w:noWrap/>
            <w:vAlign w:val="bottom"/>
            <w:hideMark/>
          </w:tcPr>
          <w:p w14:paraId="652DF26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4.50</w:t>
            </w:r>
          </w:p>
        </w:tc>
        <w:tc>
          <w:tcPr>
            <w:tcW w:w="2268" w:type="dxa"/>
            <w:shd w:val="clear" w:color="auto" w:fill="E5E5E5" w:themeFill="background1" w:themeFillTint="33"/>
            <w:noWrap/>
            <w:vAlign w:val="bottom"/>
            <w:hideMark/>
          </w:tcPr>
          <w:p w14:paraId="2EB9F98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4.45</w:t>
            </w:r>
          </w:p>
        </w:tc>
        <w:tc>
          <w:tcPr>
            <w:tcW w:w="2268" w:type="dxa"/>
            <w:shd w:val="clear" w:color="auto" w:fill="E5E5E5" w:themeFill="background1" w:themeFillTint="33"/>
            <w:noWrap/>
            <w:vAlign w:val="bottom"/>
            <w:hideMark/>
          </w:tcPr>
          <w:p w14:paraId="2FA6267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4.13</w:t>
            </w:r>
          </w:p>
        </w:tc>
        <w:tc>
          <w:tcPr>
            <w:tcW w:w="2268" w:type="dxa"/>
            <w:shd w:val="clear" w:color="auto" w:fill="E5E5E5" w:themeFill="background1" w:themeFillTint="33"/>
            <w:noWrap/>
            <w:vAlign w:val="bottom"/>
            <w:hideMark/>
          </w:tcPr>
          <w:p w14:paraId="141E006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3.92</w:t>
            </w:r>
          </w:p>
        </w:tc>
        <w:tc>
          <w:tcPr>
            <w:tcW w:w="1984" w:type="dxa"/>
            <w:shd w:val="clear" w:color="auto" w:fill="E5E5E5" w:themeFill="background1" w:themeFillTint="33"/>
            <w:noWrap/>
            <w:vAlign w:val="bottom"/>
            <w:hideMark/>
          </w:tcPr>
          <w:p w14:paraId="5E01C46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3.86</w:t>
            </w:r>
          </w:p>
        </w:tc>
      </w:tr>
      <w:tr w:rsidR="00961617" w:rsidRPr="00545C7F" w14:paraId="60CD02DE" w14:textId="77777777" w:rsidTr="0020771F">
        <w:trPr>
          <w:trHeight w:hRule="exact" w:val="284"/>
        </w:trPr>
        <w:tc>
          <w:tcPr>
            <w:tcW w:w="1291" w:type="dxa"/>
            <w:shd w:val="clear" w:color="auto" w:fill="auto"/>
            <w:noWrap/>
            <w:vAlign w:val="bottom"/>
            <w:hideMark/>
          </w:tcPr>
          <w:p w14:paraId="0A486B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2316" w:type="dxa"/>
            <w:shd w:val="clear" w:color="auto" w:fill="auto"/>
            <w:noWrap/>
            <w:vAlign w:val="bottom"/>
            <w:hideMark/>
          </w:tcPr>
          <w:p w14:paraId="1752C263"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3.97</w:t>
            </w:r>
          </w:p>
        </w:tc>
        <w:tc>
          <w:tcPr>
            <w:tcW w:w="2126" w:type="dxa"/>
            <w:shd w:val="clear" w:color="auto" w:fill="auto"/>
            <w:noWrap/>
            <w:vAlign w:val="bottom"/>
            <w:hideMark/>
          </w:tcPr>
          <w:p w14:paraId="5CF8125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4.03</w:t>
            </w:r>
          </w:p>
        </w:tc>
        <w:tc>
          <w:tcPr>
            <w:tcW w:w="2268" w:type="dxa"/>
            <w:shd w:val="clear" w:color="auto" w:fill="auto"/>
            <w:noWrap/>
            <w:vAlign w:val="bottom"/>
            <w:hideMark/>
          </w:tcPr>
          <w:p w14:paraId="33E4DDF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3.99</w:t>
            </w:r>
          </w:p>
        </w:tc>
        <w:tc>
          <w:tcPr>
            <w:tcW w:w="2268" w:type="dxa"/>
            <w:shd w:val="clear" w:color="auto" w:fill="auto"/>
            <w:noWrap/>
            <w:vAlign w:val="bottom"/>
            <w:hideMark/>
          </w:tcPr>
          <w:p w14:paraId="6E24FDD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3.75</w:t>
            </w:r>
          </w:p>
        </w:tc>
        <w:tc>
          <w:tcPr>
            <w:tcW w:w="2268" w:type="dxa"/>
            <w:shd w:val="clear" w:color="auto" w:fill="auto"/>
            <w:noWrap/>
            <w:vAlign w:val="bottom"/>
            <w:hideMark/>
          </w:tcPr>
          <w:p w14:paraId="1C2AED2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3.58</w:t>
            </w:r>
          </w:p>
        </w:tc>
        <w:tc>
          <w:tcPr>
            <w:tcW w:w="1984" w:type="dxa"/>
            <w:shd w:val="clear" w:color="auto" w:fill="auto"/>
            <w:noWrap/>
            <w:vAlign w:val="bottom"/>
            <w:hideMark/>
          </w:tcPr>
          <w:p w14:paraId="35D8FF7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3.53</w:t>
            </w:r>
          </w:p>
        </w:tc>
      </w:tr>
      <w:tr w:rsidR="00961617" w:rsidRPr="00545C7F" w14:paraId="13310AB7" w14:textId="77777777" w:rsidTr="0020771F">
        <w:trPr>
          <w:trHeight w:hRule="exact" w:val="284"/>
        </w:trPr>
        <w:tc>
          <w:tcPr>
            <w:tcW w:w="1291" w:type="dxa"/>
            <w:shd w:val="clear" w:color="auto" w:fill="E5E5E5" w:themeFill="background1" w:themeFillTint="33"/>
            <w:noWrap/>
            <w:vAlign w:val="bottom"/>
            <w:hideMark/>
          </w:tcPr>
          <w:p w14:paraId="33F3F6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2316" w:type="dxa"/>
            <w:shd w:val="clear" w:color="auto" w:fill="E5E5E5" w:themeFill="background1" w:themeFillTint="33"/>
            <w:noWrap/>
            <w:vAlign w:val="bottom"/>
            <w:hideMark/>
          </w:tcPr>
          <w:p w14:paraId="3154109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3.55</w:t>
            </w:r>
          </w:p>
        </w:tc>
        <w:tc>
          <w:tcPr>
            <w:tcW w:w="2126" w:type="dxa"/>
            <w:shd w:val="clear" w:color="auto" w:fill="E5E5E5" w:themeFill="background1" w:themeFillTint="33"/>
            <w:noWrap/>
            <w:vAlign w:val="bottom"/>
            <w:hideMark/>
          </w:tcPr>
          <w:p w14:paraId="010CBFA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3.59</w:t>
            </w:r>
          </w:p>
        </w:tc>
        <w:tc>
          <w:tcPr>
            <w:tcW w:w="2268" w:type="dxa"/>
            <w:shd w:val="clear" w:color="auto" w:fill="E5E5E5" w:themeFill="background1" w:themeFillTint="33"/>
            <w:noWrap/>
            <w:vAlign w:val="bottom"/>
            <w:hideMark/>
          </w:tcPr>
          <w:p w14:paraId="6120505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3.57</w:t>
            </w:r>
          </w:p>
        </w:tc>
        <w:tc>
          <w:tcPr>
            <w:tcW w:w="2268" w:type="dxa"/>
            <w:shd w:val="clear" w:color="auto" w:fill="E5E5E5" w:themeFill="background1" w:themeFillTint="33"/>
            <w:noWrap/>
            <w:vAlign w:val="bottom"/>
            <w:hideMark/>
          </w:tcPr>
          <w:p w14:paraId="2FB7E79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3.39</w:t>
            </w:r>
          </w:p>
        </w:tc>
        <w:tc>
          <w:tcPr>
            <w:tcW w:w="2268" w:type="dxa"/>
            <w:shd w:val="clear" w:color="auto" w:fill="E5E5E5" w:themeFill="background1" w:themeFillTint="33"/>
            <w:noWrap/>
            <w:vAlign w:val="bottom"/>
            <w:hideMark/>
          </w:tcPr>
          <w:p w14:paraId="3D3B543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3.26</w:t>
            </w:r>
          </w:p>
        </w:tc>
        <w:tc>
          <w:tcPr>
            <w:tcW w:w="1984" w:type="dxa"/>
            <w:shd w:val="clear" w:color="auto" w:fill="E5E5E5" w:themeFill="background1" w:themeFillTint="33"/>
            <w:noWrap/>
            <w:vAlign w:val="bottom"/>
            <w:hideMark/>
          </w:tcPr>
          <w:p w14:paraId="281A476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3.22</w:t>
            </w:r>
          </w:p>
        </w:tc>
      </w:tr>
      <w:tr w:rsidR="00961617" w:rsidRPr="00545C7F" w14:paraId="07D23EB5" w14:textId="77777777" w:rsidTr="0020771F">
        <w:trPr>
          <w:trHeight w:hRule="exact" w:val="284"/>
        </w:trPr>
        <w:tc>
          <w:tcPr>
            <w:tcW w:w="1291" w:type="dxa"/>
            <w:shd w:val="clear" w:color="auto" w:fill="auto"/>
            <w:noWrap/>
            <w:vAlign w:val="bottom"/>
            <w:hideMark/>
          </w:tcPr>
          <w:p w14:paraId="5B74C3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2316" w:type="dxa"/>
            <w:shd w:val="clear" w:color="auto" w:fill="auto"/>
            <w:noWrap/>
            <w:vAlign w:val="bottom"/>
            <w:hideMark/>
          </w:tcPr>
          <w:p w14:paraId="298F423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3.15</w:t>
            </w:r>
          </w:p>
        </w:tc>
        <w:tc>
          <w:tcPr>
            <w:tcW w:w="2126" w:type="dxa"/>
            <w:shd w:val="clear" w:color="auto" w:fill="auto"/>
            <w:noWrap/>
            <w:vAlign w:val="bottom"/>
            <w:hideMark/>
          </w:tcPr>
          <w:p w14:paraId="77EAE24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3.18</w:t>
            </w:r>
          </w:p>
        </w:tc>
        <w:tc>
          <w:tcPr>
            <w:tcW w:w="2268" w:type="dxa"/>
            <w:shd w:val="clear" w:color="auto" w:fill="auto"/>
            <w:noWrap/>
            <w:vAlign w:val="bottom"/>
            <w:hideMark/>
          </w:tcPr>
          <w:p w14:paraId="08F7E2D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3.16</w:t>
            </w:r>
          </w:p>
        </w:tc>
        <w:tc>
          <w:tcPr>
            <w:tcW w:w="2268" w:type="dxa"/>
            <w:shd w:val="clear" w:color="auto" w:fill="auto"/>
            <w:noWrap/>
            <w:vAlign w:val="bottom"/>
            <w:hideMark/>
          </w:tcPr>
          <w:p w14:paraId="28C6F1C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3.04</w:t>
            </w:r>
          </w:p>
        </w:tc>
        <w:tc>
          <w:tcPr>
            <w:tcW w:w="2268" w:type="dxa"/>
            <w:shd w:val="clear" w:color="auto" w:fill="auto"/>
            <w:noWrap/>
            <w:vAlign w:val="bottom"/>
            <w:hideMark/>
          </w:tcPr>
          <w:p w14:paraId="73355F2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2.94</w:t>
            </w:r>
          </w:p>
        </w:tc>
        <w:tc>
          <w:tcPr>
            <w:tcW w:w="1984" w:type="dxa"/>
            <w:shd w:val="clear" w:color="auto" w:fill="auto"/>
            <w:noWrap/>
            <w:vAlign w:val="bottom"/>
            <w:hideMark/>
          </w:tcPr>
          <w:p w14:paraId="6190B73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2.91</w:t>
            </w:r>
          </w:p>
        </w:tc>
      </w:tr>
      <w:tr w:rsidR="00961617" w:rsidRPr="00545C7F" w14:paraId="6AB2ACF6" w14:textId="77777777" w:rsidTr="0020771F">
        <w:trPr>
          <w:trHeight w:hRule="exact" w:val="284"/>
        </w:trPr>
        <w:tc>
          <w:tcPr>
            <w:tcW w:w="1291" w:type="dxa"/>
            <w:shd w:val="clear" w:color="auto" w:fill="E5E5E5" w:themeFill="background1" w:themeFillTint="33"/>
            <w:noWrap/>
            <w:vAlign w:val="bottom"/>
            <w:hideMark/>
          </w:tcPr>
          <w:p w14:paraId="27BC6B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2316" w:type="dxa"/>
            <w:shd w:val="clear" w:color="auto" w:fill="E5E5E5" w:themeFill="background1" w:themeFillTint="33"/>
            <w:noWrap/>
            <w:vAlign w:val="bottom"/>
            <w:hideMark/>
          </w:tcPr>
          <w:p w14:paraId="026CBEF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2.94</w:t>
            </w:r>
          </w:p>
        </w:tc>
        <w:tc>
          <w:tcPr>
            <w:tcW w:w="2126" w:type="dxa"/>
            <w:shd w:val="clear" w:color="auto" w:fill="E5E5E5" w:themeFill="background1" w:themeFillTint="33"/>
            <w:noWrap/>
            <w:vAlign w:val="bottom"/>
            <w:hideMark/>
          </w:tcPr>
          <w:p w14:paraId="20E5DAD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2.96</w:t>
            </w:r>
          </w:p>
        </w:tc>
        <w:tc>
          <w:tcPr>
            <w:tcW w:w="2268" w:type="dxa"/>
            <w:shd w:val="clear" w:color="auto" w:fill="E5E5E5" w:themeFill="background1" w:themeFillTint="33"/>
            <w:noWrap/>
            <w:vAlign w:val="bottom"/>
            <w:hideMark/>
          </w:tcPr>
          <w:p w14:paraId="2D09929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2.95</w:t>
            </w:r>
          </w:p>
        </w:tc>
        <w:tc>
          <w:tcPr>
            <w:tcW w:w="2268" w:type="dxa"/>
            <w:shd w:val="clear" w:color="auto" w:fill="E5E5E5" w:themeFill="background1" w:themeFillTint="33"/>
            <w:noWrap/>
            <w:vAlign w:val="bottom"/>
            <w:hideMark/>
          </w:tcPr>
          <w:p w14:paraId="634ABBC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2.86</w:t>
            </w:r>
          </w:p>
        </w:tc>
        <w:tc>
          <w:tcPr>
            <w:tcW w:w="2268" w:type="dxa"/>
            <w:shd w:val="clear" w:color="auto" w:fill="E5E5E5" w:themeFill="background1" w:themeFillTint="33"/>
            <w:noWrap/>
            <w:vAlign w:val="bottom"/>
            <w:hideMark/>
          </w:tcPr>
          <w:p w14:paraId="4513596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2.78</w:t>
            </w:r>
          </w:p>
        </w:tc>
        <w:tc>
          <w:tcPr>
            <w:tcW w:w="1984" w:type="dxa"/>
            <w:shd w:val="clear" w:color="auto" w:fill="E5E5E5" w:themeFill="background1" w:themeFillTint="33"/>
            <w:noWrap/>
            <w:vAlign w:val="bottom"/>
            <w:hideMark/>
          </w:tcPr>
          <w:p w14:paraId="125890A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2.76</w:t>
            </w:r>
          </w:p>
        </w:tc>
      </w:tr>
      <w:tr w:rsidR="00961617" w:rsidRPr="00545C7F" w14:paraId="7D405E43" w14:textId="77777777" w:rsidTr="0020771F">
        <w:trPr>
          <w:trHeight w:hRule="exact" w:val="284"/>
        </w:trPr>
        <w:tc>
          <w:tcPr>
            <w:tcW w:w="1291" w:type="dxa"/>
            <w:shd w:val="clear" w:color="auto" w:fill="auto"/>
            <w:noWrap/>
            <w:vAlign w:val="bottom"/>
            <w:hideMark/>
          </w:tcPr>
          <w:p w14:paraId="63A246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2316" w:type="dxa"/>
            <w:shd w:val="clear" w:color="auto" w:fill="auto"/>
            <w:noWrap/>
            <w:vAlign w:val="bottom"/>
            <w:hideMark/>
          </w:tcPr>
          <w:p w14:paraId="6367A95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2.69</w:t>
            </w:r>
          </w:p>
        </w:tc>
        <w:tc>
          <w:tcPr>
            <w:tcW w:w="2126" w:type="dxa"/>
            <w:shd w:val="clear" w:color="auto" w:fill="auto"/>
            <w:noWrap/>
            <w:vAlign w:val="bottom"/>
            <w:hideMark/>
          </w:tcPr>
          <w:p w14:paraId="1AD81EF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2.70</w:t>
            </w:r>
          </w:p>
        </w:tc>
        <w:tc>
          <w:tcPr>
            <w:tcW w:w="2268" w:type="dxa"/>
            <w:shd w:val="clear" w:color="auto" w:fill="auto"/>
            <w:noWrap/>
            <w:vAlign w:val="bottom"/>
            <w:hideMark/>
          </w:tcPr>
          <w:p w14:paraId="702796B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2.69</w:t>
            </w:r>
          </w:p>
        </w:tc>
        <w:tc>
          <w:tcPr>
            <w:tcW w:w="2268" w:type="dxa"/>
            <w:shd w:val="clear" w:color="auto" w:fill="auto"/>
            <w:noWrap/>
            <w:vAlign w:val="bottom"/>
            <w:hideMark/>
          </w:tcPr>
          <w:p w14:paraId="39CE70F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2.64</w:t>
            </w:r>
          </w:p>
        </w:tc>
        <w:tc>
          <w:tcPr>
            <w:tcW w:w="2268" w:type="dxa"/>
            <w:shd w:val="clear" w:color="auto" w:fill="auto"/>
            <w:noWrap/>
            <w:vAlign w:val="bottom"/>
            <w:hideMark/>
          </w:tcPr>
          <w:p w14:paraId="3FD0259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2.58</w:t>
            </w:r>
          </w:p>
        </w:tc>
        <w:tc>
          <w:tcPr>
            <w:tcW w:w="1984" w:type="dxa"/>
            <w:shd w:val="clear" w:color="auto" w:fill="auto"/>
            <w:noWrap/>
            <w:vAlign w:val="bottom"/>
            <w:hideMark/>
          </w:tcPr>
          <w:p w14:paraId="2F3E1F3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2.57</w:t>
            </w:r>
          </w:p>
        </w:tc>
      </w:tr>
      <w:tr w:rsidR="00961617" w:rsidRPr="00545C7F" w14:paraId="61D85D31" w14:textId="77777777" w:rsidTr="0020771F">
        <w:trPr>
          <w:trHeight w:hRule="exact" w:val="284"/>
        </w:trPr>
        <w:tc>
          <w:tcPr>
            <w:tcW w:w="1291" w:type="dxa"/>
            <w:shd w:val="clear" w:color="auto" w:fill="E5E5E5" w:themeFill="background1" w:themeFillTint="33"/>
            <w:noWrap/>
            <w:vAlign w:val="bottom"/>
            <w:hideMark/>
          </w:tcPr>
          <w:p w14:paraId="296D36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2316" w:type="dxa"/>
            <w:shd w:val="clear" w:color="auto" w:fill="E5E5E5" w:themeFill="background1" w:themeFillTint="33"/>
            <w:noWrap/>
            <w:vAlign w:val="bottom"/>
            <w:hideMark/>
          </w:tcPr>
          <w:p w14:paraId="5DBDECB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2.41</w:t>
            </w:r>
          </w:p>
        </w:tc>
        <w:tc>
          <w:tcPr>
            <w:tcW w:w="2126" w:type="dxa"/>
            <w:shd w:val="clear" w:color="auto" w:fill="E5E5E5" w:themeFill="background1" w:themeFillTint="33"/>
            <w:noWrap/>
            <w:vAlign w:val="bottom"/>
            <w:hideMark/>
          </w:tcPr>
          <w:p w14:paraId="5A2F7B0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2.41</w:t>
            </w:r>
          </w:p>
        </w:tc>
        <w:tc>
          <w:tcPr>
            <w:tcW w:w="2268" w:type="dxa"/>
            <w:shd w:val="clear" w:color="auto" w:fill="E5E5E5" w:themeFill="background1" w:themeFillTint="33"/>
            <w:noWrap/>
            <w:vAlign w:val="bottom"/>
            <w:hideMark/>
          </w:tcPr>
          <w:p w14:paraId="6A8FA51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2.41</w:t>
            </w:r>
          </w:p>
        </w:tc>
        <w:tc>
          <w:tcPr>
            <w:tcW w:w="2268" w:type="dxa"/>
            <w:shd w:val="clear" w:color="auto" w:fill="E5E5E5" w:themeFill="background1" w:themeFillTint="33"/>
            <w:noWrap/>
            <w:vAlign w:val="bottom"/>
            <w:hideMark/>
          </w:tcPr>
          <w:p w14:paraId="23BE471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2.39</w:t>
            </w:r>
          </w:p>
        </w:tc>
        <w:tc>
          <w:tcPr>
            <w:tcW w:w="2268" w:type="dxa"/>
            <w:shd w:val="clear" w:color="auto" w:fill="E5E5E5" w:themeFill="background1" w:themeFillTint="33"/>
            <w:noWrap/>
            <w:vAlign w:val="bottom"/>
            <w:hideMark/>
          </w:tcPr>
          <w:p w14:paraId="55BB0DD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2.35</w:t>
            </w:r>
          </w:p>
        </w:tc>
        <w:tc>
          <w:tcPr>
            <w:tcW w:w="1984" w:type="dxa"/>
            <w:shd w:val="clear" w:color="auto" w:fill="E5E5E5" w:themeFill="background1" w:themeFillTint="33"/>
            <w:noWrap/>
            <w:vAlign w:val="bottom"/>
            <w:hideMark/>
          </w:tcPr>
          <w:p w14:paraId="040F811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2.34</w:t>
            </w:r>
          </w:p>
        </w:tc>
      </w:tr>
      <w:tr w:rsidR="00961617" w:rsidRPr="00545C7F" w14:paraId="45F7D490" w14:textId="77777777" w:rsidTr="0020771F">
        <w:trPr>
          <w:trHeight w:hRule="exact" w:val="284"/>
        </w:trPr>
        <w:tc>
          <w:tcPr>
            <w:tcW w:w="1291" w:type="dxa"/>
            <w:shd w:val="clear" w:color="auto" w:fill="FFFFFF" w:themeFill="background2"/>
            <w:noWrap/>
            <w:vAlign w:val="bottom"/>
            <w:hideMark/>
          </w:tcPr>
          <w:p w14:paraId="447C1B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2316" w:type="dxa"/>
            <w:shd w:val="clear" w:color="auto" w:fill="FFFFFF" w:themeFill="background2"/>
            <w:noWrap/>
            <w:vAlign w:val="bottom"/>
            <w:hideMark/>
          </w:tcPr>
          <w:p w14:paraId="6827DF4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2.20</w:t>
            </w:r>
          </w:p>
        </w:tc>
        <w:tc>
          <w:tcPr>
            <w:tcW w:w="2126" w:type="dxa"/>
            <w:shd w:val="clear" w:color="auto" w:fill="FFFFFF" w:themeFill="background2"/>
            <w:noWrap/>
            <w:vAlign w:val="bottom"/>
            <w:hideMark/>
          </w:tcPr>
          <w:p w14:paraId="5CAC864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2.19</w:t>
            </w:r>
          </w:p>
        </w:tc>
        <w:tc>
          <w:tcPr>
            <w:tcW w:w="2268" w:type="dxa"/>
            <w:shd w:val="clear" w:color="auto" w:fill="FFFFFF" w:themeFill="background2"/>
            <w:noWrap/>
            <w:vAlign w:val="bottom"/>
            <w:hideMark/>
          </w:tcPr>
          <w:p w14:paraId="61A8E89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2.20</w:t>
            </w:r>
          </w:p>
        </w:tc>
        <w:tc>
          <w:tcPr>
            <w:tcW w:w="2268" w:type="dxa"/>
            <w:shd w:val="clear" w:color="auto" w:fill="FFFFFF" w:themeFill="background2"/>
            <w:noWrap/>
            <w:vAlign w:val="bottom"/>
            <w:hideMark/>
          </w:tcPr>
          <w:p w14:paraId="27F0315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2.20</w:t>
            </w:r>
          </w:p>
        </w:tc>
        <w:tc>
          <w:tcPr>
            <w:tcW w:w="2268" w:type="dxa"/>
            <w:shd w:val="clear" w:color="auto" w:fill="FFFFFF" w:themeFill="background2"/>
            <w:noWrap/>
            <w:vAlign w:val="bottom"/>
            <w:hideMark/>
          </w:tcPr>
          <w:p w14:paraId="44A2995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2.17</w:t>
            </w:r>
          </w:p>
        </w:tc>
        <w:tc>
          <w:tcPr>
            <w:tcW w:w="1984" w:type="dxa"/>
            <w:shd w:val="clear" w:color="auto" w:fill="FFFFFF" w:themeFill="background2"/>
            <w:noWrap/>
            <w:vAlign w:val="bottom"/>
            <w:hideMark/>
          </w:tcPr>
          <w:p w14:paraId="2CE0C52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2.16</w:t>
            </w:r>
          </w:p>
        </w:tc>
      </w:tr>
      <w:tr w:rsidR="00961617" w:rsidRPr="00545C7F" w14:paraId="2DD1C6F6" w14:textId="77777777" w:rsidTr="0020771F">
        <w:trPr>
          <w:trHeight w:hRule="exact" w:val="284"/>
        </w:trPr>
        <w:tc>
          <w:tcPr>
            <w:tcW w:w="1291" w:type="dxa"/>
            <w:shd w:val="clear" w:color="auto" w:fill="E5E5E5" w:themeFill="background1" w:themeFillTint="33"/>
            <w:noWrap/>
            <w:vAlign w:val="bottom"/>
            <w:hideMark/>
          </w:tcPr>
          <w:p w14:paraId="4FA274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2316" w:type="dxa"/>
            <w:shd w:val="clear" w:color="auto" w:fill="E5E5E5" w:themeFill="background1" w:themeFillTint="33"/>
            <w:noWrap/>
            <w:vAlign w:val="bottom"/>
            <w:hideMark/>
          </w:tcPr>
          <w:p w14:paraId="2649F09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1.98</w:t>
            </w:r>
          </w:p>
        </w:tc>
        <w:tc>
          <w:tcPr>
            <w:tcW w:w="2126" w:type="dxa"/>
            <w:shd w:val="clear" w:color="auto" w:fill="E5E5E5" w:themeFill="background1" w:themeFillTint="33"/>
            <w:noWrap/>
            <w:vAlign w:val="bottom"/>
            <w:hideMark/>
          </w:tcPr>
          <w:p w14:paraId="7DA04FC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1.97</w:t>
            </w:r>
          </w:p>
        </w:tc>
        <w:tc>
          <w:tcPr>
            <w:tcW w:w="2268" w:type="dxa"/>
            <w:shd w:val="clear" w:color="auto" w:fill="E5E5E5" w:themeFill="background1" w:themeFillTint="33"/>
            <w:noWrap/>
            <w:vAlign w:val="bottom"/>
            <w:hideMark/>
          </w:tcPr>
          <w:p w14:paraId="0A20C36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1.98</w:t>
            </w:r>
          </w:p>
        </w:tc>
        <w:tc>
          <w:tcPr>
            <w:tcW w:w="2268" w:type="dxa"/>
            <w:shd w:val="clear" w:color="auto" w:fill="E5E5E5" w:themeFill="background1" w:themeFillTint="33"/>
            <w:noWrap/>
            <w:vAlign w:val="bottom"/>
            <w:hideMark/>
          </w:tcPr>
          <w:p w14:paraId="25F639D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2.00</w:t>
            </w:r>
          </w:p>
        </w:tc>
        <w:tc>
          <w:tcPr>
            <w:tcW w:w="2268" w:type="dxa"/>
            <w:shd w:val="clear" w:color="auto" w:fill="E5E5E5" w:themeFill="background1" w:themeFillTint="33"/>
            <w:noWrap/>
            <w:vAlign w:val="bottom"/>
            <w:hideMark/>
          </w:tcPr>
          <w:p w14:paraId="7215AFA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1.99</w:t>
            </w:r>
          </w:p>
        </w:tc>
        <w:tc>
          <w:tcPr>
            <w:tcW w:w="1984" w:type="dxa"/>
            <w:shd w:val="clear" w:color="auto" w:fill="E5E5E5" w:themeFill="background1" w:themeFillTint="33"/>
            <w:noWrap/>
            <w:vAlign w:val="bottom"/>
            <w:hideMark/>
          </w:tcPr>
          <w:p w14:paraId="45000BC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1.98</w:t>
            </w:r>
          </w:p>
        </w:tc>
      </w:tr>
      <w:tr w:rsidR="00961617" w:rsidRPr="00545C7F" w14:paraId="6A155EFB" w14:textId="77777777" w:rsidTr="0020771F">
        <w:trPr>
          <w:trHeight w:hRule="exact" w:val="284"/>
        </w:trPr>
        <w:tc>
          <w:tcPr>
            <w:tcW w:w="1291" w:type="dxa"/>
            <w:shd w:val="clear" w:color="auto" w:fill="auto"/>
            <w:noWrap/>
            <w:vAlign w:val="bottom"/>
            <w:hideMark/>
          </w:tcPr>
          <w:p w14:paraId="63CA9F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2316" w:type="dxa"/>
            <w:shd w:val="clear" w:color="auto" w:fill="auto"/>
            <w:noWrap/>
            <w:vAlign w:val="bottom"/>
            <w:hideMark/>
          </w:tcPr>
          <w:p w14:paraId="6F47DE6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1.81</w:t>
            </w:r>
          </w:p>
        </w:tc>
        <w:tc>
          <w:tcPr>
            <w:tcW w:w="2126" w:type="dxa"/>
            <w:shd w:val="clear" w:color="auto" w:fill="auto"/>
            <w:noWrap/>
            <w:vAlign w:val="bottom"/>
            <w:hideMark/>
          </w:tcPr>
          <w:p w14:paraId="332BE35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1.79</w:t>
            </w:r>
          </w:p>
        </w:tc>
        <w:tc>
          <w:tcPr>
            <w:tcW w:w="2268" w:type="dxa"/>
            <w:shd w:val="clear" w:color="auto" w:fill="auto"/>
            <w:noWrap/>
            <w:vAlign w:val="bottom"/>
            <w:hideMark/>
          </w:tcPr>
          <w:p w14:paraId="35BD7D3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1.80</w:t>
            </w:r>
          </w:p>
        </w:tc>
        <w:tc>
          <w:tcPr>
            <w:tcW w:w="2268" w:type="dxa"/>
            <w:shd w:val="clear" w:color="auto" w:fill="auto"/>
            <w:noWrap/>
            <w:vAlign w:val="bottom"/>
            <w:hideMark/>
          </w:tcPr>
          <w:p w14:paraId="41795D1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1.84</w:t>
            </w:r>
          </w:p>
        </w:tc>
        <w:tc>
          <w:tcPr>
            <w:tcW w:w="2268" w:type="dxa"/>
            <w:shd w:val="clear" w:color="auto" w:fill="auto"/>
            <w:noWrap/>
            <w:vAlign w:val="bottom"/>
            <w:hideMark/>
          </w:tcPr>
          <w:p w14:paraId="67F4A7A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1.83</w:t>
            </w:r>
          </w:p>
        </w:tc>
        <w:tc>
          <w:tcPr>
            <w:tcW w:w="1984" w:type="dxa"/>
            <w:shd w:val="clear" w:color="auto" w:fill="auto"/>
            <w:noWrap/>
            <w:vAlign w:val="bottom"/>
            <w:hideMark/>
          </w:tcPr>
          <w:p w14:paraId="2FD06DE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1.83</w:t>
            </w:r>
          </w:p>
        </w:tc>
      </w:tr>
      <w:tr w:rsidR="00961617" w:rsidRPr="00545C7F" w14:paraId="17BC033D" w14:textId="77777777" w:rsidTr="0020771F">
        <w:trPr>
          <w:trHeight w:hRule="exact" w:val="284"/>
        </w:trPr>
        <w:tc>
          <w:tcPr>
            <w:tcW w:w="1291" w:type="dxa"/>
            <w:shd w:val="clear" w:color="auto" w:fill="E5E5E5" w:themeFill="background1" w:themeFillTint="33"/>
            <w:noWrap/>
            <w:vAlign w:val="bottom"/>
            <w:hideMark/>
          </w:tcPr>
          <w:p w14:paraId="50E9AD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2316" w:type="dxa"/>
            <w:shd w:val="clear" w:color="auto" w:fill="E5E5E5" w:themeFill="background1" w:themeFillTint="33"/>
            <w:noWrap/>
            <w:vAlign w:val="bottom"/>
            <w:hideMark/>
          </w:tcPr>
          <w:p w14:paraId="2FA3C50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1.67</w:t>
            </w:r>
          </w:p>
        </w:tc>
        <w:tc>
          <w:tcPr>
            <w:tcW w:w="2126" w:type="dxa"/>
            <w:shd w:val="clear" w:color="auto" w:fill="E5E5E5" w:themeFill="background1" w:themeFillTint="33"/>
            <w:noWrap/>
            <w:vAlign w:val="bottom"/>
            <w:hideMark/>
          </w:tcPr>
          <w:p w14:paraId="38CB331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1.65</w:t>
            </w:r>
          </w:p>
        </w:tc>
        <w:tc>
          <w:tcPr>
            <w:tcW w:w="2268" w:type="dxa"/>
            <w:shd w:val="clear" w:color="auto" w:fill="E5E5E5" w:themeFill="background1" w:themeFillTint="33"/>
            <w:noWrap/>
            <w:vAlign w:val="bottom"/>
            <w:hideMark/>
          </w:tcPr>
          <w:p w14:paraId="6673584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1.67</w:t>
            </w:r>
          </w:p>
        </w:tc>
        <w:tc>
          <w:tcPr>
            <w:tcW w:w="2268" w:type="dxa"/>
            <w:shd w:val="clear" w:color="auto" w:fill="E5E5E5" w:themeFill="background1" w:themeFillTint="33"/>
            <w:noWrap/>
            <w:vAlign w:val="bottom"/>
            <w:hideMark/>
          </w:tcPr>
          <w:p w14:paraId="720FCAE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1.71</w:t>
            </w:r>
          </w:p>
        </w:tc>
        <w:tc>
          <w:tcPr>
            <w:tcW w:w="2268" w:type="dxa"/>
            <w:shd w:val="clear" w:color="auto" w:fill="E5E5E5" w:themeFill="background1" w:themeFillTint="33"/>
            <w:noWrap/>
            <w:vAlign w:val="bottom"/>
            <w:hideMark/>
          </w:tcPr>
          <w:p w14:paraId="62E8EC7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1.72</w:t>
            </w:r>
          </w:p>
        </w:tc>
        <w:tc>
          <w:tcPr>
            <w:tcW w:w="1984" w:type="dxa"/>
            <w:shd w:val="clear" w:color="auto" w:fill="E5E5E5" w:themeFill="background1" w:themeFillTint="33"/>
            <w:noWrap/>
            <w:vAlign w:val="bottom"/>
            <w:hideMark/>
          </w:tcPr>
          <w:p w14:paraId="1CC39F1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1.72</w:t>
            </w:r>
          </w:p>
        </w:tc>
      </w:tr>
      <w:tr w:rsidR="00961617" w:rsidRPr="00545C7F" w14:paraId="7BCB2665" w14:textId="77777777" w:rsidTr="0020771F">
        <w:trPr>
          <w:trHeight w:hRule="exact" w:val="284"/>
        </w:trPr>
        <w:tc>
          <w:tcPr>
            <w:tcW w:w="1291" w:type="dxa"/>
            <w:shd w:val="clear" w:color="auto" w:fill="auto"/>
            <w:noWrap/>
            <w:vAlign w:val="bottom"/>
            <w:hideMark/>
          </w:tcPr>
          <w:p w14:paraId="22D4FD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2316" w:type="dxa"/>
            <w:shd w:val="clear" w:color="auto" w:fill="auto"/>
            <w:noWrap/>
            <w:vAlign w:val="bottom"/>
            <w:hideMark/>
          </w:tcPr>
          <w:p w14:paraId="60129B05"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1.52</w:t>
            </w:r>
          </w:p>
        </w:tc>
        <w:tc>
          <w:tcPr>
            <w:tcW w:w="2126" w:type="dxa"/>
            <w:shd w:val="clear" w:color="auto" w:fill="auto"/>
            <w:noWrap/>
            <w:vAlign w:val="bottom"/>
            <w:hideMark/>
          </w:tcPr>
          <w:p w14:paraId="44D1FBF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1.50</w:t>
            </w:r>
          </w:p>
        </w:tc>
        <w:tc>
          <w:tcPr>
            <w:tcW w:w="2268" w:type="dxa"/>
            <w:shd w:val="clear" w:color="auto" w:fill="auto"/>
            <w:noWrap/>
            <w:vAlign w:val="bottom"/>
            <w:hideMark/>
          </w:tcPr>
          <w:p w14:paraId="46BCE55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1.51</w:t>
            </w:r>
          </w:p>
        </w:tc>
        <w:tc>
          <w:tcPr>
            <w:tcW w:w="2268" w:type="dxa"/>
            <w:shd w:val="clear" w:color="auto" w:fill="auto"/>
            <w:noWrap/>
            <w:vAlign w:val="bottom"/>
            <w:hideMark/>
          </w:tcPr>
          <w:p w14:paraId="57B6F89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1.57</w:t>
            </w:r>
          </w:p>
        </w:tc>
        <w:tc>
          <w:tcPr>
            <w:tcW w:w="2268" w:type="dxa"/>
            <w:shd w:val="clear" w:color="auto" w:fill="auto"/>
            <w:noWrap/>
            <w:vAlign w:val="bottom"/>
            <w:hideMark/>
          </w:tcPr>
          <w:p w14:paraId="216ADB33"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1.58</w:t>
            </w:r>
          </w:p>
        </w:tc>
        <w:tc>
          <w:tcPr>
            <w:tcW w:w="1984" w:type="dxa"/>
            <w:shd w:val="clear" w:color="auto" w:fill="auto"/>
            <w:noWrap/>
            <w:vAlign w:val="bottom"/>
            <w:hideMark/>
          </w:tcPr>
          <w:p w14:paraId="1B67E50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1.58</w:t>
            </w:r>
          </w:p>
        </w:tc>
      </w:tr>
      <w:tr w:rsidR="00961617" w:rsidRPr="00545C7F" w14:paraId="7E8FB3F4" w14:textId="77777777" w:rsidTr="0020771F">
        <w:trPr>
          <w:trHeight w:hRule="exact" w:val="284"/>
        </w:trPr>
        <w:tc>
          <w:tcPr>
            <w:tcW w:w="1291" w:type="dxa"/>
            <w:shd w:val="clear" w:color="auto" w:fill="E5E5E5" w:themeFill="background1" w:themeFillTint="33"/>
            <w:noWrap/>
            <w:vAlign w:val="bottom"/>
            <w:hideMark/>
          </w:tcPr>
          <w:p w14:paraId="3B8CE8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2316" w:type="dxa"/>
            <w:shd w:val="clear" w:color="auto" w:fill="E5E5E5" w:themeFill="background1" w:themeFillTint="33"/>
            <w:noWrap/>
            <w:vAlign w:val="bottom"/>
            <w:hideMark/>
          </w:tcPr>
          <w:p w14:paraId="27C0616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1.39</w:t>
            </w:r>
          </w:p>
        </w:tc>
        <w:tc>
          <w:tcPr>
            <w:tcW w:w="2126" w:type="dxa"/>
            <w:shd w:val="clear" w:color="auto" w:fill="E5E5E5" w:themeFill="background1" w:themeFillTint="33"/>
            <w:noWrap/>
            <w:vAlign w:val="bottom"/>
            <w:hideMark/>
          </w:tcPr>
          <w:p w14:paraId="1A664DC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1.36</w:t>
            </w:r>
          </w:p>
        </w:tc>
        <w:tc>
          <w:tcPr>
            <w:tcW w:w="2268" w:type="dxa"/>
            <w:shd w:val="clear" w:color="auto" w:fill="E5E5E5" w:themeFill="background1" w:themeFillTint="33"/>
            <w:noWrap/>
            <w:vAlign w:val="bottom"/>
            <w:hideMark/>
          </w:tcPr>
          <w:p w14:paraId="61C32B4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1.38</w:t>
            </w:r>
          </w:p>
        </w:tc>
        <w:tc>
          <w:tcPr>
            <w:tcW w:w="2268" w:type="dxa"/>
            <w:shd w:val="clear" w:color="auto" w:fill="E5E5E5" w:themeFill="background1" w:themeFillTint="33"/>
            <w:noWrap/>
            <w:vAlign w:val="bottom"/>
            <w:hideMark/>
          </w:tcPr>
          <w:p w14:paraId="175F338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1.44</w:t>
            </w:r>
          </w:p>
        </w:tc>
        <w:tc>
          <w:tcPr>
            <w:tcW w:w="2268" w:type="dxa"/>
            <w:shd w:val="clear" w:color="auto" w:fill="E5E5E5" w:themeFill="background1" w:themeFillTint="33"/>
            <w:noWrap/>
            <w:vAlign w:val="bottom"/>
            <w:hideMark/>
          </w:tcPr>
          <w:p w14:paraId="3A48B6D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1.46</w:t>
            </w:r>
          </w:p>
        </w:tc>
        <w:tc>
          <w:tcPr>
            <w:tcW w:w="1984" w:type="dxa"/>
            <w:shd w:val="clear" w:color="auto" w:fill="E5E5E5" w:themeFill="background1" w:themeFillTint="33"/>
            <w:noWrap/>
            <w:vAlign w:val="bottom"/>
            <w:hideMark/>
          </w:tcPr>
          <w:p w14:paraId="129BD03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1.46</w:t>
            </w:r>
          </w:p>
        </w:tc>
      </w:tr>
      <w:tr w:rsidR="00961617" w:rsidRPr="00545C7F" w14:paraId="6CC7EABE" w14:textId="77777777" w:rsidTr="0020771F">
        <w:trPr>
          <w:trHeight w:hRule="exact" w:val="284"/>
        </w:trPr>
        <w:tc>
          <w:tcPr>
            <w:tcW w:w="1291" w:type="dxa"/>
            <w:shd w:val="clear" w:color="auto" w:fill="auto"/>
            <w:noWrap/>
            <w:vAlign w:val="bottom"/>
            <w:hideMark/>
          </w:tcPr>
          <w:p w14:paraId="69F7A0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2316" w:type="dxa"/>
            <w:shd w:val="clear" w:color="auto" w:fill="auto"/>
            <w:noWrap/>
            <w:vAlign w:val="bottom"/>
            <w:hideMark/>
          </w:tcPr>
          <w:p w14:paraId="5BC25D0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1.27</w:t>
            </w:r>
          </w:p>
        </w:tc>
        <w:tc>
          <w:tcPr>
            <w:tcW w:w="2126" w:type="dxa"/>
            <w:shd w:val="clear" w:color="auto" w:fill="auto"/>
            <w:noWrap/>
            <w:vAlign w:val="bottom"/>
            <w:hideMark/>
          </w:tcPr>
          <w:p w14:paraId="4A78538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1.24</w:t>
            </w:r>
          </w:p>
        </w:tc>
        <w:tc>
          <w:tcPr>
            <w:tcW w:w="2268" w:type="dxa"/>
            <w:shd w:val="clear" w:color="auto" w:fill="auto"/>
            <w:noWrap/>
            <w:vAlign w:val="bottom"/>
            <w:hideMark/>
          </w:tcPr>
          <w:p w14:paraId="052A18E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1.26</w:t>
            </w:r>
          </w:p>
        </w:tc>
        <w:tc>
          <w:tcPr>
            <w:tcW w:w="2268" w:type="dxa"/>
            <w:shd w:val="clear" w:color="auto" w:fill="auto"/>
            <w:noWrap/>
            <w:vAlign w:val="bottom"/>
            <w:hideMark/>
          </w:tcPr>
          <w:p w14:paraId="3B0AE143"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2268" w:type="dxa"/>
            <w:shd w:val="clear" w:color="auto" w:fill="auto"/>
            <w:noWrap/>
            <w:vAlign w:val="bottom"/>
            <w:hideMark/>
          </w:tcPr>
          <w:p w14:paraId="2B70A4C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1.35</w:t>
            </w:r>
          </w:p>
        </w:tc>
        <w:tc>
          <w:tcPr>
            <w:tcW w:w="1984" w:type="dxa"/>
            <w:shd w:val="clear" w:color="auto" w:fill="auto"/>
            <w:noWrap/>
            <w:vAlign w:val="bottom"/>
            <w:hideMark/>
          </w:tcPr>
          <w:p w14:paraId="1B6E2D2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1.35</w:t>
            </w:r>
          </w:p>
        </w:tc>
      </w:tr>
      <w:tr w:rsidR="00961617" w:rsidRPr="00545C7F" w14:paraId="05C4C127" w14:textId="77777777" w:rsidTr="0020771F">
        <w:trPr>
          <w:trHeight w:hRule="exact" w:val="284"/>
        </w:trPr>
        <w:tc>
          <w:tcPr>
            <w:tcW w:w="1291" w:type="dxa"/>
            <w:shd w:val="clear" w:color="auto" w:fill="E5E5E5" w:themeFill="background1" w:themeFillTint="33"/>
            <w:noWrap/>
            <w:vAlign w:val="bottom"/>
            <w:hideMark/>
          </w:tcPr>
          <w:p w14:paraId="4C855B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2316" w:type="dxa"/>
            <w:shd w:val="clear" w:color="auto" w:fill="E5E5E5" w:themeFill="background1" w:themeFillTint="33"/>
            <w:noWrap/>
            <w:vAlign w:val="bottom"/>
            <w:hideMark/>
          </w:tcPr>
          <w:p w14:paraId="3309C8F7"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c>
          <w:tcPr>
            <w:tcW w:w="2126" w:type="dxa"/>
            <w:shd w:val="clear" w:color="auto" w:fill="E5E5E5" w:themeFill="background1" w:themeFillTint="33"/>
            <w:noWrap/>
            <w:vAlign w:val="bottom"/>
            <w:hideMark/>
          </w:tcPr>
          <w:p w14:paraId="196F801A"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1.12</w:t>
            </w:r>
          </w:p>
        </w:tc>
        <w:tc>
          <w:tcPr>
            <w:tcW w:w="2268" w:type="dxa"/>
            <w:shd w:val="clear" w:color="auto" w:fill="E5E5E5" w:themeFill="background1" w:themeFillTint="33"/>
            <w:noWrap/>
            <w:vAlign w:val="bottom"/>
            <w:hideMark/>
          </w:tcPr>
          <w:p w14:paraId="65922D2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2268" w:type="dxa"/>
            <w:shd w:val="clear" w:color="auto" w:fill="E5E5E5" w:themeFill="background1" w:themeFillTint="33"/>
            <w:noWrap/>
            <w:vAlign w:val="bottom"/>
            <w:hideMark/>
          </w:tcPr>
          <w:p w14:paraId="33DB047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1.21</w:t>
            </w:r>
          </w:p>
        </w:tc>
        <w:tc>
          <w:tcPr>
            <w:tcW w:w="2268" w:type="dxa"/>
            <w:shd w:val="clear" w:color="auto" w:fill="E5E5E5" w:themeFill="background1" w:themeFillTint="33"/>
            <w:noWrap/>
            <w:vAlign w:val="bottom"/>
            <w:hideMark/>
          </w:tcPr>
          <w:p w14:paraId="744808A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1.24</w:t>
            </w:r>
          </w:p>
        </w:tc>
        <w:tc>
          <w:tcPr>
            <w:tcW w:w="1984" w:type="dxa"/>
            <w:shd w:val="clear" w:color="auto" w:fill="E5E5E5" w:themeFill="background1" w:themeFillTint="33"/>
            <w:noWrap/>
            <w:vAlign w:val="bottom"/>
            <w:hideMark/>
          </w:tcPr>
          <w:p w14:paraId="0A80AEF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1.24</w:t>
            </w:r>
          </w:p>
        </w:tc>
      </w:tr>
      <w:tr w:rsidR="00961617" w:rsidRPr="00545C7F" w14:paraId="2415D9A3" w14:textId="77777777" w:rsidTr="0020771F">
        <w:trPr>
          <w:trHeight w:hRule="exact" w:val="284"/>
        </w:trPr>
        <w:tc>
          <w:tcPr>
            <w:tcW w:w="1291" w:type="dxa"/>
            <w:shd w:val="clear" w:color="auto" w:fill="auto"/>
            <w:noWrap/>
            <w:vAlign w:val="bottom"/>
            <w:hideMark/>
          </w:tcPr>
          <w:p w14:paraId="6832A7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2316" w:type="dxa"/>
            <w:shd w:val="clear" w:color="auto" w:fill="auto"/>
            <w:noWrap/>
            <w:vAlign w:val="bottom"/>
            <w:hideMark/>
          </w:tcPr>
          <w:p w14:paraId="7A62B4C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c>
          <w:tcPr>
            <w:tcW w:w="2126" w:type="dxa"/>
            <w:shd w:val="clear" w:color="auto" w:fill="auto"/>
            <w:noWrap/>
            <w:vAlign w:val="bottom"/>
            <w:hideMark/>
          </w:tcPr>
          <w:p w14:paraId="37BE0E6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1.03</w:t>
            </w:r>
          </w:p>
        </w:tc>
        <w:tc>
          <w:tcPr>
            <w:tcW w:w="2268" w:type="dxa"/>
            <w:shd w:val="clear" w:color="auto" w:fill="auto"/>
            <w:noWrap/>
            <w:vAlign w:val="bottom"/>
            <w:hideMark/>
          </w:tcPr>
          <w:p w14:paraId="113B9D0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c>
          <w:tcPr>
            <w:tcW w:w="2268" w:type="dxa"/>
            <w:shd w:val="clear" w:color="auto" w:fill="auto"/>
            <w:noWrap/>
            <w:vAlign w:val="bottom"/>
            <w:hideMark/>
          </w:tcPr>
          <w:p w14:paraId="3702CE1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1.12</w:t>
            </w:r>
          </w:p>
        </w:tc>
        <w:tc>
          <w:tcPr>
            <w:tcW w:w="2268" w:type="dxa"/>
            <w:shd w:val="clear" w:color="auto" w:fill="auto"/>
            <w:noWrap/>
            <w:vAlign w:val="bottom"/>
            <w:hideMark/>
          </w:tcPr>
          <w:p w14:paraId="01A8E79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c>
          <w:tcPr>
            <w:tcW w:w="1984" w:type="dxa"/>
            <w:shd w:val="clear" w:color="auto" w:fill="auto"/>
            <w:noWrap/>
            <w:vAlign w:val="bottom"/>
            <w:hideMark/>
          </w:tcPr>
          <w:p w14:paraId="47C9CEF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r>
      <w:tr w:rsidR="00961617" w:rsidRPr="00545C7F" w14:paraId="5078C3AA" w14:textId="77777777" w:rsidTr="0020771F">
        <w:trPr>
          <w:trHeight w:hRule="exact" w:val="284"/>
        </w:trPr>
        <w:tc>
          <w:tcPr>
            <w:tcW w:w="1291" w:type="dxa"/>
            <w:shd w:val="clear" w:color="auto" w:fill="E5E5E5" w:themeFill="background1" w:themeFillTint="33"/>
            <w:noWrap/>
            <w:vAlign w:val="bottom"/>
            <w:hideMark/>
          </w:tcPr>
          <w:p w14:paraId="754B03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2316" w:type="dxa"/>
            <w:shd w:val="clear" w:color="auto" w:fill="E5E5E5" w:themeFill="background1" w:themeFillTint="33"/>
            <w:noWrap/>
            <w:vAlign w:val="bottom"/>
            <w:hideMark/>
          </w:tcPr>
          <w:p w14:paraId="59D1412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0.94</w:t>
            </w:r>
          </w:p>
        </w:tc>
        <w:tc>
          <w:tcPr>
            <w:tcW w:w="2126" w:type="dxa"/>
            <w:shd w:val="clear" w:color="auto" w:fill="E5E5E5" w:themeFill="background1" w:themeFillTint="33"/>
            <w:noWrap/>
            <w:vAlign w:val="bottom"/>
            <w:hideMark/>
          </w:tcPr>
          <w:p w14:paraId="4BBE3DE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0.92</w:t>
            </w:r>
          </w:p>
        </w:tc>
        <w:tc>
          <w:tcPr>
            <w:tcW w:w="2268" w:type="dxa"/>
            <w:shd w:val="clear" w:color="auto" w:fill="E5E5E5" w:themeFill="background1" w:themeFillTint="33"/>
            <w:noWrap/>
            <w:vAlign w:val="bottom"/>
            <w:hideMark/>
          </w:tcPr>
          <w:p w14:paraId="5C58B51B"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0.94</w:t>
            </w:r>
          </w:p>
        </w:tc>
        <w:tc>
          <w:tcPr>
            <w:tcW w:w="2268" w:type="dxa"/>
            <w:shd w:val="clear" w:color="auto" w:fill="E5E5E5" w:themeFill="background1" w:themeFillTint="33"/>
            <w:noWrap/>
            <w:vAlign w:val="bottom"/>
            <w:hideMark/>
          </w:tcPr>
          <w:p w14:paraId="5228BAE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1.01</w:t>
            </w:r>
          </w:p>
        </w:tc>
        <w:tc>
          <w:tcPr>
            <w:tcW w:w="2268" w:type="dxa"/>
            <w:shd w:val="clear" w:color="auto" w:fill="E5E5E5" w:themeFill="background1" w:themeFillTint="33"/>
            <w:noWrap/>
            <w:vAlign w:val="bottom"/>
            <w:hideMark/>
          </w:tcPr>
          <w:p w14:paraId="7F961D0E"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c>
          <w:tcPr>
            <w:tcW w:w="1984" w:type="dxa"/>
            <w:shd w:val="clear" w:color="auto" w:fill="E5E5E5" w:themeFill="background1" w:themeFillTint="33"/>
            <w:noWrap/>
            <w:vAlign w:val="bottom"/>
            <w:hideMark/>
          </w:tcPr>
          <w:p w14:paraId="3CE5A1B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r>
      <w:tr w:rsidR="00961617" w:rsidRPr="00545C7F" w14:paraId="66C704CD" w14:textId="77777777" w:rsidTr="0020771F">
        <w:trPr>
          <w:trHeight w:hRule="exact" w:val="284"/>
        </w:trPr>
        <w:tc>
          <w:tcPr>
            <w:tcW w:w="1291" w:type="dxa"/>
            <w:shd w:val="clear" w:color="auto" w:fill="auto"/>
            <w:noWrap/>
            <w:vAlign w:val="bottom"/>
            <w:hideMark/>
          </w:tcPr>
          <w:p w14:paraId="43F72B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2316" w:type="dxa"/>
            <w:shd w:val="clear" w:color="auto" w:fill="auto"/>
            <w:noWrap/>
            <w:vAlign w:val="bottom"/>
            <w:hideMark/>
          </w:tcPr>
          <w:p w14:paraId="7C551F5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0.90</w:t>
            </w:r>
          </w:p>
        </w:tc>
        <w:tc>
          <w:tcPr>
            <w:tcW w:w="2126" w:type="dxa"/>
            <w:shd w:val="clear" w:color="auto" w:fill="auto"/>
            <w:noWrap/>
            <w:vAlign w:val="bottom"/>
            <w:hideMark/>
          </w:tcPr>
          <w:p w14:paraId="689F285C"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0.87</w:t>
            </w:r>
          </w:p>
        </w:tc>
        <w:tc>
          <w:tcPr>
            <w:tcW w:w="2268" w:type="dxa"/>
            <w:shd w:val="clear" w:color="auto" w:fill="auto"/>
            <w:noWrap/>
            <w:vAlign w:val="bottom"/>
            <w:hideMark/>
          </w:tcPr>
          <w:p w14:paraId="3CDC4BA1"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c>
          <w:tcPr>
            <w:tcW w:w="2268" w:type="dxa"/>
            <w:shd w:val="clear" w:color="auto" w:fill="auto"/>
            <w:noWrap/>
            <w:vAlign w:val="bottom"/>
            <w:hideMark/>
          </w:tcPr>
          <w:p w14:paraId="6A4E432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0.96</w:t>
            </w:r>
          </w:p>
        </w:tc>
        <w:tc>
          <w:tcPr>
            <w:tcW w:w="2268" w:type="dxa"/>
            <w:shd w:val="clear" w:color="auto" w:fill="auto"/>
            <w:noWrap/>
            <w:vAlign w:val="bottom"/>
            <w:hideMark/>
          </w:tcPr>
          <w:p w14:paraId="5772AC3F"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c>
          <w:tcPr>
            <w:tcW w:w="1984" w:type="dxa"/>
            <w:shd w:val="clear" w:color="auto" w:fill="auto"/>
            <w:noWrap/>
            <w:vAlign w:val="bottom"/>
            <w:hideMark/>
          </w:tcPr>
          <w:p w14:paraId="6546C380"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r>
      <w:tr w:rsidR="00961617" w:rsidRPr="00545C7F" w14:paraId="69A4B7F5" w14:textId="77777777" w:rsidTr="0020771F">
        <w:trPr>
          <w:trHeight w:hRule="exact" w:val="284"/>
        </w:trPr>
        <w:tc>
          <w:tcPr>
            <w:tcW w:w="1291" w:type="dxa"/>
            <w:tcBorders>
              <w:bottom w:val="single" w:sz="4" w:space="0" w:color="auto"/>
            </w:tcBorders>
            <w:shd w:val="clear" w:color="auto" w:fill="E5E5E5" w:themeFill="background1" w:themeFillTint="33"/>
            <w:noWrap/>
            <w:vAlign w:val="bottom"/>
            <w:hideMark/>
          </w:tcPr>
          <w:p w14:paraId="7C101D9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2316" w:type="dxa"/>
            <w:tcBorders>
              <w:bottom w:val="single" w:sz="4" w:space="0" w:color="auto"/>
            </w:tcBorders>
            <w:shd w:val="clear" w:color="auto" w:fill="E5E5E5" w:themeFill="background1" w:themeFillTint="33"/>
            <w:noWrap/>
            <w:vAlign w:val="bottom"/>
            <w:hideMark/>
          </w:tcPr>
          <w:p w14:paraId="114CF484"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0.84</w:t>
            </w:r>
          </w:p>
        </w:tc>
        <w:tc>
          <w:tcPr>
            <w:tcW w:w="2126" w:type="dxa"/>
            <w:tcBorders>
              <w:bottom w:val="single" w:sz="4" w:space="0" w:color="auto"/>
            </w:tcBorders>
            <w:shd w:val="clear" w:color="auto" w:fill="E5E5E5" w:themeFill="background1" w:themeFillTint="33"/>
            <w:noWrap/>
            <w:vAlign w:val="bottom"/>
            <w:hideMark/>
          </w:tcPr>
          <w:p w14:paraId="504D35C2"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0.82</w:t>
            </w:r>
          </w:p>
        </w:tc>
        <w:tc>
          <w:tcPr>
            <w:tcW w:w="2268" w:type="dxa"/>
            <w:tcBorders>
              <w:bottom w:val="single" w:sz="4" w:space="0" w:color="auto"/>
            </w:tcBorders>
            <w:shd w:val="clear" w:color="auto" w:fill="E5E5E5" w:themeFill="background1" w:themeFillTint="33"/>
            <w:noWrap/>
            <w:vAlign w:val="bottom"/>
            <w:hideMark/>
          </w:tcPr>
          <w:p w14:paraId="3D142A18"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0.83</w:t>
            </w:r>
          </w:p>
        </w:tc>
        <w:tc>
          <w:tcPr>
            <w:tcW w:w="2268" w:type="dxa"/>
            <w:tcBorders>
              <w:bottom w:val="single" w:sz="4" w:space="0" w:color="auto"/>
            </w:tcBorders>
            <w:shd w:val="clear" w:color="auto" w:fill="E5E5E5" w:themeFill="background1" w:themeFillTint="33"/>
            <w:noWrap/>
            <w:vAlign w:val="bottom"/>
            <w:hideMark/>
          </w:tcPr>
          <w:p w14:paraId="499FB3A9"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0.91</w:t>
            </w:r>
          </w:p>
        </w:tc>
        <w:tc>
          <w:tcPr>
            <w:tcW w:w="2268" w:type="dxa"/>
            <w:tcBorders>
              <w:bottom w:val="single" w:sz="4" w:space="0" w:color="auto"/>
            </w:tcBorders>
            <w:shd w:val="clear" w:color="auto" w:fill="E5E5E5" w:themeFill="background1" w:themeFillTint="33"/>
            <w:noWrap/>
            <w:vAlign w:val="bottom"/>
            <w:hideMark/>
          </w:tcPr>
          <w:p w14:paraId="0EBC252D"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0.95</w:t>
            </w:r>
          </w:p>
        </w:tc>
        <w:tc>
          <w:tcPr>
            <w:tcW w:w="1984" w:type="dxa"/>
            <w:tcBorders>
              <w:bottom w:val="single" w:sz="4" w:space="0" w:color="auto"/>
            </w:tcBorders>
            <w:shd w:val="clear" w:color="auto" w:fill="E5E5E5" w:themeFill="background1" w:themeFillTint="33"/>
            <w:noWrap/>
            <w:vAlign w:val="bottom"/>
            <w:hideMark/>
          </w:tcPr>
          <w:p w14:paraId="62EAED76" w14:textId="77777777" w:rsidR="00961617" w:rsidRPr="00545C7F" w:rsidRDefault="00961617" w:rsidP="0020771F">
            <w:pPr>
              <w:spacing w:after="0" w:line="240" w:lineRule="auto"/>
              <w:jc w:val="center"/>
              <w:rPr>
                <w:rFonts w:eastAsia="Times New Roman" w:cstheme="minorHAnsi"/>
                <w:color w:val="000000"/>
                <w:sz w:val="20"/>
                <w:szCs w:val="20"/>
                <w:lang w:eastAsia="en-AU"/>
              </w:rPr>
            </w:pPr>
            <w:r w:rsidRPr="00545C7F">
              <w:rPr>
                <w:rFonts w:eastAsia="Times New Roman" w:cstheme="minorHAnsi"/>
                <w:color w:val="000000"/>
                <w:sz w:val="20"/>
                <w:szCs w:val="20"/>
                <w:lang w:eastAsia="en-AU"/>
              </w:rPr>
              <w:t>0.95</w:t>
            </w:r>
          </w:p>
        </w:tc>
      </w:tr>
    </w:tbl>
    <w:p w14:paraId="6F322803" w14:textId="77777777" w:rsidR="00961617" w:rsidRPr="003877A2" w:rsidRDefault="00961617" w:rsidP="000709A5">
      <w:pPr>
        <w:pStyle w:val="Source"/>
      </w:pPr>
      <w:r w:rsidRPr="000709A5">
        <w:rPr>
          <w:b/>
        </w:rPr>
        <w:t>Source</w:t>
      </w:r>
      <w:r w:rsidR="00E13B5E" w:rsidRPr="000709A5">
        <w:rPr>
          <w:b/>
        </w:rPr>
        <w:t>:</w:t>
      </w:r>
      <w:r w:rsidR="00E13B5E" w:rsidRPr="003877A2">
        <w:tab/>
      </w:r>
      <w:r w:rsidRPr="000709A5">
        <w:t>Department of Employment administrative data</w:t>
      </w:r>
      <w:r w:rsidR="000709A5">
        <w:t>.</w:t>
      </w:r>
    </w:p>
    <w:p w14:paraId="7235FE83" w14:textId="77777777" w:rsidR="00961617" w:rsidRPr="002F5864" w:rsidRDefault="00864C5E" w:rsidP="00961617">
      <w:pPr>
        <w:spacing w:before="120"/>
        <w:rPr>
          <w:rFonts w:cstheme="minorHAnsi"/>
          <w:sz w:val="20"/>
        </w:rPr>
      </w:pPr>
      <w:hyperlink w:anchor="Place_A27" w:history="1">
        <w:r w:rsidR="00961617" w:rsidRPr="00B535F8">
          <w:rPr>
            <w:rStyle w:val="Hyperlink"/>
            <w:rFonts w:cstheme="minorHAnsi"/>
            <w:sz w:val="18"/>
            <w:szCs w:val="18"/>
          </w:rPr>
          <w:t>Return to Figure 3.</w:t>
        </w:r>
        <w:r w:rsidR="00E80C53" w:rsidRPr="00B535F8">
          <w:rPr>
            <w:rStyle w:val="Hyperlink"/>
            <w:rFonts w:cstheme="minorHAnsi"/>
            <w:sz w:val="18"/>
            <w:szCs w:val="18"/>
          </w:rPr>
          <w:t>6</w:t>
        </w:r>
      </w:hyperlink>
      <w:r w:rsidR="00961617" w:rsidRPr="002F5864">
        <w:rPr>
          <w:rFonts w:cstheme="minorHAnsi"/>
          <w:sz w:val="18"/>
          <w:szCs w:val="18"/>
        </w:rPr>
        <w:t xml:space="preserve"> where this data is referenced.</w:t>
      </w:r>
      <w:r w:rsidR="00961617" w:rsidRPr="002F5864">
        <w:rPr>
          <w:rFonts w:cstheme="minorHAnsi"/>
        </w:rPr>
        <w:br w:type="page"/>
      </w:r>
    </w:p>
    <w:p w14:paraId="1C71D882" w14:textId="77777777" w:rsidR="00961617" w:rsidRPr="002F5864" w:rsidRDefault="00961617" w:rsidP="00961617">
      <w:pPr>
        <w:pStyle w:val="TableheadingforappendixA1"/>
        <w:rPr>
          <w:rFonts w:cstheme="minorHAnsi"/>
        </w:rPr>
      </w:pPr>
      <w:bookmarkStart w:id="631" w:name="_Toc513129901"/>
      <w:r w:rsidRPr="002F5864">
        <w:rPr>
          <w:rFonts w:cstheme="minorHAnsi"/>
        </w:rPr>
        <w:t>Table A2.8: Income support status 12 months after exiting income support, new entrant job seekers (per cent and percentage point)</w:t>
      </w:r>
      <w:bookmarkEnd w:id="631"/>
    </w:p>
    <w:tbl>
      <w:tblPr>
        <w:tblW w:w="4554"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134"/>
        <w:gridCol w:w="1824"/>
        <w:gridCol w:w="135"/>
        <w:gridCol w:w="1680"/>
        <w:gridCol w:w="135"/>
        <w:gridCol w:w="1818"/>
        <w:gridCol w:w="135"/>
        <w:gridCol w:w="1402"/>
        <w:gridCol w:w="135"/>
        <w:gridCol w:w="1122"/>
        <w:gridCol w:w="832"/>
        <w:gridCol w:w="1264"/>
      </w:tblGrid>
      <w:tr w:rsidR="00961617" w:rsidRPr="002F5864" w14:paraId="78DC6141" w14:textId="77777777" w:rsidTr="0020771F">
        <w:trPr>
          <w:trHeight w:hRule="exact" w:val="854"/>
          <w:tblHeader/>
        </w:trPr>
        <w:tc>
          <w:tcPr>
            <w:tcW w:w="2178" w:type="dxa"/>
            <w:gridSpan w:val="2"/>
            <w:tcBorders>
              <w:top w:val="nil"/>
              <w:left w:val="nil"/>
              <w:bottom w:val="nil"/>
              <w:right w:val="nil"/>
            </w:tcBorders>
            <w:shd w:val="clear" w:color="auto" w:fill="1E3D6B"/>
            <w:vAlign w:val="center"/>
          </w:tcPr>
          <w:p w14:paraId="568BC2E0" w14:textId="77777777" w:rsidR="00961617" w:rsidRPr="002F5864" w:rsidRDefault="00961617" w:rsidP="0020771F">
            <w:pPr>
              <w:spacing w:after="0"/>
              <w:rPr>
                <w:rFonts w:cstheme="minorHAnsi"/>
                <w:b/>
                <w:color w:val="FFFFFF" w:themeColor="background2"/>
                <w:sz w:val="20"/>
                <w:szCs w:val="20"/>
              </w:rPr>
            </w:pPr>
            <w:bookmarkStart w:id="632" w:name="Title_A28"/>
            <w:bookmarkEnd w:id="632"/>
            <w:r w:rsidRPr="002F5864">
              <w:rPr>
                <w:rFonts w:cstheme="minorHAnsi"/>
                <w:b/>
                <w:color w:val="FFFFFF" w:themeColor="background2"/>
                <w:sz w:val="20"/>
                <w:szCs w:val="20"/>
              </w:rPr>
              <w:t>Client group</w:t>
            </w:r>
          </w:p>
        </w:tc>
        <w:tc>
          <w:tcPr>
            <w:tcW w:w="1913" w:type="dxa"/>
            <w:gridSpan w:val="2"/>
            <w:tcBorders>
              <w:top w:val="nil"/>
              <w:left w:val="nil"/>
              <w:bottom w:val="nil"/>
              <w:right w:val="nil"/>
            </w:tcBorders>
            <w:shd w:val="clear" w:color="auto" w:fill="1E3D6B"/>
            <w:vAlign w:val="center"/>
          </w:tcPr>
          <w:p w14:paraId="4ABFE870" w14:textId="77777777" w:rsidR="00961617" w:rsidRPr="002F5864" w:rsidRDefault="00961617" w:rsidP="0020771F">
            <w:pPr>
              <w:keepNext/>
              <w:spacing w:after="0"/>
              <w:jc w:val="center"/>
              <w:rPr>
                <w:rFonts w:cstheme="minorHAnsi"/>
                <w:b/>
                <w:color w:val="FFFFFF" w:themeColor="background2"/>
                <w:sz w:val="20"/>
                <w:szCs w:val="20"/>
              </w:rPr>
            </w:pPr>
            <w:r w:rsidRPr="002F5864">
              <w:rPr>
                <w:rFonts w:cstheme="minorHAnsi"/>
                <w:b/>
                <w:color w:val="FFFFFF" w:themeColor="background2"/>
                <w:sz w:val="20"/>
                <w:szCs w:val="20"/>
              </w:rPr>
              <w:t>OFF</w:t>
            </w:r>
            <w:r w:rsidRPr="002F5864">
              <w:rPr>
                <w:rFonts w:cstheme="minorHAnsi"/>
                <w:b/>
                <w:color w:val="FFFFFF" w:themeColor="background2"/>
                <w:sz w:val="20"/>
                <w:szCs w:val="20"/>
              </w:rPr>
              <w:br/>
              <w:t>Observed</w:t>
            </w:r>
            <w:r w:rsidRPr="002F5864">
              <w:rPr>
                <w:rFonts w:cstheme="minorHAnsi"/>
                <w:b/>
                <w:color w:val="FFFFFF" w:themeColor="background2"/>
                <w:sz w:val="20"/>
                <w:szCs w:val="20"/>
              </w:rPr>
              <w:br/>
              <w:t>(%)</w:t>
            </w:r>
          </w:p>
        </w:tc>
        <w:tc>
          <w:tcPr>
            <w:tcW w:w="1772" w:type="dxa"/>
            <w:gridSpan w:val="2"/>
            <w:tcBorders>
              <w:top w:val="nil"/>
              <w:left w:val="nil"/>
              <w:bottom w:val="nil"/>
              <w:right w:val="nil"/>
            </w:tcBorders>
            <w:shd w:val="clear" w:color="auto" w:fill="1E3D6B"/>
            <w:vAlign w:val="center"/>
          </w:tcPr>
          <w:p w14:paraId="3F44DB17" w14:textId="77777777" w:rsidR="00961617" w:rsidRPr="002F5864" w:rsidRDefault="00961617" w:rsidP="0020771F">
            <w:pPr>
              <w:keepNext/>
              <w:spacing w:after="0"/>
              <w:ind w:left="-15" w:right="-13"/>
              <w:jc w:val="center"/>
              <w:rPr>
                <w:rFonts w:cstheme="minorHAnsi"/>
                <w:b/>
                <w:color w:val="FFFFFF" w:themeColor="background2"/>
                <w:sz w:val="20"/>
                <w:szCs w:val="20"/>
              </w:rPr>
            </w:pPr>
            <w:r w:rsidRPr="002F5864">
              <w:rPr>
                <w:rFonts w:cstheme="minorHAnsi"/>
                <w:b/>
                <w:color w:val="FFFFFF" w:themeColor="background2"/>
                <w:sz w:val="20"/>
                <w:szCs w:val="20"/>
              </w:rPr>
              <w:t>OFF</w:t>
            </w:r>
            <w:r w:rsidRPr="002F5864">
              <w:rPr>
                <w:rFonts w:cstheme="minorHAnsi"/>
                <w:b/>
                <w:color w:val="FFFFFF" w:themeColor="background2"/>
                <w:sz w:val="20"/>
                <w:szCs w:val="20"/>
              </w:rPr>
              <w:br/>
              <w:t>AME</w:t>
            </w:r>
            <w:r w:rsidRPr="002F5864">
              <w:rPr>
                <w:rFonts w:cstheme="minorHAnsi"/>
                <w:b/>
                <w:color w:val="FFFFFF" w:themeColor="background2"/>
                <w:sz w:val="20"/>
                <w:szCs w:val="20"/>
              </w:rPr>
              <w:br/>
              <w:t>(ppt)</w:t>
            </w:r>
          </w:p>
        </w:tc>
        <w:tc>
          <w:tcPr>
            <w:tcW w:w="1907" w:type="dxa"/>
            <w:gridSpan w:val="2"/>
            <w:tcBorders>
              <w:top w:val="nil"/>
              <w:left w:val="nil"/>
              <w:bottom w:val="nil"/>
              <w:right w:val="nil"/>
            </w:tcBorders>
            <w:shd w:val="clear" w:color="auto" w:fill="1E3D6B"/>
            <w:vAlign w:val="center"/>
          </w:tcPr>
          <w:p w14:paraId="4F95E95B" w14:textId="77777777" w:rsidR="00961617" w:rsidRPr="002F5864" w:rsidRDefault="00961617" w:rsidP="0020771F">
            <w:pPr>
              <w:keepNext/>
              <w:spacing w:after="0"/>
              <w:jc w:val="center"/>
              <w:rPr>
                <w:rFonts w:cstheme="minorHAnsi"/>
                <w:b/>
                <w:color w:val="FFFFFF" w:themeColor="background2"/>
                <w:sz w:val="20"/>
                <w:szCs w:val="20"/>
              </w:rPr>
            </w:pPr>
            <w:r w:rsidRPr="002F5864">
              <w:rPr>
                <w:rFonts w:cstheme="minorHAnsi"/>
                <w:b/>
                <w:color w:val="FFFFFF" w:themeColor="background2"/>
                <w:sz w:val="20"/>
                <w:szCs w:val="20"/>
              </w:rPr>
              <w:t>PARTIAL</w:t>
            </w:r>
            <w:r w:rsidRPr="002F5864">
              <w:rPr>
                <w:rFonts w:cstheme="minorHAnsi"/>
                <w:b/>
                <w:color w:val="FFFFFF" w:themeColor="background2"/>
                <w:sz w:val="20"/>
                <w:szCs w:val="20"/>
              </w:rPr>
              <w:br/>
              <w:t>Observed</w:t>
            </w:r>
            <w:r w:rsidRPr="002F5864">
              <w:rPr>
                <w:rFonts w:cstheme="minorHAnsi"/>
                <w:b/>
                <w:color w:val="FFFFFF" w:themeColor="background2"/>
                <w:sz w:val="20"/>
                <w:szCs w:val="20"/>
              </w:rPr>
              <w:br/>
              <w:t>(%)</w:t>
            </w:r>
          </w:p>
        </w:tc>
        <w:tc>
          <w:tcPr>
            <w:tcW w:w="1501" w:type="dxa"/>
            <w:gridSpan w:val="2"/>
            <w:tcBorders>
              <w:top w:val="nil"/>
              <w:left w:val="nil"/>
              <w:bottom w:val="nil"/>
              <w:right w:val="nil"/>
            </w:tcBorders>
            <w:shd w:val="clear" w:color="auto" w:fill="1E3D6B"/>
            <w:vAlign w:val="center"/>
          </w:tcPr>
          <w:p w14:paraId="45262665" w14:textId="77777777" w:rsidR="00961617" w:rsidRPr="002F5864" w:rsidRDefault="00961617" w:rsidP="0020771F">
            <w:pPr>
              <w:keepNext/>
              <w:spacing w:after="0"/>
              <w:ind w:left="-72"/>
              <w:jc w:val="center"/>
              <w:rPr>
                <w:rFonts w:cstheme="minorHAnsi"/>
                <w:b/>
                <w:color w:val="FFFFFF" w:themeColor="background2"/>
                <w:sz w:val="20"/>
                <w:szCs w:val="20"/>
              </w:rPr>
            </w:pPr>
            <w:r w:rsidRPr="002F5864">
              <w:rPr>
                <w:rFonts w:cstheme="minorHAnsi"/>
                <w:b/>
                <w:color w:val="FFFFFF" w:themeColor="background2"/>
                <w:sz w:val="20"/>
                <w:szCs w:val="20"/>
              </w:rPr>
              <w:t>PARTIAL</w:t>
            </w:r>
            <w:r w:rsidRPr="002F5864">
              <w:rPr>
                <w:rFonts w:cstheme="minorHAnsi"/>
                <w:b/>
                <w:color w:val="FFFFFF" w:themeColor="background2"/>
                <w:sz w:val="20"/>
                <w:szCs w:val="20"/>
              </w:rPr>
              <w:br/>
              <w:t>AME</w:t>
            </w:r>
            <w:r w:rsidRPr="002F5864">
              <w:rPr>
                <w:rFonts w:cstheme="minorHAnsi"/>
                <w:b/>
                <w:color w:val="FFFFFF" w:themeColor="background2"/>
                <w:sz w:val="20"/>
                <w:szCs w:val="20"/>
              </w:rPr>
              <w:br/>
              <w:t>(ppt)</w:t>
            </w:r>
          </w:p>
        </w:tc>
        <w:tc>
          <w:tcPr>
            <w:tcW w:w="1908" w:type="dxa"/>
            <w:gridSpan w:val="2"/>
            <w:tcBorders>
              <w:top w:val="nil"/>
              <w:left w:val="nil"/>
              <w:bottom w:val="nil"/>
              <w:right w:val="nil"/>
            </w:tcBorders>
            <w:shd w:val="clear" w:color="auto" w:fill="1E3D6B"/>
            <w:vAlign w:val="center"/>
          </w:tcPr>
          <w:p w14:paraId="639BBE77" w14:textId="77777777" w:rsidR="00961617" w:rsidRPr="002F5864" w:rsidRDefault="00961617" w:rsidP="0020771F">
            <w:pPr>
              <w:keepNext/>
              <w:spacing w:after="0"/>
              <w:ind w:left="102" w:right="266"/>
              <w:jc w:val="center"/>
              <w:rPr>
                <w:rFonts w:cstheme="minorHAnsi"/>
                <w:b/>
                <w:color w:val="FFFFFF" w:themeColor="background2"/>
                <w:sz w:val="20"/>
                <w:szCs w:val="20"/>
              </w:rPr>
            </w:pPr>
            <w:r w:rsidRPr="002F5864">
              <w:rPr>
                <w:rFonts w:cstheme="minorHAnsi"/>
                <w:b/>
                <w:color w:val="FFFFFF" w:themeColor="background2"/>
                <w:sz w:val="20"/>
                <w:szCs w:val="20"/>
              </w:rPr>
              <w:t>FULL</w:t>
            </w:r>
            <w:r w:rsidRPr="002F5864">
              <w:rPr>
                <w:rFonts w:cstheme="minorHAnsi"/>
                <w:b/>
                <w:color w:val="FFFFFF" w:themeColor="background2"/>
                <w:sz w:val="20"/>
                <w:szCs w:val="20"/>
              </w:rPr>
              <w:br/>
              <w:t>Observed</w:t>
            </w:r>
            <w:r w:rsidRPr="002F5864">
              <w:rPr>
                <w:rFonts w:cstheme="minorHAnsi"/>
                <w:b/>
                <w:color w:val="FFFFFF" w:themeColor="background2"/>
                <w:sz w:val="20"/>
                <w:szCs w:val="20"/>
              </w:rPr>
              <w:br/>
              <w:t>(%)</w:t>
            </w:r>
          </w:p>
        </w:tc>
        <w:tc>
          <w:tcPr>
            <w:tcW w:w="1234" w:type="dxa"/>
            <w:tcBorders>
              <w:top w:val="nil"/>
              <w:left w:val="nil"/>
              <w:bottom w:val="nil"/>
              <w:right w:val="nil"/>
            </w:tcBorders>
            <w:shd w:val="clear" w:color="auto" w:fill="1E3D6B"/>
            <w:vAlign w:val="center"/>
          </w:tcPr>
          <w:p w14:paraId="68E6C9E6" w14:textId="77777777" w:rsidR="00961617" w:rsidRPr="002F5864" w:rsidRDefault="00961617" w:rsidP="0020771F">
            <w:pPr>
              <w:keepNext/>
              <w:spacing w:after="0"/>
              <w:ind w:right="19"/>
              <w:jc w:val="center"/>
              <w:rPr>
                <w:rFonts w:cstheme="minorHAnsi"/>
                <w:b/>
                <w:color w:val="FFFFFF" w:themeColor="background2"/>
                <w:sz w:val="20"/>
                <w:szCs w:val="20"/>
              </w:rPr>
            </w:pPr>
            <w:r w:rsidRPr="002F5864">
              <w:rPr>
                <w:rFonts w:cstheme="minorHAnsi"/>
                <w:b/>
                <w:color w:val="FFFFFF" w:themeColor="background2"/>
                <w:sz w:val="20"/>
                <w:szCs w:val="20"/>
              </w:rPr>
              <w:t xml:space="preserve">FULL </w:t>
            </w:r>
            <w:r w:rsidRPr="002F5864">
              <w:rPr>
                <w:rFonts w:cstheme="minorHAnsi"/>
                <w:b/>
                <w:color w:val="FFFFFF" w:themeColor="background2"/>
                <w:sz w:val="20"/>
                <w:szCs w:val="20"/>
              </w:rPr>
              <w:br/>
              <w:t>AME</w:t>
            </w:r>
            <w:r w:rsidRPr="002F5864">
              <w:rPr>
                <w:rFonts w:cstheme="minorHAnsi"/>
                <w:b/>
                <w:color w:val="FFFFFF" w:themeColor="background2"/>
                <w:sz w:val="20"/>
                <w:szCs w:val="20"/>
              </w:rPr>
              <w:br/>
              <w:t>(ppt)</w:t>
            </w:r>
          </w:p>
        </w:tc>
      </w:tr>
      <w:tr w:rsidR="00961617" w:rsidRPr="002F5864" w14:paraId="65551AA7" w14:textId="77777777" w:rsidTr="0020771F">
        <w:tblPrEx>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CellMar>
            <w:left w:w="0" w:type="dxa"/>
            <w:right w:w="0" w:type="dxa"/>
          </w:tblCellMar>
        </w:tblPrEx>
        <w:trPr>
          <w:trHeight w:hRule="exact" w:val="567"/>
        </w:trPr>
        <w:tc>
          <w:tcPr>
            <w:tcW w:w="2047" w:type="dxa"/>
            <w:tcBorders>
              <w:top w:val="nil"/>
              <w:left w:val="nil"/>
              <w:bottom w:val="nil"/>
              <w:right w:val="nil"/>
            </w:tcBorders>
            <w:shd w:val="clear" w:color="auto" w:fill="FFFFFF" w:themeFill="background2"/>
            <w:vAlign w:val="center"/>
            <w:hideMark/>
          </w:tcPr>
          <w:p w14:paraId="398BFF9D" w14:textId="77777777" w:rsidR="00961617" w:rsidRPr="002F5864" w:rsidRDefault="00961617" w:rsidP="0020771F">
            <w:pPr>
              <w:suppressAutoHyphens/>
              <w:autoSpaceDE w:val="0"/>
              <w:autoSpaceDN w:val="0"/>
              <w:adjustRightInd w:val="0"/>
              <w:spacing w:before="23" w:after="116" w:line="300" w:lineRule="atLeast"/>
              <w:ind w:right="65"/>
              <w:textAlignment w:val="center"/>
              <w:rPr>
                <w:rFonts w:cstheme="minorHAnsi"/>
                <w:bCs/>
                <w:color w:val="000000"/>
                <w:sz w:val="20"/>
                <w:szCs w:val="20"/>
                <w:lang w:val="en-GB"/>
              </w:rPr>
            </w:pPr>
            <w:r w:rsidRPr="002F5864">
              <w:rPr>
                <w:rFonts w:cstheme="minorHAnsi"/>
                <w:color w:val="000000"/>
                <w:sz w:val="20"/>
                <w:szCs w:val="20"/>
                <w:lang w:val="en-GB"/>
              </w:rPr>
              <w:t>Stream 1</w:t>
            </w:r>
          </w:p>
        </w:tc>
        <w:tc>
          <w:tcPr>
            <w:tcW w:w="1912" w:type="dxa"/>
            <w:gridSpan w:val="2"/>
            <w:tcBorders>
              <w:top w:val="nil"/>
              <w:left w:val="nil"/>
              <w:bottom w:val="nil"/>
              <w:right w:val="nil"/>
            </w:tcBorders>
            <w:shd w:val="clear" w:color="auto" w:fill="FFFFFF" w:themeFill="background2"/>
            <w:noWrap/>
            <w:vAlign w:val="center"/>
            <w:hideMark/>
          </w:tcPr>
          <w:p w14:paraId="4AD9ED65"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90.2 </w:t>
            </w:r>
          </w:p>
        </w:tc>
        <w:tc>
          <w:tcPr>
            <w:tcW w:w="1772" w:type="dxa"/>
            <w:gridSpan w:val="2"/>
            <w:tcBorders>
              <w:top w:val="nil"/>
              <w:left w:val="nil"/>
              <w:bottom w:val="nil"/>
              <w:right w:val="nil"/>
            </w:tcBorders>
            <w:shd w:val="clear" w:color="auto" w:fill="FFFFFF" w:themeFill="background2"/>
            <w:vAlign w:val="center"/>
          </w:tcPr>
          <w:p w14:paraId="257520D9"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-1.7 </w:t>
            </w:r>
          </w:p>
        </w:tc>
        <w:tc>
          <w:tcPr>
            <w:tcW w:w="1907" w:type="dxa"/>
            <w:gridSpan w:val="2"/>
            <w:tcBorders>
              <w:top w:val="nil"/>
              <w:left w:val="nil"/>
              <w:bottom w:val="nil"/>
              <w:right w:val="nil"/>
            </w:tcBorders>
            <w:shd w:val="clear" w:color="auto" w:fill="FFFFFF" w:themeFill="background2"/>
            <w:vAlign w:val="center"/>
          </w:tcPr>
          <w:p w14:paraId="1979E08D"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2.5 </w:t>
            </w:r>
          </w:p>
        </w:tc>
        <w:tc>
          <w:tcPr>
            <w:tcW w:w="1501" w:type="dxa"/>
            <w:gridSpan w:val="2"/>
            <w:tcBorders>
              <w:top w:val="nil"/>
              <w:left w:val="nil"/>
              <w:bottom w:val="nil"/>
              <w:right w:val="nil"/>
            </w:tcBorders>
            <w:shd w:val="clear" w:color="auto" w:fill="FFFFFF" w:themeFill="background2"/>
            <w:vAlign w:val="center"/>
          </w:tcPr>
          <w:p w14:paraId="73A85224" w14:textId="77777777" w:rsidR="00961617" w:rsidRPr="002F5864" w:rsidRDefault="00961617" w:rsidP="0020771F">
            <w:pPr>
              <w:tabs>
                <w:tab w:val="left" w:pos="407"/>
              </w:tabs>
              <w:suppressAutoHyphens/>
              <w:autoSpaceDE w:val="0"/>
              <w:autoSpaceDN w:val="0"/>
              <w:adjustRightInd w:val="0"/>
              <w:spacing w:before="23" w:after="116" w:line="300" w:lineRule="atLeast"/>
              <w:ind w:left="-33" w:right="282"/>
              <w:jc w:val="right"/>
              <w:textAlignment w:val="center"/>
              <w:rPr>
                <w:rFonts w:cstheme="minorHAnsi"/>
                <w:i/>
                <w:color w:val="000000"/>
                <w:sz w:val="20"/>
                <w:szCs w:val="20"/>
                <w:lang w:val="en-GB"/>
              </w:rPr>
            </w:pPr>
            <w:r w:rsidRPr="002F5864">
              <w:rPr>
                <w:rFonts w:cstheme="minorHAnsi"/>
                <w:color w:val="000000"/>
                <w:sz w:val="20"/>
                <w:szCs w:val="20"/>
                <w:lang w:val="en-GB"/>
              </w:rPr>
              <w:t xml:space="preserve">0.1 </w:t>
            </w:r>
          </w:p>
        </w:tc>
        <w:tc>
          <w:tcPr>
            <w:tcW w:w="1228" w:type="dxa"/>
            <w:gridSpan w:val="2"/>
            <w:tcBorders>
              <w:top w:val="nil"/>
              <w:left w:val="nil"/>
              <w:bottom w:val="nil"/>
              <w:right w:val="nil"/>
            </w:tcBorders>
            <w:shd w:val="clear" w:color="auto" w:fill="FFFFFF" w:themeFill="background2"/>
            <w:vAlign w:val="center"/>
          </w:tcPr>
          <w:p w14:paraId="1B6435E0" w14:textId="77777777" w:rsidR="00961617" w:rsidRPr="002F5864" w:rsidRDefault="00961617" w:rsidP="0020771F">
            <w:pPr>
              <w:tabs>
                <w:tab w:val="left" w:pos="490"/>
              </w:tabs>
              <w:suppressAutoHyphens/>
              <w:autoSpaceDE w:val="0"/>
              <w:autoSpaceDN w:val="0"/>
              <w:adjustRightInd w:val="0"/>
              <w:spacing w:before="23" w:after="116" w:line="300" w:lineRule="atLeast"/>
              <w:ind w:left="-33" w:right="90"/>
              <w:jc w:val="right"/>
              <w:textAlignment w:val="center"/>
              <w:rPr>
                <w:rFonts w:cstheme="minorHAnsi"/>
                <w:i/>
                <w:color w:val="000000"/>
                <w:sz w:val="20"/>
                <w:szCs w:val="20"/>
                <w:lang w:val="en-GB"/>
              </w:rPr>
            </w:pPr>
            <w:r w:rsidRPr="002F5864">
              <w:rPr>
                <w:rFonts w:cstheme="minorHAnsi"/>
                <w:color w:val="000000"/>
                <w:sz w:val="20"/>
                <w:szCs w:val="20"/>
                <w:lang w:val="en-GB"/>
              </w:rPr>
              <w:t xml:space="preserve">7.2 </w:t>
            </w:r>
          </w:p>
        </w:tc>
        <w:tc>
          <w:tcPr>
            <w:tcW w:w="2046" w:type="dxa"/>
            <w:gridSpan w:val="2"/>
            <w:tcBorders>
              <w:top w:val="nil"/>
              <w:left w:val="nil"/>
              <w:bottom w:val="nil"/>
              <w:right w:val="nil"/>
            </w:tcBorders>
            <w:shd w:val="clear" w:color="auto" w:fill="FFFFFF" w:themeFill="background2"/>
            <w:vAlign w:val="center"/>
          </w:tcPr>
          <w:p w14:paraId="6E73A385" w14:textId="77777777" w:rsidR="00961617" w:rsidRPr="002F5864" w:rsidRDefault="00961617" w:rsidP="0020771F">
            <w:pPr>
              <w:suppressAutoHyphens/>
              <w:autoSpaceDE w:val="0"/>
              <w:autoSpaceDN w:val="0"/>
              <w:adjustRightInd w:val="0"/>
              <w:spacing w:before="23" w:after="116" w:line="300" w:lineRule="atLeast"/>
              <w:ind w:left="-33" w:right="290"/>
              <w:jc w:val="right"/>
              <w:textAlignment w:val="center"/>
              <w:rPr>
                <w:rFonts w:cstheme="minorHAnsi"/>
                <w:i/>
                <w:color w:val="000000"/>
                <w:sz w:val="20"/>
                <w:szCs w:val="20"/>
                <w:lang w:val="en-GB"/>
              </w:rPr>
            </w:pPr>
            <w:r w:rsidRPr="002F5864">
              <w:rPr>
                <w:rFonts w:cstheme="minorHAnsi"/>
                <w:color w:val="000000"/>
                <w:sz w:val="20"/>
                <w:szCs w:val="20"/>
                <w:lang w:val="en-GB"/>
              </w:rPr>
              <w:t>1.7</w:t>
            </w:r>
          </w:p>
        </w:tc>
      </w:tr>
      <w:tr w:rsidR="00961617" w:rsidRPr="002F5864" w14:paraId="6FFDC63A" w14:textId="77777777" w:rsidTr="0020771F">
        <w:tblPrEx>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CellMar>
            <w:left w:w="0" w:type="dxa"/>
            <w:right w:w="0" w:type="dxa"/>
          </w:tblCellMar>
        </w:tblPrEx>
        <w:trPr>
          <w:trHeight w:hRule="exact" w:val="567"/>
        </w:trPr>
        <w:tc>
          <w:tcPr>
            <w:tcW w:w="2047" w:type="dxa"/>
            <w:tcBorders>
              <w:top w:val="nil"/>
              <w:left w:val="nil"/>
              <w:bottom w:val="nil"/>
              <w:right w:val="nil"/>
            </w:tcBorders>
            <w:shd w:val="clear" w:color="auto" w:fill="E5E5E5" w:themeFill="background1" w:themeFillTint="33"/>
            <w:vAlign w:val="center"/>
            <w:hideMark/>
          </w:tcPr>
          <w:p w14:paraId="0CEC63E5" w14:textId="77777777" w:rsidR="00961617" w:rsidRPr="002F5864" w:rsidRDefault="00961617" w:rsidP="0020771F">
            <w:pPr>
              <w:suppressAutoHyphens/>
              <w:autoSpaceDE w:val="0"/>
              <w:autoSpaceDN w:val="0"/>
              <w:adjustRightInd w:val="0"/>
              <w:spacing w:before="23" w:after="116" w:line="300" w:lineRule="atLeast"/>
              <w:ind w:right="65"/>
              <w:textAlignment w:val="center"/>
              <w:rPr>
                <w:rFonts w:cstheme="minorHAnsi"/>
                <w:bCs/>
                <w:color w:val="000000"/>
                <w:sz w:val="20"/>
                <w:szCs w:val="20"/>
                <w:lang w:val="en-GB"/>
              </w:rPr>
            </w:pPr>
            <w:r w:rsidRPr="002F5864">
              <w:rPr>
                <w:rFonts w:cstheme="minorHAnsi"/>
                <w:color w:val="000000"/>
                <w:sz w:val="20"/>
                <w:szCs w:val="20"/>
                <w:lang w:val="en-GB"/>
              </w:rPr>
              <w:t>Stream 2</w:t>
            </w:r>
          </w:p>
        </w:tc>
        <w:tc>
          <w:tcPr>
            <w:tcW w:w="1912" w:type="dxa"/>
            <w:gridSpan w:val="2"/>
            <w:tcBorders>
              <w:top w:val="nil"/>
              <w:left w:val="nil"/>
              <w:bottom w:val="nil"/>
              <w:right w:val="nil"/>
            </w:tcBorders>
            <w:shd w:val="clear" w:color="auto" w:fill="E5E5E5" w:themeFill="background1" w:themeFillTint="33"/>
            <w:noWrap/>
            <w:vAlign w:val="center"/>
            <w:hideMark/>
          </w:tcPr>
          <w:p w14:paraId="63C0F8E5"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86.0 </w:t>
            </w:r>
          </w:p>
        </w:tc>
        <w:tc>
          <w:tcPr>
            <w:tcW w:w="1772" w:type="dxa"/>
            <w:gridSpan w:val="2"/>
            <w:tcBorders>
              <w:top w:val="nil"/>
              <w:left w:val="nil"/>
              <w:bottom w:val="nil"/>
              <w:right w:val="nil"/>
            </w:tcBorders>
            <w:shd w:val="clear" w:color="auto" w:fill="E5E5E5" w:themeFill="background1" w:themeFillTint="33"/>
            <w:vAlign w:val="center"/>
          </w:tcPr>
          <w:p w14:paraId="7D194593"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-2.3</w:t>
            </w:r>
          </w:p>
        </w:tc>
        <w:tc>
          <w:tcPr>
            <w:tcW w:w="1907" w:type="dxa"/>
            <w:gridSpan w:val="2"/>
            <w:tcBorders>
              <w:top w:val="nil"/>
              <w:left w:val="nil"/>
              <w:bottom w:val="nil"/>
              <w:right w:val="nil"/>
            </w:tcBorders>
            <w:shd w:val="clear" w:color="auto" w:fill="E5E5E5" w:themeFill="background1" w:themeFillTint="33"/>
            <w:vAlign w:val="center"/>
          </w:tcPr>
          <w:p w14:paraId="4D8F172E"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3.7 </w:t>
            </w:r>
          </w:p>
        </w:tc>
        <w:tc>
          <w:tcPr>
            <w:tcW w:w="1501" w:type="dxa"/>
            <w:gridSpan w:val="2"/>
            <w:tcBorders>
              <w:top w:val="nil"/>
              <w:left w:val="nil"/>
              <w:bottom w:val="nil"/>
              <w:right w:val="nil"/>
            </w:tcBorders>
            <w:shd w:val="clear" w:color="auto" w:fill="E5E5E5" w:themeFill="background1" w:themeFillTint="33"/>
            <w:vAlign w:val="center"/>
          </w:tcPr>
          <w:p w14:paraId="05792671" w14:textId="77777777" w:rsidR="00961617" w:rsidRPr="002F5864" w:rsidRDefault="00961617" w:rsidP="0020771F">
            <w:pPr>
              <w:tabs>
                <w:tab w:val="left" w:pos="407"/>
              </w:tabs>
              <w:suppressAutoHyphens/>
              <w:autoSpaceDE w:val="0"/>
              <w:autoSpaceDN w:val="0"/>
              <w:adjustRightInd w:val="0"/>
              <w:spacing w:before="23" w:after="116" w:line="300" w:lineRule="atLeast"/>
              <w:ind w:left="-33" w:right="282"/>
              <w:jc w:val="right"/>
              <w:textAlignment w:val="center"/>
              <w:rPr>
                <w:rFonts w:cstheme="minorHAnsi"/>
                <w:i/>
                <w:color w:val="000000"/>
                <w:sz w:val="20"/>
                <w:szCs w:val="20"/>
                <w:lang w:val="en-GB"/>
              </w:rPr>
            </w:pPr>
            <w:r w:rsidRPr="002F5864">
              <w:rPr>
                <w:rFonts w:cstheme="minorHAnsi"/>
                <w:color w:val="000000"/>
                <w:sz w:val="20"/>
                <w:szCs w:val="20"/>
                <w:lang w:val="en-GB"/>
              </w:rPr>
              <w:t xml:space="preserve">0.1 </w:t>
            </w:r>
          </w:p>
        </w:tc>
        <w:tc>
          <w:tcPr>
            <w:tcW w:w="1228" w:type="dxa"/>
            <w:gridSpan w:val="2"/>
            <w:tcBorders>
              <w:top w:val="nil"/>
              <w:left w:val="nil"/>
              <w:bottom w:val="nil"/>
              <w:right w:val="nil"/>
            </w:tcBorders>
            <w:shd w:val="clear" w:color="auto" w:fill="E5E5E5" w:themeFill="background1" w:themeFillTint="33"/>
            <w:vAlign w:val="center"/>
          </w:tcPr>
          <w:p w14:paraId="13C471A7" w14:textId="77777777" w:rsidR="00961617" w:rsidRPr="002F5864" w:rsidRDefault="00961617" w:rsidP="0020771F">
            <w:pPr>
              <w:tabs>
                <w:tab w:val="left" w:pos="490"/>
              </w:tabs>
              <w:suppressAutoHyphens/>
              <w:autoSpaceDE w:val="0"/>
              <w:autoSpaceDN w:val="0"/>
              <w:adjustRightInd w:val="0"/>
              <w:spacing w:before="23" w:after="116" w:line="300" w:lineRule="atLeast"/>
              <w:ind w:left="-33" w:right="90"/>
              <w:jc w:val="right"/>
              <w:textAlignment w:val="center"/>
              <w:rPr>
                <w:rFonts w:cstheme="minorHAnsi"/>
                <w:i/>
                <w:color w:val="000000"/>
                <w:sz w:val="20"/>
                <w:szCs w:val="20"/>
                <w:lang w:val="en-GB"/>
              </w:rPr>
            </w:pPr>
            <w:r w:rsidRPr="002F5864">
              <w:rPr>
                <w:rFonts w:cstheme="minorHAnsi"/>
                <w:color w:val="000000"/>
                <w:sz w:val="20"/>
                <w:szCs w:val="20"/>
                <w:lang w:val="en-GB"/>
              </w:rPr>
              <w:t xml:space="preserve">10.3 </w:t>
            </w:r>
          </w:p>
        </w:tc>
        <w:tc>
          <w:tcPr>
            <w:tcW w:w="2046" w:type="dxa"/>
            <w:gridSpan w:val="2"/>
            <w:tcBorders>
              <w:top w:val="nil"/>
              <w:left w:val="nil"/>
              <w:bottom w:val="nil"/>
              <w:right w:val="nil"/>
            </w:tcBorders>
            <w:shd w:val="clear" w:color="auto" w:fill="E5E5E5" w:themeFill="background1" w:themeFillTint="33"/>
            <w:vAlign w:val="center"/>
          </w:tcPr>
          <w:p w14:paraId="7248DAC6" w14:textId="77777777" w:rsidR="00961617" w:rsidRPr="002F5864" w:rsidRDefault="00961617" w:rsidP="0020771F">
            <w:pPr>
              <w:suppressAutoHyphens/>
              <w:autoSpaceDE w:val="0"/>
              <w:autoSpaceDN w:val="0"/>
              <w:adjustRightInd w:val="0"/>
              <w:spacing w:before="23" w:after="116" w:line="300" w:lineRule="atLeast"/>
              <w:ind w:left="-33" w:right="290"/>
              <w:jc w:val="right"/>
              <w:textAlignment w:val="center"/>
              <w:rPr>
                <w:rFonts w:cstheme="minorHAnsi"/>
                <w:i/>
                <w:color w:val="000000"/>
                <w:sz w:val="20"/>
                <w:szCs w:val="20"/>
                <w:lang w:val="en-GB"/>
              </w:rPr>
            </w:pPr>
            <w:r w:rsidRPr="002F5864">
              <w:rPr>
                <w:rFonts w:cstheme="minorHAnsi"/>
                <w:color w:val="000000"/>
                <w:sz w:val="20"/>
                <w:szCs w:val="20"/>
                <w:lang w:val="en-GB"/>
              </w:rPr>
              <w:t>2.2</w:t>
            </w:r>
          </w:p>
        </w:tc>
      </w:tr>
      <w:tr w:rsidR="00961617" w:rsidRPr="002F5864" w14:paraId="564371C4" w14:textId="77777777" w:rsidTr="0020771F">
        <w:tblPrEx>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CellMar>
            <w:left w:w="0" w:type="dxa"/>
            <w:right w:w="0" w:type="dxa"/>
          </w:tblCellMar>
        </w:tblPrEx>
        <w:trPr>
          <w:trHeight w:hRule="exact" w:val="567"/>
        </w:trPr>
        <w:tc>
          <w:tcPr>
            <w:tcW w:w="2047" w:type="dxa"/>
            <w:tcBorders>
              <w:top w:val="nil"/>
              <w:left w:val="nil"/>
              <w:bottom w:val="nil"/>
              <w:right w:val="nil"/>
            </w:tcBorders>
            <w:shd w:val="clear" w:color="auto" w:fill="FFFFFF" w:themeFill="background2"/>
            <w:vAlign w:val="center"/>
            <w:hideMark/>
          </w:tcPr>
          <w:p w14:paraId="75AA9947" w14:textId="77777777" w:rsidR="00961617" w:rsidRPr="002F5864" w:rsidRDefault="00961617" w:rsidP="0020771F">
            <w:pPr>
              <w:suppressAutoHyphens/>
              <w:autoSpaceDE w:val="0"/>
              <w:autoSpaceDN w:val="0"/>
              <w:adjustRightInd w:val="0"/>
              <w:spacing w:before="23" w:after="116" w:line="300" w:lineRule="atLeast"/>
              <w:ind w:right="65"/>
              <w:textAlignment w:val="center"/>
              <w:rPr>
                <w:rFonts w:cstheme="minorHAnsi"/>
                <w:bCs/>
                <w:color w:val="000000"/>
                <w:sz w:val="20"/>
                <w:szCs w:val="20"/>
                <w:lang w:val="en-GB"/>
              </w:rPr>
            </w:pPr>
            <w:r w:rsidRPr="002F5864">
              <w:rPr>
                <w:rFonts w:cstheme="minorHAnsi"/>
                <w:color w:val="000000"/>
                <w:sz w:val="20"/>
                <w:szCs w:val="20"/>
                <w:lang w:val="en-GB"/>
              </w:rPr>
              <w:t>Stream 3</w:t>
            </w:r>
          </w:p>
        </w:tc>
        <w:tc>
          <w:tcPr>
            <w:tcW w:w="1912" w:type="dxa"/>
            <w:gridSpan w:val="2"/>
            <w:tcBorders>
              <w:top w:val="nil"/>
              <w:left w:val="nil"/>
              <w:bottom w:val="nil"/>
              <w:right w:val="nil"/>
            </w:tcBorders>
            <w:shd w:val="clear" w:color="auto" w:fill="FFFFFF" w:themeFill="background2"/>
            <w:noWrap/>
            <w:vAlign w:val="center"/>
            <w:hideMark/>
          </w:tcPr>
          <w:p w14:paraId="2CC71C86"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82.9 </w:t>
            </w:r>
          </w:p>
        </w:tc>
        <w:tc>
          <w:tcPr>
            <w:tcW w:w="1772" w:type="dxa"/>
            <w:gridSpan w:val="2"/>
            <w:tcBorders>
              <w:top w:val="nil"/>
              <w:left w:val="nil"/>
              <w:bottom w:val="nil"/>
              <w:right w:val="nil"/>
            </w:tcBorders>
            <w:shd w:val="clear" w:color="auto" w:fill="FFFFFF" w:themeFill="background2"/>
            <w:vAlign w:val="center"/>
          </w:tcPr>
          <w:p w14:paraId="6D9E1186"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-2.8</w:t>
            </w:r>
          </w:p>
        </w:tc>
        <w:tc>
          <w:tcPr>
            <w:tcW w:w="1907" w:type="dxa"/>
            <w:gridSpan w:val="2"/>
            <w:tcBorders>
              <w:top w:val="nil"/>
              <w:left w:val="nil"/>
              <w:bottom w:val="nil"/>
              <w:right w:val="nil"/>
            </w:tcBorders>
            <w:shd w:val="clear" w:color="auto" w:fill="FFFFFF" w:themeFill="background2"/>
            <w:vAlign w:val="center"/>
          </w:tcPr>
          <w:p w14:paraId="64134181"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3.6 </w:t>
            </w:r>
          </w:p>
        </w:tc>
        <w:tc>
          <w:tcPr>
            <w:tcW w:w="1501" w:type="dxa"/>
            <w:gridSpan w:val="2"/>
            <w:tcBorders>
              <w:top w:val="nil"/>
              <w:left w:val="nil"/>
              <w:bottom w:val="nil"/>
              <w:right w:val="nil"/>
            </w:tcBorders>
            <w:shd w:val="clear" w:color="auto" w:fill="FFFFFF" w:themeFill="background2"/>
            <w:vAlign w:val="center"/>
          </w:tcPr>
          <w:p w14:paraId="51C4ED92" w14:textId="77777777" w:rsidR="00961617" w:rsidRPr="002F5864" w:rsidRDefault="00961617" w:rsidP="0020771F">
            <w:pPr>
              <w:tabs>
                <w:tab w:val="left" w:pos="407"/>
              </w:tabs>
              <w:suppressAutoHyphens/>
              <w:autoSpaceDE w:val="0"/>
              <w:autoSpaceDN w:val="0"/>
              <w:adjustRightInd w:val="0"/>
              <w:spacing w:before="23" w:after="116" w:line="300" w:lineRule="atLeast"/>
              <w:ind w:left="-33" w:right="282"/>
              <w:jc w:val="right"/>
              <w:textAlignment w:val="center"/>
              <w:rPr>
                <w:rFonts w:cstheme="minorHAnsi"/>
                <w:i/>
                <w:color w:val="000000"/>
                <w:sz w:val="20"/>
                <w:szCs w:val="20"/>
                <w:lang w:val="en-GB"/>
              </w:rPr>
            </w:pPr>
            <w:r w:rsidRPr="002F5864">
              <w:rPr>
                <w:rFonts w:cstheme="minorHAnsi"/>
                <w:color w:val="000000"/>
                <w:sz w:val="20"/>
                <w:szCs w:val="20"/>
                <w:lang w:val="en-GB"/>
              </w:rPr>
              <w:t>0.1</w:t>
            </w:r>
          </w:p>
        </w:tc>
        <w:tc>
          <w:tcPr>
            <w:tcW w:w="1228" w:type="dxa"/>
            <w:gridSpan w:val="2"/>
            <w:tcBorders>
              <w:top w:val="nil"/>
              <w:left w:val="nil"/>
              <w:bottom w:val="nil"/>
              <w:right w:val="nil"/>
            </w:tcBorders>
            <w:shd w:val="clear" w:color="auto" w:fill="FFFFFF" w:themeFill="background2"/>
            <w:vAlign w:val="center"/>
          </w:tcPr>
          <w:p w14:paraId="0ADACF9C" w14:textId="77777777" w:rsidR="00961617" w:rsidRPr="002F5864" w:rsidRDefault="00961617" w:rsidP="0020771F">
            <w:pPr>
              <w:tabs>
                <w:tab w:val="left" w:pos="490"/>
              </w:tabs>
              <w:suppressAutoHyphens/>
              <w:autoSpaceDE w:val="0"/>
              <w:autoSpaceDN w:val="0"/>
              <w:adjustRightInd w:val="0"/>
              <w:spacing w:before="23" w:after="116" w:line="300" w:lineRule="atLeast"/>
              <w:ind w:left="-33" w:right="90"/>
              <w:jc w:val="right"/>
              <w:textAlignment w:val="center"/>
              <w:rPr>
                <w:rFonts w:cstheme="minorHAnsi"/>
                <w:i/>
                <w:color w:val="000000"/>
                <w:sz w:val="20"/>
                <w:szCs w:val="20"/>
                <w:lang w:val="en-GB"/>
              </w:rPr>
            </w:pPr>
            <w:r w:rsidRPr="002F5864">
              <w:rPr>
                <w:rFonts w:cstheme="minorHAnsi"/>
                <w:color w:val="000000"/>
                <w:sz w:val="20"/>
                <w:szCs w:val="20"/>
                <w:lang w:val="en-GB"/>
              </w:rPr>
              <w:t xml:space="preserve">13.5 </w:t>
            </w:r>
          </w:p>
        </w:tc>
        <w:tc>
          <w:tcPr>
            <w:tcW w:w="2046" w:type="dxa"/>
            <w:gridSpan w:val="2"/>
            <w:tcBorders>
              <w:top w:val="nil"/>
              <w:left w:val="nil"/>
              <w:bottom w:val="nil"/>
              <w:right w:val="nil"/>
            </w:tcBorders>
            <w:shd w:val="clear" w:color="auto" w:fill="FFFFFF" w:themeFill="background2"/>
            <w:vAlign w:val="center"/>
          </w:tcPr>
          <w:p w14:paraId="075B57C9" w14:textId="77777777" w:rsidR="00961617" w:rsidRPr="002F5864" w:rsidRDefault="00961617" w:rsidP="0020771F">
            <w:pPr>
              <w:suppressAutoHyphens/>
              <w:autoSpaceDE w:val="0"/>
              <w:autoSpaceDN w:val="0"/>
              <w:adjustRightInd w:val="0"/>
              <w:spacing w:before="23" w:after="116" w:line="300" w:lineRule="atLeast"/>
              <w:ind w:left="-33" w:right="290"/>
              <w:jc w:val="right"/>
              <w:textAlignment w:val="center"/>
              <w:rPr>
                <w:rFonts w:cstheme="minorHAnsi"/>
                <w:i/>
                <w:color w:val="000000"/>
                <w:sz w:val="20"/>
                <w:szCs w:val="20"/>
                <w:lang w:val="en-GB"/>
              </w:rPr>
            </w:pPr>
            <w:r w:rsidRPr="002F5864">
              <w:rPr>
                <w:rFonts w:cstheme="minorHAnsi"/>
                <w:color w:val="000000"/>
                <w:sz w:val="20"/>
                <w:szCs w:val="20"/>
                <w:lang w:val="en-GB"/>
              </w:rPr>
              <w:t>2.7</w:t>
            </w:r>
          </w:p>
        </w:tc>
      </w:tr>
      <w:tr w:rsidR="00961617" w:rsidRPr="002F5864" w14:paraId="70BEE379" w14:textId="77777777" w:rsidTr="0020771F">
        <w:tblPrEx>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CellMar>
            <w:left w:w="0" w:type="dxa"/>
            <w:right w:w="0" w:type="dxa"/>
          </w:tblCellMar>
        </w:tblPrEx>
        <w:trPr>
          <w:trHeight w:hRule="exact" w:val="567"/>
        </w:trPr>
        <w:tc>
          <w:tcPr>
            <w:tcW w:w="2047" w:type="dxa"/>
            <w:tcBorders>
              <w:top w:val="nil"/>
              <w:left w:val="nil"/>
              <w:bottom w:val="nil"/>
              <w:right w:val="nil"/>
            </w:tcBorders>
            <w:shd w:val="clear" w:color="auto" w:fill="E5E5E5" w:themeFill="background1" w:themeFillTint="33"/>
            <w:vAlign w:val="center"/>
            <w:hideMark/>
          </w:tcPr>
          <w:p w14:paraId="74704B6F" w14:textId="77777777" w:rsidR="00961617" w:rsidRPr="002F5864" w:rsidRDefault="00961617" w:rsidP="0020771F">
            <w:pPr>
              <w:suppressAutoHyphens/>
              <w:autoSpaceDE w:val="0"/>
              <w:autoSpaceDN w:val="0"/>
              <w:adjustRightInd w:val="0"/>
              <w:spacing w:before="23" w:after="116" w:line="300" w:lineRule="atLeast"/>
              <w:ind w:right="65"/>
              <w:textAlignment w:val="center"/>
              <w:rPr>
                <w:rFonts w:cstheme="minorHAnsi"/>
                <w:bCs/>
                <w:color w:val="000000"/>
                <w:sz w:val="20"/>
                <w:szCs w:val="20"/>
                <w:lang w:val="en-GB"/>
              </w:rPr>
            </w:pPr>
            <w:r w:rsidRPr="002F5864">
              <w:rPr>
                <w:rFonts w:cstheme="minorHAnsi"/>
                <w:color w:val="000000"/>
                <w:sz w:val="20"/>
                <w:szCs w:val="20"/>
                <w:lang w:val="en-GB"/>
              </w:rPr>
              <w:t>Stream 4</w:t>
            </w:r>
          </w:p>
        </w:tc>
        <w:tc>
          <w:tcPr>
            <w:tcW w:w="1912" w:type="dxa"/>
            <w:gridSpan w:val="2"/>
            <w:tcBorders>
              <w:top w:val="nil"/>
              <w:left w:val="nil"/>
              <w:bottom w:val="nil"/>
              <w:right w:val="nil"/>
            </w:tcBorders>
            <w:shd w:val="clear" w:color="auto" w:fill="E5E5E5" w:themeFill="background1" w:themeFillTint="33"/>
            <w:noWrap/>
            <w:vAlign w:val="center"/>
            <w:hideMark/>
          </w:tcPr>
          <w:p w14:paraId="130ADC5C"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76.3 </w:t>
            </w:r>
          </w:p>
        </w:tc>
        <w:tc>
          <w:tcPr>
            <w:tcW w:w="1772" w:type="dxa"/>
            <w:gridSpan w:val="2"/>
            <w:tcBorders>
              <w:top w:val="nil"/>
              <w:left w:val="nil"/>
              <w:bottom w:val="nil"/>
              <w:right w:val="nil"/>
            </w:tcBorders>
            <w:shd w:val="clear" w:color="auto" w:fill="E5E5E5" w:themeFill="background1" w:themeFillTint="33"/>
            <w:vAlign w:val="center"/>
          </w:tcPr>
          <w:p w14:paraId="22B472CA"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-3.3 </w:t>
            </w:r>
          </w:p>
        </w:tc>
        <w:tc>
          <w:tcPr>
            <w:tcW w:w="1907" w:type="dxa"/>
            <w:gridSpan w:val="2"/>
            <w:tcBorders>
              <w:top w:val="nil"/>
              <w:left w:val="nil"/>
              <w:bottom w:val="nil"/>
              <w:right w:val="nil"/>
            </w:tcBorders>
            <w:shd w:val="clear" w:color="auto" w:fill="E5E5E5" w:themeFill="background1" w:themeFillTint="33"/>
            <w:vAlign w:val="center"/>
          </w:tcPr>
          <w:p w14:paraId="7FA48027"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3.2 </w:t>
            </w:r>
          </w:p>
        </w:tc>
        <w:tc>
          <w:tcPr>
            <w:tcW w:w="1501" w:type="dxa"/>
            <w:gridSpan w:val="2"/>
            <w:tcBorders>
              <w:top w:val="nil"/>
              <w:left w:val="nil"/>
              <w:bottom w:val="nil"/>
              <w:right w:val="nil"/>
            </w:tcBorders>
            <w:shd w:val="clear" w:color="auto" w:fill="E5E5E5" w:themeFill="background1" w:themeFillTint="33"/>
            <w:vAlign w:val="center"/>
          </w:tcPr>
          <w:p w14:paraId="64D55106" w14:textId="77777777" w:rsidR="00961617" w:rsidRPr="002F5864" w:rsidRDefault="00961617" w:rsidP="0020771F">
            <w:pPr>
              <w:tabs>
                <w:tab w:val="left" w:pos="407"/>
              </w:tabs>
              <w:suppressAutoHyphens/>
              <w:autoSpaceDE w:val="0"/>
              <w:autoSpaceDN w:val="0"/>
              <w:adjustRightInd w:val="0"/>
              <w:spacing w:before="23" w:after="116" w:line="300" w:lineRule="atLeast"/>
              <w:ind w:left="-33" w:right="282"/>
              <w:jc w:val="right"/>
              <w:textAlignment w:val="center"/>
              <w:rPr>
                <w:rFonts w:cstheme="minorHAnsi"/>
                <w:i/>
                <w:color w:val="000000"/>
                <w:sz w:val="20"/>
                <w:szCs w:val="20"/>
                <w:lang w:val="en-GB"/>
              </w:rPr>
            </w:pPr>
            <w:r w:rsidRPr="002F5864">
              <w:rPr>
                <w:rFonts w:cstheme="minorHAnsi"/>
                <w:color w:val="000000"/>
                <w:sz w:val="20"/>
                <w:szCs w:val="20"/>
                <w:lang w:val="en-GB"/>
              </w:rPr>
              <w:t>0.0</w:t>
            </w:r>
          </w:p>
        </w:tc>
        <w:tc>
          <w:tcPr>
            <w:tcW w:w="1228" w:type="dxa"/>
            <w:gridSpan w:val="2"/>
            <w:tcBorders>
              <w:top w:val="nil"/>
              <w:left w:val="nil"/>
              <w:bottom w:val="nil"/>
              <w:right w:val="nil"/>
            </w:tcBorders>
            <w:shd w:val="clear" w:color="auto" w:fill="E5E5E5" w:themeFill="background1" w:themeFillTint="33"/>
            <w:vAlign w:val="center"/>
          </w:tcPr>
          <w:p w14:paraId="669252EE" w14:textId="77777777" w:rsidR="00961617" w:rsidRPr="002F5864" w:rsidRDefault="00961617" w:rsidP="0020771F">
            <w:pPr>
              <w:tabs>
                <w:tab w:val="left" w:pos="490"/>
              </w:tabs>
              <w:suppressAutoHyphens/>
              <w:autoSpaceDE w:val="0"/>
              <w:autoSpaceDN w:val="0"/>
              <w:adjustRightInd w:val="0"/>
              <w:spacing w:before="23" w:after="116" w:line="300" w:lineRule="atLeast"/>
              <w:ind w:left="-33" w:right="90"/>
              <w:jc w:val="right"/>
              <w:textAlignment w:val="center"/>
              <w:rPr>
                <w:rFonts w:cstheme="minorHAnsi"/>
                <w:i/>
                <w:color w:val="000000"/>
                <w:sz w:val="20"/>
                <w:szCs w:val="20"/>
                <w:lang w:val="en-GB"/>
              </w:rPr>
            </w:pPr>
            <w:r w:rsidRPr="002F5864">
              <w:rPr>
                <w:rFonts w:cstheme="minorHAnsi"/>
                <w:color w:val="000000"/>
                <w:sz w:val="20"/>
                <w:szCs w:val="20"/>
                <w:lang w:val="en-GB"/>
              </w:rPr>
              <w:t xml:space="preserve">20.6 </w:t>
            </w:r>
          </w:p>
        </w:tc>
        <w:tc>
          <w:tcPr>
            <w:tcW w:w="2046" w:type="dxa"/>
            <w:gridSpan w:val="2"/>
            <w:tcBorders>
              <w:top w:val="nil"/>
              <w:left w:val="nil"/>
              <w:bottom w:val="nil"/>
              <w:right w:val="nil"/>
            </w:tcBorders>
            <w:shd w:val="clear" w:color="auto" w:fill="E5E5E5" w:themeFill="background1" w:themeFillTint="33"/>
            <w:vAlign w:val="center"/>
          </w:tcPr>
          <w:p w14:paraId="1684690D" w14:textId="77777777" w:rsidR="00961617" w:rsidRPr="002F5864" w:rsidRDefault="00961617" w:rsidP="0020771F">
            <w:pPr>
              <w:suppressAutoHyphens/>
              <w:autoSpaceDE w:val="0"/>
              <w:autoSpaceDN w:val="0"/>
              <w:adjustRightInd w:val="0"/>
              <w:spacing w:before="23" w:after="116" w:line="300" w:lineRule="atLeast"/>
              <w:ind w:left="-33" w:right="290"/>
              <w:jc w:val="right"/>
              <w:textAlignment w:val="center"/>
              <w:rPr>
                <w:rFonts w:cstheme="minorHAnsi"/>
                <w:i/>
                <w:color w:val="000000"/>
                <w:sz w:val="20"/>
                <w:szCs w:val="20"/>
                <w:lang w:val="en-GB"/>
              </w:rPr>
            </w:pPr>
            <w:r w:rsidRPr="002F5864">
              <w:rPr>
                <w:rFonts w:cstheme="minorHAnsi"/>
                <w:color w:val="000000"/>
                <w:sz w:val="20"/>
                <w:szCs w:val="20"/>
                <w:lang w:val="en-GB"/>
              </w:rPr>
              <w:t>3.3</w:t>
            </w:r>
          </w:p>
        </w:tc>
      </w:tr>
      <w:tr w:rsidR="00961617" w:rsidRPr="002F5864" w14:paraId="6EF2EE4D" w14:textId="77777777" w:rsidTr="0020771F">
        <w:tblPrEx>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CellMar>
            <w:left w:w="0" w:type="dxa"/>
            <w:right w:w="0" w:type="dxa"/>
          </w:tblCellMar>
        </w:tblPrEx>
        <w:trPr>
          <w:trHeight w:hRule="exact" w:val="567"/>
        </w:trPr>
        <w:tc>
          <w:tcPr>
            <w:tcW w:w="2047" w:type="dxa"/>
            <w:tcBorders>
              <w:top w:val="nil"/>
              <w:left w:val="nil"/>
              <w:bottom w:val="nil"/>
              <w:right w:val="nil"/>
            </w:tcBorders>
            <w:shd w:val="clear" w:color="auto" w:fill="8EAEDE"/>
            <w:vAlign w:val="center"/>
          </w:tcPr>
          <w:p w14:paraId="66298B4C" w14:textId="77777777" w:rsidR="00961617" w:rsidRPr="002F5864" w:rsidRDefault="00961617" w:rsidP="0020771F">
            <w:pPr>
              <w:suppressAutoHyphens/>
              <w:autoSpaceDE w:val="0"/>
              <w:autoSpaceDN w:val="0"/>
              <w:adjustRightInd w:val="0"/>
              <w:spacing w:before="23" w:after="116" w:line="300" w:lineRule="atLeast"/>
              <w:ind w:right="65"/>
              <w:textAlignment w:val="center"/>
              <w:rPr>
                <w:rFonts w:cstheme="minorHAnsi"/>
                <w:color w:val="000000"/>
                <w:sz w:val="20"/>
                <w:szCs w:val="20"/>
                <w:lang w:val="en-GB"/>
              </w:rPr>
            </w:pPr>
            <w:r w:rsidRPr="002F5864">
              <w:rPr>
                <w:rFonts w:cstheme="minorHAnsi"/>
                <w:color w:val="000000"/>
                <w:sz w:val="20"/>
                <w:szCs w:val="20"/>
                <w:lang w:val="en-GB"/>
              </w:rPr>
              <w:t>Total</w:t>
            </w:r>
          </w:p>
        </w:tc>
        <w:tc>
          <w:tcPr>
            <w:tcW w:w="1912" w:type="dxa"/>
            <w:gridSpan w:val="2"/>
            <w:tcBorders>
              <w:top w:val="nil"/>
              <w:left w:val="nil"/>
              <w:bottom w:val="nil"/>
              <w:right w:val="nil"/>
            </w:tcBorders>
            <w:shd w:val="clear" w:color="auto" w:fill="8EAEDE"/>
            <w:noWrap/>
            <w:vAlign w:val="center"/>
          </w:tcPr>
          <w:p w14:paraId="62D1C3A4"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89.5 </w:t>
            </w:r>
          </w:p>
        </w:tc>
        <w:tc>
          <w:tcPr>
            <w:tcW w:w="1772" w:type="dxa"/>
            <w:gridSpan w:val="2"/>
            <w:tcBorders>
              <w:top w:val="nil"/>
              <w:left w:val="nil"/>
              <w:bottom w:val="nil"/>
              <w:right w:val="nil"/>
            </w:tcBorders>
            <w:shd w:val="clear" w:color="auto" w:fill="8EAEDE"/>
            <w:vAlign w:val="center"/>
          </w:tcPr>
          <w:p w14:paraId="244B4D09"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-1.8</w:t>
            </w:r>
          </w:p>
        </w:tc>
        <w:tc>
          <w:tcPr>
            <w:tcW w:w="1907" w:type="dxa"/>
            <w:gridSpan w:val="2"/>
            <w:tcBorders>
              <w:top w:val="nil"/>
              <w:left w:val="nil"/>
              <w:bottom w:val="nil"/>
              <w:right w:val="nil"/>
            </w:tcBorders>
            <w:shd w:val="clear" w:color="auto" w:fill="8EAEDE"/>
            <w:vAlign w:val="center"/>
          </w:tcPr>
          <w:p w14:paraId="77D71FAB" w14:textId="77777777" w:rsidR="00961617" w:rsidRPr="002F5864" w:rsidRDefault="00961617" w:rsidP="0020771F">
            <w:pPr>
              <w:suppressAutoHyphens/>
              <w:autoSpaceDE w:val="0"/>
              <w:autoSpaceDN w:val="0"/>
              <w:adjustRightInd w:val="0"/>
              <w:spacing w:before="23" w:after="116" w:line="300" w:lineRule="atLeast"/>
              <w:ind w:left="-33" w:right="401"/>
              <w:jc w:val="right"/>
              <w:textAlignment w:val="center"/>
              <w:rPr>
                <w:rFonts w:cstheme="minorHAnsi"/>
                <w:color w:val="000000"/>
                <w:sz w:val="20"/>
                <w:szCs w:val="20"/>
                <w:lang w:val="en-GB"/>
              </w:rPr>
            </w:pPr>
            <w:r w:rsidRPr="002F5864">
              <w:rPr>
                <w:rFonts w:cstheme="minorHAnsi"/>
                <w:color w:val="000000"/>
                <w:sz w:val="20"/>
                <w:szCs w:val="20"/>
                <w:lang w:val="en-GB"/>
              </w:rPr>
              <w:t xml:space="preserve">2.6 </w:t>
            </w:r>
          </w:p>
        </w:tc>
        <w:tc>
          <w:tcPr>
            <w:tcW w:w="1501" w:type="dxa"/>
            <w:gridSpan w:val="2"/>
            <w:tcBorders>
              <w:top w:val="nil"/>
              <w:left w:val="nil"/>
              <w:bottom w:val="nil"/>
              <w:right w:val="nil"/>
            </w:tcBorders>
            <w:shd w:val="clear" w:color="auto" w:fill="8EAEDE"/>
            <w:vAlign w:val="center"/>
          </w:tcPr>
          <w:p w14:paraId="12E6D551" w14:textId="77777777" w:rsidR="00961617" w:rsidRPr="002F5864" w:rsidRDefault="00961617" w:rsidP="0020771F">
            <w:pPr>
              <w:tabs>
                <w:tab w:val="left" w:pos="407"/>
              </w:tabs>
              <w:suppressAutoHyphens/>
              <w:autoSpaceDE w:val="0"/>
              <w:autoSpaceDN w:val="0"/>
              <w:adjustRightInd w:val="0"/>
              <w:spacing w:before="23" w:after="116" w:line="300" w:lineRule="atLeast"/>
              <w:ind w:left="-33" w:right="282"/>
              <w:jc w:val="right"/>
              <w:textAlignment w:val="center"/>
              <w:rPr>
                <w:rFonts w:cstheme="minorHAnsi"/>
                <w:i/>
                <w:color w:val="000000"/>
                <w:sz w:val="20"/>
                <w:szCs w:val="20"/>
                <w:lang w:val="en-GB"/>
              </w:rPr>
            </w:pPr>
            <w:r w:rsidRPr="002F5864">
              <w:rPr>
                <w:rFonts w:cstheme="minorHAnsi"/>
                <w:color w:val="000000"/>
                <w:sz w:val="20"/>
                <w:szCs w:val="20"/>
                <w:lang w:val="en-GB"/>
              </w:rPr>
              <w:t xml:space="preserve">0.1 </w:t>
            </w:r>
          </w:p>
        </w:tc>
        <w:tc>
          <w:tcPr>
            <w:tcW w:w="1228" w:type="dxa"/>
            <w:gridSpan w:val="2"/>
            <w:tcBorders>
              <w:top w:val="nil"/>
              <w:left w:val="nil"/>
              <w:bottom w:val="nil"/>
              <w:right w:val="nil"/>
            </w:tcBorders>
            <w:shd w:val="clear" w:color="auto" w:fill="8EAEDE"/>
            <w:vAlign w:val="center"/>
          </w:tcPr>
          <w:p w14:paraId="3C923102" w14:textId="77777777" w:rsidR="00961617" w:rsidRPr="002F5864" w:rsidRDefault="00961617" w:rsidP="0020771F">
            <w:pPr>
              <w:tabs>
                <w:tab w:val="left" w:pos="490"/>
              </w:tabs>
              <w:suppressAutoHyphens/>
              <w:autoSpaceDE w:val="0"/>
              <w:autoSpaceDN w:val="0"/>
              <w:adjustRightInd w:val="0"/>
              <w:spacing w:before="23" w:after="116" w:line="300" w:lineRule="atLeast"/>
              <w:ind w:left="-33" w:right="90"/>
              <w:jc w:val="right"/>
              <w:textAlignment w:val="center"/>
              <w:rPr>
                <w:rFonts w:cstheme="minorHAnsi"/>
                <w:i/>
                <w:color w:val="000000"/>
                <w:sz w:val="20"/>
                <w:szCs w:val="20"/>
                <w:lang w:val="en-GB"/>
              </w:rPr>
            </w:pPr>
            <w:r w:rsidRPr="002F5864">
              <w:rPr>
                <w:rFonts w:cstheme="minorHAnsi"/>
                <w:color w:val="000000"/>
                <w:sz w:val="20"/>
                <w:szCs w:val="20"/>
                <w:lang w:val="en-GB"/>
              </w:rPr>
              <w:t xml:space="preserve">7.9 </w:t>
            </w:r>
          </w:p>
        </w:tc>
        <w:tc>
          <w:tcPr>
            <w:tcW w:w="2046" w:type="dxa"/>
            <w:gridSpan w:val="2"/>
            <w:tcBorders>
              <w:top w:val="nil"/>
              <w:left w:val="nil"/>
              <w:bottom w:val="nil"/>
              <w:right w:val="nil"/>
            </w:tcBorders>
            <w:shd w:val="clear" w:color="auto" w:fill="8EAEDE"/>
            <w:vAlign w:val="center"/>
          </w:tcPr>
          <w:p w14:paraId="4F6EF67D" w14:textId="77777777" w:rsidR="00961617" w:rsidRPr="002F5864" w:rsidRDefault="00961617" w:rsidP="0020771F">
            <w:pPr>
              <w:suppressAutoHyphens/>
              <w:autoSpaceDE w:val="0"/>
              <w:autoSpaceDN w:val="0"/>
              <w:adjustRightInd w:val="0"/>
              <w:spacing w:before="23" w:after="116" w:line="300" w:lineRule="atLeast"/>
              <w:ind w:left="-33" w:right="290"/>
              <w:jc w:val="right"/>
              <w:textAlignment w:val="center"/>
              <w:rPr>
                <w:rFonts w:cstheme="minorHAnsi"/>
                <w:i/>
                <w:color w:val="000000"/>
                <w:sz w:val="20"/>
                <w:szCs w:val="20"/>
                <w:lang w:val="en-GB"/>
              </w:rPr>
            </w:pPr>
            <w:r w:rsidRPr="002F5864">
              <w:rPr>
                <w:rFonts w:cstheme="minorHAnsi"/>
                <w:color w:val="000000"/>
                <w:sz w:val="20"/>
                <w:szCs w:val="20"/>
                <w:lang w:val="en-GB"/>
              </w:rPr>
              <w:t>1.8</w:t>
            </w:r>
          </w:p>
        </w:tc>
      </w:tr>
    </w:tbl>
    <w:p w14:paraId="78ACF874" w14:textId="77777777" w:rsidR="00961617" w:rsidRPr="002F5864" w:rsidRDefault="00961617" w:rsidP="00961617">
      <w:pPr>
        <w:pStyle w:val="FootnoteText"/>
        <w:ind w:left="0" w:firstLine="0"/>
        <w:rPr>
          <w:rFonts w:cstheme="minorHAnsi"/>
        </w:rPr>
      </w:pPr>
      <w:r w:rsidRPr="002F5864">
        <w:rPr>
          <w:rFonts w:cstheme="minorHAnsi"/>
          <w:b/>
        </w:rPr>
        <w:t>Note</w:t>
      </w:r>
      <w:r w:rsidR="00E13B5E">
        <w:rPr>
          <w:rFonts w:cstheme="minorHAnsi"/>
          <w:b/>
        </w:rPr>
        <w:t>s</w:t>
      </w:r>
      <w:r w:rsidRPr="002F5864">
        <w:rPr>
          <w:rFonts w:cstheme="minorHAnsi"/>
        </w:rPr>
        <w:t xml:space="preserve">: </w:t>
      </w:r>
      <w:r w:rsidRPr="002F5864">
        <w:rPr>
          <w:rFonts w:cstheme="minorHAnsi"/>
        </w:rPr>
        <w:tab/>
      </w:r>
    </w:p>
    <w:p w14:paraId="1EC47D58" w14:textId="77777777" w:rsidR="00961617" w:rsidRPr="00E5413A" w:rsidRDefault="00961617" w:rsidP="00E5413A">
      <w:pPr>
        <w:pStyle w:val="Notesnumbered"/>
        <w:numPr>
          <w:ilvl w:val="0"/>
          <w:numId w:val="259"/>
        </w:numPr>
      </w:pPr>
      <w:r w:rsidRPr="00E5413A">
        <w:t>Observed results are unregressed. AME figures are from regression analysis.</w:t>
      </w:r>
    </w:p>
    <w:p w14:paraId="73094E8A" w14:textId="77777777" w:rsidR="00961617" w:rsidRPr="00E5413A" w:rsidRDefault="00961617" w:rsidP="00E5413A">
      <w:pPr>
        <w:pStyle w:val="Notesnumbered"/>
        <w:numPr>
          <w:ilvl w:val="0"/>
          <w:numId w:val="259"/>
        </w:numPr>
      </w:pPr>
      <w:r w:rsidRPr="00E5413A">
        <w:t>Discrepancies may occur between sums of the component items and totals due to rounding.</w:t>
      </w:r>
    </w:p>
    <w:p w14:paraId="4716FF77" w14:textId="77777777" w:rsidR="00961617" w:rsidRPr="002F5864" w:rsidRDefault="00961617" w:rsidP="00E5413A">
      <w:pPr>
        <w:pStyle w:val="Notesnumbered"/>
        <w:numPr>
          <w:ilvl w:val="0"/>
          <w:numId w:val="259"/>
        </w:numPr>
        <w:rPr>
          <w:b/>
        </w:rPr>
      </w:pPr>
      <w:r w:rsidRPr="00E5413A">
        <w:t>The observed results in the above table are the combined results for the two study populations (JSA 2009 and JSA 2012). These observed results are provided to give the reader an appreciation of the</w:t>
      </w:r>
      <w:r w:rsidRPr="002F5864">
        <w:t xml:space="preserve"> relative proportions that the AME figures relate to. </w:t>
      </w:r>
    </w:p>
    <w:p w14:paraId="58535178" w14:textId="77777777" w:rsidR="00961617" w:rsidRPr="002F5864" w:rsidRDefault="00961617" w:rsidP="00E13B5E">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 and Research and Evaluation dataset (RED).</w:t>
      </w:r>
    </w:p>
    <w:p w14:paraId="0F694F40" w14:textId="77777777" w:rsidR="00961617" w:rsidRPr="002F5864" w:rsidRDefault="00864C5E" w:rsidP="00961617">
      <w:pPr>
        <w:spacing w:before="120"/>
        <w:rPr>
          <w:rFonts w:cstheme="minorHAnsi"/>
          <w:sz w:val="18"/>
          <w:szCs w:val="18"/>
        </w:rPr>
      </w:pPr>
      <w:hyperlink w:anchor="Place_A28" w:history="1">
        <w:r w:rsidR="00961617" w:rsidRPr="002F7E24">
          <w:rPr>
            <w:rStyle w:val="Hyperlink"/>
            <w:rFonts w:cstheme="minorHAnsi"/>
            <w:sz w:val="18"/>
            <w:szCs w:val="18"/>
          </w:rPr>
          <w:t>Return to Table 3.</w:t>
        </w:r>
        <w:r w:rsidR="00E80C53" w:rsidRPr="002F7E24">
          <w:rPr>
            <w:rStyle w:val="Hyperlink"/>
            <w:rFonts w:cstheme="minorHAnsi"/>
            <w:sz w:val="18"/>
            <w:szCs w:val="18"/>
          </w:rPr>
          <w:t>3</w:t>
        </w:r>
      </w:hyperlink>
      <w:r w:rsidR="00961617" w:rsidRPr="002F5864">
        <w:rPr>
          <w:rFonts w:cstheme="minorHAnsi"/>
          <w:sz w:val="18"/>
          <w:szCs w:val="18"/>
        </w:rPr>
        <w:t xml:space="preserve"> where this data is referenced.</w:t>
      </w:r>
    </w:p>
    <w:p w14:paraId="5611F7E1" w14:textId="77777777" w:rsidR="00961617" w:rsidRPr="002F5864" w:rsidRDefault="00961617" w:rsidP="00961617">
      <w:pPr>
        <w:rPr>
          <w:rFonts w:cstheme="minorHAnsi"/>
        </w:rPr>
      </w:pPr>
      <w:r w:rsidRPr="002F5864">
        <w:rPr>
          <w:rFonts w:cstheme="minorHAnsi"/>
        </w:rPr>
        <w:br w:type="page"/>
      </w:r>
    </w:p>
    <w:p w14:paraId="0A5F6455" w14:textId="77777777" w:rsidR="00961617" w:rsidRPr="002F5864" w:rsidRDefault="00961617" w:rsidP="00961617">
      <w:pPr>
        <w:pStyle w:val="TableheadingforappendixA1"/>
        <w:rPr>
          <w:rFonts w:cstheme="minorHAnsi"/>
        </w:rPr>
      </w:pPr>
      <w:bookmarkStart w:id="633" w:name="_Toc435695218"/>
      <w:bookmarkStart w:id="634" w:name="_Toc436142578"/>
      <w:bookmarkStart w:id="635" w:name="_Toc513129902"/>
      <w:r w:rsidRPr="002F5864">
        <w:rPr>
          <w:rFonts w:cstheme="minorHAnsi"/>
        </w:rPr>
        <w:t>Table A2.9: Exits from employment services due to disability, selected long-term unemployed (LTU) job seeker groups (per cent of jobseekers who exited)</w:t>
      </w:r>
      <w:bookmarkEnd w:id="633"/>
      <w:bookmarkEnd w:id="634"/>
      <w:bookmarkEnd w:id="635"/>
    </w:p>
    <w:tbl>
      <w:tblPr>
        <w:tblStyle w:val="TableGrid1"/>
        <w:tblW w:w="14283" w:type="dxa"/>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Layout w:type="fixed"/>
        <w:tblLook w:val="0420" w:firstRow="1" w:lastRow="0" w:firstColumn="0" w:lastColumn="0" w:noHBand="0" w:noVBand="1"/>
      </w:tblPr>
      <w:tblGrid>
        <w:gridCol w:w="3227"/>
        <w:gridCol w:w="1417"/>
        <w:gridCol w:w="1417"/>
        <w:gridCol w:w="1418"/>
        <w:gridCol w:w="1276"/>
        <w:gridCol w:w="1276"/>
        <w:gridCol w:w="1418"/>
        <w:gridCol w:w="1275"/>
        <w:gridCol w:w="1559"/>
      </w:tblGrid>
      <w:tr w:rsidR="00961617" w:rsidRPr="00545C7F" w14:paraId="61DF667C" w14:textId="77777777" w:rsidTr="0020771F">
        <w:trPr>
          <w:trHeight w:val="299"/>
          <w:tblHeader/>
        </w:trPr>
        <w:tc>
          <w:tcPr>
            <w:tcW w:w="3227" w:type="dxa"/>
            <w:tcBorders>
              <w:top w:val="nil"/>
              <w:left w:val="nil"/>
              <w:bottom w:val="nil"/>
              <w:right w:val="nil"/>
            </w:tcBorders>
            <w:shd w:val="clear" w:color="auto" w:fill="1E3D6B"/>
          </w:tcPr>
          <w:p w14:paraId="0898D272" w14:textId="77777777" w:rsidR="00961617" w:rsidRPr="00545C7F" w:rsidRDefault="00961617" w:rsidP="0020771F">
            <w:pPr>
              <w:keepNext/>
              <w:keepLines/>
              <w:rPr>
                <w:rFonts w:cstheme="minorHAnsi"/>
                <w:sz w:val="20"/>
                <w:szCs w:val="20"/>
              </w:rPr>
            </w:pPr>
            <w:bookmarkStart w:id="636" w:name="Title_A29"/>
            <w:bookmarkEnd w:id="636"/>
            <w:r w:rsidRPr="00545C7F">
              <w:rPr>
                <w:rFonts w:cstheme="minorHAnsi"/>
                <w:b/>
                <w:sz w:val="20"/>
                <w:szCs w:val="20"/>
              </w:rPr>
              <w:t>Characteristics</w:t>
            </w:r>
          </w:p>
        </w:tc>
        <w:tc>
          <w:tcPr>
            <w:tcW w:w="1417" w:type="dxa"/>
            <w:tcBorders>
              <w:top w:val="nil"/>
              <w:left w:val="nil"/>
              <w:bottom w:val="nil"/>
              <w:right w:val="nil"/>
            </w:tcBorders>
            <w:shd w:val="clear" w:color="auto" w:fill="1E3D6B"/>
          </w:tcPr>
          <w:p w14:paraId="69CE106A" w14:textId="77777777" w:rsidR="00961617" w:rsidRPr="00545C7F" w:rsidRDefault="00961617" w:rsidP="0020771F">
            <w:pPr>
              <w:keepNext/>
              <w:keepLines/>
              <w:jc w:val="center"/>
              <w:rPr>
                <w:rFonts w:cstheme="minorHAnsi"/>
                <w:b/>
                <w:sz w:val="20"/>
                <w:szCs w:val="20"/>
              </w:rPr>
            </w:pPr>
            <w:r w:rsidRPr="00545C7F">
              <w:rPr>
                <w:rFonts w:cstheme="minorHAnsi"/>
                <w:b/>
                <w:sz w:val="20"/>
                <w:szCs w:val="20"/>
              </w:rPr>
              <w:t>JSA 2009</w:t>
            </w:r>
            <w:r w:rsidRPr="00545C7F">
              <w:rPr>
                <w:rFonts w:cstheme="minorHAnsi"/>
                <w:b/>
                <w:sz w:val="20"/>
                <w:szCs w:val="20"/>
              </w:rPr>
              <w:br/>
            </w:r>
            <w:r w:rsidRPr="00545C7F">
              <w:rPr>
                <w:rFonts w:cstheme="minorHAnsi"/>
                <w:b/>
                <w:color w:val="1E3D6B"/>
                <w:sz w:val="20"/>
                <w:szCs w:val="20"/>
              </w:rPr>
              <w:t xml:space="preserve">- </w:t>
            </w:r>
            <w:r w:rsidRPr="00545C7F">
              <w:rPr>
                <w:rFonts w:cstheme="minorHAnsi"/>
                <w:b/>
                <w:sz w:val="20"/>
                <w:szCs w:val="20"/>
              </w:rPr>
              <w:t>On DSP</w:t>
            </w:r>
          </w:p>
        </w:tc>
        <w:tc>
          <w:tcPr>
            <w:tcW w:w="1417" w:type="dxa"/>
            <w:tcBorders>
              <w:top w:val="nil"/>
              <w:left w:val="nil"/>
              <w:bottom w:val="nil"/>
              <w:right w:val="nil"/>
            </w:tcBorders>
            <w:shd w:val="clear" w:color="auto" w:fill="1E3D6B"/>
          </w:tcPr>
          <w:p w14:paraId="2158AAC5" w14:textId="77777777" w:rsidR="00961617" w:rsidRPr="00545C7F" w:rsidRDefault="00961617" w:rsidP="0020771F">
            <w:pPr>
              <w:keepNext/>
              <w:keepLines/>
              <w:jc w:val="center"/>
              <w:rPr>
                <w:rFonts w:cstheme="minorHAnsi"/>
                <w:b/>
                <w:sz w:val="20"/>
                <w:szCs w:val="20"/>
              </w:rPr>
            </w:pPr>
            <w:r w:rsidRPr="00545C7F">
              <w:rPr>
                <w:rFonts w:cstheme="minorHAnsi"/>
                <w:b/>
                <w:sz w:val="20"/>
                <w:szCs w:val="20"/>
              </w:rPr>
              <w:t>JSA 2009</w:t>
            </w:r>
            <w:r w:rsidRPr="00545C7F">
              <w:rPr>
                <w:rFonts w:cstheme="minorHAnsi"/>
                <w:b/>
                <w:sz w:val="20"/>
                <w:szCs w:val="20"/>
              </w:rPr>
              <w:br/>
              <w:t>Exited to DES</w:t>
            </w:r>
          </w:p>
        </w:tc>
        <w:tc>
          <w:tcPr>
            <w:tcW w:w="1418" w:type="dxa"/>
            <w:tcBorders>
              <w:top w:val="nil"/>
              <w:left w:val="nil"/>
              <w:bottom w:val="nil"/>
              <w:right w:val="nil"/>
            </w:tcBorders>
            <w:shd w:val="clear" w:color="auto" w:fill="1E3D6B"/>
          </w:tcPr>
          <w:p w14:paraId="619C0F7F" w14:textId="77777777" w:rsidR="00961617" w:rsidRPr="00545C7F" w:rsidRDefault="00961617" w:rsidP="0020771F">
            <w:pPr>
              <w:keepNext/>
              <w:keepLines/>
              <w:ind w:left="-62" w:right="-62"/>
              <w:jc w:val="center"/>
              <w:rPr>
                <w:rFonts w:cstheme="minorHAnsi"/>
                <w:b/>
                <w:sz w:val="20"/>
                <w:szCs w:val="20"/>
              </w:rPr>
            </w:pPr>
            <w:r w:rsidRPr="00545C7F">
              <w:rPr>
                <w:rFonts w:cstheme="minorHAnsi"/>
                <w:b/>
                <w:sz w:val="20"/>
                <w:szCs w:val="20"/>
              </w:rPr>
              <w:t xml:space="preserve">JSA 2009 </w:t>
            </w:r>
            <w:r w:rsidRPr="00545C7F">
              <w:rPr>
                <w:rFonts w:cstheme="minorHAnsi"/>
                <w:b/>
                <w:color w:val="1E3D6B"/>
                <w:sz w:val="20"/>
                <w:szCs w:val="20"/>
              </w:rPr>
              <w:br/>
            </w:r>
            <w:r w:rsidRPr="00545C7F">
              <w:rPr>
                <w:rFonts w:cstheme="minorHAnsi"/>
                <w:b/>
                <w:sz w:val="20"/>
                <w:szCs w:val="20"/>
              </w:rPr>
              <w:t>On DSP and exited DES</w:t>
            </w:r>
          </w:p>
        </w:tc>
        <w:tc>
          <w:tcPr>
            <w:tcW w:w="1276" w:type="dxa"/>
            <w:tcBorders>
              <w:top w:val="nil"/>
              <w:left w:val="nil"/>
              <w:bottom w:val="nil"/>
              <w:right w:val="nil"/>
            </w:tcBorders>
            <w:shd w:val="clear" w:color="auto" w:fill="1E3D6B"/>
          </w:tcPr>
          <w:p w14:paraId="3B0B635D" w14:textId="77777777" w:rsidR="00961617" w:rsidRPr="00545C7F" w:rsidRDefault="00961617" w:rsidP="0020771F">
            <w:pPr>
              <w:keepNext/>
              <w:keepLines/>
              <w:ind w:left="-62" w:right="-63"/>
              <w:jc w:val="center"/>
              <w:rPr>
                <w:rFonts w:cstheme="minorHAnsi"/>
                <w:b/>
                <w:sz w:val="20"/>
                <w:szCs w:val="20"/>
              </w:rPr>
            </w:pPr>
            <w:r w:rsidRPr="00545C7F">
              <w:rPr>
                <w:rFonts w:cstheme="minorHAnsi"/>
                <w:b/>
                <w:sz w:val="20"/>
                <w:szCs w:val="20"/>
              </w:rPr>
              <w:t>JSA 2009</w:t>
            </w:r>
            <w:r w:rsidRPr="00545C7F">
              <w:rPr>
                <w:rFonts w:cstheme="minorHAnsi"/>
                <w:b/>
                <w:color w:val="1E3D6B"/>
                <w:sz w:val="20"/>
                <w:szCs w:val="20"/>
              </w:rPr>
              <w:br/>
            </w:r>
            <w:r w:rsidRPr="00545C7F">
              <w:rPr>
                <w:rFonts w:cstheme="minorHAnsi"/>
                <w:b/>
                <w:sz w:val="20"/>
                <w:szCs w:val="20"/>
              </w:rPr>
              <w:t>Total exits to disability</w:t>
            </w:r>
          </w:p>
        </w:tc>
        <w:tc>
          <w:tcPr>
            <w:tcW w:w="1276" w:type="dxa"/>
            <w:tcBorders>
              <w:top w:val="nil"/>
              <w:left w:val="nil"/>
              <w:bottom w:val="nil"/>
              <w:right w:val="nil"/>
            </w:tcBorders>
            <w:shd w:val="clear" w:color="auto" w:fill="1E3D6B"/>
          </w:tcPr>
          <w:p w14:paraId="3EEFB3A9" w14:textId="77777777" w:rsidR="00961617" w:rsidRPr="00545C7F" w:rsidRDefault="00961617" w:rsidP="0020771F">
            <w:pPr>
              <w:keepNext/>
              <w:keepLines/>
              <w:jc w:val="center"/>
              <w:rPr>
                <w:rFonts w:cstheme="minorHAnsi"/>
                <w:b/>
                <w:sz w:val="20"/>
                <w:szCs w:val="20"/>
              </w:rPr>
            </w:pPr>
            <w:r w:rsidRPr="00545C7F">
              <w:rPr>
                <w:rFonts w:cstheme="minorHAnsi"/>
                <w:b/>
                <w:sz w:val="20"/>
                <w:szCs w:val="20"/>
              </w:rPr>
              <w:t>JSA 2012</w:t>
            </w:r>
            <w:r w:rsidRPr="00545C7F">
              <w:rPr>
                <w:rFonts w:cstheme="minorHAnsi"/>
                <w:b/>
                <w:color w:val="1E3D6B"/>
                <w:sz w:val="20"/>
                <w:szCs w:val="20"/>
              </w:rPr>
              <w:br/>
            </w:r>
            <w:r w:rsidRPr="00545C7F">
              <w:rPr>
                <w:rFonts w:cstheme="minorHAnsi"/>
                <w:b/>
                <w:sz w:val="20"/>
                <w:szCs w:val="20"/>
              </w:rPr>
              <w:t>On DSP</w:t>
            </w:r>
          </w:p>
        </w:tc>
        <w:tc>
          <w:tcPr>
            <w:tcW w:w="1418" w:type="dxa"/>
            <w:tcBorders>
              <w:top w:val="nil"/>
              <w:left w:val="nil"/>
              <w:bottom w:val="nil"/>
              <w:right w:val="nil"/>
            </w:tcBorders>
            <w:shd w:val="clear" w:color="auto" w:fill="1E3D6B"/>
          </w:tcPr>
          <w:p w14:paraId="0CCC422C" w14:textId="77777777" w:rsidR="00961617" w:rsidRPr="00545C7F" w:rsidRDefault="00961617" w:rsidP="0020771F">
            <w:pPr>
              <w:keepNext/>
              <w:keepLines/>
              <w:jc w:val="center"/>
              <w:rPr>
                <w:rFonts w:cstheme="minorHAnsi"/>
                <w:b/>
                <w:sz w:val="20"/>
                <w:szCs w:val="20"/>
              </w:rPr>
            </w:pPr>
            <w:r w:rsidRPr="00545C7F">
              <w:rPr>
                <w:rFonts w:cstheme="minorHAnsi"/>
                <w:b/>
                <w:sz w:val="20"/>
                <w:szCs w:val="20"/>
              </w:rPr>
              <w:t xml:space="preserve">JSA 2012 </w:t>
            </w:r>
            <w:r w:rsidRPr="00545C7F">
              <w:rPr>
                <w:rFonts w:cstheme="minorHAnsi"/>
                <w:b/>
                <w:color w:val="1E3D6B"/>
                <w:sz w:val="20"/>
                <w:szCs w:val="20"/>
              </w:rPr>
              <w:br/>
            </w:r>
            <w:r w:rsidRPr="00545C7F">
              <w:rPr>
                <w:rFonts w:cstheme="minorHAnsi"/>
                <w:b/>
                <w:sz w:val="20"/>
                <w:szCs w:val="20"/>
              </w:rPr>
              <w:t>Exited to DES</w:t>
            </w:r>
          </w:p>
        </w:tc>
        <w:tc>
          <w:tcPr>
            <w:tcW w:w="1275" w:type="dxa"/>
            <w:tcBorders>
              <w:top w:val="nil"/>
              <w:left w:val="nil"/>
              <w:bottom w:val="nil"/>
              <w:right w:val="nil"/>
            </w:tcBorders>
            <w:shd w:val="clear" w:color="auto" w:fill="1E3D6B"/>
          </w:tcPr>
          <w:p w14:paraId="13135B6B" w14:textId="77777777" w:rsidR="00961617" w:rsidRPr="00545C7F" w:rsidRDefault="00961617" w:rsidP="0020771F">
            <w:pPr>
              <w:keepNext/>
              <w:keepLines/>
              <w:ind w:left="-62"/>
              <w:jc w:val="center"/>
              <w:rPr>
                <w:rFonts w:cstheme="minorHAnsi"/>
                <w:b/>
                <w:sz w:val="20"/>
                <w:szCs w:val="20"/>
              </w:rPr>
            </w:pPr>
            <w:r w:rsidRPr="00545C7F">
              <w:rPr>
                <w:rFonts w:cstheme="minorHAnsi"/>
                <w:b/>
                <w:sz w:val="20"/>
                <w:szCs w:val="20"/>
              </w:rPr>
              <w:t>JSA 2012</w:t>
            </w:r>
            <w:r w:rsidRPr="00545C7F">
              <w:rPr>
                <w:rFonts w:cstheme="minorHAnsi"/>
                <w:b/>
                <w:sz w:val="20"/>
                <w:szCs w:val="20"/>
              </w:rPr>
              <w:br/>
              <w:t>On DSP and exited DES</w:t>
            </w:r>
          </w:p>
        </w:tc>
        <w:tc>
          <w:tcPr>
            <w:tcW w:w="1559" w:type="dxa"/>
            <w:tcBorders>
              <w:top w:val="nil"/>
              <w:left w:val="nil"/>
              <w:bottom w:val="nil"/>
              <w:right w:val="nil"/>
            </w:tcBorders>
            <w:shd w:val="clear" w:color="auto" w:fill="1E3D6B"/>
          </w:tcPr>
          <w:p w14:paraId="68A6CBA5" w14:textId="77777777" w:rsidR="00961617" w:rsidRPr="00545C7F" w:rsidRDefault="00961617" w:rsidP="0020771F">
            <w:pPr>
              <w:keepNext/>
              <w:keepLines/>
              <w:ind w:left="-62" w:right="101"/>
              <w:jc w:val="center"/>
              <w:rPr>
                <w:rFonts w:cstheme="minorHAnsi"/>
                <w:b/>
                <w:sz w:val="20"/>
                <w:szCs w:val="20"/>
              </w:rPr>
            </w:pPr>
            <w:r w:rsidRPr="00545C7F">
              <w:rPr>
                <w:rFonts w:cstheme="minorHAnsi"/>
                <w:b/>
                <w:sz w:val="20"/>
                <w:szCs w:val="20"/>
              </w:rPr>
              <w:t>JSA 2012</w:t>
            </w:r>
            <w:r w:rsidRPr="00545C7F">
              <w:rPr>
                <w:rFonts w:cstheme="minorHAnsi"/>
                <w:b/>
                <w:sz w:val="20"/>
                <w:szCs w:val="20"/>
              </w:rPr>
              <w:br/>
              <w:t>Total exits to disability</w:t>
            </w:r>
          </w:p>
        </w:tc>
      </w:tr>
      <w:tr w:rsidR="00961617" w:rsidRPr="00545C7F" w14:paraId="64C2FFC7" w14:textId="77777777" w:rsidTr="0020771F">
        <w:trPr>
          <w:trHeight w:val="129"/>
        </w:trPr>
        <w:tc>
          <w:tcPr>
            <w:tcW w:w="3227" w:type="dxa"/>
            <w:tcBorders>
              <w:top w:val="nil"/>
              <w:left w:val="nil"/>
              <w:bottom w:val="nil"/>
              <w:right w:val="nil"/>
            </w:tcBorders>
            <w:vAlign w:val="center"/>
          </w:tcPr>
          <w:p w14:paraId="526B9251"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Stream 1</w:t>
            </w:r>
          </w:p>
        </w:tc>
        <w:tc>
          <w:tcPr>
            <w:tcW w:w="1417" w:type="dxa"/>
            <w:tcBorders>
              <w:top w:val="nil"/>
              <w:left w:val="nil"/>
              <w:bottom w:val="nil"/>
              <w:right w:val="nil"/>
            </w:tcBorders>
            <w:vAlign w:val="center"/>
          </w:tcPr>
          <w:p w14:paraId="03D8FD27"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1.6</w:t>
            </w:r>
          </w:p>
        </w:tc>
        <w:tc>
          <w:tcPr>
            <w:tcW w:w="1417" w:type="dxa"/>
            <w:tcBorders>
              <w:top w:val="nil"/>
              <w:left w:val="nil"/>
              <w:bottom w:val="nil"/>
              <w:right w:val="nil"/>
            </w:tcBorders>
            <w:vAlign w:val="center"/>
          </w:tcPr>
          <w:p w14:paraId="36747ED6"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5.2</w:t>
            </w:r>
          </w:p>
        </w:tc>
        <w:tc>
          <w:tcPr>
            <w:tcW w:w="1418" w:type="dxa"/>
            <w:tcBorders>
              <w:top w:val="nil"/>
              <w:left w:val="nil"/>
              <w:bottom w:val="nil"/>
              <w:right w:val="nil"/>
            </w:tcBorders>
            <w:vAlign w:val="center"/>
          </w:tcPr>
          <w:p w14:paraId="2E329E07"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0.2</w:t>
            </w:r>
          </w:p>
        </w:tc>
        <w:tc>
          <w:tcPr>
            <w:tcW w:w="1276" w:type="dxa"/>
            <w:tcBorders>
              <w:top w:val="nil"/>
              <w:left w:val="nil"/>
              <w:bottom w:val="nil"/>
              <w:right w:val="nil"/>
            </w:tcBorders>
            <w:vAlign w:val="center"/>
          </w:tcPr>
          <w:p w14:paraId="66E5348E"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7.0</w:t>
            </w:r>
          </w:p>
        </w:tc>
        <w:tc>
          <w:tcPr>
            <w:tcW w:w="1276" w:type="dxa"/>
            <w:tcBorders>
              <w:top w:val="nil"/>
              <w:left w:val="nil"/>
              <w:bottom w:val="nil"/>
              <w:right w:val="nil"/>
            </w:tcBorders>
            <w:vAlign w:val="center"/>
          </w:tcPr>
          <w:p w14:paraId="021E066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1.0</w:t>
            </w:r>
          </w:p>
        </w:tc>
        <w:tc>
          <w:tcPr>
            <w:tcW w:w="1418" w:type="dxa"/>
            <w:tcBorders>
              <w:top w:val="nil"/>
              <w:left w:val="nil"/>
              <w:bottom w:val="nil"/>
              <w:right w:val="nil"/>
            </w:tcBorders>
            <w:vAlign w:val="center"/>
          </w:tcPr>
          <w:p w14:paraId="54E8569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4.1</w:t>
            </w:r>
          </w:p>
        </w:tc>
        <w:tc>
          <w:tcPr>
            <w:tcW w:w="1275" w:type="dxa"/>
            <w:tcBorders>
              <w:top w:val="nil"/>
              <w:left w:val="nil"/>
              <w:bottom w:val="nil"/>
              <w:right w:val="nil"/>
            </w:tcBorders>
            <w:vAlign w:val="center"/>
          </w:tcPr>
          <w:p w14:paraId="704EA909"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0.1</w:t>
            </w:r>
          </w:p>
        </w:tc>
        <w:tc>
          <w:tcPr>
            <w:tcW w:w="1559" w:type="dxa"/>
            <w:tcBorders>
              <w:top w:val="nil"/>
              <w:left w:val="nil"/>
              <w:bottom w:val="nil"/>
              <w:right w:val="nil"/>
            </w:tcBorders>
            <w:vAlign w:val="center"/>
          </w:tcPr>
          <w:p w14:paraId="14B7A85F"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5.2</w:t>
            </w:r>
          </w:p>
        </w:tc>
      </w:tr>
      <w:tr w:rsidR="00961617" w:rsidRPr="00545C7F" w14:paraId="4814513F"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27DB6922"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Stream 2</w:t>
            </w:r>
          </w:p>
        </w:tc>
        <w:tc>
          <w:tcPr>
            <w:tcW w:w="1417" w:type="dxa"/>
            <w:tcBorders>
              <w:top w:val="nil"/>
              <w:left w:val="nil"/>
              <w:bottom w:val="nil"/>
              <w:right w:val="nil"/>
            </w:tcBorders>
            <w:shd w:val="clear" w:color="auto" w:fill="E5E5E5" w:themeFill="background1" w:themeFillTint="33"/>
            <w:vAlign w:val="center"/>
          </w:tcPr>
          <w:p w14:paraId="275D1026"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6.8</w:t>
            </w:r>
          </w:p>
        </w:tc>
        <w:tc>
          <w:tcPr>
            <w:tcW w:w="1417" w:type="dxa"/>
            <w:tcBorders>
              <w:top w:val="nil"/>
              <w:left w:val="nil"/>
              <w:bottom w:val="nil"/>
              <w:right w:val="nil"/>
            </w:tcBorders>
            <w:shd w:val="clear" w:color="auto" w:fill="E5E5E5" w:themeFill="background1" w:themeFillTint="33"/>
            <w:vAlign w:val="center"/>
          </w:tcPr>
          <w:p w14:paraId="384150A1"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12.6</w:t>
            </w:r>
          </w:p>
        </w:tc>
        <w:tc>
          <w:tcPr>
            <w:tcW w:w="1418" w:type="dxa"/>
            <w:tcBorders>
              <w:top w:val="nil"/>
              <w:left w:val="nil"/>
              <w:bottom w:val="nil"/>
              <w:right w:val="nil"/>
            </w:tcBorders>
            <w:shd w:val="clear" w:color="auto" w:fill="E5E5E5" w:themeFill="background1" w:themeFillTint="33"/>
            <w:vAlign w:val="center"/>
          </w:tcPr>
          <w:p w14:paraId="3CBF0DA0"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0.8</w:t>
            </w:r>
          </w:p>
        </w:tc>
        <w:tc>
          <w:tcPr>
            <w:tcW w:w="1276" w:type="dxa"/>
            <w:tcBorders>
              <w:top w:val="nil"/>
              <w:left w:val="nil"/>
              <w:bottom w:val="nil"/>
              <w:right w:val="nil"/>
            </w:tcBorders>
            <w:shd w:val="clear" w:color="auto" w:fill="E5E5E5" w:themeFill="background1" w:themeFillTint="33"/>
            <w:vAlign w:val="center"/>
          </w:tcPr>
          <w:p w14:paraId="087A8480"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20.2</w:t>
            </w:r>
          </w:p>
        </w:tc>
        <w:tc>
          <w:tcPr>
            <w:tcW w:w="1276" w:type="dxa"/>
            <w:tcBorders>
              <w:top w:val="nil"/>
              <w:left w:val="nil"/>
              <w:bottom w:val="nil"/>
              <w:right w:val="nil"/>
            </w:tcBorders>
            <w:shd w:val="clear" w:color="auto" w:fill="E5E5E5" w:themeFill="background1" w:themeFillTint="33"/>
            <w:vAlign w:val="center"/>
          </w:tcPr>
          <w:p w14:paraId="5F39E00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2.1</w:t>
            </w:r>
          </w:p>
        </w:tc>
        <w:tc>
          <w:tcPr>
            <w:tcW w:w="1418" w:type="dxa"/>
            <w:tcBorders>
              <w:top w:val="nil"/>
              <w:left w:val="nil"/>
              <w:bottom w:val="nil"/>
              <w:right w:val="nil"/>
            </w:tcBorders>
            <w:shd w:val="clear" w:color="auto" w:fill="E5E5E5" w:themeFill="background1" w:themeFillTint="33"/>
            <w:vAlign w:val="center"/>
          </w:tcPr>
          <w:p w14:paraId="4A53D82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7.4</w:t>
            </w:r>
          </w:p>
        </w:tc>
        <w:tc>
          <w:tcPr>
            <w:tcW w:w="1275" w:type="dxa"/>
            <w:tcBorders>
              <w:top w:val="nil"/>
              <w:left w:val="nil"/>
              <w:bottom w:val="nil"/>
              <w:right w:val="nil"/>
            </w:tcBorders>
            <w:shd w:val="clear" w:color="auto" w:fill="E5E5E5" w:themeFill="background1" w:themeFillTint="33"/>
            <w:vAlign w:val="center"/>
          </w:tcPr>
          <w:p w14:paraId="0D988D84"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0.3</w:t>
            </w:r>
          </w:p>
        </w:tc>
        <w:tc>
          <w:tcPr>
            <w:tcW w:w="1559" w:type="dxa"/>
            <w:tcBorders>
              <w:top w:val="nil"/>
              <w:left w:val="nil"/>
              <w:bottom w:val="nil"/>
              <w:right w:val="nil"/>
            </w:tcBorders>
            <w:shd w:val="clear" w:color="auto" w:fill="E5E5E5" w:themeFill="background1" w:themeFillTint="33"/>
            <w:vAlign w:val="center"/>
          </w:tcPr>
          <w:p w14:paraId="3079B4A8"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9.8</w:t>
            </w:r>
          </w:p>
        </w:tc>
      </w:tr>
      <w:tr w:rsidR="00961617" w:rsidRPr="00545C7F" w14:paraId="4D46C512" w14:textId="77777777" w:rsidTr="0020771F">
        <w:trPr>
          <w:trHeight w:val="369"/>
        </w:trPr>
        <w:tc>
          <w:tcPr>
            <w:tcW w:w="3227" w:type="dxa"/>
            <w:tcBorders>
              <w:top w:val="nil"/>
              <w:left w:val="nil"/>
              <w:bottom w:val="nil"/>
              <w:right w:val="nil"/>
            </w:tcBorders>
            <w:vAlign w:val="center"/>
          </w:tcPr>
          <w:p w14:paraId="4E7DAAEA"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Stream 3</w:t>
            </w:r>
          </w:p>
        </w:tc>
        <w:tc>
          <w:tcPr>
            <w:tcW w:w="1417" w:type="dxa"/>
            <w:tcBorders>
              <w:top w:val="nil"/>
              <w:left w:val="nil"/>
              <w:bottom w:val="nil"/>
              <w:right w:val="nil"/>
            </w:tcBorders>
            <w:vAlign w:val="center"/>
          </w:tcPr>
          <w:p w14:paraId="4612A25B"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15.5</w:t>
            </w:r>
          </w:p>
        </w:tc>
        <w:tc>
          <w:tcPr>
            <w:tcW w:w="1417" w:type="dxa"/>
            <w:tcBorders>
              <w:top w:val="nil"/>
              <w:left w:val="nil"/>
              <w:bottom w:val="nil"/>
              <w:right w:val="nil"/>
            </w:tcBorders>
            <w:vAlign w:val="center"/>
          </w:tcPr>
          <w:p w14:paraId="53EB649C"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19.8</w:t>
            </w:r>
          </w:p>
        </w:tc>
        <w:tc>
          <w:tcPr>
            <w:tcW w:w="1418" w:type="dxa"/>
            <w:tcBorders>
              <w:top w:val="nil"/>
              <w:left w:val="nil"/>
              <w:bottom w:val="nil"/>
              <w:right w:val="nil"/>
            </w:tcBorders>
            <w:vAlign w:val="center"/>
          </w:tcPr>
          <w:p w14:paraId="087F8F90"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1.4</w:t>
            </w:r>
          </w:p>
        </w:tc>
        <w:tc>
          <w:tcPr>
            <w:tcW w:w="1276" w:type="dxa"/>
            <w:tcBorders>
              <w:top w:val="nil"/>
              <w:left w:val="nil"/>
              <w:bottom w:val="nil"/>
              <w:right w:val="nil"/>
            </w:tcBorders>
            <w:vAlign w:val="center"/>
          </w:tcPr>
          <w:p w14:paraId="20B34774"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36.7</w:t>
            </w:r>
          </w:p>
        </w:tc>
        <w:tc>
          <w:tcPr>
            <w:tcW w:w="1276" w:type="dxa"/>
            <w:tcBorders>
              <w:top w:val="nil"/>
              <w:left w:val="nil"/>
              <w:bottom w:val="nil"/>
              <w:right w:val="nil"/>
            </w:tcBorders>
            <w:vAlign w:val="center"/>
          </w:tcPr>
          <w:p w14:paraId="18C8F334"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8.6</w:t>
            </w:r>
          </w:p>
        </w:tc>
        <w:tc>
          <w:tcPr>
            <w:tcW w:w="1418" w:type="dxa"/>
            <w:tcBorders>
              <w:top w:val="nil"/>
              <w:left w:val="nil"/>
              <w:bottom w:val="nil"/>
              <w:right w:val="nil"/>
            </w:tcBorders>
            <w:vAlign w:val="center"/>
          </w:tcPr>
          <w:p w14:paraId="7026BEF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24.5</w:t>
            </w:r>
          </w:p>
        </w:tc>
        <w:tc>
          <w:tcPr>
            <w:tcW w:w="1275" w:type="dxa"/>
            <w:tcBorders>
              <w:top w:val="nil"/>
              <w:left w:val="nil"/>
              <w:bottom w:val="nil"/>
              <w:right w:val="nil"/>
            </w:tcBorders>
            <w:vAlign w:val="center"/>
          </w:tcPr>
          <w:p w14:paraId="197A23D1"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0.9</w:t>
            </w:r>
          </w:p>
        </w:tc>
        <w:tc>
          <w:tcPr>
            <w:tcW w:w="1559" w:type="dxa"/>
            <w:tcBorders>
              <w:top w:val="nil"/>
              <w:left w:val="nil"/>
              <w:bottom w:val="nil"/>
              <w:right w:val="nil"/>
            </w:tcBorders>
            <w:vAlign w:val="center"/>
          </w:tcPr>
          <w:p w14:paraId="7DBCC10B"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34.0</w:t>
            </w:r>
          </w:p>
        </w:tc>
      </w:tr>
      <w:tr w:rsidR="00961617" w:rsidRPr="00545C7F" w14:paraId="693E74E8"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2F0329F8"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Stream 4</w:t>
            </w:r>
          </w:p>
        </w:tc>
        <w:tc>
          <w:tcPr>
            <w:tcW w:w="1417" w:type="dxa"/>
            <w:tcBorders>
              <w:top w:val="nil"/>
              <w:left w:val="nil"/>
              <w:bottom w:val="nil"/>
              <w:right w:val="nil"/>
            </w:tcBorders>
            <w:shd w:val="clear" w:color="auto" w:fill="E5E5E5" w:themeFill="background1" w:themeFillTint="33"/>
            <w:vAlign w:val="center"/>
          </w:tcPr>
          <w:p w14:paraId="276DCE2F"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27.9</w:t>
            </w:r>
          </w:p>
        </w:tc>
        <w:tc>
          <w:tcPr>
            <w:tcW w:w="1417" w:type="dxa"/>
            <w:tcBorders>
              <w:top w:val="nil"/>
              <w:left w:val="nil"/>
              <w:bottom w:val="nil"/>
              <w:right w:val="nil"/>
            </w:tcBorders>
            <w:shd w:val="clear" w:color="auto" w:fill="E5E5E5" w:themeFill="background1" w:themeFillTint="33"/>
            <w:vAlign w:val="center"/>
          </w:tcPr>
          <w:p w14:paraId="3A8BB8AB"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12.2</w:t>
            </w:r>
          </w:p>
        </w:tc>
        <w:tc>
          <w:tcPr>
            <w:tcW w:w="1418" w:type="dxa"/>
            <w:tcBorders>
              <w:top w:val="nil"/>
              <w:left w:val="nil"/>
              <w:bottom w:val="nil"/>
              <w:right w:val="nil"/>
            </w:tcBorders>
            <w:shd w:val="clear" w:color="auto" w:fill="E5E5E5" w:themeFill="background1" w:themeFillTint="33"/>
            <w:vAlign w:val="center"/>
          </w:tcPr>
          <w:p w14:paraId="1D383890"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1.4</w:t>
            </w:r>
          </w:p>
        </w:tc>
        <w:tc>
          <w:tcPr>
            <w:tcW w:w="1276" w:type="dxa"/>
            <w:tcBorders>
              <w:top w:val="nil"/>
              <w:left w:val="nil"/>
              <w:bottom w:val="nil"/>
              <w:right w:val="nil"/>
            </w:tcBorders>
            <w:shd w:val="clear" w:color="auto" w:fill="E5E5E5" w:themeFill="background1" w:themeFillTint="33"/>
            <w:vAlign w:val="center"/>
          </w:tcPr>
          <w:p w14:paraId="10DEA7E2"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41.5</w:t>
            </w:r>
          </w:p>
        </w:tc>
        <w:tc>
          <w:tcPr>
            <w:tcW w:w="1276" w:type="dxa"/>
            <w:tcBorders>
              <w:top w:val="nil"/>
              <w:left w:val="nil"/>
              <w:bottom w:val="nil"/>
              <w:right w:val="nil"/>
            </w:tcBorders>
            <w:shd w:val="clear" w:color="auto" w:fill="E5E5E5" w:themeFill="background1" w:themeFillTint="33"/>
            <w:vAlign w:val="center"/>
          </w:tcPr>
          <w:p w14:paraId="48DB4C1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15.2</w:t>
            </w:r>
          </w:p>
        </w:tc>
        <w:tc>
          <w:tcPr>
            <w:tcW w:w="1418" w:type="dxa"/>
            <w:tcBorders>
              <w:top w:val="nil"/>
              <w:left w:val="nil"/>
              <w:bottom w:val="nil"/>
              <w:right w:val="nil"/>
            </w:tcBorders>
            <w:shd w:val="clear" w:color="auto" w:fill="E5E5E5" w:themeFill="background1" w:themeFillTint="33"/>
            <w:vAlign w:val="center"/>
          </w:tcPr>
          <w:p w14:paraId="2002D0A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14.7</w:t>
            </w:r>
          </w:p>
        </w:tc>
        <w:tc>
          <w:tcPr>
            <w:tcW w:w="1275" w:type="dxa"/>
            <w:tcBorders>
              <w:top w:val="nil"/>
              <w:left w:val="nil"/>
              <w:bottom w:val="nil"/>
              <w:right w:val="nil"/>
            </w:tcBorders>
            <w:shd w:val="clear" w:color="auto" w:fill="E5E5E5" w:themeFill="background1" w:themeFillTint="33"/>
            <w:vAlign w:val="center"/>
          </w:tcPr>
          <w:p w14:paraId="270C0072"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0.9</w:t>
            </w:r>
          </w:p>
        </w:tc>
        <w:tc>
          <w:tcPr>
            <w:tcW w:w="1559" w:type="dxa"/>
            <w:tcBorders>
              <w:top w:val="nil"/>
              <w:left w:val="nil"/>
              <w:bottom w:val="nil"/>
              <w:right w:val="nil"/>
            </w:tcBorders>
            <w:shd w:val="clear" w:color="auto" w:fill="E5E5E5" w:themeFill="background1" w:themeFillTint="33"/>
            <w:vAlign w:val="center"/>
          </w:tcPr>
          <w:p w14:paraId="1279E477"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30.8</w:t>
            </w:r>
          </w:p>
        </w:tc>
      </w:tr>
      <w:tr w:rsidR="00961617" w:rsidRPr="00545C7F" w14:paraId="1D786D10" w14:textId="77777777" w:rsidTr="0020771F">
        <w:trPr>
          <w:trHeight w:val="369"/>
        </w:trPr>
        <w:tc>
          <w:tcPr>
            <w:tcW w:w="3227" w:type="dxa"/>
            <w:tcBorders>
              <w:top w:val="nil"/>
              <w:left w:val="nil"/>
              <w:bottom w:val="nil"/>
              <w:right w:val="nil"/>
            </w:tcBorders>
            <w:vAlign w:val="center"/>
          </w:tcPr>
          <w:p w14:paraId="1C17D3A8"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Age: Less than 21</w:t>
            </w:r>
          </w:p>
        </w:tc>
        <w:tc>
          <w:tcPr>
            <w:tcW w:w="1417" w:type="dxa"/>
            <w:tcBorders>
              <w:top w:val="nil"/>
              <w:left w:val="nil"/>
              <w:bottom w:val="nil"/>
              <w:right w:val="nil"/>
            </w:tcBorders>
            <w:shd w:val="clear" w:color="auto" w:fill="auto"/>
            <w:vAlign w:val="center"/>
          </w:tcPr>
          <w:p w14:paraId="591F92AC"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2.1</w:t>
            </w:r>
          </w:p>
        </w:tc>
        <w:tc>
          <w:tcPr>
            <w:tcW w:w="1417" w:type="dxa"/>
            <w:tcBorders>
              <w:top w:val="nil"/>
              <w:left w:val="nil"/>
              <w:bottom w:val="nil"/>
              <w:right w:val="nil"/>
            </w:tcBorders>
            <w:shd w:val="clear" w:color="auto" w:fill="auto"/>
            <w:vAlign w:val="center"/>
          </w:tcPr>
          <w:p w14:paraId="2B4AA4A1"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4.0</w:t>
            </w:r>
          </w:p>
        </w:tc>
        <w:tc>
          <w:tcPr>
            <w:tcW w:w="1418" w:type="dxa"/>
            <w:tcBorders>
              <w:top w:val="nil"/>
              <w:left w:val="nil"/>
              <w:bottom w:val="nil"/>
              <w:right w:val="nil"/>
            </w:tcBorders>
            <w:shd w:val="clear" w:color="auto" w:fill="auto"/>
            <w:vAlign w:val="center"/>
          </w:tcPr>
          <w:p w14:paraId="699A8DA7"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0.4</w:t>
            </w:r>
          </w:p>
        </w:tc>
        <w:tc>
          <w:tcPr>
            <w:tcW w:w="1276" w:type="dxa"/>
            <w:tcBorders>
              <w:top w:val="nil"/>
              <w:left w:val="nil"/>
              <w:bottom w:val="nil"/>
              <w:right w:val="nil"/>
            </w:tcBorders>
            <w:vAlign w:val="center"/>
          </w:tcPr>
          <w:p w14:paraId="69391F59"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10.1</w:t>
            </w:r>
          </w:p>
        </w:tc>
        <w:tc>
          <w:tcPr>
            <w:tcW w:w="1276" w:type="dxa"/>
            <w:tcBorders>
              <w:top w:val="nil"/>
              <w:left w:val="nil"/>
              <w:bottom w:val="nil"/>
              <w:right w:val="nil"/>
            </w:tcBorders>
            <w:vAlign w:val="center"/>
          </w:tcPr>
          <w:p w14:paraId="4F7497CF"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1.8</w:t>
            </w:r>
          </w:p>
        </w:tc>
        <w:tc>
          <w:tcPr>
            <w:tcW w:w="1418" w:type="dxa"/>
            <w:tcBorders>
              <w:top w:val="nil"/>
              <w:left w:val="nil"/>
              <w:bottom w:val="nil"/>
              <w:right w:val="nil"/>
            </w:tcBorders>
            <w:vAlign w:val="center"/>
          </w:tcPr>
          <w:p w14:paraId="46F0D16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5.2</w:t>
            </w:r>
          </w:p>
        </w:tc>
        <w:tc>
          <w:tcPr>
            <w:tcW w:w="1275" w:type="dxa"/>
            <w:tcBorders>
              <w:top w:val="nil"/>
              <w:left w:val="nil"/>
              <w:bottom w:val="nil"/>
              <w:right w:val="nil"/>
            </w:tcBorders>
            <w:vAlign w:val="center"/>
          </w:tcPr>
          <w:p w14:paraId="1F9EBAF5"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0.3</w:t>
            </w:r>
          </w:p>
        </w:tc>
        <w:tc>
          <w:tcPr>
            <w:tcW w:w="1559" w:type="dxa"/>
            <w:tcBorders>
              <w:top w:val="nil"/>
              <w:left w:val="nil"/>
              <w:bottom w:val="nil"/>
              <w:right w:val="nil"/>
            </w:tcBorders>
            <w:vAlign w:val="center"/>
          </w:tcPr>
          <w:p w14:paraId="27770E9D"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7.3</w:t>
            </w:r>
          </w:p>
        </w:tc>
      </w:tr>
      <w:tr w:rsidR="00961617" w:rsidRPr="00545C7F" w14:paraId="719C20E7"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2FFCB1FD" w14:textId="77777777" w:rsidR="00961617" w:rsidRPr="00545C7F" w:rsidRDefault="00961617" w:rsidP="0020771F">
            <w:pPr>
              <w:pStyle w:val="tabletextslim"/>
              <w:spacing w:before="23"/>
              <w:ind w:right="65"/>
              <w:jc w:val="left"/>
              <w:rPr>
                <w:rFonts w:cstheme="minorHAnsi"/>
                <w:sz w:val="20"/>
                <w:szCs w:val="20"/>
                <w:highlight w:val="yellow"/>
              </w:rPr>
            </w:pPr>
            <w:r w:rsidRPr="00545C7F">
              <w:rPr>
                <w:rFonts w:cstheme="minorHAnsi"/>
                <w:sz w:val="20"/>
                <w:szCs w:val="20"/>
              </w:rPr>
              <w:t>Age: 21 to 24</w:t>
            </w:r>
          </w:p>
        </w:tc>
        <w:tc>
          <w:tcPr>
            <w:tcW w:w="1417" w:type="dxa"/>
            <w:tcBorders>
              <w:top w:val="nil"/>
              <w:left w:val="nil"/>
              <w:bottom w:val="nil"/>
              <w:right w:val="nil"/>
            </w:tcBorders>
            <w:shd w:val="clear" w:color="auto" w:fill="E5E5E5" w:themeFill="background1" w:themeFillTint="33"/>
            <w:vAlign w:val="center"/>
          </w:tcPr>
          <w:p w14:paraId="0C451313"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4.3</w:t>
            </w:r>
          </w:p>
        </w:tc>
        <w:tc>
          <w:tcPr>
            <w:tcW w:w="1417" w:type="dxa"/>
            <w:tcBorders>
              <w:top w:val="nil"/>
              <w:left w:val="nil"/>
              <w:bottom w:val="nil"/>
              <w:right w:val="nil"/>
            </w:tcBorders>
            <w:shd w:val="clear" w:color="auto" w:fill="E5E5E5" w:themeFill="background1" w:themeFillTint="33"/>
            <w:vAlign w:val="center"/>
          </w:tcPr>
          <w:p w14:paraId="50F98369"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7.7</w:t>
            </w:r>
          </w:p>
        </w:tc>
        <w:tc>
          <w:tcPr>
            <w:tcW w:w="1418" w:type="dxa"/>
            <w:tcBorders>
              <w:top w:val="nil"/>
              <w:left w:val="nil"/>
              <w:bottom w:val="nil"/>
              <w:right w:val="nil"/>
            </w:tcBorders>
            <w:shd w:val="clear" w:color="auto" w:fill="E5E5E5" w:themeFill="background1" w:themeFillTint="33"/>
            <w:vAlign w:val="center"/>
          </w:tcPr>
          <w:p w14:paraId="0F33463D"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0.5</w:t>
            </w:r>
          </w:p>
        </w:tc>
        <w:tc>
          <w:tcPr>
            <w:tcW w:w="1276" w:type="dxa"/>
            <w:tcBorders>
              <w:top w:val="nil"/>
              <w:left w:val="nil"/>
              <w:bottom w:val="nil"/>
              <w:right w:val="nil"/>
            </w:tcBorders>
            <w:shd w:val="clear" w:color="auto" w:fill="E5E5E5" w:themeFill="background1" w:themeFillTint="33"/>
            <w:vAlign w:val="center"/>
          </w:tcPr>
          <w:p w14:paraId="3D1A45A3"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19.7</w:t>
            </w:r>
          </w:p>
        </w:tc>
        <w:tc>
          <w:tcPr>
            <w:tcW w:w="1276" w:type="dxa"/>
            <w:tcBorders>
              <w:top w:val="nil"/>
              <w:left w:val="nil"/>
              <w:bottom w:val="nil"/>
              <w:right w:val="nil"/>
            </w:tcBorders>
            <w:shd w:val="clear" w:color="auto" w:fill="E5E5E5" w:themeFill="background1" w:themeFillTint="33"/>
            <w:vAlign w:val="center"/>
          </w:tcPr>
          <w:p w14:paraId="33EE4FE3"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2.5</w:t>
            </w:r>
          </w:p>
        </w:tc>
        <w:tc>
          <w:tcPr>
            <w:tcW w:w="1418" w:type="dxa"/>
            <w:tcBorders>
              <w:top w:val="nil"/>
              <w:left w:val="nil"/>
              <w:bottom w:val="nil"/>
              <w:right w:val="nil"/>
            </w:tcBorders>
            <w:shd w:val="clear" w:color="auto" w:fill="E5E5E5" w:themeFill="background1" w:themeFillTint="33"/>
            <w:vAlign w:val="center"/>
          </w:tcPr>
          <w:p w14:paraId="587B90D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7.6</w:t>
            </w:r>
          </w:p>
        </w:tc>
        <w:tc>
          <w:tcPr>
            <w:tcW w:w="1275" w:type="dxa"/>
            <w:tcBorders>
              <w:top w:val="nil"/>
              <w:left w:val="nil"/>
              <w:bottom w:val="nil"/>
              <w:right w:val="nil"/>
            </w:tcBorders>
            <w:shd w:val="clear" w:color="auto" w:fill="E5E5E5" w:themeFill="background1" w:themeFillTint="33"/>
            <w:vAlign w:val="center"/>
          </w:tcPr>
          <w:p w14:paraId="1770EFC9"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0.4</w:t>
            </w:r>
          </w:p>
        </w:tc>
        <w:tc>
          <w:tcPr>
            <w:tcW w:w="1559" w:type="dxa"/>
            <w:tcBorders>
              <w:top w:val="nil"/>
              <w:left w:val="nil"/>
              <w:bottom w:val="nil"/>
              <w:right w:val="nil"/>
            </w:tcBorders>
            <w:shd w:val="clear" w:color="auto" w:fill="E5E5E5" w:themeFill="background1" w:themeFillTint="33"/>
            <w:vAlign w:val="center"/>
          </w:tcPr>
          <w:p w14:paraId="62ABBDC5"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10.5</w:t>
            </w:r>
          </w:p>
        </w:tc>
      </w:tr>
      <w:tr w:rsidR="00961617" w:rsidRPr="00545C7F" w14:paraId="5AB74F34" w14:textId="77777777" w:rsidTr="0020771F">
        <w:trPr>
          <w:trHeight w:val="369"/>
        </w:trPr>
        <w:tc>
          <w:tcPr>
            <w:tcW w:w="3227" w:type="dxa"/>
            <w:tcBorders>
              <w:top w:val="nil"/>
              <w:left w:val="nil"/>
              <w:bottom w:val="nil"/>
              <w:right w:val="nil"/>
            </w:tcBorders>
            <w:vAlign w:val="center"/>
          </w:tcPr>
          <w:p w14:paraId="0DA7452B"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Age: 25 to 29</w:t>
            </w:r>
          </w:p>
        </w:tc>
        <w:tc>
          <w:tcPr>
            <w:tcW w:w="1417" w:type="dxa"/>
            <w:tcBorders>
              <w:top w:val="nil"/>
              <w:left w:val="nil"/>
              <w:bottom w:val="nil"/>
              <w:right w:val="nil"/>
            </w:tcBorders>
            <w:shd w:val="clear" w:color="auto" w:fill="auto"/>
            <w:vAlign w:val="center"/>
          </w:tcPr>
          <w:p w14:paraId="651530DA"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7.0</w:t>
            </w:r>
          </w:p>
        </w:tc>
        <w:tc>
          <w:tcPr>
            <w:tcW w:w="1417" w:type="dxa"/>
            <w:tcBorders>
              <w:top w:val="nil"/>
              <w:left w:val="nil"/>
              <w:bottom w:val="nil"/>
              <w:right w:val="nil"/>
            </w:tcBorders>
            <w:shd w:val="clear" w:color="auto" w:fill="auto"/>
            <w:vAlign w:val="center"/>
          </w:tcPr>
          <w:p w14:paraId="78FFF7CE"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9.1</w:t>
            </w:r>
          </w:p>
        </w:tc>
        <w:tc>
          <w:tcPr>
            <w:tcW w:w="1418" w:type="dxa"/>
            <w:tcBorders>
              <w:top w:val="nil"/>
              <w:left w:val="nil"/>
              <w:bottom w:val="nil"/>
              <w:right w:val="nil"/>
            </w:tcBorders>
            <w:shd w:val="clear" w:color="auto" w:fill="auto"/>
            <w:vAlign w:val="center"/>
          </w:tcPr>
          <w:p w14:paraId="0ED28729"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0.7</w:t>
            </w:r>
          </w:p>
        </w:tc>
        <w:tc>
          <w:tcPr>
            <w:tcW w:w="1276" w:type="dxa"/>
            <w:tcBorders>
              <w:top w:val="nil"/>
              <w:left w:val="nil"/>
              <w:bottom w:val="nil"/>
              <w:right w:val="nil"/>
            </w:tcBorders>
            <w:vAlign w:val="center"/>
          </w:tcPr>
          <w:p w14:paraId="3D97E3F8"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25.2</w:t>
            </w:r>
          </w:p>
        </w:tc>
        <w:tc>
          <w:tcPr>
            <w:tcW w:w="1276" w:type="dxa"/>
            <w:tcBorders>
              <w:top w:val="nil"/>
              <w:left w:val="nil"/>
              <w:bottom w:val="nil"/>
              <w:right w:val="nil"/>
            </w:tcBorders>
            <w:vAlign w:val="center"/>
          </w:tcPr>
          <w:p w14:paraId="0711842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3.9</w:t>
            </w:r>
          </w:p>
        </w:tc>
        <w:tc>
          <w:tcPr>
            <w:tcW w:w="1418" w:type="dxa"/>
            <w:tcBorders>
              <w:top w:val="nil"/>
              <w:left w:val="nil"/>
              <w:bottom w:val="nil"/>
              <w:right w:val="nil"/>
            </w:tcBorders>
            <w:vAlign w:val="center"/>
          </w:tcPr>
          <w:p w14:paraId="46078497"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8.6</w:t>
            </w:r>
          </w:p>
        </w:tc>
        <w:tc>
          <w:tcPr>
            <w:tcW w:w="1275" w:type="dxa"/>
            <w:tcBorders>
              <w:top w:val="nil"/>
              <w:left w:val="nil"/>
              <w:bottom w:val="nil"/>
              <w:right w:val="nil"/>
            </w:tcBorders>
            <w:vAlign w:val="center"/>
          </w:tcPr>
          <w:p w14:paraId="29766614"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0.5</w:t>
            </w:r>
          </w:p>
        </w:tc>
        <w:tc>
          <w:tcPr>
            <w:tcW w:w="1559" w:type="dxa"/>
            <w:tcBorders>
              <w:top w:val="nil"/>
              <w:left w:val="nil"/>
              <w:bottom w:val="nil"/>
              <w:right w:val="nil"/>
            </w:tcBorders>
            <w:vAlign w:val="center"/>
          </w:tcPr>
          <w:p w14:paraId="3E36E335"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13.0</w:t>
            </w:r>
          </w:p>
        </w:tc>
      </w:tr>
      <w:tr w:rsidR="00961617" w:rsidRPr="00545C7F" w14:paraId="2FB48535"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45666DC2"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Age: 30 to 49</w:t>
            </w:r>
          </w:p>
        </w:tc>
        <w:tc>
          <w:tcPr>
            <w:tcW w:w="1417" w:type="dxa"/>
            <w:tcBorders>
              <w:top w:val="nil"/>
              <w:left w:val="nil"/>
              <w:bottom w:val="nil"/>
              <w:right w:val="nil"/>
            </w:tcBorders>
            <w:shd w:val="clear" w:color="auto" w:fill="E5E5E5" w:themeFill="background1" w:themeFillTint="33"/>
            <w:vAlign w:val="center"/>
          </w:tcPr>
          <w:p w14:paraId="058D8C96"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15.0</w:t>
            </w:r>
          </w:p>
        </w:tc>
        <w:tc>
          <w:tcPr>
            <w:tcW w:w="1417" w:type="dxa"/>
            <w:tcBorders>
              <w:top w:val="nil"/>
              <w:left w:val="nil"/>
              <w:bottom w:val="nil"/>
              <w:right w:val="nil"/>
            </w:tcBorders>
            <w:shd w:val="clear" w:color="auto" w:fill="E5E5E5" w:themeFill="background1" w:themeFillTint="33"/>
            <w:vAlign w:val="center"/>
          </w:tcPr>
          <w:p w14:paraId="2257198E"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14.6</w:t>
            </w:r>
          </w:p>
        </w:tc>
        <w:tc>
          <w:tcPr>
            <w:tcW w:w="1418" w:type="dxa"/>
            <w:tcBorders>
              <w:top w:val="nil"/>
              <w:left w:val="nil"/>
              <w:bottom w:val="nil"/>
              <w:right w:val="nil"/>
            </w:tcBorders>
            <w:shd w:val="clear" w:color="auto" w:fill="E5E5E5" w:themeFill="background1" w:themeFillTint="33"/>
            <w:vAlign w:val="center"/>
          </w:tcPr>
          <w:p w14:paraId="027C25DF"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0.6</w:t>
            </w:r>
          </w:p>
        </w:tc>
        <w:tc>
          <w:tcPr>
            <w:tcW w:w="1276" w:type="dxa"/>
            <w:tcBorders>
              <w:top w:val="nil"/>
              <w:left w:val="nil"/>
              <w:bottom w:val="nil"/>
              <w:right w:val="nil"/>
            </w:tcBorders>
            <w:shd w:val="clear" w:color="auto" w:fill="E5E5E5" w:themeFill="background1" w:themeFillTint="33"/>
            <w:vAlign w:val="center"/>
          </w:tcPr>
          <w:p w14:paraId="6FC581D9"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30.2</w:t>
            </w:r>
          </w:p>
        </w:tc>
        <w:tc>
          <w:tcPr>
            <w:tcW w:w="1276" w:type="dxa"/>
            <w:tcBorders>
              <w:top w:val="nil"/>
              <w:left w:val="nil"/>
              <w:bottom w:val="nil"/>
              <w:right w:val="nil"/>
            </w:tcBorders>
            <w:shd w:val="clear" w:color="auto" w:fill="E5E5E5" w:themeFill="background1" w:themeFillTint="33"/>
            <w:vAlign w:val="center"/>
          </w:tcPr>
          <w:p w14:paraId="071357A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8.3</w:t>
            </w:r>
          </w:p>
        </w:tc>
        <w:tc>
          <w:tcPr>
            <w:tcW w:w="1418" w:type="dxa"/>
            <w:tcBorders>
              <w:top w:val="nil"/>
              <w:left w:val="nil"/>
              <w:bottom w:val="nil"/>
              <w:right w:val="nil"/>
            </w:tcBorders>
            <w:shd w:val="clear" w:color="auto" w:fill="E5E5E5" w:themeFill="background1" w:themeFillTint="33"/>
            <w:vAlign w:val="center"/>
          </w:tcPr>
          <w:p w14:paraId="0C154E0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14.3</w:t>
            </w:r>
          </w:p>
        </w:tc>
        <w:tc>
          <w:tcPr>
            <w:tcW w:w="1275" w:type="dxa"/>
            <w:tcBorders>
              <w:top w:val="nil"/>
              <w:left w:val="nil"/>
              <w:bottom w:val="nil"/>
              <w:right w:val="nil"/>
            </w:tcBorders>
            <w:shd w:val="clear" w:color="auto" w:fill="E5E5E5" w:themeFill="background1" w:themeFillTint="33"/>
            <w:vAlign w:val="center"/>
          </w:tcPr>
          <w:p w14:paraId="285E044F"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0.6</w:t>
            </w:r>
          </w:p>
        </w:tc>
        <w:tc>
          <w:tcPr>
            <w:tcW w:w="1559" w:type="dxa"/>
            <w:tcBorders>
              <w:top w:val="nil"/>
              <w:left w:val="nil"/>
              <w:bottom w:val="nil"/>
              <w:right w:val="nil"/>
            </w:tcBorders>
            <w:shd w:val="clear" w:color="auto" w:fill="E5E5E5" w:themeFill="background1" w:themeFillTint="33"/>
            <w:vAlign w:val="center"/>
          </w:tcPr>
          <w:p w14:paraId="39D807EB"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23.2</w:t>
            </w:r>
          </w:p>
        </w:tc>
      </w:tr>
      <w:tr w:rsidR="00961617" w:rsidRPr="00545C7F" w14:paraId="308FA241" w14:textId="77777777" w:rsidTr="0020771F">
        <w:trPr>
          <w:trHeight w:val="369"/>
        </w:trPr>
        <w:tc>
          <w:tcPr>
            <w:tcW w:w="3227" w:type="dxa"/>
            <w:tcBorders>
              <w:top w:val="nil"/>
              <w:left w:val="nil"/>
              <w:bottom w:val="nil"/>
              <w:right w:val="nil"/>
            </w:tcBorders>
            <w:vAlign w:val="center"/>
          </w:tcPr>
          <w:p w14:paraId="3B671CFE"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Age: 50 plus</w:t>
            </w:r>
          </w:p>
        </w:tc>
        <w:tc>
          <w:tcPr>
            <w:tcW w:w="1417" w:type="dxa"/>
            <w:tcBorders>
              <w:top w:val="nil"/>
              <w:left w:val="nil"/>
              <w:bottom w:val="nil"/>
              <w:right w:val="nil"/>
            </w:tcBorders>
            <w:vAlign w:val="center"/>
          </w:tcPr>
          <w:p w14:paraId="7DD014D6"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21.9</w:t>
            </w:r>
          </w:p>
        </w:tc>
        <w:tc>
          <w:tcPr>
            <w:tcW w:w="1417" w:type="dxa"/>
            <w:tcBorders>
              <w:top w:val="nil"/>
              <w:left w:val="nil"/>
              <w:bottom w:val="nil"/>
              <w:right w:val="nil"/>
            </w:tcBorders>
            <w:vAlign w:val="center"/>
          </w:tcPr>
          <w:p w14:paraId="32BC4A68"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18.5</w:t>
            </w:r>
          </w:p>
        </w:tc>
        <w:tc>
          <w:tcPr>
            <w:tcW w:w="1418" w:type="dxa"/>
            <w:tcBorders>
              <w:top w:val="nil"/>
              <w:left w:val="nil"/>
              <w:bottom w:val="nil"/>
              <w:right w:val="nil"/>
            </w:tcBorders>
            <w:vAlign w:val="center"/>
          </w:tcPr>
          <w:p w14:paraId="7C7F4A93"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1.5</w:t>
            </w:r>
          </w:p>
        </w:tc>
        <w:tc>
          <w:tcPr>
            <w:tcW w:w="1276" w:type="dxa"/>
            <w:tcBorders>
              <w:top w:val="nil"/>
              <w:left w:val="nil"/>
              <w:bottom w:val="nil"/>
              <w:right w:val="nil"/>
            </w:tcBorders>
            <w:vAlign w:val="center"/>
          </w:tcPr>
          <w:p w14:paraId="3A5CDE97"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41.9</w:t>
            </w:r>
          </w:p>
        </w:tc>
        <w:tc>
          <w:tcPr>
            <w:tcW w:w="1276" w:type="dxa"/>
            <w:tcBorders>
              <w:top w:val="nil"/>
              <w:left w:val="nil"/>
              <w:bottom w:val="nil"/>
              <w:right w:val="nil"/>
            </w:tcBorders>
            <w:vAlign w:val="center"/>
          </w:tcPr>
          <w:p w14:paraId="17D423F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12.1</w:t>
            </w:r>
          </w:p>
        </w:tc>
        <w:tc>
          <w:tcPr>
            <w:tcW w:w="1418" w:type="dxa"/>
            <w:tcBorders>
              <w:top w:val="nil"/>
              <w:left w:val="nil"/>
              <w:bottom w:val="nil"/>
              <w:right w:val="nil"/>
            </w:tcBorders>
            <w:vAlign w:val="center"/>
          </w:tcPr>
          <w:p w14:paraId="407598A5"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21.1</w:t>
            </w:r>
          </w:p>
        </w:tc>
        <w:tc>
          <w:tcPr>
            <w:tcW w:w="1275" w:type="dxa"/>
            <w:tcBorders>
              <w:top w:val="nil"/>
              <w:left w:val="nil"/>
              <w:bottom w:val="nil"/>
              <w:right w:val="nil"/>
            </w:tcBorders>
            <w:vAlign w:val="center"/>
          </w:tcPr>
          <w:p w14:paraId="7A6DD5D1"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0.7</w:t>
            </w:r>
          </w:p>
        </w:tc>
        <w:tc>
          <w:tcPr>
            <w:tcW w:w="1559" w:type="dxa"/>
            <w:tcBorders>
              <w:top w:val="nil"/>
              <w:left w:val="nil"/>
              <w:bottom w:val="nil"/>
              <w:right w:val="nil"/>
            </w:tcBorders>
            <w:vAlign w:val="center"/>
          </w:tcPr>
          <w:p w14:paraId="62B0B7FF"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33.9</w:t>
            </w:r>
          </w:p>
        </w:tc>
      </w:tr>
      <w:tr w:rsidR="00961617" w:rsidRPr="00545C7F" w14:paraId="10D62DFF"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115071AE"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Indigenous</w:t>
            </w:r>
          </w:p>
        </w:tc>
        <w:tc>
          <w:tcPr>
            <w:tcW w:w="1417" w:type="dxa"/>
            <w:tcBorders>
              <w:top w:val="nil"/>
              <w:left w:val="nil"/>
              <w:bottom w:val="nil"/>
              <w:right w:val="nil"/>
            </w:tcBorders>
            <w:shd w:val="clear" w:color="auto" w:fill="E5E5E5" w:themeFill="background1" w:themeFillTint="33"/>
            <w:vAlign w:val="center"/>
          </w:tcPr>
          <w:p w14:paraId="5625E06C"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12.5</w:t>
            </w:r>
          </w:p>
        </w:tc>
        <w:tc>
          <w:tcPr>
            <w:tcW w:w="1417" w:type="dxa"/>
            <w:tcBorders>
              <w:top w:val="nil"/>
              <w:left w:val="nil"/>
              <w:bottom w:val="nil"/>
              <w:right w:val="nil"/>
            </w:tcBorders>
            <w:shd w:val="clear" w:color="auto" w:fill="E5E5E5" w:themeFill="background1" w:themeFillTint="33"/>
            <w:vAlign w:val="center"/>
          </w:tcPr>
          <w:p w14:paraId="061F82A1"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7.0</w:t>
            </w:r>
          </w:p>
        </w:tc>
        <w:tc>
          <w:tcPr>
            <w:tcW w:w="1418" w:type="dxa"/>
            <w:tcBorders>
              <w:top w:val="nil"/>
              <w:left w:val="nil"/>
              <w:bottom w:val="nil"/>
              <w:right w:val="nil"/>
            </w:tcBorders>
            <w:shd w:val="clear" w:color="auto" w:fill="E5E5E5" w:themeFill="background1" w:themeFillTint="33"/>
            <w:vAlign w:val="center"/>
          </w:tcPr>
          <w:p w14:paraId="01E3037A"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0.8</w:t>
            </w:r>
          </w:p>
        </w:tc>
        <w:tc>
          <w:tcPr>
            <w:tcW w:w="1276" w:type="dxa"/>
            <w:tcBorders>
              <w:top w:val="nil"/>
              <w:left w:val="nil"/>
              <w:bottom w:val="nil"/>
              <w:right w:val="nil"/>
            </w:tcBorders>
            <w:shd w:val="clear" w:color="auto" w:fill="E5E5E5" w:themeFill="background1" w:themeFillTint="33"/>
            <w:vAlign w:val="center"/>
          </w:tcPr>
          <w:p w14:paraId="7D092081"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20.3</w:t>
            </w:r>
          </w:p>
        </w:tc>
        <w:tc>
          <w:tcPr>
            <w:tcW w:w="1276" w:type="dxa"/>
            <w:tcBorders>
              <w:top w:val="nil"/>
              <w:left w:val="nil"/>
              <w:bottom w:val="nil"/>
              <w:right w:val="nil"/>
            </w:tcBorders>
            <w:shd w:val="clear" w:color="auto" w:fill="E5E5E5" w:themeFill="background1" w:themeFillTint="33"/>
            <w:vAlign w:val="center"/>
          </w:tcPr>
          <w:p w14:paraId="6230F61D"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7.2</w:t>
            </w:r>
          </w:p>
        </w:tc>
        <w:tc>
          <w:tcPr>
            <w:tcW w:w="1418" w:type="dxa"/>
            <w:tcBorders>
              <w:top w:val="nil"/>
              <w:left w:val="nil"/>
              <w:bottom w:val="nil"/>
              <w:right w:val="nil"/>
            </w:tcBorders>
            <w:shd w:val="clear" w:color="auto" w:fill="E5E5E5" w:themeFill="background1" w:themeFillTint="33"/>
            <w:vAlign w:val="center"/>
          </w:tcPr>
          <w:p w14:paraId="0B5EB40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7.5</w:t>
            </w:r>
          </w:p>
        </w:tc>
        <w:tc>
          <w:tcPr>
            <w:tcW w:w="1275" w:type="dxa"/>
            <w:tcBorders>
              <w:top w:val="nil"/>
              <w:left w:val="nil"/>
              <w:bottom w:val="nil"/>
              <w:right w:val="nil"/>
            </w:tcBorders>
            <w:shd w:val="clear" w:color="auto" w:fill="E5E5E5" w:themeFill="background1" w:themeFillTint="33"/>
            <w:vAlign w:val="center"/>
          </w:tcPr>
          <w:p w14:paraId="4B2DC6FD"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0.5</w:t>
            </w:r>
          </w:p>
        </w:tc>
        <w:tc>
          <w:tcPr>
            <w:tcW w:w="1559" w:type="dxa"/>
            <w:tcBorders>
              <w:top w:val="nil"/>
              <w:left w:val="nil"/>
              <w:bottom w:val="nil"/>
              <w:right w:val="nil"/>
            </w:tcBorders>
            <w:shd w:val="clear" w:color="auto" w:fill="E5E5E5" w:themeFill="background1" w:themeFillTint="33"/>
            <w:vAlign w:val="center"/>
          </w:tcPr>
          <w:p w14:paraId="3637AC35"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15.2</w:t>
            </w:r>
          </w:p>
        </w:tc>
      </w:tr>
      <w:tr w:rsidR="00961617" w:rsidRPr="00545C7F" w14:paraId="7F91856C" w14:textId="77777777" w:rsidTr="0020771F">
        <w:trPr>
          <w:trHeight w:val="369"/>
        </w:trPr>
        <w:tc>
          <w:tcPr>
            <w:tcW w:w="3227" w:type="dxa"/>
            <w:tcBorders>
              <w:top w:val="nil"/>
              <w:left w:val="nil"/>
              <w:bottom w:val="nil"/>
              <w:right w:val="nil"/>
            </w:tcBorders>
            <w:shd w:val="clear" w:color="auto" w:fill="FFFFFF" w:themeFill="background2"/>
            <w:vAlign w:val="center"/>
          </w:tcPr>
          <w:p w14:paraId="03AF40B8"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Job seekers with a disability as identified by JCA/ESAt</w:t>
            </w:r>
          </w:p>
        </w:tc>
        <w:tc>
          <w:tcPr>
            <w:tcW w:w="1417" w:type="dxa"/>
            <w:tcBorders>
              <w:top w:val="nil"/>
              <w:left w:val="nil"/>
              <w:bottom w:val="nil"/>
              <w:right w:val="nil"/>
            </w:tcBorders>
            <w:shd w:val="clear" w:color="auto" w:fill="FFFFFF" w:themeFill="background2"/>
            <w:vAlign w:val="center"/>
          </w:tcPr>
          <w:p w14:paraId="75528558"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31.7</w:t>
            </w:r>
          </w:p>
        </w:tc>
        <w:tc>
          <w:tcPr>
            <w:tcW w:w="1417" w:type="dxa"/>
            <w:tcBorders>
              <w:top w:val="nil"/>
              <w:left w:val="nil"/>
              <w:bottom w:val="nil"/>
              <w:right w:val="nil"/>
            </w:tcBorders>
            <w:shd w:val="clear" w:color="auto" w:fill="FFFFFF" w:themeFill="background2"/>
            <w:vAlign w:val="center"/>
          </w:tcPr>
          <w:p w14:paraId="79D26B24"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32.0</w:t>
            </w:r>
          </w:p>
        </w:tc>
        <w:tc>
          <w:tcPr>
            <w:tcW w:w="1418" w:type="dxa"/>
            <w:tcBorders>
              <w:top w:val="nil"/>
              <w:left w:val="nil"/>
              <w:bottom w:val="nil"/>
              <w:right w:val="nil"/>
            </w:tcBorders>
            <w:shd w:val="clear" w:color="auto" w:fill="FFFFFF" w:themeFill="background2"/>
            <w:vAlign w:val="center"/>
          </w:tcPr>
          <w:p w14:paraId="18652CC1"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2.4</w:t>
            </w:r>
          </w:p>
        </w:tc>
        <w:tc>
          <w:tcPr>
            <w:tcW w:w="1276" w:type="dxa"/>
            <w:tcBorders>
              <w:top w:val="nil"/>
              <w:left w:val="nil"/>
              <w:bottom w:val="nil"/>
              <w:right w:val="nil"/>
            </w:tcBorders>
            <w:shd w:val="clear" w:color="auto" w:fill="FFFFFF" w:themeFill="background2"/>
            <w:vAlign w:val="center"/>
          </w:tcPr>
          <w:p w14:paraId="7C72B882"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66.1</w:t>
            </w:r>
          </w:p>
        </w:tc>
        <w:tc>
          <w:tcPr>
            <w:tcW w:w="1276" w:type="dxa"/>
            <w:tcBorders>
              <w:top w:val="nil"/>
              <w:left w:val="nil"/>
              <w:bottom w:val="nil"/>
              <w:right w:val="nil"/>
            </w:tcBorders>
            <w:shd w:val="clear" w:color="auto" w:fill="FFFFFF" w:themeFill="background2"/>
            <w:vAlign w:val="center"/>
          </w:tcPr>
          <w:p w14:paraId="581D4F9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24.4</w:t>
            </w:r>
          </w:p>
        </w:tc>
        <w:tc>
          <w:tcPr>
            <w:tcW w:w="1418" w:type="dxa"/>
            <w:tcBorders>
              <w:top w:val="nil"/>
              <w:left w:val="nil"/>
              <w:bottom w:val="nil"/>
              <w:right w:val="nil"/>
            </w:tcBorders>
            <w:shd w:val="clear" w:color="auto" w:fill="FFFFFF" w:themeFill="background2"/>
            <w:vAlign w:val="center"/>
          </w:tcPr>
          <w:p w14:paraId="7783DB3A"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45.5</w:t>
            </w:r>
          </w:p>
        </w:tc>
        <w:tc>
          <w:tcPr>
            <w:tcW w:w="1275" w:type="dxa"/>
            <w:tcBorders>
              <w:top w:val="nil"/>
              <w:left w:val="nil"/>
              <w:bottom w:val="nil"/>
              <w:right w:val="nil"/>
            </w:tcBorders>
            <w:shd w:val="clear" w:color="auto" w:fill="FFFFFF" w:themeFill="background2"/>
            <w:vAlign w:val="center"/>
          </w:tcPr>
          <w:p w14:paraId="187E2BD2"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1.9</w:t>
            </w:r>
          </w:p>
        </w:tc>
        <w:tc>
          <w:tcPr>
            <w:tcW w:w="1559" w:type="dxa"/>
            <w:tcBorders>
              <w:top w:val="nil"/>
              <w:left w:val="nil"/>
              <w:bottom w:val="nil"/>
              <w:right w:val="nil"/>
            </w:tcBorders>
            <w:shd w:val="clear" w:color="auto" w:fill="FFFFFF" w:themeFill="background2"/>
            <w:vAlign w:val="center"/>
          </w:tcPr>
          <w:p w14:paraId="3B63D28F"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71.8</w:t>
            </w:r>
          </w:p>
        </w:tc>
      </w:tr>
      <w:tr w:rsidR="00961617" w:rsidRPr="00545C7F" w14:paraId="26EF5C79"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0CB87966"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Single parents</w:t>
            </w:r>
          </w:p>
        </w:tc>
        <w:tc>
          <w:tcPr>
            <w:tcW w:w="1417" w:type="dxa"/>
            <w:tcBorders>
              <w:top w:val="nil"/>
              <w:left w:val="nil"/>
              <w:bottom w:val="nil"/>
              <w:right w:val="nil"/>
            </w:tcBorders>
            <w:shd w:val="clear" w:color="auto" w:fill="E5E5E5" w:themeFill="background1" w:themeFillTint="33"/>
            <w:vAlign w:val="center"/>
          </w:tcPr>
          <w:p w14:paraId="1C15E698"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7.5</w:t>
            </w:r>
          </w:p>
        </w:tc>
        <w:tc>
          <w:tcPr>
            <w:tcW w:w="1417" w:type="dxa"/>
            <w:tcBorders>
              <w:top w:val="nil"/>
              <w:left w:val="nil"/>
              <w:bottom w:val="nil"/>
              <w:right w:val="nil"/>
            </w:tcBorders>
            <w:shd w:val="clear" w:color="auto" w:fill="E5E5E5" w:themeFill="background1" w:themeFillTint="33"/>
            <w:vAlign w:val="center"/>
          </w:tcPr>
          <w:p w14:paraId="0F3C12F7"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10.4</w:t>
            </w:r>
          </w:p>
        </w:tc>
        <w:tc>
          <w:tcPr>
            <w:tcW w:w="1418" w:type="dxa"/>
            <w:tcBorders>
              <w:top w:val="nil"/>
              <w:left w:val="nil"/>
              <w:bottom w:val="nil"/>
              <w:right w:val="nil"/>
            </w:tcBorders>
            <w:shd w:val="clear" w:color="auto" w:fill="E5E5E5" w:themeFill="background1" w:themeFillTint="33"/>
            <w:vAlign w:val="center"/>
          </w:tcPr>
          <w:p w14:paraId="0EB0349F"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0.5</w:t>
            </w:r>
          </w:p>
        </w:tc>
        <w:tc>
          <w:tcPr>
            <w:tcW w:w="1276" w:type="dxa"/>
            <w:tcBorders>
              <w:top w:val="nil"/>
              <w:left w:val="nil"/>
              <w:bottom w:val="nil"/>
              <w:right w:val="nil"/>
            </w:tcBorders>
            <w:shd w:val="clear" w:color="auto" w:fill="E5E5E5" w:themeFill="background1" w:themeFillTint="33"/>
            <w:vAlign w:val="center"/>
          </w:tcPr>
          <w:p w14:paraId="18DF75A8"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18.4</w:t>
            </w:r>
          </w:p>
        </w:tc>
        <w:tc>
          <w:tcPr>
            <w:tcW w:w="1276" w:type="dxa"/>
            <w:tcBorders>
              <w:top w:val="nil"/>
              <w:left w:val="nil"/>
              <w:bottom w:val="nil"/>
              <w:right w:val="nil"/>
            </w:tcBorders>
            <w:shd w:val="clear" w:color="auto" w:fill="E5E5E5" w:themeFill="background1" w:themeFillTint="33"/>
            <w:vAlign w:val="center"/>
          </w:tcPr>
          <w:p w14:paraId="4FB162D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4.8</w:t>
            </w:r>
          </w:p>
        </w:tc>
        <w:tc>
          <w:tcPr>
            <w:tcW w:w="1418" w:type="dxa"/>
            <w:tcBorders>
              <w:top w:val="nil"/>
              <w:left w:val="nil"/>
              <w:bottom w:val="nil"/>
              <w:right w:val="nil"/>
            </w:tcBorders>
            <w:shd w:val="clear" w:color="auto" w:fill="E5E5E5" w:themeFill="background1" w:themeFillTint="33"/>
            <w:vAlign w:val="center"/>
          </w:tcPr>
          <w:p w14:paraId="632A4792"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9.8</w:t>
            </w:r>
          </w:p>
        </w:tc>
        <w:tc>
          <w:tcPr>
            <w:tcW w:w="1275" w:type="dxa"/>
            <w:tcBorders>
              <w:top w:val="nil"/>
              <w:left w:val="nil"/>
              <w:bottom w:val="nil"/>
              <w:right w:val="nil"/>
            </w:tcBorders>
            <w:shd w:val="clear" w:color="auto" w:fill="E5E5E5" w:themeFill="background1" w:themeFillTint="33"/>
            <w:vAlign w:val="center"/>
          </w:tcPr>
          <w:p w14:paraId="680887F9"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0.4</w:t>
            </w:r>
          </w:p>
        </w:tc>
        <w:tc>
          <w:tcPr>
            <w:tcW w:w="1559" w:type="dxa"/>
            <w:tcBorders>
              <w:top w:val="nil"/>
              <w:left w:val="nil"/>
              <w:bottom w:val="nil"/>
              <w:right w:val="nil"/>
            </w:tcBorders>
            <w:shd w:val="clear" w:color="auto" w:fill="E5E5E5" w:themeFill="background1" w:themeFillTint="33"/>
            <w:vAlign w:val="center"/>
          </w:tcPr>
          <w:p w14:paraId="2A5556CA"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15.0</w:t>
            </w:r>
          </w:p>
        </w:tc>
      </w:tr>
      <w:tr w:rsidR="00961617" w:rsidRPr="00545C7F" w14:paraId="59B3EB5E" w14:textId="77777777" w:rsidTr="0020771F">
        <w:trPr>
          <w:trHeight w:val="369"/>
        </w:trPr>
        <w:tc>
          <w:tcPr>
            <w:tcW w:w="3227" w:type="dxa"/>
            <w:tcBorders>
              <w:top w:val="nil"/>
              <w:left w:val="nil"/>
              <w:bottom w:val="nil"/>
              <w:right w:val="nil"/>
            </w:tcBorders>
            <w:vAlign w:val="center"/>
          </w:tcPr>
          <w:p w14:paraId="47BB66AC"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Ex-offenders</w:t>
            </w:r>
          </w:p>
        </w:tc>
        <w:tc>
          <w:tcPr>
            <w:tcW w:w="1417" w:type="dxa"/>
            <w:tcBorders>
              <w:top w:val="nil"/>
              <w:left w:val="nil"/>
              <w:bottom w:val="nil"/>
              <w:right w:val="nil"/>
            </w:tcBorders>
            <w:vAlign w:val="center"/>
          </w:tcPr>
          <w:p w14:paraId="7B5EB0B8"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11.1</w:t>
            </w:r>
          </w:p>
        </w:tc>
        <w:tc>
          <w:tcPr>
            <w:tcW w:w="1417" w:type="dxa"/>
            <w:tcBorders>
              <w:top w:val="nil"/>
              <w:left w:val="nil"/>
              <w:bottom w:val="nil"/>
              <w:right w:val="nil"/>
            </w:tcBorders>
            <w:vAlign w:val="center"/>
          </w:tcPr>
          <w:p w14:paraId="7AAE73AF"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8.6</w:t>
            </w:r>
          </w:p>
        </w:tc>
        <w:tc>
          <w:tcPr>
            <w:tcW w:w="1418" w:type="dxa"/>
            <w:tcBorders>
              <w:top w:val="nil"/>
              <w:left w:val="nil"/>
              <w:bottom w:val="nil"/>
              <w:right w:val="nil"/>
            </w:tcBorders>
            <w:vAlign w:val="center"/>
          </w:tcPr>
          <w:p w14:paraId="1198EFB2"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0.7</w:t>
            </w:r>
          </w:p>
        </w:tc>
        <w:tc>
          <w:tcPr>
            <w:tcW w:w="1276" w:type="dxa"/>
            <w:tcBorders>
              <w:top w:val="nil"/>
              <w:left w:val="nil"/>
              <w:bottom w:val="nil"/>
              <w:right w:val="nil"/>
            </w:tcBorders>
            <w:vAlign w:val="center"/>
          </w:tcPr>
          <w:p w14:paraId="33304187"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20.4</w:t>
            </w:r>
          </w:p>
        </w:tc>
        <w:tc>
          <w:tcPr>
            <w:tcW w:w="1276" w:type="dxa"/>
            <w:tcBorders>
              <w:top w:val="nil"/>
              <w:left w:val="nil"/>
              <w:bottom w:val="nil"/>
              <w:right w:val="nil"/>
            </w:tcBorders>
            <w:vAlign w:val="center"/>
          </w:tcPr>
          <w:p w14:paraId="5D4EA4EB"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8.9</w:t>
            </w:r>
          </w:p>
        </w:tc>
        <w:tc>
          <w:tcPr>
            <w:tcW w:w="1418" w:type="dxa"/>
            <w:tcBorders>
              <w:top w:val="nil"/>
              <w:left w:val="nil"/>
              <w:bottom w:val="nil"/>
              <w:right w:val="nil"/>
            </w:tcBorders>
            <w:vAlign w:val="center"/>
          </w:tcPr>
          <w:p w14:paraId="2D19B326"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10.5</w:t>
            </w:r>
          </w:p>
        </w:tc>
        <w:tc>
          <w:tcPr>
            <w:tcW w:w="1275" w:type="dxa"/>
            <w:tcBorders>
              <w:top w:val="nil"/>
              <w:left w:val="nil"/>
              <w:bottom w:val="nil"/>
              <w:right w:val="nil"/>
            </w:tcBorders>
            <w:vAlign w:val="center"/>
          </w:tcPr>
          <w:p w14:paraId="4DFA823C"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0.5</w:t>
            </w:r>
          </w:p>
        </w:tc>
        <w:tc>
          <w:tcPr>
            <w:tcW w:w="1559" w:type="dxa"/>
            <w:tcBorders>
              <w:top w:val="nil"/>
              <w:left w:val="nil"/>
              <w:bottom w:val="nil"/>
              <w:right w:val="nil"/>
            </w:tcBorders>
            <w:vAlign w:val="center"/>
          </w:tcPr>
          <w:p w14:paraId="1E6311F0"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19.9</w:t>
            </w:r>
          </w:p>
        </w:tc>
      </w:tr>
      <w:tr w:rsidR="00961617" w:rsidRPr="00545C7F" w14:paraId="3940067A" w14:textId="77777777" w:rsidTr="0020771F">
        <w:trPr>
          <w:trHeight w:val="369"/>
        </w:trPr>
        <w:tc>
          <w:tcPr>
            <w:tcW w:w="3227" w:type="dxa"/>
            <w:tcBorders>
              <w:top w:val="nil"/>
              <w:left w:val="nil"/>
              <w:bottom w:val="nil"/>
              <w:right w:val="nil"/>
            </w:tcBorders>
            <w:shd w:val="clear" w:color="auto" w:fill="E5E5E5" w:themeFill="background1" w:themeFillTint="33"/>
            <w:vAlign w:val="center"/>
          </w:tcPr>
          <w:p w14:paraId="6659646A"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Long-term reduced capacity to participate</w:t>
            </w:r>
          </w:p>
        </w:tc>
        <w:tc>
          <w:tcPr>
            <w:tcW w:w="1417" w:type="dxa"/>
            <w:tcBorders>
              <w:top w:val="nil"/>
              <w:left w:val="nil"/>
              <w:bottom w:val="nil"/>
              <w:right w:val="nil"/>
            </w:tcBorders>
            <w:shd w:val="clear" w:color="auto" w:fill="E5E5E5" w:themeFill="background1" w:themeFillTint="33"/>
            <w:vAlign w:val="center"/>
          </w:tcPr>
          <w:p w14:paraId="0E6E2C99"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27.1</w:t>
            </w:r>
          </w:p>
        </w:tc>
        <w:tc>
          <w:tcPr>
            <w:tcW w:w="1417" w:type="dxa"/>
            <w:tcBorders>
              <w:top w:val="nil"/>
              <w:left w:val="nil"/>
              <w:bottom w:val="nil"/>
              <w:right w:val="nil"/>
            </w:tcBorders>
            <w:shd w:val="clear" w:color="auto" w:fill="E5E5E5" w:themeFill="background1" w:themeFillTint="33"/>
            <w:vAlign w:val="center"/>
          </w:tcPr>
          <w:p w14:paraId="33B1A740"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18.6</w:t>
            </w:r>
          </w:p>
        </w:tc>
        <w:tc>
          <w:tcPr>
            <w:tcW w:w="1418" w:type="dxa"/>
            <w:tcBorders>
              <w:top w:val="nil"/>
              <w:left w:val="nil"/>
              <w:bottom w:val="nil"/>
              <w:right w:val="nil"/>
            </w:tcBorders>
            <w:shd w:val="clear" w:color="auto" w:fill="E5E5E5" w:themeFill="background1" w:themeFillTint="33"/>
            <w:vAlign w:val="center"/>
          </w:tcPr>
          <w:p w14:paraId="416A0888"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2.0</w:t>
            </w:r>
          </w:p>
        </w:tc>
        <w:tc>
          <w:tcPr>
            <w:tcW w:w="1276" w:type="dxa"/>
            <w:tcBorders>
              <w:top w:val="nil"/>
              <w:left w:val="nil"/>
              <w:bottom w:val="nil"/>
              <w:right w:val="nil"/>
            </w:tcBorders>
            <w:shd w:val="clear" w:color="auto" w:fill="E5E5E5" w:themeFill="background1" w:themeFillTint="33"/>
            <w:vAlign w:val="center"/>
          </w:tcPr>
          <w:p w14:paraId="1BD631C9"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47.7</w:t>
            </w:r>
          </w:p>
        </w:tc>
        <w:tc>
          <w:tcPr>
            <w:tcW w:w="1276" w:type="dxa"/>
            <w:tcBorders>
              <w:top w:val="nil"/>
              <w:left w:val="nil"/>
              <w:bottom w:val="nil"/>
              <w:right w:val="nil"/>
            </w:tcBorders>
            <w:shd w:val="clear" w:color="auto" w:fill="E5E5E5" w:themeFill="background1" w:themeFillTint="33"/>
            <w:vAlign w:val="center"/>
          </w:tcPr>
          <w:p w14:paraId="0340A079"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15.6</w:t>
            </w:r>
          </w:p>
        </w:tc>
        <w:tc>
          <w:tcPr>
            <w:tcW w:w="1418" w:type="dxa"/>
            <w:tcBorders>
              <w:top w:val="nil"/>
              <w:left w:val="nil"/>
              <w:bottom w:val="nil"/>
              <w:right w:val="nil"/>
            </w:tcBorders>
            <w:shd w:val="clear" w:color="auto" w:fill="E5E5E5" w:themeFill="background1" w:themeFillTint="33"/>
            <w:vAlign w:val="center"/>
          </w:tcPr>
          <w:p w14:paraId="6158FB20"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24.1</w:t>
            </w:r>
          </w:p>
        </w:tc>
        <w:tc>
          <w:tcPr>
            <w:tcW w:w="1275" w:type="dxa"/>
            <w:tcBorders>
              <w:top w:val="nil"/>
              <w:left w:val="nil"/>
              <w:bottom w:val="nil"/>
              <w:right w:val="nil"/>
            </w:tcBorders>
            <w:shd w:val="clear" w:color="auto" w:fill="E5E5E5" w:themeFill="background1" w:themeFillTint="33"/>
            <w:vAlign w:val="center"/>
          </w:tcPr>
          <w:p w14:paraId="2DA6EB2C"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1.2</w:t>
            </w:r>
          </w:p>
        </w:tc>
        <w:tc>
          <w:tcPr>
            <w:tcW w:w="1559" w:type="dxa"/>
            <w:tcBorders>
              <w:top w:val="nil"/>
              <w:left w:val="nil"/>
              <w:bottom w:val="nil"/>
              <w:right w:val="nil"/>
            </w:tcBorders>
            <w:shd w:val="clear" w:color="auto" w:fill="E5E5E5" w:themeFill="background1" w:themeFillTint="33"/>
            <w:vAlign w:val="center"/>
          </w:tcPr>
          <w:p w14:paraId="7798BAB7"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41.0</w:t>
            </w:r>
          </w:p>
        </w:tc>
      </w:tr>
      <w:tr w:rsidR="00961617" w:rsidRPr="00545C7F" w14:paraId="7842D2BA" w14:textId="77777777" w:rsidTr="0020771F">
        <w:trPr>
          <w:trHeight w:val="369"/>
        </w:trPr>
        <w:tc>
          <w:tcPr>
            <w:tcW w:w="3227" w:type="dxa"/>
            <w:tcBorders>
              <w:top w:val="nil"/>
              <w:left w:val="nil"/>
              <w:bottom w:val="nil"/>
              <w:right w:val="nil"/>
            </w:tcBorders>
            <w:shd w:val="clear" w:color="auto" w:fill="8EAEDE"/>
            <w:vAlign w:val="center"/>
          </w:tcPr>
          <w:p w14:paraId="684543DE" w14:textId="77777777" w:rsidR="00961617" w:rsidRPr="00545C7F" w:rsidRDefault="00961617" w:rsidP="0020771F">
            <w:pPr>
              <w:pStyle w:val="tabletextslim"/>
              <w:spacing w:before="23"/>
              <w:ind w:right="65"/>
              <w:jc w:val="left"/>
              <w:rPr>
                <w:rFonts w:cstheme="minorHAnsi"/>
                <w:sz w:val="20"/>
                <w:szCs w:val="20"/>
              </w:rPr>
            </w:pPr>
            <w:r w:rsidRPr="00545C7F">
              <w:rPr>
                <w:rFonts w:cstheme="minorHAnsi"/>
                <w:sz w:val="20"/>
                <w:szCs w:val="20"/>
              </w:rPr>
              <w:t>Total</w:t>
            </w:r>
          </w:p>
        </w:tc>
        <w:tc>
          <w:tcPr>
            <w:tcW w:w="1417" w:type="dxa"/>
            <w:tcBorders>
              <w:top w:val="nil"/>
              <w:left w:val="nil"/>
              <w:bottom w:val="nil"/>
              <w:right w:val="nil"/>
            </w:tcBorders>
            <w:shd w:val="clear" w:color="auto" w:fill="8EAEDE"/>
            <w:vAlign w:val="center"/>
          </w:tcPr>
          <w:p w14:paraId="44499BC7"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12.0</w:t>
            </w:r>
          </w:p>
        </w:tc>
        <w:tc>
          <w:tcPr>
            <w:tcW w:w="1417" w:type="dxa"/>
            <w:tcBorders>
              <w:top w:val="nil"/>
              <w:left w:val="nil"/>
              <w:bottom w:val="nil"/>
              <w:right w:val="nil"/>
            </w:tcBorders>
            <w:shd w:val="clear" w:color="auto" w:fill="8EAEDE"/>
            <w:vAlign w:val="center"/>
          </w:tcPr>
          <w:p w14:paraId="56E9EBFF"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12.1</w:t>
            </w:r>
          </w:p>
        </w:tc>
        <w:tc>
          <w:tcPr>
            <w:tcW w:w="1418" w:type="dxa"/>
            <w:tcBorders>
              <w:top w:val="nil"/>
              <w:left w:val="nil"/>
              <w:bottom w:val="nil"/>
              <w:right w:val="nil"/>
            </w:tcBorders>
            <w:shd w:val="clear" w:color="auto" w:fill="8EAEDE"/>
            <w:vAlign w:val="center"/>
          </w:tcPr>
          <w:p w14:paraId="670F7325" w14:textId="77777777" w:rsidR="00961617" w:rsidRPr="00545C7F" w:rsidRDefault="00961617" w:rsidP="0020771F">
            <w:pPr>
              <w:pStyle w:val="tabletextslim"/>
              <w:spacing w:before="23"/>
              <w:ind w:right="183"/>
              <w:rPr>
                <w:rFonts w:cstheme="minorHAnsi"/>
                <w:sz w:val="20"/>
                <w:szCs w:val="20"/>
              </w:rPr>
            </w:pPr>
            <w:r w:rsidRPr="00545C7F">
              <w:rPr>
                <w:rFonts w:cstheme="minorHAnsi"/>
                <w:sz w:val="20"/>
                <w:szCs w:val="20"/>
              </w:rPr>
              <w:t>0.9</w:t>
            </w:r>
          </w:p>
        </w:tc>
        <w:tc>
          <w:tcPr>
            <w:tcW w:w="1276" w:type="dxa"/>
            <w:tcBorders>
              <w:top w:val="nil"/>
              <w:left w:val="nil"/>
              <w:bottom w:val="nil"/>
              <w:right w:val="nil"/>
            </w:tcBorders>
            <w:shd w:val="clear" w:color="auto" w:fill="8EAEDE"/>
            <w:vAlign w:val="center"/>
          </w:tcPr>
          <w:p w14:paraId="56C146A7" w14:textId="77777777" w:rsidR="00961617" w:rsidRPr="00545C7F" w:rsidRDefault="00961617" w:rsidP="0020771F">
            <w:pPr>
              <w:pStyle w:val="tabletextslim"/>
              <w:tabs>
                <w:tab w:val="left" w:pos="677"/>
              </w:tabs>
              <w:spacing w:before="23"/>
              <w:ind w:left="-144" w:right="101"/>
              <w:rPr>
                <w:rFonts w:cstheme="minorHAnsi"/>
                <w:sz w:val="20"/>
                <w:szCs w:val="20"/>
              </w:rPr>
            </w:pPr>
            <w:r w:rsidRPr="00545C7F">
              <w:rPr>
                <w:rFonts w:cstheme="minorHAnsi"/>
                <w:sz w:val="20"/>
                <w:szCs w:val="20"/>
              </w:rPr>
              <w:t>25.0</w:t>
            </w:r>
          </w:p>
        </w:tc>
        <w:tc>
          <w:tcPr>
            <w:tcW w:w="1276" w:type="dxa"/>
            <w:tcBorders>
              <w:top w:val="nil"/>
              <w:left w:val="nil"/>
              <w:bottom w:val="nil"/>
              <w:right w:val="nil"/>
            </w:tcBorders>
            <w:shd w:val="clear" w:color="auto" w:fill="8EAEDE"/>
            <w:vAlign w:val="center"/>
          </w:tcPr>
          <w:p w14:paraId="4FC06A4E"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6.8</w:t>
            </w:r>
          </w:p>
        </w:tc>
        <w:tc>
          <w:tcPr>
            <w:tcW w:w="1418" w:type="dxa"/>
            <w:tcBorders>
              <w:top w:val="nil"/>
              <w:left w:val="nil"/>
              <w:bottom w:val="nil"/>
              <w:right w:val="nil"/>
            </w:tcBorders>
            <w:shd w:val="clear" w:color="auto" w:fill="8EAEDE"/>
            <w:vAlign w:val="center"/>
          </w:tcPr>
          <w:p w14:paraId="23BB12EC" w14:textId="77777777" w:rsidR="00961617" w:rsidRPr="00545C7F" w:rsidRDefault="00961617" w:rsidP="0020771F">
            <w:pPr>
              <w:pStyle w:val="tabletextslim"/>
              <w:spacing w:before="23"/>
              <w:ind w:right="102"/>
              <w:rPr>
                <w:rFonts w:cstheme="minorHAnsi"/>
                <w:sz w:val="20"/>
                <w:szCs w:val="20"/>
              </w:rPr>
            </w:pPr>
            <w:r w:rsidRPr="00545C7F">
              <w:rPr>
                <w:rFonts w:cstheme="minorHAnsi"/>
                <w:sz w:val="20"/>
                <w:szCs w:val="20"/>
              </w:rPr>
              <w:t>12.8</w:t>
            </w:r>
          </w:p>
        </w:tc>
        <w:tc>
          <w:tcPr>
            <w:tcW w:w="1275" w:type="dxa"/>
            <w:tcBorders>
              <w:top w:val="nil"/>
              <w:left w:val="nil"/>
              <w:bottom w:val="nil"/>
              <w:right w:val="nil"/>
            </w:tcBorders>
            <w:shd w:val="clear" w:color="auto" w:fill="8EAEDE"/>
            <w:vAlign w:val="center"/>
          </w:tcPr>
          <w:p w14:paraId="5AD1A061" w14:textId="77777777" w:rsidR="00961617" w:rsidRPr="00545C7F" w:rsidRDefault="00961617" w:rsidP="0020771F">
            <w:pPr>
              <w:pStyle w:val="tabletextslim"/>
              <w:tabs>
                <w:tab w:val="left" w:pos="594"/>
              </w:tabs>
              <w:spacing w:before="23"/>
              <w:ind w:left="101" w:right="101"/>
              <w:rPr>
                <w:rFonts w:cstheme="minorHAnsi"/>
                <w:sz w:val="20"/>
                <w:szCs w:val="20"/>
              </w:rPr>
            </w:pPr>
            <w:r w:rsidRPr="00545C7F">
              <w:rPr>
                <w:rFonts w:cstheme="minorHAnsi"/>
                <w:sz w:val="20"/>
                <w:szCs w:val="20"/>
              </w:rPr>
              <w:t>0.5</w:t>
            </w:r>
          </w:p>
        </w:tc>
        <w:tc>
          <w:tcPr>
            <w:tcW w:w="1559" w:type="dxa"/>
            <w:tcBorders>
              <w:top w:val="nil"/>
              <w:left w:val="nil"/>
              <w:bottom w:val="nil"/>
              <w:right w:val="nil"/>
            </w:tcBorders>
            <w:shd w:val="clear" w:color="auto" w:fill="8EAEDE"/>
            <w:vAlign w:val="center"/>
          </w:tcPr>
          <w:p w14:paraId="37028F5E" w14:textId="77777777" w:rsidR="00961617" w:rsidRPr="00545C7F" w:rsidRDefault="00961617" w:rsidP="0020771F">
            <w:pPr>
              <w:pStyle w:val="tabletextslim"/>
              <w:spacing w:before="23"/>
              <w:ind w:right="266"/>
              <w:rPr>
                <w:rFonts w:cstheme="minorHAnsi"/>
                <w:sz w:val="20"/>
                <w:szCs w:val="20"/>
              </w:rPr>
            </w:pPr>
            <w:r w:rsidRPr="00545C7F">
              <w:rPr>
                <w:rFonts w:cstheme="minorHAnsi"/>
                <w:sz w:val="20"/>
                <w:szCs w:val="20"/>
              </w:rPr>
              <w:t>20.1</w:t>
            </w:r>
          </w:p>
        </w:tc>
      </w:tr>
    </w:tbl>
    <w:p w14:paraId="369B11A6" w14:textId="77777777" w:rsidR="00961617" w:rsidRPr="002F5864" w:rsidRDefault="00961617" w:rsidP="00E13B5E">
      <w:pPr>
        <w:pStyle w:val="Notes"/>
      </w:pPr>
      <w:r w:rsidRPr="002F5864">
        <w:rPr>
          <w:b/>
        </w:rPr>
        <w:t>Note:</w:t>
      </w:r>
      <w:r w:rsidRPr="002F5864">
        <w:rPr>
          <w:b/>
        </w:rPr>
        <w:tab/>
      </w:r>
      <w:r w:rsidRPr="002F5864">
        <w:t xml:space="preserve">Figures for JSA 2009 differ from those previously reported in the </w:t>
      </w:r>
      <w:r w:rsidRPr="002F5864">
        <w:rPr>
          <w:i/>
        </w:rPr>
        <w:t>Long-term unemployed job seekers: JSA Effectiveness</w:t>
      </w:r>
      <w:r w:rsidRPr="002F5864">
        <w:t xml:space="preserve"> report due to differences in the study populations and methodology, including a shorter study period and the removal from both study populations of job seekers in communities that subsequently transferred to the Remote Jobs and Communities Programme. </w:t>
      </w:r>
    </w:p>
    <w:p w14:paraId="7600CC51" w14:textId="77777777" w:rsidR="00961617" w:rsidRPr="002F5864" w:rsidRDefault="00961617" w:rsidP="00E13B5E">
      <w:pPr>
        <w:pStyle w:val="Source"/>
        <w:rPr>
          <w:rFonts w:eastAsia="Times New Roman"/>
          <w:lang w:eastAsia="en-AU"/>
        </w:rPr>
      </w:pPr>
      <w:r w:rsidRPr="002F5864">
        <w:rPr>
          <w:b/>
        </w:rPr>
        <w:t>Source:</w:t>
      </w:r>
      <w:r w:rsidRPr="002F5864">
        <w:rPr>
          <w:b/>
        </w:rPr>
        <w:tab/>
      </w:r>
      <w:r w:rsidRPr="002F5864">
        <w:rPr>
          <w:rFonts w:eastAsia="Times New Roman"/>
          <w:lang w:eastAsia="en-AU"/>
        </w:rPr>
        <w:t>Department of Employment administrative data.</w:t>
      </w:r>
    </w:p>
    <w:p w14:paraId="17AB366A" w14:textId="77777777" w:rsidR="00961617" w:rsidRPr="002F5864" w:rsidRDefault="00864C5E" w:rsidP="00961617">
      <w:pPr>
        <w:spacing w:before="120"/>
        <w:rPr>
          <w:rFonts w:cstheme="minorHAnsi"/>
          <w:b/>
          <w:sz w:val="18"/>
          <w:szCs w:val="18"/>
        </w:rPr>
      </w:pPr>
      <w:hyperlink w:anchor="Place_A29" w:history="1">
        <w:r w:rsidR="00961617" w:rsidRPr="0089699C">
          <w:rPr>
            <w:rStyle w:val="Hyperlink"/>
            <w:rFonts w:cstheme="minorHAnsi"/>
            <w:sz w:val="18"/>
            <w:szCs w:val="18"/>
          </w:rPr>
          <w:t xml:space="preserve">Return to </w:t>
        </w:r>
        <w:r w:rsidR="003649E1" w:rsidRPr="0089699C">
          <w:rPr>
            <w:rStyle w:val="Hyperlink"/>
            <w:rFonts w:cstheme="minorHAnsi"/>
            <w:sz w:val="18"/>
            <w:szCs w:val="18"/>
          </w:rPr>
          <w:t>s</w:t>
        </w:r>
        <w:r w:rsidR="00961617" w:rsidRPr="0089699C">
          <w:rPr>
            <w:rStyle w:val="Hyperlink"/>
            <w:rFonts w:cstheme="minorHAnsi"/>
            <w:sz w:val="18"/>
            <w:szCs w:val="18"/>
          </w:rPr>
          <w:t>ection 3.2.2</w:t>
        </w:r>
      </w:hyperlink>
      <w:r w:rsidR="00961617" w:rsidRPr="002F5864">
        <w:rPr>
          <w:rFonts w:cstheme="minorHAnsi"/>
          <w:sz w:val="18"/>
          <w:szCs w:val="18"/>
        </w:rPr>
        <w:t xml:space="preserve"> where this data is referenced.</w:t>
      </w:r>
    </w:p>
    <w:p w14:paraId="1E534512" w14:textId="77777777" w:rsidR="00961617" w:rsidRPr="002F5864" w:rsidRDefault="00961617" w:rsidP="00961617">
      <w:pPr>
        <w:pStyle w:val="FootnoteText"/>
        <w:keepNext/>
        <w:keepLines/>
        <w:tabs>
          <w:tab w:val="clear" w:pos="454"/>
          <w:tab w:val="left" w:pos="709"/>
        </w:tabs>
        <w:ind w:left="709" w:hanging="709"/>
        <w:rPr>
          <w:rFonts w:eastAsia="Times New Roman" w:cstheme="minorHAnsi"/>
          <w:lang w:eastAsia="en-AU"/>
        </w:rPr>
        <w:sectPr w:rsidR="00961617" w:rsidRPr="002F5864" w:rsidSect="00861BD8">
          <w:headerReference w:type="even" r:id="rId64"/>
          <w:footerReference w:type="even" r:id="rId65"/>
          <w:headerReference w:type="first" r:id="rId66"/>
          <w:footerReference w:type="first" r:id="rId67"/>
          <w:pgSz w:w="16838" w:h="11906" w:orient="landscape" w:code="9"/>
          <w:pgMar w:top="1440" w:right="1440" w:bottom="1440" w:left="1440" w:header="709" w:footer="284" w:gutter="0"/>
          <w:cols w:space="708"/>
          <w:docGrid w:linePitch="360"/>
        </w:sectPr>
      </w:pPr>
    </w:p>
    <w:p w14:paraId="7B8D7EBB" w14:textId="77777777" w:rsidR="00961617" w:rsidRPr="002F5864" w:rsidRDefault="00961617" w:rsidP="00961617">
      <w:pPr>
        <w:pStyle w:val="TableheadingforappendixA1"/>
        <w:rPr>
          <w:rFonts w:cstheme="minorHAnsi"/>
        </w:rPr>
      </w:pPr>
      <w:bookmarkStart w:id="637" w:name="_Toc435695219"/>
      <w:bookmarkStart w:id="638" w:name="_Toc436142579"/>
      <w:bookmarkStart w:id="639" w:name="_Toc513129903"/>
      <w:r w:rsidRPr="002F5864">
        <w:rPr>
          <w:rFonts w:cstheme="minorHAnsi"/>
        </w:rPr>
        <w:t>Table A2.10: Estimated odds ratios of exits from employment services for variables in the predicted exits from services regression models, by stream, for the JSA 2012 LTU study populations</w:t>
      </w:r>
      <w:bookmarkEnd w:id="637"/>
      <w:bookmarkEnd w:id="638"/>
      <w:bookmarkEnd w:id="639"/>
    </w:p>
    <w:tbl>
      <w:tblPr>
        <w:tblStyle w:val="TableGrid"/>
        <w:tblW w:w="8755" w:type="dxa"/>
        <w:tblLayout w:type="fixed"/>
        <w:tblLook w:val="04A0" w:firstRow="1" w:lastRow="0" w:firstColumn="1" w:lastColumn="0" w:noHBand="0" w:noVBand="1"/>
      </w:tblPr>
      <w:tblGrid>
        <w:gridCol w:w="4644"/>
        <w:gridCol w:w="1134"/>
        <w:gridCol w:w="993"/>
        <w:gridCol w:w="992"/>
        <w:gridCol w:w="992"/>
      </w:tblGrid>
      <w:tr w:rsidR="00961617" w:rsidRPr="00545C7F" w14:paraId="41B15F1E" w14:textId="77777777" w:rsidTr="0020771F">
        <w:trPr>
          <w:trHeight w:val="441"/>
          <w:tblHeader/>
        </w:trPr>
        <w:tc>
          <w:tcPr>
            <w:tcW w:w="4644" w:type="dxa"/>
            <w:tcBorders>
              <w:top w:val="nil"/>
              <w:left w:val="nil"/>
              <w:bottom w:val="nil"/>
              <w:right w:val="nil"/>
            </w:tcBorders>
            <w:shd w:val="clear" w:color="auto" w:fill="1E3D6B"/>
            <w:vAlign w:val="center"/>
          </w:tcPr>
          <w:p w14:paraId="7E43B8CD" w14:textId="77777777" w:rsidR="00961617" w:rsidRPr="00545C7F" w:rsidRDefault="00961617" w:rsidP="0020771F">
            <w:pPr>
              <w:pStyle w:val="TableHeadingtext-centred"/>
              <w:tabs>
                <w:tab w:val="clear" w:pos="1134"/>
                <w:tab w:val="left" w:pos="941"/>
              </w:tabs>
              <w:jc w:val="left"/>
              <w:rPr>
                <w:rFonts w:cstheme="minorHAnsi"/>
                <w:i w:val="0"/>
                <w:color w:val="FFFFFF" w:themeColor="background2"/>
                <w:szCs w:val="20"/>
              </w:rPr>
            </w:pPr>
            <w:bookmarkStart w:id="640" w:name="Title_A210"/>
            <w:bookmarkEnd w:id="640"/>
            <w:r w:rsidRPr="00545C7F">
              <w:rPr>
                <w:rFonts w:cstheme="minorHAnsi"/>
                <w:i w:val="0"/>
                <w:color w:val="FFFFFF" w:themeColor="background2"/>
                <w:szCs w:val="20"/>
              </w:rPr>
              <w:t>Independent variable</w:t>
            </w:r>
          </w:p>
        </w:tc>
        <w:tc>
          <w:tcPr>
            <w:tcW w:w="1134" w:type="dxa"/>
            <w:tcBorders>
              <w:top w:val="nil"/>
              <w:left w:val="nil"/>
              <w:bottom w:val="nil"/>
              <w:right w:val="nil"/>
            </w:tcBorders>
            <w:shd w:val="clear" w:color="auto" w:fill="1E3D6B"/>
            <w:vAlign w:val="center"/>
          </w:tcPr>
          <w:p w14:paraId="07158DD5" w14:textId="77777777" w:rsidR="00961617" w:rsidRPr="00545C7F" w:rsidRDefault="00961617" w:rsidP="0020771F">
            <w:pPr>
              <w:pStyle w:val="TableHeadingtext-centred"/>
              <w:tabs>
                <w:tab w:val="clear" w:pos="1134"/>
                <w:tab w:val="left" w:pos="941"/>
              </w:tabs>
              <w:rPr>
                <w:rFonts w:cstheme="minorHAnsi"/>
                <w:i w:val="0"/>
                <w:color w:val="FFFFFF" w:themeColor="background2"/>
                <w:szCs w:val="20"/>
              </w:rPr>
            </w:pPr>
            <w:r w:rsidRPr="00545C7F">
              <w:rPr>
                <w:rFonts w:cstheme="minorHAnsi"/>
                <w:i w:val="0"/>
                <w:color w:val="FFFFFF" w:themeColor="background2"/>
                <w:szCs w:val="20"/>
              </w:rPr>
              <w:t>Stream 1</w:t>
            </w:r>
          </w:p>
        </w:tc>
        <w:tc>
          <w:tcPr>
            <w:tcW w:w="993" w:type="dxa"/>
            <w:tcBorders>
              <w:top w:val="nil"/>
              <w:left w:val="nil"/>
              <w:bottom w:val="nil"/>
              <w:right w:val="nil"/>
            </w:tcBorders>
            <w:shd w:val="clear" w:color="auto" w:fill="1E3D6B"/>
            <w:vAlign w:val="center"/>
          </w:tcPr>
          <w:p w14:paraId="60EED382" w14:textId="77777777" w:rsidR="00961617" w:rsidRPr="00545C7F" w:rsidRDefault="00961617" w:rsidP="0020771F">
            <w:pPr>
              <w:pStyle w:val="TableHeadingtext-centred"/>
              <w:tabs>
                <w:tab w:val="clear" w:pos="1134"/>
                <w:tab w:val="left" w:pos="941"/>
              </w:tabs>
              <w:rPr>
                <w:rFonts w:cstheme="minorHAnsi"/>
                <w:i w:val="0"/>
                <w:color w:val="FFFFFF" w:themeColor="background2"/>
                <w:szCs w:val="20"/>
              </w:rPr>
            </w:pPr>
            <w:r w:rsidRPr="00545C7F">
              <w:rPr>
                <w:rFonts w:cstheme="minorHAnsi"/>
                <w:i w:val="0"/>
                <w:color w:val="FFFFFF" w:themeColor="background2"/>
                <w:szCs w:val="20"/>
              </w:rPr>
              <w:t>Stream 2</w:t>
            </w:r>
          </w:p>
        </w:tc>
        <w:tc>
          <w:tcPr>
            <w:tcW w:w="992" w:type="dxa"/>
            <w:tcBorders>
              <w:top w:val="nil"/>
              <w:left w:val="nil"/>
              <w:bottom w:val="nil"/>
              <w:right w:val="nil"/>
            </w:tcBorders>
            <w:shd w:val="clear" w:color="auto" w:fill="1E3D6B"/>
            <w:vAlign w:val="center"/>
          </w:tcPr>
          <w:p w14:paraId="453505BB" w14:textId="77777777" w:rsidR="00961617" w:rsidRPr="00545C7F" w:rsidRDefault="00961617" w:rsidP="0020771F">
            <w:pPr>
              <w:pStyle w:val="TableHeadingtext-centred"/>
              <w:tabs>
                <w:tab w:val="clear" w:pos="1134"/>
                <w:tab w:val="left" w:pos="941"/>
              </w:tabs>
              <w:rPr>
                <w:rFonts w:cstheme="minorHAnsi"/>
                <w:i w:val="0"/>
                <w:color w:val="FFFFFF" w:themeColor="background2"/>
                <w:szCs w:val="20"/>
              </w:rPr>
            </w:pPr>
            <w:r w:rsidRPr="00545C7F">
              <w:rPr>
                <w:rFonts w:cstheme="minorHAnsi"/>
                <w:i w:val="0"/>
                <w:color w:val="FFFFFF" w:themeColor="background2"/>
                <w:szCs w:val="20"/>
              </w:rPr>
              <w:t>Stream 3</w:t>
            </w:r>
          </w:p>
        </w:tc>
        <w:tc>
          <w:tcPr>
            <w:tcW w:w="992" w:type="dxa"/>
            <w:tcBorders>
              <w:top w:val="nil"/>
              <w:left w:val="nil"/>
              <w:bottom w:val="nil"/>
              <w:right w:val="nil"/>
            </w:tcBorders>
            <w:shd w:val="clear" w:color="auto" w:fill="1E3D6B"/>
            <w:vAlign w:val="center"/>
          </w:tcPr>
          <w:p w14:paraId="1E29B92B" w14:textId="77777777" w:rsidR="00961617" w:rsidRPr="00545C7F" w:rsidRDefault="00961617" w:rsidP="0020771F">
            <w:pPr>
              <w:pStyle w:val="TableHeadingtext-centred"/>
              <w:tabs>
                <w:tab w:val="clear" w:pos="1134"/>
                <w:tab w:val="left" w:pos="941"/>
              </w:tabs>
              <w:rPr>
                <w:rFonts w:cstheme="minorHAnsi"/>
                <w:i w:val="0"/>
                <w:color w:val="FFFFFF" w:themeColor="background2"/>
                <w:szCs w:val="20"/>
              </w:rPr>
            </w:pPr>
            <w:r w:rsidRPr="00545C7F">
              <w:rPr>
                <w:rFonts w:cstheme="minorHAnsi"/>
                <w:i w:val="0"/>
                <w:color w:val="FFFFFF" w:themeColor="background2"/>
                <w:szCs w:val="20"/>
              </w:rPr>
              <w:t>Stream 4</w:t>
            </w:r>
          </w:p>
        </w:tc>
      </w:tr>
      <w:tr w:rsidR="00961617" w:rsidRPr="00545C7F" w14:paraId="0F0DB8CD" w14:textId="77777777" w:rsidTr="0020771F">
        <w:trPr>
          <w:trHeight w:val="340"/>
        </w:trPr>
        <w:tc>
          <w:tcPr>
            <w:tcW w:w="4644" w:type="dxa"/>
            <w:tcBorders>
              <w:top w:val="nil"/>
              <w:left w:val="nil"/>
              <w:bottom w:val="nil"/>
              <w:right w:val="nil"/>
            </w:tcBorders>
            <w:vAlign w:val="center"/>
          </w:tcPr>
          <w:p w14:paraId="4C9ADA17" w14:textId="77777777" w:rsidR="00961617" w:rsidRPr="00545C7F" w:rsidRDefault="00961617" w:rsidP="0020771F">
            <w:pPr>
              <w:rPr>
                <w:rFonts w:cstheme="minorHAnsi"/>
                <w:sz w:val="20"/>
                <w:szCs w:val="20"/>
              </w:rPr>
            </w:pPr>
            <w:r w:rsidRPr="00545C7F">
              <w:rPr>
                <w:rFonts w:cstheme="minorHAnsi"/>
                <w:sz w:val="20"/>
                <w:szCs w:val="20"/>
              </w:rPr>
              <w:t>Females: Under 25 years</w:t>
            </w:r>
          </w:p>
        </w:tc>
        <w:tc>
          <w:tcPr>
            <w:tcW w:w="1134" w:type="dxa"/>
            <w:tcBorders>
              <w:top w:val="nil"/>
              <w:left w:val="nil"/>
              <w:bottom w:val="nil"/>
              <w:right w:val="nil"/>
            </w:tcBorders>
            <w:vAlign w:val="center"/>
          </w:tcPr>
          <w:p w14:paraId="6BAD762D"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789B83AC"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1.74</w:t>
            </w:r>
          </w:p>
        </w:tc>
        <w:tc>
          <w:tcPr>
            <w:tcW w:w="992" w:type="dxa"/>
            <w:tcBorders>
              <w:top w:val="nil"/>
              <w:left w:val="nil"/>
              <w:bottom w:val="nil"/>
              <w:right w:val="nil"/>
            </w:tcBorders>
            <w:vAlign w:val="center"/>
          </w:tcPr>
          <w:p w14:paraId="011749E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1.78</w:t>
            </w:r>
          </w:p>
        </w:tc>
        <w:tc>
          <w:tcPr>
            <w:tcW w:w="992" w:type="dxa"/>
            <w:tcBorders>
              <w:top w:val="nil"/>
              <w:left w:val="nil"/>
              <w:bottom w:val="nil"/>
              <w:right w:val="nil"/>
            </w:tcBorders>
            <w:vAlign w:val="center"/>
          </w:tcPr>
          <w:p w14:paraId="757B1CD3"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1.70</w:t>
            </w:r>
          </w:p>
        </w:tc>
      </w:tr>
      <w:tr w:rsidR="00961617" w:rsidRPr="00545C7F" w14:paraId="6FC021FF"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1C774FF0" w14:textId="77777777" w:rsidR="00961617" w:rsidRPr="00545C7F" w:rsidRDefault="00961617" w:rsidP="0020771F">
            <w:pPr>
              <w:rPr>
                <w:rFonts w:cstheme="minorHAnsi"/>
                <w:sz w:val="20"/>
                <w:szCs w:val="20"/>
              </w:rPr>
            </w:pPr>
            <w:r w:rsidRPr="00545C7F">
              <w:rPr>
                <w:rFonts w:cstheme="minorHAnsi"/>
                <w:sz w:val="20"/>
                <w:szCs w:val="20"/>
              </w:rPr>
              <w:t>Females: 25 to 29 years</w:t>
            </w:r>
          </w:p>
        </w:tc>
        <w:tc>
          <w:tcPr>
            <w:tcW w:w="1134" w:type="dxa"/>
            <w:tcBorders>
              <w:top w:val="nil"/>
              <w:left w:val="nil"/>
              <w:bottom w:val="nil"/>
              <w:right w:val="nil"/>
            </w:tcBorders>
            <w:shd w:val="clear" w:color="auto" w:fill="E5E5E5" w:themeFill="background1" w:themeFillTint="33"/>
            <w:vAlign w:val="center"/>
          </w:tcPr>
          <w:p w14:paraId="28427E42"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19F27C2D"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1.70</w:t>
            </w:r>
          </w:p>
        </w:tc>
        <w:tc>
          <w:tcPr>
            <w:tcW w:w="992" w:type="dxa"/>
            <w:tcBorders>
              <w:top w:val="nil"/>
              <w:left w:val="nil"/>
              <w:bottom w:val="nil"/>
              <w:right w:val="nil"/>
            </w:tcBorders>
            <w:shd w:val="clear" w:color="auto" w:fill="E5E5E5" w:themeFill="background1" w:themeFillTint="33"/>
            <w:vAlign w:val="center"/>
          </w:tcPr>
          <w:p w14:paraId="069287CB"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1.53</w:t>
            </w:r>
          </w:p>
        </w:tc>
        <w:tc>
          <w:tcPr>
            <w:tcW w:w="992" w:type="dxa"/>
            <w:tcBorders>
              <w:top w:val="nil"/>
              <w:left w:val="nil"/>
              <w:bottom w:val="nil"/>
              <w:right w:val="nil"/>
            </w:tcBorders>
            <w:shd w:val="clear" w:color="auto" w:fill="E5E5E5" w:themeFill="background1" w:themeFillTint="33"/>
            <w:vAlign w:val="center"/>
          </w:tcPr>
          <w:p w14:paraId="3E702820"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1.50</w:t>
            </w:r>
          </w:p>
        </w:tc>
      </w:tr>
      <w:tr w:rsidR="00961617" w:rsidRPr="00545C7F" w14:paraId="2495289B" w14:textId="77777777" w:rsidTr="0020771F">
        <w:trPr>
          <w:trHeight w:val="340"/>
        </w:trPr>
        <w:tc>
          <w:tcPr>
            <w:tcW w:w="4644" w:type="dxa"/>
            <w:tcBorders>
              <w:top w:val="nil"/>
              <w:left w:val="nil"/>
              <w:bottom w:val="nil"/>
              <w:right w:val="nil"/>
            </w:tcBorders>
            <w:vAlign w:val="center"/>
          </w:tcPr>
          <w:p w14:paraId="38E533B1" w14:textId="77777777" w:rsidR="00961617" w:rsidRPr="00545C7F" w:rsidRDefault="00961617" w:rsidP="0020771F">
            <w:pPr>
              <w:rPr>
                <w:rFonts w:cstheme="minorHAnsi"/>
                <w:sz w:val="20"/>
                <w:szCs w:val="20"/>
              </w:rPr>
            </w:pPr>
            <w:r w:rsidRPr="00545C7F">
              <w:rPr>
                <w:rFonts w:cstheme="minorHAnsi"/>
                <w:sz w:val="20"/>
                <w:szCs w:val="20"/>
              </w:rPr>
              <w:t>Females: 50 plus</w:t>
            </w:r>
          </w:p>
        </w:tc>
        <w:tc>
          <w:tcPr>
            <w:tcW w:w="1134" w:type="dxa"/>
            <w:tcBorders>
              <w:top w:val="nil"/>
              <w:left w:val="nil"/>
              <w:bottom w:val="nil"/>
              <w:right w:val="nil"/>
            </w:tcBorders>
            <w:vAlign w:val="center"/>
          </w:tcPr>
          <w:p w14:paraId="4BFCD11C"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3CEF07C6"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0.72</w:t>
            </w:r>
          </w:p>
        </w:tc>
        <w:tc>
          <w:tcPr>
            <w:tcW w:w="992" w:type="dxa"/>
            <w:tcBorders>
              <w:top w:val="nil"/>
              <w:left w:val="nil"/>
              <w:bottom w:val="nil"/>
              <w:right w:val="nil"/>
            </w:tcBorders>
            <w:vAlign w:val="center"/>
          </w:tcPr>
          <w:p w14:paraId="390A004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0.86</w:t>
            </w:r>
          </w:p>
        </w:tc>
        <w:tc>
          <w:tcPr>
            <w:tcW w:w="992" w:type="dxa"/>
            <w:tcBorders>
              <w:top w:val="nil"/>
              <w:left w:val="nil"/>
              <w:bottom w:val="nil"/>
              <w:right w:val="nil"/>
            </w:tcBorders>
            <w:vAlign w:val="center"/>
          </w:tcPr>
          <w:p w14:paraId="4FB9C3B0"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0.98</w:t>
            </w:r>
          </w:p>
        </w:tc>
      </w:tr>
      <w:tr w:rsidR="00961617" w:rsidRPr="00545C7F" w14:paraId="67B9E093"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09438AD8" w14:textId="77777777" w:rsidR="00961617" w:rsidRPr="00545C7F" w:rsidRDefault="00961617" w:rsidP="0020771F">
            <w:pPr>
              <w:rPr>
                <w:rFonts w:cstheme="minorHAnsi"/>
                <w:sz w:val="20"/>
                <w:szCs w:val="20"/>
              </w:rPr>
            </w:pPr>
            <w:r w:rsidRPr="00545C7F">
              <w:rPr>
                <w:rFonts w:cstheme="minorHAnsi"/>
                <w:sz w:val="20"/>
                <w:szCs w:val="20"/>
              </w:rPr>
              <w:t>Males: Under 25</w:t>
            </w:r>
          </w:p>
        </w:tc>
        <w:tc>
          <w:tcPr>
            <w:tcW w:w="1134" w:type="dxa"/>
            <w:tcBorders>
              <w:top w:val="nil"/>
              <w:left w:val="nil"/>
              <w:bottom w:val="nil"/>
              <w:right w:val="nil"/>
            </w:tcBorders>
            <w:shd w:val="clear" w:color="auto" w:fill="E5E5E5" w:themeFill="background1" w:themeFillTint="33"/>
            <w:vAlign w:val="center"/>
          </w:tcPr>
          <w:p w14:paraId="7F322D59"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4302A7F7"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1.09</w:t>
            </w:r>
          </w:p>
        </w:tc>
        <w:tc>
          <w:tcPr>
            <w:tcW w:w="992" w:type="dxa"/>
            <w:tcBorders>
              <w:top w:val="nil"/>
              <w:left w:val="nil"/>
              <w:bottom w:val="nil"/>
              <w:right w:val="nil"/>
            </w:tcBorders>
            <w:shd w:val="clear" w:color="auto" w:fill="E5E5E5" w:themeFill="background1" w:themeFillTint="33"/>
            <w:vAlign w:val="center"/>
          </w:tcPr>
          <w:p w14:paraId="57F299A7"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1.17</w:t>
            </w:r>
          </w:p>
        </w:tc>
        <w:tc>
          <w:tcPr>
            <w:tcW w:w="992" w:type="dxa"/>
            <w:tcBorders>
              <w:top w:val="nil"/>
              <w:left w:val="nil"/>
              <w:bottom w:val="nil"/>
              <w:right w:val="nil"/>
            </w:tcBorders>
            <w:shd w:val="clear" w:color="auto" w:fill="E5E5E5" w:themeFill="background1" w:themeFillTint="33"/>
            <w:vAlign w:val="center"/>
          </w:tcPr>
          <w:p w14:paraId="10FD7D3A"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1.14</w:t>
            </w:r>
          </w:p>
        </w:tc>
      </w:tr>
      <w:tr w:rsidR="00961617" w:rsidRPr="00545C7F" w14:paraId="18D955EF" w14:textId="77777777" w:rsidTr="0020771F">
        <w:trPr>
          <w:trHeight w:val="340"/>
        </w:trPr>
        <w:tc>
          <w:tcPr>
            <w:tcW w:w="4644" w:type="dxa"/>
            <w:tcBorders>
              <w:top w:val="nil"/>
              <w:left w:val="nil"/>
              <w:bottom w:val="nil"/>
              <w:right w:val="nil"/>
            </w:tcBorders>
            <w:vAlign w:val="center"/>
          </w:tcPr>
          <w:p w14:paraId="60E964AE" w14:textId="77777777" w:rsidR="00961617" w:rsidRPr="00545C7F" w:rsidRDefault="00961617" w:rsidP="0020771F">
            <w:pPr>
              <w:rPr>
                <w:rFonts w:cstheme="minorHAnsi"/>
                <w:sz w:val="20"/>
                <w:szCs w:val="20"/>
              </w:rPr>
            </w:pPr>
            <w:r w:rsidRPr="00545C7F">
              <w:rPr>
                <w:rFonts w:cstheme="minorHAnsi"/>
                <w:sz w:val="20"/>
                <w:szCs w:val="20"/>
              </w:rPr>
              <w:t>Males: 25 to 29 years</w:t>
            </w:r>
          </w:p>
        </w:tc>
        <w:tc>
          <w:tcPr>
            <w:tcW w:w="1134" w:type="dxa"/>
            <w:tcBorders>
              <w:top w:val="nil"/>
              <w:left w:val="nil"/>
              <w:bottom w:val="nil"/>
              <w:right w:val="nil"/>
            </w:tcBorders>
            <w:vAlign w:val="center"/>
          </w:tcPr>
          <w:p w14:paraId="74C85C05"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457F32D6"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1.23</w:t>
            </w:r>
          </w:p>
        </w:tc>
        <w:tc>
          <w:tcPr>
            <w:tcW w:w="992" w:type="dxa"/>
            <w:tcBorders>
              <w:top w:val="nil"/>
              <w:left w:val="nil"/>
              <w:bottom w:val="nil"/>
              <w:right w:val="nil"/>
            </w:tcBorders>
            <w:vAlign w:val="center"/>
          </w:tcPr>
          <w:p w14:paraId="3BCE21D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1.18</w:t>
            </w:r>
          </w:p>
        </w:tc>
        <w:tc>
          <w:tcPr>
            <w:tcW w:w="992" w:type="dxa"/>
            <w:tcBorders>
              <w:top w:val="nil"/>
              <w:left w:val="nil"/>
              <w:bottom w:val="nil"/>
              <w:right w:val="nil"/>
            </w:tcBorders>
            <w:vAlign w:val="center"/>
          </w:tcPr>
          <w:p w14:paraId="6DF63197"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1.20</w:t>
            </w:r>
          </w:p>
        </w:tc>
      </w:tr>
      <w:tr w:rsidR="00961617" w:rsidRPr="00545C7F" w14:paraId="5C9288E1"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64C270D6" w14:textId="77777777" w:rsidR="00961617" w:rsidRPr="00545C7F" w:rsidRDefault="00961617" w:rsidP="0020771F">
            <w:pPr>
              <w:rPr>
                <w:rFonts w:cstheme="minorHAnsi"/>
                <w:sz w:val="20"/>
                <w:szCs w:val="20"/>
              </w:rPr>
            </w:pPr>
            <w:r w:rsidRPr="00545C7F">
              <w:rPr>
                <w:rFonts w:cstheme="minorHAnsi"/>
                <w:sz w:val="20"/>
                <w:szCs w:val="20"/>
              </w:rPr>
              <w:t>Males: 50 plus</w:t>
            </w:r>
          </w:p>
        </w:tc>
        <w:tc>
          <w:tcPr>
            <w:tcW w:w="1134" w:type="dxa"/>
            <w:tcBorders>
              <w:top w:val="nil"/>
              <w:left w:val="nil"/>
              <w:bottom w:val="nil"/>
              <w:right w:val="nil"/>
            </w:tcBorders>
            <w:shd w:val="clear" w:color="auto" w:fill="E5E5E5" w:themeFill="background1" w:themeFillTint="33"/>
            <w:vAlign w:val="center"/>
          </w:tcPr>
          <w:p w14:paraId="126FB8BB"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630EA27E"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0.73</w:t>
            </w:r>
          </w:p>
        </w:tc>
        <w:tc>
          <w:tcPr>
            <w:tcW w:w="992" w:type="dxa"/>
            <w:tcBorders>
              <w:top w:val="nil"/>
              <w:left w:val="nil"/>
              <w:bottom w:val="nil"/>
              <w:right w:val="nil"/>
            </w:tcBorders>
            <w:shd w:val="clear" w:color="auto" w:fill="E5E5E5" w:themeFill="background1" w:themeFillTint="33"/>
            <w:vAlign w:val="center"/>
          </w:tcPr>
          <w:p w14:paraId="437C9D55"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0.96</w:t>
            </w:r>
          </w:p>
        </w:tc>
        <w:tc>
          <w:tcPr>
            <w:tcW w:w="992" w:type="dxa"/>
            <w:tcBorders>
              <w:top w:val="nil"/>
              <w:left w:val="nil"/>
              <w:bottom w:val="nil"/>
              <w:right w:val="nil"/>
            </w:tcBorders>
            <w:shd w:val="clear" w:color="auto" w:fill="E5E5E5" w:themeFill="background1" w:themeFillTint="33"/>
            <w:vAlign w:val="center"/>
          </w:tcPr>
          <w:p w14:paraId="1EAC8C64"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0.91</w:t>
            </w:r>
          </w:p>
        </w:tc>
      </w:tr>
      <w:tr w:rsidR="00961617" w:rsidRPr="00545C7F" w14:paraId="582F69BE" w14:textId="77777777" w:rsidTr="0020771F">
        <w:trPr>
          <w:trHeight w:val="340"/>
        </w:trPr>
        <w:tc>
          <w:tcPr>
            <w:tcW w:w="4644" w:type="dxa"/>
            <w:tcBorders>
              <w:top w:val="nil"/>
              <w:left w:val="nil"/>
              <w:bottom w:val="nil"/>
              <w:right w:val="nil"/>
            </w:tcBorders>
            <w:vAlign w:val="center"/>
          </w:tcPr>
          <w:p w14:paraId="7C9A148C" w14:textId="77777777" w:rsidR="00961617" w:rsidRPr="00545C7F" w:rsidRDefault="00961617" w:rsidP="0020771F">
            <w:pPr>
              <w:rPr>
                <w:rFonts w:cstheme="minorHAnsi"/>
                <w:sz w:val="20"/>
                <w:szCs w:val="20"/>
              </w:rPr>
            </w:pPr>
            <w:r w:rsidRPr="00545C7F">
              <w:rPr>
                <w:rFonts w:cstheme="minorHAnsi"/>
                <w:sz w:val="20"/>
                <w:szCs w:val="20"/>
              </w:rPr>
              <w:t>Age: Under 25</w:t>
            </w:r>
          </w:p>
        </w:tc>
        <w:tc>
          <w:tcPr>
            <w:tcW w:w="1134" w:type="dxa"/>
            <w:tcBorders>
              <w:top w:val="nil"/>
              <w:left w:val="nil"/>
              <w:bottom w:val="nil"/>
              <w:right w:val="nil"/>
            </w:tcBorders>
            <w:vAlign w:val="center"/>
          </w:tcPr>
          <w:p w14:paraId="3E1345E1"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046CAEDF"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1.29</w:t>
            </w:r>
          </w:p>
        </w:tc>
        <w:tc>
          <w:tcPr>
            <w:tcW w:w="992" w:type="dxa"/>
            <w:tcBorders>
              <w:top w:val="nil"/>
              <w:left w:val="nil"/>
              <w:bottom w:val="nil"/>
              <w:right w:val="nil"/>
            </w:tcBorders>
            <w:vAlign w:val="center"/>
          </w:tcPr>
          <w:p w14:paraId="587D443A"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1.31</w:t>
            </w:r>
          </w:p>
        </w:tc>
        <w:tc>
          <w:tcPr>
            <w:tcW w:w="992" w:type="dxa"/>
            <w:tcBorders>
              <w:top w:val="nil"/>
              <w:left w:val="nil"/>
              <w:bottom w:val="nil"/>
              <w:right w:val="nil"/>
            </w:tcBorders>
            <w:vAlign w:val="center"/>
          </w:tcPr>
          <w:p w14:paraId="58AF4D25"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1.25</w:t>
            </w:r>
          </w:p>
        </w:tc>
      </w:tr>
      <w:tr w:rsidR="00961617" w:rsidRPr="00545C7F" w14:paraId="2FDC94E9"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2DF88E0B" w14:textId="77777777" w:rsidR="00961617" w:rsidRPr="00545C7F" w:rsidRDefault="00961617" w:rsidP="0020771F">
            <w:pPr>
              <w:rPr>
                <w:rFonts w:cstheme="minorHAnsi"/>
                <w:sz w:val="20"/>
                <w:szCs w:val="20"/>
              </w:rPr>
            </w:pPr>
            <w:r w:rsidRPr="00545C7F">
              <w:rPr>
                <w:rFonts w:cstheme="minorHAnsi"/>
                <w:sz w:val="20"/>
                <w:szCs w:val="20"/>
              </w:rPr>
              <w:t>Age: 25 to 29 years</w:t>
            </w:r>
          </w:p>
        </w:tc>
        <w:tc>
          <w:tcPr>
            <w:tcW w:w="1134" w:type="dxa"/>
            <w:tcBorders>
              <w:top w:val="nil"/>
              <w:left w:val="nil"/>
              <w:bottom w:val="nil"/>
              <w:right w:val="nil"/>
            </w:tcBorders>
            <w:shd w:val="clear" w:color="auto" w:fill="E5E5E5" w:themeFill="background1" w:themeFillTint="33"/>
            <w:vAlign w:val="center"/>
          </w:tcPr>
          <w:p w14:paraId="336E04AD"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1EB64208"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1.12</w:t>
            </w:r>
          </w:p>
        </w:tc>
        <w:tc>
          <w:tcPr>
            <w:tcW w:w="992" w:type="dxa"/>
            <w:tcBorders>
              <w:top w:val="nil"/>
              <w:left w:val="nil"/>
              <w:bottom w:val="nil"/>
              <w:right w:val="nil"/>
            </w:tcBorders>
            <w:shd w:val="clear" w:color="auto" w:fill="E5E5E5" w:themeFill="background1" w:themeFillTint="33"/>
            <w:vAlign w:val="center"/>
          </w:tcPr>
          <w:p w14:paraId="510FF6E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1.11</w:t>
            </w:r>
          </w:p>
        </w:tc>
        <w:tc>
          <w:tcPr>
            <w:tcW w:w="992" w:type="dxa"/>
            <w:tcBorders>
              <w:top w:val="nil"/>
              <w:left w:val="nil"/>
              <w:bottom w:val="nil"/>
              <w:right w:val="nil"/>
            </w:tcBorders>
            <w:shd w:val="clear" w:color="auto" w:fill="E5E5E5" w:themeFill="background1" w:themeFillTint="33"/>
            <w:vAlign w:val="center"/>
          </w:tcPr>
          <w:p w14:paraId="6C811A5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1.04</w:t>
            </w:r>
          </w:p>
        </w:tc>
      </w:tr>
      <w:tr w:rsidR="00961617" w:rsidRPr="00545C7F" w14:paraId="64724904" w14:textId="77777777" w:rsidTr="0020771F">
        <w:trPr>
          <w:trHeight w:val="340"/>
        </w:trPr>
        <w:tc>
          <w:tcPr>
            <w:tcW w:w="4644" w:type="dxa"/>
            <w:tcBorders>
              <w:top w:val="nil"/>
              <w:left w:val="nil"/>
              <w:bottom w:val="nil"/>
              <w:right w:val="nil"/>
            </w:tcBorders>
            <w:vAlign w:val="center"/>
          </w:tcPr>
          <w:p w14:paraId="3C497AB3" w14:textId="77777777" w:rsidR="00961617" w:rsidRPr="00545C7F" w:rsidRDefault="00961617" w:rsidP="0020771F">
            <w:pPr>
              <w:rPr>
                <w:rFonts w:cstheme="minorHAnsi"/>
                <w:sz w:val="20"/>
                <w:szCs w:val="20"/>
              </w:rPr>
            </w:pPr>
            <w:r w:rsidRPr="00545C7F">
              <w:rPr>
                <w:rFonts w:cstheme="minorHAnsi"/>
                <w:sz w:val="20"/>
                <w:szCs w:val="20"/>
              </w:rPr>
              <w:t>Age: 30 to 49 years</w:t>
            </w:r>
          </w:p>
        </w:tc>
        <w:tc>
          <w:tcPr>
            <w:tcW w:w="1134" w:type="dxa"/>
            <w:tcBorders>
              <w:top w:val="nil"/>
              <w:left w:val="nil"/>
              <w:bottom w:val="nil"/>
              <w:right w:val="nil"/>
            </w:tcBorders>
            <w:vAlign w:val="center"/>
          </w:tcPr>
          <w:p w14:paraId="69F4E683"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733C2659"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0.80</w:t>
            </w:r>
          </w:p>
        </w:tc>
        <w:tc>
          <w:tcPr>
            <w:tcW w:w="992" w:type="dxa"/>
            <w:tcBorders>
              <w:top w:val="nil"/>
              <w:left w:val="nil"/>
              <w:bottom w:val="nil"/>
              <w:right w:val="nil"/>
            </w:tcBorders>
            <w:vAlign w:val="center"/>
          </w:tcPr>
          <w:p w14:paraId="659820B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0.86</w:t>
            </w:r>
          </w:p>
        </w:tc>
        <w:tc>
          <w:tcPr>
            <w:tcW w:w="992" w:type="dxa"/>
            <w:tcBorders>
              <w:top w:val="nil"/>
              <w:left w:val="nil"/>
              <w:bottom w:val="nil"/>
              <w:right w:val="nil"/>
            </w:tcBorders>
            <w:vAlign w:val="center"/>
          </w:tcPr>
          <w:p w14:paraId="182BD40A"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0.84</w:t>
            </w:r>
          </w:p>
        </w:tc>
      </w:tr>
      <w:tr w:rsidR="00961617" w:rsidRPr="00545C7F" w14:paraId="21AC8EE6"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0F67FFF0" w14:textId="77777777" w:rsidR="00961617" w:rsidRPr="00545C7F" w:rsidRDefault="00961617" w:rsidP="0020771F">
            <w:pPr>
              <w:rPr>
                <w:rFonts w:cstheme="minorHAnsi"/>
                <w:sz w:val="20"/>
                <w:szCs w:val="20"/>
              </w:rPr>
            </w:pPr>
            <w:r w:rsidRPr="00545C7F">
              <w:rPr>
                <w:rFonts w:cstheme="minorHAnsi"/>
                <w:sz w:val="20"/>
                <w:szCs w:val="20"/>
              </w:rPr>
              <w:t>Age: 50 plus</w:t>
            </w:r>
          </w:p>
        </w:tc>
        <w:tc>
          <w:tcPr>
            <w:tcW w:w="1134" w:type="dxa"/>
            <w:tcBorders>
              <w:top w:val="nil"/>
              <w:left w:val="nil"/>
              <w:bottom w:val="nil"/>
              <w:right w:val="nil"/>
            </w:tcBorders>
            <w:shd w:val="clear" w:color="auto" w:fill="E5E5E5" w:themeFill="background1" w:themeFillTint="33"/>
            <w:vAlign w:val="center"/>
          </w:tcPr>
          <w:p w14:paraId="23D259BB"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57C90F9B"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0.79</w:t>
            </w:r>
          </w:p>
        </w:tc>
        <w:tc>
          <w:tcPr>
            <w:tcW w:w="992" w:type="dxa"/>
            <w:tcBorders>
              <w:top w:val="nil"/>
              <w:left w:val="nil"/>
              <w:bottom w:val="nil"/>
              <w:right w:val="nil"/>
            </w:tcBorders>
            <w:shd w:val="clear" w:color="auto" w:fill="E5E5E5" w:themeFill="background1" w:themeFillTint="33"/>
            <w:vAlign w:val="center"/>
          </w:tcPr>
          <w:p w14:paraId="5768A1B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0.78</w:t>
            </w:r>
          </w:p>
        </w:tc>
        <w:tc>
          <w:tcPr>
            <w:tcW w:w="992" w:type="dxa"/>
            <w:tcBorders>
              <w:top w:val="nil"/>
              <w:left w:val="nil"/>
              <w:bottom w:val="nil"/>
              <w:right w:val="nil"/>
            </w:tcBorders>
            <w:shd w:val="clear" w:color="auto" w:fill="E5E5E5" w:themeFill="background1" w:themeFillTint="33"/>
            <w:vAlign w:val="center"/>
          </w:tcPr>
          <w:p w14:paraId="64120090"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0.90</w:t>
            </w:r>
          </w:p>
        </w:tc>
      </w:tr>
      <w:tr w:rsidR="00961617" w:rsidRPr="00545C7F" w14:paraId="7E76DDB2" w14:textId="77777777" w:rsidTr="0020771F">
        <w:trPr>
          <w:trHeight w:val="340"/>
        </w:trPr>
        <w:tc>
          <w:tcPr>
            <w:tcW w:w="4644" w:type="dxa"/>
            <w:tcBorders>
              <w:top w:val="nil"/>
              <w:left w:val="nil"/>
              <w:bottom w:val="nil"/>
              <w:right w:val="nil"/>
            </w:tcBorders>
            <w:vAlign w:val="center"/>
          </w:tcPr>
          <w:p w14:paraId="73F2C752" w14:textId="77777777" w:rsidR="00961617" w:rsidRPr="00545C7F" w:rsidRDefault="00961617" w:rsidP="0020771F">
            <w:pPr>
              <w:rPr>
                <w:rFonts w:cstheme="minorHAnsi"/>
                <w:sz w:val="20"/>
                <w:szCs w:val="20"/>
              </w:rPr>
            </w:pPr>
            <w:r w:rsidRPr="00545C7F">
              <w:rPr>
                <w:rFonts w:cstheme="minorHAnsi"/>
                <w:sz w:val="20"/>
                <w:szCs w:val="20"/>
              </w:rPr>
              <w:t>Highest level of education</w:t>
            </w:r>
            <w:r w:rsidRPr="00545C7F">
              <w:rPr>
                <w:rFonts w:cstheme="minorHAnsi"/>
                <w:b/>
                <w:sz w:val="20"/>
                <w:szCs w:val="20"/>
              </w:rPr>
              <w:t xml:space="preserve">: </w:t>
            </w:r>
            <w:r w:rsidRPr="00545C7F">
              <w:rPr>
                <w:rFonts w:cstheme="minorHAnsi"/>
                <w:sz w:val="20"/>
                <w:szCs w:val="20"/>
              </w:rPr>
              <w:t>Less than Year 10</w:t>
            </w:r>
          </w:p>
        </w:tc>
        <w:tc>
          <w:tcPr>
            <w:tcW w:w="1134" w:type="dxa"/>
            <w:tcBorders>
              <w:top w:val="nil"/>
              <w:left w:val="nil"/>
              <w:bottom w:val="nil"/>
              <w:right w:val="nil"/>
            </w:tcBorders>
            <w:vAlign w:val="center"/>
          </w:tcPr>
          <w:p w14:paraId="43D596B7"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0.81</w:t>
            </w:r>
          </w:p>
        </w:tc>
        <w:tc>
          <w:tcPr>
            <w:tcW w:w="993" w:type="dxa"/>
            <w:tcBorders>
              <w:top w:val="nil"/>
              <w:left w:val="nil"/>
              <w:bottom w:val="nil"/>
              <w:right w:val="nil"/>
            </w:tcBorders>
            <w:vAlign w:val="center"/>
          </w:tcPr>
          <w:p w14:paraId="7403C31E"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0.85</w:t>
            </w:r>
          </w:p>
        </w:tc>
        <w:tc>
          <w:tcPr>
            <w:tcW w:w="992" w:type="dxa"/>
            <w:tcBorders>
              <w:top w:val="nil"/>
              <w:left w:val="nil"/>
              <w:bottom w:val="nil"/>
              <w:right w:val="nil"/>
            </w:tcBorders>
            <w:vAlign w:val="center"/>
          </w:tcPr>
          <w:p w14:paraId="4F61518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0.89</w:t>
            </w:r>
          </w:p>
        </w:tc>
        <w:tc>
          <w:tcPr>
            <w:tcW w:w="992" w:type="dxa"/>
            <w:tcBorders>
              <w:top w:val="nil"/>
              <w:left w:val="nil"/>
              <w:bottom w:val="nil"/>
              <w:right w:val="nil"/>
            </w:tcBorders>
            <w:vAlign w:val="center"/>
          </w:tcPr>
          <w:p w14:paraId="63819D27"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0.94</w:t>
            </w:r>
          </w:p>
        </w:tc>
      </w:tr>
      <w:tr w:rsidR="00961617" w:rsidRPr="00545C7F" w14:paraId="5E8F4A52"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3123F186" w14:textId="77777777" w:rsidR="00961617" w:rsidRPr="00545C7F" w:rsidRDefault="00961617" w:rsidP="0020771F">
            <w:pPr>
              <w:rPr>
                <w:rFonts w:cstheme="minorHAnsi"/>
                <w:sz w:val="20"/>
                <w:szCs w:val="20"/>
              </w:rPr>
            </w:pPr>
            <w:r w:rsidRPr="00545C7F">
              <w:rPr>
                <w:rFonts w:cstheme="minorHAnsi"/>
                <w:sz w:val="20"/>
                <w:szCs w:val="20"/>
              </w:rPr>
              <w:t>Highest level of education</w:t>
            </w:r>
            <w:r w:rsidRPr="00545C7F">
              <w:rPr>
                <w:rFonts w:cstheme="minorHAnsi"/>
                <w:b/>
                <w:sz w:val="20"/>
                <w:szCs w:val="20"/>
              </w:rPr>
              <w:t xml:space="preserve">: </w:t>
            </w:r>
            <w:r w:rsidRPr="00545C7F">
              <w:rPr>
                <w:rFonts w:cstheme="minorHAnsi"/>
                <w:sz w:val="20"/>
                <w:szCs w:val="20"/>
              </w:rPr>
              <w:t>Year 11-12</w:t>
            </w:r>
          </w:p>
        </w:tc>
        <w:tc>
          <w:tcPr>
            <w:tcW w:w="1134" w:type="dxa"/>
            <w:tcBorders>
              <w:top w:val="nil"/>
              <w:left w:val="nil"/>
              <w:bottom w:val="nil"/>
              <w:right w:val="nil"/>
            </w:tcBorders>
            <w:shd w:val="clear" w:color="auto" w:fill="E5E5E5" w:themeFill="background1" w:themeFillTint="33"/>
            <w:vAlign w:val="center"/>
          </w:tcPr>
          <w:p w14:paraId="4AF55EE5"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0.85</w:t>
            </w:r>
          </w:p>
        </w:tc>
        <w:tc>
          <w:tcPr>
            <w:tcW w:w="993" w:type="dxa"/>
            <w:tcBorders>
              <w:top w:val="nil"/>
              <w:left w:val="nil"/>
              <w:bottom w:val="nil"/>
              <w:right w:val="nil"/>
            </w:tcBorders>
            <w:shd w:val="clear" w:color="auto" w:fill="E5E5E5" w:themeFill="background1" w:themeFillTint="33"/>
            <w:vAlign w:val="center"/>
          </w:tcPr>
          <w:p w14:paraId="42466064"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0.92</w:t>
            </w:r>
          </w:p>
        </w:tc>
        <w:tc>
          <w:tcPr>
            <w:tcW w:w="992" w:type="dxa"/>
            <w:tcBorders>
              <w:top w:val="nil"/>
              <w:left w:val="nil"/>
              <w:bottom w:val="nil"/>
              <w:right w:val="nil"/>
            </w:tcBorders>
            <w:shd w:val="clear" w:color="auto" w:fill="E5E5E5" w:themeFill="background1" w:themeFillTint="33"/>
            <w:vAlign w:val="center"/>
          </w:tcPr>
          <w:p w14:paraId="20ECB712"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0.91</w:t>
            </w:r>
          </w:p>
        </w:tc>
        <w:tc>
          <w:tcPr>
            <w:tcW w:w="992" w:type="dxa"/>
            <w:tcBorders>
              <w:top w:val="nil"/>
              <w:left w:val="nil"/>
              <w:bottom w:val="nil"/>
              <w:right w:val="nil"/>
            </w:tcBorders>
            <w:shd w:val="clear" w:color="auto" w:fill="E5E5E5" w:themeFill="background1" w:themeFillTint="33"/>
            <w:vAlign w:val="center"/>
          </w:tcPr>
          <w:p w14:paraId="3437DFB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0.95</w:t>
            </w:r>
          </w:p>
        </w:tc>
      </w:tr>
      <w:tr w:rsidR="00961617" w:rsidRPr="00545C7F" w14:paraId="677836D2" w14:textId="77777777" w:rsidTr="0020771F">
        <w:trPr>
          <w:trHeight w:val="340"/>
        </w:trPr>
        <w:tc>
          <w:tcPr>
            <w:tcW w:w="4644" w:type="dxa"/>
            <w:tcBorders>
              <w:top w:val="nil"/>
              <w:left w:val="nil"/>
              <w:bottom w:val="nil"/>
              <w:right w:val="nil"/>
            </w:tcBorders>
            <w:vAlign w:val="center"/>
          </w:tcPr>
          <w:p w14:paraId="3A2324E0" w14:textId="77777777" w:rsidR="00961617" w:rsidRPr="00545C7F" w:rsidRDefault="00961617" w:rsidP="0020771F">
            <w:pPr>
              <w:rPr>
                <w:rFonts w:cstheme="minorHAnsi"/>
                <w:sz w:val="20"/>
                <w:szCs w:val="20"/>
              </w:rPr>
            </w:pPr>
            <w:r w:rsidRPr="00545C7F">
              <w:rPr>
                <w:rFonts w:cstheme="minorHAnsi"/>
                <w:sz w:val="20"/>
                <w:szCs w:val="20"/>
              </w:rPr>
              <w:t>Highest level of education</w:t>
            </w:r>
            <w:r w:rsidRPr="00545C7F">
              <w:rPr>
                <w:rFonts w:cstheme="minorHAnsi"/>
                <w:b/>
                <w:sz w:val="20"/>
                <w:szCs w:val="20"/>
              </w:rPr>
              <w:t xml:space="preserve">: </w:t>
            </w:r>
            <w:r w:rsidRPr="00545C7F">
              <w:rPr>
                <w:rFonts w:cstheme="minorHAnsi"/>
                <w:sz w:val="20"/>
                <w:szCs w:val="20"/>
              </w:rPr>
              <w:t>Year 12</w:t>
            </w:r>
          </w:p>
        </w:tc>
        <w:tc>
          <w:tcPr>
            <w:tcW w:w="1134" w:type="dxa"/>
            <w:tcBorders>
              <w:top w:val="nil"/>
              <w:left w:val="nil"/>
              <w:bottom w:val="nil"/>
              <w:right w:val="nil"/>
            </w:tcBorders>
            <w:vAlign w:val="center"/>
          </w:tcPr>
          <w:p w14:paraId="714A6D3B"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1.01</w:t>
            </w:r>
          </w:p>
        </w:tc>
        <w:tc>
          <w:tcPr>
            <w:tcW w:w="993" w:type="dxa"/>
            <w:tcBorders>
              <w:top w:val="nil"/>
              <w:left w:val="nil"/>
              <w:bottom w:val="nil"/>
              <w:right w:val="nil"/>
            </w:tcBorders>
            <w:vAlign w:val="center"/>
          </w:tcPr>
          <w:p w14:paraId="4F4D51B1"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1.05</w:t>
            </w:r>
          </w:p>
        </w:tc>
        <w:tc>
          <w:tcPr>
            <w:tcW w:w="992" w:type="dxa"/>
            <w:tcBorders>
              <w:top w:val="nil"/>
              <w:left w:val="nil"/>
              <w:bottom w:val="nil"/>
              <w:right w:val="nil"/>
            </w:tcBorders>
            <w:vAlign w:val="center"/>
          </w:tcPr>
          <w:p w14:paraId="6443C472"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1.00</w:t>
            </w:r>
          </w:p>
        </w:tc>
        <w:tc>
          <w:tcPr>
            <w:tcW w:w="992" w:type="dxa"/>
            <w:tcBorders>
              <w:top w:val="nil"/>
              <w:left w:val="nil"/>
              <w:bottom w:val="nil"/>
              <w:right w:val="nil"/>
            </w:tcBorders>
            <w:vAlign w:val="center"/>
          </w:tcPr>
          <w:p w14:paraId="16D43EC1"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1.05</w:t>
            </w:r>
          </w:p>
        </w:tc>
      </w:tr>
      <w:tr w:rsidR="00961617" w:rsidRPr="00545C7F" w14:paraId="55310784"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09DC05C9" w14:textId="77777777" w:rsidR="00961617" w:rsidRPr="00545C7F" w:rsidRDefault="00961617" w:rsidP="0020771F">
            <w:pPr>
              <w:rPr>
                <w:rFonts w:cstheme="minorHAnsi"/>
                <w:sz w:val="20"/>
                <w:szCs w:val="20"/>
              </w:rPr>
            </w:pPr>
            <w:r w:rsidRPr="00545C7F">
              <w:rPr>
                <w:rFonts w:cstheme="minorHAnsi"/>
                <w:sz w:val="20"/>
                <w:szCs w:val="20"/>
              </w:rPr>
              <w:t>Highest level of education</w:t>
            </w:r>
            <w:r w:rsidRPr="00545C7F">
              <w:rPr>
                <w:rFonts w:cstheme="minorHAnsi"/>
                <w:b/>
                <w:sz w:val="20"/>
                <w:szCs w:val="20"/>
              </w:rPr>
              <w:t xml:space="preserve">: </w:t>
            </w:r>
            <w:r w:rsidRPr="00545C7F">
              <w:rPr>
                <w:rFonts w:cstheme="minorHAnsi"/>
                <w:sz w:val="20"/>
                <w:szCs w:val="20"/>
              </w:rPr>
              <w:t>Graduate/Post Graduate</w:t>
            </w:r>
          </w:p>
        </w:tc>
        <w:tc>
          <w:tcPr>
            <w:tcW w:w="1134" w:type="dxa"/>
            <w:tcBorders>
              <w:top w:val="nil"/>
              <w:left w:val="nil"/>
              <w:bottom w:val="nil"/>
              <w:right w:val="nil"/>
            </w:tcBorders>
            <w:shd w:val="clear" w:color="auto" w:fill="E5E5E5" w:themeFill="background1" w:themeFillTint="33"/>
            <w:vAlign w:val="center"/>
          </w:tcPr>
          <w:p w14:paraId="58D6AE49"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1.24</w:t>
            </w:r>
          </w:p>
        </w:tc>
        <w:tc>
          <w:tcPr>
            <w:tcW w:w="993" w:type="dxa"/>
            <w:tcBorders>
              <w:top w:val="nil"/>
              <w:left w:val="nil"/>
              <w:bottom w:val="nil"/>
              <w:right w:val="nil"/>
            </w:tcBorders>
            <w:shd w:val="clear" w:color="auto" w:fill="E5E5E5" w:themeFill="background1" w:themeFillTint="33"/>
            <w:vAlign w:val="center"/>
          </w:tcPr>
          <w:p w14:paraId="3EE8FE30"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1.14</w:t>
            </w:r>
          </w:p>
        </w:tc>
        <w:tc>
          <w:tcPr>
            <w:tcW w:w="992" w:type="dxa"/>
            <w:tcBorders>
              <w:top w:val="nil"/>
              <w:left w:val="nil"/>
              <w:bottom w:val="nil"/>
              <w:right w:val="nil"/>
            </w:tcBorders>
            <w:shd w:val="clear" w:color="auto" w:fill="E5E5E5" w:themeFill="background1" w:themeFillTint="33"/>
            <w:vAlign w:val="center"/>
          </w:tcPr>
          <w:p w14:paraId="0B6C3ED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1.06</w:t>
            </w:r>
          </w:p>
        </w:tc>
        <w:tc>
          <w:tcPr>
            <w:tcW w:w="992" w:type="dxa"/>
            <w:tcBorders>
              <w:top w:val="nil"/>
              <w:left w:val="nil"/>
              <w:bottom w:val="nil"/>
              <w:right w:val="nil"/>
            </w:tcBorders>
            <w:shd w:val="clear" w:color="auto" w:fill="E5E5E5" w:themeFill="background1" w:themeFillTint="33"/>
            <w:vAlign w:val="center"/>
          </w:tcPr>
          <w:p w14:paraId="52B3C247"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1.20</w:t>
            </w:r>
          </w:p>
        </w:tc>
      </w:tr>
      <w:tr w:rsidR="00961617" w:rsidRPr="00545C7F" w14:paraId="7327F7CF" w14:textId="77777777" w:rsidTr="0020771F">
        <w:trPr>
          <w:trHeight w:val="340"/>
        </w:trPr>
        <w:tc>
          <w:tcPr>
            <w:tcW w:w="4644" w:type="dxa"/>
            <w:tcBorders>
              <w:top w:val="nil"/>
              <w:left w:val="nil"/>
              <w:bottom w:val="nil"/>
              <w:right w:val="nil"/>
            </w:tcBorders>
            <w:vAlign w:val="center"/>
          </w:tcPr>
          <w:p w14:paraId="54FA381B" w14:textId="77777777" w:rsidR="00961617" w:rsidRPr="00545C7F" w:rsidRDefault="00961617" w:rsidP="0020771F">
            <w:pPr>
              <w:rPr>
                <w:rFonts w:cstheme="minorHAnsi"/>
                <w:sz w:val="20"/>
                <w:szCs w:val="20"/>
              </w:rPr>
            </w:pPr>
            <w:r w:rsidRPr="00545C7F">
              <w:rPr>
                <w:rFonts w:cstheme="minorHAnsi"/>
                <w:sz w:val="20"/>
                <w:szCs w:val="20"/>
              </w:rPr>
              <w:t>Capacity to participate in the labour force: Part-time capacity</w:t>
            </w:r>
          </w:p>
        </w:tc>
        <w:tc>
          <w:tcPr>
            <w:tcW w:w="1134" w:type="dxa"/>
            <w:tcBorders>
              <w:top w:val="nil"/>
              <w:left w:val="nil"/>
              <w:bottom w:val="nil"/>
              <w:right w:val="nil"/>
            </w:tcBorders>
            <w:vAlign w:val="center"/>
          </w:tcPr>
          <w:p w14:paraId="1E4745E4"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1.29</w:t>
            </w:r>
          </w:p>
        </w:tc>
        <w:tc>
          <w:tcPr>
            <w:tcW w:w="993" w:type="dxa"/>
            <w:tcBorders>
              <w:top w:val="nil"/>
              <w:left w:val="nil"/>
              <w:bottom w:val="nil"/>
              <w:right w:val="nil"/>
            </w:tcBorders>
            <w:vAlign w:val="center"/>
          </w:tcPr>
          <w:p w14:paraId="2F510CC1"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1.50</w:t>
            </w:r>
          </w:p>
        </w:tc>
        <w:tc>
          <w:tcPr>
            <w:tcW w:w="992" w:type="dxa"/>
            <w:tcBorders>
              <w:top w:val="nil"/>
              <w:left w:val="nil"/>
              <w:bottom w:val="nil"/>
              <w:right w:val="nil"/>
            </w:tcBorders>
            <w:vAlign w:val="center"/>
          </w:tcPr>
          <w:p w14:paraId="5363022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1.87</w:t>
            </w:r>
          </w:p>
        </w:tc>
        <w:tc>
          <w:tcPr>
            <w:tcW w:w="992" w:type="dxa"/>
            <w:tcBorders>
              <w:top w:val="nil"/>
              <w:left w:val="nil"/>
              <w:bottom w:val="nil"/>
              <w:right w:val="nil"/>
            </w:tcBorders>
            <w:vAlign w:val="center"/>
          </w:tcPr>
          <w:p w14:paraId="1857962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2.26</w:t>
            </w:r>
          </w:p>
        </w:tc>
      </w:tr>
      <w:tr w:rsidR="00961617" w:rsidRPr="00545C7F" w14:paraId="04034479"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5F5AAF64" w14:textId="77777777" w:rsidR="00961617" w:rsidRPr="00545C7F" w:rsidRDefault="00961617" w:rsidP="0020771F">
            <w:pPr>
              <w:rPr>
                <w:rFonts w:cstheme="minorHAnsi"/>
                <w:sz w:val="20"/>
                <w:szCs w:val="20"/>
              </w:rPr>
            </w:pPr>
            <w:r w:rsidRPr="00545C7F">
              <w:rPr>
                <w:rFonts w:cstheme="minorHAnsi"/>
                <w:sz w:val="20"/>
                <w:szCs w:val="20"/>
              </w:rPr>
              <w:t>Participation requirement: Part time requirement</w:t>
            </w:r>
          </w:p>
        </w:tc>
        <w:tc>
          <w:tcPr>
            <w:tcW w:w="1134" w:type="dxa"/>
            <w:tcBorders>
              <w:top w:val="nil"/>
              <w:left w:val="nil"/>
              <w:bottom w:val="nil"/>
              <w:right w:val="nil"/>
            </w:tcBorders>
            <w:shd w:val="clear" w:color="auto" w:fill="E5E5E5" w:themeFill="background1" w:themeFillTint="33"/>
            <w:vAlign w:val="center"/>
          </w:tcPr>
          <w:p w14:paraId="35077E73"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0.66</w:t>
            </w:r>
          </w:p>
        </w:tc>
        <w:tc>
          <w:tcPr>
            <w:tcW w:w="993" w:type="dxa"/>
            <w:tcBorders>
              <w:top w:val="nil"/>
              <w:left w:val="nil"/>
              <w:bottom w:val="nil"/>
              <w:right w:val="nil"/>
            </w:tcBorders>
            <w:shd w:val="clear" w:color="auto" w:fill="E5E5E5" w:themeFill="background1" w:themeFillTint="33"/>
            <w:vAlign w:val="center"/>
          </w:tcPr>
          <w:p w14:paraId="7B8AC390"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0.71</w:t>
            </w:r>
          </w:p>
        </w:tc>
        <w:tc>
          <w:tcPr>
            <w:tcW w:w="992" w:type="dxa"/>
            <w:tcBorders>
              <w:top w:val="nil"/>
              <w:left w:val="nil"/>
              <w:bottom w:val="nil"/>
              <w:right w:val="nil"/>
            </w:tcBorders>
            <w:shd w:val="clear" w:color="auto" w:fill="E5E5E5" w:themeFill="background1" w:themeFillTint="33"/>
            <w:vAlign w:val="center"/>
          </w:tcPr>
          <w:p w14:paraId="157D579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0.87</w:t>
            </w:r>
          </w:p>
        </w:tc>
        <w:tc>
          <w:tcPr>
            <w:tcW w:w="992" w:type="dxa"/>
            <w:tcBorders>
              <w:top w:val="nil"/>
              <w:left w:val="nil"/>
              <w:bottom w:val="nil"/>
              <w:right w:val="nil"/>
            </w:tcBorders>
            <w:shd w:val="clear" w:color="auto" w:fill="E5E5E5" w:themeFill="background1" w:themeFillTint="33"/>
            <w:vAlign w:val="center"/>
          </w:tcPr>
          <w:p w14:paraId="0495DB1B"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0.66</w:t>
            </w:r>
          </w:p>
        </w:tc>
      </w:tr>
      <w:tr w:rsidR="00961617" w:rsidRPr="00545C7F" w14:paraId="1C0FA925" w14:textId="77777777" w:rsidTr="0020771F">
        <w:trPr>
          <w:trHeight w:val="340"/>
        </w:trPr>
        <w:tc>
          <w:tcPr>
            <w:tcW w:w="4644" w:type="dxa"/>
            <w:tcBorders>
              <w:top w:val="nil"/>
              <w:left w:val="nil"/>
              <w:bottom w:val="nil"/>
              <w:right w:val="nil"/>
            </w:tcBorders>
            <w:vAlign w:val="center"/>
          </w:tcPr>
          <w:p w14:paraId="0C668923" w14:textId="77777777" w:rsidR="00961617" w:rsidRPr="00545C7F" w:rsidRDefault="00961617" w:rsidP="0020771F">
            <w:pPr>
              <w:rPr>
                <w:rFonts w:cstheme="minorHAnsi"/>
                <w:sz w:val="20"/>
                <w:szCs w:val="20"/>
              </w:rPr>
            </w:pPr>
            <w:r w:rsidRPr="00545C7F">
              <w:rPr>
                <w:rFonts w:cstheme="minorHAnsi"/>
                <w:sz w:val="20"/>
                <w:szCs w:val="20"/>
              </w:rPr>
              <w:t>Participation requirement: Volunteer</w:t>
            </w:r>
          </w:p>
        </w:tc>
        <w:tc>
          <w:tcPr>
            <w:tcW w:w="1134" w:type="dxa"/>
            <w:tcBorders>
              <w:top w:val="nil"/>
              <w:left w:val="nil"/>
              <w:bottom w:val="nil"/>
              <w:right w:val="nil"/>
            </w:tcBorders>
            <w:vAlign w:val="center"/>
          </w:tcPr>
          <w:p w14:paraId="54A7B983"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2.11</w:t>
            </w:r>
          </w:p>
        </w:tc>
        <w:tc>
          <w:tcPr>
            <w:tcW w:w="993" w:type="dxa"/>
            <w:tcBorders>
              <w:top w:val="nil"/>
              <w:left w:val="nil"/>
              <w:bottom w:val="nil"/>
              <w:right w:val="nil"/>
            </w:tcBorders>
            <w:vAlign w:val="center"/>
          </w:tcPr>
          <w:p w14:paraId="4184C077"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1.96</w:t>
            </w:r>
          </w:p>
        </w:tc>
        <w:tc>
          <w:tcPr>
            <w:tcW w:w="992" w:type="dxa"/>
            <w:tcBorders>
              <w:top w:val="nil"/>
              <w:left w:val="nil"/>
              <w:bottom w:val="nil"/>
              <w:right w:val="nil"/>
            </w:tcBorders>
            <w:vAlign w:val="center"/>
          </w:tcPr>
          <w:p w14:paraId="1CD861F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2.27</w:t>
            </w:r>
          </w:p>
        </w:tc>
        <w:tc>
          <w:tcPr>
            <w:tcW w:w="992" w:type="dxa"/>
            <w:tcBorders>
              <w:top w:val="nil"/>
              <w:left w:val="nil"/>
              <w:bottom w:val="nil"/>
              <w:right w:val="nil"/>
            </w:tcBorders>
            <w:vAlign w:val="center"/>
          </w:tcPr>
          <w:p w14:paraId="3432CDD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1.49</w:t>
            </w:r>
          </w:p>
        </w:tc>
      </w:tr>
      <w:tr w:rsidR="00961617" w:rsidRPr="00545C7F" w14:paraId="53A0B820"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1FD8A378" w14:textId="77777777" w:rsidR="00961617" w:rsidRPr="00545C7F" w:rsidRDefault="00961617" w:rsidP="0020771F">
            <w:pPr>
              <w:rPr>
                <w:rFonts w:cstheme="minorHAnsi"/>
                <w:sz w:val="20"/>
                <w:szCs w:val="20"/>
              </w:rPr>
            </w:pPr>
            <w:r w:rsidRPr="00545C7F">
              <w:rPr>
                <w:rFonts w:cstheme="minorHAnsi"/>
                <w:sz w:val="20"/>
                <w:szCs w:val="20"/>
              </w:rPr>
              <w:t>Indigenous</w:t>
            </w:r>
          </w:p>
        </w:tc>
        <w:tc>
          <w:tcPr>
            <w:tcW w:w="1134" w:type="dxa"/>
            <w:tcBorders>
              <w:top w:val="nil"/>
              <w:left w:val="nil"/>
              <w:bottom w:val="nil"/>
              <w:right w:val="nil"/>
            </w:tcBorders>
            <w:shd w:val="clear" w:color="auto" w:fill="E5E5E5" w:themeFill="background1" w:themeFillTint="33"/>
            <w:vAlign w:val="center"/>
          </w:tcPr>
          <w:p w14:paraId="550400D1"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15A0440B"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0.90</w:t>
            </w:r>
          </w:p>
        </w:tc>
        <w:tc>
          <w:tcPr>
            <w:tcW w:w="992" w:type="dxa"/>
            <w:tcBorders>
              <w:top w:val="nil"/>
              <w:left w:val="nil"/>
              <w:bottom w:val="nil"/>
              <w:right w:val="nil"/>
            </w:tcBorders>
            <w:shd w:val="clear" w:color="auto" w:fill="E5E5E5" w:themeFill="background1" w:themeFillTint="33"/>
            <w:vAlign w:val="center"/>
          </w:tcPr>
          <w:p w14:paraId="405F25F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n.s.</w:t>
            </w:r>
          </w:p>
        </w:tc>
        <w:tc>
          <w:tcPr>
            <w:tcW w:w="992" w:type="dxa"/>
            <w:tcBorders>
              <w:top w:val="nil"/>
              <w:left w:val="nil"/>
              <w:bottom w:val="nil"/>
              <w:right w:val="nil"/>
            </w:tcBorders>
            <w:shd w:val="clear" w:color="auto" w:fill="E5E5E5" w:themeFill="background1" w:themeFillTint="33"/>
            <w:vAlign w:val="center"/>
          </w:tcPr>
          <w:p w14:paraId="1D40A257"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0.96</w:t>
            </w:r>
          </w:p>
        </w:tc>
      </w:tr>
      <w:tr w:rsidR="00961617" w:rsidRPr="00545C7F" w14:paraId="11EADD6A" w14:textId="77777777" w:rsidTr="0020771F">
        <w:trPr>
          <w:trHeight w:val="340"/>
        </w:trPr>
        <w:tc>
          <w:tcPr>
            <w:tcW w:w="4644" w:type="dxa"/>
            <w:tcBorders>
              <w:top w:val="nil"/>
              <w:left w:val="nil"/>
              <w:bottom w:val="nil"/>
              <w:right w:val="nil"/>
            </w:tcBorders>
            <w:vAlign w:val="center"/>
          </w:tcPr>
          <w:p w14:paraId="57C47944" w14:textId="77777777" w:rsidR="00961617" w:rsidRPr="00545C7F" w:rsidRDefault="00961617" w:rsidP="0020771F">
            <w:pPr>
              <w:rPr>
                <w:rFonts w:cstheme="minorHAnsi"/>
                <w:sz w:val="20"/>
                <w:szCs w:val="20"/>
              </w:rPr>
            </w:pPr>
            <w:r w:rsidRPr="00545C7F">
              <w:rPr>
                <w:rFonts w:cstheme="minorHAnsi"/>
                <w:sz w:val="20"/>
                <w:szCs w:val="20"/>
              </w:rPr>
              <w:t>Job seekers with a disability as identified by JCA/ESAt</w:t>
            </w:r>
          </w:p>
        </w:tc>
        <w:tc>
          <w:tcPr>
            <w:tcW w:w="1134" w:type="dxa"/>
            <w:tcBorders>
              <w:top w:val="nil"/>
              <w:left w:val="nil"/>
              <w:bottom w:val="nil"/>
              <w:right w:val="nil"/>
            </w:tcBorders>
            <w:vAlign w:val="center"/>
          </w:tcPr>
          <w:p w14:paraId="276D1725"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0.92</w:t>
            </w:r>
          </w:p>
        </w:tc>
        <w:tc>
          <w:tcPr>
            <w:tcW w:w="993" w:type="dxa"/>
            <w:tcBorders>
              <w:top w:val="nil"/>
              <w:left w:val="nil"/>
              <w:bottom w:val="nil"/>
              <w:right w:val="nil"/>
            </w:tcBorders>
            <w:vAlign w:val="center"/>
          </w:tcPr>
          <w:p w14:paraId="1F1DC06F"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1.18</w:t>
            </w:r>
          </w:p>
        </w:tc>
        <w:tc>
          <w:tcPr>
            <w:tcW w:w="992" w:type="dxa"/>
            <w:tcBorders>
              <w:top w:val="nil"/>
              <w:left w:val="nil"/>
              <w:bottom w:val="nil"/>
              <w:right w:val="nil"/>
            </w:tcBorders>
            <w:vAlign w:val="center"/>
          </w:tcPr>
          <w:p w14:paraId="536C1B92"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2.48</w:t>
            </w:r>
          </w:p>
        </w:tc>
        <w:tc>
          <w:tcPr>
            <w:tcW w:w="992" w:type="dxa"/>
            <w:tcBorders>
              <w:top w:val="nil"/>
              <w:left w:val="nil"/>
              <w:bottom w:val="nil"/>
              <w:right w:val="nil"/>
            </w:tcBorders>
            <w:vAlign w:val="center"/>
          </w:tcPr>
          <w:p w14:paraId="756A812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1.47</w:t>
            </w:r>
          </w:p>
        </w:tc>
      </w:tr>
      <w:tr w:rsidR="00961617" w:rsidRPr="00545C7F" w14:paraId="6A0A76BE"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7A3CF05D" w14:textId="77777777" w:rsidR="00961617" w:rsidRPr="00545C7F" w:rsidRDefault="00961617" w:rsidP="0020771F">
            <w:pPr>
              <w:rPr>
                <w:rFonts w:cstheme="minorHAnsi"/>
                <w:sz w:val="20"/>
                <w:szCs w:val="20"/>
              </w:rPr>
            </w:pPr>
            <w:r w:rsidRPr="00545C7F">
              <w:rPr>
                <w:rFonts w:cstheme="minorHAnsi"/>
                <w:sz w:val="20"/>
                <w:szCs w:val="20"/>
              </w:rPr>
              <w:t>Single Parents</w:t>
            </w:r>
          </w:p>
        </w:tc>
        <w:tc>
          <w:tcPr>
            <w:tcW w:w="1134" w:type="dxa"/>
            <w:tcBorders>
              <w:top w:val="nil"/>
              <w:left w:val="nil"/>
              <w:bottom w:val="nil"/>
              <w:right w:val="nil"/>
            </w:tcBorders>
            <w:shd w:val="clear" w:color="auto" w:fill="E5E5E5" w:themeFill="background1" w:themeFillTint="33"/>
            <w:vAlign w:val="center"/>
          </w:tcPr>
          <w:p w14:paraId="0EDE1D38"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0.58</w:t>
            </w:r>
          </w:p>
        </w:tc>
        <w:tc>
          <w:tcPr>
            <w:tcW w:w="993" w:type="dxa"/>
            <w:tcBorders>
              <w:top w:val="nil"/>
              <w:left w:val="nil"/>
              <w:bottom w:val="nil"/>
              <w:right w:val="nil"/>
            </w:tcBorders>
            <w:shd w:val="clear" w:color="auto" w:fill="E5E5E5" w:themeFill="background1" w:themeFillTint="33"/>
            <w:vAlign w:val="center"/>
          </w:tcPr>
          <w:p w14:paraId="7A13A384"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0.69</w:t>
            </w:r>
          </w:p>
        </w:tc>
        <w:tc>
          <w:tcPr>
            <w:tcW w:w="992" w:type="dxa"/>
            <w:tcBorders>
              <w:top w:val="nil"/>
              <w:left w:val="nil"/>
              <w:bottom w:val="nil"/>
              <w:right w:val="nil"/>
            </w:tcBorders>
            <w:shd w:val="clear" w:color="auto" w:fill="E5E5E5" w:themeFill="background1" w:themeFillTint="33"/>
            <w:vAlign w:val="center"/>
          </w:tcPr>
          <w:p w14:paraId="5E74E54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0.69</w:t>
            </w:r>
          </w:p>
        </w:tc>
        <w:tc>
          <w:tcPr>
            <w:tcW w:w="992" w:type="dxa"/>
            <w:tcBorders>
              <w:top w:val="nil"/>
              <w:left w:val="nil"/>
              <w:bottom w:val="nil"/>
              <w:right w:val="nil"/>
            </w:tcBorders>
            <w:shd w:val="clear" w:color="auto" w:fill="E5E5E5" w:themeFill="background1" w:themeFillTint="33"/>
            <w:vAlign w:val="center"/>
          </w:tcPr>
          <w:p w14:paraId="458DBFF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0.74</w:t>
            </w:r>
          </w:p>
        </w:tc>
      </w:tr>
      <w:tr w:rsidR="00961617" w:rsidRPr="00545C7F" w14:paraId="5ABEA62D" w14:textId="77777777" w:rsidTr="0020771F">
        <w:trPr>
          <w:trHeight w:val="340"/>
        </w:trPr>
        <w:tc>
          <w:tcPr>
            <w:tcW w:w="4644" w:type="dxa"/>
            <w:tcBorders>
              <w:top w:val="nil"/>
              <w:left w:val="nil"/>
              <w:bottom w:val="nil"/>
              <w:right w:val="nil"/>
            </w:tcBorders>
            <w:vAlign w:val="center"/>
          </w:tcPr>
          <w:p w14:paraId="2E7A3536" w14:textId="77777777" w:rsidR="00961617" w:rsidRPr="00545C7F" w:rsidRDefault="00961617" w:rsidP="0020771F">
            <w:pPr>
              <w:rPr>
                <w:rFonts w:cstheme="minorHAnsi"/>
                <w:sz w:val="20"/>
                <w:szCs w:val="20"/>
              </w:rPr>
            </w:pPr>
            <w:r w:rsidRPr="00545C7F">
              <w:rPr>
                <w:rFonts w:cstheme="minorHAnsi"/>
                <w:sz w:val="20"/>
                <w:szCs w:val="20"/>
              </w:rPr>
              <w:t>‘Grandfathered’ Parenting Payment recipients</w:t>
            </w:r>
          </w:p>
        </w:tc>
        <w:tc>
          <w:tcPr>
            <w:tcW w:w="1134" w:type="dxa"/>
            <w:tcBorders>
              <w:top w:val="nil"/>
              <w:left w:val="nil"/>
              <w:bottom w:val="nil"/>
              <w:right w:val="nil"/>
            </w:tcBorders>
            <w:vAlign w:val="center"/>
          </w:tcPr>
          <w:p w14:paraId="21581875"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0.77</w:t>
            </w:r>
          </w:p>
        </w:tc>
        <w:tc>
          <w:tcPr>
            <w:tcW w:w="993" w:type="dxa"/>
            <w:tcBorders>
              <w:top w:val="nil"/>
              <w:left w:val="nil"/>
              <w:bottom w:val="nil"/>
              <w:right w:val="nil"/>
            </w:tcBorders>
            <w:vAlign w:val="center"/>
          </w:tcPr>
          <w:p w14:paraId="4BAF110D"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n.s</w:t>
            </w:r>
          </w:p>
        </w:tc>
        <w:tc>
          <w:tcPr>
            <w:tcW w:w="992" w:type="dxa"/>
            <w:tcBorders>
              <w:top w:val="nil"/>
              <w:left w:val="nil"/>
              <w:bottom w:val="nil"/>
              <w:right w:val="nil"/>
            </w:tcBorders>
            <w:vAlign w:val="center"/>
          </w:tcPr>
          <w:p w14:paraId="162E03A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0.89</w:t>
            </w:r>
          </w:p>
        </w:tc>
        <w:tc>
          <w:tcPr>
            <w:tcW w:w="992" w:type="dxa"/>
            <w:tcBorders>
              <w:top w:val="nil"/>
              <w:left w:val="nil"/>
              <w:bottom w:val="nil"/>
              <w:right w:val="nil"/>
            </w:tcBorders>
            <w:vAlign w:val="center"/>
          </w:tcPr>
          <w:p w14:paraId="7E4FE98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0.90</w:t>
            </w:r>
          </w:p>
        </w:tc>
      </w:tr>
      <w:tr w:rsidR="00961617" w:rsidRPr="00545C7F" w14:paraId="379366B2"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5EF9E6C9" w14:textId="77777777" w:rsidR="00961617" w:rsidRPr="00545C7F" w:rsidRDefault="00961617" w:rsidP="0020771F">
            <w:pPr>
              <w:rPr>
                <w:rFonts w:cstheme="minorHAnsi"/>
                <w:sz w:val="20"/>
                <w:szCs w:val="20"/>
              </w:rPr>
            </w:pPr>
            <w:r w:rsidRPr="00545C7F">
              <w:rPr>
                <w:rFonts w:cstheme="minorHAnsi"/>
                <w:sz w:val="20"/>
                <w:szCs w:val="20"/>
              </w:rPr>
              <w:t>Ex-Offenders</w:t>
            </w:r>
          </w:p>
        </w:tc>
        <w:tc>
          <w:tcPr>
            <w:tcW w:w="1134" w:type="dxa"/>
            <w:tcBorders>
              <w:top w:val="nil"/>
              <w:left w:val="nil"/>
              <w:bottom w:val="nil"/>
              <w:right w:val="nil"/>
            </w:tcBorders>
            <w:shd w:val="clear" w:color="auto" w:fill="E5E5E5" w:themeFill="background1" w:themeFillTint="33"/>
            <w:vAlign w:val="center"/>
          </w:tcPr>
          <w:p w14:paraId="34179013"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06FF07B1"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0.92</w:t>
            </w:r>
          </w:p>
        </w:tc>
        <w:tc>
          <w:tcPr>
            <w:tcW w:w="992" w:type="dxa"/>
            <w:tcBorders>
              <w:top w:val="nil"/>
              <w:left w:val="nil"/>
              <w:bottom w:val="nil"/>
              <w:right w:val="nil"/>
            </w:tcBorders>
            <w:shd w:val="clear" w:color="auto" w:fill="E5E5E5" w:themeFill="background1" w:themeFillTint="33"/>
            <w:vAlign w:val="center"/>
          </w:tcPr>
          <w:p w14:paraId="00D6BC2A"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0.94</w:t>
            </w:r>
          </w:p>
        </w:tc>
        <w:tc>
          <w:tcPr>
            <w:tcW w:w="992" w:type="dxa"/>
            <w:tcBorders>
              <w:top w:val="nil"/>
              <w:left w:val="nil"/>
              <w:bottom w:val="nil"/>
              <w:right w:val="nil"/>
            </w:tcBorders>
            <w:shd w:val="clear" w:color="auto" w:fill="E5E5E5" w:themeFill="background1" w:themeFillTint="33"/>
            <w:vAlign w:val="center"/>
          </w:tcPr>
          <w:p w14:paraId="48FD46D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1.07</w:t>
            </w:r>
          </w:p>
        </w:tc>
      </w:tr>
      <w:tr w:rsidR="00961617" w:rsidRPr="00545C7F" w14:paraId="00B62F84" w14:textId="77777777" w:rsidTr="0020771F">
        <w:trPr>
          <w:trHeight w:val="340"/>
        </w:trPr>
        <w:tc>
          <w:tcPr>
            <w:tcW w:w="4644" w:type="dxa"/>
            <w:tcBorders>
              <w:top w:val="nil"/>
              <w:left w:val="nil"/>
              <w:bottom w:val="nil"/>
              <w:right w:val="nil"/>
            </w:tcBorders>
            <w:vAlign w:val="center"/>
          </w:tcPr>
          <w:p w14:paraId="2CD78FA2" w14:textId="77777777" w:rsidR="00961617" w:rsidRPr="00545C7F" w:rsidRDefault="00961617" w:rsidP="0020771F">
            <w:pPr>
              <w:rPr>
                <w:rFonts w:cstheme="minorHAnsi"/>
                <w:sz w:val="20"/>
                <w:szCs w:val="20"/>
              </w:rPr>
            </w:pPr>
            <w:r w:rsidRPr="00545C7F">
              <w:rPr>
                <w:rFonts w:cstheme="minorHAnsi"/>
                <w:sz w:val="20"/>
                <w:szCs w:val="20"/>
              </w:rPr>
              <w:t>Length of unemployment: 2 or more years</w:t>
            </w:r>
          </w:p>
        </w:tc>
        <w:tc>
          <w:tcPr>
            <w:tcW w:w="1134" w:type="dxa"/>
            <w:tcBorders>
              <w:top w:val="nil"/>
              <w:left w:val="nil"/>
              <w:bottom w:val="nil"/>
              <w:right w:val="nil"/>
            </w:tcBorders>
            <w:vAlign w:val="center"/>
          </w:tcPr>
          <w:p w14:paraId="64AE12F0"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0.83</w:t>
            </w:r>
          </w:p>
        </w:tc>
        <w:tc>
          <w:tcPr>
            <w:tcW w:w="993" w:type="dxa"/>
            <w:tcBorders>
              <w:top w:val="nil"/>
              <w:left w:val="nil"/>
              <w:bottom w:val="nil"/>
              <w:right w:val="nil"/>
            </w:tcBorders>
            <w:vAlign w:val="center"/>
          </w:tcPr>
          <w:p w14:paraId="05198045"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 .</w:t>
            </w:r>
          </w:p>
        </w:tc>
        <w:tc>
          <w:tcPr>
            <w:tcW w:w="992" w:type="dxa"/>
            <w:tcBorders>
              <w:top w:val="nil"/>
              <w:left w:val="nil"/>
              <w:bottom w:val="nil"/>
              <w:right w:val="nil"/>
            </w:tcBorders>
            <w:vAlign w:val="center"/>
          </w:tcPr>
          <w:p w14:paraId="3E5A8CF1"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0.81</w:t>
            </w:r>
          </w:p>
        </w:tc>
        <w:tc>
          <w:tcPr>
            <w:tcW w:w="992" w:type="dxa"/>
            <w:tcBorders>
              <w:top w:val="nil"/>
              <w:left w:val="nil"/>
              <w:bottom w:val="nil"/>
              <w:right w:val="nil"/>
            </w:tcBorders>
            <w:vAlign w:val="center"/>
          </w:tcPr>
          <w:p w14:paraId="32DDC40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 .</w:t>
            </w:r>
          </w:p>
        </w:tc>
      </w:tr>
      <w:tr w:rsidR="00961617" w:rsidRPr="00545C7F" w14:paraId="0D6CD679"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68498ECD" w14:textId="77777777" w:rsidR="00961617" w:rsidRPr="00545C7F" w:rsidRDefault="00961617" w:rsidP="0020771F">
            <w:pPr>
              <w:rPr>
                <w:rFonts w:cstheme="minorHAnsi"/>
                <w:sz w:val="20"/>
                <w:szCs w:val="20"/>
              </w:rPr>
            </w:pPr>
            <w:r w:rsidRPr="00545C7F">
              <w:rPr>
                <w:rFonts w:cstheme="minorHAnsi"/>
                <w:sz w:val="20"/>
                <w:szCs w:val="20"/>
              </w:rPr>
              <w:t>Length of unemployment: 2  to less than 5 years</w:t>
            </w:r>
          </w:p>
        </w:tc>
        <w:tc>
          <w:tcPr>
            <w:tcW w:w="1134" w:type="dxa"/>
            <w:tcBorders>
              <w:top w:val="nil"/>
              <w:left w:val="nil"/>
              <w:bottom w:val="nil"/>
              <w:right w:val="nil"/>
            </w:tcBorders>
            <w:shd w:val="clear" w:color="auto" w:fill="E5E5E5" w:themeFill="background1" w:themeFillTint="33"/>
            <w:vAlign w:val="center"/>
          </w:tcPr>
          <w:p w14:paraId="68F842FC"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 .</w:t>
            </w:r>
          </w:p>
        </w:tc>
        <w:tc>
          <w:tcPr>
            <w:tcW w:w="993" w:type="dxa"/>
            <w:tcBorders>
              <w:top w:val="nil"/>
              <w:left w:val="nil"/>
              <w:bottom w:val="nil"/>
              <w:right w:val="nil"/>
            </w:tcBorders>
            <w:shd w:val="clear" w:color="auto" w:fill="E5E5E5" w:themeFill="background1" w:themeFillTint="33"/>
            <w:vAlign w:val="center"/>
          </w:tcPr>
          <w:p w14:paraId="172EB429"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0.83</w:t>
            </w:r>
          </w:p>
        </w:tc>
        <w:tc>
          <w:tcPr>
            <w:tcW w:w="992" w:type="dxa"/>
            <w:tcBorders>
              <w:top w:val="nil"/>
              <w:left w:val="nil"/>
              <w:bottom w:val="nil"/>
              <w:right w:val="nil"/>
            </w:tcBorders>
            <w:shd w:val="clear" w:color="auto" w:fill="E5E5E5" w:themeFill="background1" w:themeFillTint="33"/>
            <w:vAlign w:val="center"/>
          </w:tcPr>
          <w:p w14:paraId="75C250F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 .</w:t>
            </w:r>
          </w:p>
        </w:tc>
        <w:tc>
          <w:tcPr>
            <w:tcW w:w="992" w:type="dxa"/>
            <w:tcBorders>
              <w:top w:val="nil"/>
              <w:left w:val="nil"/>
              <w:bottom w:val="nil"/>
              <w:right w:val="nil"/>
            </w:tcBorders>
            <w:shd w:val="clear" w:color="auto" w:fill="E5E5E5" w:themeFill="background1" w:themeFillTint="33"/>
            <w:vAlign w:val="center"/>
          </w:tcPr>
          <w:p w14:paraId="3AA9569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0.81</w:t>
            </w:r>
          </w:p>
        </w:tc>
      </w:tr>
      <w:tr w:rsidR="00961617" w:rsidRPr="00545C7F" w14:paraId="050C5E9A" w14:textId="77777777" w:rsidTr="0020771F">
        <w:trPr>
          <w:trHeight w:val="340"/>
        </w:trPr>
        <w:tc>
          <w:tcPr>
            <w:tcW w:w="4644" w:type="dxa"/>
            <w:tcBorders>
              <w:top w:val="nil"/>
              <w:left w:val="nil"/>
              <w:bottom w:val="nil"/>
              <w:right w:val="nil"/>
            </w:tcBorders>
            <w:vAlign w:val="center"/>
          </w:tcPr>
          <w:p w14:paraId="236CA917" w14:textId="77777777" w:rsidR="00961617" w:rsidRPr="00545C7F" w:rsidRDefault="00961617" w:rsidP="0020771F">
            <w:pPr>
              <w:rPr>
                <w:rFonts w:cstheme="minorHAnsi"/>
                <w:sz w:val="20"/>
                <w:szCs w:val="20"/>
              </w:rPr>
            </w:pPr>
            <w:r w:rsidRPr="00545C7F">
              <w:rPr>
                <w:rFonts w:cstheme="minorHAnsi"/>
                <w:sz w:val="20"/>
                <w:szCs w:val="20"/>
              </w:rPr>
              <w:t>Length of unemployment: 5 years or more</w:t>
            </w:r>
          </w:p>
        </w:tc>
        <w:tc>
          <w:tcPr>
            <w:tcW w:w="1134" w:type="dxa"/>
            <w:tcBorders>
              <w:top w:val="nil"/>
              <w:left w:val="nil"/>
              <w:bottom w:val="nil"/>
              <w:right w:val="nil"/>
            </w:tcBorders>
            <w:vAlign w:val="center"/>
          </w:tcPr>
          <w:p w14:paraId="1A9F95A0"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 .</w:t>
            </w:r>
          </w:p>
        </w:tc>
        <w:tc>
          <w:tcPr>
            <w:tcW w:w="993" w:type="dxa"/>
            <w:tcBorders>
              <w:top w:val="nil"/>
              <w:left w:val="nil"/>
              <w:bottom w:val="nil"/>
              <w:right w:val="nil"/>
            </w:tcBorders>
            <w:vAlign w:val="center"/>
          </w:tcPr>
          <w:p w14:paraId="773BCC6D"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0.62</w:t>
            </w:r>
          </w:p>
        </w:tc>
        <w:tc>
          <w:tcPr>
            <w:tcW w:w="992" w:type="dxa"/>
            <w:tcBorders>
              <w:top w:val="nil"/>
              <w:left w:val="nil"/>
              <w:bottom w:val="nil"/>
              <w:right w:val="nil"/>
            </w:tcBorders>
            <w:vAlign w:val="center"/>
          </w:tcPr>
          <w:p w14:paraId="4C1E5F5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 .</w:t>
            </w:r>
          </w:p>
        </w:tc>
        <w:tc>
          <w:tcPr>
            <w:tcW w:w="992" w:type="dxa"/>
            <w:tcBorders>
              <w:top w:val="nil"/>
              <w:left w:val="nil"/>
              <w:bottom w:val="nil"/>
              <w:right w:val="nil"/>
            </w:tcBorders>
            <w:vAlign w:val="center"/>
          </w:tcPr>
          <w:p w14:paraId="443D770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0.62</w:t>
            </w:r>
          </w:p>
        </w:tc>
      </w:tr>
      <w:tr w:rsidR="00961617" w:rsidRPr="00545C7F" w14:paraId="45B7454B"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4695F49D" w14:textId="77777777" w:rsidR="00961617" w:rsidRPr="00545C7F" w:rsidRDefault="00961617" w:rsidP="0020771F">
            <w:pPr>
              <w:rPr>
                <w:rFonts w:cstheme="minorHAnsi"/>
                <w:sz w:val="20"/>
                <w:szCs w:val="20"/>
              </w:rPr>
            </w:pPr>
            <w:r w:rsidRPr="00545C7F">
              <w:rPr>
                <w:rFonts w:cstheme="minorHAnsi"/>
                <w:sz w:val="20"/>
                <w:szCs w:val="20"/>
              </w:rPr>
              <w:t>Income support type: PPP/PPS</w:t>
            </w:r>
          </w:p>
        </w:tc>
        <w:tc>
          <w:tcPr>
            <w:tcW w:w="1134" w:type="dxa"/>
            <w:tcBorders>
              <w:top w:val="nil"/>
              <w:left w:val="nil"/>
              <w:bottom w:val="nil"/>
              <w:right w:val="nil"/>
            </w:tcBorders>
            <w:shd w:val="clear" w:color="auto" w:fill="E5E5E5" w:themeFill="background1" w:themeFillTint="33"/>
            <w:vAlign w:val="center"/>
          </w:tcPr>
          <w:p w14:paraId="01D60D7F"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1.80</w:t>
            </w:r>
          </w:p>
        </w:tc>
        <w:tc>
          <w:tcPr>
            <w:tcW w:w="993" w:type="dxa"/>
            <w:tcBorders>
              <w:top w:val="nil"/>
              <w:left w:val="nil"/>
              <w:bottom w:val="nil"/>
              <w:right w:val="nil"/>
            </w:tcBorders>
            <w:shd w:val="clear" w:color="auto" w:fill="E5E5E5" w:themeFill="background1" w:themeFillTint="33"/>
            <w:vAlign w:val="center"/>
          </w:tcPr>
          <w:p w14:paraId="0BD0682E"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1.71</w:t>
            </w:r>
          </w:p>
        </w:tc>
        <w:tc>
          <w:tcPr>
            <w:tcW w:w="992" w:type="dxa"/>
            <w:tcBorders>
              <w:top w:val="nil"/>
              <w:left w:val="nil"/>
              <w:bottom w:val="nil"/>
              <w:right w:val="nil"/>
            </w:tcBorders>
            <w:shd w:val="clear" w:color="auto" w:fill="E5E5E5" w:themeFill="background1" w:themeFillTint="33"/>
            <w:vAlign w:val="center"/>
          </w:tcPr>
          <w:p w14:paraId="5539522D"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1.72</w:t>
            </w:r>
          </w:p>
        </w:tc>
        <w:tc>
          <w:tcPr>
            <w:tcW w:w="992" w:type="dxa"/>
            <w:tcBorders>
              <w:top w:val="nil"/>
              <w:left w:val="nil"/>
              <w:bottom w:val="nil"/>
              <w:right w:val="nil"/>
            </w:tcBorders>
            <w:shd w:val="clear" w:color="auto" w:fill="E5E5E5" w:themeFill="background1" w:themeFillTint="33"/>
            <w:vAlign w:val="center"/>
          </w:tcPr>
          <w:p w14:paraId="1312724A"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2.50</w:t>
            </w:r>
          </w:p>
        </w:tc>
      </w:tr>
      <w:tr w:rsidR="00961617" w:rsidRPr="00545C7F" w14:paraId="015F8824" w14:textId="77777777" w:rsidTr="0020771F">
        <w:trPr>
          <w:trHeight w:val="340"/>
        </w:trPr>
        <w:tc>
          <w:tcPr>
            <w:tcW w:w="4644" w:type="dxa"/>
            <w:tcBorders>
              <w:top w:val="nil"/>
              <w:left w:val="nil"/>
              <w:bottom w:val="nil"/>
              <w:right w:val="nil"/>
            </w:tcBorders>
            <w:vAlign w:val="center"/>
          </w:tcPr>
          <w:p w14:paraId="22EA21DE" w14:textId="77777777" w:rsidR="00961617" w:rsidRPr="00545C7F" w:rsidRDefault="00961617" w:rsidP="0020771F">
            <w:pPr>
              <w:rPr>
                <w:rFonts w:cstheme="minorHAnsi"/>
                <w:sz w:val="20"/>
                <w:szCs w:val="20"/>
              </w:rPr>
            </w:pPr>
            <w:r w:rsidRPr="00545C7F">
              <w:rPr>
                <w:rFonts w:cstheme="minorHAnsi"/>
                <w:sz w:val="20"/>
                <w:szCs w:val="20"/>
              </w:rPr>
              <w:t>Income support type: Other income support type</w:t>
            </w:r>
          </w:p>
        </w:tc>
        <w:tc>
          <w:tcPr>
            <w:tcW w:w="1134" w:type="dxa"/>
            <w:tcBorders>
              <w:top w:val="nil"/>
              <w:left w:val="nil"/>
              <w:bottom w:val="nil"/>
              <w:right w:val="nil"/>
            </w:tcBorders>
            <w:vAlign w:val="center"/>
          </w:tcPr>
          <w:p w14:paraId="0B221067"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5.05</w:t>
            </w:r>
          </w:p>
        </w:tc>
        <w:tc>
          <w:tcPr>
            <w:tcW w:w="993" w:type="dxa"/>
            <w:tcBorders>
              <w:top w:val="nil"/>
              <w:left w:val="nil"/>
              <w:bottom w:val="nil"/>
              <w:right w:val="nil"/>
            </w:tcBorders>
            <w:vAlign w:val="center"/>
          </w:tcPr>
          <w:p w14:paraId="34DBEF39"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5.70</w:t>
            </w:r>
          </w:p>
        </w:tc>
        <w:tc>
          <w:tcPr>
            <w:tcW w:w="992" w:type="dxa"/>
            <w:tcBorders>
              <w:top w:val="nil"/>
              <w:left w:val="nil"/>
              <w:bottom w:val="nil"/>
              <w:right w:val="nil"/>
            </w:tcBorders>
            <w:vAlign w:val="center"/>
          </w:tcPr>
          <w:p w14:paraId="74753333"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7.74</w:t>
            </w:r>
          </w:p>
        </w:tc>
        <w:tc>
          <w:tcPr>
            <w:tcW w:w="992" w:type="dxa"/>
            <w:tcBorders>
              <w:top w:val="nil"/>
              <w:left w:val="nil"/>
              <w:bottom w:val="nil"/>
              <w:right w:val="nil"/>
            </w:tcBorders>
            <w:vAlign w:val="center"/>
          </w:tcPr>
          <w:p w14:paraId="4F3A0F08"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11.5</w:t>
            </w:r>
          </w:p>
        </w:tc>
      </w:tr>
      <w:tr w:rsidR="00961617" w:rsidRPr="00545C7F" w14:paraId="49DCB238"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48F68593" w14:textId="77777777" w:rsidR="00961617" w:rsidRPr="00545C7F" w:rsidRDefault="00961617" w:rsidP="0020771F">
            <w:pPr>
              <w:rPr>
                <w:rFonts w:cstheme="minorHAnsi"/>
                <w:sz w:val="20"/>
                <w:szCs w:val="20"/>
              </w:rPr>
            </w:pPr>
            <w:r w:rsidRPr="00545C7F">
              <w:rPr>
                <w:rFonts w:cstheme="minorHAnsi"/>
                <w:sz w:val="20"/>
                <w:szCs w:val="20"/>
              </w:rPr>
              <w:t>Income support type: No Income support type</w:t>
            </w:r>
          </w:p>
        </w:tc>
        <w:tc>
          <w:tcPr>
            <w:tcW w:w="1134" w:type="dxa"/>
            <w:tcBorders>
              <w:top w:val="nil"/>
              <w:left w:val="nil"/>
              <w:bottom w:val="nil"/>
              <w:right w:val="nil"/>
            </w:tcBorders>
            <w:shd w:val="clear" w:color="auto" w:fill="E5E5E5" w:themeFill="background1" w:themeFillTint="33"/>
            <w:vAlign w:val="center"/>
          </w:tcPr>
          <w:p w14:paraId="346F3098"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2.72</w:t>
            </w:r>
          </w:p>
        </w:tc>
        <w:tc>
          <w:tcPr>
            <w:tcW w:w="993" w:type="dxa"/>
            <w:tcBorders>
              <w:top w:val="nil"/>
              <w:left w:val="nil"/>
              <w:bottom w:val="nil"/>
              <w:right w:val="nil"/>
            </w:tcBorders>
            <w:shd w:val="clear" w:color="auto" w:fill="E5E5E5" w:themeFill="background1" w:themeFillTint="33"/>
            <w:vAlign w:val="center"/>
          </w:tcPr>
          <w:p w14:paraId="28A81482"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3.30</w:t>
            </w:r>
          </w:p>
        </w:tc>
        <w:tc>
          <w:tcPr>
            <w:tcW w:w="992" w:type="dxa"/>
            <w:tcBorders>
              <w:top w:val="nil"/>
              <w:left w:val="nil"/>
              <w:bottom w:val="nil"/>
              <w:right w:val="nil"/>
            </w:tcBorders>
            <w:shd w:val="clear" w:color="auto" w:fill="E5E5E5" w:themeFill="background1" w:themeFillTint="33"/>
            <w:vAlign w:val="center"/>
          </w:tcPr>
          <w:p w14:paraId="5327782C"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2.85</w:t>
            </w:r>
          </w:p>
        </w:tc>
        <w:tc>
          <w:tcPr>
            <w:tcW w:w="992" w:type="dxa"/>
            <w:tcBorders>
              <w:top w:val="nil"/>
              <w:left w:val="nil"/>
              <w:bottom w:val="nil"/>
              <w:right w:val="nil"/>
            </w:tcBorders>
            <w:shd w:val="clear" w:color="auto" w:fill="E5E5E5" w:themeFill="background1" w:themeFillTint="33"/>
            <w:vAlign w:val="center"/>
          </w:tcPr>
          <w:p w14:paraId="2C3A0BA0"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3.54</w:t>
            </w:r>
          </w:p>
        </w:tc>
      </w:tr>
      <w:tr w:rsidR="00961617" w:rsidRPr="00545C7F" w14:paraId="21B34EF2" w14:textId="77777777" w:rsidTr="0020771F">
        <w:trPr>
          <w:trHeight w:val="340"/>
        </w:trPr>
        <w:tc>
          <w:tcPr>
            <w:tcW w:w="4644" w:type="dxa"/>
            <w:tcBorders>
              <w:top w:val="nil"/>
              <w:left w:val="nil"/>
              <w:bottom w:val="nil"/>
              <w:right w:val="nil"/>
            </w:tcBorders>
            <w:vAlign w:val="center"/>
          </w:tcPr>
          <w:p w14:paraId="32ADF7EB" w14:textId="77777777" w:rsidR="00961617" w:rsidRPr="00545C7F" w:rsidRDefault="00961617" w:rsidP="0020771F">
            <w:pPr>
              <w:rPr>
                <w:rFonts w:cstheme="minorHAnsi"/>
                <w:sz w:val="20"/>
                <w:szCs w:val="20"/>
              </w:rPr>
            </w:pPr>
            <w:r w:rsidRPr="00545C7F">
              <w:rPr>
                <w:rFonts w:cstheme="minorHAnsi"/>
                <w:sz w:val="20"/>
                <w:szCs w:val="20"/>
              </w:rPr>
              <w:t>Geographic location: Inner Regional Australia</w:t>
            </w:r>
          </w:p>
        </w:tc>
        <w:tc>
          <w:tcPr>
            <w:tcW w:w="1134" w:type="dxa"/>
            <w:tcBorders>
              <w:top w:val="nil"/>
              <w:left w:val="nil"/>
              <w:bottom w:val="nil"/>
              <w:right w:val="nil"/>
            </w:tcBorders>
            <w:vAlign w:val="center"/>
          </w:tcPr>
          <w:p w14:paraId="570CC996"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0.90</w:t>
            </w:r>
          </w:p>
        </w:tc>
        <w:tc>
          <w:tcPr>
            <w:tcW w:w="993" w:type="dxa"/>
            <w:tcBorders>
              <w:top w:val="nil"/>
              <w:left w:val="nil"/>
              <w:bottom w:val="nil"/>
              <w:right w:val="nil"/>
            </w:tcBorders>
            <w:vAlign w:val="center"/>
          </w:tcPr>
          <w:p w14:paraId="209E69D1"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0.86</w:t>
            </w:r>
          </w:p>
        </w:tc>
        <w:tc>
          <w:tcPr>
            <w:tcW w:w="992" w:type="dxa"/>
            <w:tcBorders>
              <w:top w:val="nil"/>
              <w:left w:val="nil"/>
              <w:bottom w:val="nil"/>
              <w:right w:val="nil"/>
            </w:tcBorders>
            <w:vAlign w:val="center"/>
          </w:tcPr>
          <w:p w14:paraId="784E471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0.88</w:t>
            </w:r>
          </w:p>
        </w:tc>
        <w:tc>
          <w:tcPr>
            <w:tcW w:w="992" w:type="dxa"/>
            <w:tcBorders>
              <w:top w:val="nil"/>
              <w:left w:val="nil"/>
              <w:bottom w:val="nil"/>
              <w:right w:val="nil"/>
            </w:tcBorders>
            <w:vAlign w:val="center"/>
          </w:tcPr>
          <w:p w14:paraId="6E0A718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0.99</w:t>
            </w:r>
          </w:p>
        </w:tc>
      </w:tr>
      <w:tr w:rsidR="00961617" w:rsidRPr="00545C7F" w14:paraId="784026D4"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76E86537" w14:textId="77777777" w:rsidR="00961617" w:rsidRPr="00545C7F" w:rsidRDefault="00961617" w:rsidP="0020771F">
            <w:pPr>
              <w:rPr>
                <w:rFonts w:cstheme="minorHAnsi"/>
                <w:sz w:val="20"/>
                <w:szCs w:val="20"/>
              </w:rPr>
            </w:pPr>
            <w:r w:rsidRPr="00545C7F">
              <w:rPr>
                <w:rFonts w:cstheme="minorHAnsi"/>
                <w:sz w:val="20"/>
                <w:szCs w:val="20"/>
              </w:rPr>
              <w:t>Geographic location: Other</w:t>
            </w:r>
          </w:p>
        </w:tc>
        <w:tc>
          <w:tcPr>
            <w:tcW w:w="1134" w:type="dxa"/>
            <w:tcBorders>
              <w:top w:val="nil"/>
              <w:left w:val="nil"/>
              <w:bottom w:val="nil"/>
              <w:right w:val="nil"/>
            </w:tcBorders>
            <w:shd w:val="clear" w:color="auto" w:fill="E5E5E5" w:themeFill="background1" w:themeFillTint="33"/>
            <w:vAlign w:val="center"/>
          </w:tcPr>
          <w:p w14:paraId="4C7FDDE0"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0.87</w:t>
            </w:r>
          </w:p>
        </w:tc>
        <w:tc>
          <w:tcPr>
            <w:tcW w:w="993" w:type="dxa"/>
            <w:tcBorders>
              <w:top w:val="nil"/>
              <w:left w:val="nil"/>
              <w:bottom w:val="nil"/>
              <w:right w:val="nil"/>
            </w:tcBorders>
            <w:shd w:val="clear" w:color="auto" w:fill="E5E5E5" w:themeFill="background1" w:themeFillTint="33"/>
            <w:vAlign w:val="center"/>
          </w:tcPr>
          <w:p w14:paraId="606FAD9E"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0.85</w:t>
            </w:r>
          </w:p>
        </w:tc>
        <w:tc>
          <w:tcPr>
            <w:tcW w:w="992" w:type="dxa"/>
            <w:tcBorders>
              <w:top w:val="nil"/>
              <w:left w:val="nil"/>
              <w:bottom w:val="nil"/>
              <w:right w:val="nil"/>
            </w:tcBorders>
            <w:shd w:val="clear" w:color="auto" w:fill="E5E5E5" w:themeFill="background1" w:themeFillTint="33"/>
            <w:vAlign w:val="center"/>
          </w:tcPr>
          <w:p w14:paraId="37647F09"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0.90</w:t>
            </w:r>
          </w:p>
        </w:tc>
        <w:tc>
          <w:tcPr>
            <w:tcW w:w="992" w:type="dxa"/>
            <w:tcBorders>
              <w:top w:val="nil"/>
              <w:left w:val="nil"/>
              <w:bottom w:val="nil"/>
              <w:right w:val="nil"/>
            </w:tcBorders>
            <w:shd w:val="clear" w:color="auto" w:fill="E5E5E5" w:themeFill="background1" w:themeFillTint="33"/>
            <w:vAlign w:val="center"/>
          </w:tcPr>
          <w:p w14:paraId="256A40A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0.95</w:t>
            </w:r>
          </w:p>
        </w:tc>
      </w:tr>
      <w:tr w:rsidR="00961617" w:rsidRPr="00545C7F" w14:paraId="715C68EF" w14:textId="77777777" w:rsidTr="0020771F">
        <w:trPr>
          <w:trHeight w:val="340"/>
        </w:trPr>
        <w:tc>
          <w:tcPr>
            <w:tcW w:w="4644" w:type="dxa"/>
            <w:tcBorders>
              <w:top w:val="nil"/>
              <w:left w:val="nil"/>
              <w:bottom w:val="nil"/>
              <w:right w:val="nil"/>
            </w:tcBorders>
            <w:vAlign w:val="center"/>
          </w:tcPr>
          <w:p w14:paraId="501E8821" w14:textId="77777777" w:rsidR="00961617" w:rsidRPr="00545C7F" w:rsidRDefault="00961617" w:rsidP="0020771F">
            <w:pPr>
              <w:rPr>
                <w:rFonts w:cstheme="minorHAnsi"/>
                <w:sz w:val="20"/>
                <w:szCs w:val="20"/>
              </w:rPr>
            </w:pPr>
            <w:r w:rsidRPr="00545C7F">
              <w:rPr>
                <w:rFonts w:cstheme="minorHAnsi"/>
                <w:sz w:val="20"/>
                <w:szCs w:val="20"/>
              </w:rPr>
              <w:t>Recent work experience: Outside the labour force/Unpaid</w:t>
            </w:r>
          </w:p>
        </w:tc>
        <w:tc>
          <w:tcPr>
            <w:tcW w:w="1134" w:type="dxa"/>
            <w:tcBorders>
              <w:top w:val="nil"/>
              <w:left w:val="nil"/>
              <w:bottom w:val="nil"/>
              <w:right w:val="nil"/>
            </w:tcBorders>
            <w:vAlign w:val="center"/>
          </w:tcPr>
          <w:p w14:paraId="3E59303B"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0.86</w:t>
            </w:r>
          </w:p>
        </w:tc>
        <w:tc>
          <w:tcPr>
            <w:tcW w:w="993" w:type="dxa"/>
            <w:tcBorders>
              <w:top w:val="nil"/>
              <w:left w:val="nil"/>
              <w:bottom w:val="nil"/>
              <w:right w:val="nil"/>
            </w:tcBorders>
            <w:vAlign w:val="center"/>
          </w:tcPr>
          <w:p w14:paraId="7E9C23E4"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0.80</w:t>
            </w:r>
          </w:p>
        </w:tc>
        <w:tc>
          <w:tcPr>
            <w:tcW w:w="992" w:type="dxa"/>
            <w:tcBorders>
              <w:top w:val="nil"/>
              <w:left w:val="nil"/>
              <w:bottom w:val="nil"/>
              <w:right w:val="nil"/>
            </w:tcBorders>
            <w:vAlign w:val="center"/>
          </w:tcPr>
          <w:p w14:paraId="4719E793"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0.89</w:t>
            </w:r>
          </w:p>
        </w:tc>
        <w:tc>
          <w:tcPr>
            <w:tcW w:w="992" w:type="dxa"/>
            <w:tcBorders>
              <w:top w:val="nil"/>
              <w:left w:val="nil"/>
              <w:bottom w:val="nil"/>
              <w:right w:val="nil"/>
            </w:tcBorders>
            <w:vAlign w:val="center"/>
          </w:tcPr>
          <w:p w14:paraId="47D5D515"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0.89</w:t>
            </w:r>
          </w:p>
        </w:tc>
      </w:tr>
      <w:tr w:rsidR="00961617" w:rsidRPr="00545C7F" w14:paraId="04958AF1"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01327EA8" w14:textId="77777777" w:rsidR="00961617" w:rsidRPr="00545C7F" w:rsidRDefault="00961617" w:rsidP="0020771F">
            <w:pPr>
              <w:rPr>
                <w:rFonts w:cstheme="minorHAnsi"/>
                <w:sz w:val="20"/>
                <w:szCs w:val="20"/>
              </w:rPr>
            </w:pPr>
            <w:r w:rsidRPr="00545C7F">
              <w:rPr>
                <w:rFonts w:cstheme="minorHAnsi"/>
                <w:sz w:val="20"/>
                <w:szCs w:val="20"/>
              </w:rPr>
              <w:t>Recent work experience: Unemployed</w:t>
            </w:r>
          </w:p>
        </w:tc>
        <w:tc>
          <w:tcPr>
            <w:tcW w:w="1134" w:type="dxa"/>
            <w:tcBorders>
              <w:top w:val="nil"/>
              <w:left w:val="nil"/>
              <w:bottom w:val="nil"/>
              <w:right w:val="nil"/>
            </w:tcBorders>
            <w:shd w:val="clear" w:color="auto" w:fill="E5E5E5" w:themeFill="background1" w:themeFillTint="33"/>
            <w:vAlign w:val="center"/>
          </w:tcPr>
          <w:p w14:paraId="0931A0D1"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0.85</w:t>
            </w:r>
          </w:p>
        </w:tc>
        <w:tc>
          <w:tcPr>
            <w:tcW w:w="993" w:type="dxa"/>
            <w:tcBorders>
              <w:top w:val="nil"/>
              <w:left w:val="nil"/>
              <w:bottom w:val="nil"/>
              <w:right w:val="nil"/>
            </w:tcBorders>
            <w:shd w:val="clear" w:color="auto" w:fill="E5E5E5" w:themeFill="background1" w:themeFillTint="33"/>
            <w:vAlign w:val="center"/>
          </w:tcPr>
          <w:p w14:paraId="4FF324BA"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0.81</w:t>
            </w:r>
          </w:p>
        </w:tc>
        <w:tc>
          <w:tcPr>
            <w:tcW w:w="992" w:type="dxa"/>
            <w:tcBorders>
              <w:top w:val="nil"/>
              <w:left w:val="nil"/>
              <w:bottom w:val="nil"/>
              <w:right w:val="nil"/>
            </w:tcBorders>
            <w:shd w:val="clear" w:color="auto" w:fill="E5E5E5" w:themeFill="background1" w:themeFillTint="33"/>
            <w:vAlign w:val="center"/>
          </w:tcPr>
          <w:p w14:paraId="3DD4DEC1"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0.88</w:t>
            </w:r>
          </w:p>
        </w:tc>
        <w:tc>
          <w:tcPr>
            <w:tcW w:w="992" w:type="dxa"/>
            <w:tcBorders>
              <w:top w:val="nil"/>
              <w:left w:val="nil"/>
              <w:bottom w:val="nil"/>
              <w:right w:val="nil"/>
            </w:tcBorders>
            <w:shd w:val="clear" w:color="auto" w:fill="E5E5E5" w:themeFill="background1" w:themeFillTint="33"/>
            <w:vAlign w:val="center"/>
          </w:tcPr>
          <w:p w14:paraId="2A7278EB"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0.85</w:t>
            </w:r>
          </w:p>
        </w:tc>
      </w:tr>
      <w:tr w:rsidR="00961617" w:rsidRPr="00545C7F" w14:paraId="6F878065" w14:textId="77777777" w:rsidTr="0020771F">
        <w:trPr>
          <w:trHeight w:val="340"/>
        </w:trPr>
        <w:tc>
          <w:tcPr>
            <w:tcW w:w="4644" w:type="dxa"/>
            <w:tcBorders>
              <w:top w:val="nil"/>
              <w:left w:val="nil"/>
              <w:bottom w:val="nil"/>
              <w:right w:val="nil"/>
            </w:tcBorders>
            <w:vAlign w:val="center"/>
          </w:tcPr>
          <w:p w14:paraId="78000289" w14:textId="77777777" w:rsidR="00961617" w:rsidRPr="00545C7F" w:rsidRDefault="00961617" w:rsidP="0020771F">
            <w:pPr>
              <w:rPr>
                <w:rFonts w:cstheme="minorHAnsi"/>
                <w:sz w:val="20"/>
                <w:szCs w:val="20"/>
              </w:rPr>
            </w:pPr>
            <w:r w:rsidRPr="00545C7F">
              <w:rPr>
                <w:rFonts w:cstheme="minorHAnsi"/>
                <w:sz w:val="20"/>
                <w:szCs w:val="20"/>
              </w:rPr>
              <w:t>Personal factors: High Impact</w:t>
            </w:r>
          </w:p>
        </w:tc>
        <w:tc>
          <w:tcPr>
            <w:tcW w:w="1134" w:type="dxa"/>
            <w:tcBorders>
              <w:top w:val="nil"/>
              <w:left w:val="nil"/>
              <w:bottom w:val="nil"/>
              <w:right w:val="nil"/>
            </w:tcBorders>
            <w:vAlign w:val="center"/>
          </w:tcPr>
          <w:p w14:paraId="336E2A72"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0.70</w:t>
            </w:r>
          </w:p>
        </w:tc>
        <w:tc>
          <w:tcPr>
            <w:tcW w:w="993" w:type="dxa"/>
            <w:tcBorders>
              <w:top w:val="nil"/>
              <w:left w:val="nil"/>
              <w:bottom w:val="nil"/>
              <w:right w:val="nil"/>
            </w:tcBorders>
            <w:vAlign w:val="center"/>
          </w:tcPr>
          <w:p w14:paraId="245F27D0"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1.08</w:t>
            </w:r>
          </w:p>
        </w:tc>
        <w:tc>
          <w:tcPr>
            <w:tcW w:w="992" w:type="dxa"/>
            <w:tcBorders>
              <w:top w:val="nil"/>
              <w:left w:val="nil"/>
              <w:bottom w:val="nil"/>
              <w:right w:val="nil"/>
            </w:tcBorders>
            <w:vAlign w:val="center"/>
          </w:tcPr>
          <w:p w14:paraId="71872C94"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1.16</w:t>
            </w:r>
          </w:p>
        </w:tc>
        <w:tc>
          <w:tcPr>
            <w:tcW w:w="992" w:type="dxa"/>
            <w:tcBorders>
              <w:top w:val="nil"/>
              <w:left w:val="nil"/>
              <w:bottom w:val="nil"/>
              <w:right w:val="nil"/>
            </w:tcBorders>
            <w:vAlign w:val="center"/>
          </w:tcPr>
          <w:p w14:paraId="69C617AF"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0.86</w:t>
            </w:r>
          </w:p>
        </w:tc>
      </w:tr>
      <w:tr w:rsidR="00961617" w:rsidRPr="00545C7F" w14:paraId="5F8AC467"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3C558B24" w14:textId="77777777" w:rsidR="00961617" w:rsidRPr="00545C7F" w:rsidRDefault="00961617" w:rsidP="0020771F">
            <w:pPr>
              <w:rPr>
                <w:rFonts w:cstheme="minorHAnsi"/>
                <w:sz w:val="20"/>
                <w:szCs w:val="20"/>
              </w:rPr>
            </w:pPr>
            <w:r w:rsidRPr="00545C7F">
              <w:rPr>
                <w:rFonts w:cstheme="minorHAnsi"/>
                <w:sz w:val="20"/>
                <w:szCs w:val="20"/>
              </w:rPr>
              <w:t>Personal factors: Medium Impact</w:t>
            </w:r>
          </w:p>
        </w:tc>
        <w:tc>
          <w:tcPr>
            <w:tcW w:w="1134" w:type="dxa"/>
            <w:tcBorders>
              <w:top w:val="nil"/>
              <w:left w:val="nil"/>
              <w:bottom w:val="nil"/>
              <w:right w:val="nil"/>
            </w:tcBorders>
            <w:shd w:val="clear" w:color="auto" w:fill="E5E5E5" w:themeFill="background1" w:themeFillTint="33"/>
            <w:vAlign w:val="center"/>
          </w:tcPr>
          <w:p w14:paraId="38C7C603"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0.88</w:t>
            </w:r>
          </w:p>
        </w:tc>
        <w:tc>
          <w:tcPr>
            <w:tcW w:w="993" w:type="dxa"/>
            <w:tcBorders>
              <w:top w:val="nil"/>
              <w:left w:val="nil"/>
              <w:bottom w:val="nil"/>
              <w:right w:val="nil"/>
            </w:tcBorders>
            <w:shd w:val="clear" w:color="auto" w:fill="E5E5E5" w:themeFill="background1" w:themeFillTint="33"/>
            <w:vAlign w:val="center"/>
          </w:tcPr>
          <w:p w14:paraId="63042413"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1.09</w:t>
            </w:r>
          </w:p>
        </w:tc>
        <w:tc>
          <w:tcPr>
            <w:tcW w:w="992" w:type="dxa"/>
            <w:tcBorders>
              <w:top w:val="nil"/>
              <w:left w:val="nil"/>
              <w:bottom w:val="nil"/>
              <w:right w:val="nil"/>
            </w:tcBorders>
            <w:shd w:val="clear" w:color="auto" w:fill="E5E5E5" w:themeFill="background1" w:themeFillTint="33"/>
            <w:vAlign w:val="center"/>
          </w:tcPr>
          <w:p w14:paraId="30E8D594"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1.14</w:t>
            </w:r>
          </w:p>
        </w:tc>
        <w:tc>
          <w:tcPr>
            <w:tcW w:w="992" w:type="dxa"/>
            <w:tcBorders>
              <w:top w:val="nil"/>
              <w:left w:val="nil"/>
              <w:bottom w:val="nil"/>
              <w:right w:val="nil"/>
            </w:tcBorders>
            <w:shd w:val="clear" w:color="auto" w:fill="E5E5E5" w:themeFill="background1" w:themeFillTint="33"/>
            <w:vAlign w:val="center"/>
          </w:tcPr>
          <w:p w14:paraId="6F565F16"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0.98</w:t>
            </w:r>
          </w:p>
        </w:tc>
      </w:tr>
      <w:tr w:rsidR="00961617" w:rsidRPr="00545C7F" w14:paraId="526E10DE" w14:textId="77777777" w:rsidTr="0020771F">
        <w:trPr>
          <w:trHeight w:val="340"/>
        </w:trPr>
        <w:tc>
          <w:tcPr>
            <w:tcW w:w="4644" w:type="dxa"/>
            <w:tcBorders>
              <w:top w:val="nil"/>
              <w:left w:val="nil"/>
              <w:bottom w:val="nil"/>
              <w:right w:val="nil"/>
            </w:tcBorders>
            <w:vAlign w:val="center"/>
          </w:tcPr>
          <w:p w14:paraId="699D9588" w14:textId="77777777" w:rsidR="00961617" w:rsidRPr="00545C7F" w:rsidRDefault="00961617" w:rsidP="0020771F">
            <w:pPr>
              <w:rPr>
                <w:rFonts w:cstheme="minorHAnsi"/>
                <w:sz w:val="20"/>
                <w:szCs w:val="20"/>
              </w:rPr>
            </w:pPr>
            <w:r w:rsidRPr="00545C7F">
              <w:rPr>
                <w:rFonts w:cstheme="minorHAnsi"/>
                <w:sz w:val="20"/>
                <w:szCs w:val="20"/>
              </w:rPr>
              <w:t>Personal factors: Low Impact</w:t>
            </w:r>
          </w:p>
        </w:tc>
        <w:tc>
          <w:tcPr>
            <w:tcW w:w="1134" w:type="dxa"/>
            <w:tcBorders>
              <w:top w:val="nil"/>
              <w:left w:val="nil"/>
              <w:bottom w:val="nil"/>
              <w:right w:val="nil"/>
            </w:tcBorders>
            <w:vAlign w:val="center"/>
          </w:tcPr>
          <w:p w14:paraId="5D7E74BF"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0.95</w:t>
            </w:r>
          </w:p>
        </w:tc>
        <w:tc>
          <w:tcPr>
            <w:tcW w:w="993" w:type="dxa"/>
            <w:tcBorders>
              <w:top w:val="nil"/>
              <w:left w:val="nil"/>
              <w:bottom w:val="nil"/>
              <w:right w:val="nil"/>
            </w:tcBorders>
            <w:vAlign w:val="center"/>
          </w:tcPr>
          <w:p w14:paraId="5751A445"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1.11</w:t>
            </w:r>
          </w:p>
        </w:tc>
        <w:tc>
          <w:tcPr>
            <w:tcW w:w="992" w:type="dxa"/>
            <w:tcBorders>
              <w:top w:val="nil"/>
              <w:left w:val="nil"/>
              <w:bottom w:val="nil"/>
              <w:right w:val="nil"/>
            </w:tcBorders>
            <w:vAlign w:val="center"/>
          </w:tcPr>
          <w:p w14:paraId="7217BF95"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1.11</w:t>
            </w:r>
          </w:p>
        </w:tc>
        <w:tc>
          <w:tcPr>
            <w:tcW w:w="992" w:type="dxa"/>
            <w:tcBorders>
              <w:top w:val="nil"/>
              <w:left w:val="nil"/>
              <w:bottom w:val="nil"/>
              <w:right w:val="nil"/>
            </w:tcBorders>
            <w:vAlign w:val="center"/>
          </w:tcPr>
          <w:p w14:paraId="141DB323"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0.98</w:t>
            </w:r>
          </w:p>
        </w:tc>
      </w:tr>
      <w:tr w:rsidR="00961617" w:rsidRPr="00545C7F" w14:paraId="031A5ED8"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6389F59B" w14:textId="77777777" w:rsidR="00961617" w:rsidRPr="00545C7F" w:rsidRDefault="00961617" w:rsidP="0020771F">
            <w:pPr>
              <w:rPr>
                <w:rFonts w:cstheme="minorHAnsi"/>
                <w:sz w:val="20"/>
                <w:szCs w:val="20"/>
              </w:rPr>
            </w:pPr>
            <w:r w:rsidRPr="00545C7F">
              <w:rPr>
                <w:rFonts w:cstheme="minorHAnsi"/>
                <w:sz w:val="20"/>
                <w:szCs w:val="20"/>
              </w:rPr>
              <w:t>Personal factors: Other</w:t>
            </w:r>
          </w:p>
        </w:tc>
        <w:tc>
          <w:tcPr>
            <w:tcW w:w="1134" w:type="dxa"/>
            <w:tcBorders>
              <w:top w:val="nil"/>
              <w:left w:val="nil"/>
              <w:bottom w:val="nil"/>
              <w:right w:val="nil"/>
            </w:tcBorders>
            <w:shd w:val="clear" w:color="auto" w:fill="E5E5E5" w:themeFill="background1" w:themeFillTint="33"/>
            <w:vAlign w:val="center"/>
          </w:tcPr>
          <w:p w14:paraId="3EA016CC" w14:textId="77777777" w:rsidR="00961617" w:rsidRPr="00545C7F" w:rsidRDefault="00961617" w:rsidP="0020771F">
            <w:pPr>
              <w:pStyle w:val="tabletextright"/>
              <w:ind w:right="258"/>
              <w:rPr>
                <w:rFonts w:cstheme="minorHAnsi"/>
                <w:sz w:val="20"/>
                <w:szCs w:val="20"/>
              </w:rPr>
            </w:pPr>
            <w:r w:rsidRPr="00545C7F">
              <w:rPr>
                <w:rFonts w:cstheme="minorHAnsi"/>
                <w:sz w:val="20"/>
                <w:szCs w:val="20"/>
              </w:rPr>
              <w:t>0.98</w:t>
            </w:r>
          </w:p>
        </w:tc>
        <w:tc>
          <w:tcPr>
            <w:tcW w:w="993" w:type="dxa"/>
            <w:tcBorders>
              <w:top w:val="nil"/>
              <w:left w:val="nil"/>
              <w:bottom w:val="nil"/>
              <w:right w:val="nil"/>
            </w:tcBorders>
            <w:shd w:val="clear" w:color="auto" w:fill="E5E5E5" w:themeFill="background1" w:themeFillTint="33"/>
            <w:vAlign w:val="center"/>
          </w:tcPr>
          <w:p w14:paraId="1E9761A2" w14:textId="77777777" w:rsidR="00961617" w:rsidRPr="00545C7F" w:rsidRDefault="00961617" w:rsidP="0020771F">
            <w:pPr>
              <w:pStyle w:val="tabletextright"/>
              <w:ind w:right="145"/>
              <w:rPr>
                <w:rFonts w:cstheme="minorHAnsi"/>
                <w:sz w:val="20"/>
                <w:szCs w:val="20"/>
              </w:rPr>
            </w:pPr>
            <w:r w:rsidRPr="00545C7F">
              <w:rPr>
                <w:rFonts w:cstheme="minorHAnsi"/>
                <w:sz w:val="20"/>
                <w:szCs w:val="20"/>
              </w:rPr>
              <w:t>1.04</w:t>
            </w:r>
          </w:p>
        </w:tc>
        <w:tc>
          <w:tcPr>
            <w:tcW w:w="992" w:type="dxa"/>
            <w:tcBorders>
              <w:top w:val="nil"/>
              <w:left w:val="nil"/>
              <w:bottom w:val="nil"/>
              <w:right w:val="nil"/>
            </w:tcBorders>
            <w:shd w:val="clear" w:color="auto" w:fill="E5E5E5" w:themeFill="background1" w:themeFillTint="33"/>
            <w:vAlign w:val="center"/>
          </w:tcPr>
          <w:p w14:paraId="30894F4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1.01</w:t>
            </w:r>
          </w:p>
        </w:tc>
        <w:tc>
          <w:tcPr>
            <w:tcW w:w="992" w:type="dxa"/>
            <w:tcBorders>
              <w:top w:val="nil"/>
              <w:left w:val="nil"/>
              <w:bottom w:val="nil"/>
              <w:right w:val="nil"/>
            </w:tcBorders>
            <w:shd w:val="clear" w:color="auto" w:fill="E5E5E5" w:themeFill="background1" w:themeFillTint="33"/>
            <w:vAlign w:val="center"/>
          </w:tcPr>
          <w:p w14:paraId="1EB439CE" w14:textId="77777777" w:rsidR="00961617" w:rsidRPr="00545C7F" w:rsidRDefault="00961617" w:rsidP="0020771F">
            <w:pPr>
              <w:pStyle w:val="tabletextright"/>
              <w:ind w:right="146"/>
              <w:rPr>
                <w:rFonts w:cstheme="minorHAnsi"/>
                <w:sz w:val="20"/>
                <w:szCs w:val="20"/>
              </w:rPr>
            </w:pPr>
            <w:r w:rsidRPr="00545C7F">
              <w:rPr>
                <w:rFonts w:cstheme="minorHAnsi"/>
                <w:sz w:val="20"/>
                <w:szCs w:val="20"/>
              </w:rPr>
              <w:t>0.96</w:t>
            </w:r>
          </w:p>
        </w:tc>
      </w:tr>
      <w:tr w:rsidR="00961617" w:rsidRPr="00545C7F" w14:paraId="0BDCDDE3" w14:textId="77777777" w:rsidTr="0020771F">
        <w:trPr>
          <w:trHeight w:val="340"/>
        </w:trPr>
        <w:tc>
          <w:tcPr>
            <w:tcW w:w="4644" w:type="dxa"/>
            <w:tcBorders>
              <w:top w:val="nil"/>
              <w:left w:val="nil"/>
              <w:bottom w:val="nil"/>
              <w:right w:val="nil"/>
            </w:tcBorders>
            <w:vAlign w:val="center"/>
          </w:tcPr>
          <w:p w14:paraId="25B53121"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Country of birth: Medium disadvantage</w:t>
            </w:r>
          </w:p>
        </w:tc>
        <w:tc>
          <w:tcPr>
            <w:tcW w:w="1134" w:type="dxa"/>
            <w:tcBorders>
              <w:top w:val="nil"/>
              <w:left w:val="nil"/>
              <w:bottom w:val="nil"/>
              <w:right w:val="nil"/>
            </w:tcBorders>
            <w:vAlign w:val="center"/>
          </w:tcPr>
          <w:p w14:paraId="332A7C5C"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1.04</w:t>
            </w:r>
          </w:p>
        </w:tc>
        <w:tc>
          <w:tcPr>
            <w:tcW w:w="993" w:type="dxa"/>
            <w:tcBorders>
              <w:top w:val="nil"/>
              <w:left w:val="nil"/>
              <w:bottom w:val="nil"/>
              <w:right w:val="nil"/>
            </w:tcBorders>
            <w:vAlign w:val="center"/>
          </w:tcPr>
          <w:p w14:paraId="7FF196D5"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1.08</w:t>
            </w:r>
          </w:p>
        </w:tc>
        <w:tc>
          <w:tcPr>
            <w:tcW w:w="992" w:type="dxa"/>
            <w:tcBorders>
              <w:top w:val="nil"/>
              <w:left w:val="nil"/>
              <w:bottom w:val="nil"/>
              <w:right w:val="nil"/>
            </w:tcBorders>
            <w:vAlign w:val="center"/>
          </w:tcPr>
          <w:p w14:paraId="7234592B"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1.27</w:t>
            </w:r>
          </w:p>
        </w:tc>
        <w:tc>
          <w:tcPr>
            <w:tcW w:w="992" w:type="dxa"/>
            <w:tcBorders>
              <w:top w:val="nil"/>
              <w:left w:val="nil"/>
              <w:bottom w:val="nil"/>
              <w:right w:val="nil"/>
            </w:tcBorders>
            <w:vAlign w:val="center"/>
          </w:tcPr>
          <w:p w14:paraId="5D4DC71F"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1.18</w:t>
            </w:r>
          </w:p>
        </w:tc>
      </w:tr>
      <w:tr w:rsidR="00961617" w:rsidRPr="00545C7F" w14:paraId="5D800D8F"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3338F6FA"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Country of birth: High/very high disadvantage</w:t>
            </w:r>
          </w:p>
        </w:tc>
        <w:tc>
          <w:tcPr>
            <w:tcW w:w="1134" w:type="dxa"/>
            <w:tcBorders>
              <w:top w:val="nil"/>
              <w:left w:val="nil"/>
              <w:bottom w:val="nil"/>
              <w:right w:val="nil"/>
            </w:tcBorders>
            <w:shd w:val="clear" w:color="auto" w:fill="E5E5E5" w:themeFill="background1" w:themeFillTint="33"/>
            <w:vAlign w:val="center"/>
          </w:tcPr>
          <w:p w14:paraId="2B67A06D"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0.92</w:t>
            </w:r>
          </w:p>
        </w:tc>
        <w:tc>
          <w:tcPr>
            <w:tcW w:w="993" w:type="dxa"/>
            <w:tcBorders>
              <w:top w:val="nil"/>
              <w:left w:val="nil"/>
              <w:bottom w:val="nil"/>
              <w:right w:val="nil"/>
            </w:tcBorders>
            <w:shd w:val="clear" w:color="auto" w:fill="E5E5E5" w:themeFill="background1" w:themeFillTint="33"/>
            <w:vAlign w:val="center"/>
          </w:tcPr>
          <w:p w14:paraId="418233A3"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0.97</w:t>
            </w:r>
          </w:p>
        </w:tc>
        <w:tc>
          <w:tcPr>
            <w:tcW w:w="992" w:type="dxa"/>
            <w:tcBorders>
              <w:top w:val="nil"/>
              <w:left w:val="nil"/>
              <w:bottom w:val="nil"/>
              <w:right w:val="nil"/>
            </w:tcBorders>
            <w:shd w:val="clear" w:color="auto" w:fill="E5E5E5" w:themeFill="background1" w:themeFillTint="33"/>
            <w:vAlign w:val="center"/>
          </w:tcPr>
          <w:p w14:paraId="3B03DD57"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1.09</w:t>
            </w:r>
          </w:p>
        </w:tc>
        <w:tc>
          <w:tcPr>
            <w:tcW w:w="992" w:type="dxa"/>
            <w:tcBorders>
              <w:top w:val="nil"/>
              <w:left w:val="nil"/>
              <w:bottom w:val="nil"/>
              <w:right w:val="nil"/>
            </w:tcBorders>
            <w:shd w:val="clear" w:color="auto" w:fill="E5E5E5" w:themeFill="background1" w:themeFillTint="33"/>
            <w:vAlign w:val="center"/>
          </w:tcPr>
          <w:p w14:paraId="1E4F2661"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1.23</w:t>
            </w:r>
          </w:p>
        </w:tc>
      </w:tr>
      <w:tr w:rsidR="00961617" w:rsidRPr="00545C7F" w14:paraId="003049FE" w14:textId="77777777" w:rsidTr="0020771F">
        <w:trPr>
          <w:trHeight w:val="340"/>
        </w:trPr>
        <w:tc>
          <w:tcPr>
            <w:tcW w:w="4644" w:type="dxa"/>
            <w:tcBorders>
              <w:top w:val="nil"/>
              <w:left w:val="nil"/>
              <w:bottom w:val="nil"/>
              <w:right w:val="nil"/>
            </w:tcBorders>
            <w:vAlign w:val="center"/>
          </w:tcPr>
          <w:p w14:paraId="14951B3E"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Phone: Contactable</w:t>
            </w:r>
          </w:p>
        </w:tc>
        <w:tc>
          <w:tcPr>
            <w:tcW w:w="1134" w:type="dxa"/>
            <w:tcBorders>
              <w:top w:val="nil"/>
              <w:left w:val="nil"/>
              <w:bottom w:val="nil"/>
              <w:right w:val="nil"/>
            </w:tcBorders>
            <w:vAlign w:val="center"/>
          </w:tcPr>
          <w:p w14:paraId="3742C967"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0.76</w:t>
            </w:r>
          </w:p>
        </w:tc>
        <w:tc>
          <w:tcPr>
            <w:tcW w:w="993" w:type="dxa"/>
            <w:tcBorders>
              <w:top w:val="nil"/>
              <w:left w:val="nil"/>
              <w:bottom w:val="nil"/>
              <w:right w:val="nil"/>
            </w:tcBorders>
            <w:vAlign w:val="center"/>
          </w:tcPr>
          <w:p w14:paraId="183550E2"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0.9</w:t>
            </w:r>
          </w:p>
        </w:tc>
        <w:tc>
          <w:tcPr>
            <w:tcW w:w="992" w:type="dxa"/>
            <w:tcBorders>
              <w:top w:val="nil"/>
              <w:left w:val="nil"/>
              <w:bottom w:val="nil"/>
              <w:right w:val="nil"/>
            </w:tcBorders>
            <w:vAlign w:val="center"/>
          </w:tcPr>
          <w:p w14:paraId="506CA71F"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0.86</w:t>
            </w:r>
          </w:p>
        </w:tc>
        <w:tc>
          <w:tcPr>
            <w:tcW w:w="992" w:type="dxa"/>
            <w:tcBorders>
              <w:top w:val="nil"/>
              <w:left w:val="nil"/>
              <w:bottom w:val="nil"/>
              <w:right w:val="nil"/>
            </w:tcBorders>
            <w:vAlign w:val="center"/>
          </w:tcPr>
          <w:p w14:paraId="735432DD"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n.s.</w:t>
            </w:r>
          </w:p>
        </w:tc>
      </w:tr>
      <w:tr w:rsidR="00961617" w:rsidRPr="00545C7F" w14:paraId="0FA21962"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57933292"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Vocational qualifications: Useful vocational qualifications</w:t>
            </w:r>
          </w:p>
        </w:tc>
        <w:tc>
          <w:tcPr>
            <w:tcW w:w="1134" w:type="dxa"/>
            <w:tcBorders>
              <w:top w:val="nil"/>
              <w:left w:val="nil"/>
              <w:bottom w:val="nil"/>
              <w:right w:val="nil"/>
            </w:tcBorders>
            <w:shd w:val="clear" w:color="auto" w:fill="E5E5E5" w:themeFill="background1" w:themeFillTint="33"/>
            <w:vAlign w:val="center"/>
          </w:tcPr>
          <w:p w14:paraId="4507E5B4"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5B040A5F"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0.96</w:t>
            </w:r>
          </w:p>
        </w:tc>
        <w:tc>
          <w:tcPr>
            <w:tcW w:w="992" w:type="dxa"/>
            <w:tcBorders>
              <w:top w:val="nil"/>
              <w:left w:val="nil"/>
              <w:bottom w:val="nil"/>
              <w:right w:val="nil"/>
            </w:tcBorders>
            <w:shd w:val="clear" w:color="auto" w:fill="E5E5E5" w:themeFill="background1" w:themeFillTint="33"/>
            <w:vAlign w:val="center"/>
          </w:tcPr>
          <w:p w14:paraId="450ED280"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n.s.</w:t>
            </w:r>
          </w:p>
        </w:tc>
        <w:tc>
          <w:tcPr>
            <w:tcW w:w="992" w:type="dxa"/>
            <w:tcBorders>
              <w:top w:val="nil"/>
              <w:left w:val="nil"/>
              <w:bottom w:val="nil"/>
              <w:right w:val="nil"/>
            </w:tcBorders>
            <w:shd w:val="clear" w:color="auto" w:fill="E5E5E5" w:themeFill="background1" w:themeFillTint="33"/>
            <w:vAlign w:val="center"/>
          </w:tcPr>
          <w:p w14:paraId="64AE593B"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0.93</w:t>
            </w:r>
          </w:p>
        </w:tc>
      </w:tr>
      <w:tr w:rsidR="00961617" w:rsidRPr="00545C7F" w14:paraId="7BCDAC35" w14:textId="77777777" w:rsidTr="0020771F">
        <w:trPr>
          <w:trHeight w:val="340"/>
        </w:trPr>
        <w:tc>
          <w:tcPr>
            <w:tcW w:w="4644" w:type="dxa"/>
            <w:tcBorders>
              <w:top w:val="nil"/>
              <w:left w:val="nil"/>
              <w:bottom w:val="nil"/>
              <w:right w:val="nil"/>
            </w:tcBorders>
            <w:vAlign w:val="center"/>
          </w:tcPr>
          <w:p w14:paraId="58B47C1F"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Regional disadvantage: Very low disadvantage ESA</w:t>
            </w:r>
          </w:p>
        </w:tc>
        <w:tc>
          <w:tcPr>
            <w:tcW w:w="1134" w:type="dxa"/>
            <w:tcBorders>
              <w:top w:val="nil"/>
              <w:left w:val="nil"/>
              <w:bottom w:val="nil"/>
              <w:right w:val="nil"/>
            </w:tcBorders>
            <w:vAlign w:val="center"/>
          </w:tcPr>
          <w:p w14:paraId="1F0AA1F5"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75F3EEAB"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1.02</w:t>
            </w:r>
          </w:p>
        </w:tc>
        <w:tc>
          <w:tcPr>
            <w:tcW w:w="992" w:type="dxa"/>
            <w:tcBorders>
              <w:top w:val="nil"/>
              <w:left w:val="nil"/>
              <w:bottom w:val="nil"/>
              <w:right w:val="nil"/>
            </w:tcBorders>
            <w:vAlign w:val="center"/>
          </w:tcPr>
          <w:p w14:paraId="2A181EF1"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0.93</w:t>
            </w:r>
          </w:p>
        </w:tc>
        <w:tc>
          <w:tcPr>
            <w:tcW w:w="992" w:type="dxa"/>
            <w:tcBorders>
              <w:top w:val="nil"/>
              <w:left w:val="nil"/>
              <w:bottom w:val="nil"/>
              <w:right w:val="nil"/>
            </w:tcBorders>
            <w:vAlign w:val="center"/>
          </w:tcPr>
          <w:p w14:paraId="7A67D119"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0.98</w:t>
            </w:r>
          </w:p>
        </w:tc>
      </w:tr>
      <w:tr w:rsidR="00961617" w:rsidRPr="00545C7F" w14:paraId="05B69C30"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1C545E79"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Regional disadvantage: Moderate to high disadvantage ESA</w:t>
            </w:r>
          </w:p>
        </w:tc>
        <w:tc>
          <w:tcPr>
            <w:tcW w:w="1134" w:type="dxa"/>
            <w:tcBorders>
              <w:top w:val="nil"/>
              <w:left w:val="nil"/>
              <w:bottom w:val="nil"/>
              <w:right w:val="nil"/>
            </w:tcBorders>
            <w:shd w:val="clear" w:color="auto" w:fill="E5E5E5" w:themeFill="background1" w:themeFillTint="33"/>
            <w:vAlign w:val="center"/>
          </w:tcPr>
          <w:p w14:paraId="6BB90D1D"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shd w:val="clear" w:color="auto" w:fill="E5E5E5" w:themeFill="background1" w:themeFillTint="33"/>
            <w:vAlign w:val="center"/>
          </w:tcPr>
          <w:p w14:paraId="3539047A"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1.00</w:t>
            </w:r>
          </w:p>
        </w:tc>
        <w:tc>
          <w:tcPr>
            <w:tcW w:w="992" w:type="dxa"/>
            <w:tcBorders>
              <w:top w:val="nil"/>
              <w:left w:val="nil"/>
              <w:bottom w:val="nil"/>
              <w:right w:val="nil"/>
            </w:tcBorders>
            <w:shd w:val="clear" w:color="auto" w:fill="E5E5E5" w:themeFill="background1" w:themeFillTint="33"/>
            <w:vAlign w:val="center"/>
          </w:tcPr>
          <w:p w14:paraId="676D885F"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1.01</w:t>
            </w:r>
          </w:p>
        </w:tc>
        <w:tc>
          <w:tcPr>
            <w:tcW w:w="992" w:type="dxa"/>
            <w:tcBorders>
              <w:top w:val="nil"/>
              <w:left w:val="nil"/>
              <w:bottom w:val="nil"/>
              <w:right w:val="nil"/>
            </w:tcBorders>
            <w:shd w:val="clear" w:color="auto" w:fill="E5E5E5" w:themeFill="background1" w:themeFillTint="33"/>
            <w:vAlign w:val="center"/>
          </w:tcPr>
          <w:p w14:paraId="70158C5C"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0.97</w:t>
            </w:r>
          </w:p>
        </w:tc>
      </w:tr>
      <w:tr w:rsidR="00961617" w:rsidRPr="00545C7F" w14:paraId="6190A40E" w14:textId="77777777" w:rsidTr="0020771F">
        <w:trPr>
          <w:trHeight w:val="340"/>
        </w:trPr>
        <w:tc>
          <w:tcPr>
            <w:tcW w:w="4644" w:type="dxa"/>
            <w:tcBorders>
              <w:top w:val="nil"/>
              <w:left w:val="nil"/>
              <w:bottom w:val="nil"/>
              <w:right w:val="nil"/>
            </w:tcBorders>
            <w:vAlign w:val="center"/>
          </w:tcPr>
          <w:p w14:paraId="49928D2B"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Regional disadvantage: High/very high/ extreme disadvantage ESA</w:t>
            </w:r>
          </w:p>
        </w:tc>
        <w:tc>
          <w:tcPr>
            <w:tcW w:w="1134" w:type="dxa"/>
            <w:tcBorders>
              <w:top w:val="nil"/>
              <w:left w:val="nil"/>
              <w:bottom w:val="nil"/>
              <w:right w:val="nil"/>
            </w:tcBorders>
            <w:vAlign w:val="center"/>
          </w:tcPr>
          <w:p w14:paraId="163E7926"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n.s.</w:t>
            </w:r>
          </w:p>
        </w:tc>
        <w:tc>
          <w:tcPr>
            <w:tcW w:w="993" w:type="dxa"/>
            <w:tcBorders>
              <w:top w:val="nil"/>
              <w:left w:val="nil"/>
              <w:bottom w:val="nil"/>
              <w:right w:val="nil"/>
            </w:tcBorders>
            <w:vAlign w:val="center"/>
          </w:tcPr>
          <w:p w14:paraId="75BA6810"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1.05</w:t>
            </w:r>
          </w:p>
        </w:tc>
        <w:tc>
          <w:tcPr>
            <w:tcW w:w="992" w:type="dxa"/>
            <w:tcBorders>
              <w:top w:val="nil"/>
              <w:left w:val="nil"/>
              <w:bottom w:val="nil"/>
              <w:right w:val="nil"/>
            </w:tcBorders>
            <w:vAlign w:val="center"/>
          </w:tcPr>
          <w:p w14:paraId="0B373609"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0.97</w:t>
            </w:r>
          </w:p>
        </w:tc>
        <w:tc>
          <w:tcPr>
            <w:tcW w:w="992" w:type="dxa"/>
            <w:tcBorders>
              <w:top w:val="nil"/>
              <w:left w:val="nil"/>
              <w:bottom w:val="nil"/>
              <w:right w:val="nil"/>
            </w:tcBorders>
            <w:vAlign w:val="center"/>
          </w:tcPr>
          <w:p w14:paraId="6020B36F"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0.95</w:t>
            </w:r>
          </w:p>
        </w:tc>
      </w:tr>
      <w:tr w:rsidR="00961617" w:rsidRPr="00545C7F" w14:paraId="4AE97B27" w14:textId="77777777" w:rsidTr="0020771F">
        <w:trPr>
          <w:trHeight w:val="340"/>
        </w:trPr>
        <w:tc>
          <w:tcPr>
            <w:tcW w:w="4644" w:type="dxa"/>
            <w:tcBorders>
              <w:top w:val="nil"/>
              <w:left w:val="nil"/>
              <w:bottom w:val="nil"/>
              <w:right w:val="nil"/>
            </w:tcBorders>
            <w:shd w:val="clear" w:color="auto" w:fill="E5E5E5" w:themeFill="background1" w:themeFillTint="33"/>
            <w:vAlign w:val="center"/>
          </w:tcPr>
          <w:p w14:paraId="04F29B29"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Access to transport: Public</w:t>
            </w:r>
          </w:p>
        </w:tc>
        <w:tc>
          <w:tcPr>
            <w:tcW w:w="1134" w:type="dxa"/>
            <w:tcBorders>
              <w:top w:val="nil"/>
              <w:left w:val="nil"/>
              <w:bottom w:val="nil"/>
              <w:right w:val="nil"/>
            </w:tcBorders>
            <w:shd w:val="clear" w:color="auto" w:fill="E5E5E5" w:themeFill="background1" w:themeFillTint="33"/>
            <w:vAlign w:val="center"/>
          </w:tcPr>
          <w:p w14:paraId="6A3720D9"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0.75</w:t>
            </w:r>
          </w:p>
        </w:tc>
        <w:tc>
          <w:tcPr>
            <w:tcW w:w="993" w:type="dxa"/>
            <w:tcBorders>
              <w:top w:val="nil"/>
              <w:left w:val="nil"/>
              <w:bottom w:val="nil"/>
              <w:right w:val="nil"/>
            </w:tcBorders>
            <w:shd w:val="clear" w:color="auto" w:fill="E5E5E5" w:themeFill="background1" w:themeFillTint="33"/>
            <w:vAlign w:val="center"/>
          </w:tcPr>
          <w:p w14:paraId="5FF4246F"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0.76</w:t>
            </w:r>
          </w:p>
        </w:tc>
        <w:tc>
          <w:tcPr>
            <w:tcW w:w="992" w:type="dxa"/>
            <w:tcBorders>
              <w:top w:val="nil"/>
              <w:left w:val="nil"/>
              <w:bottom w:val="nil"/>
              <w:right w:val="nil"/>
            </w:tcBorders>
            <w:shd w:val="clear" w:color="auto" w:fill="E5E5E5" w:themeFill="background1" w:themeFillTint="33"/>
            <w:vAlign w:val="center"/>
          </w:tcPr>
          <w:p w14:paraId="34269CFA"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0.77</w:t>
            </w:r>
          </w:p>
        </w:tc>
        <w:tc>
          <w:tcPr>
            <w:tcW w:w="992" w:type="dxa"/>
            <w:tcBorders>
              <w:top w:val="nil"/>
              <w:left w:val="nil"/>
              <w:bottom w:val="nil"/>
              <w:right w:val="nil"/>
            </w:tcBorders>
            <w:shd w:val="clear" w:color="auto" w:fill="E5E5E5" w:themeFill="background1" w:themeFillTint="33"/>
            <w:vAlign w:val="center"/>
          </w:tcPr>
          <w:p w14:paraId="4860F6D1"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0.83</w:t>
            </w:r>
          </w:p>
        </w:tc>
      </w:tr>
      <w:tr w:rsidR="00961617" w:rsidRPr="00545C7F" w14:paraId="4534BE6A" w14:textId="77777777" w:rsidTr="0020771F">
        <w:trPr>
          <w:trHeight w:val="340"/>
        </w:trPr>
        <w:tc>
          <w:tcPr>
            <w:tcW w:w="4644" w:type="dxa"/>
            <w:tcBorders>
              <w:top w:val="nil"/>
              <w:left w:val="nil"/>
              <w:bottom w:val="nil"/>
              <w:right w:val="nil"/>
            </w:tcBorders>
            <w:vAlign w:val="center"/>
          </w:tcPr>
          <w:p w14:paraId="7A266F17"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Access to transport: Other</w:t>
            </w:r>
          </w:p>
        </w:tc>
        <w:tc>
          <w:tcPr>
            <w:tcW w:w="1134" w:type="dxa"/>
            <w:tcBorders>
              <w:top w:val="nil"/>
              <w:left w:val="nil"/>
              <w:bottom w:val="nil"/>
              <w:right w:val="nil"/>
            </w:tcBorders>
            <w:vAlign w:val="center"/>
          </w:tcPr>
          <w:p w14:paraId="2F80C316"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0.86</w:t>
            </w:r>
          </w:p>
        </w:tc>
        <w:tc>
          <w:tcPr>
            <w:tcW w:w="993" w:type="dxa"/>
            <w:tcBorders>
              <w:top w:val="nil"/>
              <w:left w:val="nil"/>
              <w:bottom w:val="nil"/>
              <w:right w:val="nil"/>
            </w:tcBorders>
            <w:vAlign w:val="center"/>
          </w:tcPr>
          <w:p w14:paraId="79C8F509"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0.86</w:t>
            </w:r>
          </w:p>
        </w:tc>
        <w:tc>
          <w:tcPr>
            <w:tcW w:w="992" w:type="dxa"/>
            <w:tcBorders>
              <w:top w:val="nil"/>
              <w:left w:val="nil"/>
              <w:bottom w:val="nil"/>
              <w:right w:val="nil"/>
            </w:tcBorders>
            <w:vAlign w:val="center"/>
          </w:tcPr>
          <w:p w14:paraId="2D6D5681"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0.88</w:t>
            </w:r>
          </w:p>
        </w:tc>
        <w:tc>
          <w:tcPr>
            <w:tcW w:w="992" w:type="dxa"/>
            <w:tcBorders>
              <w:top w:val="nil"/>
              <w:left w:val="nil"/>
              <w:bottom w:val="nil"/>
              <w:right w:val="nil"/>
            </w:tcBorders>
            <w:vAlign w:val="center"/>
          </w:tcPr>
          <w:p w14:paraId="569C4CA2"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0.86</w:t>
            </w:r>
          </w:p>
        </w:tc>
      </w:tr>
      <w:tr w:rsidR="00961617" w:rsidRPr="00545C7F" w14:paraId="6A1B94B2" w14:textId="77777777" w:rsidTr="0020771F">
        <w:trPr>
          <w:trHeight w:val="340"/>
        </w:trPr>
        <w:tc>
          <w:tcPr>
            <w:tcW w:w="4644" w:type="dxa"/>
            <w:tcBorders>
              <w:top w:val="nil"/>
              <w:left w:val="nil"/>
              <w:bottom w:val="single" w:sz="4" w:space="0" w:color="auto"/>
              <w:right w:val="nil"/>
            </w:tcBorders>
            <w:shd w:val="clear" w:color="auto" w:fill="E5E5E5" w:themeFill="background1" w:themeFillTint="33"/>
            <w:vAlign w:val="center"/>
          </w:tcPr>
          <w:p w14:paraId="1379C100" w14:textId="77777777" w:rsidR="00961617" w:rsidRPr="00545C7F" w:rsidRDefault="00961617" w:rsidP="0020771F">
            <w:pPr>
              <w:pStyle w:val="tabletextslim"/>
              <w:spacing w:before="0"/>
              <w:ind w:right="93"/>
              <w:jc w:val="left"/>
              <w:rPr>
                <w:rFonts w:cstheme="minorHAnsi"/>
                <w:sz w:val="20"/>
                <w:szCs w:val="20"/>
              </w:rPr>
            </w:pPr>
            <w:r w:rsidRPr="00545C7F">
              <w:rPr>
                <w:rFonts w:cstheme="minorHAnsi"/>
                <w:sz w:val="20"/>
                <w:szCs w:val="20"/>
              </w:rPr>
              <w:t>Access to transport: None</w:t>
            </w:r>
          </w:p>
        </w:tc>
        <w:tc>
          <w:tcPr>
            <w:tcW w:w="1134" w:type="dxa"/>
            <w:tcBorders>
              <w:top w:val="nil"/>
              <w:left w:val="nil"/>
              <w:bottom w:val="single" w:sz="4" w:space="0" w:color="auto"/>
              <w:right w:val="nil"/>
            </w:tcBorders>
            <w:shd w:val="clear" w:color="auto" w:fill="E5E5E5" w:themeFill="background1" w:themeFillTint="33"/>
            <w:vAlign w:val="center"/>
          </w:tcPr>
          <w:p w14:paraId="40EDE455" w14:textId="77777777" w:rsidR="00961617" w:rsidRPr="00545C7F" w:rsidRDefault="00961617" w:rsidP="0020771F">
            <w:pPr>
              <w:pStyle w:val="tabletextslim"/>
              <w:spacing w:before="0"/>
              <w:ind w:right="258"/>
              <w:rPr>
                <w:rFonts w:cstheme="minorHAnsi"/>
                <w:sz w:val="20"/>
                <w:szCs w:val="20"/>
              </w:rPr>
            </w:pPr>
            <w:r w:rsidRPr="00545C7F">
              <w:rPr>
                <w:rFonts w:cstheme="minorHAnsi"/>
                <w:sz w:val="20"/>
                <w:szCs w:val="20"/>
              </w:rPr>
              <w:t xml:space="preserve">0.74 </w:t>
            </w:r>
          </w:p>
        </w:tc>
        <w:tc>
          <w:tcPr>
            <w:tcW w:w="993" w:type="dxa"/>
            <w:tcBorders>
              <w:top w:val="nil"/>
              <w:left w:val="nil"/>
              <w:bottom w:val="single" w:sz="4" w:space="0" w:color="auto"/>
              <w:right w:val="nil"/>
            </w:tcBorders>
            <w:shd w:val="clear" w:color="auto" w:fill="E5E5E5" w:themeFill="background1" w:themeFillTint="33"/>
            <w:vAlign w:val="center"/>
          </w:tcPr>
          <w:p w14:paraId="015D67BA" w14:textId="77777777" w:rsidR="00961617" w:rsidRPr="00545C7F" w:rsidRDefault="00961617" w:rsidP="0020771F">
            <w:pPr>
              <w:pStyle w:val="tabletextslim"/>
              <w:spacing w:before="0"/>
              <w:ind w:right="145"/>
              <w:rPr>
                <w:rFonts w:cstheme="minorHAnsi"/>
                <w:sz w:val="20"/>
                <w:szCs w:val="20"/>
              </w:rPr>
            </w:pPr>
            <w:r w:rsidRPr="00545C7F">
              <w:rPr>
                <w:rFonts w:cstheme="minorHAnsi"/>
                <w:sz w:val="20"/>
                <w:szCs w:val="20"/>
              </w:rPr>
              <w:t>0.72</w:t>
            </w:r>
          </w:p>
        </w:tc>
        <w:tc>
          <w:tcPr>
            <w:tcW w:w="992" w:type="dxa"/>
            <w:tcBorders>
              <w:top w:val="nil"/>
              <w:left w:val="nil"/>
              <w:bottom w:val="single" w:sz="4" w:space="0" w:color="auto"/>
              <w:right w:val="nil"/>
            </w:tcBorders>
            <w:shd w:val="clear" w:color="auto" w:fill="E5E5E5" w:themeFill="background1" w:themeFillTint="33"/>
            <w:vAlign w:val="center"/>
          </w:tcPr>
          <w:p w14:paraId="7760EBB0"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0.80</w:t>
            </w:r>
          </w:p>
        </w:tc>
        <w:tc>
          <w:tcPr>
            <w:tcW w:w="992" w:type="dxa"/>
            <w:tcBorders>
              <w:top w:val="nil"/>
              <w:left w:val="nil"/>
              <w:bottom w:val="single" w:sz="4" w:space="0" w:color="auto"/>
              <w:right w:val="nil"/>
            </w:tcBorders>
            <w:shd w:val="clear" w:color="auto" w:fill="E5E5E5" w:themeFill="background1" w:themeFillTint="33"/>
            <w:vAlign w:val="center"/>
          </w:tcPr>
          <w:p w14:paraId="5C3EA3B7" w14:textId="77777777" w:rsidR="00961617" w:rsidRPr="00545C7F" w:rsidRDefault="00961617" w:rsidP="0020771F">
            <w:pPr>
              <w:pStyle w:val="tabletextslim"/>
              <w:spacing w:before="0"/>
              <w:ind w:right="146"/>
              <w:rPr>
                <w:rFonts w:cstheme="minorHAnsi"/>
                <w:sz w:val="20"/>
                <w:szCs w:val="20"/>
              </w:rPr>
            </w:pPr>
            <w:r w:rsidRPr="00545C7F">
              <w:rPr>
                <w:rFonts w:cstheme="minorHAnsi"/>
                <w:sz w:val="20"/>
                <w:szCs w:val="20"/>
              </w:rPr>
              <w:t>0.84</w:t>
            </w:r>
          </w:p>
        </w:tc>
      </w:tr>
    </w:tbl>
    <w:p w14:paraId="3F245C1D" w14:textId="77777777" w:rsidR="00961617" w:rsidRPr="002F5864" w:rsidRDefault="00961617" w:rsidP="00E5413A">
      <w:pPr>
        <w:pStyle w:val="Notesnumbered"/>
      </w:pPr>
      <w:r w:rsidRPr="002F5864">
        <w:t>..</w:t>
      </w:r>
      <w:r w:rsidRPr="002F5864">
        <w:tab/>
        <w:t>Not calculated, due to low numbers in some cells.</w:t>
      </w:r>
    </w:p>
    <w:p w14:paraId="70EE8A24" w14:textId="77777777" w:rsidR="00961617" w:rsidRPr="002F5864" w:rsidRDefault="00961617" w:rsidP="00A61631">
      <w:pPr>
        <w:pStyle w:val="Notesnumbered"/>
      </w:pPr>
      <w:r w:rsidRPr="002F5864">
        <w:t xml:space="preserve">n.a. </w:t>
      </w:r>
      <w:r w:rsidRPr="002F5864">
        <w:tab/>
        <w:t>Not applicable.</w:t>
      </w:r>
    </w:p>
    <w:p w14:paraId="0A367D78" w14:textId="77777777" w:rsidR="00961617" w:rsidRPr="002F5864" w:rsidRDefault="00961617" w:rsidP="00A61631">
      <w:pPr>
        <w:pStyle w:val="Notesnumbered"/>
      </w:pPr>
      <w:r w:rsidRPr="002F5864">
        <w:t xml:space="preserve">n.s. </w:t>
      </w:r>
      <w:r w:rsidRPr="002F5864">
        <w:tab/>
        <w:t>Not significant at the 95 per cent level.</w:t>
      </w:r>
    </w:p>
    <w:p w14:paraId="677817C5" w14:textId="77777777" w:rsidR="00961617" w:rsidRPr="002F5864" w:rsidRDefault="00AE501D" w:rsidP="00AE501D">
      <w:pPr>
        <w:pStyle w:val="Notes"/>
      </w:pPr>
      <w:r>
        <w:rPr>
          <w:b/>
        </w:rPr>
        <w:t>Note</w:t>
      </w:r>
      <w:r w:rsidR="00E5413A" w:rsidRPr="002F5864">
        <w:t>:</w:t>
      </w:r>
      <w:r>
        <w:tab/>
      </w:r>
      <w:r w:rsidR="00961617" w:rsidRPr="002F5864">
        <w:t>Reference categories are:</w:t>
      </w:r>
    </w:p>
    <w:p w14:paraId="0534BCBB"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Gender: Male</w:t>
      </w:r>
    </w:p>
    <w:p w14:paraId="53391571"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Age: 30 to 49 years</w:t>
      </w:r>
    </w:p>
    <w:p w14:paraId="4FF88324"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Highest level of education: TAFE/Diploma</w:t>
      </w:r>
    </w:p>
    <w:p w14:paraId="0BCBD5EC"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Capacity to participate in the labour force: full-time capacity</w:t>
      </w:r>
    </w:p>
    <w:p w14:paraId="25DA6A0B"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Participation requirement: full time requirement</w:t>
      </w:r>
    </w:p>
    <w:p w14:paraId="47230163"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Not Indigenous</w:t>
      </w:r>
    </w:p>
    <w:p w14:paraId="24F90131"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No disability identified</w:t>
      </w:r>
    </w:p>
    <w:p w14:paraId="7FAF808D"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Not single parent</w:t>
      </w:r>
    </w:p>
    <w:p w14:paraId="0AE39391"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Not grandfathered parenting payment recipient</w:t>
      </w:r>
    </w:p>
    <w:p w14:paraId="57A0DC58"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Not ex-offender</w:t>
      </w:r>
    </w:p>
    <w:p w14:paraId="5131FE6C" w14:textId="77777777" w:rsidR="00961617" w:rsidRPr="002F5864" w:rsidRDefault="00961617" w:rsidP="00AE501D">
      <w:pPr>
        <w:pStyle w:val="Sourceandnotetextmultiplenotes"/>
        <w:numPr>
          <w:ilvl w:val="1"/>
          <w:numId w:val="75"/>
        </w:numPr>
        <w:ind w:left="1276"/>
        <w:rPr>
          <w:rFonts w:cstheme="minorHAnsi"/>
        </w:rPr>
      </w:pPr>
      <w:r w:rsidRPr="002F5864">
        <w:rPr>
          <w:rFonts w:cstheme="minorHAnsi"/>
        </w:rPr>
        <w:t>Length of unemployment: 1 to less than 2 years</w:t>
      </w:r>
    </w:p>
    <w:p w14:paraId="05FA6901"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rPr>
        <w:t>Income support type: NSA/YA(O)</w:t>
      </w:r>
    </w:p>
    <w:p w14:paraId="729AF0D3"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rPr>
        <w:t>Geographic location: Major cities of Australia</w:t>
      </w:r>
    </w:p>
    <w:p w14:paraId="3D15C7F6"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Recent work experience: Full time/Part time/Seasonal</w:t>
      </w:r>
    </w:p>
    <w:p w14:paraId="07A50535" w14:textId="77777777" w:rsidR="00961617" w:rsidRPr="002F5864" w:rsidRDefault="00961617" w:rsidP="00AE501D">
      <w:pPr>
        <w:pStyle w:val="Sourceandnotetextmultiplenotes"/>
        <w:numPr>
          <w:ilvl w:val="1"/>
          <w:numId w:val="75"/>
        </w:numPr>
        <w:tabs>
          <w:tab w:val="clear" w:pos="454"/>
          <w:tab w:val="left" w:pos="1418"/>
        </w:tabs>
        <w:ind w:left="1276"/>
        <w:rPr>
          <w:rFonts w:cstheme="minorHAnsi"/>
          <w:szCs w:val="18"/>
        </w:rPr>
      </w:pPr>
      <w:r w:rsidRPr="002F5864">
        <w:rPr>
          <w:rFonts w:cstheme="minorHAnsi"/>
          <w:szCs w:val="18"/>
        </w:rPr>
        <w:t xml:space="preserve"> factors: No Impact</w:t>
      </w:r>
    </w:p>
    <w:p w14:paraId="60C577C0"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Country of birth: Low/ very low disadvantage</w:t>
      </w:r>
    </w:p>
    <w:p w14:paraId="128FF51E"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Phone: Non contactable</w:t>
      </w:r>
    </w:p>
    <w:p w14:paraId="37BB36BF"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Vocational qualifications: No vocational qualifications/Non useful qualifications</w:t>
      </w:r>
    </w:p>
    <w:p w14:paraId="243015BB"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Regional disadvantage: Low to moderate disadvantage ESA</w:t>
      </w:r>
    </w:p>
    <w:p w14:paraId="63BE6054" w14:textId="77777777" w:rsidR="00961617" w:rsidRPr="002F5864" w:rsidRDefault="00961617" w:rsidP="00AE501D">
      <w:pPr>
        <w:pStyle w:val="Sourceandnotetextmultiplenotes"/>
        <w:numPr>
          <w:ilvl w:val="1"/>
          <w:numId w:val="75"/>
        </w:numPr>
        <w:ind w:left="1276"/>
        <w:rPr>
          <w:rFonts w:cstheme="minorHAnsi"/>
          <w:szCs w:val="18"/>
        </w:rPr>
      </w:pPr>
      <w:r w:rsidRPr="002F5864">
        <w:rPr>
          <w:rFonts w:cstheme="minorHAnsi"/>
          <w:szCs w:val="18"/>
        </w:rPr>
        <w:t>Transport: Own transport</w:t>
      </w:r>
    </w:p>
    <w:p w14:paraId="1982559A" w14:textId="77777777" w:rsidR="00961617" w:rsidRPr="002F5864" w:rsidRDefault="00E13B5E" w:rsidP="00E13B5E">
      <w:pPr>
        <w:pStyle w:val="Source"/>
        <w:rPr>
          <w:rFonts w:eastAsia="Times New Roman"/>
          <w:lang w:eastAsia="en-AU"/>
        </w:rPr>
      </w:pPr>
      <w:r>
        <w:rPr>
          <w:b/>
        </w:rPr>
        <w:t>Source:</w:t>
      </w:r>
      <w:r>
        <w:rPr>
          <w:b/>
        </w:rPr>
        <w:tab/>
      </w:r>
      <w:r w:rsidR="00961617" w:rsidRPr="002F5864">
        <w:rPr>
          <w:rFonts w:eastAsia="Times New Roman"/>
          <w:lang w:eastAsia="en-AU"/>
        </w:rPr>
        <w:t>Department of Employment administrative data.</w:t>
      </w:r>
    </w:p>
    <w:p w14:paraId="381ABBAE" w14:textId="77777777" w:rsidR="00961617" w:rsidRPr="002F5864" w:rsidRDefault="00864C5E" w:rsidP="00E13B5E">
      <w:pPr>
        <w:spacing w:before="120"/>
        <w:rPr>
          <w:rFonts w:cstheme="minorHAnsi"/>
          <w:b/>
          <w:sz w:val="18"/>
          <w:szCs w:val="18"/>
        </w:rPr>
      </w:pPr>
      <w:hyperlink w:anchor="Place_A210" w:history="1">
        <w:r w:rsidR="00961617" w:rsidRPr="0089699C">
          <w:rPr>
            <w:rStyle w:val="Hyperlink"/>
            <w:rFonts w:cstheme="minorHAnsi"/>
            <w:sz w:val="18"/>
            <w:szCs w:val="18"/>
          </w:rPr>
          <w:t xml:space="preserve">Return to </w:t>
        </w:r>
        <w:r w:rsidR="003649E1" w:rsidRPr="0089699C">
          <w:rPr>
            <w:rStyle w:val="Hyperlink"/>
            <w:rFonts w:cstheme="minorHAnsi"/>
            <w:sz w:val="18"/>
            <w:szCs w:val="18"/>
          </w:rPr>
          <w:t>s</w:t>
        </w:r>
        <w:r w:rsidR="00961617" w:rsidRPr="0089699C">
          <w:rPr>
            <w:rStyle w:val="Hyperlink"/>
            <w:rFonts w:cstheme="minorHAnsi"/>
            <w:sz w:val="18"/>
            <w:szCs w:val="18"/>
          </w:rPr>
          <w:t>ection 3.2.2</w:t>
        </w:r>
      </w:hyperlink>
      <w:r w:rsidR="00961617" w:rsidRPr="002F5864">
        <w:rPr>
          <w:rFonts w:cstheme="minorHAnsi"/>
          <w:sz w:val="18"/>
          <w:szCs w:val="18"/>
        </w:rPr>
        <w:t xml:space="preserve"> where this data is referenced.</w:t>
      </w:r>
    </w:p>
    <w:p w14:paraId="749EC7AB" w14:textId="77777777" w:rsidR="00961617" w:rsidRPr="002F5864" w:rsidRDefault="00961617" w:rsidP="00961617">
      <w:pPr>
        <w:pStyle w:val="FootnoteText"/>
        <w:keepNext/>
        <w:keepLines/>
        <w:numPr>
          <w:ilvl w:val="0"/>
          <w:numId w:val="75"/>
        </w:numPr>
        <w:tabs>
          <w:tab w:val="clear" w:pos="454"/>
          <w:tab w:val="left" w:pos="709"/>
        </w:tabs>
        <w:rPr>
          <w:rFonts w:eastAsia="Times New Roman" w:cstheme="minorHAnsi"/>
          <w:lang w:eastAsia="en-AU"/>
        </w:rPr>
        <w:sectPr w:rsidR="00961617" w:rsidRPr="002F5864" w:rsidSect="00861BD8">
          <w:headerReference w:type="even" r:id="rId68"/>
          <w:footerReference w:type="even" r:id="rId69"/>
          <w:headerReference w:type="first" r:id="rId70"/>
          <w:footerReference w:type="first" r:id="rId71"/>
          <w:pgSz w:w="11906" w:h="16838" w:code="9"/>
          <w:pgMar w:top="1440" w:right="1440" w:bottom="1440" w:left="1440" w:header="709" w:footer="284" w:gutter="0"/>
          <w:cols w:space="708"/>
          <w:docGrid w:linePitch="360"/>
        </w:sectPr>
      </w:pPr>
    </w:p>
    <w:p w14:paraId="0A5ED393" w14:textId="77777777" w:rsidR="00961617" w:rsidRPr="002F5864" w:rsidRDefault="00961617" w:rsidP="00961617">
      <w:pPr>
        <w:pStyle w:val="TableheadingforappendixA1"/>
        <w:rPr>
          <w:rFonts w:cstheme="minorHAnsi"/>
        </w:rPr>
      </w:pPr>
      <w:bookmarkStart w:id="641" w:name="_Toc513129904"/>
      <w:bookmarkStart w:id="642" w:name="_Toc435695220"/>
      <w:bookmarkStart w:id="643" w:name="_Toc436142580"/>
      <w:r w:rsidRPr="002F5864">
        <w:rPr>
          <w:rFonts w:cstheme="minorHAnsi"/>
        </w:rPr>
        <w:t>Table A2.11: Sustainability of outcomes: income support status rates and average marginal effect (AME) estimates for the predicted probability of income support status 12 months after exiting from services, JSA 2012 compared with JSA 2009 (per  cent and percentage point)</w:t>
      </w:r>
      <w:bookmarkEnd w:id="641"/>
    </w:p>
    <w:tbl>
      <w:tblPr>
        <w:tblW w:w="9319" w:type="dxa"/>
        <w:tblInd w:w="93" w:type="dxa"/>
        <w:tblLook w:val="04A0" w:firstRow="1" w:lastRow="0" w:firstColumn="1" w:lastColumn="0" w:noHBand="0" w:noVBand="1"/>
      </w:tblPr>
      <w:tblGrid>
        <w:gridCol w:w="3417"/>
        <w:gridCol w:w="1013"/>
        <w:gridCol w:w="952"/>
        <w:gridCol w:w="1013"/>
        <w:gridCol w:w="959"/>
        <w:gridCol w:w="1013"/>
        <w:gridCol w:w="952"/>
      </w:tblGrid>
      <w:tr w:rsidR="00961617" w:rsidRPr="00545C7F" w14:paraId="51526722" w14:textId="77777777" w:rsidTr="0020771F">
        <w:trPr>
          <w:trHeight w:hRule="exact" w:val="863"/>
          <w:tblHeader/>
        </w:trPr>
        <w:tc>
          <w:tcPr>
            <w:tcW w:w="3417" w:type="dxa"/>
            <w:tcBorders>
              <w:top w:val="nil"/>
              <w:left w:val="nil"/>
              <w:right w:val="nil"/>
            </w:tcBorders>
            <w:shd w:val="clear" w:color="000000" w:fill="1E3D6B"/>
            <w:vAlign w:val="center"/>
            <w:hideMark/>
          </w:tcPr>
          <w:p w14:paraId="72E769F8" w14:textId="77777777" w:rsidR="00961617" w:rsidRPr="00545C7F" w:rsidRDefault="00961617" w:rsidP="0020771F">
            <w:pPr>
              <w:spacing w:after="0" w:line="240" w:lineRule="auto"/>
              <w:rPr>
                <w:rFonts w:eastAsia="Times New Roman" w:cstheme="minorHAnsi"/>
                <w:b/>
                <w:bCs/>
                <w:color w:val="FFFFFF"/>
                <w:sz w:val="20"/>
                <w:szCs w:val="20"/>
                <w:lang w:eastAsia="en-AU"/>
              </w:rPr>
            </w:pPr>
            <w:bookmarkStart w:id="644" w:name="Title_A211"/>
            <w:bookmarkEnd w:id="644"/>
            <w:r w:rsidRPr="00545C7F">
              <w:rPr>
                <w:rFonts w:eastAsia="Times New Roman" w:cstheme="minorHAnsi"/>
                <w:b/>
                <w:bCs/>
                <w:color w:val="FFFFFF"/>
                <w:sz w:val="20"/>
                <w:szCs w:val="20"/>
                <w:lang w:eastAsia="en-AU"/>
              </w:rPr>
              <w:t>Client group</w:t>
            </w:r>
          </w:p>
        </w:tc>
        <w:tc>
          <w:tcPr>
            <w:tcW w:w="1013" w:type="dxa"/>
            <w:tcBorders>
              <w:top w:val="nil"/>
              <w:left w:val="nil"/>
              <w:right w:val="nil"/>
            </w:tcBorders>
            <w:shd w:val="clear" w:color="000000" w:fill="1E3D6B"/>
            <w:vAlign w:val="center"/>
            <w:hideMark/>
          </w:tcPr>
          <w:p w14:paraId="32D93872"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OFF</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2" w:type="dxa"/>
            <w:tcBorders>
              <w:top w:val="nil"/>
              <w:left w:val="nil"/>
              <w:right w:val="nil"/>
            </w:tcBorders>
            <w:shd w:val="clear" w:color="000000" w:fill="1E3D6B"/>
            <w:vAlign w:val="center"/>
            <w:hideMark/>
          </w:tcPr>
          <w:p w14:paraId="52572FE0"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OFF</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c>
          <w:tcPr>
            <w:tcW w:w="1013" w:type="dxa"/>
            <w:tcBorders>
              <w:top w:val="nil"/>
              <w:left w:val="nil"/>
              <w:right w:val="nil"/>
            </w:tcBorders>
            <w:shd w:val="clear" w:color="000000" w:fill="1E3D6B"/>
            <w:vAlign w:val="center"/>
            <w:hideMark/>
          </w:tcPr>
          <w:p w14:paraId="75D482A2"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PARTIAL</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9" w:type="dxa"/>
            <w:tcBorders>
              <w:top w:val="nil"/>
              <w:left w:val="nil"/>
              <w:right w:val="nil"/>
            </w:tcBorders>
            <w:shd w:val="clear" w:color="000000" w:fill="1E3D6B"/>
            <w:vAlign w:val="center"/>
            <w:hideMark/>
          </w:tcPr>
          <w:p w14:paraId="74A46E05"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PARTIAL</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c>
          <w:tcPr>
            <w:tcW w:w="1013" w:type="dxa"/>
            <w:tcBorders>
              <w:top w:val="nil"/>
              <w:left w:val="nil"/>
              <w:right w:val="nil"/>
            </w:tcBorders>
            <w:shd w:val="clear" w:color="000000" w:fill="1E3D6B"/>
            <w:vAlign w:val="center"/>
            <w:hideMark/>
          </w:tcPr>
          <w:p w14:paraId="631DA8AE"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FULL</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2" w:type="dxa"/>
            <w:tcBorders>
              <w:top w:val="nil"/>
              <w:left w:val="nil"/>
              <w:right w:val="nil"/>
            </w:tcBorders>
            <w:shd w:val="clear" w:color="000000" w:fill="1E3D6B"/>
            <w:vAlign w:val="center"/>
            <w:hideMark/>
          </w:tcPr>
          <w:p w14:paraId="03DD0696" w14:textId="77777777" w:rsidR="00961617" w:rsidRPr="00545C7F" w:rsidRDefault="00961617" w:rsidP="0020771F">
            <w:pPr>
              <w:spacing w:after="0" w:line="240" w:lineRule="auto"/>
              <w:ind w:right="-73"/>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FULL</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r>
      <w:tr w:rsidR="00961617" w:rsidRPr="00545C7F" w14:paraId="3FB99B45" w14:textId="77777777" w:rsidTr="0020771F">
        <w:trPr>
          <w:trHeight w:hRule="exact" w:val="340"/>
        </w:trPr>
        <w:tc>
          <w:tcPr>
            <w:tcW w:w="3417" w:type="dxa"/>
            <w:tcBorders>
              <w:top w:val="nil"/>
              <w:left w:val="nil"/>
              <w:bottom w:val="nil"/>
              <w:right w:val="nil"/>
            </w:tcBorders>
            <w:shd w:val="clear" w:color="auto" w:fill="FFFFFF" w:themeFill="background2"/>
            <w:vAlign w:val="center"/>
            <w:hideMark/>
          </w:tcPr>
          <w:p w14:paraId="614B577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1</w:t>
            </w:r>
          </w:p>
        </w:tc>
        <w:tc>
          <w:tcPr>
            <w:tcW w:w="1013" w:type="dxa"/>
            <w:tcBorders>
              <w:top w:val="nil"/>
              <w:left w:val="nil"/>
              <w:bottom w:val="nil"/>
              <w:right w:val="nil"/>
            </w:tcBorders>
            <w:shd w:val="clear" w:color="auto" w:fill="FFFFFF" w:themeFill="background2"/>
            <w:vAlign w:val="center"/>
            <w:hideMark/>
          </w:tcPr>
          <w:p w14:paraId="22687C4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62.1</w:t>
            </w:r>
          </w:p>
        </w:tc>
        <w:tc>
          <w:tcPr>
            <w:tcW w:w="952" w:type="dxa"/>
            <w:tcBorders>
              <w:top w:val="nil"/>
              <w:left w:val="nil"/>
              <w:bottom w:val="nil"/>
              <w:right w:val="nil"/>
            </w:tcBorders>
            <w:shd w:val="clear" w:color="auto" w:fill="FFFFFF" w:themeFill="background2"/>
            <w:vAlign w:val="center"/>
            <w:hideMark/>
          </w:tcPr>
          <w:p w14:paraId="1D7575A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-3.9</w:t>
            </w:r>
          </w:p>
        </w:tc>
        <w:tc>
          <w:tcPr>
            <w:tcW w:w="1013" w:type="dxa"/>
            <w:tcBorders>
              <w:top w:val="nil"/>
              <w:left w:val="nil"/>
              <w:bottom w:val="nil"/>
              <w:right w:val="nil"/>
            </w:tcBorders>
            <w:shd w:val="clear" w:color="auto" w:fill="FFFFFF" w:themeFill="background2"/>
            <w:vAlign w:val="center"/>
            <w:hideMark/>
          </w:tcPr>
          <w:p w14:paraId="3E2F862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9.4</w:t>
            </w:r>
          </w:p>
        </w:tc>
        <w:tc>
          <w:tcPr>
            <w:tcW w:w="959" w:type="dxa"/>
            <w:tcBorders>
              <w:top w:val="nil"/>
              <w:left w:val="nil"/>
              <w:bottom w:val="nil"/>
              <w:right w:val="nil"/>
            </w:tcBorders>
            <w:shd w:val="clear" w:color="auto" w:fill="FFFFFF" w:themeFill="background2"/>
            <w:vAlign w:val="center"/>
            <w:hideMark/>
          </w:tcPr>
          <w:p w14:paraId="403A2AA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n.s.</w:t>
            </w:r>
          </w:p>
        </w:tc>
        <w:tc>
          <w:tcPr>
            <w:tcW w:w="1013" w:type="dxa"/>
            <w:tcBorders>
              <w:top w:val="nil"/>
              <w:left w:val="nil"/>
              <w:bottom w:val="nil"/>
              <w:right w:val="nil"/>
            </w:tcBorders>
            <w:shd w:val="clear" w:color="auto" w:fill="FFFFFF" w:themeFill="background2"/>
            <w:vAlign w:val="center"/>
            <w:hideMark/>
          </w:tcPr>
          <w:p w14:paraId="12835A7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28.5</w:t>
            </w:r>
          </w:p>
        </w:tc>
        <w:tc>
          <w:tcPr>
            <w:tcW w:w="952" w:type="dxa"/>
            <w:tcBorders>
              <w:top w:val="nil"/>
              <w:left w:val="nil"/>
              <w:bottom w:val="nil"/>
              <w:right w:val="nil"/>
            </w:tcBorders>
            <w:shd w:val="clear" w:color="auto" w:fill="FFFFFF" w:themeFill="background2"/>
            <w:vAlign w:val="center"/>
            <w:hideMark/>
          </w:tcPr>
          <w:p w14:paraId="5432E64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3.7</w:t>
            </w:r>
          </w:p>
        </w:tc>
      </w:tr>
      <w:tr w:rsidR="00961617" w:rsidRPr="00545C7F" w14:paraId="3C384F7D" w14:textId="77777777" w:rsidTr="0020771F">
        <w:trPr>
          <w:trHeight w:hRule="exact" w:val="340"/>
        </w:trPr>
        <w:tc>
          <w:tcPr>
            <w:tcW w:w="3417" w:type="dxa"/>
            <w:tcBorders>
              <w:top w:val="nil"/>
              <w:left w:val="nil"/>
              <w:bottom w:val="nil"/>
              <w:right w:val="nil"/>
            </w:tcBorders>
            <w:shd w:val="clear" w:color="auto" w:fill="E5E5E5" w:themeFill="background1" w:themeFillTint="33"/>
            <w:vAlign w:val="center"/>
            <w:hideMark/>
          </w:tcPr>
          <w:p w14:paraId="4E867F9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2</w:t>
            </w:r>
          </w:p>
        </w:tc>
        <w:tc>
          <w:tcPr>
            <w:tcW w:w="1013" w:type="dxa"/>
            <w:tcBorders>
              <w:top w:val="nil"/>
              <w:left w:val="nil"/>
              <w:bottom w:val="nil"/>
              <w:right w:val="nil"/>
            </w:tcBorders>
            <w:shd w:val="clear" w:color="auto" w:fill="E5E5E5" w:themeFill="background1" w:themeFillTint="33"/>
            <w:vAlign w:val="center"/>
            <w:hideMark/>
          </w:tcPr>
          <w:p w14:paraId="18DA397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51.2</w:t>
            </w:r>
          </w:p>
        </w:tc>
        <w:tc>
          <w:tcPr>
            <w:tcW w:w="952" w:type="dxa"/>
            <w:tcBorders>
              <w:top w:val="nil"/>
              <w:left w:val="nil"/>
              <w:bottom w:val="nil"/>
              <w:right w:val="nil"/>
            </w:tcBorders>
            <w:shd w:val="clear" w:color="auto" w:fill="E5E5E5" w:themeFill="background1" w:themeFillTint="33"/>
            <w:vAlign w:val="center"/>
            <w:hideMark/>
          </w:tcPr>
          <w:p w14:paraId="06DB9A7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-3.1</w:t>
            </w:r>
          </w:p>
        </w:tc>
        <w:tc>
          <w:tcPr>
            <w:tcW w:w="1013" w:type="dxa"/>
            <w:tcBorders>
              <w:top w:val="nil"/>
              <w:left w:val="nil"/>
              <w:bottom w:val="nil"/>
              <w:right w:val="nil"/>
            </w:tcBorders>
            <w:shd w:val="clear" w:color="auto" w:fill="E5E5E5" w:themeFill="background1" w:themeFillTint="33"/>
            <w:vAlign w:val="center"/>
            <w:hideMark/>
          </w:tcPr>
          <w:p w14:paraId="31C1BA52"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12.0</w:t>
            </w:r>
          </w:p>
        </w:tc>
        <w:tc>
          <w:tcPr>
            <w:tcW w:w="959" w:type="dxa"/>
            <w:tcBorders>
              <w:top w:val="nil"/>
              <w:left w:val="nil"/>
              <w:bottom w:val="nil"/>
              <w:right w:val="nil"/>
            </w:tcBorders>
            <w:shd w:val="clear" w:color="auto" w:fill="E5E5E5" w:themeFill="background1" w:themeFillTint="33"/>
            <w:vAlign w:val="center"/>
            <w:hideMark/>
          </w:tcPr>
          <w:p w14:paraId="7015B5A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-0.8</w:t>
            </w:r>
          </w:p>
        </w:tc>
        <w:tc>
          <w:tcPr>
            <w:tcW w:w="1013" w:type="dxa"/>
            <w:tcBorders>
              <w:top w:val="nil"/>
              <w:left w:val="nil"/>
              <w:bottom w:val="nil"/>
              <w:right w:val="nil"/>
            </w:tcBorders>
            <w:shd w:val="clear" w:color="auto" w:fill="E5E5E5" w:themeFill="background1" w:themeFillTint="33"/>
            <w:vAlign w:val="center"/>
            <w:hideMark/>
          </w:tcPr>
          <w:p w14:paraId="0BE5B32A"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36.8</w:t>
            </w:r>
          </w:p>
        </w:tc>
        <w:tc>
          <w:tcPr>
            <w:tcW w:w="952" w:type="dxa"/>
            <w:tcBorders>
              <w:top w:val="nil"/>
              <w:left w:val="nil"/>
              <w:bottom w:val="nil"/>
              <w:right w:val="nil"/>
            </w:tcBorders>
            <w:shd w:val="clear" w:color="auto" w:fill="E5E5E5" w:themeFill="background1" w:themeFillTint="33"/>
            <w:vAlign w:val="center"/>
            <w:hideMark/>
          </w:tcPr>
          <w:p w14:paraId="0617057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3.9</w:t>
            </w:r>
          </w:p>
        </w:tc>
      </w:tr>
      <w:tr w:rsidR="00961617" w:rsidRPr="00545C7F" w14:paraId="3555B725" w14:textId="77777777" w:rsidTr="0020771F">
        <w:trPr>
          <w:trHeight w:hRule="exact" w:val="340"/>
        </w:trPr>
        <w:tc>
          <w:tcPr>
            <w:tcW w:w="3417" w:type="dxa"/>
            <w:tcBorders>
              <w:top w:val="nil"/>
              <w:left w:val="nil"/>
              <w:right w:val="nil"/>
            </w:tcBorders>
            <w:shd w:val="clear" w:color="auto" w:fill="FFFFFF" w:themeFill="background2"/>
            <w:vAlign w:val="center"/>
            <w:hideMark/>
          </w:tcPr>
          <w:p w14:paraId="574E31E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3</w:t>
            </w:r>
          </w:p>
        </w:tc>
        <w:tc>
          <w:tcPr>
            <w:tcW w:w="1013" w:type="dxa"/>
            <w:tcBorders>
              <w:top w:val="nil"/>
              <w:left w:val="nil"/>
              <w:right w:val="nil"/>
            </w:tcBorders>
            <w:shd w:val="clear" w:color="auto" w:fill="FFFFFF" w:themeFill="background2"/>
            <w:vAlign w:val="center"/>
            <w:hideMark/>
          </w:tcPr>
          <w:p w14:paraId="6DDDF77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29.0</w:t>
            </w:r>
          </w:p>
        </w:tc>
        <w:tc>
          <w:tcPr>
            <w:tcW w:w="952" w:type="dxa"/>
            <w:tcBorders>
              <w:top w:val="nil"/>
              <w:left w:val="nil"/>
              <w:right w:val="nil"/>
            </w:tcBorders>
            <w:shd w:val="clear" w:color="auto" w:fill="FFFFFF" w:themeFill="background2"/>
            <w:vAlign w:val="center"/>
            <w:hideMark/>
          </w:tcPr>
          <w:p w14:paraId="776B43B4"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-2.4</w:t>
            </w:r>
          </w:p>
        </w:tc>
        <w:tc>
          <w:tcPr>
            <w:tcW w:w="1013" w:type="dxa"/>
            <w:tcBorders>
              <w:top w:val="nil"/>
              <w:left w:val="nil"/>
              <w:right w:val="nil"/>
            </w:tcBorders>
            <w:shd w:val="clear" w:color="auto" w:fill="FFFFFF" w:themeFill="background2"/>
            <w:vAlign w:val="center"/>
            <w:hideMark/>
          </w:tcPr>
          <w:p w14:paraId="6911488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13.7</w:t>
            </w:r>
          </w:p>
        </w:tc>
        <w:tc>
          <w:tcPr>
            <w:tcW w:w="959" w:type="dxa"/>
            <w:tcBorders>
              <w:top w:val="nil"/>
              <w:left w:val="nil"/>
              <w:right w:val="nil"/>
            </w:tcBorders>
            <w:shd w:val="clear" w:color="auto" w:fill="FFFFFF" w:themeFill="background2"/>
            <w:vAlign w:val="center"/>
            <w:hideMark/>
          </w:tcPr>
          <w:p w14:paraId="571736E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-2.2</w:t>
            </w:r>
          </w:p>
        </w:tc>
        <w:tc>
          <w:tcPr>
            <w:tcW w:w="1013" w:type="dxa"/>
            <w:tcBorders>
              <w:top w:val="nil"/>
              <w:left w:val="nil"/>
              <w:right w:val="nil"/>
            </w:tcBorders>
            <w:shd w:val="clear" w:color="auto" w:fill="FFFFFF" w:themeFill="background2"/>
            <w:vAlign w:val="center"/>
            <w:hideMark/>
          </w:tcPr>
          <w:p w14:paraId="30A33FE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57.3</w:t>
            </w:r>
          </w:p>
        </w:tc>
        <w:tc>
          <w:tcPr>
            <w:tcW w:w="952" w:type="dxa"/>
            <w:tcBorders>
              <w:top w:val="nil"/>
              <w:left w:val="nil"/>
              <w:right w:val="nil"/>
            </w:tcBorders>
            <w:shd w:val="clear" w:color="auto" w:fill="FFFFFF" w:themeFill="background2"/>
            <w:vAlign w:val="center"/>
            <w:hideMark/>
          </w:tcPr>
          <w:p w14:paraId="01D7229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4.6</w:t>
            </w:r>
          </w:p>
        </w:tc>
      </w:tr>
      <w:tr w:rsidR="00961617" w:rsidRPr="00545C7F" w14:paraId="27F31836"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345FCF3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4</w:t>
            </w:r>
          </w:p>
        </w:tc>
        <w:tc>
          <w:tcPr>
            <w:tcW w:w="1013" w:type="dxa"/>
            <w:tcBorders>
              <w:top w:val="nil"/>
              <w:left w:val="nil"/>
              <w:right w:val="nil"/>
            </w:tcBorders>
            <w:shd w:val="clear" w:color="auto" w:fill="E5E5E5" w:themeFill="background1" w:themeFillTint="33"/>
            <w:vAlign w:val="center"/>
            <w:hideMark/>
          </w:tcPr>
          <w:p w14:paraId="5A9CB05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26.8</w:t>
            </w:r>
          </w:p>
        </w:tc>
        <w:tc>
          <w:tcPr>
            <w:tcW w:w="952" w:type="dxa"/>
            <w:tcBorders>
              <w:top w:val="nil"/>
              <w:left w:val="nil"/>
              <w:right w:val="nil"/>
            </w:tcBorders>
            <w:shd w:val="clear" w:color="auto" w:fill="E5E5E5" w:themeFill="background1" w:themeFillTint="33"/>
            <w:vAlign w:val="center"/>
            <w:hideMark/>
          </w:tcPr>
          <w:p w14:paraId="4824F6A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n.s.</w:t>
            </w:r>
          </w:p>
        </w:tc>
        <w:tc>
          <w:tcPr>
            <w:tcW w:w="1013" w:type="dxa"/>
            <w:tcBorders>
              <w:top w:val="nil"/>
              <w:left w:val="nil"/>
              <w:right w:val="nil"/>
            </w:tcBorders>
            <w:shd w:val="clear" w:color="auto" w:fill="E5E5E5" w:themeFill="background1" w:themeFillTint="33"/>
            <w:vAlign w:val="center"/>
            <w:hideMark/>
          </w:tcPr>
          <w:p w14:paraId="4D166B3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6.1</w:t>
            </w:r>
          </w:p>
        </w:tc>
        <w:tc>
          <w:tcPr>
            <w:tcW w:w="959" w:type="dxa"/>
            <w:tcBorders>
              <w:top w:val="nil"/>
              <w:left w:val="nil"/>
              <w:right w:val="nil"/>
            </w:tcBorders>
            <w:shd w:val="clear" w:color="auto" w:fill="E5E5E5" w:themeFill="background1" w:themeFillTint="33"/>
            <w:vAlign w:val="center"/>
            <w:hideMark/>
          </w:tcPr>
          <w:p w14:paraId="701BBF9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w:t>
            </w:r>
          </w:p>
        </w:tc>
        <w:tc>
          <w:tcPr>
            <w:tcW w:w="1013" w:type="dxa"/>
            <w:tcBorders>
              <w:top w:val="nil"/>
              <w:left w:val="nil"/>
              <w:right w:val="nil"/>
            </w:tcBorders>
            <w:shd w:val="clear" w:color="auto" w:fill="E5E5E5" w:themeFill="background1" w:themeFillTint="33"/>
            <w:vAlign w:val="center"/>
            <w:hideMark/>
          </w:tcPr>
          <w:p w14:paraId="7392274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67.1</w:t>
            </w:r>
          </w:p>
        </w:tc>
        <w:tc>
          <w:tcPr>
            <w:tcW w:w="952" w:type="dxa"/>
            <w:tcBorders>
              <w:top w:val="nil"/>
              <w:left w:val="nil"/>
              <w:right w:val="nil"/>
            </w:tcBorders>
            <w:shd w:val="clear" w:color="auto" w:fill="E5E5E5" w:themeFill="background1" w:themeFillTint="33"/>
            <w:vAlign w:val="center"/>
            <w:hideMark/>
          </w:tcPr>
          <w:p w14:paraId="48F9886A"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0.5</w:t>
            </w:r>
          </w:p>
        </w:tc>
      </w:tr>
      <w:tr w:rsidR="00961617" w:rsidRPr="00545C7F" w14:paraId="33C74D26" w14:textId="77777777" w:rsidTr="0020771F">
        <w:trPr>
          <w:trHeight w:hRule="exact" w:val="340"/>
        </w:trPr>
        <w:tc>
          <w:tcPr>
            <w:tcW w:w="3417" w:type="dxa"/>
            <w:tcBorders>
              <w:left w:val="nil"/>
              <w:right w:val="nil"/>
            </w:tcBorders>
            <w:shd w:val="clear" w:color="auto" w:fill="FFFFFF" w:themeFill="background2"/>
            <w:vAlign w:val="center"/>
            <w:hideMark/>
          </w:tcPr>
          <w:p w14:paraId="33F490F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Long-term  reduced capacity</w:t>
            </w:r>
          </w:p>
        </w:tc>
        <w:tc>
          <w:tcPr>
            <w:tcW w:w="1013" w:type="dxa"/>
            <w:tcBorders>
              <w:left w:val="nil"/>
              <w:right w:val="nil"/>
            </w:tcBorders>
            <w:shd w:val="clear" w:color="auto" w:fill="FFFFFF" w:themeFill="background2"/>
            <w:vAlign w:val="center"/>
            <w:hideMark/>
          </w:tcPr>
          <w:p w14:paraId="4869C977"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18.3</w:t>
            </w:r>
          </w:p>
        </w:tc>
        <w:tc>
          <w:tcPr>
            <w:tcW w:w="952" w:type="dxa"/>
            <w:tcBorders>
              <w:left w:val="nil"/>
              <w:right w:val="nil"/>
            </w:tcBorders>
            <w:shd w:val="clear" w:color="auto" w:fill="FFFFFF" w:themeFill="background2"/>
            <w:vAlign w:val="center"/>
            <w:hideMark/>
          </w:tcPr>
          <w:p w14:paraId="1D62B87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left w:val="nil"/>
              <w:right w:val="nil"/>
            </w:tcBorders>
            <w:shd w:val="clear" w:color="auto" w:fill="FFFFFF" w:themeFill="background2"/>
            <w:vAlign w:val="center"/>
            <w:hideMark/>
          </w:tcPr>
          <w:p w14:paraId="6F4C8094"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13.4</w:t>
            </w:r>
          </w:p>
        </w:tc>
        <w:tc>
          <w:tcPr>
            <w:tcW w:w="959" w:type="dxa"/>
            <w:tcBorders>
              <w:left w:val="nil"/>
              <w:right w:val="nil"/>
            </w:tcBorders>
            <w:shd w:val="clear" w:color="auto" w:fill="FFFFFF" w:themeFill="background2"/>
            <w:vAlign w:val="center"/>
            <w:hideMark/>
          </w:tcPr>
          <w:p w14:paraId="64EDA08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left w:val="nil"/>
              <w:right w:val="nil"/>
            </w:tcBorders>
            <w:shd w:val="clear" w:color="auto" w:fill="FFFFFF" w:themeFill="background2"/>
            <w:vAlign w:val="center"/>
            <w:hideMark/>
          </w:tcPr>
          <w:p w14:paraId="0B354BE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68.3</w:t>
            </w:r>
          </w:p>
        </w:tc>
        <w:tc>
          <w:tcPr>
            <w:tcW w:w="952" w:type="dxa"/>
            <w:tcBorders>
              <w:left w:val="nil"/>
              <w:right w:val="nil"/>
            </w:tcBorders>
            <w:shd w:val="clear" w:color="auto" w:fill="FFFFFF" w:themeFill="background2"/>
            <w:vAlign w:val="center"/>
            <w:hideMark/>
          </w:tcPr>
          <w:p w14:paraId="16AE322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2.9</w:t>
            </w:r>
          </w:p>
        </w:tc>
      </w:tr>
      <w:tr w:rsidR="00961617" w:rsidRPr="00545C7F" w14:paraId="05695EAF"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7FE7871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Not LT reduced capacity</w:t>
            </w:r>
          </w:p>
        </w:tc>
        <w:tc>
          <w:tcPr>
            <w:tcW w:w="1013" w:type="dxa"/>
            <w:tcBorders>
              <w:top w:val="nil"/>
              <w:left w:val="nil"/>
              <w:right w:val="nil"/>
            </w:tcBorders>
            <w:shd w:val="clear" w:color="auto" w:fill="E5E5E5" w:themeFill="background1" w:themeFillTint="33"/>
            <w:vAlign w:val="center"/>
            <w:hideMark/>
          </w:tcPr>
          <w:p w14:paraId="70375B5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60.2</w:t>
            </w:r>
          </w:p>
        </w:tc>
        <w:tc>
          <w:tcPr>
            <w:tcW w:w="952" w:type="dxa"/>
            <w:tcBorders>
              <w:top w:val="nil"/>
              <w:left w:val="nil"/>
              <w:right w:val="nil"/>
            </w:tcBorders>
            <w:shd w:val="clear" w:color="auto" w:fill="E5E5E5" w:themeFill="background1" w:themeFillTint="33"/>
            <w:vAlign w:val="center"/>
            <w:hideMark/>
          </w:tcPr>
          <w:p w14:paraId="16B829E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-2.9</w:t>
            </w:r>
          </w:p>
        </w:tc>
        <w:tc>
          <w:tcPr>
            <w:tcW w:w="1013" w:type="dxa"/>
            <w:tcBorders>
              <w:top w:val="nil"/>
              <w:left w:val="nil"/>
              <w:right w:val="nil"/>
            </w:tcBorders>
            <w:shd w:val="clear" w:color="auto" w:fill="E5E5E5" w:themeFill="background1" w:themeFillTint="33"/>
            <w:vAlign w:val="center"/>
            <w:hideMark/>
          </w:tcPr>
          <w:p w14:paraId="322BF17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8.2</w:t>
            </w:r>
          </w:p>
        </w:tc>
        <w:tc>
          <w:tcPr>
            <w:tcW w:w="959" w:type="dxa"/>
            <w:tcBorders>
              <w:top w:val="nil"/>
              <w:left w:val="nil"/>
              <w:right w:val="nil"/>
            </w:tcBorders>
            <w:shd w:val="clear" w:color="auto" w:fill="E5E5E5" w:themeFill="background1" w:themeFillTint="33"/>
            <w:vAlign w:val="center"/>
            <w:hideMark/>
          </w:tcPr>
          <w:p w14:paraId="5ADB0957"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-0.7</w:t>
            </w:r>
          </w:p>
        </w:tc>
        <w:tc>
          <w:tcPr>
            <w:tcW w:w="1013" w:type="dxa"/>
            <w:tcBorders>
              <w:top w:val="nil"/>
              <w:left w:val="nil"/>
              <w:right w:val="nil"/>
            </w:tcBorders>
            <w:shd w:val="clear" w:color="auto" w:fill="E5E5E5" w:themeFill="background1" w:themeFillTint="33"/>
            <w:vAlign w:val="center"/>
            <w:hideMark/>
          </w:tcPr>
          <w:p w14:paraId="200247C4"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31.6</w:t>
            </w:r>
          </w:p>
        </w:tc>
        <w:tc>
          <w:tcPr>
            <w:tcW w:w="952" w:type="dxa"/>
            <w:tcBorders>
              <w:top w:val="nil"/>
              <w:left w:val="nil"/>
              <w:right w:val="nil"/>
            </w:tcBorders>
            <w:shd w:val="clear" w:color="auto" w:fill="E5E5E5" w:themeFill="background1" w:themeFillTint="33"/>
            <w:vAlign w:val="center"/>
            <w:hideMark/>
          </w:tcPr>
          <w:p w14:paraId="1287F90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3.6</w:t>
            </w:r>
          </w:p>
        </w:tc>
      </w:tr>
      <w:tr w:rsidR="00961617" w:rsidRPr="00545C7F" w14:paraId="0D716C2A" w14:textId="77777777" w:rsidTr="0020771F">
        <w:trPr>
          <w:trHeight w:hRule="exact" w:val="340"/>
        </w:trPr>
        <w:tc>
          <w:tcPr>
            <w:tcW w:w="3417" w:type="dxa"/>
            <w:tcBorders>
              <w:left w:val="nil"/>
              <w:bottom w:val="nil"/>
              <w:right w:val="nil"/>
            </w:tcBorders>
            <w:shd w:val="clear" w:color="auto" w:fill="FFFFFF" w:themeFill="background2"/>
            <w:vAlign w:val="center"/>
            <w:hideMark/>
          </w:tcPr>
          <w:p w14:paraId="36620A9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w:t>
            </w:r>
          </w:p>
        </w:tc>
        <w:tc>
          <w:tcPr>
            <w:tcW w:w="1013" w:type="dxa"/>
            <w:tcBorders>
              <w:left w:val="nil"/>
              <w:bottom w:val="nil"/>
              <w:right w:val="nil"/>
            </w:tcBorders>
            <w:shd w:val="clear" w:color="auto" w:fill="FFFFFF" w:themeFill="background2"/>
            <w:vAlign w:val="center"/>
            <w:hideMark/>
          </w:tcPr>
          <w:p w14:paraId="6A3CDA02"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32.5</w:t>
            </w:r>
          </w:p>
        </w:tc>
        <w:tc>
          <w:tcPr>
            <w:tcW w:w="952" w:type="dxa"/>
            <w:tcBorders>
              <w:left w:val="nil"/>
              <w:bottom w:val="nil"/>
              <w:right w:val="nil"/>
            </w:tcBorders>
            <w:shd w:val="clear" w:color="auto" w:fill="FFFFFF" w:themeFill="background2"/>
            <w:vAlign w:val="center"/>
            <w:hideMark/>
          </w:tcPr>
          <w:p w14:paraId="3B845D7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w:t>
            </w:r>
          </w:p>
        </w:tc>
        <w:tc>
          <w:tcPr>
            <w:tcW w:w="1013" w:type="dxa"/>
            <w:tcBorders>
              <w:left w:val="nil"/>
              <w:bottom w:val="nil"/>
              <w:right w:val="nil"/>
            </w:tcBorders>
            <w:shd w:val="clear" w:color="auto" w:fill="FFFFFF" w:themeFill="background2"/>
            <w:vAlign w:val="center"/>
            <w:hideMark/>
          </w:tcPr>
          <w:p w14:paraId="60015BF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5.5</w:t>
            </w:r>
          </w:p>
        </w:tc>
        <w:tc>
          <w:tcPr>
            <w:tcW w:w="959" w:type="dxa"/>
            <w:tcBorders>
              <w:left w:val="nil"/>
              <w:bottom w:val="nil"/>
              <w:right w:val="nil"/>
            </w:tcBorders>
            <w:shd w:val="clear" w:color="auto" w:fill="FFFFFF" w:themeFill="background2"/>
            <w:vAlign w:val="center"/>
            <w:hideMark/>
          </w:tcPr>
          <w:p w14:paraId="2F31069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-0.9</w:t>
            </w:r>
          </w:p>
        </w:tc>
        <w:tc>
          <w:tcPr>
            <w:tcW w:w="1013" w:type="dxa"/>
            <w:tcBorders>
              <w:left w:val="nil"/>
              <w:bottom w:val="nil"/>
              <w:right w:val="nil"/>
            </w:tcBorders>
            <w:shd w:val="clear" w:color="auto" w:fill="FFFFFF" w:themeFill="background2"/>
            <w:vAlign w:val="center"/>
            <w:hideMark/>
          </w:tcPr>
          <w:p w14:paraId="06D79B9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62.0</w:t>
            </w:r>
          </w:p>
        </w:tc>
        <w:tc>
          <w:tcPr>
            <w:tcW w:w="952" w:type="dxa"/>
            <w:tcBorders>
              <w:left w:val="nil"/>
              <w:bottom w:val="nil"/>
              <w:right w:val="nil"/>
            </w:tcBorders>
            <w:shd w:val="clear" w:color="auto" w:fill="FFFFFF" w:themeFill="background2"/>
            <w:vAlign w:val="center"/>
            <w:hideMark/>
          </w:tcPr>
          <w:p w14:paraId="1879A31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2.0</w:t>
            </w:r>
          </w:p>
        </w:tc>
      </w:tr>
      <w:tr w:rsidR="00961617" w:rsidRPr="00545C7F" w14:paraId="2151738A"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534F487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Disability with employment restrictions</w:t>
            </w:r>
          </w:p>
        </w:tc>
        <w:tc>
          <w:tcPr>
            <w:tcW w:w="1013" w:type="dxa"/>
            <w:tcBorders>
              <w:top w:val="nil"/>
              <w:left w:val="nil"/>
              <w:right w:val="nil"/>
            </w:tcBorders>
            <w:shd w:val="clear" w:color="auto" w:fill="E5E5E5" w:themeFill="background1" w:themeFillTint="33"/>
            <w:vAlign w:val="center"/>
            <w:hideMark/>
          </w:tcPr>
          <w:p w14:paraId="239B184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17.8</w:t>
            </w:r>
          </w:p>
        </w:tc>
        <w:tc>
          <w:tcPr>
            <w:tcW w:w="952" w:type="dxa"/>
            <w:tcBorders>
              <w:top w:val="nil"/>
              <w:left w:val="nil"/>
              <w:right w:val="nil"/>
            </w:tcBorders>
            <w:shd w:val="clear" w:color="auto" w:fill="E5E5E5" w:themeFill="background1" w:themeFillTint="33"/>
            <w:vAlign w:val="center"/>
            <w:hideMark/>
          </w:tcPr>
          <w:p w14:paraId="1000287A"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-1.8</w:t>
            </w:r>
          </w:p>
        </w:tc>
        <w:tc>
          <w:tcPr>
            <w:tcW w:w="1013" w:type="dxa"/>
            <w:tcBorders>
              <w:top w:val="nil"/>
              <w:left w:val="nil"/>
              <w:right w:val="nil"/>
            </w:tcBorders>
            <w:shd w:val="clear" w:color="auto" w:fill="E5E5E5" w:themeFill="background1" w:themeFillTint="33"/>
            <w:vAlign w:val="center"/>
            <w:hideMark/>
          </w:tcPr>
          <w:p w14:paraId="711D966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11.6</w:t>
            </w:r>
          </w:p>
        </w:tc>
        <w:tc>
          <w:tcPr>
            <w:tcW w:w="959" w:type="dxa"/>
            <w:tcBorders>
              <w:top w:val="nil"/>
              <w:left w:val="nil"/>
              <w:right w:val="nil"/>
            </w:tcBorders>
            <w:shd w:val="clear" w:color="auto" w:fill="E5E5E5" w:themeFill="background1" w:themeFillTint="33"/>
            <w:vAlign w:val="center"/>
            <w:hideMark/>
          </w:tcPr>
          <w:p w14:paraId="171EDAB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E5E5E5" w:themeFill="background1" w:themeFillTint="33"/>
            <w:vAlign w:val="center"/>
            <w:hideMark/>
          </w:tcPr>
          <w:p w14:paraId="15B9391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70.6</w:t>
            </w:r>
          </w:p>
        </w:tc>
        <w:tc>
          <w:tcPr>
            <w:tcW w:w="952" w:type="dxa"/>
            <w:tcBorders>
              <w:top w:val="nil"/>
              <w:left w:val="nil"/>
              <w:right w:val="nil"/>
            </w:tcBorders>
            <w:shd w:val="clear" w:color="auto" w:fill="E5E5E5" w:themeFill="background1" w:themeFillTint="33"/>
            <w:vAlign w:val="center"/>
            <w:hideMark/>
          </w:tcPr>
          <w:p w14:paraId="7DCFA09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2.9</w:t>
            </w:r>
          </w:p>
        </w:tc>
      </w:tr>
      <w:tr w:rsidR="00961617" w:rsidRPr="00545C7F" w14:paraId="6F61B635" w14:textId="77777777" w:rsidTr="0020771F">
        <w:trPr>
          <w:trHeight w:hRule="exact" w:val="340"/>
        </w:trPr>
        <w:tc>
          <w:tcPr>
            <w:tcW w:w="3417" w:type="dxa"/>
            <w:tcBorders>
              <w:top w:val="nil"/>
              <w:left w:val="nil"/>
              <w:right w:val="nil"/>
            </w:tcBorders>
            <w:shd w:val="clear" w:color="auto" w:fill="FFFFFF" w:themeFill="background2"/>
            <w:vAlign w:val="center"/>
            <w:hideMark/>
          </w:tcPr>
          <w:p w14:paraId="4CCA3A2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Single parents</w:t>
            </w:r>
          </w:p>
        </w:tc>
        <w:tc>
          <w:tcPr>
            <w:tcW w:w="1013" w:type="dxa"/>
            <w:tcBorders>
              <w:top w:val="nil"/>
              <w:left w:val="nil"/>
              <w:right w:val="nil"/>
            </w:tcBorders>
            <w:shd w:val="clear" w:color="auto" w:fill="FFFFFF" w:themeFill="background2"/>
            <w:vAlign w:val="center"/>
            <w:hideMark/>
          </w:tcPr>
          <w:p w14:paraId="05255C1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33.9</w:t>
            </w:r>
          </w:p>
        </w:tc>
        <w:tc>
          <w:tcPr>
            <w:tcW w:w="952" w:type="dxa"/>
            <w:tcBorders>
              <w:top w:val="nil"/>
              <w:left w:val="nil"/>
              <w:right w:val="nil"/>
            </w:tcBorders>
            <w:shd w:val="clear" w:color="auto" w:fill="FFFFFF" w:themeFill="background2"/>
            <w:vAlign w:val="center"/>
            <w:hideMark/>
          </w:tcPr>
          <w:p w14:paraId="054A65C7"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-3.3</w:t>
            </w:r>
          </w:p>
        </w:tc>
        <w:tc>
          <w:tcPr>
            <w:tcW w:w="1013" w:type="dxa"/>
            <w:tcBorders>
              <w:top w:val="nil"/>
              <w:left w:val="nil"/>
              <w:right w:val="nil"/>
            </w:tcBorders>
            <w:shd w:val="clear" w:color="auto" w:fill="FFFFFF" w:themeFill="background2"/>
            <w:vAlign w:val="center"/>
            <w:hideMark/>
          </w:tcPr>
          <w:p w14:paraId="122F361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17.8</w:t>
            </w:r>
          </w:p>
        </w:tc>
        <w:tc>
          <w:tcPr>
            <w:tcW w:w="959" w:type="dxa"/>
            <w:tcBorders>
              <w:top w:val="nil"/>
              <w:left w:val="nil"/>
              <w:right w:val="nil"/>
            </w:tcBorders>
            <w:shd w:val="clear" w:color="auto" w:fill="FFFFFF" w:themeFill="background2"/>
            <w:vAlign w:val="center"/>
            <w:hideMark/>
          </w:tcPr>
          <w:p w14:paraId="383B1667"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-2.8</w:t>
            </w:r>
          </w:p>
        </w:tc>
        <w:tc>
          <w:tcPr>
            <w:tcW w:w="1013" w:type="dxa"/>
            <w:tcBorders>
              <w:top w:val="nil"/>
              <w:left w:val="nil"/>
              <w:right w:val="nil"/>
            </w:tcBorders>
            <w:shd w:val="clear" w:color="auto" w:fill="FFFFFF" w:themeFill="background2"/>
            <w:vAlign w:val="center"/>
            <w:hideMark/>
          </w:tcPr>
          <w:p w14:paraId="4DD7458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48.3</w:t>
            </w:r>
          </w:p>
        </w:tc>
        <w:tc>
          <w:tcPr>
            <w:tcW w:w="952" w:type="dxa"/>
            <w:tcBorders>
              <w:top w:val="nil"/>
              <w:left w:val="nil"/>
              <w:right w:val="nil"/>
            </w:tcBorders>
            <w:shd w:val="clear" w:color="auto" w:fill="FFFFFF" w:themeFill="background2"/>
            <w:vAlign w:val="center"/>
            <w:hideMark/>
          </w:tcPr>
          <w:p w14:paraId="5693639F"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6.1</w:t>
            </w:r>
          </w:p>
        </w:tc>
      </w:tr>
      <w:tr w:rsidR="00961617" w:rsidRPr="00545C7F" w14:paraId="153AEBEC" w14:textId="77777777" w:rsidTr="0020771F">
        <w:trPr>
          <w:trHeight w:hRule="exact" w:val="340"/>
        </w:trPr>
        <w:tc>
          <w:tcPr>
            <w:tcW w:w="3417" w:type="dxa"/>
            <w:tcBorders>
              <w:left w:val="nil"/>
              <w:bottom w:val="nil"/>
              <w:right w:val="nil"/>
            </w:tcBorders>
            <w:shd w:val="clear" w:color="auto" w:fill="E5E5E5" w:themeFill="background1" w:themeFillTint="33"/>
            <w:vAlign w:val="center"/>
            <w:hideMark/>
          </w:tcPr>
          <w:p w14:paraId="1297FB3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Youth (aged less than 25)</w:t>
            </w:r>
          </w:p>
        </w:tc>
        <w:tc>
          <w:tcPr>
            <w:tcW w:w="1013" w:type="dxa"/>
            <w:tcBorders>
              <w:left w:val="nil"/>
              <w:bottom w:val="nil"/>
              <w:right w:val="nil"/>
            </w:tcBorders>
            <w:shd w:val="clear" w:color="auto" w:fill="E5E5E5" w:themeFill="background1" w:themeFillTint="33"/>
            <w:vAlign w:val="center"/>
            <w:hideMark/>
          </w:tcPr>
          <w:p w14:paraId="6B8DB02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44.9</w:t>
            </w:r>
          </w:p>
        </w:tc>
        <w:tc>
          <w:tcPr>
            <w:tcW w:w="952" w:type="dxa"/>
            <w:tcBorders>
              <w:left w:val="nil"/>
              <w:bottom w:val="nil"/>
              <w:right w:val="nil"/>
            </w:tcBorders>
            <w:shd w:val="clear" w:color="auto" w:fill="E5E5E5" w:themeFill="background1" w:themeFillTint="33"/>
            <w:vAlign w:val="center"/>
            <w:hideMark/>
          </w:tcPr>
          <w:p w14:paraId="35AC422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-2.0</w:t>
            </w:r>
          </w:p>
        </w:tc>
        <w:tc>
          <w:tcPr>
            <w:tcW w:w="1013" w:type="dxa"/>
            <w:tcBorders>
              <w:left w:val="nil"/>
              <w:bottom w:val="nil"/>
              <w:right w:val="nil"/>
            </w:tcBorders>
            <w:shd w:val="clear" w:color="auto" w:fill="E5E5E5" w:themeFill="background1" w:themeFillTint="33"/>
            <w:vAlign w:val="center"/>
            <w:hideMark/>
          </w:tcPr>
          <w:p w14:paraId="2C71C40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7.0</w:t>
            </w:r>
          </w:p>
        </w:tc>
        <w:tc>
          <w:tcPr>
            <w:tcW w:w="959" w:type="dxa"/>
            <w:tcBorders>
              <w:left w:val="nil"/>
              <w:bottom w:val="nil"/>
              <w:right w:val="nil"/>
            </w:tcBorders>
            <w:shd w:val="clear" w:color="auto" w:fill="E5E5E5" w:themeFill="background1" w:themeFillTint="33"/>
            <w:vAlign w:val="center"/>
            <w:hideMark/>
          </w:tcPr>
          <w:p w14:paraId="237A2AC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-0.6</w:t>
            </w:r>
          </w:p>
        </w:tc>
        <w:tc>
          <w:tcPr>
            <w:tcW w:w="1013" w:type="dxa"/>
            <w:tcBorders>
              <w:left w:val="nil"/>
              <w:bottom w:val="nil"/>
              <w:right w:val="nil"/>
            </w:tcBorders>
            <w:shd w:val="clear" w:color="auto" w:fill="E5E5E5" w:themeFill="background1" w:themeFillTint="33"/>
            <w:vAlign w:val="center"/>
            <w:hideMark/>
          </w:tcPr>
          <w:p w14:paraId="20C876F4"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48.1</w:t>
            </w:r>
          </w:p>
        </w:tc>
        <w:tc>
          <w:tcPr>
            <w:tcW w:w="952" w:type="dxa"/>
            <w:tcBorders>
              <w:left w:val="nil"/>
              <w:bottom w:val="nil"/>
              <w:right w:val="nil"/>
            </w:tcBorders>
            <w:shd w:val="clear" w:color="auto" w:fill="E5E5E5" w:themeFill="background1" w:themeFillTint="33"/>
            <w:vAlign w:val="center"/>
            <w:hideMark/>
          </w:tcPr>
          <w:p w14:paraId="458833E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2.6</w:t>
            </w:r>
          </w:p>
        </w:tc>
      </w:tr>
      <w:tr w:rsidR="00961617" w:rsidRPr="00545C7F" w14:paraId="676B6A46" w14:textId="77777777" w:rsidTr="0020771F">
        <w:trPr>
          <w:trHeight w:hRule="exact" w:val="340"/>
        </w:trPr>
        <w:tc>
          <w:tcPr>
            <w:tcW w:w="3417" w:type="dxa"/>
            <w:tcBorders>
              <w:top w:val="nil"/>
              <w:left w:val="nil"/>
              <w:right w:val="nil"/>
            </w:tcBorders>
            <w:shd w:val="clear" w:color="auto" w:fill="FFFFFF" w:themeFill="background2"/>
            <w:vAlign w:val="center"/>
            <w:hideMark/>
          </w:tcPr>
          <w:p w14:paraId="1079848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Aged 25 to less than 50</w:t>
            </w:r>
          </w:p>
        </w:tc>
        <w:tc>
          <w:tcPr>
            <w:tcW w:w="1013" w:type="dxa"/>
            <w:tcBorders>
              <w:top w:val="nil"/>
              <w:left w:val="nil"/>
              <w:right w:val="nil"/>
            </w:tcBorders>
            <w:shd w:val="clear" w:color="auto" w:fill="FFFFFF" w:themeFill="background2"/>
            <w:vAlign w:val="center"/>
            <w:hideMark/>
          </w:tcPr>
          <w:p w14:paraId="20DD963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42.8</w:t>
            </w:r>
          </w:p>
        </w:tc>
        <w:tc>
          <w:tcPr>
            <w:tcW w:w="952" w:type="dxa"/>
            <w:tcBorders>
              <w:top w:val="nil"/>
              <w:left w:val="nil"/>
              <w:right w:val="nil"/>
            </w:tcBorders>
            <w:shd w:val="clear" w:color="auto" w:fill="FFFFFF" w:themeFill="background2"/>
            <w:vAlign w:val="center"/>
            <w:hideMark/>
          </w:tcPr>
          <w:p w14:paraId="6FD99DA4"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-2.3</w:t>
            </w:r>
          </w:p>
        </w:tc>
        <w:tc>
          <w:tcPr>
            <w:tcW w:w="1013" w:type="dxa"/>
            <w:tcBorders>
              <w:top w:val="nil"/>
              <w:left w:val="nil"/>
              <w:right w:val="nil"/>
            </w:tcBorders>
            <w:shd w:val="clear" w:color="auto" w:fill="FFFFFF" w:themeFill="background2"/>
            <w:vAlign w:val="center"/>
            <w:hideMark/>
          </w:tcPr>
          <w:p w14:paraId="0A81839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10.3</w:t>
            </w:r>
          </w:p>
        </w:tc>
        <w:tc>
          <w:tcPr>
            <w:tcW w:w="959" w:type="dxa"/>
            <w:tcBorders>
              <w:top w:val="nil"/>
              <w:left w:val="nil"/>
              <w:right w:val="nil"/>
            </w:tcBorders>
            <w:shd w:val="clear" w:color="auto" w:fill="FFFFFF" w:themeFill="background2"/>
            <w:vAlign w:val="center"/>
            <w:hideMark/>
          </w:tcPr>
          <w:p w14:paraId="25A2A1D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FFFFFF" w:themeFill="background2"/>
            <w:vAlign w:val="center"/>
            <w:hideMark/>
          </w:tcPr>
          <w:p w14:paraId="6B283283"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46.9</w:t>
            </w:r>
          </w:p>
        </w:tc>
        <w:tc>
          <w:tcPr>
            <w:tcW w:w="952" w:type="dxa"/>
            <w:tcBorders>
              <w:top w:val="nil"/>
              <w:left w:val="nil"/>
              <w:right w:val="nil"/>
            </w:tcBorders>
            <w:shd w:val="clear" w:color="auto" w:fill="FFFFFF" w:themeFill="background2"/>
            <w:vAlign w:val="center"/>
            <w:hideMark/>
          </w:tcPr>
          <w:p w14:paraId="0026B146"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3.5</w:t>
            </w:r>
          </w:p>
        </w:tc>
      </w:tr>
      <w:tr w:rsidR="00961617" w:rsidRPr="00545C7F" w14:paraId="23492904"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1ED8E0D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Mature age (aged 50 or more)</w:t>
            </w:r>
          </w:p>
        </w:tc>
        <w:tc>
          <w:tcPr>
            <w:tcW w:w="1013" w:type="dxa"/>
            <w:tcBorders>
              <w:top w:val="nil"/>
              <w:left w:val="nil"/>
              <w:right w:val="nil"/>
            </w:tcBorders>
            <w:shd w:val="clear" w:color="auto" w:fill="E5E5E5" w:themeFill="background1" w:themeFillTint="33"/>
            <w:vAlign w:val="center"/>
            <w:hideMark/>
          </w:tcPr>
          <w:p w14:paraId="01365F1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29.4</w:t>
            </w:r>
          </w:p>
        </w:tc>
        <w:tc>
          <w:tcPr>
            <w:tcW w:w="952" w:type="dxa"/>
            <w:tcBorders>
              <w:top w:val="nil"/>
              <w:left w:val="nil"/>
              <w:right w:val="nil"/>
            </w:tcBorders>
            <w:shd w:val="clear" w:color="auto" w:fill="E5E5E5" w:themeFill="background1" w:themeFillTint="33"/>
            <w:vAlign w:val="center"/>
            <w:hideMark/>
          </w:tcPr>
          <w:p w14:paraId="1DE9C32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-0.3</w:t>
            </w:r>
          </w:p>
        </w:tc>
        <w:tc>
          <w:tcPr>
            <w:tcW w:w="1013" w:type="dxa"/>
            <w:tcBorders>
              <w:top w:val="nil"/>
              <w:left w:val="nil"/>
              <w:right w:val="nil"/>
            </w:tcBorders>
            <w:shd w:val="clear" w:color="auto" w:fill="E5E5E5" w:themeFill="background1" w:themeFillTint="33"/>
            <w:vAlign w:val="center"/>
            <w:hideMark/>
          </w:tcPr>
          <w:p w14:paraId="2BF1717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16.1</w:t>
            </w:r>
          </w:p>
        </w:tc>
        <w:tc>
          <w:tcPr>
            <w:tcW w:w="959" w:type="dxa"/>
            <w:tcBorders>
              <w:top w:val="nil"/>
              <w:left w:val="nil"/>
              <w:right w:val="nil"/>
            </w:tcBorders>
            <w:shd w:val="clear" w:color="auto" w:fill="E5E5E5" w:themeFill="background1" w:themeFillTint="33"/>
            <w:vAlign w:val="center"/>
            <w:hideMark/>
          </w:tcPr>
          <w:p w14:paraId="68999DB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-2.2</w:t>
            </w:r>
          </w:p>
        </w:tc>
        <w:tc>
          <w:tcPr>
            <w:tcW w:w="1013" w:type="dxa"/>
            <w:tcBorders>
              <w:top w:val="nil"/>
              <w:left w:val="nil"/>
              <w:right w:val="nil"/>
            </w:tcBorders>
            <w:shd w:val="clear" w:color="auto" w:fill="E5E5E5" w:themeFill="background1" w:themeFillTint="33"/>
            <w:vAlign w:val="center"/>
            <w:hideMark/>
          </w:tcPr>
          <w:p w14:paraId="6844EE6D"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54.5</w:t>
            </w:r>
          </w:p>
        </w:tc>
        <w:tc>
          <w:tcPr>
            <w:tcW w:w="952" w:type="dxa"/>
            <w:tcBorders>
              <w:top w:val="nil"/>
              <w:left w:val="nil"/>
              <w:right w:val="nil"/>
            </w:tcBorders>
            <w:shd w:val="clear" w:color="auto" w:fill="E5E5E5" w:themeFill="background1" w:themeFillTint="33"/>
            <w:vAlign w:val="center"/>
            <w:hideMark/>
          </w:tcPr>
          <w:p w14:paraId="377BCBE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2.5</w:t>
            </w:r>
          </w:p>
        </w:tc>
      </w:tr>
      <w:tr w:rsidR="00961617" w:rsidRPr="00545C7F" w14:paraId="078A3009" w14:textId="77777777" w:rsidTr="0020771F">
        <w:trPr>
          <w:trHeight w:hRule="exact" w:val="340"/>
        </w:trPr>
        <w:tc>
          <w:tcPr>
            <w:tcW w:w="3417" w:type="dxa"/>
            <w:tcBorders>
              <w:left w:val="nil"/>
              <w:right w:val="nil"/>
            </w:tcBorders>
            <w:shd w:val="clear" w:color="auto" w:fill="FFFFFF" w:themeFill="background2"/>
            <w:vAlign w:val="center"/>
            <w:hideMark/>
          </w:tcPr>
          <w:p w14:paraId="48B753B9"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Females</w:t>
            </w:r>
          </w:p>
        </w:tc>
        <w:tc>
          <w:tcPr>
            <w:tcW w:w="1013" w:type="dxa"/>
            <w:tcBorders>
              <w:left w:val="nil"/>
              <w:right w:val="nil"/>
            </w:tcBorders>
            <w:shd w:val="clear" w:color="auto" w:fill="FFFFFF" w:themeFill="background2"/>
            <w:vAlign w:val="center"/>
            <w:hideMark/>
          </w:tcPr>
          <w:p w14:paraId="3C13AECF"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35.8</w:t>
            </w:r>
          </w:p>
        </w:tc>
        <w:tc>
          <w:tcPr>
            <w:tcW w:w="952" w:type="dxa"/>
            <w:tcBorders>
              <w:left w:val="nil"/>
              <w:right w:val="nil"/>
            </w:tcBorders>
            <w:shd w:val="clear" w:color="auto" w:fill="FFFFFF" w:themeFill="background2"/>
            <w:vAlign w:val="center"/>
            <w:hideMark/>
          </w:tcPr>
          <w:p w14:paraId="5A26036E"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-1.8</w:t>
            </w:r>
          </w:p>
        </w:tc>
        <w:tc>
          <w:tcPr>
            <w:tcW w:w="1013" w:type="dxa"/>
            <w:tcBorders>
              <w:left w:val="nil"/>
              <w:right w:val="nil"/>
            </w:tcBorders>
            <w:shd w:val="clear" w:color="auto" w:fill="FFFFFF" w:themeFill="background2"/>
            <w:vAlign w:val="center"/>
            <w:hideMark/>
          </w:tcPr>
          <w:p w14:paraId="7F5E70B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13.7</w:t>
            </w:r>
          </w:p>
        </w:tc>
        <w:tc>
          <w:tcPr>
            <w:tcW w:w="959" w:type="dxa"/>
            <w:tcBorders>
              <w:left w:val="nil"/>
              <w:right w:val="nil"/>
            </w:tcBorders>
            <w:shd w:val="clear" w:color="auto" w:fill="FFFFFF" w:themeFill="background2"/>
            <w:vAlign w:val="center"/>
            <w:hideMark/>
          </w:tcPr>
          <w:p w14:paraId="65163F6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left w:val="nil"/>
              <w:right w:val="nil"/>
            </w:tcBorders>
            <w:shd w:val="clear" w:color="auto" w:fill="FFFFFF" w:themeFill="background2"/>
            <w:vAlign w:val="center"/>
            <w:hideMark/>
          </w:tcPr>
          <w:p w14:paraId="218BD54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50.5</w:t>
            </w:r>
          </w:p>
        </w:tc>
        <w:tc>
          <w:tcPr>
            <w:tcW w:w="952" w:type="dxa"/>
            <w:tcBorders>
              <w:left w:val="nil"/>
              <w:right w:val="nil"/>
            </w:tcBorders>
            <w:shd w:val="clear" w:color="auto" w:fill="FFFFFF" w:themeFill="background2"/>
            <w:vAlign w:val="center"/>
            <w:hideMark/>
          </w:tcPr>
          <w:p w14:paraId="0C828DE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3.4</w:t>
            </w:r>
          </w:p>
        </w:tc>
      </w:tr>
      <w:tr w:rsidR="00961617" w:rsidRPr="00545C7F" w14:paraId="26B7C5F8"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5B617254"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Males</w:t>
            </w:r>
          </w:p>
        </w:tc>
        <w:tc>
          <w:tcPr>
            <w:tcW w:w="1013" w:type="dxa"/>
            <w:tcBorders>
              <w:top w:val="nil"/>
              <w:left w:val="nil"/>
              <w:right w:val="nil"/>
            </w:tcBorders>
            <w:shd w:val="clear" w:color="auto" w:fill="E5E5E5" w:themeFill="background1" w:themeFillTint="33"/>
            <w:vAlign w:val="center"/>
            <w:hideMark/>
          </w:tcPr>
          <w:p w14:paraId="446BEF0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45.0</w:t>
            </w:r>
          </w:p>
        </w:tc>
        <w:tc>
          <w:tcPr>
            <w:tcW w:w="952" w:type="dxa"/>
            <w:tcBorders>
              <w:top w:val="nil"/>
              <w:left w:val="nil"/>
              <w:right w:val="nil"/>
            </w:tcBorders>
            <w:shd w:val="clear" w:color="auto" w:fill="E5E5E5" w:themeFill="background1" w:themeFillTint="33"/>
            <w:vAlign w:val="center"/>
            <w:hideMark/>
          </w:tcPr>
          <w:p w14:paraId="7BBE030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-2.4</w:t>
            </w:r>
          </w:p>
        </w:tc>
        <w:tc>
          <w:tcPr>
            <w:tcW w:w="1013" w:type="dxa"/>
            <w:tcBorders>
              <w:top w:val="nil"/>
              <w:left w:val="nil"/>
              <w:right w:val="nil"/>
            </w:tcBorders>
            <w:shd w:val="clear" w:color="auto" w:fill="E5E5E5" w:themeFill="background1" w:themeFillTint="33"/>
            <w:vAlign w:val="center"/>
            <w:hideMark/>
          </w:tcPr>
          <w:p w14:paraId="4387572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7.8</w:t>
            </w:r>
          </w:p>
        </w:tc>
        <w:tc>
          <w:tcPr>
            <w:tcW w:w="959" w:type="dxa"/>
            <w:tcBorders>
              <w:top w:val="nil"/>
              <w:left w:val="nil"/>
              <w:right w:val="nil"/>
            </w:tcBorders>
            <w:shd w:val="clear" w:color="auto" w:fill="E5E5E5" w:themeFill="background1" w:themeFillTint="33"/>
            <w:vAlign w:val="center"/>
            <w:hideMark/>
          </w:tcPr>
          <w:p w14:paraId="3A270F6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-0.7</w:t>
            </w:r>
          </w:p>
        </w:tc>
        <w:tc>
          <w:tcPr>
            <w:tcW w:w="1013" w:type="dxa"/>
            <w:tcBorders>
              <w:top w:val="nil"/>
              <w:left w:val="nil"/>
              <w:right w:val="nil"/>
            </w:tcBorders>
            <w:shd w:val="clear" w:color="auto" w:fill="E5E5E5" w:themeFill="background1" w:themeFillTint="33"/>
            <w:vAlign w:val="center"/>
            <w:hideMark/>
          </w:tcPr>
          <w:p w14:paraId="078741B5"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47.2</w:t>
            </w:r>
          </w:p>
        </w:tc>
        <w:tc>
          <w:tcPr>
            <w:tcW w:w="952" w:type="dxa"/>
            <w:tcBorders>
              <w:top w:val="nil"/>
              <w:left w:val="nil"/>
              <w:right w:val="nil"/>
            </w:tcBorders>
            <w:shd w:val="clear" w:color="auto" w:fill="E5E5E5" w:themeFill="background1" w:themeFillTint="33"/>
            <w:vAlign w:val="center"/>
            <w:hideMark/>
          </w:tcPr>
          <w:p w14:paraId="6AF07B5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3.1</w:t>
            </w:r>
          </w:p>
        </w:tc>
      </w:tr>
      <w:tr w:rsidR="00961617" w:rsidRPr="00545C7F" w14:paraId="329016E0" w14:textId="77777777" w:rsidTr="0020771F">
        <w:trPr>
          <w:trHeight w:hRule="exact" w:val="340"/>
        </w:trPr>
        <w:tc>
          <w:tcPr>
            <w:tcW w:w="3417" w:type="dxa"/>
            <w:tcBorders>
              <w:left w:val="nil"/>
              <w:bottom w:val="nil"/>
              <w:right w:val="nil"/>
            </w:tcBorders>
            <w:shd w:val="clear" w:color="auto" w:fill="FFFFFF" w:themeFill="background2"/>
            <w:vAlign w:val="center"/>
            <w:hideMark/>
          </w:tcPr>
          <w:p w14:paraId="7332722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1 to less than 2 years</w:t>
            </w:r>
          </w:p>
        </w:tc>
        <w:tc>
          <w:tcPr>
            <w:tcW w:w="1013" w:type="dxa"/>
            <w:tcBorders>
              <w:left w:val="nil"/>
              <w:bottom w:val="nil"/>
              <w:right w:val="nil"/>
            </w:tcBorders>
            <w:shd w:val="clear" w:color="auto" w:fill="FFFFFF" w:themeFill="background2"/>
            <w:vAlign w:val="center"/>
            <w:hideMark/>
          </w:tcPr>
          <w:p w14:paraId="7152A28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48.8</w:t>
            </w:r>
          </w:p>
        </w:tc>
        <w:tc>
          <w:tcPr>
            <w:tcW w:w="952" w:type="dxa"/>
            <w:tcBorders>
              <w:left w:val="nil"/>
              <w:bottom w:val="nil"/>
              <w:right w:val="nil"/>
            </w:tcBorders>
            <w:shd w:val="clear" w:color="auto" w:fill="FFFFFF" w:themeFill="background2"/>
            <w:vAlign w:val="center"/>
            <w:hideMark/>
          </w:tcPr>
          <w:p w14:paraId="0A31026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-3.4</w:t>
            </w:r>
          </w:p>
        </w:tc>
        <w:tc>
          <w:tcPr>
            <w:tcW w:w="1013" w:type="dxa"/>
            <w:tcBorders>
              <w:left w:val="nil"/>
              <w:bottom w:val="nil"/>
              <w:right w:val="nil"/>
            </w:tcBorders>
            <w:shd w:val="clear" w:color="auto" w:fill="FFFFFF" w:themeFill="background2"/>
            <w:vAlign w:val="center"/>
            <w:hideMark/>
          </w:tcPr>
          <w:p w14:paraId="15363E0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10.4</w:t>
            </w:r>
          </w:p>
        </w:tc>
        <w:tc>
          <w:tcPr>
            <w:tcW w:w="959" w:type="dxa"/>
            <w:tcBorders>
              <w:left w:val="nil"/>
              <w:bottom w:val="nil"/>
              <w:right w:val="nil"/>
            </w:tcBorders>
            <w:shd w:val="clear" w:color="auto" w:fill="FFFFFF" w:themeFill="background2"/>
            <w:vAlign w:val="center"/>
            <w:hideMark/>
          </w:tcPr>
          <w:p w14:paraId="5CF5674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-1.1</w:t>
            </w:r>
          </w:p>
        </w:tc>
        <w:tc>
          <w:tcPr>
            <w:tcW w:w="1013" w:type="dxa"/>
            <w:tcBorders>
              <w:left w:val="nil"/>
              <w:bottom w:val="nil"/>
              <w:right w:val="nil"/>
            </w:tcBorders>
            <w:shd w:val="clear" w:color="auto" w:fill="FFFFFF" w:themeFill="background2"/>
            <w:vAlign w:val="center"/>
            <w:hideMark/>
          </w:tcPr>
          <w:p w14:paraId="4D871FF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40.8</w:t>
            </w:r>
          </w:p>
        </w:tc>
        <w:tc>
          <w:tcPr>
            <w:tcW w:w="952" w:type="dxa"/>
            <w:tcBorders>
              <w:left w:val="nil"/>
              <w:bottom w:val="nil"/>
              <w:right w:val="nil"/>
            </w:tcBorders>
            <w:shd w:val="clear" w:color="auto" w:fill="FFFFFF" w:themeFill="background2"/>
            <w:vAlign w:val="center"/>
            <w:hideMark/>
          </w:tcPr>
          <w:p w14:paraId="53E27ADB"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4.5</w:t>
            </w:r>
          </w:p>
        </w:tc>
      </w:tr>
      <w:tr w:rsidR="00961617" w:rsidRPr="00545C7F" w14:paraId="063E64D7" w14:textId="77777777" w:rsidTr="0020771F">
        <w:trPr>
          <w:trHeight w:hRule="exact" w:val="340"/>
        </w:trPr>
        <w:tc>
          <w:tcPr>
            <w:tcW w:w="3417" w:type="dxa"/>
            <w:tcBorders>
              <w:top w:val="nil"/>
              <w:left w:val="nil"/>
              <w:right w:val="nil"/>
            </w:tcBorders>
            <w:shd w:val="clear" w:color="auto" w:fill="E5E5E5" w:themeFill="background1" w:themeFillTint="33"/>
            <w:vAlign w:val="center"/>
            <w:hideMark/>
          </w:tcPr>
          <w:p w14:paraId="5CCA57C1"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2 to less than 5 years</w:t>
            </w:r>
          </w:p>
        </w:tc>
        <w:tc>
          <w:tcPr>
            <w:tcW w:w="1013" w:type="dxa"/>
            <w:tcBorders>
              <w:top w:val="nil"/>
              <w:left w:val="nil"/>
              <w:right w:val="nil"/>
            </w:tcBorders>
            <w:shd w:val="clear" w:color="auto" w:fill="E5E5E5" w:themeFill="background1" w:themeFillTint="33"/>
            <w:vAlign w:val="center"/>
            <w:hideMark/>
          </w:tcPr>
          <w:p w14:paraId="599572C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35.7</w:t>
            </w:r>
          </w:p>
        </w:tc>
        <w:tc>
          <w:tcPr>
            <w:tcW w:w="952" w:type="dxa"/>
            <w:tcBorders>
              <w:top w:val="nil"/>
              <w:left w:val="nil"/>
              <w:right w:val="nil"/>
            </w:tcBorders>
            <w:shd w:val="clear" w:color="auto" w:fill="E5E5E5" w:themeFill="background1" w:themeFillTint="33"/>
            <w:vAlign w:val="center"/>
            <w:hideMark/>
          </w:tcPr>
          <w:p w14:paraId="5561638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E5E5E5" w:themeFill="background1" w:themeFillTint="33"/>
            <w:vAlign w:val="center"/>
            <w:hideMark/>
          </w:tcPr>
          <w:p w14:paraId="1434426F"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11.1</w:t>
            </w:r>
          </w:p>
        </w:tc>
        <w:tc>
          <w:tcPr>
            <w:tcW w:w="959" w:type="dxa"/>
            <w:tcBorders>
              <w:top w:val="nil"/>
              <w:left w:val="nil"/>
              <w:right w:val="nil"/>
            </w:tcBorders>
            <w:shd w:val="clear" w:color="auto" w:fill="E5E5E5" w:themeFill="background1" w:themeFillTint="33"/>
            <w:vAlign w:val="center"/>
            <w:hideMark/>
          </w:tcPr>
          <w:p w14:paraId="33E550A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E5E5E5" w:themeFill="background1" w:themeFillTint="33"/>
            <w:vAlign w:val="center"/>
            <w:hideMark/>
          </w:tcPr>
          <w:p w14:paraId="7F52DBB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53.2</w:t>
            </w:r>
          </w:p>
        </w:tc>
        <w:tc>
          <w:tcPr>
            <w:tcW w:w="952" w:type="dxa"/>
            <w:tcBorders>
              <w:top w:val="nil"/>
              <w:left w:val="nil"/>
              <w:right w:val="nil"/>
            </w:tcBorders>
            <w:shd w:val="clear" w:color="auto" w:fill="E5E5E5" w:themeFill="background1" w:themeFillTint="33"/>
            <w:vAlign w:val="center"/>
            <w:hideMark/>
          </w:tcPr>
          <w:p w14:paraId="28C41AA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2.5</w:t>
            </w:r>
          </w:p>
        </w:tc>
      </w:tr>
      <w:tr w:rsidR="00961617" w:rsidRPr="00545C7F" w14:paraId="579E0178" w14:textId="77777777" w:rsidTr="0020771F">
        <w:trPr>
          <w:trHeight w:hRule="exact" w:val="340"/>
        </w:trPr>
        <w:tc>
          <w:tcPr>
            <w:tcW w:w="3417" w:type="dxa"/>
            <w:tcBorders>
              <w:top w:val="nil"/>
              <w:left w:val="nil"/>
              <w:right w:val="nil"/>
            </w:tcBorders>
            <w:shd w:val="clear" w:color="auto" w:fill="FFFFFF" w:themeFill="background2"/>
            <w:vAlign w:val="center"/>
            <w:hideMark/>
          </w:tcPr>
          <w:p w14:paraId="22AF311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5 years or more</w:t>
            </w:r>
          </w:p>
        </w:tc>
        <w:tc>
          <w:tcPr>
            <w:tcW w:w="1013" w:type="dxa"/>
            <w:tcBorders>
              <w:top w:val="nil"/>
              <w:left w:val="nil"/>
              <w:right w:val="nil"/>
            </w:tcBorders>
            <w:shd w:val="clear" w:color="auto" w:fill="FFFFFF" w:themeFill="background2"/>
            <w:vAlign w:val="center"/>
            <w:hideMark/>
          </w:tcPr>
          <w:p w14:paraId="35FC41C3"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22.1</w:t>
            </w:r>
          </w:p>
        </w:tc>
        <w:tc>
          <w:tcPr>
            <w:tcW w:w="952" w:type="dxa"/>
            <w:tcBorders>
              <w:top w:val="nil"/>
              <w:left w:val="nil"/>
              <w:right w:val="nil"/>
            </w:tcBorders>
            <w:shd w:val="clear" w:color="auto" w:fill="FFFFFF" w:themeFill="background2"/>
            <w:vAlign w:val="center"/>
            <w:hideMark/>
          </w:tcPr>
          <w:p w14:paraId="2973A4F7"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-0.3</w:t>
            </w:r>
          </w:p>
        </w:tc>
        <w:tc>
          <w:tcPr>
            <w:tcW w:w="1013" w:type="dxa"/>
            <w:tcBorders>
              <w:top w:val="nil"/>
              <w:left w:val="nil"/>
              <w:right w:val="nil"/>
            </w:tcBorders>
            <w:shd w:val="clear" w:color="auto" w:fill="FFFFFF" w:themeFill="background2"/>
            <w:vAlign w:val="center"/>
            <w:hideMark/>
          </w:tcPr>
          <w:p w14:paraId="548C6A60"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10.2</w:t>
            </w:r>
          </w:p>
        </w:tc>
        <w:tc>
          <w:tcPr>
            <w:tcW w:w="959" w:type="dxa"/>
            <w:tcBorders>
              <w:top w:val="nil"/>
              <w:left w:val="nil"/>
              <w:right w:val="nil"/>
            </w:tcBorders>
            <w:shd w:val="clear" w:color="auto" w:fill="FFFFFF" w:themeFill="background2"/>
            <w:vAlign w:val="center"/>
            <w:hideMark/>
          </w:tcPr>
          <w:p w14:paraId="29D9CC2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-1.5</w:t>
            </w:r>
          </w:p>
        </w:tc>
        <w:tc>
          <w:tcPr>
            <w:tcW w:w="1013" w:type="dxa"/>
            <w:tcBorders>
              <w:top w:val="nil"/>
              <w:left w:val="nil"/>
              <w:right w:val="nil"/>
            </w:tcBorders>
            <w:shd w:val="clear" w:color="auto" w:fill="FFFFFF" w:themeFill="background2"/>
            <w:vAlign w:val="center"/>
            <w:hideMark/>
          </w:tcPr>
          <w:p w14:paraId="2378CD0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67.7</w:t>
            </w:r>
          </w:p>
        </w:tc>
        <w:tc>
          <w:tcPr>
            <w:tcW w:w="952" w:type="dxa"/>
            <w:tcBorders>
              <w:top w:val="nil"/>
              <w:left w:val="nil"/>
              <w:right w:val="nil"/>
            </w:tcBorders>
            <w:shd w:val="clear" w:color="auto" w:fill="FFFFFF" w:themeFill="background2"/>
            <w:vAlign w:val="center"/>
            <w:hideMark/>
          </w:tcPr>
          <w:p w14:paraId="6C5D6FF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1.8</w:t>
            </w:r>
          </w:p>
        </w:tc>
      </w:tr>
      <w:tr w:rsidR="00961617" w:rsidRPr="00545C7F" w14:paraId="586F9141" w14:textId="77777777" w:rsidTr="0020771F">
        <w:trPr>
          <w:trHeight w:hRule="exact" w:val="340"/>
        </w:trPr>
        <w:tc>
          <w:tcPr>
            <w:tcW w:w="3417" w:type="dxa"/>
            <w:tcBorders>
              <w:left w:val="nil"/>
              <w:right w:val="nil"/>
            </w:tcBorders>
            <w:shd w:val="clear" w:color="auto" w:fill="8EAEDE"/>
            <w:vAlign w:val="center"/>
            <w:hideMark/>
          </w:tcPr>
          <w:p w14:paraId="63AB3A39" w14:textId="77777777" w:rsidR="00961617" w:rsidRPr="00545C7F" w:rsidRDefault="00961617" w:rsidP="0020771F">
            <w:pPr>
              <w:spacing w:after="0" w:line="240" w:lineRule="auto"/>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Total</w:t>
            </w:r>
          </w:p>
        </w:tc>
        <w:tc>
          <w:tcPr>
            <w:tcW w:w="1013" w:type="dxa"/>
            <w:tcBorders>
              <w:left w:val="nil"/>
              <w:right w:val="nil"/>
            </w:tcBorders>
            <w:shd w:val="clear" w:color="auto" w:fill="8EAEDE"/>
            <w:vAlign w:val="center"/>
            <w:hideMark/>
          </w:tcPr>
          <w:p w14:paraId="3AE5908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40.6</w:t>
            </w:r>
          </w:p>
        </w:tc>
        <w:tc>
          <w:tcPr>
            <w:tcW w:w="952" w:type="dxa"/>
            <w:tcBorders>
              <w:left w:val="nil"/>
              <w:right w:val="nil"/>
            </w:tcBorders>
            <w:shd w:val="clear" w:color="auto" w:fill="8EAEDE"/>
            <w:vAlign w:val="center"/>
            <w:hideMark/>
          </w:tcPr>
          <w:p w14:paraId="13E71DA8"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-2.1</w:t>
            </w:r>
          </w:p>
        </w:tc>
        <w:tc>
          <w:tcPr>
            <w:tcW w:w="1013" w:type="dxa"/>
            <w:tcBorders>
              <w:left w:val="nil"/>
              <w:right w:val="nil"/>
            </w:tcBorders>
            <w:shd w:val="clear" w:color="auto" w:fill="8EAEDE"/>
            <w:vAlign w:val="center"/>
            <w:hideMark/>
          </w:tcPr>
          <w:p w14:paraId="246984DC"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10.6</w:t>
            </w:r>
          </w:p>
        </w:tc>
        <w:tc>
          <w:tcPr>
            <w:tcW w:w="959" w:type="dxa"/>
            <w:tcBorders>
              <w:left w:val="nil"/>
              <w:right w:val="nil"/>
            </w:tcBorders>
            <w:shd w:val="clear" w:color="auto" w:fill="8EAEDE"/>
            <w:vAlign w:val="center"/>
            <w:hideMark/>
          </w:tcPr>
          <w:p w14:paraId="7F1AA2B1"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left w:val="nil"/>
              <w:right w:val="nil"/>
            </w:tcBorders>
            <w:shd w:val="clear" w:color="auto" w:fill="8EAEDE"/>
            <w:vAlign w:val="center"/>
            <w:hideMark/>
          </w:tcPr>
          <w:p w14:paraId="3BE05809"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48.8</w:t>
            </w:r>
          </w:p>
        </w:tc>
        <w:tc>
          <w:tcPr>
            <w:tcW w:w="952" w:type="dxa"/>
            <w:tcBorders>
              <w:left w:val="nil"/>
              <w:right w:val="nil"/>
            </w:tcBorders>
            <w:shd w:val="clear" w:color="auto" w:fill="8EAEDE"/>
            <w:vAlign w:val="center"/>
            <w:hideMark/>
          </w:tcPr>
          <w:p w14:paraId="289E354D" w14:textId="77777777" w:rsidR="00961617" w:rsidRPr="00545C7F" w:rsidRDefault="00961617" w:rsidP="0020771F">
            <w:pPr>
              <w:pStyle w:val="tabletextslim"/>
              <w:spacing w:before="0" w:after="0"/>
              <w:ind w:left="-89" w:right="44"/>
              <w:rPr>
                <w:rFonts w:eastAsia="Times New Roman" w:cstheme="minorHAnsi"/>
                <w:sz w:val="20"/>
                <w:szCs w:val="20"/>
                <w:lang w:eastAsia="en-AU"/>
              </w:rPr>
            </w:pPr>
            <w:r w:rsidRPr="00545C7F">
              <w:rPr>
                <w:rFonts w:eastAsia="Times New Roman" w:cstheme="minorHAnsi"/>
                <w:sz w:val="20"/>
                <w:szCs w:val="20"/>
                <w:lang w:eastAsia="en-AU"/>
              </w:rPr>
              <w:t>3.3</w:t>
            </w:r>
          </w:p>
        </w:tc>
      </w:tr>
    </w:tbl>
    <w:p w14:paraId="4B2452FD" w14:textId="77777777" w:rsidR="00961617" w:rsidRPr="00AE501D" w:rsidRDefault="00961617" w:rsidP="00AE501D">
      <w:pPr>
        <w:pStyle w:val="Notesnumbered"/>
      </w:pPr>
      <w:r w:rsidRPr="00E13B5E">
        <w:rPr>
          <w:b/>
        </w:rPr>
        <w:t>Notes</w:t>
      </w:r>
      <w:r w:rsidRPr="002F5864">
        <w:t>:</w:t>
      </w:r>
    </w:p>
    <w:p w14:paraId="4B908EB9" w14:textId="77777777" w:rsidR="00961617" w:rsidRPr="00AE501D" w:rsidRDefault="00961617" w:rsidP="00AE501D">
      <w:pPr>
        <w:pStyle w:val="Notesnumbered"/>
        <w:numPr>
          <w:ilvl w:val="0"/>
          <w:numId w:val="260"/>
        </w:numPr>
      </w:pPr>
      <w:r w:rsidRPr="00AE501D">
        <w:t>Observed results are not regressed. AME figures are from regression analysis.</w:t>
      </w:r>
    </w:p>
    <w:p w14:paraId="03C02EBF" w14:textId="77777777" w:rsidR="00961617" w:rsidRPr="00AE501D" w:rsidRDefault="00961617" w:rsidP="00AE501D">
      <w:pPr>
        <w:pStyle w:val="Notesnumbered"/>
        <w:numPr>
          <w:ilvl w:val="0"/>
          <w:numId w:val="260"/>
        </w:numPr>
      </w:pPr>
      <w:r w:rsidRPr="00AE501D">
        <w:t>Discrepancies may occur between sums of the component items and totals due to rounding.</w:t>
      </w:r>
    </w:p>
    <w:p w14:paraId="7ECDF933" w14:textId="77777777" w:rsidR="00961617" w:rsidRPr="00AE501D" w:rsidRDefault="00961617" w:rsidP="00AE501D">
      <w:pPr>
        <w:pStyle w:val="Notesnumbered"/>
        <w:numPr>
          <w:ilvl w:val="0"/>
          <w:numId w:val="260"/>
        </w:numPr>
      </w:pPr>
      <w:r w:rsidRPr="00AE501D">
        <w:t>AME are calculated only for job seekers with recent JSCI. This is so that observed differences between the populations can be properly accounted for.</w:t>
      </w:r>
    </w:p>
    <w:p w14:paraId="3EDE12FD" w14:textId="77777777" w:rsidR="00961617" w:rsidRPr="00AE501D" w:rsidRDefault="00961617" w:rsidP="00AE501D">
      <w:pPr>
        <w:pStyle w:val="Notesnumbered"/>
        <w:numPr>
          <w:ilvl w:val="0"/>
          <w:numId w:val="260"/>
        </w:numPr>
      </w:pPr>
      <w:r w:rsidRPr="00AE501D">
        <w:t>n.s Not significant at the 99 per cent level.</w:t>
      </w:r>
    </w:p>
    <w:p w14:paraId="688B3851" w14:textId="77777777" w:rsidR="00961617" w:rsidRPr="002F5864" w:rsidRDefault="00961617" w:rsidP="00AE501D">
      <w:pPr>
        <w:pStyle w:val="Notesnumbered"/>
        <w:numPr>
          <w:ilvl w:val="0"/>
          <w:numId w:val="260"/>
        </w:numPr>
      </w:pPr>
      <w:r w:rsidRPr="00AE501D">
        <w:t>The observed results in the above table are the combined results for the two study populations (JSA 2009 and JSA 2012). These observed results are provided to give the reader an appreciation of the relative proportions that the AME figures relate to. For instance</w:t>
      </w:r>
      <w:r w:rsidRPr="002F5864">
        <w:t>:</w:t>
      </w:r>
    </w:p>
    <w:p w14:paraId="3FFC7569" w14:textId="77777777" w:rsidR="00961617" w:rsidRPr="00AE501D" w:rsidRDefault="00961617" w:rsidP="00AE501D">
      <w:pPr>
        <w:pStyle w:val="Notesnumbered"/>
        <w:numPr>
          <w:ilvl w:val="1"/>
          <w:numId w:val="260"/>
        </w:numPr>
      </w:pPr>
      <w:r w:rsidRPr="002F5864">
        <w:t xml:space="preserve">the 2.9 </w:t>
      </w:r>
      <w:r w:rsidRPr="00AE501D">
        <w:t>percentage point difference (AME) between models in the proportion of job seekers with disability that were on full income support 12 months after exiting income support (derived using regression methods to control for differences between the two LTU study populations) relates to around three-quarters of LTU job seekers  with disability (70.6 per cent observed result across both populations)</w:t>
      </w:r>
    </w:p>
    <w:p w14:paraId="53310BE5" w14:textId="77777777" w:rsidR="00961617" w:rsidRPr="002F5864" w:rsidRDefault="00E13B5E" w:rsidP="00AE501D">
      <w:pPr>
        <w:pStyle w:val="Notesnumbered"/>
        <w:numPr>
          <w:ilvl w:val="1"/>
          <w:numId w:val="260"/>
        </w:numPr>
      </w:pPr>
      <w:r w:rsidRPr="00AE501D">
        <w:t>t</w:t>
      </w:r>
      <w:r w:rsidR="00961617" w:rsidRPr="00AE501D">
        <w:t>he estimated 2.4 percentage point difference (AME) between the two models of the proportion of Stream 3 job seekers that were off income support 12 months after exiting income support relates to about a quarter of Stream 3 job</w:t>
      </w:r>
      <w:r w:rsidR="00961617" w:rsidRPr="002F5864">
        <w:t xml:space="preserve"> seekers (29.0 per cent observed across both populations).</w:t>
      </w:r>
    </w:p>
    <w:p w14:paraId="1BA2265D" w14:textId="77777777" w:rsidR="00961617" w:rsidRPr="002F5864" w:rsidRDefault="00961617" w:rsidP="00E13B5E">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 and Research and Evaluation dataset (RED).</w:t>
      </w:r>
    </w:p>
    <w:p w14:paraId="36A66CEA" w14:textId="77777777" w:rsidR="00961617" w:rsidRPr="002F5864" w:rsidRDefault="00864C5E" w:rsidP="00961617">
      <w:pPr>
        <w:spacing w:before="120"/>
        <w:rPr>
          <w:rFonts w:cstheme="minorHAnsi"/>
          <w:b/>
          <w:sz w:val="18"/>
          <w:szCs w:val="18"/>
        </w:rPr>
      </w:pPr>
      <w:hyperlink w:anchor="Place_A211" w:history="1">
        <w:r w:rsidR="00331592" w:rsidRPr="00DA0CBF">
          <w:rPr>
            <w:rStyle w:val="Hyperlink"/>
            <w:rFonts w:cstheme="minorHAnsi"/>
            <w:sz w:val="18"/>
            <w:szCs w:val="18"/>
          </w:rPr>
          <w:t>Return to Table 3.5</w:t>
        </w:r>
      </w:hyperlink>
      <w:r w:rsidR="00961617" w:rsidRPr="002F5864">
        <w:rPr>
          <w:rFonts w:cstheme="minorHAnsi"/>
          <w:sz w:val="18"/>
          <w:szCs w:val="18"/>
        </w:rPr>
        <w:t xml:space="preserve"> where this data is referenced.</w:t>
      </w:r>
    </w:p>
    <w:p w14:paraId="29AD3084" w14:textId="77777777" w:rsidR="00961617" w:rsidRPr="002F5864" w:rsidRDefault="00961617" w:rsidP="00961617">
      <w:pPr>
        <w:pStyle w:val="FootnoteText"/>
        <w:keepNext/>
        <w:keepLines/>
        <w:numPr>
          <w:ilvl w:val="0"/>
          <w:numId w:val="96"/>
        </w:numPr>
        <w:tabs>
          <w:tab w:val="clear" w:pos="454"/>
          <w:tab w:val="left" w:pos="709"/>
        </w:tabs>
        <w:rPr>
          <w:rFonts w:eastAsia="Times New Roman" w:cstheme="minorHAnsi"/>
          <w:lang w:eastAsia="en-AU"/>
        </w:rPr>
        <w:sectPr w:rsidR="00961617" w:rsidRPr="002F5864" w:rsidSect="00861BD8">
          <w:headerReference w:type="even" r:id="rId72"/>
          <w:footerReference w:type="even" r:id="rId73"/>
          <w:headerReference w:type="first" r:id="rId74"/>
          <w:footerReference w:type="first" r:id="rId75"/>
          <w:pgSz w:w="11906" w:h="16838" w:code="9"/>
          <w:pgMar w:top="1440" w:right="1440" w:bottom="1440" w:left="1440" w:header="709" w:footer="284" w:gutter="0"/>
          <w:cols w:space="708"/>
          <w:docGrid w:linePitch="360"/>
        </w:sectPr>
      </w:pPr>
    </w:p>
    <w:p w14:paraId="742AF3D1" w14:textId="124B4EEA" w:rsidR="00961617" w:rsidRPr="002F5864" w:rsidRDefault="00961617" w:rsidP="00961617">
      <w:pPr>
        <w:pStyle w:val="TableheadingforappendixA1"/>
        <w:rPr>
          <w:rFonts w:cstheme="minorHAnsi"/>
        </w:rPr>
      </w:pPr>
      <w:bookmarkStart w:id="645" w:name="_Toc513129905"/>
      <w:r w:rsidRPr="002F5864">
        <w:rPr>
          <w:rFonts w:cstheme="minorHAnsi"/>
        </w:rPr>
        <w:t>Table A2.12: Income support status rates and average marginal effect (AME) estimates for the predicted probability of income support status 12 months after snapshot date, JSA 201</w:t>
      </w:r>
      <w:r w:rsidR="005B651F">
        <w:rPr>
          <w:rFonts w:cstheme="minorHAnsi"/>
        </w:rPr>
        <w:t>2</w:t>
      </w:r>
      <w:r w:rsidRPr="002F5864">
        <w:rPr>
          <w:rFonts w:cstheme="minorHAnsi"/>
        </w:rPr>
        <w:t xml:space="preserve"> compared with JSA 2009, long-term unemployed (LTU) job seekers</w:t>
      </w:r>
      <w:bookmarkEnd w:id="645"/>
    </w:p>
    <w:tbl>
      <w:tblPr>
        <w:tblW w:w="9459" w:type="dxa"/>
        <w:tblInd w:w="93" w:type="dxa"/>
        <w:tblLook w:val="04A0" w:firstRow="1" w:lastRow="0" w:firstColumn="1" w:lastColumn="0" w:noHBand="0" w:noVBand="1"/>
      </w:tblPr>
      <w:tblGrid>
        <w:gridCol w:w="3559"/>
        <w:gridCol w:w="1013"/>
        <w:gridCol w:w="951"/>
        <w:gridCol w:w="1013"/>
        <w:gridCol w:w="959"/>
        <w:gridCol w:w="1013"/>
        <w:gridCol w:w="951"/>
      </w:tblGrid>
      <w:tr w:rsidR="00961617" w:rsidRPr="00545C7F" w14:paraId="7DB9AE44" w14:textId="77777777" w:rsidTr="0020771F">
        <w:trPr>
          <w:trHeight w:val="912"/>
          <w:tblHeader/>
        </w:trPr>
        <w:tc>
          <w:tcPr>
            <w:tcW w:w="3559" w:type="dxa"/>
            <w:tcBorders>
              <w:top w:val="nil"/>
              <w:left w:val="nil"/>
              <w:right w:val="nil"/>
            </w:tcBorders>
            <w:shd w:val="clear" w:color="000000" w:fill="1E3D6B"/>
            <w:vAlign w:val="center"/>
            <w:hideMark/>
          </w:tcPr>
          <w:p w14:paraId="2ED89E26" w14:textId="77777777" w:rsidR="00961617" w:rsidRPr="00545C7F" w:rsidRDefault="00961617" w:rsidP="0020771F">
            <w:pPr>
              <w:spacing w:after="0" w:line="240" w:lineRule="auto"/>
              <w:rPr>
                <w:rFonts w:eastAsia="Times New Roman" w:cstheme="minorHAnsi"/>
                <w:b/>
                <w:bCs/>
                <w:color w:val="FFFFFF"/>
                <w:sz w:val="20"/>
                <w:szCs w:val="20"/>
                <w:lang w:eastAsia="en-AU"/>
              </w:rPr>
            </w:pPr>
            <w:bookmarkStart w:id="646" w:name="Title_A212"/>
            <w:bookmarkEnd w:id="646"/>
            <w:r w:rsidRPr="00545C7F">
              <w:rPr>
                <w:rFonts w:eastAsia="Times New Roman" w:cstheme="minorHAnsi"/>
                <w:b/>
                <w:bCs/>
                <w:color w:val="FFFFFF"/>
                <w:sz w:val="20"/>
                <w:szCs w:val="20"/>
                <w:lang w:eastAsia="en-AU"/>
              </w:rPr>
              <w:t>Client group</w:t>
            </w:r>
          </w:p>
        </w:tc>
        <w:tc>
          <w:tcPr>
            <w:tcW w:w="1013" w:type="dxa"/>
            <w:tcBorders>
              <w:top w:val="nil"/>
              <w:left w:val="nil"/>
              <w:right w:val="nil"/>
            </w:tcBorders>
            <w:shd w:val="clear" w:color="000000" w:fill="1E3D6B"/>
            <w:vAlign w:val="center"/>
            <w:hideMark/>
          </w:tcPr>
          <w:p w14:paraId="4737F025"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OFF</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1" w:type="dxa"/>
            <w:tcBorders>
              <w:top w:val="nil"/>
              <w:left w:val="nil"/>
              <w:right w:val="nil"/>
            </w:tcBorders>
            <w:shd w:val="clear" w:color="000000" w:fill="1E3D6B"/>
            <w:vAlign w:val="center"/>
            <w:hideMark/>
          </w:tcPr>
          <w:p w14:paraId="48049B33"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OFF</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c>
          <w:tcPr>
            <w:tcW w:w="1013" w:type="dxa"/>
            <w:tcBorders>
              <w:top w:val="nil"/>
              <w:left w:val="nil"/>
              <w:right w:val="nil"/>
            </w:tcBorders>
            <w:shd w:val="clear" w:color="000000" w:fill="1E3D6B"/>
            <w:vAlign w:val="center"/>
            <w:hideMark/>
          </w:tcPr>
          <w:p w14:paraId="73C2D29C"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PARTIAL</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9" w:type="dxa"/>
            <w:tcBorders>
              <w:top w:val="nil"/>
              <w:left w:val="nil"/>
              <w:right w:val="nil"/>
            </w:tcBorders>
            <w:shd w:val="clear" w:color="000000" w:fill="1E3D6B"/>
            <w:vAlign w:val="center"/>
            <w:hideMark/>
          </w:tcPr>
          <w:p w14:paraId="141697C5"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PARTIAL</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c>
          <w:tcPr>
            <w:tcW w:w="1013" w:type="dxa"/>
            <w:tcBorders>
              <w:top w:val="nil"/>
              <w:left w:val="nil"/>
              <w:right w:val="nil"/>
            </w:tcBorders>
            <w:shd w:val="clear" w:color="000000" w:fill="1E3D6B"/>
            <w:vAlign w:val="center"/>
            <w:hideMark/>
          </w:tcPr>
          <w:p w14:paraId="41C92606"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FULL</w:t>
            </w:r>
            <w:r w:rsidRPr="00545C7F">
              <w:rPr>
                <w:rFonts w:eastAsia="Times New Roman" w:cstheme="minorHAnsi"/>
                <w:b/>
                <w:bCs/>
                <w:color w:val="FFFFFF"/>
                <w:sz w:val="20"/>
                <w:szCs w:val="20"/>
                <w:lang w:eastAsia="en-AU"/>
              </w:rPr>
              <w:br/>
              <w:t>Observed</w:t>
            </w:r>
            <w:r w:rsidRPr="00545C7F">
              <w:rPr>
                <w:rFonts w:eastAsia="Times New Roman" w:cstheme="minorHAnsi"/>
                <w:b/>
                <w:bCs/>
                <w:color w:val="FFFFFF"/>
                <w:sz w:val="20"/>
                <w:szCs w:val="20"/>
                <w:lang w:eastAsia="en-AU"/>
              </w:rPr>
              <w:br/>
              <w:t>(%)</w:t>
            </w:r>
          </w:p>
        </w:tc>
        <w:tc>
          <w:tcPr>
            <w:tcW w:w="951" w:type="dxa"/>
            <w:tcBorders>
              <w:top w:val="nil"/>
              <w:left w:val="nil"/>
              <w:right w:val="nil"/>
            </w:tcBorders>
            <w:shd w:val="clear" w:color="000000" w:fill="1E3D6B"/>
            <w:vAlign w:val="center"/>
            <w:hideMark/>
          </w:tcPr>
          <w:p w14:paraId="5CC49CA1" w14:textId="77777777" w:rsidR="00961617" w:rsidRPr="00545C7F" w:rsidRDefault="00961617" w:rsidP="0020771F">
            <w:pPr>
              <w:spacing w:after="0" w:line="240" w:lineRule="auto"/>
              <w:jc w:val="center"/>
              <w:rPr>
                <w:rFonts w:eastAsia="Times New Roman" w:cstheme="minorHAnsi"/>
                <w:b/>
                <w:bCs/>
                <w:color w:val="FFFFFF"/>
                <w:sz w:val="20"/>
                <w:szCs w:val="20"/>
                <w:lang w:eastAsia="en-AU"/>
              </w:rPr>
            </w:pPr>
            <w:r w:rsidRPr="00545C7F">
              <w:rPr>
                <w:rFonts w:eastAsia="Times New Roman" w:cstheme="minorHAnsi"/>
                <w:b/>
                <w:bCs/>
                <w:color w:val="FFFFFF"/>
                <w:sz w:val="20"/>
                <w:szCs w:val="20"/>
                <w:lang w:eastAsia="en-AU"/>
              </w:rPr>
              <w:t>FULL</w:t>
            </w:r>
            <w:r w:rsidRPr="00545C7F">
              <w:rPr>
                <w:rFonts w:eastAsia="Times New Roman" w:cstheme="minorHAnsi"/>
                <w:b/>
                <w:bCs/>
                <w:color w:val="FFFFFF"/>
                <w:sz w:val="20"/>
                <w:szCs w:val="20"/>
                <w:lang w:eastAsia="en-AU"/>
              </w:rPr>
              <w:br/>
              <w:t>AME</w:t>
            </w:r>
            <w:r w:rsidRPr="00545C7F">
              <w:rPr>
                <w:rFonts w:eastAsia="Times New Roman" w:cstheme="minorHAnsi"/>
                <w:b/>
                <w:bCs/>
                <w:color w:val="FFFFFF"/>
                <w:sz w:val="20"/>
                <w:szCs w:val="20"/>
                <w:lang w:eastAsia="en-AU"/>
              </w:rPr>
              <w:br/>
              <w:t>(ppt)</w:t>
            </w:r>
          </w:p>
        </w:tc>
      </w:tr>
      <w:tr w:rsidR="00961617" w:rsidRPr="00545C7F" w14:paraId="2E5853D0" w14:textId="77777777" w:rsidTr="0020771F">
        <w:trPr>
          <w:trHeight w:hRule="exact" w:val="340"/>
        </w:trPr>
        <w:tc>
          <w:tcPr>
            <w:tcW w:w="3559" w:type="dxa"/>
            <w:tcBorders>
              <w:top w:val="nil"/>
              <w:left w:val="nil"/>
              <w:bottom w:val="nil"/>
              <w:right w:val="nil"/>
            </w:tcBorders>
            <w:shd w:val="clear" w:color="auto" w:fill="FFFFFF" w:themeFill="background2"/>
            <w:vAlign w:val="center"/>
            <w:hideMark/>
          </w:tcPr>
          <w:p w14:paraId="575F687A"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1</w:t>
            </w:r>
          </w:p>
        </w:tc>
        <w:tc>
          <w:tcPr>
            <w:tcW w:w="1013" w:type="dxa"/>
            <w:tcBorders>
              <w:top w:val="nil"/>
              <w:left w:val="nil"/>
              <w:bottom w:val="nil"/>
              <w:right w:val="nil"/>
            </w:tcBorders>
            <w:shd w:val="clear" w:color="auto" w:fill="FFFFFF" w:themeFill="background2"/>
            <w:vAlign w:val="center"/>
            <w:hideMark/>
          </w:tcPr>
          <w:p w14:paraId="0238013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35.5</w:t>
            </w:r>
          </w:p>
        </w:tc>
        <w:tc>
          <w:tcPr>
            <w:tcW w:w="951" w:type="dxa"/>
            <w:tcBorders>
              <w:top w:val="nil"/>
              <w:left w:val="nil"/>
              <w:bottom w:val="nil"/>
              <w:right w:val="nil"/>
            </w:tcBorders>
            <w:shd w:val="clear" w:color="auto" w:fill="FFFFFF" w:themeFill="background2"/>
            <w:vAlign w:val="center"/>
            <w:hideMark/>
          </w:tcPr>
          <w:p w14:paraId="399450B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-6.9</w:t>
            </w:r>
          </w:p>
        </w:tc>
        <w:tc>
          <w:tcPr>
            <w:tcW w:w="1013" w:type="dxa"/>
            <w:tcBorders>
              <w:top w:val="nil"/>
              <w:left w:val="nil"/>
              <w:bottom w:val="nil"/>
              <w:right w:val="nil"/>
            </w:tcBorders>
            <w:shd w:val="clear" w:color="auto" w:fill="FFFFFF" w:themeFill="background2"/>
            <w:vAlign w:val="center"/>
            <w:hideMark/>
          </w:tcPr>
          <w:p w14:paraId="09EA126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24.0</w:t>
            </w:r>
          </w:p>
        </w:tc>
        <w:tc>
          <w:tcPr>
            <w:tcW w:w="959" w:type="dxa"/>
            <w:tcBorders>
              <w:top w:val="nil"/>
              <w:left w:val="nil"/>
              <w:bottom w:val="nil"/>
              <w:right w:val="nil"/>
            </w:tcBorders>
            <w:shd w:val="clear" w:color="auto" w:fill="FFFFFF" w:themeFill="background2"/>
            <w:vAlign w:val="center"/>
            <w:hideMark/>
          </w:tcPr>
          <w:p w14:paraId="73D06BD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0.2</w:t>
            </w:r>
          </w:p>
        </w:tc>
        <w:tc>
          <w:tcPr>
            <w:tcW w:w="1013" w:type="dxa"/>
            <w:tcBorders>
              <w:top w:val="nil"/>
              <w:left w:val="nil"/>
              <w:bottom w:val="nil"/>
              <w:right w:val="nil"/>
            </w:tcBorders>
            <w:shd w:val="clear" w:color="auto" w:fill="FFFFFF" w:themeFill="background2"/>
            <w:vAlign w:val="center"/>
            <w:hideMark/>
          </w:tcPr>
          <w:p w14:paraId="1DC68F1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40.5</w:t>
            </w:r>
          </w:p>
        </w:tc>
        <w:tc>
          <w:tcPr>
            <w:tcW w:w="951" w:type="dxa"/>
            <w:tcBorders>
              <w:top w:val="nil"/>
              <w:left w:val="nil"/>
              <w:bottom w:val="nil"/>
              <w:right w:val="nil"/>
            </w:tcBorders>
            <w:shd w:val="clear" w:color="auto" w:fill="FFFFFF" w:themeFill="background2"/>
            <w:vAlign w:val="center"/>
            <w:hideMark/>
          </w:tcPr>
          <w:p w14:paraId="656D54B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6.8</w:t>
            </w:r>
          </w:p>
        </w:tc>
      </w:tr>
      <w:tr w:rsidR="00961617" w:rsidRPr="00545C7F" w14:paraId="7AA1CAE6" w14:textId="77777777" w:rsidTr="0020771F">
        <w:trPr>
          <w:trHeight w:hRule="exact" w:val="340"/>
        </w:trPr>
        <w:tc>
          <w:tcPr>
            <w:tcW w:w="3559" w:type="dxa"/>
            <w:tcBorders>
              <w:top w:val="nil"/>
              <w:left w:val="nil"/>
              <w:bottom w:val="nil"/>
              <w:right w:val="nil"/>
            </w:tcBorders>
            <w:shd w:val="clear" w:color="auto" w:fill="E5E5E5" w:themeFill="background1" w:themeFillTint="33"/>
            <w:vAlign w:val="center"/>
            <w:hideMark/>
          </w:tcPr>
          <w:p w14:paraId="0D943027"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2</w:t>
            </w:r>
          </w:p>
        </w:tc>
        <w:tc>
          <w:tcPr>
            <w:tcW w:w="1013" w:type="dxa"/>
            <w:tcBorders>
              <w:top w:val="nil"/>
              <w:left w:val="nil"/>
              <w:bottom w:val="nil"/>
              <w:right w:val="nil"/>
            </w:tcBorders>
            <w:shd w:val="clear" w:color="auto" w:fill="E5E5E5" w:themeFill="background1" w:themeFillTint="33"/>
            <w:vAlign w:val="center"/>
            <w:hideMark/>
          </w:tcPr>
          <w:p w14:paraId="0907F6A1"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26.3</w:t>
            </w:r>
          </w:p>
        </w:tc>
        <w:tc>
          <w:tcPr>
            <w:tcW w:w="951" w:type="dxa"/>
            <w:tcBorders>
              <w:top w:val="nil"/>
              <w:left w:val="nil"/>
              <w:bottom w:val="nil"/>
              <w:right w:val="nil"/>
            </w:tcBorders>
            <w:shd w:val="clear" w:color="auto" w:fill="E5E5E5" w:themeFill="background1" w:themeFillTint="33"/>
            <w:vAlign w:val="center"/>
            <w:hideMark/>
          </w:tcPr>
          <w:p w14:paraId="118D234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-4.9</w:t>
            </w:r>
          </w:p>
        </w:tc>
        <w:tc>
          <w:tcPr>
            <w:tcW w:w="1013" w:type="dxa"/>
            <w:tcBorders>
              <w:top w:val="nil"/>
              <w:left w:val="nil"/>
              <w:bottom w:val="nil"/>
              <w:right w:val="nil"/>
            </w:tcBorders>
            <w:shd w:val="clear" w:color="auto" w:fill="E5E5E5" w:themeFill="background1" w:themeFillTint="33"/>
            <w:vAlign w:val="center"/>
            <w:hideMark/>
          </w:tcPr>
          <w:p w14:paraId="6E8F3BB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26.4</w:t>
            </w:r>
          </w:p>
        </w:tc>
        <w:tc>
          <w:tcPr>
            <w:tcW w:w="959" w:type="dxa"/>
            <w:tcBorders>
              <w:top w:val="nil"/>
              <w:left w:val="nil"/>
              <w:bottom w:val="nil"/>
              <w:right w:val="nil"/>
            </w:tcBorders>
            <w:shd w:val="clear" w:color="auto" w:fill="E5E5E5" w:themeFill="background1" w:themeFillTint="33"/>
            <w:vAlign w:val="center"/>
            <w:hideMark/>
          </w:tcPr>
          <w:p w14:paraId="07F4103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-0.6</w:t>
            </w:r>
          </w:p>
        </w:tc>
        <w:tc>
          <w:tcPr>
            <w:tcW w:w="1013" w:type="dxa"/>
            <w:tcBorders>
              <w:top w:val="nil"/>
              <w:left w:val="nil"/>
              <w:bottom w:val="nil"/>
              <w:right w:val="nil"/>
            </w:tcBorders>
            <w:shd w:val="clear" w:color="auto" w:fill="E5E5E5" w:themeFill="background1" w:themeFillTint="33"/>
            <w:vAlign w:val="center"/>
            <w:hideMark/>
          </w:tcPr>
          <w:p w14:paraId="391FC5C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47.4</w:t>
            </w:r>
          </w:p>
        </w:tc>
        <w:tc>
          <w:tcPr>
            <w:tcW w:w="951" w:type="dxa"/>
            <w:tcBorders>
              <w:top w:val="nil"/>
              <w:left w:val="nil"/>
              <w:bottom w:val="nil"/>
              <w:right w:val="nil"/>
            </w:tcBorders>
            <w:shd w:val="clear" w:color="auto" w:fill="E5E5E5" w:themeFill="background1" w:themeFillTint="33"/>
            <w:vAlign w:val="center"/>
            <w:hideMark/>
          </w:tcPr>
          <w:p w14:paraId="12F275E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5.5</w:t>
            </w:r>
          </w:p>
        </w:tc>
      </w:tr>
      <w:tr w:rsidR="00961617" w:rsidRPr="00545C7F" w14:paraId="3504B5A4" w14:textId="77777777" w:rsidTr="0020771F">
        <w:trPr>
          <w:trHeight w:hRule="exact" w:val="340"/>
        </w:trPr>
        <w:tc>
          <w:tcPr>
            <w:tcW w:w="3559" w:type="dxa"/>
            <w:tcBorders>
              <w:top w:val="nil"/>
              <w:left w:val="nil"/>
              <w:right w:val="nil"/>
            </w:tcBorders>
            <w:shd w:val="clear" w:color="auto" w:fill="FFFFFF" w:themeFill="background2"/>
            <w:vAlign w:val="center"/>
            <w:hideMark/>
          </w:tcPr>
          <w:p w14:paraId="2BF1CB4C"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3</w:t>
            </w:r>
          </w:p>
        </w:tc>
        <w:tc>
          <w:tcPr>
            <w:tcW w:w="1013" w:type="dxa"/>
            <w:tcBorders>
              <w:top w:val="nil"/>
              <w:left w:val="nil"/>
              <w:right w:val="nil"/>
            </w:tcBorders>
            <w:shd w:val="clear" w:color="auto" w:fill="FFFFFF" w:themeFill="background2"/>
            <w:vAlign w:val="center"/>
            <w:hideMark/>
          </w:tcPr>
          <w:p w14:paraId="7610F241"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13.7</w:t>
            </w:r>
          </w:p>
        </w:tc>
        <w:tc>
          <w:tcPr>
            <w:tcW w:w="951" w:type="dxa"/>
            <w:tcBorders>
              <w:top w:val="nil"/>
              <w:left w:val="nil"/>
              <w:right w:val="nil"/>
            </w:tcBorders>
            <w:shd w:val="clear" w:color="auto" w:fill="FFFFFF" w:themeFill="background2"/>
            <w:vAlign w:val="center"/>
            <w:hideMark/>
          </w:tcPr>
          <w:p w14:paraId="032AAB0B"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-2.4</w:t>
            </w:r>
          </w:p>
        </w:tc>
        <w:tc>
          <w:tcPr>
            <w:tcW w:w="1013" w:type="dxa"/>
            <w:tcBorders>
              <w:top w:val="nil"/>
              <w:left w:val="nil"/>
              <w:right w:val="nil"/>
            </w:tcBorders>
            <w:shd w:val="clear" w:color="auto" w:fill="FFFFFF" w:themeFill="background2"/>
            <w:vAlign w:val="center"/>
            <w:hideMark/>
          </w:tcPr>
          <w:p w14:paraId="16F0693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24.8</w:t>
            </w:r>
          </w:p>
        </w:tc>
        <w:tc>
          <w:tcPr>
            <w:tcW w:w="959" w:type="dxa"/>
            <w:tcBorders>
              <w:top w:val="nil"/>
              <w:left w:val="nil"/>
              <w:right w:val="nil"/>
            </w:tcBorders>
            <w:shd w:val="clear" w:color="auto" w:fill="FFFFFF" w:themeFill="background2"/>
            <w:vAlign w:val="center"/>
            <w:hideMark/>
          </w:tcPr>
          <w:p w14:paraId="20002604"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-2.7</w:t>
            </w:r>
          </w:p>
        </w:tc>
        <w:tc>
          <w:tcPr>
            <w:tcW w:w="1013" w:type="dxa"/>
            <w:tcBorders>
              <w:top w:val="nil"/>
              <w:left w:val="nil"/>
              <w:right w:val="nil"/>
            </w:tcBorders>
            <w:shd w:val="clear" w:color="auto" w:fill="FFFFFF" w:themeFill="background2"/>
            <w:vAlign w:val="center"/>
            <w:hideMark/>
          </w:tcPr>
          <w:p w14:paraId="40BF2E3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61.5</w:t>
            </w:r>
          </w:p>
        </w:tc>
        <w:tc>
          <w:tcPr>
            <w:tcW w:w="951" w:type="dxa"/>
            <w:tcBorders>
              <w:top w:val="nil"/>
              <w:left w:val="nil"/>
              <w:right w:val="nil"/>
            </w:tcBorders>
            <w:shd w:val="clear" w:color="auto" w:fill="FFFFFF" w:themeFill="background2"/>
            <w:vAlign w:val="center"/>
            <w:hideMark/>
          </w:tcPr>
          <w:p w14:paraId="015BACE6"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5.1</w:t>
            </w:r>
          </w:p>
        </w:tc>
      </w:tr>
      <w:tr w:rsidR="00961617" w:rsidRPr="00545C7F" w14:paraId="186162D0" w14:textId="77777777" w:rsidTr="0020771F">
        <w:trPr>
          <w:trHeight w:hRule="exact" w:val="340"/>
        </w:trPr>
        <w:tc>
          <w:tcPr>
            <w:tcW w:w="3559" w:type="dxa"/>
            <w:tcBorders>
              <w:top w:val="nil"/>
              <w:left w:val="nil"/>
              <w:right w:val="nil"/>
            </w:tcBorders>
            <w:shd w:val="clear" w:color="auto" w:fill="E5E5E5" w:themeFill="background1" w:themeFillTint="33"/>
            <w:vAlign w:val="center"/>
            <w:hideMark/>
          </w:tcPr>
          <w:p w14:paraId="10B9365D"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Stream 4</w:t>
            </w:r>
          </w:p>
        </w:tc>
        <w:tc>
          <w:tcPr>
            <w:tcW w:w="1013" w:type="dxa"/>
            <w:tcBorders>
              <w:top w:val="nil"/>
              <w:left w:val="nil"/>
              <w:right w:val="nil"/>
            </w:tcBorders>
            <w:shd w:val="clear" w:color="auto" w:fill="E5E5E5" w:themeFill="background1" w:themeFillTint="33"/>
            <w:vAlign w:val="center"/>
            <w:hideMark/>
          </w:tcPr>
          <w:p w14:paraId="2C674E56"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13.2</w:t>
            </w:r>
          </w:p>
        </w:tc>
        <w:tc>
          <w:tcPr>
            <w:tcW w:w="951" w:type="dxa"/>
            <w:tcBorders>
              <w:top w:val="nil"/>
              <w:left w:val="nil"/>
              <w:right w:val="nil"/>
            </w:tcBorders>
            <w:shd w:val="clear" w:color="auto" w:fill="E5E5E5" w:themeFill="background1" w:themeFillTint="33"/>
            <w:vAlign w:val="center"/>
            <w:hideMark/>
          </w:tcPr>
          <w:p w14:paraId="1235127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-0.8</w:t>
            </w:r>
          </w:p>
        </w:tc>
        <w:tc>
          <w:tcPr>
            <w:tcW w:w="1013" w:type="dxa"/>
            <w:tcBorders>
              <w:top w:val="nil"/>
              <w:left w:val="nil"/>
              <w:right w:val="nil"/>
            </w:tcBorders>
            <w:shd w:val="clear" w:color="auto" w:fill="E5E5E5" w:themeFill="background1" w:themeFillTint="33"/>
            <w:vAlign w:val="center"/>
            <w:hideMark/>
          </w:tcPr>
          <w:p w14:paraId="19116F6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9.1</w:t>
            </w:r>
          </w:p>
        </w:tc>
        <w:tc>
          <w:tcPr>
            <w:tcW w:w="959" w:type="dxa"/>
            <w:tcBorders>
              <w:top w:val="nil"/>
              <w:left w:val="nil"/>
              <w:right w:val="nil"/>
            </w:tcBorders>
            <w:shd w:val="clear" w:color="auto" w:fill="E5E5E5" w:themeFill="background1" w:themeFillTint="33"/>
            <w:vAlign w:val="center"/>
            <w:hideMark/>
          </w:tcPr>
          <w:p w14:paraId="4CEB854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E5E5E5" w:themeFill="background1" w:themeFillTint="33"/>
            <w:vAlign w:val="center"/>
            <w:hideMark/>
          </w:tcPr>
          <w:p w14:paraId="0265594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77.7</w:t>
            </w:r>
          </w:p>
        </w:tc>
        <w:tc>
          <w:tcPr>
            <w:tcW w:w="951" w:type="dxa"/>
            <w:tcBorders>
              <w:top w:val="nil"/>
              <w:left w:val="nil"/>
              <w:right w:val="nil"/>
            </w:tcBorders>
            <w:shd w:val="clear" w:color="auto" w:fill="E5E5E5" w:themeFill="background1" w:themeFillTint="33"/>
            <w:vAlign w:val="center"/>
            <w:hideMark/>
          </w:tcPr>
          <w:p w14:paraId="051F2F2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2.0</w:t>
            </w:r>
          </w:p>
        </w:tc>
      </w:tr>
      <w:tr w:rsidR="00961617" w:rsidRPr="00545C7F" w14:paraId="592C6F53" w14:textId="77777777" w:rsidTr="0020771F">
        <w:trPr>
          <w:trHeight w:hRule="exact" w:val="340"/>
        </w:trPr>
        <w:tc>
          <w:tcPr>
            <w:tcW w:w="3559" w:type="dxa"/>
            <w:tcBorders>
              <w:left w:val="nil"/>
              <w:bottom w:val="nil"/>
              <w:right w:val="nil"/>
            </w:tcBorders>
            <w:shd w:val="clear" w:color="auto" w:fill="FFFFFF" w:themeFill="background2"/>
            <w:vAlign w:val="center"/>
            <w:hideMark/>
          </w:tcPr>
          <w:p w14:paraId="6B18760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Long-term  reduced capacity</w:t>
            </w:r>
          </w:p>
        </w:tc>
        <w:tc>
          <w:tcPr>
            <w:tcW w:w="1013" w:type="dxa"/>
            <w:tcBorders>
              <w:left w:val="nil"/>
              <w:bottom w:val="nil"/>
              <w:right w:val="nil"/>
            </w:tcBorders>
            <w:shd w:val="clear" w:color="auto" w:fill="FFFFFF" w:themeFill="background2"/>
            <w:vAlign w:val="center"/>
            <w:hideMark/>
          </w:tcPr>
          <w:p w14:paraId="2474EF81"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9.7</w:t>
            </w:r>
          </w:p>
        </w:tc>
        <w:tc>
          <w:tcPr>
            <w:tcW w:w="951" w:type="dxa"/>
            <w:tcBorders>
              <w:left w:val="nil"/>
              <w:bottom w:val="nil"/>
              <w:right w:val="nil"/>
            </w:tcBorders>
            <w:shd w:val="clear" w:color="auto" w:fill="FFFFFF" w:themeFill="background2"/>
            <w:vAlign w:val="center"/>
            <w:hideMark/>
          </w:tcPr>
          <w:p w14:paraId="3514FAF6"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left w:val="nil"/>
              <w:bottom w:val="nil"/>
              <w:right w:val="nil"/>
            </w:tcBorders>
            <w:shd w:val="clear" w:color="auto" w:fill="FFFFFF" w:themeFill="background2"/>
            <w:vAlign w:val="center"/>
            <w:hideMark/>
          </w:tcPr>
          <w:p w14:paraId="00EC73B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24.4</w:t>
            </w:r>
          </w:p>
        </w:tc>
        <w:tc>
          <w:tcPr>
            <w:tcW w:w="959" w:type="dxa"/>
            <w:tcBorders>
              <w:left w:val="nil"/>
              <w:bottom w:val="nil"/>
              <w:right w:val="nil"/>
            </w:tcBorders>
            <w:shd w:val="clear" w:color="auto" w:fill="FFFFFF" w:themeFill="background2"/>
            <w:vAlign w:val="center"/>
            <w:hideMark/>
          </w:tcPr>
          <w:p w14:paraId="0A1F8D0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-1.8</w:t>
            </w:r>
          </w:p>
        </w:tc>
        <w:tc>
          <w:tcPr>
            <w:tcW w:w="1013" w:type="dxa"/>
            <w:tcBorders>
              <w:left w:val="nil"/>
              <w:bottom w:val="nil"/>
              <w:right w:val="nil"/>
            </w:tcBorders>
            <w:shd w:val="clear" w:color="auto" w:fill="FFFFFF" w:themeFill="background2"/>
            <w:vAlign w:val="center"/>
            <w:hideMark/>
          </w:tcPr>
          <w:p w14:paraId="7772B1D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65.9</w:t>
            </w:r>
          </w:p>
        </w:tc>
        <w:tc>
          <w:tcPr>
            <w:tcW w:w="951" w:type="dxa"/>
            <w:tcBorders>
              <w:left w:val="nil"/>
              <w:bottom w:val="nil"/>
              <w:right w:val="nil"/>
            </w:tcBorders>
            <w:shd w:val="clear" w:color="auto" w:fill="FFFFFF" w:themeFill="background2"/>
            <w:vAlign w:val="center"/>
            <w:hideMark/>
          </w:tcPr>
          <w:p w14:paraId="061E72F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3.5</w:t>
            </w:r>
          </w:p>
        </w:tc>
      </w:tr>
      <w:tr w:rsidR="00961617" w:rsidRPr="00545C7F" w14:paraId="20635AB7" w14:textId="77777777" w:rsidTr="0020771F">
        <w:trPr>
          <w:trHeight w:hRule="exact" w:val="340"/>
        </w:trPr>
        <w:tc>
          <w:tcPr>
            <w:tcW w:w="3559" w:type="dxa"/>
            <w:tcBorders>
              <w:top w:val="nil"/>
              <w:left w:val="nil"/>
              <w:bottom w:val="nil"/>
              <w:right w:val="nil"/>
            </w:tcBorders>
            <w:shd w:val="clear" w:color="auto" w:fill="E5E5E5" w:themeFill="background1" w:themeFillTint="33"/>
            <w:vAlign w:val="center"/>
            <w:hideMark/>
          </w:tcPr>
          <w:p w14:paraId="18B7B2F3"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Not LT reduced capacity</w:t>
            </w:r>
          </w:p>
        </w:tc>
        <w:tc>
          <w:tcPr>
            <w:tcW w:w="1013" w:type="dxa"/>
            <w:tcBorders>
              <w:top w:val="nil"/>
              <w:left w:val="nil"/>
              <w:bottom w:val="nil"/>
              <w:right w:val="nil"/>
            </w:tcBorders>
            <w:shd w:val="clear" w:color="auto" w:fill="E5E5E5" w:themeFill="background1" w:themeFillTint="33"/>
            <w:vAlign w:val="center"/>
            <w:hideMark/>
          </w:tcPr>
          <w:p w14:paraId="5A58C80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25.8</w:t>
            </w:r>
          </w:p>
        </w:tc>
        <w:tc>
          <w:tcPr>
            <w:tcW w:w="951" w:type="dxa"/>
            <w:tcBorders>
              <w:top w:val="nil"/>
              <w:left w:val="nil"/>
              <w:bottom w:val="nil"/>
              <w:right w:val="nil"/>
            </w:tcBorders>
            <w:shd w:val="clear" w:color="auto" w:fill="E5E5E5" w:themeFill="background1" w:themeFillTint="33"/>
            <w:vAlign w:val="center"/>
            <w:hideMark/>
          </w:tcPr>
          <w:p w14:paraId="1AFF884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-3.7</w:t>
            </w:r>
          </w:p>
        </w:tc>
        <w:tc>
          <w:tcPr>
            <w:tcW w:w="1013" w:type="dxa"/>
            <w:tcBorders>
              <w:top w:val="nil"/>
              <w:left w:val="nil"/>
              <w:bottom w:val="nil"/>
              <w:right w:val="nil"/>
            </w:tcBorders>
            <w:shd w:val="clear" w:color="auto" w:fill="E5E5E5" w:themeFill="background1" w:themeFillTint="33"/>
            <w:vAlign w:val="center"/>
            <w:hideMark/>
          </w:tcPr>
          <w:p w14:paraId="581B87F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18.5</w:t>
            </w:r>
          </w:p>
        </w:tc>
        <w:tc>
          <w:tcPr>
            <w:tcW w:w="959" w:type="dxa"/>
            <w:tcBorders>
              <w:top w:val="nil"/>
              <w:left w:val="nil"/>
              <w:bottom w:val="nil"/>
              <w:right w:val="nil"/>
            </w:tcBorders>
            <w:shd w:val="clear" w:color="auto" w:fill="E5E5E5" w:themeFill="background1" w:themeFillTint="33"/>
            <w:vAlign w:val="center"/>
            <w:hideMark/>
          </w:tcPr>
          <w:p w14:paraId="333C2B2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-1.1</w:t>
            </w:r>
          </w:p>
        </w:tc>
        <w:tc>
          <w:tcPr>
            <w:tcW w:w="1013" w:type="dxa"/>
            <w:tcBorders>
              <w:top w:val="nil"/>
              <w:left w:val="nil"/>
              <w:bottom w:val="nil"/>
              <w:right w:val="nil"/>
            </w:tcBorders>
            <w:shd w:val="clear" w:color="auto" w:fill="E5E5E5" w:themeFill="background1" w:themeFillTint="33"/>
            <w:vAlign w:val="center"/>
            <w:hideMark/>
          </w:tcPr>
          <w:p w14:paraId="265167B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55.7</w:t>
            </w:r>
          </w:p>
        </w:tc>
        <w:tc>
          <w:tcPr>
            <w:tcW w:w="951" w:type="dxa"/>
            <w:tcBorders>
              <w:top w:val="nil"/>
              <w:left w:val="nil"/>
              <w:bottom w:val="nil"/>
              <w:right w:val="nil"/>
            </w:tcBorders>
            <w:shd w:val="clear" w:color="auto" w:fill="E5E5E5" w:themeFill="background1" w:themeFillTint="33"/>
            <w:vAlign w:val="center"/>
            <w:hideMark/>
          </w:tcPr>
          <w:p w14:paraId="1C05AA4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4.8</w:t>
            </w:r>
          </w:p>
        </w:tc>
      </w:tr>
      <w:tr w:rsidR="00961617" w:rsidRPr="00545C7F" w14:paraId="7D1B19B4" w14:textId="77777777" w:rsidTr="0020771F">
        <w:trPr>
          <w:trHeight w:hRule="exact" w:val="340"/>
        </w:trPr>
        <w:tc>
          <w:tcPr>
            <w:tcW w:w="3559" w:type="dxa"/>
            <w:tcBorders>
              <w:top w:val="nil"/>
              <w:left w:val="nil"/>
              <w:bottom w:val="nil"/>
              <w:right w:val="nil"/>
            </w:tcBorders>
            <w:shd w:val="clear" w:color="auto" w:fill="FFFFFF" w:themeFill="background2"/>
            <w:vAlign w:val="center"/>
            <w:hideMark/>
          </w:tcPr>
          <w:p w14:paraId="1E9BD2EF"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val="en-GB" w:eastAsia="en-AU"/>
              </w:rPr>
              <w:t>Indigenous</w:t>
            </w:r>
          </w:p>
        </w:tc>
        <w:tc>
          <w:tcPr>
            <w:tcW w:w="1013" w:type="dxa"/>
            <w:tcBorders>
              <w:top w:val="nil"/>
              <w:left w:val="nil"/>
              <w:bottom w:val="nil"/>
              <w:right w:val="nil"/>
            </w:tcBorders>
            <w:shd w:val="clear" w:color="auto" w:fill="FFFFFF" w:themeFill="background2"/>
            <w:vAlign w:val="center"/>
            <w:hideMark/>
          </w:tcPr>
          <w:p w14:paraId="5AF7D3F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17.2</w:t>
            </w:r>
          </w:p>
        </w:tc>
        <w:tc>
          <w:tcPr>
            <w:tcW w:w="951" w:type="dxa"/>
            <w:tcBorders>
              <w:top w:val="nil"/>
              <w:left w:val="nil"/>
              <w:bottom w:val="nil"/>
              <w:right w:val="nil"/>
            </w:tcBorders>
            <w:shd w:val="clear" w:color="auto" w:fill="FFFFFF" w:themeFill="background2"/>
            <w:vAlign w:val="center"/>
            <w:hideMark/>
          </w:tcPr>
          <w:p w14:paraId="708CA7D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top w:val="nil"/>
              <w:left w:val="nil"/>
              <w:bottom w:val="nil"/>
              <w:right w:val="nil"/>
            </w:tcBorders>
            <w:shd w:val="clear" w:color="auto" w:fill="FFFFFF" w:themeFill="background2"/>
            <w:vAlign w:val="center"/>
            <w:hideMark/>
          </w:tcPr>
          <w:p w14:paraId="5F0ED00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9.3</w:t>
            </w:r>
          </w:p>
        </w:tc>
        <w:tc>
          <w:tcPr>
            <w:tcW w:w="959" w:type="dxa"/>
            <w:tcBorders>
              <w:top w:val="nil"/>
              <w:left w:val="nil"/>
              <w:bottom w:val="nil"/>
              <w:right w:val="nil"/>
            </w:tcBorders>
            <w:shd w:val="clear" w:color="auto" w:fill="FFFFFF" w:themeFill="background2"/>
            <w:vAlign w:val="center"/>
            <w:hideMark/>
          </w:tcPr>
          <w:p w14:paraId="564F3A9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bottom w:val="nil"/>
              <w:right w:val="nil"/>
            </w:tcBorders>
            <w:shd w:val="clear" w:color="auto" w:fill="FFFFFF" w:themeFill="background2"/>
            <w:vAlign w:val="center"/>
            <w:hideMark/>
          </w:tcPr>
          <w:p w14:paraId="3887867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73.5</w:t>
            </w:r>
          </w:p>
        </w:tc>
        <w:tc>
          <w:tcPr>
            <w:tcW w:w="951" w:type="dxa"/>
            <w:tcBorders>
              <w:top w:val="nil"/>
              <w:left w:val="nil"/>
              <w:bottom w:val="nil"/>
              <w:right w:val="nil"/>
            </w:tcBorders>
            <w:shd w:val="clear" w:color="auto" w:fill="FFFFFF" w:themeFill="background2"/>
            <w:vAlign w:val="center"/>
            <w:hideMark/>
          </w:tcPr>
          <w:p w14:paraId="423EC51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2.9</w:t>
            </w:r>
          </w:p>
        </w:tc>
      </w:tr>
      <w:tr w:rsidR="00961617" w:rsidRPr="00545C7F" w14:paraId="43E7DA7D" w14:textId="77777777" w:rsidTr="0020771F">
        <w:trPr>
          <w:trHeight w:hRule="exact" w:val="340"/>
        </w:trPr>
        <w:tc>
          <w:tcPr>
            <w:tcW w:w="3559" w:type="dxa"/>
            <w:tcBorders>
              <w:top w:val="nil"/>
              <w:left w:val="nil"/>
              <w:right w:val="nil"/>
            </w:tcBorders>
            <w:shd w:val="clear" w:color="auto" w:fill="E5E5E5" w:themeFill="background1" w:themeFillTint="33"/>
            <w:vAlign w:val="center"/>
            <w:hideMark/>
          </w:tcPr>
          <w:p w14:paraId="13B60A40"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Disability with employment restrictions</w:t>
            </w:r>
          </w:p>
        </w:tc>
        <w:tc>
          <w:tcPr>
            <w:tcW w:w="1013" w:type="dxa"/>
            <w:tcBorders>
              <w:top w:val="nil"/>
              <w:left w:val="nil"/>
              <w:right w:val="nil"/>
            </w:tcBorders>
            <w:shd w:val="clear" w:color="auto" w:fill="E5E5E5" w:themeFill="background1" w:themeFillTint="33"/>
            <w:vAlign w:val="center"/>
            <w:hideMark/>
          </w:tcPr>
          <w:p w14:paraId="49B3F67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10.4</w:t>
            </w:r>
          </w:p>
        </w:tc>
        <w:tc>
          <w:tcPr>
            <w:tcW w:w="951" w:type="dxa"/>
            <w:tcBorders>
              <w:top w:val="nil"/>
              <w:left w:val="nil"/>
              <w:right w:val="nil"/>
            </w:tcBorders>
            <w:shd w:val="clear" w:color="auto" w:fill="E5E5E5" w:themeFill="background1" w:themeFillTint="33"/>
            <w:vAlign w:val="center"/>
            <w:hideMark/>
          </w:tcPr>
          <w:p w14:paraId="18031C6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-1.1</w:t>
            </w:r>
          </w:p>
        </w:tc>
        <w:tc>
          <w:tcPr>
            <w:tcW w:w="1013" w:type="dxa"/>
            <w:tcBorders>
              <w:top w:val="nil"/>
              <w:left w:val="nil"/>
              <w:right w:val="nil"/>
            </w:tcBorders>
            <w:shd w:val="clear" w:color="auto" w:fill="E5E5E5" w:themeFill="background1" w:themeFillTint="33"/>
            <w:vAlign w:val="center"/>
            <w:hideMark/>
          </w:tcPr>
          <w:p w14:paraId="4A6682B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13.5</w:t>
            </w:r>
          </w:p>
        </w:tc>
        <w:tc>
          <w:tcPr>
            <w:tcW w:w="959" w:type="dxa"/>
            <w:tcBorders>
              <w:top w:val="nil"/>
              <w:left w:val="nil"/>
              <w:right w:val="nil"/>
            </w:tcBorders>
            <w:shd w:val="clear" w:color="auto" w:fill="E5E5E5" w:themeFill="background1" w:themeFillTint="33"/>
            <w:vAlign w:val="center"/>
            <w:hideMark/>
          </w:tcPr>
          <w:p w14:paraId="59B0E59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-3.2</w:t>
            </w:r>
          </w:p>
        </w:tc>
        <w:tc>
          <w:tcPr>
            <w:tcW w:w="1013" w:type="dxa"/>
            <w:tcBorders>
              <w:top w:val="nil"/>
              <w:left w:val="nil"/>
              <w:right w:val="nil"/>
            </w:tcBorders>
            <w:shd w:val="clear" w:color="auto" w:fill="E5E5E5" w:themeFill="background1" w:themeFillTint="33"/>
            <w:vAlign w:val="center"/>
            <w:hideMark/>
          </w:tcPr>
          <w:p w14:paraId="7264C684"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76.1</w:t>
            </w:r>
          </w:p>
        </w:tc>
        <w:tc>
          <w:tcPr>
            <w:tcW w:w="951" w:type="dxa"/>
            <w:tcBorders>
              <w:top w:val="nil"/>
              <w:left w:val="nil"/>
              <w:right w:val="nil"/>
            </w:tcBorders>
            <w:shd w:val="clear" w:color="auto" w:fill="E5E5E5" w:themeFill="background1" w:themeFillTint="33"/>
            <w:vAlign w:val="center"/>
            <w:hideMark/>
          </w:tcPr>
          <w:p w14:paraId="1F20AF0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4.4</w:t>
            </w:r>
          </w:p>
        </w:tc>
      </w:tr>
      <w:tr w:rsidR="00961617" w:rsidRPr="00545C7F" w14:paraId="5866250B" w14:textId="77777777" w:rsidTr="0020771F">
        <w:trPr>
          <w:trHeight w:hRule="exact" w:val="340"/>
        </w:trPr>
        <w:tc>
          <w:tcPr>
            <w:tcW w:w="3559" w:type="dxa"/>
            <w:tcBorders>
              <w:top w:val="nil"/>
              <w:left w:val="nil"/>
              <w:right w:val="nil"/>
            </w:tcBorders>
            <w:shd w:val="clear" w:color="auto" w:fill="FFFFFF" w:themeFill="background2"/>
            <w:vAlign w:val="center"/>
            <w:hideMark/>
          </w:tcPr>
          <w:p w14:paraId="30B5CEA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Single parents</w:t>
            </w:r>
          </w:p>
        </w:tc>
        <w:tc>
          <w:tcPr>
            <w:tcW w:w="1013" w:type="dxa"/>
            <w:tcBorders>
              <w:top w:val="nil"/>
              <w:left w:val="nil"/>
              <w:right w:val="nil"/>
            </w:tcBorders>
            <w:shd w:val="clear" w:color="auto" w:fill="FFFFFF" w:themeFill="background2"/>
            <w:vAlign w:val="center"/>
            <w:hideMark/>
          </w:tcPr>
          <w:p w14:paraId="49C6471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12.9</w:t>
            </w:r>
          </w:p>
        </w:tc>
        <w:tc>
          <w:tcPr>
            <w:tcW w:w="951" w:type="dxa"/>
            <w:tcBorders>
              <w:top w:val="nil"/>
              <w:left w:val="nil"/>
              <w:right w:val="nil"/>
            </w:tcBorders>
            <w:shd w:val="clear" w:color="auto" w:fill="FFFFFF" w:themeFill="background2"/>
            <w:vAlign w:val="center"/>
            <w:hideMark/>
          </w:tcPr>
          <w:p w14:paraId="56A3314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-2.6</w:t>
            </w:r>
          </w:p>
        </w:tc>
        <w:tc>
          <w:tcPr>
            <w:tcW w:w="1013" w:type="dxa"/>
            <w:tcBorders>
              <w:top w:val="nil"/>
              <w:left w:val="nil"/>
              <w:right w:val="nil"/>
            </w:tcBorders>
            <w:shd w:val="clear" w:color="auto" w:fill="FFFFFF" w:themeFill="background2"/>
            <w:vAlign w:val="center"/>
            <w:hideMark/>
          </w:tcPr>
          <w:p w14:paraId="4DA723E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35.7</w:t>
            </w:r>
          </w:p>
        </w:tc>
        <w:tc>
          <w:tcPr>
            <w:tcW w:w="959" w:type="dxa"/>
            <w:tcBorders>
              <w:top w:val="nil"/>
              <w:left w:val="nil"/>
              <w:right w:val="nil"/>
            </w:tcBorders>
            <w:shd w:val="clear" w:color="auto" w:fill="FFFFFF" w:themeFill="background2"/>
            <w:vAlign w:val="center"/>
            <w:hideMark/>
          </w:tcPr>
          <w:p w14:paraId="201A037B"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top w:val="nil"/>
              <w:left w:val="nil"/>
              <w:right w:val="nil"/>
            </w:tcBorders>
            <w:shd w:val="clear" w:color="auto" w:fill="FFFFFF" w:themeFill="background2"/>
            <w:vAlign w:val="center"/>
            <w:hideMark/>
          </w:tcPr>
          <w:p w14:paraId="21044AF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51.4</w:t>
            </w:r>
          </w:p>
        </w:tc>
        <w:tc>
          <w:tcPr>
            <w:tcW w:w="951" w:type="dxa"/>
            <w:tcBorders>
              <w:top w:val="nil"/>
              <w:left w:val="nil"/>
              <w:right w:val="nil"/>
            </w:tcBorders>
            <w:shd w:val="clear" w:color="auto" w:fill="FFFFFF" w:themeFill="background2"/>
            <w:vAlign w:val="center"/>
            <w:hideMark/>
          </w:tcPr>
          <w:p w14:paraId="3CBDCCC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4.3</w:t>
            </w:r>
          </w:p>
        </w:tc>
      </w:tr>
      <w:tr w:rsidR="00961617" w:rsidRPr="00545C7F" w14:paraId="0F39955E" w14:textId="77777777" w:rsidTr="0020771F">
        <w:trPr>
          <w:trHeight w:hRule="exact" w:val="340"/>
        </w:trPr>
        <w:tc>
          <w:tcPr>
            <w:tcW w:w="3559" w:type="dxa"/>
            <w:tcBorders>
              <w:left w:val="nil"/>
              <w:bottom w:val="nil"/>
              <w:right w:val="nil"/>
            </w:tcBorders>
            <w:shd w:val="clear" w:color="auto" w:fill="E5E5E5" w:themeFill="background1" w:themeFillTint="33"/>
            <w:vAlign w:val="center"/>
            <w:hideMark/>
          </w:tcPr>
          <w:p w14:paraId="61A7F1A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Youth (aged less than 25)</w:t>
            </w:r>
          </w:p>
        </w:tc>
        <w:tc>
          <w:tcPr>
            <w:tcW w:w="1013" w:type="dxa"/>
            <w:tcBorders>
              <w:left w:val="nil"/>
              <w:bottom w:val="nil"/>
              <w:right w:val="nil"/>
            </w:tcBorders>
            <w:shd w:val="clear" w:color="auto" w:fill="E5E5E5" w:themeFill="background1" w:themeFillTint="33"/>
            <w:vAlign w:val="center"/>
            <w:hideMark/>
          </w:tcPr>
          <w:p w14:paraId="02EEB1F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28.6</w:t>
            </w:r>
          </w:p>
        </w:tc>
        <w:tc>
          <w:tcPr>
            <w:tcW w:w="951" w:type="dxa"/>
            <w:tcBorders>
              <w:left w:val="nil"/>
              <w:bottom w:val="nil"/>
              <w:right w:val="nil"/>
            </w:tcBorders>
            <w:shd w:val="clear" w:color="auto" w:fill="E5E5E5" w:themeFill="background1" w:themeFillTint="33"/>
            <w:vAlign w:val="center"/>
            <w:hideMark/>
          </w:tcPr>
          <w:p w14:paraId="1A2F2FB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-3.3</w:t>
            </w:r>
          </w:p>
        </w:tc>
        <w:tc>
          <w:tcPr>
            <w:tcW w:w="1013" w:type="dxa"/>
            <w:tcBorders>
              <w:left w:val="nil"/>
              <w:bottom w:val="nil"/>
              <w:right w:val="nil"/>
            </w:tcBorders>
            <w:shd w:val="clear" w:color="auto" w:fill="E5E5E5" w:themeFill="background1" w:themeFillTint="33"/>
            <w:vAlign w:val="center"/>
            <w:hideMark/>
          </w:tcPr>
          <w:p w14:paraId="1F459204"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9.7</w:t>
            </w:r>
          </w:p>
        </w:tc>
        <w:tc>
          <w:tcPr>
            <w:tcW w:w="959" w:type="dxa"/>
            <w:tcBorders>
              <w:left w:val="nil"/>
              <w:bottom w:val="nil"/>
              <w:right w:val="nil"/>
            </w:tcBorders>
            <w:shd w:val="clear" w:color="auto" w:fill="E5E5E5" w:themeFill="background1" w:themeFillTint="33"/>
            <w:vAlign w:val="center"/>
            <w:hideMark/>
          </w:tcPr>
          <w:p w14:paraId="4AFF5F7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-0.7</w:t>
            </w:r>
          </w:p>
        </w:tc>
        <w:tc>
          <w:tcPr>
            <w:tcW w:w="1013" w:type="dxa"/>
            <w:tcBorders>
              <w:left w:val="nil"/>
              <w:bottom w:val="nil"/>
              <w:right w:val="nil"/>
            </w:tcBorders>
            <w:shd w:val="clear" w:color="auto" w:fill="E5E5E5" w:themeFill="background1" w:themeFillTint="33"/>
            <w:vAlign w:val="center"/>
            <w:hideMark/>
          </w:tcPr>
          <w:p w14:paraId="41FE6B64"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61.8</w:t>
            </w:r>
          </w:p>
        </w:tc>
        <w:tc>
          <w:tcPr>
            <w:tcW w:w="951" w:type="dxa"/>
            <w:tcBorders>
              <w:left w:val="nil"/>
              <w:bottom w:val="nil"/>
              <w:right w:val="nil"/>
            </w:tcBorders>
            <w:shd w:val="clear" w:color="auto" w:fill="E5E5E5" w:themeFill="background1" w:themeFillTint="33"/>
            <w:vAlign w:val="center"/>
            <w:hideMark/>
          </w:tcPr>
          <w:p w14:paraId="586AAB47"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4.0</w:t>
            </w:r>
          </w:p>
        </w:tc>
      </w:tr>
      <w:tr w:rsidR="00961617" w:rsidRPr="00545C7F" w14:paraId="748DE3EA" w14:textId="77777777" w:rsidTr="0020771F">
        <w:trPr>
          <w:trHeight w:hRule="exact" w:val="340"/>
        </w:trPr>
        <w:tc>
          <w:tcPr>
            <w:tcW w:w="3559" w:type="dxa"/>
            <w:tcBorders>
              <w:top w:val="nil"/>
              <w:left w:val="nil"/>
              <w:right w:val="nil"/>
            </w:tcBorders>
            <w:shd w:val="clear" w:color="auto" w:fill="FFFFFF" w:themeFill="background2"/>
            <w:vAlign w:val="center"/>
            <w:hideMark/>
          </w:tcPr>
          <w:p w14:paraId="2F23F112"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Aged 25 to less than 50</w:t>
            </w:r>
          </w:p>
        </w:tc>
        <w:tc>
          <w:tcPr>
            <w:tcW w:w="1013" w:type="dxa"/>
            <w:tcBorders>
              <w:top w:val="nil"/>
              <w:left w:val="nil"/>
              <w:right w:val="nil"/>
            </w:tcBorders>
            <w:shd w:val="clear" w:color="auto" w:fill="FFFFFF" w:themeFill="background2"/>
            <w:vAlign w:val="center"/>
            <w:hideMark/>
          </w:tcPr>
          <w:p w14:paraId="10E402A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19.1</w:t>
            </w:r>
          </w:p>
        </w:tc>
        <w:tc>
          <w:tcPr>
            <w:tcW w:w="951" w:type="dxa"/>
            <w:tcBorders>
              <w:top w:val="nil"/>
              <w:left w:val="nil"/>
              <w:right w:val="nil"/>
            </w:tcBorders>
            <w:shd w:val="clear" w:color="auto" w:fill="FFFFFF" w:themeFill="background2"/>
            <w:vAlign w:val="center"/>
            <w:hideMark/>
          </w:tcPr>
          <w:p w14:paraId="16477719"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-3.0</w:t>
            </w:r>
          </w:p>
        </w:tc>
        <w:tc>
          <w:tcPr>
            <w:tcW w:w="1013" w:type="dxa"/>
            <w:tcBorders>
              <w:top w:val="nil"/>
              <w:left w:val="nil"/>
              <w:right w:val="nil"/>
            </w:tcBorders>
            <w:shd w:val="clear" w:color="auto" w:fill="FFFFFF" w:themeFill="background2"/>
            <w:vAlign w:val="center"/>
            <w:hideMark/>
          </w:tcPr>
          <w:p w14:paraId="4EB0C22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21.8</w:t>
            </w:r>
          </w:p>
        </w:tc>
        <w:tc>
          <w:tcPr>
            <w:tcW w:w="959" w:type="dxa"/>
            <w:tcBorders>
              <w:top w:val="nil"/>
              <w:left w:val="nil"/>
              <w:right w:val="nil"/>
            </w:tcBorders>
            <w:shd w:val="clear" w:color="auto" w:fill="FFFFFF" w:themeFill="background2"/>
            <w:vAlign w:val="center"/>
            <w:hideMark/>
          </w:tcPr>
          <w:p w14:paraId="6E15950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-1.1</w:t>
            </w:r>
          </w:p>
        </w:tc>
        <w:tc>
          <w:tcPr>
            <w:tcW w:w="1013" w:type="dxa"/>
            <w:tcBorders>
              <w:top w:val="nil"/>
              <w:left w:val="nil"/>
              <w:right w:val="nil"/>
            </w:tcBorders>
            <w:shd w:val="clear" w:color="auto" w:fill="FFFFFF" w:themeFill="background2"/>
            <w:vAlign w:val="center"/>
            <w:hideMark/>
          </w:tcPr>
          <w:p w14:paraId="4D04251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59.1</w:t>
            </w:r>
          </w:p>
        </w:tc>
        <w:tc>
          <w:tcPr>
            <w:tcW w:w="951" w:type="dxa"/>
            <w:tcBorders>
              <w:top w:val="nil"/>
              <w:left w:val="nil"/>
              <w:right w:val="nil"/>
            </w:tcBorders>
            <w:shd w:val="clear" w:color="auto" w:fill="FFFFFF" w:themeFill="background2"/>
            <w:vAlign w:val="center"/>
            <w:hideMark/>
          </w:tcPr>
          <w:p w14:paraId="330F7F2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4.1</w:t>
            </w:r>
          </w:p>
        </w:tc>
      </w:tr>
      <w:tr w:rsidR="00961617" w:rsidRPr="00545C7F" w14:paraId="10D712F7" w14:textId="77777777" w:rsidTr="0020771F">
        <w:trPr>
          <w:trHeight w:hRule="exact" w:val="340"/>
        </w:trPr>
        <w:tc>
          <w:tcPr>
            <w:tcW w:w="3559" w:type="dxa"/>
            <w:tcBorders>
              <w:top w:val="nil"/>
              <w:left w:val="nil"/>
              <w:right w:val="nil"/>
            </w:tcBorders>
            <w:shd w:val="clear" w:color="auto" w:fill="E5E5E5" w:themeFill="background1" w:themeFillTint="33"/>
            <w:vAlign w:val="center"/>
            <w:hideMark/>
          </w:tcPr>
          <w:p w14:paraId="026D85AB"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Mature age (aged 50 or more)</w:t>
            </w:r>
          </w:p>
        </w:tc>
        <w:tc>
          <w:tcPr>
            <w:tcW w:w="1013" w:type="dxa"/>
            <w:tcBorders>
              <w:top w:val="nil"/>
              <w:left w:val="nil"/>
              <w:right w:val="nil"/>
            </w:tcBorders>
            <w:shd w:val="clear" w:color="auto" w:fill="E5E5E5" w:themeFill="background1" w:themeFillTint="33"/>
            <w:vAlign w:val="center"/>
            <w:hideMark/>
          </w:tcPr>
          <w:p w14:paraId="3EAD95C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12.4</w:t>
            </w:r>
          </w:p>
        </w:tc>
        <w:tc>
          <w:tcPr>
            <w:tcW w:w="951" w:type="dxa"/>
            <w:tcBorders>
              <w:top w:val="nil"/>
              <w:left w:val="nil"/>
              <w:right w:val="nil"/>
            </w:tcBorders>
            <w:shd w:val="clear" w:color="auto" w:fill="E5E5E5" w:themeFill="background1" w:themeFillTint="33"/>
            <w:vAlign w:val="center"/>
            <w:hideMark/>
          </w:tcPr>
          <w:p w14:paraId="24572CD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-2.7</w:t>
            </w:r>
          </w:p>
        </w:tc>
        <w:tc>
          <w:tcPr>
            <w:tcW w:w="1013" w:type="dxa"/>
            <w:tcBorders>
              <w:top w:val="nil"/>
              <w:left w:val="nil"/>
              <w:right w:val="nil"/>
            </w:tcBorders>
            <w:shd w:val="clear" w:color="auto" w:fill="E5E5E5" w:themeFill="background1" w:themeFillTint="33"/>
            <w:vAlign w:val="center"/>
            <w:hideMark/>
          </w:tcPr>
          <w:p w14:paraId="3F60EEA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29.1</w:t>
            </w:r>
          </w:p>
        </w:tc>
        <w:tc>
          <w:tcPr>
            <w:tcW w:w="959" w:type="dxa"/>
            <w:tcBorders>
              <w:top w:val="nil"/>
              <w:left w:val="nil"/>
              <w:right w:val="nil"/>
            </w:tcBorders>
            <w:shd w:val="clear" w:color="auto" w:fill="E5E5E5" w:themeFill="background1" w:themeFillTint="33"/>
            <w:vAlign w:val="center"/>
            <w:hideMark/>
          </w:tcPr>
          <w:p w14:paraId="04B06AB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-3.8</w:t>
            </w:r>
          </w:p>
        </w:tc>
        <w:tc>
          <w:tcPr>
            <w:tcW w:w="1013" w:type="dxa"/>
            <w:tcBorders>
              <w:top w:val="nil"/>
              <w:left w:val="nil"/>
              <w:right w:val="nil"/>
            </w:tcBorders>
            <w:shd w:val="clear" w:color="auto" w:fill="E5E5E5" w:themeFill="background1" w:themeFillTint="33"/>
            <w:vAlign w:val="center"/>
            <w:hideMark/>
          </w:tcPr>
          <w:p w14:paraId="7EFBA7FA"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58.5</w:t>
            </w:r>
          </w:p>
        </w:tc>
        <w:tc>
          <w:tcPr>
            <w:tcW w:w="951" w:type="dxa"/>
            <w:tcBorders>
              <w:top w:val="nil"/>
              <w:left w:val="nil"/>
              <w:right w:val="nil"/>
            </w:tcBorders>
            <w:shd w:val="clear" w:color="auto" w:fill="E5E5E5" w:themeFill="background1" w:themeFillTint="33"/>
            <w:vAlign w:val="center"/>
            <w:hideMark/>
          </w:tcPr>
          <w:p w14:paraId="1768216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6.5</w:t>
            </w:r>
          </w:p>
        </w:tc>
      </w:tr>
      <w:tr w:rsidR="00961617" w:rsidRPr="00545C7F" w14:paraId="16FAB741" w14:textId="77777777" w:rsidTr="0020771F">
        <w:trPr>
          <w:trHeight w:hRule="exact" w:val="340"/>
        </w:trPr>
        <w:tc>
          <w:tcPr>
            <w:tcW w:w="3559" w:type="dxa"/>
            <w:tcBorders>
              <w:left w:val="nil"/>
              <w:right w:val="nil"/>
            </w:tcBorders>
            <w:shd w:val="clear" w:color="auto" w:fill="FFFFFF" w:themeFill="background2"/>
            <w:vAlign w:val="center"/>
            <w:hideMark/>
          </w:tcPr>
          <w:p w14:paraId="25FF425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Females</w:t>
            </w:r>
          </w:p>
        </w:tc>
        <w:tc>
          <w:tcPr>
            <w:tcW w:w="1013" w:type="dxa"/>
            <w:tcBorders>
              <w:left w:val="nil"/>
              <w:right w:val="nil"/>
            </w:tcBorders>
            <w:shd w:val="clear" w:color="auto" w:fill="FFFFFF" w:themeFill="background2"/>
            <w:vAlign w:val="center"/>
            <w:hideMark/>
          </w:tcPr>
          <w:p w14:paraId="4CA07DF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16.6</w:t>
            </w:r>
          </w:p>
        </w:tc>
        <w:tc>
          <w:tcPr>
            <w:tcW w:w="951" w:type="dxa"/>
            <w:tcBorders>
              <w:left w:val="nil"/>
              <w:right w:val="nil"/>
            </w:tcBorders>
            <w:shd w:val="clear" w:color="auto" w:fill="FFFFFF" w:themeFill="background2"/>
            <w:vAlign w:val="center"/>
            <w:hideMark/>
          </w:tcPr>
          <w:p w14:paraId="440E14D9"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-3.1</w:t>
            </w:r>
          </w:p>
        </w:tc>
        <w:tc>
          <w:tcPr>
            <w:tcW w:w="1013" w:type="dxa"/>
            <w:tcBorders>
              <w:left w:val="nil"/>
              <w:right w:val="nil"/>
            </w:tcBorders>
            <w:shd w:val="clear" w:color="auto" w:fill="FFFFFF" w:themeFill="background2"/>
            <w:vAlign w:val="center"/>
            <w:hideMark/>
          </w:tcPr>
          <w:p w14:paraId="6B429CA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28.0</w:t>
            </w:r>
          </w:p>
        </w:tc>
        <w:tc>
          <w:tcPr>
            <w:tcW w:w="959" w:type="dxa"/>
            <w:tcBorders>
              <w:left w:val="nil"/>
              <w:right w:val="nil"/>
            </w:tcBorders>
            <w:shd w:val="clear" w:color="auto" w:fill="FFFFFF" w:themeFill="background2"/>
            <w:vAlign w:val="center"/>
            <w:hideMark/>
          </w:tcPr>
          <w:p w14:paraId="75817C8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-1.4</w:t>
            </w:r>
          </w:p>
        </w:tc>
        <w:tc>
          <w:tcPr>
            <w:tcW w:w="1013" w:type="dxa"/>
            <w:tcBorders>
              <w:left w:val="nil"/>
              <w:right w:val="nil"/>
            </w:tcBorders>
            <w:shd w:val="clear" w:color="auto" w:fill="FFFFFF" w:themeFill="background2"/>
            <w:vAlign w:val="center"/>
            <w:hideMark/>
          </w:tcPr>
          <w:p w14:paraId="03922AD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55.4</w:t>
            </w:r>
          </w:p>
        </w:tc>
        <w:tc>
          <w:tcPr>
            <w:tcW w:w="951" w:type="dxa"/>
            <w:tcBorders>
              <w:left w:val="nil"/>
              <w:right w:val="nil"/>
            </w:tcBorders>
            <w:shd w:val="clear" w:color="auto" w:fill="FFFFFF" w:themeFill="background2"/>
            <w:vAlign w:val="center"/>
            <w:hideMark/>
          </w:tcPr>
          <w:p w14:paraId="1981788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4.5</w:t>
            </w:r>
          </w:p>
        </w:tc>
      </w:tr>
      <w:tr w:rsidR="00961617" w:rsidRPr="00545C7F" w14:paraId="5C2D2935" w14:textId="77777777" w:rsidTr="0020771F">
        <w:trPr>
          <w:trHeight w:hRule="exact" w:val="340"/>
        </w:trPr>
        <w:tc>
          <w:tcPr>
            <w:tcW w:w="3559" w:type="dxa"/>
            <w:tcBorders>
              <w:top w:val="nil"/>
              <w:left w:val="nil"/>
              <w:right w:val="nil"/>
            </w:tcBorders>
            <w:shd w:val="clear" w:color="auto" w:fill="E5E5E5" w:themeFill="background1" w:themeFillTint="33"/>
            <w:vAlign w:val="center"/>
            <w:hideMark/>
          </w:tcPr>
          <w:p w14:paraId="2B550006"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Males</w:t>
            </w:r>
          </w:p>
        </w:tc>
        <w:tc>
          <w:tcPr>
            <w:tcW w:w="1013" w:type="dxa"/>
            <w:tcBorders>
              <w:top w:val="nil"/>
              <w:left w:val="nil"/>
              <w:right w:val="nil"/>
            </w:tcBorders>
            <w:shd w:val="clear" w:color="auto" w:fill="E5E5E5" w:themeFill="background1" w:themeFillTint="33"/>
            <w:vAlign w:val="center"/>
            <w:hideMark/>
          </w:tcPr>
          <w:p w14:paraId="76EE9DA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22.7</w:t>
            </w:r>
          </w:p>
        </w:tc>
        <w:tc>
          <w:tcPr>
            <w:tcW w:w="951" w:type="dxa"/>
            <w:tcBorders>
              <w:top w:val="nil"/>
              <w:left w:val="nil"/>
              <w:right w:val="nil"/>
            </w:tcBorders>
            <w:shd w:val="clear" w:color="auto" w:fill="E5E5E5" w:themeFill="background1" w:themeFillTint="33"/>
            <w:vAlign w:val="center"/>
            <w:hideMark/>
          </w:tcPr>
          <w:p w14:paraId="3B21ECD9"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-3.4</w:t>
            </w:r>
          </w:p>
        </w:tc>
        <w:tc>
          <w:tcPr>
            <w:tcW w:w="1013" w:type="dxa"/>
            <w:tcBorders>
              <w:top w:val="nil"/>
              <w:left w:val="nil"/>
              <w:right w:val="nil"/>
            </w:tcBorders>
            <w:shd w:val="clear" w:color="auto" w:fill="E5E5E5" w:themeFill="background1" w:themeFillTint="33"/>
            <w:vAlign w:val="center"/>
            <w:hideMark/>
          </w:tcPr>
          <w:p w14:paraId="1F88261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13.7</w:t>
            </w:r>
          </w:p>
        </w:tc>
        <w:tc>
          <w:tcPr>
            <w:tcW w:w="959" w:type="dxa"/>
            <w:tcBorders>
              <w:top w:val="nil"/>
              <w:left w:val="nil"/>
              <w:right w:val="nil"/>
            </w:tcBorders>
            <w:shd w:val="clear" w:color="auto" w:fill="E5E5E5" w:themeFill="background1" w:themeFillTint="33"/>
            <w:vAlign w:val="center"/>
            <w:hideMark/>
          </w:tcPr>
          <w:p w14:paraId="4528F680"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-1.4</w:t>
            </w:r>
          </w:p>
        </w:tc>
        <w:tc>
          <w:tcPr>
            <w:tcW w:w="1013" w:type="dxa"/>
            <w:tcBorders>
              <w:top w:val="nil"/>
              <w:left w:val="nil"/>
              <w:right w:val="nil"/>
            </w:tcBorders>
            <w:shd w:val="clear" w:color="auto" w:fill="E5E5E5" w:themeFill="background1" w:themeFillTint="33"/>
            <w:vAlign w:val="center"/>
            <w:hideMark/>
          </w:tcPr>
          <w:p w14:paraId="4F85594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63.6</w:t>
            </w:r>
          </w:p>
        </w:tc>
        <w:tc>
          <w:tcPr>
            <w:tcW w:w="951" w:type="dxa"/>
            <w:tcBorders>
              <w:top w:val="nil"/>
              <w:left w:val="nil"/>
              <w:right w:val="nil"/>
            </w:tcBorders>
            <w:shd w:val="clear" w:color="auto" w:fill="E5E5E5" w:themeFill="background1" w:themeFillTint="33"/>
            <w:vAlign w:val="center"/>
            <w:hideMark/>
          </w:tcPr>
          <w:p w14:paraId="49BFBFC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4.8</w:t>
            </w:r>
          </w:p>
        </w:tc>
      </w:tr>
      <w:tr w:rsidR="00961617" w:rsidRPr="00545C7F" w14:paraId="6A405A73" w14:textId="77777777" w:rsidTr="0020771F">
        <w:trPr>
          <w:trHeight w:hRule="exact" w:val="340"/>
        </w:trPr>
        <w:tc>
          <w:tcPr>
            <w:tcW w:w="3559" w:type="dxa"/>
            <w:tcBorders>
              <w:left w:val="nil"/>
              <w:bottom w:val="nil"/>
              <w:right w:val="nil"/>
            </w:tcBorders>
            <w:shd w:val="clear" w:color="auto" w:fill="FFFFFF" w:themeFill="background2"/>
            <w:vAlign w:val="center"/>
            <w:hideMark/>
          </w:tcPr>
          <w:p w14:paraId="4B92B005"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1 to less than 2 years</w:t>
            </w:r>
          </w:p>
        </w:tc>
        <w:tc>
          <w:tcPr>
            <w:tcW w:w="1013" w:type="dxa"/>
            <w:tcBorders>
              <w:left w:val="nil"/>
              <w:bottom w:val="nil"/>
              <w:right w:val="nil"/>
            </w:tcBorders>
            <w:shd w:val="clear" w:color="auto" w:fill="FFFFFF" w:themeFill="background2"/>
            <w:vAlign w:val="center"/>
            <w:hideMark/>
          </w:tcPr>
          <w:p w14:paraId="55777A85"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27.7</w:t>
            </w:r>
          </w:p>
        </w:tc>
        <w:tc>
          <w:tcPr>
            <w:tcW w:w="951" w:type="dxa"/>
            <w:tcBorders>
              <w:left w:val="nil"/>
              <w:bottom w:val="nil"/>
              <w:right w:val="nil"/>
            </w:tcBorders>
            <w:shd w:val="clear" w:color="auto" w:fill="FFFFFF" w:themeFill="background2"/>
            <w:vAlign w:val="center"/>
            <w:hideMark/>
          </w:tcPr>
          <w:p w14:paraId="63A41DD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-4.6</w:t>
            </w:r>
          </w:p>
        </w:tc>
        <w:tc>
          <w:tcPr>
            <w:tcW w:w="1013" w:type="dxa"/>
            <w:tcBorders>
              <w:left w:val="nil"/>
              <w:bottom w:val="nil"/>
              <w:right w:val="nil"/>
            </w:tcBorders>
            <w:shd w:val="clear" w:color="auto" w:fill="FFFFFF" w:themeFill="background2"/>
            <w:vAlign w:val="center"/>
            <w:hideMark/>
          </w:tcPr>
          <w:p w14:paraId="2A191BD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19.1</w:t>
            </w:r>
          </w:p>
        </w:tc>
        <w:tc>
          <w:tcPr>
            <w:tcW w:w="959" w:type="dxa"/>
            <w:tcBorders>
              <w:left w:val="nil"/>
              <w:bottom w:val="nil"/>
              <w:right w:val="nil"/>
            </w:tcBorders>
            <w:shd w:val="clear" w:color="auto" w:fill="FFFFFF" w:themeFill="background2"/>
            <w:vAlign w:val="center"/>
            <w:hideMark/>
          </w:tcPr>
          <w:p w14:paraId="204EE2E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-1.7</w:t>
            </w:r>
          </w:p>
        </w:tc>
        <w:tc>
          <w:tcPr>
            <w:tcW w:w="1013" w:type="dxa"/>
            <w:tcBorders>
              <w:left w:val="nil"/>
              <w:bottom w:val="nil"/>
              <w:right w:val="nil"/>
            </w:tcBorders>
            <w:shd w:val="clear" w:color="auto" w:fill="FFFFFF" w:themeFill="background2"/>
            <w:vAlign w:val="center"/>
            <w:hideMark/>
          </w:tcPr>
          <w:p w14:paraId="0D64585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53.2</w:t>
            </w:r>
          </w:p>
        </w:tc>
        <w:tc>
          <w:tcPr>
            <w:tcW w:w="951" w:type="dxa"/>
            <w:tcBorders>
              <w:left w:val="nil"/>
              <w:bottom w:val="nil"/>
              <w:right w:val="nil"/>
            </w:tcBorders>
            <w:shd w:val="clear" w:color="auto" w:fill="FFFFFF" w:themeFill="background2"/>
            <w:vAlign w:val="center"/>
            <w:hideMark/>
          </w:tcPr>
          <w:p w14:paraId="5D9CFA6F"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6.3</w:t>
            </w:r>
          </w:p>
        </w:tc>
      </w:tr>
      <w:tr w:rsidR="00961617" w:rsidRPr="00545C7F" w14:paraId="608C93AE" w14:textId="77777777" w:rsidTr="0020771F">
        <w:trPr>
          <w:trHeight w:hRule="exact" w:val="340"/>
        </w:trPr>
        <w:tc>
          <w:tcPr>
            <w:tcW w:w="3559" w:type="dxa"/>
            <w:tcBorders>
              <w:top w:val="nil"/>
              <w:left w:val="nil"/>
              <w:right w:val="nil"/>
            </w:tcBorders>
            <w:shd w:val="clear" w:color="auto" w:fill="E5E5E5" w:themeFill="background1" w:themeFillTint="33"/>
            <w:vAlign w:val="center"/>
            <w:hideMark/>
          </w:tcPr>
          <w:p w14:paraId="41DADDB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2 to less than 5 years</w:t>
            </w:r>
          </w:p>
        </w:tc>
        <w:tc>
          <w:tcPr>
            <w:tcW w:w="1013" w:type="dxa"/>
            <w:tcBorders>
              <w:top w:val="nil"/>
              <w:left w:val="nil"/>
              <w:right w:val="nil"/>
            </w:tcBorders>
            <w:shd w:val="clear" w:color="auto" w:fill="E5E5E5" w:themeFill="background1" w:themeFillTint="33"/>
            <w:vAlign w:val="center"/>
            <w:hideMark/>
          </w:tcPr>
          <w:p w14:paraId="0478C3E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16.9</w:t>
            </w:r>
          </w:p>
        </w:tc>
        <w:tc>
          <w:tcPr>
            <w:tcW w:w="951" w:type="dxa"/>
            <w:tcBorders>
              <w:top w:val="nil"/>
              <w:left w:val="nil"/>
              <w:right w:val="nil"/>
            </w:tcBorders>
            <w:shd w:val="clear" w:color="auto" w:fill="E5E5E5" w:themeFill="background1" w:themeFillTint="33"/>
            <w:vAlign w:val="center"/>
            <w:hideMark/>
          </w:tcPr>
          <w:p w14:paraId="2800F3A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-2.2</w:t>
            </w:r>
          </w:p>
        </w:tc>
        <w:tc>
          <w:tcPr>
            <w:tcW w:w="1013" w:type="dxa"/>
            <w:tcBorders>
              <w:top w:val="nil"/>
              <w:left w:val="nil"/>
              <w:right w:val="nil"/>
            </w:tcBorders>
            <w:shd w:val="clear" w:color="auto" w:fill="E5E5E5" w:themeFill="background1" w:themeFillTint="33"/>
            <w:vAlign w:val="center"/>
            <w:hideMark/>
          </w:tcPr>
          <w:p w14:paraId="4790FD81"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22.6</w:t>
            </w:r>
          </w:p>
        </w:tc>
        <w:tc>
          <w:tcPr>
            <w:tcW w:w="959" w:type="dxa"/>
            <w:tcBorders>
              <w:top w:val="nil"/>
              <w:left w:val="nil"/>
              <w:right w:val="nil"/>
            </w:tcBorders>
            <w:shd w:val="clear" w:color="auto" w:fill="E5E5E5" w:themeFill="background1" w:themeFillTint="33"/>
            <w:vAlign w:val="center"/>
            <w:hideMark/>
          </w:tcPr>
          <w:p w14:paraId="205A068C"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E5E5E5" w:themeFill="background1" w:themeFillTint="33"/>
            <w:vAlign w:val="center"/>
            <w:hideMark/>
          </w:tcPr>
          <w:p w14:paraId="38B9E3A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60.5</w:t>
            </w:r>
          </w:p>
        </w:tc>
        <w:tc>
          <w:tcPr>
            <w:tcW w:w="951" w:type="dxa"/>
            <w:tcBorders>
              <w:top w:val="nil"/>
              <w:left w:val="nil"/>
              <w:right w:val="nil"/>
            </w:tcBorders>
            <w:shd w:val="clear" w:color="auto" w:fill="E5E5E5" w:themeFill="background1" w:themeFillTint="33"/>
            <w:vAlign w:val="center"/>
            <w:hideMark/>
          </w:tcPr>
          <w:p w14:paraId="4E60543D"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3.4</w:t>
            </w:r>
          </w:p>
        </w:tc>
      </w:tr>
      <w:tr w:rsidR="00961617" w:rsidRPr="00545C7F" w14:paraId="5BBC5EB6" w14:textId="77777777" w:rsidTr="0020771F">
        <w:trPr>
          <w:trHeight w:hRule="exact" w:val="340"/>
        </w:trPr>
        <w:tc>
          <w:tcPr>
            <w:tcW w:w="3559" w:type="dxa"/>
            <w:tcBorders>
              <w:top w:val="nil"/>
              <w:left w:val="nil"/>
              <w:right w:val="nil"/>
            </w:tcBorders>
            <w:shd w:val="clear" w:color="auto" w:fill="FFFFFF" w:themeFill="background2"/>
            <w:vAlign w:val="center"/>
            <w:hideMark/>
          </w:tcPr>
          <w:p w14:paraId="0C0A6D28" w14:textId="77777777" w:rsidR="00961617" w:rsidRPr="00545C7F" w:rsidRDefault="00961617" w:rsidP="0020771F">
            <w:pPr>
              <w:spacing w:after="0" w:line="240" w:lineRule="auto"/>
              <w:rPr>
                <w:rFonts w:eastAsia="Times New Roman" w:cstheme="minorHAnsi"/>
                <w:color w:val="000000"/>
                <w:sz w:val="20"/>
                <w:szCs w:val="20"/>
                <w:lang w:eastAsia="en-AU"/>
              </w:rPr>
            </w:pPr>
            <w:r w:rsidRPr="00545C7F">
              <w:rPr>
                <w:rFonts w:eastAsia="Times New Roman" w:cstheme="minorHAnsi"/>
                <w:color w:val="000000"/>
                <w:sz w:val="20"/>
                <w:szCs w:val="20"/>
                <w:lang w:eastAsia="en-AU"/>
              </w:rPr>
              <w:t>Unemployed 5 years or more</w:t>
            </w:r>
          </w:p>
        </w:tc>
        <w:tc>
          <w:tcPr>
            <w:tcW w:w="1013" w:type="dxa"/>
            <w:tcBorders>
              <w:top w:val="nil"/>
              <w:left w:val="nil"/>
              <w:right w:val="nil"/>
            </w:tcBorders>
            <w:shd w:val="clear" w:color="auto" w:fill="FFFFFF" w:themeFill="background2"/>
            <w:vAlign w:val="center"/>
            <w:hideMark/>
          </w:tcPr>
          <w:p w14:paraId="070A3D1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9.0</w:t>
            </w:r>
          </w:p>
        </w:tc>
        <w:tc>
          <w:tcPr>
            <w:tcW w:w="951" w:type="dxa"/>
            <w:tcBorders>
              <w:top w:val="nil"/>
              <w:left w:val="nil"/>
              <w:right w:val="nil"/>
            </w:tcBorders>
            <w:shd w:val="clear" w:color="auto" w:fill="FFFFFF" w:themeFill="background2"/>
            <w:vAlign w:val="center"/>
            <w:hideMark/>
          </w:tcPr>
          <w:p w14:paraId="2ED5B574"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-1.2</w:t>
            </w:r>
          </w:p>
        </w:tc>
        <w:tc>
          <w:tcPr>
            <w:tcW w:w="1013" w:type="dxa"/>
            <w:tcBorders>
              <w:top w:val="nil"/>
              <w:left w:val="nil"/>
              <w:right w:val="nil"/>
            </w:tcBorders>
            <w:shd w:val="clear" w:color="auto" w:fill="FFFFFF" w:themeFill="background2"/>
            <w:vAlign w:val="center"/>
            <w:hideMark/>
          </w:tcPr>
          <w:p w14:paraId="579EFBC8"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20.0</w:t>
            </w:r>
          </w:p>
        </w:tc>
        <w:tc>
          <w:tcPr>
            <w:tcW w:w="959" w:type="dxa"/>
            <w:tcBorders>
              <w:top w:val="nil"/>
              <w:left w:val="nil"/>
              <w:right w:val="nil"/>
            </w:tcBorders>
            <w:shd w:val="clear" w:color="auto" w:fill="FFFFFF" w:themeFill="background2"/>
            <w:vAlign w:val="center"/>
            <w:hideMark/>
          </w:tcPr>
          <w:p w14:paraId="092DFCEE"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-2.4</w:t>
            </w:r>
          </w:p>
        </w:tc>
        <w:tc>
          <w:tcPr>
            <w:tcW w:w="1013" w:type="dxa"/>
            <w:tcBorders>
              <w:top w:val="nil"/>
              <w:left w:val="nil"/>
              <w:right w:val="nil"/>
            </w:tcBorders>
            <w:shd w:val="clear" w:color="auto" w:fill="FFFFFF" w:themeFill="background2"/>
            <w:vAlign w:val="center"/>
            <w:hideMark/>
          </w:tcPr>
          <w:p w14:paraId="444CDEB3"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71.0</w:t>
            </w:r>
          </w:p>
        </w:tc>
        <w:tc>
          <w:tcPr>
            <w:tcW w:w="951" w:type="dxa"/>
            <w:tcBorders>
              <w:top w:val="nil"/>
              <w:left w:val="nil"/>
              <w:right w:val="nil"/>
            </w:tcBorders>
            <w:shd w:val="clear" w:color="auto" w:fill="FFFFFF" w:themeFill="background2"/>
            <w:vAlign w:val="center"/>
            <w:hideMark/>
          </w:tcPr>
          <w:p w14:paraId="54084142" w14:textId="77777777" w:rsidR="00961617" w:rsidRPr="00545C7F" w:rsidRDefault="00961617" w:rsidP="0020771F">
            <w:pPr>
              <w:pStyle w:val="tabletextslim"/>
              <w:spacing w:before="0" w:after="0"/>
              <w:ind w:right="93"/>
              <w:rPr>
                <w:rFonts w:eastAsia="Times New Roman" w:cstheme="minorHAnsi"/>
                <w:sz w:val="20"/>
                <w:szCs w:val="20"/>
                <w:lang w:eastAsia="en-AU"/>
              </w:rPr>
            </w:pPr>
            <w:r w:rsidRPr="00545C7F">
              <w:rPr>
                <w:rFonts w:eastAsia="Times New Roman" w:cstheme="minorHAnsi"/>
                <w:sz w:val="20"/>
                <w:szCs w:val="20"/>
                <w:lang w:eastAsia="en-AU"/>
              </w:rPr>
              <w:t>3.6</w:t>
            </w:r>
          </w:p>
        </w:tc>
      </w:tr>
      <w:tr w:rsidR="00961617" w:rsidRPr="00545C7F" w14:paraId="62612376" w14:textId="77777777" w:rsidTr="0020771F">
        <w:trPr>
          <w:trHeight w:hRule="exact" w:val="340"/>
        </w:trPr>
        <w:tc>
          <w:tcPr>
            <w:tcW w:w="3559" w:type="dxa"/>
            <w:tcBorders>
              <w:left w:val="nil"/>
              <w:right w:val="nil"/>
            </w:tcBorders>
            <w:shd w:val="clear" w:color="auto" w:fill="8EAEDE"/>
            <w:vAlign w:val="center"/>
            <w:hideMark/>
          </w:tcPr>
          <w:p w14:paraId="648A4EDF" w14:textId="77777777" w:rsidR="00961617" w:rsidRPr="00545C7F" w:rsidRDefault="00961617" w:rsidP="0020771F">
            <w:pPr>
              <w:spacing w:after="0" w:line="240" w:lineRule="auto"/>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Total</w:t>
            </w:r>
          </w:p>
        </w:tc>
        <w:tc>
          <w:tcPr>
            <w:tcW w:w="1013" w:type="dxa"/>
            <w:tcBorders>
              <w:left w:val="nil"/>
              <w:right w:val="nil"/>
            </w:tcBorders>
            <w:shd w:val="clear" w:color="auto" w:fill="8EAEDE"/>
            <w:vAlign w:val="center"/>
            <w:hideMark/>
          </w:tcPr>
          <w:p w14:paraId="2900AA4A"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19.7</w:t>
            </w:r>
          </w:p>
        </w:tc>
        <w:tc>
          <w:tcPr>
            <w:tcW w:w="951" w:type="dxa"/>
            <w:tcBorders>
              <w:left w:val="nil"/>
              <w:right w:val="nil"/>
            </w:tcBorders>
            <w:shd w:val="clear" w:color="auto" w:fill="8EAEDE"/>
            <w:vAlign w:val="center"/>
            <w:hideMark/>
          </w:tcPr>
          <w:p w14:paraId="1991943B"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-3.2</w:t>
            </w:r>
          </w:p>
        </w:tc>
        <w:tc>
          <w:tcPr>
            <w:tcW w:w="1013" w:type="dxa"/>
            <w:tcBorders>
              <w:left w:val="nil"/>
              <w:right w:val="nil"/>
            </w:tcBorders>
            <w:shd w:val="clear" w:color="auto" w:fill="8EAEDE"/>
            <w:vAlign w:val="center"/>
            <w:hideMark/>
          </w:tcPr>
          <w:p w14:paraId="00F04985"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20.7</w:t>
            </w:r>
          </w:p>
        </w:tc>
        <w:tc>
          <w:tcPr>
            <w:tcW w:w="959" w:type="dxa"/>
            <w:tcBorders>
              <w:left w:val="nil"/>
              <w:right w:val="nil"/>
            </w:tcBorders>
            <w:shd w:val="clear" w:color="auto" w:fill="8EAEDE"/>
            <w:vAlign w:val="center"/>
            <w:hideMark/>
          </w:tcPr>
          <w:p w14:paraId="1D411BA1"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-1.4</w:t>
            </w:r>
          </w:p>
        </w:tc>
        <w:tc>
          <w:tcPr>
            <w:tcW w:w="1013" w:type="dxa"/>
            <w:tcBorders>
              <w:left w:val="nil"/>
              <w:right w:val="nil"/>
            </w:tcBorders>
            <w:shd w:val="clear" w:color="auto" w:fill="8EAEDE"/>
            <w:vAlign w:val="center"/>
            <w:hideMark/>
          </w:tcPr>
          <w:p w14:paraId="65CDBEB0"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59.6</w:t>
            </w:r>
          </w:p>
        </w:tc>
        <w:tc>
          <w:tcPr>
            <w:tcW w:w="951" w:type="dxa"/>
            <w:tcBorders>
              <w:left w:val="nil"/>
              <w:right w:val="nil"/>
            </w:tcBorders>
            <w:shd w:val="clear" w:color="auto" w:fill="8EAEDE"/>
            <w:vAlign w:val="center"/>
            <w:hideMark/>
          </w:tcPr>
          <w:p w14:paraId="21194B0E" w14:textId="77777777" w:rsidR="00961617" w:rsidRPr="00545C7F" w:rsidRDefault="00961617" w:rsidP="0020771F">
            <w:pPr>
              <w:pStyle w:val="tabletextslim"/>
              <w:spacing w:before="0" w:after="0"/>
              <w:ind w:right="93"/>
              <w:rPr>
                <w:rFonts w:eastAsia="Times New Roman" w:cstheme="minorHAnsi"/>
                <w:bCs/>
                <w:sz w:val="20"/>
                <w:szCs w:val="20"/>
                <w:lang w:eastAsia="en-AU"/>
              </w:rPr>
            </w:pPr>
            <w:r w:rsidRPr="00545C7F">
              <w:rPr>
                <w:rFonts w:eastAsia="Times New Roman" w:cstheme="minorHAnsi"/>
                <w:bCs/>
                <w:sz w:val="20"/>
                <w:szCs w:val="20"/>
                <w:lang w:eastAsia="en-AU"/>
              </w:rPr>
              <w:t>4.6</w:t>
            </w:r>
          </w:p>
        </w:tc>
      </w:tr>
    </w:tbl>
    <w:p w14:paraId="439A5BBB" w14:textId="77777777" w:rsidR="00961617" w:rsidRPr="002F5864" w:rsidRDefault="00961617" w:rsidP="00E13B5E">
      <w:pPr>
        <w:pStyle w:val="Notes"/>
      </w:pPr>
      <w:r w:rsidRPr="00E13B5E">
        <w:rPr>
          <w:b/>
        </w:rPr>
        <w:t>Notes</w:t>
      </w:r>
      <w:r w:rsidRPr="002F5864">
        <w:t>:</w:t>
      </w:r>
    </w:p>
    <w:p w14:paraId="13BDE410" w14:textId="378D72E4" w:rsidR="00961617" w:rsidRPr="00AE501D" w:rsidRDefault="00961617" w:rsidP="00AE501D">
      <w:pPr>
        <w:pStyle w:val="Notesnumbered"/>
        <w:numPr>
          <w:ilvl w:val="0"/>
          <w:numId w:val="263"/>
        </w:numPr>
      </w:pPr>
      <w:r w:rsidRPr="00AE501D">
        <w:t>Observed results are not regressed. AME figures are from regression analysis.</w:t>
      </w:r>
    </w:p>
    <w:p w14:paraId="76E2E618" w14:textId="77777777" w:rsidR="00961617" w:rsidRPr="00AE501D" w:rsidRDefault="00961617" w:rsidP="00AE501D">
      <w:pPr>
        <w:pStyle w:val="Notesnumbered"/>
        <w:numPr>
          <w:ilvl w:val="0"/>
          <w:numId w:val="263"/>
        </w:numPr>
      </w:pPr>
      <w:r w:rsidRPr="00AE501D">
        <w:t>Discrepancies may occur between sums of the component items and totals due to rounding.</w:t>
      </w:r>
    </w:p>
    <w:p w14:paraId="79A20DF7" w14:textId="77777777" w:rsidR="00961617" w:rsidRPr="00AE501D" w:rsidRDefault="00961617" w:rsidP="00AE501D">
      <w:pPr>
        <w:pStyle w:val="Notesnumbered"/>
        <w:numPr>
          <w:ilvl w:val="0"/>
          <w:numId w:val="263"/>
        </w:numPr>
      </w:pPr>
      <w:r w:rsidRPr="00AE501D">
        <w:t>AME are calculated only for job seekers with recent JSCI. This is so that observed differences between the populations can be properly accounted for.</w:t>
      </w:r>
    </w:p>
    <w:p w14:paraId="58FEC89F" w14:textId="77777777" w:rsidR="00961617" w:rsidRPr="00AE501D" w:rsidRDefault="00961617" w:rsidP="00AE501D">
      <w:pPr>
        <w:pStyle w:val="Notesnumbered"/>
        <w:numPr>
          <w:ilvl w:val="0"/>
          <w:numId w:val="263"/>
        </w:numPr>
      </w:pPr>
      <w:r w:rsidRPr="00AE501D">
        <w:t>The observed results in the above table are the combined results for the two study populations (JSA 2009 and JSA 2012). These observed results are provided to give the reader an appreciation of the relative proportions that the AME figures relate to. For instance:</w:t>
      </w:r>
    </w:p>
    <w:p w14:paraId="41635A65" w14:textId="77777777" w:rsidR="00961617" w:rsidRPr="00AE501D" w:rsidRDefault="00961617" w:rsidP="00AE501D">
      <w:pPr>
        <w:pStyle w:val="Notesnumbered"/>
        <w:numPr>
          <w:ilvl w:val="1"/>
          <w:numId w:val="263"/>
        </w:numPr>
      </w:pPr>
      <w:r w:rsidRPr="00AE501D">
        <w:t xml:space="preserve">the 4.5 percentage point difference (AME) between models in the proportion of females who were on full income support 12 months after the snapshot date (derived using regression methods to control for differences between the two LTU study populations) relates to a full income support rate of 55.4 per cent) </w:t>
      </w:r>
    </w:p>
    <w:p w14:paraId="1B8FBE58" w14:textId="77777777" w:rsidR="00961617" w:rsidRPr="002F5864" w:rsidRDefault="00961617" w:rsidP="00AE501D">
      <w:pPr>
        <w:pStyle w:val="Notesnumbered"/>
        <w:numPr>
          <w:ilvl w:val="1"/>
          <w:numId w:val="263"/>
        </w:numPr>
      </w:pPr>
      <w:r w:rsidRPr="00AE501D">
        <w:t>the 4.6 percentage point difference (AME) between the two models in the proportion of those who had been unemployed for between one and two years who were off income support 12 months after the snapshot date relates</w:t>
      </w:r>
      <w:r w:rsidRPr="002F5864">
        <w:t xml:space="preserve"> to less than a third of such job seekers (27.7 per cent observed across both populations).</w:t>
      </w:r>
    </w:p>
    <w:p w14:paraId="7485EDCA" w14:textId="77777777" w:rsidR="00961617" w:rsidRPr="002F5864" w:rsidRDefault="00961617" w:rsidP="00E13B5E">
      <w:pPr>
        <w:pStyle w:val="Source"/>
        <w:rPr>
          <w:rFonts w:eastAsia="Times New Roman"/>
          <w:lang w:eastAsia="en-AU"/>
        </w:rPr>
      </w:pPr>
      <w:bookmarkStart w:id="647" w:name="_Toc435695221"/>
      <w:bookmarkStart w:id="648" w:name="_Toc436142581"/>
      <w:bookmarkEnd w:id="642"/>
      <w:bookmarkEnd w:id="643"/>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 and Research and Evaluation dataset (RED).</w:t>
      </w:r>
    </w:p>
    <w:p w14:paraId="51004496" w14:textId="77777777" w:rsidR="00961617" w:rsidRPr="002F5864" w:rsidRDefault="00961617" w:rsidP="00961617">
      <w:pPr>
        <w:keepNext/>
        <w:keepLines/>
        <w:spacing w:before="120" w:after="120" w:line="240" w:lineRule="auto"/>
        <w:rPr>
          <w:rFonts w:cstheme="minorHAnsi"/>
          <w:sz w:val="18"/>
          <w:szCs w:val="18"/>
        </w:rPr>
      </w:pPr>
      <w:r w:rsidRPr="002F5864">
        <w:rPr>
          <w:rFonts w:cstheme="minorHAnsi"/>
          <w:sz w:val="18"/>
          <w:szCs w:val="18"/>
        </w:rPr>
        <w:t xml:space="preserve">This data is referenced more than once in this report. </w:t>
      </w:r>
    </w:p>
    <w:p w14:paraId="1253FF0B" w14:textId="77777777" w:rsidR="00961617" w:rsidRPr="002F5864" w:rsidRDefault="00864C5E" w:rsidP="00961617">
      <w:pPr>
        <w:pStyle w:val="ListParagraph"/>
        <w:numPr>
          <w:ilvl w:val="0"/>
          <w:numId w:val="97"/>
        </w:numPr>
        <w:spacing w:before="0"/>
        <w:ind w:left="714" w:hanging="357"/>
        <w:rPr>
          <w:rFonts w:cstheme="minorHAnsi"/>
          <w:b/>
          <w:sz w:val="18"/>
          <w:szCs w:val="18"/>
        </w:rPr>
      </w:pPr>
      <w:hyperlink w:anchor="Place_A212" w:history="1">
        <w:r w:rsidR="00331592" w:rsidRPr="00DA0CBF">
          <w:rPr>
            <w:rStyle w:val="Hyperlink"/>
            <w:rFonts w:cstheme="minorHAnsi"/>
            <w:sz w:val="18"/>
            <w:szCs w:val="18"/>
          </w:rPr>
          <w:t>Return to Table 3.6</w:t>
        </w:r>
      </w:hyperlink>
      <w:r w:rsidR="00961617" w:rsidRPr="002F5864">
        <w:rPr>
          <w:rFonts w:cstheme="minorHAnsi"/>
          <w:sz w:val="18"/>
          <w:szCs w:val="18"/>
        </w:rPr>
        <w:t xml:space="preserve"> where this data is referenced.</w:t>
      </w:r>
    </w:p>
    <w:p w14:paraId="3B6C0696" w14:textId="77777777" w:rsidR="00961617" w:rsidRPr="002F5864" w:rsidRDefault="00864C5E" w:rsidP="00961617">
      <w:pPr>
        <w:pStyle w:val="ListParagraph"/>
        <w:numPr>
          <w:ilvl w:val="0"/>
          <w:numId w:val="97"/>
        </w:numPr>
        <w:spacing w:before="0"/>
        <w:ind w:left="714" w:hanging="357"/>
        <w:rPr>
          <w:rFonts w:cstheme="minorHAnsi"/>
          <w:b/>
          <w:sz w:val="18"/>
          <w:szCs w:val="18"/>
        </w:rPr>
      </w:pPr>
      <w:hyperlink w:anchor="Place_A212b" w:history="1">
        <w:r w:rsidR="00331592" w:rsidRPr="00DA0CBF">
          <w:rPr>
            <w:rStyle w:val="Hyperlink"/>
            <w:rFonts w:cstheme="minorHAnsi"/>
            <w:sz w:val="18"/>
            <w:szCs w:val="18"/>
          </w:rPr>
          <w:t>Return to Table 3.7</w:t>
        </w:r>
      </w:hyperlink>
      <w:r w:rsidR="00961617" w:rsidRPr="002F5864">
        <w:rPr>
          <w:rFonts w:cstheme="minorHAnsi"/>
          <w:sz w:val="18"/>
          <w:szCs w:val="18"/>
        </w:rPr>
        <w:t xml:space="preserve"> where this data is referenced.</w:t>
      </w:r>
    </w:p>
    <w:p w14:paraId="3A458E2C" w14:textId="77777777" w:rsidR="00961617" w:rsidRPr="002F5864" w:rsidRDefault="00961617" w:rsidP="00961617">
      <w:pPr>
        <w:pStyle w:val="TableHeadingtext"/>
        <w:rPr>
          <w:rFonts w:eastAsiaTheme="majorEastAsia" w:cstheme="minorHAnsi"/>
        </w:rPr>
        <w:sectPr w:rsidR="00961617" w:rsidRPr="002F5864" w:rsidSect="00861BD8">
          <w:pgSz w:w="11907" w:h="16839" w:code="9"/>
          <w:pgMar w:top="1440" w:right="1440" w:bottom="1440" w:left="1440" w:header="709" w:footer="283" w:gutter="0"/>
          <w:cols w:space="708"/>
          <w:docGrid w:linePitch="360"/>
        </w:sectPr>
      </w:pPr>
    </w:p>
    <w:p w14:paraId="196BF41F" w14:textId="77777777" w:rsidR="00961617" w:rsidRPr="002F5864" w:rsidRDefault="00961617" w:rsidP="00961617">
      <w:pPr>
        <w:pStyle w:val="TableheadingforappendixA1"/>
        <w:rPr>
          <w:rFonts w:cstheme="minorHAnsi"/>
        </w:rPr>
      </w:pPr>
      <w:bookmarkStart w:id="649" w:name="_Toc513129906"/>
      <w:r w:rsidRPr="002F5864">
        <w:rPr>
          <w:rFonts w:cstheme="minorHAnsi"/>
        </w:rPr>
        <w:t>Table A2.13: Employment, education and positive outcomes for job seekers between JSA 2009, LTU</w:t>
      </w:r>
      <w:bookmarkEnd w:id="647"/>
      <w:bookmarkEnd w:id="648"/>
      <w:r w:rsidRPr="002F5864">
        <w:rPr>
          <w:rFonts w:cstheme="minorHAnsi"/>
        </w:rPr>
        <w:t xml:space="preserve"> (per cent)</w:t>
      </w:r>
      <w:bookmarkEnd w:id="649"/>
    </w:p>
    <w:tbl>
      <w:tblPr>
        <w:tblStyle w:val="TableGrid"/>
        <w:tblW w:w="12582" w:type="dxa"/>
        <w:tblLayout w:type="fixed"/>
        <w:tblLook w:val="04A0" w:firstRow="1" w:lastRow="0" w:firstColumn="1" w:lastColumn="0" w:noHBand="0" w:noVBand="1"/>
      </w:tblPr>
      <w:tblGrid>
        <w:gridCol w:w="7054"/>
        <w:gridCol w:w="1418"/>
        <w:gridCol w:w="1417"/>
        <w:gridCol w:w="1422"/>
        <w:gridCol w:w="1271"/>
      </w:tblGrid>
      <w:tr w:rsidR="00961617" w:rsidRPr="00545C7F" w14:paraId="3008D33B" w14:textId="77777777" w:rsidTr="00EE47DD">
        <w:trPr>
          <w:tblHeader/>
        </w:trPr>
        <w:tc>
          <w:tcPr>
            <w:tcW w:w="7054" w:type="dxa"/>
            <w:tcBorders>
              <w:top w:val="nil"/>
              <w:left w:val="nil"/>
              <w:bottom w:val="nil"/>
              <w:right w:val="nil"/>
            </w:tcBorders>
            <w:shd w:val="clear" w:color="auto" w:fill="1E3D6B"/>
            <w:vAlign w:val="center"/>
          </w:tcPr>
          <w:p w14:paraId="5D80FD56" w14:textId="77777777" w:rsidR="00961617" w:rsidRPr="00545C7F" w:rsidRDefault="00961617" w:rsidP="0020771F">
            <w:pPr>
              <w:rPr>
                <w:rFonts w:cstheme="minorHAnsi"/>
                <w:b/>
                <w:color w:val="FFFFFF" w:themeColor="background2"/>
                <w:sz w:val="20"/>
                <w:szCs w:val="20"/>
              </w:rPr>
            </w:pPr>
            <w:bookmarkStart w:id="650" w:name="Title_A213"/>
            <w:bookmarkEnd w:id="650"/>
            <w:r w:rsidRPr="00545C7F">
              <w:rPr>
                <w:rFonts w:cstheme="minorHAnsi"/>
                <w:b/>
                <w:color w:val="FFFFFF" w:themeColor="background2"/>
                <w:sz w:val="20"/>
                <w:szCs w:val="20"/>
              </w:rPr>
              <w:t>Characteristics</w:t>
            </w:r>
          </w:p>
        </w:tc>
        <w:tc>
          <w:tcPr>
            <w:tcW w:w="1418" w:type="dxa"/>
            <w:tcBorders>
              <w:top w:val="nil"/>
              <w:left w:val="nil"/>
              <w:bottom w:val="nil"/>
              <w:right w:val="nil"/>
            </w:tcBorders>
            <w:shd w:val="clear" w:color="auto" w:fill="1E3D6B"/>
            <w:vAlign w:val="center"/>
          </w:tcPr>
          <w:p w14:paraId="3883AF4C"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Full time Employment</w:t>
            </w:r>
          </w:p>
        </w:tc>
        <w:tc>
          <w:tcPr>
            <w:tcW w:w="1417" w:type="dxa"/>
            <w:tcBorders>
              <w:top w:val="nil"/>
              <w:left w:val="nil"/>
              <w:bottom w:val="nil"/>
              <w:right w:val="nil"/>
            </w:tcBorders>
            <w:shd w:val="clear" w:color="auto" w:fill="1E3D6B"/>
            <w:vAlign w:val="center"/>
          </w:tcPr>
          <w:p w14:paraId="2EE8D565"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Part time Employment</w:t>
            </w:r>
          </w:p>
        </w:tc>
        <w:tc>
          <w:tcPr>
            <w:tcW w:w="1422" w:type="dxa"/>
            <w:tcBorders>
              <w:top w:val="nil"/>
              <w:left w:val="nil"/>
              <w:bottom w:val="nil"/>
              <w:right w:val="nil"/>
            </w:tcBorders>
            <w:shd w:val="clear" w:color="auto" w:fill="1E3D6B"/>
            <w:vAlign w:val="center"/>
          </w:tcPr>
          <w:p w14:paraId="354F54EA"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Total Employment</w:t>
            </w:r>
          </w:p>
        </w:tc>
        <w:tc>
          <w:tcPr>
            <w:tcW w:w="1271" w:type="dxa"/>
            <w:tcBorders>
              <w:top w:val="nil"/>
              <w:left w:val="nil"/>
              <w:bottom w:val="nil"/>
              <w:right w:val="nil"/>
            </w:tcBorders>
            <w:shd w:val="clear" w:color="auto" w:fill="1E3D6B"/>
            <w:vAlign w:val="center"/>
          </w:tcPr>
          <w:p w14:paraId="3F796AF3"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Education</w:t>
            </w:r>
          </w:p>
        </w:tc>
      </w:tr>
      <w:tr w:rsidR="00961617" w:rsidRPr="00545C7F" w14:paraId="766C1C34" w14:textId="77777777" w:rsidTr="00EE47DD">
        <w:trPr>
          <w:trHeight w:hRule="exact" w:val="397"/>
        </w:trPr>
        <w:tc>
          <w:tcPr>
            <w:tcW w:w="7054" w:type="dxa"/>
            <w:tcBorders>
              <w:top w:val="nil"/>
              <w:left w:val="nil"/>
              <w:bottom w:val="nil"/>
              <w:right w:val="nil"/>
            </w:tcBorders>
            <w:vAlign w:val="center"/>
          </w:tcPr>
          <w:p w14:paraId="5D9C47F0" w14:textId="77777777" w:rsidR="00961617" w:rsidRPr="00545C7F" w:rsidRDefault="00961617" w:rsidP="0020771F">
            <w:pPr>
              <w:rPr>
                <w:rFonts w:cstheme="minorHAnsi"/>
                <w:sz w:val="20"/>
                <w:szCs w:val="20"/>
              </w:rPr>
            </w:pPr>
            <w:r w:rsidRPr="00545C7F">
              <w:rPr>
                <w:rFonts w:cstheme="minorHAnsi"/>
                <w:sz w:val="20"/>
                <w:szCs w:val="20"/>
              </w:rPr>
              <w:t>Commencement stream: Stream 1</w:t>
            </w:r>
          </w:p>
        </w:tc>
        <w:tc>
          <w:tcPr>
            <w:tcW w:w="1418" w:type="dxa"/>
            <w:tcBorders>
              <w:top w:val="nil"/>
              <w:left w:val="nil"/>
              <w:bottom w:val="nil"/>
              <w:right w:val="nil"/>
            </w:tcBorders>
            <w:vAlign w:val="center"/>
          </w:tcPr>
          <w:p w14:paraId="4F80A34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30.3</w:t>
            </w:r>
          </w:p>
        </w:tc>
        <w:tc>
          <w:tcPr>
            <w:tcW w:w="1417" w:type="dxa"/>
            <w:tcBorders>
              <w:top w:val="nil"/>
              <w:left w:val="nil"/>
              <w:bottom w:val="nil"/>
              <w:right w:val="nil"/>
            </w:tcBorders>
            <w:vAlign w:val="center"/>
          </w:tcPr>
          <w:p w14:paraId="15055DA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31.7</w:t>
            </w:r>
          </w:p>
        </w:tc>
        <w:tc>
          <w:tcPr>
            <w:tcW w:w="1422" w:type="dxa"/>
            <w:tcBorders>
              <w:top w:val="nil"/>
              <w:left w:val="nil"/>
              <w:bottom w:val="nil"/>
              <w:right w:val="nil"/>
            </w:tcBorders>
            <w:vAlign w:val="center"/>
          </w:tcPr>
          <w:p w14:paraId="09E758C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62.0</w:t>
            </w:r>
          </w:p>
        </w:tc>
        <w:tc>
          <w:tcPr>
            <w:tcW w:w="1271" w:type="dxa"/>
            <w:tcBorders>
              <w:top w:val="nil"/>
              <w:left w:val="nil"/>
              <w:bottom w:val="nil"/>
              <w:right w:val="nil"/>
            </w:tcBorders>
            <w:vAlign w:val="center"/>
          </w:tcPr>
          <w:p w14:paraId="0B45236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19.2</w:t>
            </w:r>
          </w:p>
        </w:tc>
      </w:tr>
      <w:tr w:rsidR="00961617" w:rsidRPr="00545C7F" w14:paraId="12BB7FAD"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2C82E569" w14:textId="77777777" w:rsidR="00961617" w:rsidRPr="00545C7F" w:rsidRDefault="00961617" w:rsidP="0020771F">
            <w:pPr>
              <w:pStyle w:val="Tablefirstcolumn"/>
              <w:rPr>
                <w:rFonts w:cstheme="minorHAnsi"/>
              </w:rPr>
            </w:pPr>
            <w:r w:rsidRPr="00545C7F">
              <w:rPr>
                <w:rFonts w:cstheme="minorHAnsi"/>
              </w:rPr>
              <w:t>Commencement stream: Stream 2</w:t>
            </w:r>
          </w:p>
        </w:tc>
        <w:tc>
          <w:tcPr>
            <w:tcW w:w="1418" w:type="dxa"/>
            <w:tcBorders>
              <w:top w:val="nil"/>
              <w:left w:val="nil"/>
              <w:bottom w:val="nil"/>
              <w:right w:val="nil"/>
            </w:tcBorders>
            <w:shd w:val="clear" w:color="auto" w:fill="E5E5E5" w:themeFill="background1" w:themeFillTint="33"/>
            <w:vAlign w:val="center"/>
          </w:tcPr>
          <w:p w14:paraId="34A7C3F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28.0</w:t>
            </w:r>
          </w:p>
        </w:tc>
        <w:tc>
          <w:tcPr>
            <w:tcW w:w="1417" w:type="dxa"/>
            <w:tcBorders>
              <w:top w:val="nil"/>
              <w:left w:val="nil"/>
              <w:bottom w:val="nil"/>
              <w:right w:val="nil"/>
            </w:tcBorders>
            <w:shd w:val="clear" w:color="auto" w:fill="E5E5E5" w:themeFill="background1" w:themeFillTint="33"/>
            <w:vAlign w:val="center"/>
          </w:tcPr>
          <w:p w14:paraId="2316886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26.7</w:t>
            </w:r>
          </w:p>
        </w:tc>
        <w:tc>
          <w:tcPr>
            <w:tcW w:w="1422" w:type="dxa"/>
            <w:tcBorders>
              <w:top w:val="nil"/>
              <w:left w:val="nil"/>
              <w:bottom w:val="nil"/>
              <w:right w:val="nil"/>
            </w:tcBorders>
            <w:shd w:val="clear" w:color="auto" w:fill="E5E5E5" w:themeFill="background1" w:themeFillTint="33"/>
            <w:vAlign w:val="center"/>
          </w:tcPr>
          <w:p w14:paraId="327B491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54.7</w:t>
            </w:r>
          </w:p>
        </w:tc>
        <w:tc>
          <w:tcPr>
            <w:tcW w:w="1271" w:type="dxa"/>
            <w:tcBorders>
              <w:top w:val="nil"/>
              <w:left w:val="nil"/>
              <w:bottom w:val="nil"/>
              <w:right w:val="nil"/>
            </w:tcBorders>
            <w:shd w:val="clear" w:color="auto" w:fill="E5E5E5" w:themeFill="background1" w:themeFillTint="33"/>
            <w:vAlign w:val="center"/>
          </w:tcPr>
          <w:p w14:paraId="3EB0766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17.7</w:t>
            </w:r>
          </w:p>
        </w:tc>
      </w:tr>
      <w:tr w:rsidR="00961617" w:rsidRPr="00545C7F" w14:paraId="60EF3419" w14:textId="77777777" w:rsidTr="00EE47DD">
        <w:trPr>
          <w:trHeight w:hRule="exact" w:val="397"/>
        </w:trPr>
        <w:tc>
          <w:tcPr>
            <w:tcW w:w="7054" w:type="dxa"/>
            <w:tcBorders>
              <w:top w:val="nil"/>
              <w:left w:val="nil"/>
              <w:bottom w:val="nil"/>
              <w:right w:val="nil"/>
            </w:tcBorders>
            <w:vAlign w:val="center"/>
          </w:tcPr>
          <w:p w14:paraId="3E1DC80B" w14:textId="77777777" w:rsidR="00961617" w:rsidRPr="00545C7F" w:rsidRDefault="00961617" w:rsidP="0020771F">
            <w:pPr>
              <w:pStyle w:val="Tablefirstcolumn"/>
              <w:rPr>
                <w:rFonts w:cstheme="minorHAnsi"/>
              </w:rPr>
            </w:pPr>
            <w:r w:rsidRPr="00545C7F">
              <w:rPr>
                <w:rFonts w:cstheme="minorHAnsi"/>
              </w:rPr>
              <w:t>Commencement stream: Stream 3</w:t>
            </w:r>
          </w:p>
        </w:tc>
        <w:tc>
          <w:tcPr>
            <w:tcW w:w="1418" w:type="dxa"/>
            <w:tcBorders>
              <w:top w:val="nil"/>
              <w:left w:val="nil"/>
              <w:bottom w:val="nil"/>
              <w:right w:val="nil"/>
            </w:tcBorders>
            <w:vAlign w:val="center"/>
          </w:tcPr>
          <w:p w14:paraId="179030A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14.4</w:t>
            </w:r>
          </w:p>
        </w:tc>
        <w:tc>
          <w:tcPr>
            <w:tcW w:w="1417" w:type="dxa"/>
            <w:tcBorders>
              <w:top w:val="nil"/>
              <w:left w:val="nil"/>
              <w:bottom w:val="nil"/>
              <w:right w:val="nil"/>
            </w:tcBorders>
            <w:vAlign w:val="center"/>
          </w:tcPr>
          <w:p w14:paraId="11A83F2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24.8</w:t>
            </w:r>
          </w:p>
        </w:tc>
        <w:tc>
          <w:tcPr>
            <w:tcW w:w="1422" w:type="dxa"/>
            <w:tcBorders>
              <w:top w:val="nil"/>
              <w:left w:val="nil"/>
              <w:bottom w:val="nil"/>
              <w:right w:val="nil"/>
            </w:tcBorders>
            <w:vAlign w:val="center"/>
          </w:tcPr>
          <w:p w14:paraId="7E8BA0F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39.2</w:t>
            </w:r>
          </w:p>
        </w:tc>
        <w:tc>
          <w:tcPr>
            <w:tcW w:w="1271" w:type="dxa"/>
            <w:tcBorders>
              <w:top w:val="nil"/>
              <w:left w:val="nil"/>
              <w:bottom w:val="nil"/>
              <w:right w:val="nil"/>
            </w:tcBorders>
            <w:vAlign w:val="center"/>
          </w:tcPr>
          <w:p w14:paraId="4DAC2AB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18.8</w:t>
            </w:r>
          </w:p>
        </w:tc>
      </w:tr>
      <w:tr w:rsidR="00961617" w:rsidRPr="00545C7F" w14:paraId="05784ACC"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53AE94D3" w14:textId="77777777" w:rsidR="00961617" w:rsidRPr="00545C7F" w:rsidRDefault="00961617" w:rsidP="0020771F">
            <w:pPr>
              <w:pStyle w:val="Tablefirstcolumn"/>
              <w:rPr>
                <w:rFonts w:cstheme="minorHAnsi"/>
              </w:rPr>
            </w:pPr>
            <w:r w:rsidRPr="00545C7F">
              <w:rPr>
                <w:rFonts w:cstheme="minorHAnsi"/>
              </w:rPr>
              <w:t>Commencement stream: Stream 4</w:t>
            </w:r>
          </w:p>
        </w:tc>
        <w:tc>
          <w:tcPr>
            <w:tcW w:w="1418" w:type="dxa"/>
            <w:tcBorders>
              <w:top w:val="nil"/>
              <w:left w:val="nil"/>
              <w:bottom w:val="nil"/>
              <w:right w:val="nil"/>
            </w:tcBorders>
            <w:shd w:val="clear" w:color="auto" w:fill="E5E5E5" w:themeFill="background1" w:themeFillTint="33"/>
            <w:vAlign w:val="center"/>
          </w:tcPr>
          <w:p w14:paraId="6B90322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12.3</w:t>
            </w:r>
          </w:p>
        </w:tc>
        <w:tc>
          <w:tcPr>
            <w:tcW w:w="1417" w:type="dxa"/>
            <w:tcBorders>
              <w:top w:val="nil"/>
              <w:left w:val="nil"/>
              <w:bottom w:val="nil"/>
              <w:right w:val="nil"/>
            </w:tcBorders>
            <w:shd w:val="clear" w:color="auto" w:fill="E5E5E5" w:themeFill="background1" w:themeFillTint="33"/>
            <w:vAlign w:val="center"/>
          </w:tcPr>
          <w:p w14:paraId="15E0D14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14.2</w:t>
            </w:r>
          </w:p>
        </w:tc>
        <w:tc>
          <w:tcPr>
            <w:tcW w:w="1422" w:type="dxa"/>
            <w:tcBorders>
              <w:top w:val="nil"/>
              <w:left w:val="nil"/>
              <w:bottom w:val="nil"/>
              <w:right w:val="nil"/>
            </w:tcBorders>
            <w:shd w:val="clear" w:color="auto" w:fill="E5E5E5" w:themeFill="background1" w:themeFillTint="33"/>
            <w:vAlign w:val="center"/>
          </w:tcPr>
          <w:p w14:paraId="6CC9FCE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26.5</w:t>
            </w:r>
          </w:p>
        </w:tc>
        <w:tc>
          <w:tcPr>
            <w:tcW w:w="1271" w:type="dxa"/>
            <w:tcBorders>
              <w:top w:val="nil"/>
              <w:left w:val="nil"/>
              <w:bottom w:val="nil"/>
              <w:right w:val="nil"/>
            </w:tcBorders>
            <w:shd w:val="clear" w:color="auto" w:fill="E5E5E5" w:themeFill="background1" w:themeFillTint="33"/>
            <w:vAlign w:val="center"/>
          </w:tcPr>
          <w:p w14:paraId="1BF79E1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16.1</w:t>
            </w:r>
          </w:p>
        </w:tc>
      </w:tr>
      <w:tr w:rsidR="00961617" w:rsidRPr="00545C7F" w14:paraId="38CF8A42" w14:textId="77777777" w:rsidTr="00EE47DD">
        <w:trPr>
          <w:trHeight w:hRule="exact" w:val="397"/>
        </w:trPr>
        <w:tc>
          <w:tcPr>
            <w:tcW w:w="7054" w:type="dxa"/>
            <w:tcBorders>
              <w:top w:val="nil"/>
              <w:left w:val="nil"/>
              <w:bottom w:val="nil"/>
              <w:right w:val="nil"/>
            </w:tcBorders>
            <w:vAlign w:val="center"/>
          </w:tcPr>
          <w:p w14:paraId="72DA2C4E" w14:textId="77777777" w:rsidR="00961617" w:rsidRPr="00545C7F" w:rsidRDefault="00961617" w:rsidP="0020771F">
            <w:pPr>
              <w:pStyle w:val="Tablefirstcolumn"/>
              <w:rPr>
                <w:rFonts w:cstheme="minorHAnsi"/>
              </w:rPr>
            </w:pPr>
            <w:r w:rsidRPr="00545C7F">
              <w:rPr>
                <w:rFonts w:cstheme="minorHAnsi"/>
              </w:rPr>
              <w:t>Long-term capacity to participate in the labour force: Partial capacity</w:t>
            </w:r>
          </w:p>
        </w:tc>
        <w:tc>
          <w:tcPr>
            <w:tcW w:w="1418" w:type="dxa"/>
            <w:tcBorders>
              <w:top w:val="nil"/>
              <w:left w:val="nil"/>
              <w:bottom w:val="nil"/>
              <w:right w:val="nil"/>
            </w:tcBorders>
            <w:vAlign w:val="center"/>
          </w:tcPr>
          <w:p w14:paraId="36E28F0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11.5</w:t>
            </w:r>
          </w:p>
        </w:tc>
        <w:tc>
          <w:tcPr>
            <w:tcW w:w="1417" w:type="dxa"/>
            <w:tcBorders>
              <w:top w:val="nil"/>
              <w:left w:val="nil"/>
              <w:bottom w:val="nil"/>
              <w:right w:val="nil"/>
            </w:tcBorders>
            <w:vAlign w:val="center"/>
          </w:tcPr>
          <w:p w14:paraId="2C956ED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25.0</w:t>
            </w:r>
          </w:p>
        </w:tc>
        <w:tc>
          <w:tcPr>
            <w:tcW w:w="1422" w:type="dxa"/>
            <w:tcBorders>
              <w:top w:val="nil"/>
              <w:left w:val="nil"/>
              <w:bottom w:val="nil"/>
              <w:right w:val="nil"/>
            </w:tcBorders>
            <w:vAlign w:val="center"/>
          </w:tcPr>
          <w:p w14:paraId="7BC9CE2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36.5</w:t>
            </w:r>
          </w:p>
        </w:tc>
        <w:tc>
          <w:tcPr>
            <w:tcW w:w="1271" w:type="dxa"/>
            <w:tcBorders>
              <w:top w:val="nil"/>
              <w:left w:val="nil"/>
              <w:bottom w:val="nil"/>
              <w:right w:val="nil"/>
            </w:tcBorders>
            <w:vAlign w:val="center"/>
          </w:tcPr>
          <w:p w14:paraId="07F7644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16.7</w:t>
            </w:r>
          </w:p>
        </w:tc>
      </w:tr>
      <w:tr w:rsidR="00961617" w:rsidRPr="00545C7F" w14:paraId="6B3C9DA5"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0CF7C6DE" w14:textId="77777777" w:rsidR="00961617" w:rsidRPr="00545C7F" w:rsidRDefault="00961617" w:rsidP="0020771F">
            <w:pPr>
              <w:pStyle w:val="Tablefirstcolumn"/>
              <w:rPr>
                <w:rFonts w:cstheme="minorHAnsi"/>
              </w:rPr>
            </w:pPr>
            <w:r w:rsidRPr="00545C7F">
              <w:rPr>
                <w:rFonts w:cstheme="minorHAnsi"/>
              </w:rPr>
              <w:t>Long-term capacity to participate in the labour force: Not partial capacity</w:t>
            </w:r>
          </w:p>
        </w:tc>
        <w:tc>
          <w:tcPr>
            <w:tcW w:w="1418" w:type="dxa"/>
            <w:tcBorders>
              <w:top w:val="nil"/>
              <w:left w:val="nil"/>
              <w:bottom w:val="nil"/>
              <w:right w:val="nil"/>
            </w:tcBorders>
            <w:shd w:val="clear" w:color="auto" w:fill="E5E5E5" w:themeFill="background1" w:themeFillTint="33"/>
            <w:vAlign w:val="center"/>
          </w:tcPr>
          <w:p w14:paraId="1894F1A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25.1</w:t>
            </w:r>
          </w:p>
        </w:tc>
        <w:tc>
          <w:tcPr>
            <w:tcW w:w="1417" w:type="dxa"/>
            <w:tcBorders>
              <w:top w:val="nil"/>
              <w:left w:val="nil"/>
              <w:bottom w:val="nil"/>
              <w:right w:val="nil"/>
            </w:tcBorders>
            <w:shd w:val="clear" w:color="auto" w:fill="E5E5E5" w:themeFill="background1" w:themeFillTint="33"/>
            <w:vAlign w:val="center"/>
          </w:tcPr>
          <w:p w14:paraId="2507D762"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22.9</w:t>
            </w:r>
          </w:p>
        </w:tc>
        <w:tc>
          <w:tcPr>
            <w:tcW w:w="1422" w:type="dxa"/>
            <w:tcBorders>
              <w:top w:val="nil"/>
              <w:left w:val="nil"/>
              <w:bottom w:val="nil"/>
              <w:right w:val="nil"/>
            </w:tcBorders>
            <w:shd w:val="clear" w:color="auto" w:fill="E5E5E5" w:themeFill="background1" w:themeFillTint="33"/>
            <w:vAlign w:val="center"/>
          </w:tcPr>
          <w:p w14:paraId="38DE8F2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48.0</w:t>
            </w:r>
          </w:p>
        </w:tc>
        <w:tc>
          <w:tcPr>
            <w:tcW w:w="1271" w:type="dxa"/>
            <w:tcBorders>
              <w:top w:val="nil"/>
              <w:left w:val="nil"/>
              <w:bottom w:val="nil"/>
              <w:right w:val="nil"/>
            </w:tcBorders>
            <w:shd w:val="clear" w:color="auto" w:fill="E5E5E5" w:themeFill="background1" w:themeFillTint="33"/>
            <w:vAlign w:val="center"/>
          </w:tcPr>
          <w:p w14:paraId="4D26F97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19.0</w:t>
            </w:r>
          </w:p>
        </w:tc>
      </w:tr>
      <w:tr w:rsidR="00961617" w:rsidRPr="00545C7F" w14:paraId="600998E8" w14:textId="77777777" w:rsidTr="00EE47DD">
        <w:trPr>
          <w:trHeight w:hRule="exact" w:val="397"/>
        </w:trPr>
        <w:tc>
          <w:tcPr>
            <w:tcW w:w="7054" w:type="dxa"/>
            <w:tcBorders>
              <w:top w:val="nil"/>
              <w:left w:val="nil"/>
              <w:bottom w:val="nil"/>
              <w:right w:val="nil"/>
            </w:tcBorders>
            <w:vAlign w:val="center"/>
          </w:tcPr>
          <w:p w14:paraId="0F78C03A" w14:textId="77777777" w:rsidR="00961617" w:rsidRPr="00545C7F" w:rsidRDefault="00961617" w:rsidP="0020771F">
            <w:pPr>
              <w:pStyle w:val="Tablefirstcolumn"/>
              <w:rPr>
                <w:rFonts w:cstheme="minorHAnsi"/>
              </w:rPr>
            </w:pPr>
            <w:r w:rsidRPr="00545C7F">
              <w:rPr>
                <w:rFonts w:cstheme="minorHAnsi"/>
              </w:rPr>
              <w:t>Gender and age group: Males aged &lt; 25 years</w:t>
            </w:r>
          </w:p>
        </w:tc>
        <w:tc>
          <w:tcPr>
            <w:tcW w:w="1418" w:type="dxa"/>
            <w:tcBorders>
              <w:top w:val="nil"/>
              <w:left w:val="nil"/>
              <w:bottom w:val="nil"/>
              <w:right w:val="nil"/>
            </w:tcBorders>
            <w:vAlign w:val="center"/>
          </w:tcPr>
          <w:p w14:paraId="2673192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29.7</w:t>
            </w:r>
          </w:p>
        </w:tc>
        <w:tc>
          <w:tcPr>
            <w:tcW w:w="1417" w:type="dxa"/>
            <w:tcBorders>
              <w:top w:val="nil"/>
              <w:left w:val="nil"/>
              <w:bottom w:val="nil"/>
              <w:right w:val="nil"/>
            </w:tcBorders>
            <w:vAlign w:val="center"/>
          </w:tcPr>
          <w:p w14:paraId="2898F431"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16.3</w:t>
            </w:r>
          </w:p>
        </w:tc>
        <w:tc>
          <w:tcPr>
            <w:tcW w:w="1422" w:type="dxa"/>
            <w:tcBorders>
              <w:top w:val="nil"/>
              <w:left w:val="nil"/>
              <w:bottom w:val="nil"/>
              <w:right w:val="nil"/>
            </w:tcBorders>
            <w:vAlign w:val="center"/>
          </w:tcPr>
          <w:p w14:paraId="0EDCBB6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46.0</w:t>
            </w:r>
          </w:p>
        </w:tc>
        <w:tc>
          <w:tcPr>
            <w:tcW w:w="1271" w:type="dxa"/>
            <w:tcBorders>
              <w:top w:val="nil"/>
              <w:left w:val="nil"/>
              <w:bottom w:val="nil"/>
              <w:right w:val="nil"/>
            </w:tcBorders>
            <w:vAlign w:val="center"/>
          </w:tcPr>
          <w:p w14:paraId="450EB38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20.2</w:t>
            </w:r>
          </w:p>
        </w:tc>
      </w:tr>
      <w:tr w:rsidR="00961617" w:rsidRPr="00545C7F" w14:paraId="5FC40D6B"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6B3BE0D5" w14:textId="77777777" w:rsidR="00961617" w:rsidRPr="00545C7F" w:rsidRDefault="00961617" w:rsidP="0020771F">
            <w:pPr>
              <w:pStyle w:val="Tablefirstcolumn"/>
              <w:rPr>
                <w:rFonts w:cstheme="minorHAnsi"/>
              </w:rPr>
            </w:pPr>
            <w:r w:rsidRPr="00545C7F">
              <w:rPr>
                <w:rFonts w:cstheme="minorHAnsi"/>
              </w:rPr>
              <w:t>Gender and age group: Males aged 25-49 years</w:t>
            </w:r>
          </w:p>
        </w:tc>
        <w:tc>
          <w:tcPr>
            <w:tcW w:w="1418" w:type="dxa"/>
            <w:tcBorders>
              <w:top w:val="nil"/>
              <w:left w:val="nil"/>
              <w:bottom w:val="nil"/>
              <w:right w:val="nil"/>
            </w:tcBorders>
            <w:shd w:val="clear" w:color="auto" w:fill="E5E5E5" w:themeFill="background1" w:themeFillTint="33"/>
            <w:vAlign w:val="center"/>
          </w:tcPr>
          <w:p w14:paraId="732D427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24.9</w:t>
            </w:r>
          </w:p>
        </w:tc>
        <w:tc>
          <w:tcPr>
            <w:tcW w:w="1417" w:type="dxa"/>
            <w:tcBorders>
              <w:top w:val="nil"/>
              <w:left w:val="nil"/>
              <w:bottom w:val="nil"/>
              <w:right w:val="nil"/>
            </w:tcBorders>
            <w:shd w:val="clear" w:color="auto" w:fill="E5E5E5" w:themeFill="background1" w:themeFillTint="33"/>
            <w:vAlign w:val="center"/>
          </w:tcPr>
          <w:p w14:paraId="2A5AB4A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16.9</w:t>
            </w:r>
          </w:p>
        </w:tc>
        <w:tc>
          <w:tcPr>
            <w:tcW w:w="1422" w:type="dxa"/>
            <w:tcBorders>
              <w:top w:val="nil"/>
              <w:left w:val="nil"/>
              <w:bottom w:val="nil"/>
              <w:right w:val="nil"/>
            </w:tcBorders>
            <w:shd w:val="clear" w:color="auto" w:fill="E5E5E5" w:themeFill="background1" w:themeFillTint="33"/>
            <w:vAlign w:val="center"/>
          </w:tcPr>
          <w:p w14:paraId="74D14F2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41.8</w:t>
            </w:r>
          </w:p>
        </w:tc>
        <w:tc>
          <w:tcPr>
            <w:tcW w:w="1271" w:type="dxa"/>
            <w:tcBorders>
              <w:top w:val="nil"/>
              <w:left w:val="nil"/>
              <w:bottom w:val="nil"/>
              <w:right w:val="nil"/>
            </w:tcBorders>
            <w:shd w:val="clear" w:color="auto" w:fill="E5E5E5" w:themeFill="background1" w:themeFillTint="33"/>
            <w:vAlign w:val="center"/>
          </w:tcPr>
          <w:p w14:paraId="1CD62E8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14.2</w:t>
            </w:r>
          </w:p>
        </w:tc>
      </w:tr>
      <w:tr w:rsidR="00961617" w:rsidRPr="00545C7F" w14:paraId="0D7A51AE" w14:textId="77777777" w:rsidTr="00EE47DD">
        <w:trPr>
          <w:trHeight w:hRule="exact" w:val="397"/>
        </w:trPr>
        <w:tc>
          <w:tcPr>
            <w:tcW w:w="7054" w:type="dxa"/>
            <w:tcBorders>
              <w:top w:val="nil"/>
              <w:left w:val="nil"/>
              <w:bottom w:val="nil"/>
              <w:right w:val="nil"/>
            </w:tcBorders>
            <w:vAlign w:val="center"/>
          </w:tcPr>
          <w:p w14:paraId="7F439EEE" w14:textId="77777777" w:rsidR="00961617" w:rsidRPr="00545C7F" w:rsidRDefault="00961617" w:rsidP="0020771F">
            <w:pPr>
              <w:pStyle w:val="Tablefirstcolumn"/>
              <w:rPr>
                <w:rFonts w:cstheme="minorHAnsi"/>
              </w:rPr>
            </w:pPr>
            <w:r w:rsidRPr="00545C7F">
              <w:rPr>
                <w:rFonts w:cstheme="minorHAnsi"/>
              </w:rPr>
              <w:t>Gender and age group: Males ages 50+ years</w:t>
            </w:r>
          </w:p>
        </w:tc>
        <w:tc>
          <w:tcPr>
            <w:tcW w:w="1418" w:type="dxa"/>
            <w:tcBorders>
              <w:top w:val="nil"/>
              <w:left w:val="nil"/>
              <w:bottom w:val="nil"/>
              <w:right w:val="nil"/>
            </w:tcBorders>
            <w:vAlign w:val="center"/>
          </w:tcPr>
          <w:p w14:paraId="6035013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17.3</w:t>
            </w:r>
          </w:p>
        </w:tc>
        <w:tc>
          <w:tcPr>
            <w:tcW w:w="1417" w:type="dxa"/>
            <w:tcBorders>
              <w:top w:val="nil"/>
              <w:left w:val="nil"/>
              <w:bottom w:val="nil"/>
              <w:right w:val="nil"/>
            </w:tcBorders>
            <w:vAlign w:val="center"/>
          </w:tcPr>
          <w:p w14:paraId="6C7CF62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16.6</w:t>
            </w:r>
          </w:p>
        </w:tc>
        <w:tc>
          <w:tcPr>
            <w:tcW w:w="1422" w:type="dxa"/>
            <w:tcBorders>
              <w:top w:val="nil"/>
              <w:left w:val="nil"/>
              <w:bottom w:val="nil"/>
              <w:right w:val="nil"/>
            </w:tcBorders>
            <w:vAlign w:val="center"/>
          </w:tcPr>
          <w:p w14:paraId="10FBCEB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33.9</w:t>
            </w:r>
          </w:p>
        </w:tc>
        <w:tc>
          <w:tcPr>
            <w:tcW w:w="1271" w:type="dxa"/>
            <w:tcBorders>
              <w:top w:val="nil"/>
              <w:left w:val="nil"/>
              <w:bottom w:val="nil"/>
              <w:right w:val="nil"/>
            </w:tcBorders>
            <w:vAlign w:val="center"/>
          </w:tcPr>
          <w:p w14:paraId="27373F0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11.5</w:t>
            </w:r>
          </w:p>
        </w:tc>
      </w:tr>
      <w:tr w:rsidR="00961617" w:rsidRPr="00545C7F" w14:paraId="34B2ABC6"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289C3B08" w14:textId="77777777" w:rsidR="00961617" w:rsidRPr="00545C7F" w:rsidRDefault="00961617" w:rsidP="0020771F">
            <w:pPr>
              <w:pStyle w:val="Tablefirstcolumn"/>
              <w:rPr>
                <w:rFonts w:cstheme="minorHAnsi"/>
              </w:rPr>
            </w:pPr>
            <w:r w:rsidRPr="00545C7F">
              <w:rPr>
                <w:rFonts w:cstheme="minorHAnsi"/>
              </w:rPr>
              <w:t>Gender and age group: Females aged &lt; 25 years</w:t>
            </w:r>
          </w:p>
        </w:tc>
        <w:tc>
          <w:tcPr>
            <w:tcW w:w="1418" w:type="dxa"/>
            <w:tcBorders>
              <w:top w:val="nil"/>
              <w:left w:val="nil"/>
              <w:bottom w:val="nil"/>
              <w:right w:val="nil"/>
            </w:tcBorders>
            <w:shd w:val="clear" w:color="auto" w:fill="E5E5E5" w:themeFill="background1" w:themeFillTint="33"/>
            <w:vAlign w:val="center"/>
          </w:tcPr>
          <w:p w14:paraId="0C916BF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21.1</w:t>
            </w:r>
          </w:p>
        </w:tc>
        <w:tc>
          <w:tcPr>
            <w:tcW w:w="1417" w:type="dxa"/>
            <w:tcBorders>
              <w:top w:val="nil"/>
              <w:left w:val="nil"/>
              <w:bottom w:val="nil"/>
              <w:right w:val="nil"/>
            </w:tcBorders>
            <w:shd w:val="clear" w:color="auto" w:fill="E5E5E5" w:themeFill="background1" w:themeFillTint="33"/>
            <w:vAlign w:val="center"/>
          </w:tcPr>
          <w:p w14:paraId="41E69B5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20.2</w:t>
            </w:r>
          </w:p>
        </w:tc>
        <w:tc>
          <w:tcPr>
            <w:tcW w:w="1422" w:type="dxa"/>
            <w:tcBorders>
              <w:top w:val="nil"/>
              <w:left w:val="nil"/>
              <w:bottom w:val="nil"/>
              <w:right w:val="nil"/>
            </w:tcBorders>
            <w:shd w:val="clear" w:color="auto" w:fill="E5E5E5" w:themeFill="background1" w:themeFillTint="33"/>
            <w:vAlign w:val="center"/>
          </w:tcPr>
          <w:p w14:paraId="46E271E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41.3</w:t>
            </w:r>
          </w:p>
        </w:tc>
        <w:tc>
          <w:tcPr>
            <w:tcW w:w="1271" w:type="dxa"/>
            <w:tcBorders>
              <w:top w:val="nil"/>
              <w:left w:val="nil"/>
              <w:bottom w:val="nil"/>
              <w:right w:val="nil"/>
            </w:tcBorders>
            <w:shd w:val="clear" w:color="auto" w:fill="E5E5E5" w:themeFill="background1" w:themeFillTint="33"/>
            <w:vAlign w:val="center"/>
          </w:tcPr>
          <w:p w14:paraId="7838C38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28.4</w:t>
            </w:r>
          </w:p>
        </w:tc>
      </w:tr>
      <w:tr w:rsidR="00961617" w:rsidRPr="00545C7F" w14:paraId="4FDAFCE1" w14:textId="77777777" w:rsidTr="00EE47DD">
        <w:trPr>
          <w:trHeight w:hRule="exact" w:val="397"/>
        </w:trPr>
        <w:tc>
          <w:tcPr>
            <w:tcW w:w="7054" w:type="dxa"/>
            <w:tcBorders>
              <w:top w:val="nil"/>
              <w:left w:val="nil"/>
              <w:bottom w:val="nil"/>
              <w:right w:val="nil"/>
            </w:tcBorders>
            <w:vAlign w:val="center"/>
          </w:tcPr>
          <w:p w14:paraId="4574A392" w14:textId="77777777" w:rsidR="00961617" w:rsidRPr="00545C7F" w:rsidRDefault="00961617" w:rsidP="0020771F">
            <w:pPr>
              <w:pStyle w:val="Tablefirstcolumn"/>
              <w:rPr>
                <w:rFonts w:cstheme="minorHAnsi"/>
              </w:rPr>
            </w:pPr>
            <w:r w:rsidRPr="00545C7F">
              <w:rPr>
                <w:rFonts w:cstheme="minorHAnsi"/>
              </w:rPr>
              <w:t>Gender and age group: Females aged 25-49 years</w:t>
            </w:r>
          </w:p>
        </w:tc>
        <w:tc>
          <w:tcPr>
            <w:tcW w:w="1418" w:type="dxa"/>
            <w:tcBorders>
              <w:top w:val="nil"/>
              <w:left w:val="nil"/>
              <w:bottom w:val="nil"/>
              <w:right w:val="nil"/>
            </w:tcBorders>
            <w:vAlign w:val="center"/>
          </w:tcPr>
          <w:p w14:paraId="26B3ED4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16.0</w:t>
            </w:r>
          </w:p>
        </w:tc>
        <w:tc>
          <w:tcPr>
            <w:tcW w:w="1417" w:type="dxa"/>
            <w:tcBorders>
              <w:top w:val="nil"/>
              <w:left w:val="nil"/>
              <w:bottom w:val="nil"/>
              <w:right w:val="nil"/>
            </w:tcBorders>
            <w:vAlign w:val="center"/>
          </w:tcPr>
          <w:p w14:paraId="5FA3BE4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32.4</w:t>
            </w:r>
          </w:p>
        </w:tc>
        <w:tc>
          <w:tcPr>
            <w:tcW w:w="1422" w:type="dxa"/>
            <w:tcBorders>
              <w:top w:val="nil"/>
              <w:left w:val="nil"/>
              <w:bottom w:val="nil"/>
              <w:right w:val="nil"/>
            </w:tcBorders>
            <w:vAlign w:val="center"/>
          </w:tcPr>
          <w:p w14:paraId="27C8583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48.4</w:t>
            </w:r>
          </w:p>
        </w:tc>
        <w:tc>
          <w:tcPr>
            <w:tcW w:w="1271" w:type="dxa"/>
            <w:tcBorders>
              <w:top w:val="nil"/>
              <w:left w:val="nil"/>
              <w:bottom w:val="nil"/>
              <w:right w:val="nil"/>
            </w:tcBorders>
            <w:vAlign w:val="center"/>
          </w:tcPr>
          <w:p w14:paraId="4BECA0A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22.3</w:t>
            </w:r>
          </w:p>
        </w:tc>
      </w:tr>
      <w:tr w:rsidR="00961617" w:rsidRPr="00545C7F" w14:paraId="2865DDC0"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1F242D04" w14:textId="77777777" w:rsidR="00961617" w:rsidRPr="00545C7F" w:rsidRDefault="00961617" w:rsidP="0020771F">
            <w:pPr>
              <w:pStyle w:val="Tablefirstcolumn"/>
              <w:rPr>
                <w:rFonts w:cstheme="minorHAnsi"/>
              </w:rPr>
            </w:pPr>
            <w:r w:rsidRPr="00545C7F">
              <w:rPr>
                <w:rFonts w:cstheme="minorHAnsi"/>
              </w:rPr>
              <w:t>Gender and age group: Females aged 50+ years</w:t>
            </w:r>
          </w:p>
        </w:tc>
        <w:tc>
          <w:tcPr>
            <w:tcW w:w="1418" w:type="dxa"/>
            <w:tcBorders>
              <w:top w:val="nil"/>
              <w:left w:val="nil"/>
              <w:bottom w:val="nil"/>
              <w:right w:val="nil"/>
            </w:tcBorders>
            <w:shd w:val="clear" w:color="auto" w:fill="E5E5E5" w:themeFill="background1" w:themeFillTint="33"/>
            <w:vAlign w:val="center"/>
          </w:tcPr>
          <w:p w14:paraId="49DFADC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9.7</w:t>
            </w:r>
          </w:p>
        </w:tc>
        <w:tc>
          <w:tcPr>
            <w:tcW w:w="1417" w:type="dxa"/>
            <w:tcBorders>
              <w:top w:val="nil"/>
              <w:left w:val="nil"/>
              <w:bottom w:val="nil"/>
              <w:right w:val="nil"/>
            </w:tcBorders>
            <w:shd w:val="clear" w:color="auto" w:fill="E5E5E5" w:themeFill="background1" w:themeFillTint="33"/>
            <w:vAlign w:val="center"/>
          </w:tcPr>
          <w:p w14:paraId="251B3F8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32.3</w:t>
            </w:r>
          </w:p>
        </w:tc>
        <w:tc>
          <w:tcPr>
            <w:tcW w:w="1422" w:type="dxa"/>
            <w:tcBorders>
              <w:top w:val="nil"/>
              <w:left w:val="nil"/>
              <w:bottom w:val="nil"/>
              <w:right w:val="nil"/>
            </w:tcBorders>
            <w:shd w:val="clear" w:color="auto" w:fill="E5E5E5" w:themeFill="background1" w:themeFillTint="33"/>
            <w:vAlign w:val="center"/>
          </w:tcPr>
          <w:p w14:paraId="2161F94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42.0</w:t>
            </w:r>
          </w:p>
        </w:tc>
        <w:tc>
          <w:tcPr>
            <w:tcW w:w="1271" w:type="dxa"/>
            <w:tcBorders>
              <w:top w:val="nil"/>
              <w:left w:val="nil"/>
              <w:bottom w:val="nil"/>
              <w:right w:val="nil"/>
            </w:tcBorders>
            <w:shd w:val="clear" w:color="auto" w:fill="E5E5E5" w:themeFill="background1" w:themeFillTint="33"/>
            <w:vAlign w:val="center"/>
          </w:tcPr>
          <w:p w14:paraId="46A44E8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16.9</w:t>
            </w:r>
          </w:p>
        </w:tc>
      </w:tr>
      <w:tr w:rsidR="00961617" w:rsidRPr="00545C7F" w14:paraId="1D852EFE" w14:textId="77777777" w:rsidTr="00EE47DD">
        <w:trPr>
          <w:trHeight w:hRule="exact" w:val="397"/>
        </w:trPr>
        <w:tc>
          <w:tcPr>
            <w:tcW w:w="7054" w:type="dxa"/>
            <w:tcBorders>
              <w:top w:val="nil"/>
              <w:left w:val="nil"/>
              <w:bottom w:val="nil"/>
              <w:right w:val="nil"/>
            </w:tcBorders>
            <w:vAlign w:val="center"/>
          </w:tcPr>
          <w:p w14:paraId="66F8CB84" w14:textId="77777777" w:rsidR="00961617" w:rsidRPr="00545C7F" w:rsidRDefault="00961617" w:rsidP="0020771F">
            <w:pPr>
              <w:pStyle w:val="Tablefirstcolumn"/>
              <w:rPr>
                <w:rFonts w:cstheme="minorHAnsi"/>
              </w:rPr>
            </w:pPr>
            <w:r w:rsidRPr="00545C7F">
              <w:rPr>
                <w:rFonts w:cstheme="minorHAnsi"/>
              </w:rPr>
              <w:t>Length of unemployment: 1 to less than 2 years</w:t>
            </w:r>
          </w:p>
        </w:tc>
        <w:tc>
          <w:tcPr>
            <w:tcW w:w="1418" w:type="dxa"/>
            <w:tcBorders>
              <w:top w:val="nil"/>
              <w:left w:val="nil"/>
              <w:bottom w:val="nil"/>
              <w:right w:val="nil"/>
            </w:tcBorders>
            <w:vAlign w:val="center"/>
          </w:tcPr>
          <w:p w14:paraId="71A46CB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26.3</w:t>
            </w:r>
          </w:p>
        </w:tc>
        <w:tc>
          <w:tcPr>
            <w:tcW w:w="1417" w:type="dxa"/>
            <w:tcBorders>
              <w:top w:val="nil"/>
              <w:left w:val="nil"/>
              <w:bottom w:val="nil"/>
              <w:right w:val="nil"/>
            </w:tcBorders>
            <w:vAlign w:val="center"/>
          </w:tcPr>
          <w:p w14:paraId="4BEB28D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24.4</w:t>
            </w:r>
          </w:p>
        </w:tc>
        <w:tc>
          <w:tcPr>
            <w:tcW w:w="1422" w:type="dxa"/>
            <w:tcBorders>
              <w:top w:val="nil"/>
              <w:left w:val="nil"/>
              <w:bottom w:val="nil"/>
              <w:right w:val="nil"/>
            </w:tcBorders>
            <w:vAlign w:val="center"/>
          </w:tcPr>
          <w:p w14:paraId="178B2FF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50.7</w:t>
            </w:r>
          </w:p>
        </w:tc>
        <w:tc>
          <w:tcPr>
            <w:tcW w:w="1271" w:type="dxa"/>
            <w:tcBorders>
              <w:top w:val="nil"/>
              <w:left w:val="nil"/>
              <w:bottom w:val="nil"/>
              <w:right w:val="nil"/>
            </w:tcBorders>
            <w:vAlign w:val="center"/>
          </w:tcPr>
          <w:p w14:paraId="51BB67A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19.5</w:t>
            </w:r>
          </w:p>
        </w:tc>
      </w:tr>
      <w:tr w:rsidR="00961617" w:rsidRPr="00545C7F" w14:paraId="07B8DD07"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19688345" w14:textId="77777777" w:rsidR="00961617" w:rsidRPr="00545C7F" w:rsidRDefault="00961617" w:rsidP="0020771F">
            <w:pPr>
              <w:pStyle w:val="Tablefirstcolumn"/>
              <w:rPr>
                <w:rFonts w:cstheme="minorHAnsi"/>
              </w:rPr>
            </w:pPr>
            <w:r w:rsidRPr="00545C7F">
              <w:rPr>
                <w:rFonts w:cstheme="minorHAnsi"/>
              </w:rPr>
              <w:t>Length of unemployment: 2 to less than 5 years</w:t>
            </w:r>
          </w:p>
        </w:tc>
        <w:tc>
          <w:tcPr>
            <w:tcW w:w="1418" w:type="dxa"/>
            <w:tcBorders>
              <w:top w:val="nil"/>
              <w:left w:val="nil"/>
              <w:bottom w:val="nil"/>
              <w:right w:val="nil"/>
            </w:tcBorders>
            <w:shd w:val="clear" w:color="auto" w:fill="E5E5E5" w:themeFill="background1" w:themeFillTint="33"/>
            <w:vAlign w:val="center"/>
          </w:tcPr>
          <w:p w14:paraId="59809BF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16.2</w:t>
            </w:r>
          </w:p>
        </w:tc>
        <w:tc>
          <w:tcPr>
            <w:tcW w:w="1417" w:type="dxa"/>
            <w:tcBorders>
              <w:top w:val="nil"/>
              <w:left w:val="nil"/>
              <w:bottom w:val="nil"/>
              <w:right w:val="nil"/>
            </w:tcBorders>
            <w:shd w:val="clear" w:color="auto" w:fill="E5E5E5" w:themeFill="background1" w:themeFillTint="33"/>
            <w:vAlign w:val="center"/>
          </w:tcPr>
          <w:p w14:paraId="35ED6CB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24.7</w:t>
            </w:r>
          </w:p>
        </w:tc>
        <w:tc>
          <w:tcPr>
            <w:tcW w:w="1422" w:type="dxa"/>
            <w:tcBorders>
              <w:top w:val="nil"/>
              <w:left w:val="nil"/>
              <w:bottom w:val="nil"/>
              <w:right w:val="nil"/>
            </w:tcBorders>
            <w:shd w:val="clear" w:color="auto" w:fill="E5E5E5" w:themeFill="background1" w:themeFillTint="33"/>
            <w:vAlign w:val="center"/>
          </w:tcPr>
          <w:p w14:paraId="7071661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40.9</w:t>
            </w:r>
          </w:p>
        </w:tc>
        <w:tc>
          <w:tcPr>
            <w:tcW w:w="1271" w:type="dxa"/>
            <w:tcBorders>
              <w:top w:val="nil"/>
              <w:left w:val="nil"/>
              <w:bottom w:val="nil"/>
              <w:right w:val="nil"/>
            </w:tcBorders>
            <w:shd w:val="clear" w:color="auto" w:fill="E5E5E5" w:themeFill="background1" w:themeFillTint="33"/>
            <w:vAlign w:val="center"/>
          </w:tcPr>
          <w:p w14:paraId="4966CC4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18.2</w:t>
            </w:r>
          </w:p>
        </w:tc>
      </w:tr>
      <w:tr w:rsidR="00961617" w:rsidRPr="00545C7F" w14:paraId="149643B5" w14:textId="77777777" w:rsidTr="00EE47DD">
        <w:trPr>
          <w:trHeight w:hRule="exact" w:val="397"/>
        </w:trPr>
        <w:tc>
          <w:tcPr>
            <w:tcW w:w="7054" w:type="dxa"/>
            <w:tcBorders>
              <w:top w:val="nil"/>
              <w:left w:val="nil"/>
              <w:bottom w:val="nil"/>
              <w:right w:val="nil"/>
            </w:tcBorders>
            <w:vAlign w:val="center"/>
          </w:tcPr>
          <w:p w14:paraId="5A03FF5A" w14:textId="77777777" w:rsidR="00961617" w:rsidRPr="00545C7F" w:rsidRDefault="00961617" w:rsidP="0020771F">
            <w:pPr>
              <w:pStyle w:val="Tablefirstcolumn"/>
              <w:rPr>
                <w:rFonts w:cstheme="minorHAnsi"/>
              </w:rPr>
            </w:pPr>
            <w:r w:rsidRPr="00545C7F">
              <w:rPr>
                <w:rFonts w:cstheme="minorHAnsi"/>
              </w:rPr>
              <w:t>Length of unemployment: 5 years or more</w:t>
            </w:r>
          </w:p>
        </w:tc>
        <w:tc>
          <w:tcPr>
            <w:tcW w:w="1418" w:type="dxa"/>
            <w:tcBorders>
              <w:top w:val="nil"/>
              <w:left w:val="nil"/>
              <w:bottom w:val="nil"/>
              <w:right w:val="nil"/>
            </w:tcBorders>
            <w:vAlign w:val="center"/>
          </w:tcPr>
          <w:p w14:paraId="6668072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9.7</w:t>
            </w:r>
          </w:p>
        </w:tc>
        <w:tc>
          <w:tcPr>
            <w:tcW w:w="1417" w:type="dxa"/>
            <w:tcBorders>
              <w:top w:val="nil"/>
              <w:left w:val="nil"/>
              <w:bottom w:val="nil"/>
              <w:right w:val="nil"/>
            </w:tcBorders>
            <w:vAlign w:val="center"/>
          </w:tcPr>
          <w:p w14:paraId="3FE7F6E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21.0</w:t>
            </w:r>
          </w:p>
        </w:tc>
        <w:tc>
          <w:tcPr>
            <w:tcW w:w="1422" w:type="dxa"/>
            <w:tcBorders>
              <w:top w:val="nil"/>
              <w:left w:val="nil"/>
              <w:bottom w:val="nil"/>
              <w:right w:val="nil"/>
            </w:tcBorders>
            <w:vAlign w:val="center"/>
          </w:tcPr>
          <w:p w14:paraId="40F7E68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30.7</w:t>
            </w:r>
          </w:p>
        </w:tc>
        <w:tc>
          <w:tcPr>
            <w:tcW w:w="1271" w:type="dxa"/>
            <w:tcBorders>
              <w:top w:val="nil"/>
              <w:left w:val="nil"/>
              <w:bottom w:val="nil"/>
              <w:right w:val="nil"/>
            </w:tcBorders>
            <w:vAlign w:val="center"/>
          </w:tcPr>
          <w:p w14:paraId="0154282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14.2</w:t>
            </w:r>
          </w:p>
        </w:tc>
      </w:tr>
      <w:tr w:rsidR="00961617" w:rsidRPr="00545C7F" w14:paraId="1DA5F50B"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63B025CF" w14:textId="77777777" w:rsidR="00961617" w:rsidRPr="00545C7F" w:rsidRDefault="00961617" w:rsidP="0020771F">
            <w:pPr>
              <w:pStyle w:val="Tablefirstcolumn"/>
              <w:rPr>
                <w:rFonts w:cstheme="minorHAnsi"/>
              </w:rPr>
            </w:pPr>
            <w:r w:rsidRPr="00545C7F">
              <w:rPr>
                <w:rFonts w:cstheme="minorHAnsi"/>
              </w:rPr>
              <w:t>Income support type: NSA/YA(O)</w:t>
            </w:r>
          </w:p>
        </w:tc>
        <w:tc>
          <w:tcPr>
            <w:tcW w:w="1418" w:type="dxa"/>
            <w:tcBorders>
              <w:top w:val="nil"/>
              <w:left w:val="nil"/>
              <w:bottom w:val="nil"/>
              <w:right w:val="nil"/>
            </w:tcBorders>
            <w:shd w:val="clear" w:color="auto" w:fill="E5E5E5" w:themeFill="background1" w:themeFillTint="33"/>
            <w:vAlign w:val="center"/>
          </w:tcPr>
          <w:p w14:paraId="77A75E3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19.3</w:t>
            </w:r>
          </w:p>
        </w:tc>
        <w:tc>
          <w:tcPr>
            <w:tcW w:w="1417" w:type="dxa"/>
            <w:tcBorders>
              <w:top w:val="nil"/>
              <w:left w:val="nil"/>
              <w:bottom w:val="nil"/>
              <w:right w:val="nil"/>
            </w:tcBorders>
            <w:shd w:val="clear" w:color="auto" w:fill="E5E5E5" w:themeFill="background1" w:themeFillTint="33"/>
            <w:vAlign w:val="center"/>
          </w:tcPr>
          <w:p w14:paraId="6AD718D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21.5</w:t>
            </w:r>
          </w:p>
        </w:tc>
        <w:tc>
          <w:tcPr>
            <w:tcW w:w="1422" w:type="dxa"/>
            <w:tcBorders>
              <w:top w:val="nil"/>
              <w:left w:val="nil"/>
              <w:bottom w:val="nil"/>
              <w:right w:val="nil"/>
            </w:tcBorders>
            <w:shd w:val="clear" w:color="auto" w:fill="E5E5E5" w:themeFill="background1" w:themeFillTint="33"/>
            <w:vAlign w:val="center"/>
          </w:tcPr>
          <w:p w14:paraId="58E0991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40.8</w:t>
            </w:r>
          </w:p>
        </w:tc>
        <w:tc>
          <w:tcPr>
            <w:tcW w:w="1271" w:type="dxa"/>
            <w:tcBorders>
              <w:top w:val="nil"/>
              <w:left w:val="nil"/>
              <w:bottom w:val="nil"/>
              <w:right w:val="nil"/>
            </w:tcBorders>
            <w:shd w:val="clear" w:color="auto" w:fill="E5E5E5" w:themeFill="background1" w:themeFillTint="33"/>
            <w:vAlign w:val="center"/>
          </w:tcPr>
          <w:p w14:paraId="3B5DEEF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17.1</w:t>
            </w:r>
          </w:p>
        </w:tc>
      </w:tr>
      <w:tr w:rsidR="00961617" w:rsidRPr="00545C7F" w14:paraId="7DD75ACA" w14:textId="77777777" w:rsidTr="00EE47DD">
        <w:trPr>
          <w:trHeight w:hRule="exact" w:val="397"/>
        </w:trPr>
        <w:tc>
          <w:tcPr>
            <w:tcW w:w="7054" w:type="dxa"/>
            <w:tcBorders>
              <w:top w:val="nil"/>
              <w:left w:val="nil"/>
              <w:bottom w:val="nil"/>
              <w:right w:val="nil"/>
            </w:tcBorders>
            <w:vAlign w:val="center"/>
          </w:tcPr>
          <w:p w14:paraId="02B66305" w14:textId="77777777" w:rsidR="00961617" w:rsidRPr="00545C7F" w:rsidRDefault="00961617" w:rsidP="0020771F">
            <w:pPr>
              <w:pStyle w:val="Tablefirstcolumn"/>
              <w:rPr>
                <w:rFonts w:cstheme="minorHAnsi"/>
              </w:rPr>
            </w:pPr>
            <w:r w:rsidRPr="00545C7F">
              <w:rPr>
                <w:rFonts w:cstheme="minorHAnsi"/>
              </w:rPr>
              <w:t>Income support type: PPP/PPS</w:t>
            </w:r>
          </w:p>
        </w:tc>
        <w:tc>
          <w:tcPr>
            <w:tcW w:w="1418" w:type="dxa"/>
            <w:tcBorders>
              <w:top w:val="nil"/>
              <w:left w:val="nil"/>
              <w:bottom w:val="nil"/>
              <w:right w:val="nil"/>
            </w:tcBorders>
            <w:vAlign w:val="center"/>
          </w:tcPr>
          <w:p w14:paraId="2A0156E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15.5</w:t>
            </w:r>
          </w:p>
        </w:tc>
        <w:tc>
          <w:tcPr>
            <w:tcW w:w="1417" w:type="dxa"/>
            <w:tcBorders>
              <w:top w:val="nil"/>
              <w:left w:val="nil"/>
              <w:bottom w:val="nil"/>
              <w:right w:val="nil"/>
            </w:tcBorders>
            <w:vAlign w:val="center"/>
          </w:tcPr>
          <w:p w14:paraId="106F126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36.5</w:t>
            </w:r>
          </w:p>
        </w:tc>
        <w:tc>
          <w:tcPr>
            <w:tcW w:w="1422" w:type="dxa"/>
            <w:tcBorders>
              <w:top w:val="nil"/>
              <w:left w:val="nil"/>
              <w:bottom w:val="nil"/>
              <w:right w:val="nil"/>
            </w:tcBorders>
            <w:vAlign w:val="center"/>
          </w:tcPr>
          <w:p w14:paraId="1022561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52.0</w:t>
            </w:r>
          </w:p>
        </w:tc>
        <w:tc>
          <w:tcPr>
            <w:tcW w:w="1271" w:type="dxa"/>
            <w:tcBorders>
              <w:top w:val="nil"/>
              <w:left w:val="nil"/>
              <w:bottom w:val="nil"/>
              <w:right w:val="nil"/>
            </w:tcBorders>
            <w:vAlign w:val="center"/>
          </w:tcPr>
          <w:p w14:paraId="104D3AD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21.4</w:t>
            </w:r>
          </w:p>
        </w:tc>
      </w:tr>
      <w:tr w:rsidR="00961617" w:rsidRPr="00545C7F" w14:paraId="445B4AAE"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49C2EDEB" w14:textId="77777777" w:rsidR="00961617" w:rsidRPr="00545C7F" w:rsidRDefault="00961617" w:rsidP="0020771F">
            <w:pPr>
              <w:pStyle w:val="Tablefirstcolumn"/>
              <w:rPr>
                <w:rFonts w:cstheme="minorHAnsi"/>
              </w:rPr>
            </w:pPr>
            <w:r w:rsidRPr="00545C7F">
              <w:rPr>
                <w:rFonts w:cstheme="minorHAnsi"/>
              </w:rPr>
              <w:t>Income support type: Other income support type/not on income support</w:t>
            </w:r>
          </w:p>
        </w:tc>
        <w:tc>
          <w:tcPr>
            <w:tcW w:w="1418" w:type="dxa"/>
            <w:tcBorders>
              <w:top w:val="nil"/>
              <w:left w:val="nil"/>
              <w:bottom w:val="nil"/>
              <w:right w:val="nil"/>
            </w:tcBorders>
            <w:shd w:val="clear" w:color="auto" w:fill="E5E5E5" w:themeFill="background1" w:themeFillTint="33"/>
            <w:vAlign w:val="center"/>
          </w:tcPr>
          <w:p w14:paraId="562E37F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27.3</w:t>
            </w:r>
          </w:p>
        </w:tc>
        <w:tc>
          <w:tcPr>
            <w:tcW w:w="1417" w:type="dxa"/>
            <w:tcBorders>
              <w:top w:val="nil"/>
              <w:left w:val="nil"/>
              <w:bottom w:val="nil"/>
              <w:right w:val="nil"/>
            </w:tcBorders>
            <w:shd w:val="clear" w:color="auto" w:fill="E5E5E5" w:themeFill="background1" w:themeFillTint="33"/>
            <w:vAlign w:val="center"/>
          </w:tcPr>
          <w:p w14:paraId="4627137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19.8</w:t>
            </w:r>
          </w:p>
        </w:tc>
        <w:tc>
          <w:tcPr>
            <w:tcW w:w="1422" w:type="dxa"/>
            <w:tcBorders>
              <w:top w:val="nil"/>
              <w:left w:val="nil"/>
              <w:bottom w:val="nil"/>
              <w:right w:val="nil"/>
            </w:tcBorders>
            <w:shd w:val="clear" w:color="auto" w:fill="E5E5E5" w:themeFill="background1" w:themeFillTint="33"/>
            <w:vAlign w:val="center"/>
          </w:tcPr>
          <w:p w14:paraId="6423AB2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47.1</w:t>
            </w:r>
          </w:p>
        </w:tc>
        <w:tc>
          <w:tcPr>
            <w:tcW w:w="1271" w:type="dxa"/>
            <w:tcBorders>
              <w:top w:val="nil"/>
              <w:left w:val="nil"/>
              <w:bottom w:val="nil"/>
              <w:right w:val="nil"/>
            </w:tcBorders>
            <w:shd w:val="clear" w:color="auto" w:fill="E5E5E5" w:themeFill="background1" w:themeFillTint="33"/>
            <w:vAlign w:val="center"/>
          </w:tcPr>
          <w:p w14:paraId="4769E3F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19.6</w:t>
            </w:r>
          </w:p>
        </w:tc>
      </w:tr>
      <w:tr w:rsidR="00961617" w:rsidRPr="00545C7F" w14:paraId="61E82651" w14:textId="77777777" w:rsidTr="00EE47DD">
        <w:trPr>
          <w:trHeight w:hRule="exact" w:val="397"/>
        </w:trPr>
        <w:tc>
          <w:tcPr>
            <w:tcW w:w="7054" w:type="dxa"/>
            <w:tcBorders>
              <w:top w:val="nil"/>
              <w:left w:val="nil"/>
              <w:bottom w:val="nil"/>
              <w:right w:val="nil"/>
            </w:tcBorders>
            <w:vAlign w:val="center"/>
          </w:tcPr>
          <w:p w14:paraId="7D4CC7C7" w14:textId="77777777" w:rsidR="00961617" w:rsidRPr="00545C7F" w:rsidRDefault="00961617" w:rsidP="0020771F">
            <w:pPr>
              <w:pStyle w:val="Tablefirstcolumn"/>
              <w:rPr>
                <w:rFonts w:cstheme="minorHAnsi"/>
              </w:rPr>
            </w:pPr>
            <w:r w:rsidRPr="00545C7F">
              <w:rPr>
                <w:rFonts w:cstheme="minorHAnsi"/>
              </w:rPr>
              <w:t>Geographic location: Major Cities of Australia</w:t>
            </w:r>
          </w:p>
        </w:tc>
        <w:tc>
          <w:tcPr>
            <w:tcW w:w="1418" w:type="dxa"/>
            <w:tcBorders>
              <w:top w:val="nil"/>
              <w:left w:val="nil"/>
              <w:bottom w:val="nil"/>
              <w:right w:val="nil"/>
            </w:tcBorders>
            <w:vAlign w:val="center"/>
          </w:tcPr>
          <w:p w14:paraId="059923F1"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20.1</w:t>
            </w:r>
          </w:p>
        </w:tc>
        <w:tc>
          <w:tcPr>
            <w:tcW w:w="1417" w:type="dxa"/>
            <w:tcBorders>
              <w:top w:val="nil"/>
              <w:left w:val="nil"/>
              <w:bottom w:val="nil"/>
              <w:right w:val="nil"/>
            </w:tcBorders>
            <w:vAlign w:val="center"/>
          </w:tcPr>
          <w:p w14:paraId="5F0497C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22.7</w:t>
            </w:r>
          </w:p>
        </w:tc>
        <w:tc>
          <w:tcPr>
            <w:tcW w:w="1422" w:type="dxa"/>
            <w:tcBorders>
              <w:top w:val="nil"/>
              <w:left w:val="nil"/>
              <w:bottom w:val="nil"/>
              <w:right w:val="nil"/>
            </w:tcBorders>
            <w:vAlign w:val="center"/>
          </w:tcPr>
          <w:p w14:paraId="4E3EEB0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42.8</w:t>
            </w:r>
          </w:p>
        </w:tc>
        <w:tc>
          <w:tcPr>
            <w:tcW w:w="1271" w:type="dxa"/>
            <w:tcBorders>
              <w:top w:val="nil"/>
              <w:left w:val="nil"/>
              <w:bottom w:val="nil"/>
              <w:right w:val="nil"/>
            </w:tcBorders>
            <w:vAlign w:val="center"/>
          </w:tcPr>
          <w:p w14:paraId="5ECC626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19.5</w:t>
            </w:r>
          </w:p>
        </w:tc>
      </w:tr>
      <w:tr w:rsidR="00961617" w:rsidRPr="00545C7F" w14:paraId="1AF3A3EF"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2212D8E7" w14:textId="77777777" w:rsidR="00961617" w:rsidRPr="00545C7F" w:rsidRDefault="00961617" w:rsidP="0020771F">
            <w:pPr>
              <w:pStyle w:val="Tablefirstcolumn"/>
              <w:rPr>
                <w:rFonts w:cstheme="minorHAnsi"/>
              </w:rPr>
            </w:pPr>
            <w:r w:rsidRPr="00545C7F">
              <w:rPr>
                <w:rFonts w:cstheme="minorHAnsi"/>
              </w:rPr>
              <w:t xml:space="preserve">Geographic location: Inner Regional </w:t>
            </w:r>
          </w:p>
        </w:tc>
        <w:tc>
          <w:tcPr>
            <w:tcW w:w="1418" w:type="dxa"/>
            <w:tcBorders>
              <w:top w:val="nil"/>
              <w:left w:val="nil"/>
              <w:bottom w:val="nil"/>
              <w:right w:val="nil"/>
            </w:tcBorders>
            <w:shd w:val="clear" w:color="auto" w:fill="E5E5E5" w:themeFill="background1" w:themeFillTint="33"/>
            <w:vAlign w:val="center"/>
          </w:tcPr>
          <w:p w14:paraId="4817E9D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19.2</w:t>
            </w:r>
          </w:p>
        </w:tc>
        <w:tc>
          <w:tcPr>
            <w:tcW w:w="1417" w:type="dxa"/>
            <w:tcBorders>
              <w:top w:val="nil"/>
              <w:left w:val="nil"/>
              <w:bottom w:val="nil"/>
              <w:right w:val="nil"/>
            </w:tcBorders>
            <w:shd w:val="clear" w:color="auto" w:fill="E5E5E5" w:themeFill="background1" w:themeFillTint="33"/>
            <w:vAlign w:val="center"/>
          </w:tcPr>
          <w:p w14:paraId="5872A15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25.7</w:t>
            </w:r>
          </w:p>
        </w:tc>
        <w:tc>
          <w:tcPr>
            <w:tcW w:w="1422" w:type="dxa"/>
            <w:tcBorders>
              <w:top w:val="nil"/>
              <w:left w:val="nil"/>
              <w:bottom w:val="nil"/>
              <w:right w:val="nil"/>
            </w:tcBorders>
            <w:shd w:val="clear" w:color="auto" w:fill="E5E5E5" w:themeFill="background1" w:themeFillTint="33"/>
            <w:vAlign w:val="center"/>
          </w:tcPr>
          <w:p w14:paraId="40A558D5"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44.9</w:t>
            </w:r>
          </w:p>
        </w:tc>
        <w:tc>
          <w:tcPr>
            <w:tcW w:w="1271" w:type="dxa"/>
            <w:tcBorders>
              <w:top w:val="nil"/>
              <w:left w:val="nil"/>
              <w:bottom w:val="nil"/>
              <w:right w:val="nil"/>
            </w:tcBorders>
            <w:shd w:val="clear" w:color="auto" w:fill="E5E5E5" w:themeFill="background1" w:themeFillTint="33"/>
            <w:vAlign w:val="center"/>
          </w:tcPr>
          <w:p w14:paraId="224DBA5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15.8</w:t>
            </w:r>
          </w:p>
        </w:tc>
      </w:tr>
      <w:tr w:rsidR="00961617" w:rsidRPr="00545C7F" w14:paraId="17614FED" w14:textId="77777777" w:rsidTr="00EE47DD">
        <w:trPr>
          <w:trHeight w:hRule="exact" w:val="397"/>
        </w:trPr>
        <w:tc>
          <w:tcPr>
            <w:tcW w:w="7054" w:type="dxa"/>
            <w:tcBorders>
              <w:top w:val="nil"/>
              <w:left w:val="nil"/>
              <w:bottom w:val="nil"/>
              <w:right w:val="nil"/>
            </w:tcBorders>
            <w:vAlign w:val="center"/>
          </w:tcPr>
          <w:p w14:paraId="0FE4BE00" w14:textId="77777777" w:rsidR="00961617" w:rsidRPr="00545C7F" w:rsidRDefault="00961617" w:rsidP="0020771F">
            <w:pPr>
              <w:pStyle w:val="Tablefirstcolumn"/>
              <w:rPr>
                <w:rFonts w:cstheme="minorHAnsi"/>
              </w:rPr>
            </w:pPr>
            <w:r w:rsidRPr="00545C7F">
              <w:rPr>
                <w:rFonts w:cstheme="minorHAnsi"/>
              </w:rPr>
              <w:t>Geographic location: Other</w:t>
            </w:r>
          </w:p>
        </w:tc>
        <w:tc>
          <w:tcPr>
            <w:tcW w:w="1418" w:type="dxa"/>
            <w:tcBorders>
              <w:top w:val="nil"/>
              <w:left w:val="nil"/>
              <w:bottom w:val="nil"/>
              <w:right w:val="nil"/>
            </w:tcBorders>
            <w:vAlign w:val="center"/>
          </w:tcPr>
          <w:p w14:paraId="5559C5F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18.7</w:t>
            </w:r>
          </w:p>
        </w:tc>
        <w:tc>
          <w:tcPr>
            <w:tcW w:w="1417" w:type="dxa"/>
            <w:tcBorders>
              <w:top w:val="nil"/>
              <w:left w:val="nil"/>
              <w:bottom w:val="nil"/>
              <w:right w:val="nil"/>
            </w:tcBorders>
            <w:vAlign w:val="center"/>
          </w:tcPr>
          <w:p w14:paraId="700D596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25.5</w:t>
            </w:r>
          </w:p>
        </w:tc>
        <w:tc>
          <w:tcPr>
            <w:tcW w:w="1422" w:type="dxa"/>
            <w:tcBorders>
              <w:top w:val="nil"/>
              <w:left w:val="nil"/>
              <w:bottom w:val="nil"/>
              <w:right w:val="nil"/>
            </w:tcBorders>
            <w:vAlign w:val="center"/>
          </w:tcPr>
          <w:p w14:paraId="4B2B536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44.2</w:t>
            </w:r>
          </w:p>
        </w:tc>
        <w:tc>
          <w:tcPr>
            <w:tcW w:w="1271" w:type="dxa"/>
            <w:tcBorders>
              <w:top w:val="nil"/>
              <w:left w:val="nil"/>
              <w:bottom w:val="nil"/>
              <w:right w:val="nil"/>
            </w:tcBorders>
            <w:vAlign w:val="center"/>
          </w:tcPr>
          <w:p w14:paraId="582B7CD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15.2</w:t>
            </w:r>
          </w:p>
        </w:tc>
      </w:tr>
      <w:tr w:rsidR="00961617" w:rsidRPr="00545C7F" w14:paraId="726E3BF9"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0B43E854" w14:textId="77777777" w:rsidR="00961617" w:rsidRPr="00545C7F" w:rsidRDefault="00961617" w:rsidP="0020771F">
            <w:pPr>
              <w:pStyle w:val="Tablefirstcolumn"/>
              <w:rPr>
                <w:rFonts w:cstheme="minorHAnsi"/>
              </w:rPr>
            </w:pPr>
            <w:r w:rsidRPr="00545C7F">
              <w:rPr>
                <w:rFonts w:cstheme="minorHAnsi"/>
              </w:rPr>
              <w:t>Highest level of education: Less than Year 10</w:t>
            </w:r>
          </w:p>
        </w:tc>
        <w:tc>
          <w:tcPr>
            <w:tcW w:w="1418" w:type="dxa"/>
            <w:tcBorders>
              <w:top w:val="nil"/>
              <w:left w:val="nil"/>
              <w:bottom w:val="nil"/>
              <w:right w:val="nil"/>
            </w:tcBorders>
            <w:shd w:val="clear" w:color="auto" w:fill="E5E5E5" w:themeFill="background1" w:themeFillTint="33"/>
            <w:vAlign w:val="center"/>
          </w:tcPr>
          <w:p w14:paraId="47349EF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14.2</w:t>
            </w:r>
          </w:p>
        </w:tc>
        <w:tc>
          <w:tcPr>
            <w:tcW w:w="1417" w:type="dxa"/>
            <w:tcBorders>
              <w:top w:val="nil"/>
              <w:left w:val="nil"/>
              <w:bottom w:val="nil"/>
              <w:right w:val="nil"/>
            </w:tcBorders>
            <w:shd w:val="clear" w:color="auto" w:fill="E5E5E5" w:themeFill="background1" w:themeFillTint="33"/>
            <w:vAlign w:val="center"/>
          </w:tcPr>
          <w:p w14:paraId="48C2D892"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15.6</w:t>
            </w:r>
          </w:p>
        </w:tc>
        <w:tc>
          <w:tcPr>
            <w:tcW w:w="1422" w:type="dxa"/>
            <w:tcBorders>
              <w:top w:val="nil"/>
              <w:left w:val="nil"/>
              <w:bottom w:val="nil"/>
              <w:right w:val="nil"/>
            </w:tcBorders>
            <w:shd w:val="clear" w:color="auto" w:fill="E5E5E5" w:themeFill="background1" w:themeFillTint="33"/>
            <w:vAlign w:val="center"/>
          </w:tcPr>
          <w:p w14:paraId="75FB426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29.8</w:t>
            </w:r>
          </w:p>
        </w:tc>
        <w:tc>
          <w:tcPr>
            <w:tcW w:w="1271" w:type="dxa"/>
            <w:tcBorders>
              <w:top w:val="nil"/>
              <w:left w:val="nil"/>
              <w:bottom w:val="nil"/>
              <w:right w:val="nil"/>
            </w:tcBorders>
            <w:shd w:val="clear" w:color="auto" w:fill="E5E5E5" w:themeFill="background1" w:themeFillTint="33"/>
            <w:vAlign w:val="center"/>
          </w:tcPr>
          <w:p w14:paraId="432EB8A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20.4</w:t>
            </w:r>
          </w:p>
        </w:tc>
      </w:tr>
      <w:tr w:rsidR="00961617" w:rsidRPr="00545C7F" w14:paraId="315F2C3C" w14:textId="77777777" w:rsidTr="00EE47DD">
        <w:trPr>
          <w:trHeight w:hRule="exact" w:val="397"/>
        </w:trPr>
        <w:tc>
          <w:tcPr>
            <w:tcW w:w="7054" w:type="dxa"/>
            <w:tcBorders>
              <w:top w:val="nil"/>
              <w:left w:val="nil"/>
              <w:bottom w:val="nil"/>
              <w:right w:val="nil"/>
            </w:tcBorders>
            <w:vAlign w:val="center"/>
          </w:tcPr>
          <w:p w14:paraId="09FFBBD7" w14:textId="77777777" w:rsidR="00961617" w:rsidRPr="00545C7F" w:rsidRDefault="00961617" w:rsidP="0020771F">
            <w:pPr>
              <w:pStyle w:val="Tablefirstcolumn"/>
              <w:rPr>
                <w:rFonts w:cstheme="minorHAnsi"/>
              </w:rPr>
            </w:pPr>
            <w:r w:rsidRPr="00545C7F">
              <w:rPr>
                <w:rFonts w:cstheme="minorHAnsi"/>
              </w:rPr>
              <w:t>Highest level of education: Year 10/11</w:t>
            </w:r>
          </w:p>
        </w:tc>
        <w:tc>
          <w:tcPr>
            <w:tcW w:w="1418" w:type="dxa"/>
            <w:tcBorders>
              <w:top w:val="nil"/>
              <w:left w:val="nil"/>
              <w:bottom w:val="nil"/>
              <w:right w:val="nil"/>
            </w:tcBorders>
            <w:vAlign w:val="center"/>
          </w:tcPr>
          <w:p w14:paraId="32D5EEA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19.5</w:t>
            </w:r>
          </w:p>
        </w:tc>
        <w:tc>
          <w:tcPr>
            <w:tcW w:w="1417" w:type="dxa"/>
            <w:tcBorders>
              <w:top w:val="nil"/>
              <w:left w:val="nil"/>
              <w:bottom w:val="nil"/>
              <w:right w:val="nil"/>
            </w:tcBorders>
            <w:vAlign w:val="center"/>
          </w:tcPr>
          <w:p w14:paraId="5431B52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23.3</w:t>
            </w:r>
          </w:p>
        </w:tc>
        <w:tc>
          <w:tcPr>
            <w:tcW w:w="1422" w:type="dxa"/>
            <w:tcBorders>
              <w:top w:val="nil"/>
              <w:left w:val="nil"/>
              <w:bottom w:val="nil"/>
              <w:right w:val="nil"/>
            </w:tcBorders>
            <w:vAlign w:val="center"/>
          </w:tcPr>
          <w:p w14:paraId="11FF079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42.8</w:t>
            </w:r>
          </w:p>
        </w:tc>
        <w:tc>
          <w:tcPr>
            <w:tcW w:w="1271" w:type="dxa"/>
            <w:tcBorders>
              <w:top w:val="nil"/>
              <w:left w:val="nil"/>
              <w:bottom w:val="nil"/>
              <w:right w:val="nil"/>
            </w:tcBorders>
            <w:vAlign w:val="center"/>
          </w:tcPr>
          <w:p w14:paraId="7FD1DED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14.4</w:t>
            </w:r>
          </w:p>
        </w:tc>
      </w:tr>
      <w:tr w:rsidR="00961617" w:rsidRPr="00545C7F" w14:paraId="5274D180"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2B30C7F3" w14:textId="77777777" w:rsidR="00961617" w:rsidRPr="00545C7F" w:rsidRDefault="00961617" w:rsidP="0020771F">
            <w:pPr>
              <w:pStyle w:val="Tablefirstcolumn"/>
              <w:rPr>
                <w:rFonts w:cstheme="minorHAnsi"/>
              </w:rPr>
            </w:pPr>
            <w:r w:rsidRPr="00545C7F">
              <w:rPr>
                <w:rFonts w:cstheme="minorHAnsi"/>
              </w:rPr>
              <w:t>Highest level of education: Year 12</w:t>
            </w:r>
          </w:p>
        </w:tc>
        <w:tc>
          <w:tcPr>
            <w:tcW w:w="1418" w:type="dxa"/>
            <w:tcBorders>
              <w:top w:val="nil"/>
              <w:left w:val="nil"/>
              <w:bottom w:val="nil"/>
              <w:right w:val="nil"/>
            </w:tcBorders>
            <w:shd w:val="clear" w:color="auto" w:fill="E5E5E5" w:themeFill="background1" w:themeFillTint="33"/>
            <w:vAlign w:val="center"/>
          </w:tcPr>
          <w:p w14:paraId="09737A11"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21.8</w:t>
            </w:r>
          </w:p>
        </w:tc>
        <w:tc>
          <w:tcPr>
            <w:tcW w:w="1417" w:type="dxa"/>
            <w:tcBorders>
              <w:top w:val="nil"/>
              <w:left w:val="nil"/>
              <w:bottom w:val="nil"/>
              <w:right w:val="nil"/>
            </w:tcBorders>
            <w:shd w:val="clear" w:color="auto" w:fill="E5E5E5" w:themeFill="background1" w:themeFillTint="33"/>
            <w:vAlign w:val="center"/>
          </w:tcPr>
          <w:p w14:paraId="2E1E87E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26.8</w:t>
            </w:r>
          </w:p>
        </w:tc>
        <w:tc>
          <w:tcPr>
            <w:tcW w:w="1422" w:type="dxa"/>
            <w:tcBorders>
              <w:top w:val="nil"/>
              <w:left w:val="nil"/>
              <w:bottom w:val="nil"/>
              <w:right w:val="nil"/>
            </w:tcBorders>
            <w:shd w:val="clear" w:color="auto" w:fill="E5E5E5" w:themeFill="background1" w:themeFillTint="33"/>
            <w:vAlign w:val="center"/>
          </w:tcPr>
          <w:p w14:paraId="6450D62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48.6</w:t>
            </w:r>
          </w:p>
        </w:tc>
        <w:tc>
          <w:tcPr>
            <w:tcW w:w="1271" w:type="dxa"/>
            <w:tcBorders>
              <w:top w:val="nil"/>
              <w:left w:val="nil"/>
              <w:bottom w:val="nil"/>
              <w:right w:val="nil"/>
            </w:tcBorders>
            <w:shd w:val="clear" w:color="auto" w:fill="E5E5E5" w:themeFill="background1" w:themeFillTint="33"/>
            <w:vAlign w:val="center"/>
          </w:tcPr>
          <w:p w14:paraId="0C346E3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22.8</w:t>
            </w:r>
          </w:p>
        </w:tc>
      </w:tr>
      <w:tr w:rsidR="00961617" w:rsidRPr="00545C7F" w14:paraId="5255C56A" w14:textId="77777777" w:rsidTr="00EE47DD">
        <w:trPr>
          <w:trHeight w:hRule="exact" w:val="397"/>
        </w:trPr>
        <w:tc>
          <w:tcPr>
            <w:tcW w:w="7054" w:type="dxa"/>
            <w:tcBorders>
              <w:top w:val="nil"/>
              <w:left w:val="nil"/>
              <w:bottom w:val="nil"/>
              <w:right w:val="nil"/>
            </w:tcBorders>
            <w:vAlign w:val="center"/>
          </w:tcPr>
          <w:p w14:paraId="66960B11" w14:textId="77777777" w:rsidR="00961617" w:rsidRPr="00545C7F" w:rsidRDefault="00961617" w:rsidP="0020771F">
            <w:pPr>
              <w:pStyle w:val="Tablefirstcolumn"/>
              <w:rPr>
                <w:rFonts w:cstheme="minorHAnsi"/>
              </w:rPr>
            </w:pPr>
            <w:r w:rsidRPr="00545C7F">
              <w:rPr>
                <w:rFonts w:cstheme="minorHAnsi"/>
              </w:rPr>
              <w:t>Highest level of education: TAFE/Diploma</w:t>
            </w:r>
          </w:p>
        </w:tc>
        <w:tc>
          <w:tcPr>
            <w:tcW w:w="1418" w:type="dxa"/>
            <w:tcBorders>
              <w:top w:val="nil"/>
              <w:left w:val="nil"/>
              <w:bottom w:val="nil"/>
              <w:right w:val="nil"/>
            </w:tcBorders>
            <w:vAlign w:val="center"/>
          </w:tcPr>
          <w:p w14:paraId="253376C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23.2</w:t>
            </w:r>
          </w:p>
        </w:tc>
        <w:tc>
          <w:tcPr>
            <w:tcW w:w="1417" w:type="dxa"/>
            <w:tcBorders>
              <w:top w:val="nil"/>
              <w:left w:val="nil"/>
              <w:bottom w:val="nil"/>
              <w:right w:val="nil"/>
            </w:tcBorders>
            <w:vAlign w:val="center"/>
          </w:tcPr>
          <w:p w14:paraId="42605D7A"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27.5</w:t>
            </w:r>
          </w:p>
        </w:tc>
        <w:tc>
          <w:tcPr>
            <w:tcW w:w="1422" w:type="dxa"/>
            <w:tcBorders>
              <w:top w:val="nil"/>
              <w:left w:val="nil"/>
              <w:bottom w:val="nil"/>
              <w:right w:val="nil"/>
            </w:tcBorders>
            <w:vAlign w:val="center"/>
          </w:tcPr>
          <w:p w14:paraId="05EED91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50.7</w:t>
            </w:r>
          </w:p>
        </w:tc>
        <w:tc>
          <w:tcPr>
            <w:tcW w:w="1271" w:type="dxa"/>
            <w:tcBorders>
              <w:top w:val="nil"/>
              <w:left w:val="nil"/>
              <w:bottom w:val="nil"/>
              <w:right w:val="nil"/>
            </w:tcBorders>
            <w:vAlign w:val="center"/>
          </w:tcPr>
          <w:p w14:paraId="370B94B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16.8</w:t>
            </w:r>
          </w:p>
        </w:tc>
      </w:tr>
      <w:tr w:rsidR="00961617" w:rsidRPr="00545C7F" w14:paraId="0883EBF0"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3F835A89" w14:textId="77777777" w:rsidR="00961617" w:rsidRPr="00545C7F" w:rsidRDefault="00961617" w:rsidP="0020771F">
            <w:pPr>
              <w:pStyle w:val="Tablefirstcolumn"/>
              <w:rPr>
                <w:rFonts w:cstheme="minorHAnsi"/>
              </w:rPr>
            </w:pPr>
            <w:r w:rsidRPr="00545C7F">
              <w:rPr>
                <w:rFonts w:cstheme="minorHAnsi"/>
              </w:rPr>
              <w:t>Highest level of education: Degree/Post-graduate</w:t>
            </w:r>
          </w:p>
        </w:tc>
        <w:tc>
          <w:tcPr>
            <w:tcW w:w="1418" w:type="dxa"/>
            <w:tcBorders>
              <w:top w:val="nil"/>
              <w:left w:val="nil"/>
              <w:bottom w:val="nil"/>
              <w:right w:val="nil"/>
            </w:tcBorders>
            <w:shd w:val="clear" w:color="auto" w:fill="E5E5E5" w:themeFill="background1" w:themeFillTint="33"/>
            <w:vAlign w:val="center"/>
          </w:tcPr>
          <w:p w14:paraId="2D350A3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23.4</w:t>
            </w:r>
          </w:p>
        </w:tc>
        <w:tc>
          <w:tcPr>
            <w:tcW w:w="1417" w:type="dxa"/>
            <w:tcBorders>
              <w:top w:val="nil"/>
              <w:left w:val="nil"/>
              <w:bottom w:val="nil"/>
              <w:right w:val="nil"/>
            </w:tcBorders>
            <w:shd w:val="clear" w:color="auto" w:fill="E5E5E5" w:themeFill="background1" w:themeFillTint="33"/>
            <w:vAlign w:val="center"/>
          </w:tcPr>
          <w:p w14:paraId="66D6C982"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30.9</w:t>
            </w:r>
          </w:p>
        </w:tc>
        <w:tc>
          <w:tcPr>
            <w:tcW w:w="1422" w:type="dxa"/>
            <w:tcBorders>
              <w:top w:val="nil"/>
              <w:left w:val="nil"/>
              <w:bottom w:val="nil"/>
              <w:right w:val="nil"/>
            </w:tcBorders>
            <w:shd w:val="clear" w:color="auto" w:fill="E5E5E5" w:themeFill="background1" w:themeFillTint="33"/>
            <w:vAlign w:val="center"/>
          </w:tcPr>
          <w:p w14:paraId="58FD6A0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54.3</w:t>
            </w:r>
          </w:p>
        </w:tc>
        <w:tc>
          <w:tcPr>
            <w:tcW w:w="1271" w:type="dxa"/>
            <w:tcBorders>
              <w:top w:val="nil"/>
              <w:left w:val="nil"/>
              <w:bottom w:val="nil"/>
              <w:right w:val="nil"/>
            </w:tcBorders>
            <w:shd w:val="clear" w:color="auto" w:fill="E5E5E5" w:themeFill="background1" w:themeFillTint="33"/>
            <w:vAlign w:val="center"/>
          </w:tcPr>
          <w:p w14:paraId="0CD9544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20.1</w:t>
            </w:r>
          </w:p>
        </w:tc>
      </w:tr>
      <w:tr w:rsidR="00961617" w:rsidRPr="00545C7F" w14:paraId="4D92F421" w14:textId="77777777" w:rsidTr="00EE47DD">
        <w:trPr>
          <w:trHeight w:hRule="exact" w:val="397"/>
        </w:trPr>
        <w:tc>
          <w:tcPr>
            <w:tcW w:w="7054" w:type="dxa"/>
            <w:tcBorders>
              <w:top w:val="nil"/>
              <w:left w:val="nil"/>
              <w:bottom w:val="nil"/>
              <w:right w:val="nil"/>
            </w:tcBorders>
            <w:vAlign w:val="center"/>
          </w:tcPr>
          <w:p w14:paraId="47FF011F" w14:textId="77777777" w:rsidR="00961617" w:rsidRPr="00545C7F" w:rsidRDefault="00961617" w:rsidP="0020771F">
            <w:pPr>
              <w:pStyle w:val="Tablefirstcolumn"/>
              <w:rPr>
                <w:rFonts w:cstheme="minorHAnsi"/>
              </w:rPr>
            </w:pPr>
            <w:r w:rsidRPr="00545C7F">
              <w:rPr>
                <w:rFonts w:cstheme="minorHAnsi"/>
              </w:rPr>
              <w:t>Indigenous</w:t>
            </w:r>
          </w:p>
        </w:tc>
        <w:tc>
          <w:tcPr>
            <w:tcW w:w="1418" w:type="dxa"/>
            <w:tcBorders>
              <w:top w:val="nil"/>
              <w:left w:val="nil"/>
              <w:bottom w:val="nil"/>
              <w:right w:val="nil"/>
            </w:tcBorders>
            <w:vAlign w:val="center"/>
          </w:tcPr>
          <w:p w14:paraId="1CDADF2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16.7</w:t>
            </w:r>
          </w:p>
        </w:tc>
        <w:tc>
          <w:tcPr>
            <w:tcW w:w="1417" w:type="dxa"/>
            <w:tcBorders>
              <w:top w:val="nil"/>
              <w:left w:val="nil"/>
              <w:bottom w:val="nil"/>
              <w:right w:val="nil"/>
            </w:tcBorders>
            <w:vAlign w:val="center"/>
          </w:tcPr>
          <w:p w14:paraId="13B07DD1"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14.7</w:t>
            </w:r>
          </w:p>
        </w:tc>
        <w:tc>
          <w:tcPr>
            <w:tcW w:w="1422" w:type="dxa"/>
            <w:tcBorders>
              <w:top w:val="nil"/>
              <w:left w:val="nil"/>
              <w:bottom w:val="nil"/>
              <w:right w:val="nil"/>
            </w:tcBorders>
            <w:vAlign w:val="center"/>
          </w:tcPr>
          <w:p w14:paraId="74D784C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31.4</w:t>
            </w:r>
          </w:p>
        </w:tc>
        <w:tc>
          <w:tcPr>
            <w:tcW w:w="1271" w:type="dxa"/>
            <w:tcBorders>
              <w:top w:val="nil"/>
              <w:left w:val="nil"/>
              <w:bottom w:val="nil"/>
              <w:right w:val="nil"/>
            </w:tcBorders>
            <w:vAlign w:val="center"/>
          </w:tcPr>
          <w:p w14:paraId="0B0EB06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20.5</w:t>
            </w:r>
          </w:p>
        </w:tc>
      </w:tr>
      <w:tr w:rsidR="00961617" w:rsidRPr="00545C7F" w14:paraId="79124C5E"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19AC681D" w14:textId="77777777" w:rsidR="00961617" w:rsidRPr="00545C7F" w:rsidRDefault="00961617" w:rsidP="0020771F">
            <w:pPr>
              <w:pStyle w:val="Tablefirstcolumn"/>
              <w:rPr>
                <w:rFonts w:cstheme="minorHAnsi"/>
              </w:rPr>
            </w:pPr>
            <w:r w:rsidRPr="00545C7F">
              <w:rPr>
                <w:rFonts w:cstheme="minorHAnsi"/>
              </w:rPr>
              <w:t>Non-Indigenous</w:t>
            </w:r>
          </w:p>
        </w:tc>
        <w:tc>
          <w:tcPr>
            <w:tcW w:w="1418" w:type="dxa"/>
            <w:tcBorders>
              <w:top w:val="nil"/>
              <w:left w:val="nil"/>
              <w:bottom w:val="nil"/>
              <w:right w:val="nil"/>
            </w:tcBorders>
            <w:shd w:val="clear" w:color="auto" w:fill="E5E5E5" w:themeFill="background1" w:themeFillTint="33"/>
            <w:vAlign w:val="center"/>
          </w:tcPr>
          <w:p w14:paraId="0622D703"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19.9</w:t>
            </w:r>
          </w:p>
        </w:tc>
        <w:tc>
          <w:tcPr>
            <w:tcW w:w="1417" w:type="dxa"/>
            <w:tcBorders>
              <w:top w:val="nil"/>
              <w:left w:val="nil"/>
              <w:bottom w:val="nil"/>
              <w:right w:val="nil"/>
            </w:tcBorders>
            <w:shd w:val="clear" w:color="auto" w:fill="E5E5E5" w:themeFill="background1" w:themeFillTint="33"/>
            <w:vAlign w:val="center"/>
          </w:tcPr>
          <w:p w14:paraId="019F439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24.5</w:t>
            </w:r>
          </w:p>
        </w:tc>
        <w:tc>
          <w:tcPr>
            <w:tcW w:w="1422" w:type="dxa"/>
            <w:tcBorders>
              <w:top w:val="nil"/>
              <w:left w:val="nil"/>
              <w:bottom w:val="nil"/>
              <w:right w:val="nil"/>
            </w:tcBorders>
            <w:shd w:val="clear" w:color="auto" w:fill="E5E5E5" w:themeFill="background1" w:themeFillTint="33"/>
            <w:vAlign w:val="center"/>
          </w:tcPr>
          <w:p w14:paraId="55F0C5D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44.4</w:t>
            </w:r>
          </w:p>
        </w:tc>
        <w:tc>
          <w:tcPr>
            <w:tcW w:w="1271" w:type="dxa"/>
            <w:tcBorders>
              <w:top w:val="nil"/>
              <w:left w:val="nil"/>
              <w:bottom w:val="nil"/>
              <w:right w:val="nil"/>
            </w:tcBorders>
            <w:shd w:val="clear" w:color="auto" w:fill="E5E5E5" w:themeFill="background1" w:themeFillTint="33"/>
            <w:vAlign w:val="center"/>
          </w:tcPr>
          <w:p w14:paraId="10E33FC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18.0</w:t>
            </w:r>
          </w:p>
        </w:tc>
      </w:tr>
      <w:tr w:rsidR="00961617" w:rsidRPr="00545C7F" w14:paraId="2D00B051" w14:textId="77777777" w:rsidTr="00EE47DD">
        <w:trPr>
          <w:trHeight w:hRule="exact" w:val="397"/>
        </w:trPr>
        <w:tc>
          <w:tcPr>
            <w:tcW w:w="7054" w:type="dxa"/>
            <w:tcBorders>
              <w:top w:val="nil"/>
              <w:left w:val="nil"/>
              <w:bottom w:val="nil"/>
              <w:right w:val="nil"/>
            </w:tcBorders>
            <w:vAlign w:val="center"/>
          </w:tcPr>
          <w:p w14:paraId="4E08B041" w14:textId="77777777" w:rsidR="00961617" w:rsidRPr="00545C7F" w:rsidRDefault="00961617" w:rsidP="0020771F">
            <w:pPr>
              <w:pStyle w:val="Tablefirstcolumn"/>
              <w:rPr>
                <w:rFonts w:cstheme="minorHAnsi"/>
              </w:rPr>
            </w:pPr>
            <w:r w:rsidRPr="00545C7F">
              <w:rPr>
                <w:rFonts w:cstheme="minorHAnsi"/>
              </w:rPr>
              <w:t>Job seekers with a disability as identified by JCA/ESAt</w:t>
            </w:r>
          </w:p>
        </w:tc>
        <w:tc>
          <w:tcPr>
            <w:tcW w:w="1418" w:type="dxa"/>
            <w:tcBorders>
              <w:top w:val="nil"/>
              <w:left w:val="nil"/>
              <w:bottom w:val="nil"/>
              <w:right w:val="nil"/>
            </w:tcBorders>
            <w:vAlign w:val="center"/>
          </w:tcPr>
          <w:p w14:paraId="3E5E7C1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9.5</w:t>
            </w:r>
          </w:p>
        </w:tc>
        <w:tc>
          <w:tcPr>
            <w:tcW w:w="1417" w:type="dxa"/>
            <w:tcBorders>
              <w:top w:val="nil"/>
              <w:left w:val="nil"/>
              <w:bottom w:val="nil"/>
              <w:right w:val="nil"/>
            </w:tcBorders>
            <w:vAlign w:val="center"/>
          </w:tcPr>
          <w:p w14:paraId="49CA527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18.2</w:t>
            </w:r>
          </w:p>
        </w:tc>
        <w:tc>
          <w:tcPr>
            <w:tcW w:w="1422" w:type="dxa"/>
            <w:tcBorders>
              <w:top w:val="nil"/>
              <w:left w:val="nil"/>
              <w:bottom w:val="nil"/>
              <w:right w:val="nil"/>
            </w:tcBorders>
            <w:vAlign w:val="center"/>
          </w:tcPr>
          <w:p w14:paraId="71CAAB92"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27.7</w:t>
            </w:r>
          </w:p>
        </w:tc>
        <w:tc>
          <w:tcPr>
            <w:tcW w:w="1271" w:type="dxa"/>
            <w:tcBorders>
              <w:top w:val="nil"/>
              <w:left w:val="nil"/>
              <w:bottom w:val="nil"/>
              <w:right w:val="nil"/>
            </w:tcBorders>
            <w:vAlign w:val="center"/>
          </w:tcPr>
          <w:p w14:paraId="0724E20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14.8</w:t>
            </w:r>
          </w:p>
        </w:tc>
      </w:tr>
      <w:tr w:rsidR="00961617" w:rsidRPr="00545C7F" w14:paraId="3E5F1C7B"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0E78D19F" w14:textId="77777777" w:rsidR="00961617" w:rsidRPr="00545C7F" w:rsidRDefault="00961617" w:rsidP="0020771F">
            <w:pPr>
              <w:pStyle w:val="Tablefirstcolumn"/>
              <w:rPr>
                <w:rFonts w:cstheme="minorHAnsi"/>
              </w:rPr>
            </w:pPr>
            <w:r w:rsidRPr="00545C7F">
              <w:rPr>
                <w:rFonts w:cstheme="minorHAnsi"/>
              </w:rPr>
              <w:t>Non-English speaking background</w:t>
            </w:r>
          </w:p>
        </w:tc>
        <w:tc>
          <w:tcPr>
            <w:tcW w:w="1418" w:type="dxa"/>
            <w:tcBorders>
              <w:top w:val="nil"/>
              <w:left w:val="nil"/>
              <w:bottom w:val="nil"/>
              <w:right w:val="nil"/>
            </w:tcBorders>
            <w:shd w:val="clear" w:color="auto" w:fill="E5E5E5" w:themeFill="background1" w:themeFillTint="33"/>
            <w:vAlign w:val="center"/>
          </w:tcPr>
          <w:p w14:paraId="4C0E6B1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17.7</w:t>
            </w:r>
          </w:p>
        </w:tc>
        <w:tc>
          <w:tcPr>
            <w:tcW w:w="1417" w:type="dxa"/>
            <w:tcBorders>
              <w:top w:val="nil"/>
              <w:left w:val="nil"/>
              <w:bottom w:val="nil"/>
              <w:right w:val="nil"/>
            </w:tcBorders>
            <w:shd w:val="clear" w:color="auto" w:fill="E5E5E5" w:themeFill="background1" w:themeFillTint="33"/>
            <w:vAlign w:val="center"/>
          </w:tcPr>
          <w:p w14:paraId="602F699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21.6</w:t>
            </w:r>
          </w:p>
        </w:tc>
        <w:tc>
          <w:tcPr>
            <w:tcW w:w="1422" w:type="dxa"/>
            <w:tcBorders>
              <w:top w:val="nil"/>
              <w:left w:val="nil"/>
              <w:bottom w:val="nil"/>
              <w:right w:val="nil"/>
            </w:tcBorders>
            <w:shd w:val="clear" w:color="auto" w:fill="E5E5E5" w:themeFill="background1" w:themeFillTint="33"/>
            <w:vAlign w:val="center"/>
          </w:tcPr>
          <w:p w14:paraId="15F3631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39.3</w:t>
            </w:r>
          </w:p>
        </w:tc>
        <w:tc>
          <w:tcPr>
            <w:tcW w:w="1271" w:type="dxa"/>
            <w:tcBorders>
              <w:top w:val="nil"/>
              <w:left w:val="nil"/>
              <w:bottom w:val="nil"/>
              <w:right w:val="nil"/>
            </w:tcBorders>
            <w:shd w:val="clear" w:color="auto" w:fill="E5E5E5" w:themeFill="background1" w:themeFillTint="33"/>
            <w:vAlign w:val="center"/>
          </w:tcPr>
          <w:p w14:paraId="352DF00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26.2</w:t>
            </w:r>
          </w:p>
        </w:tc>
      </w:tr>
      <w:tr w:rsidR="00961617" w:rsidRPr="00545C7F" w14:paraId="37A6741C" w14:textId="77777777" w:rsidTr="00EE47DD">
        <w:trPr>
          <w:trHeight w:hRule="exact" w:val="397"/>
        </w:trPr>
        <w:tc>
          <w:tcPr>
            <w:tcW w:w="7054" w:type="dxa"/>
            <w:tcBorders>
              <w:top w:val="nil"/>
              <w:left w:val="nil"/>
              <w:bottom w:val="nil"/>
              <w:right w:val="nil"/>
            </w:tcBorders>
            <w:vAlign w:val="center"/>
          </w:tcPr>
          <w:p w14:paraId="61D47AE4" w14:textId="77777777" w:rsidR="00961617" w:rsidRPr="00545C7F" w:rsidRDefault="00961617" w:rsidP="0020771F">
            <w:pPr>
              <w:pStyle w:val="Tablefirstcolumn"/>
              <w:rPr>
                <w:rFonts w:cstheme="minorHAnsi"/>
              </w:rPr>
            </w:pPr>
            <w:r w:rsidRPr="00545C7F">
              <w:rPr>
                <w:rFonts w:cstheme="minorHAnsi"/>
              </w:rPr>
              <w:t>Mixed or low English proficiency</w:t>
            </w:r>
          </w:p>
        </w:tc>
        <w:tc>
          <w:tcPr>
            <w:tcW w:w="1418" w:type="dxa"/>
            <w:tcBorders>
              <w:top w:val="nil"/>
              <w:left w:val="nil"/>
              <w:bottom w:val="nil"/>
              <w:right w:val="nil"/>
            </w:tcBorders>
            <w:vAlign w:val="center"/>
          </w:tcPr>
          <w:p w14:paraId="2F7B5F5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14.1</w:t>
            </w:r>
          </w:p>
        </w:tc>
        <w:tc>
          <w:tcPr>
            <w:tcW w:w="1417" w:type="dxa"/>
            <w:tcBorders>
              <w:top w:val="nil"/>
              <w:left w:val="nil"/>
              <w:bottom w:val="nil"/>
              <w:right w:val="nil"/>
            </w:tcBorders>
            <w:vAlign w:val="center"/>
          </w:tcPr>
          <w:p w14:paraId="2B0620CB"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14.9</w:t>
            </w:r>
          </w:p>
        </w:tc>
        <w:tc>
          <w:tcPr>
            <w:tcW w:w="1422" w:type="dxa"/>
            <w:tcBorders>
              <w:top w:val="nil"/>
              <w:left w:val="nil"/>
              <w:bottom w:val="nil"/>
              <w:right w:val="nil"/>
            </w:tcBorders>
            <w:vAlign w:val="center"/>
          </w:tcPr>
          <w:p w14:paraId="2524D37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29.0</w:t>
            </w:r>
          </w:p>
        </w:tc>
        <w:tc>
          <w:tcPr>
            <w:tcW w:w="1271" w:type="dxa"/>
            <w:tcBorders>
              <w:top w:val="nil"/>
              <w:left w:val="nil"/>
              <w:bottom w:val="nil"/>
              <w:right w:val="nil"/>
            </w:tcBorders>
            <w:vAlign w:val="center"/>
          </w:tcPr>
          <w:p w14:paraId="10D0DC7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27.3</w:t>
            </w:r>
          </w:p>
        </w:tc>
      </w:tr>
      <w:tr w:rsidR="00961617" w:rsidRPr="00545C7F" w14:paraId="5F4A7CAF"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07C11677" w14:textId="77777777" w:rsidR="00961617" w:rsidRPr="00545C7F" w:rsidRDefault="00961617" w:rsidP="0020771F">
            <w:pPr>
              <w:pStyle w:val="Tablefirstcolumn"/>
              <w:rPr>
                <w:rFonts w:cstheme="minorHAnsi"/>
              </w:rPr>
            </w:pPr>
            <w:r w:rsidRPr="00545C7F">
              <w:rPr>
                <w:rFonts w:cstheme="minorHAnsi"/>
              </w:rPr>
              <w:t>Single parents</w:t>
            </w:r>
          </w:p>
        </w:tc>
        <w:tc>
          <w:tcPr>
            <w:tcW w:w="1418" w:type="dxa"/>
            <w:tcBorders>
              <w:top w:val="nil"/>
              <w:left w:val="nil"/>
              <w:bottom w:val="nil"/>
              <w:right w:val="nil"/>
            </w:tcBorders>
            <w:shd w:val="clear" w:color="auto" w:fill="E5E5E5" w:themeFill="background1" w:themeFillTint="33"/>
            <w:vAlign w:val="center"/>
          </w:tcPr>
          <w:p w14:paraId="158780D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17.7</w:t>
            </w:r>
          </w:p>
        </w:tc>
        <w:tc>
          <w:tcPr>
            <w:tcW w:w="1417" w:type="dxa"/>
            <w:tcBorders>
              <w:top w:val="nil"/>
              <w:left w:val="nil"/>
              <w:bottom w:val="nil"/>
              <w:right w:val="nil"/>
            </w:tcBorders>
            <w:shd w:val="clear" w:color="auto" w:fill="E5E5E5" w:themeFill="background1" w:themeFillTint="33"/>
            <w:vAlign w:val="center"/>
          </w:tcPr>
          <w:p w14:paraId="0A67698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38.2</w:t>
            </w:r>
          </w:p>
        </w:tc>
        <w:tc>
          <w:tcPr>
            <w:tcW w:w="1422" w:type="dxa"/>
            <w:tcBorders>
              <w:top w:val="nil"/>
              <w:left w:val="nil"/>
              <w:bottom w:val="nil"/>
              <w:right w:val="nil"/>
            </w:tcBorders>
            <w:shd w:val="clear" w:color="auto" w:fill="E5E5E5" w:themeFill="background1" w:themeFillTint="33"/>
            <w:vAlign w:val="center"/>
          </w:tcPr>
          <w:p w14:paraId="3C47AE84"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55.9</w:t>
            </w:r>
          </w:p>
        </w:tc>
        <w:tc>
          <w:tcPr>
            <w:tcW w:w="1271" w:type="dxa"/>
            <w:tcBorders>
              <w:top w:val="nil"/>
              <w:left w:val="nil"/>
              <w:bottom w:val="nil"/>
              <w:right w:val="nil"/>
            </w:tcBorders>
            <w:shd w:val="clear" w:color="auto" w:fill="E5E5E5" w:themeFill="background1" w:themeFillTint="33"/>
            <w:vAlign w:val="center"/>
          </w:tcPr>
          <w:p w14:paraId="24FED552"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20.6</w:t>
            </w:r>
          </w:p>
        </w:tc>
      </w:tr>
      <w:tr w:rsidR="00961617" w:rsidRPr="00545C7F" w14:paraId="42EA3B99" w14:textId="77777777" w:rsidTr="00EE47DD">
        <w:trPr>
          <w:trHeight w:hRule="exact" w:val="397"/>
        </w:trPr>
        <w:tc>
          <w:tcPr>
            <w:tcW w:w="7054" w:type="dxa"/>
            <w:tcBorders>
              <w:top w:val="nil"/>
              <w:left w:val="nil"/>
              <w:bottom w:val="nil"/>
              <w:right w:val="nil"/>
            </w:tcBorders>
            <w:vAlign w:val="center"/>
          </w:tcPr>
          <w:p w14:paraId="479E33DE" w14:textId="77777777" w:rsidR="00961617" w:rsidRPr="00545C7F" w:rsidRDefault="00961617" w:rsidP="0020771F">
            <w:pPr>
              <w:pStyle w:val="Tablefirstcolumn"/>
              <w:rPr>
                <w:rFonts w:cstheme="minorHAnsi"/>
              </w:rPr>
            </w:pPr>
            <w:r w:rsidRPr="00545C7F">
              <w:rPr>
                <w:rFonts w:cstheme="minorHAnsi"/>
              </w:rPr>
              <w:t>Ex-offenders</w:t>
            </w:r>
          </w:p>
        </w:tc>
        <w:tc>
          <w:tcPr>
            <w:tcW w:w="1418" w:type="dxa"/>
            <w:tcBorders>
              <w:top w:val="nil"/>
              <w:left w:val="nil"/>
              <w:bottom w:val="nil"/>
              <w:right w:val="nil"/>
            </w:tcBorders>
            <w:vAlign w:val="center"/>
          </w:tcPr>
          <w:p w14:paraId="1B38B3E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21.6</w:t>
            </w:r>
          </w:p>
        </w:tc>
        <w:tc>
          <w:tcPr>
            <w:tcW w:w="1417" w:type="dxa"/>
            <w:tcBorders>
              <w:top w:val="nil"/>
              <w:left w:val="nil"/>
              <w:bottom w:val="nil"/>
              <w:right w:val="nil"/>
            </w:tcBorders>
            <w:vAlign w:val="center"/>
          </w:tcPr>
          <w:p w14:paraId="69596540"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14.3</w:t>
            </w:r>
          </w:p>
        </w:tc>
        <w:tc>
          <w:tcPr>
            <w:tcW w:w="1422" w:type="dxa"/>
            <w:tcBorders>
              <w:top w:val="nil"/>
              <w:left w:val="nil"/>
              <w:bottom w:val="nil"/>
              <w:right w:val="nil"/>
            </w:tcBorders>
            <w:vAlign w:val="center"/>
          </w:tcPr>
          <w:p w14:paraId="258E3007"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35.9</w:t>
            </w:r>
          </w:p>
        </w:tc>
        <w:tc>
          <w:tcPr>
            <w:tcW w:w="1271" w:type="dxa"/>
            <w:tcBorders>
              <w:top w:val="nil"/>
              <w:left w:val="nil"/>
              <w:bottom w:val="nil"/>
              <w:right w:val="nil"/>
            </w:tcBorders>
            <w:vAlign w:val="center"/>
          </w:tcPr>
          <w:p w14:paraId="5AD545F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10.5</w:t>
            </w:r>
          </w:p>
        </w:tc>
      </w:tr>
      <w:tr w:rsidR="00961617" w:rsidRPr="00545C7F" w14:paraId="4FAF9349" w14:textId="77777777" w:rsidTr="00EE47DD">
        <w:trPr>
          <w:trHeight w:hRule="exact" w:val="397"/>
        </w:trPr>
        <w:tc>
          <w:tcPr>
            <w:tcW w:w="7054" w:type="dxa"/>
            <w:tcBorders>
              <w:top w:val="nil"/>
              <w:left w:val="nil"/>
              <w:bottom w:val="nil"/>
              <w:right w:val="nil"/>
            </w:tcBorders>
            <w:shd w:val="clear" w:color="auto" w:fill="E5E5E5" w:themeFill="background1" w:themeFillTint="33"/>
            <w:vAlign w:val="center"/>
          </w:tcPr>
          <w:p w14:paraId="2EFD23C4" w14:textId="77777777" w:rsidR="00961617" w:rsidRPr="00545C7F" w:rsidRDefault="00961617" w:rsidP="0020771F">
            <w:pPr>
              <w:pStyle w:val="Tablefirstcolumn"/>
              <w:rPr>
                <w:rFonts w:cstheme="minorHAnsi"/>
              </w:rPr>
            </w:pPr>
            <w:r w:rsidRPr="00545C7F">
              <w:rPr>
                <w:rFonts w:cstheme="minorHAnsi"/>
              </w:rPr>
              <w:t>Homeless</w:t>
            </w:r>
          </w:p>
        </w:tc>
        <w:tc>
          <w:tcPr>
            <w:tcW w:w="1418" w:type="dxa"/>
            <w:tcBorders>
              <w:top w:val="nil"/>
              <w:left w:val="nil"/>
              <w:bottom w:val="nil"/>
              <w:right w:val="nil"/>
            </w:tcBorders>
            <w:shd w:val="clear" w:color="auto" w:fill="E5E5E5" w:themeFill="background1" w:themeFillTint="33"/>
            <w:vAlign w:val="center"/>
          </w:tcPr>
          <w:p w14:paraId="4051DF1C"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17.7</w:t>
            </w:r>
          </w:p>
        </w:tc>
        <w:tc>
          <w:tcPr>
            <w:tcW w:w="1417" w:type="dxa"/>
            <w:tcBorders>
              <w:top w:val="nil"/>
              <w:left w:val="nil"/>
              <w:bottom w:val="nil"/>
              <w:right w:val="nil"/>
            </w:tcBorders>
            <w:shd w:val="clear" w:color="auto" w:fill="E5E5E5" w:themeFill="background1" w:themeFillTint="33"/>
            <w:vAlign w:val="center"/>
          </w:tcPr>
          <w:p w14:paraId="1FE904E6"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17.2</w:t>
            </w:r>
          </w:p>
        </w:tc>
        <w:tc>
          <w:tcPr>
            <w:tcW w:w="1422" w:type="dxa"/>
            <w:tcBorders>
              <w:top w:val="nil"/>
              <w:left w:val="nil"/>
              <w:bottom w:val="nil"/>
              <w:right w:val="nil"/>
            </w:tcBorders>
            <w:shd w:val="clear" w:color="auto" w:fill="E5E5E5" w:themeFill="background1" w:themeFillTint="33"/>
            <w:vAlign w:val="center"/>
          </w:tcPr>
          <w:p w14:paraId="496DA93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34.9</w:t>
            </w:r>
          </w:p>
        </w:tc>
        <w:tc>
          <w:tcPr>
            <w:tcW w:w="1271" w:type="dxa"/>
            <w:tcBorders>
              <w:top w:val="nil"/>
              <w:left w:val="nil"/>
              <w:bottom w:val="nil"/>
              <w:right w:val="nil"/>
            </w:tcBorders>
            <w:shd w:val="clear" w:color="auto" w:fill="E5E5E5" w:themeFill="background1" w:themeFillTint="33"/>
            <w:vAlign w:val="center"/>
          </w:tcPr>
          <w:p w14:paraId="0F01B5FE"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17.8</w:t>
            </w:r>
          </w:p>
        </w:tc>
      </w:tr>
      <w:tr w:rsidR="00961617" w:rsidRPr="00545C7F" w14:paraId="4D4F7CD5" w14:textId="77777777" w:rsidTr="00EE47DD">
        <w:trPr>
          <w:trHeight w:hRule="exact" w:val="397"/>
        </w:trPr>
        <w:tc>
          <w:tcPr>
            <w:tcW w:w="7054" w:type="dxa"/>
            <w:tcBorders>
              <w:top w:val="nil"/>
              <w:left w:val="nil"/>
              <w:bottom w:val="nil"/>
              <w:right w:val="nil"/>
            </w:tcBorders>
            <w:shd w:val="clear" w:color="auto" w:fill="8EAEDE"/>
            <w:vAlign w:val="center"/>
          </w:tcPr>
          <w:p w14:paraId="1DB23256" w14:textId="77777777" w:rsidR="00961617" w:rsidRPr="00545C7F" w:rsidRDefault="00961617" w:rsidP="0020771F">
            <w:pPr>
              <w:pStyle w:val="Tablefirstcolumn"/>
              <w:rPr>
                <w:rFonts w:cstheme="minorHAnsi"/>
              </w:rPr>
            </w:pPr>
            <w:r w:rsidRPr="00545C7F">
              <w:rPr>
                <w:rFonts w:cstheme="minorHAnsi"/>
              </w:rPr>
              <w:t>Total</w:t>
            </w:r>
          </w:p>
        </w:tc>
        <w:tc>
          <w:tcPr>
            <w:tcW w:w="1418" w:type="dxa"/>
            <w:tcBorders>
              <w:top w:val="nil"/>
              <w:left w:val="nil"/>
              <w:bottom w:val="nil"/>
              <w:right w:val="nil"/>
            </w:tcBorders>
            <w:shd w:val="clear" w:color="auto" w:fill="8EAEDE"/>
            <w:vAlign w:val="center"/>
          </w:tcPr>
          <w:p w14:paraId="5841C669"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19.7</w:t>
            </w:r>
          </w:p>
        </w:tc>
        <w:tc>
          <w:tcPr>
            <w:tcW w:w="1417" w:type="dxa"/>
            <w:tcBorders>
              <w:top w:val="nil"/>
              <w:left w:val="nil"/>
              <w:bottom w:val="nil"/>
              <w:right w:val="nil"/>
            </w:tcBorders>
            <w:shd w:val="clear" w:color="auto" w:fill="8EAEDE"/>
            <w:vAlign w:val="center"/>
          </w:tcPr>
          <w:p w14:paraId="6E659AAF"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23.8</w:t>
            </w:r>
          </w:p>
        </w:tc>
        <w:tc>
          <w:tcPr>
            <w:tcW w:w="1422" w:type="dxa"/>
            <w:tcBorders>
              <w:top w:val="nil"/>
              <w:left w:val="nil"/>
              <w:bottom w:val="nil"/>
              <w:right w:val="nil"/>
            </w:tcBorders>
            <w:shd w:val="clear" w:color="auto" w:fill="8EAEDE"/>
            <w:vAlign w:val="center"/>
          </w:tcPr>
          <w:p w14:paraId="4AEC2508"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43.5</w:t>
            </w:r>
          </w:p>
        </w:tc>
        <w:tc>
          <w:tcPr>
            <w:tcW w:w="1271" w:type="dxa"/>
            <w:tcBorders>
              <w:top w:val="nil"/>
              <w:left w:val="nil"/>
              <w:bottom w:val="nil"/>
              <w:right w:val="nil"/>
            </w:tcBorders>
            <w:shd w:val="clear" w:color="auto" w:fill="8EAEDE"/>
            <w:vAlign w:val="center"/>
          </w:tcPr>
          <w:p w14:paraId="60558EAD" w14:textId="77777777" w:rsidR="00961617" w:rsidRPr="00545C7F" w:rsidRDefault="00961617" w:rsidP="0020771F">
            <w:pPr>
              <w:pStyle w:val="tabletextslim"/>
              <w:spacing w:before="0"/>
              <w:ind w:left="-59" w:right="183"/>
              <w:rPr>
                <w:rFonts w:cstheme="minorHAnsi"/>
                <w:sz w:val="20"/>
                <w:szCs w:val="20"/>
              </w:rPr>
            </w:pPr>
            <w:r w:rsidRPr="00545C7F">
              <w:rPr>
                <w:rFonts w:cstheme="minorHAnsi"/>
                <w:sz w:val="20"/>
                <w:szCs w:val="20"/>
              </w:rPr>
              <w:t>18.1</w:t>
            </w:r>
          </w:p>
        </w:tc>
      </w:tr>
    </w:tbl>
    <w:p w14:paraId="7D74C620" w14:textId="77777777" w:rsidR="00961617" w:rsidRPr="002F5864" w:rsidRDefault="00961617" w:rsidP="00E13B5E">
      <w:pPr>
        <w:pStyle w:val="Notes"/>
      </w:pPr>
      <w:r w:rsidRPr="002F5864">
        <w:rPr>
          <w:b/>
        </w:rPr>
        <w:t>Note:</w:t>
      </w:r>
      <w:r w:rsidRPr="002F5864">
        <w:t xml:space="preserve"> </w:t>
      </w:r>
      <w:r w:rsidR="00E13B5E">
        <w:tab/>
      </w:r>
      <w:r w:rsidRPr="002F5864">
        <w:t>Both JSA 2009 and JSA 2012 caseloads and study populations exclude job seekers living in communities that were subsequently transferred to the Remote Jobs and Communities Programme in July 2013.</w:t>
      </w:r>
    </w:p>
    <w:p w14:paraId="03E1B629" w14:textId="77777777" w:rsidR="00961617" w:rsidRPr="002F5864" w:rsidRDefault="00961617" w:rsidP="00E13B5E">
      <w:pPr>
        <w:pStyle w:val="Source"/>
      </w:pPr>
      <w:r w:rsidRPr="002F5864">
        <w:rPr>
          <w:b/>
        </w:rPr>
        <w:t>Source:</w:t>
      </w:r>
      <w:r w:rsidR="00E13B5E">
        <w:rPr>
          <w:b/>
        </w:rPr>
        <w:tab/>
      </w:r>
      <w:r w:rsidRPr="002F5864">
        <w:t xml:space="preserve"> Department of Employment Post Programme Monitoring Survey.</w:t>
      </w:r>
    </w:p>
    <w:p w14:paraId="0515F22E"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35F8736D" w14:textId="77777777" w:rsidR="00961617" w:rsidRPr="002F5864" w:rsidRDefault="00864C5E" w:rsidP="00961617">
      <w:pPr>
        <w:pStyle w:val="ListParagraph"/>
        <w:numPr>
          <w:ilvl w:val="0"/>
          <w:numId w:val="97"/>
        </w:numPr>
        <w:spacing w:before="0"/>
        <w:ind w:left="714" w:hanging="357"/>
        <w:rPr>
          <w:rFonts w:cstheme="minorHAnsi"/>
          <w:sz w:val="18"/>
          <w:szCs w:val="18"/>
        </w:rPr>
      </w:pPr>
      <w:hyperlink w:anchor="Place_A213a" w:history="1">
        <w:r w:rsidR="00961617" w:rsidRPr="00026A22">
          <w:rPr>
            <w:rStyle w:val="Hyperlink"/>
            <w:rFonts w:cstheme="minorHAnsi"/>
            <w:sz w:val="18"/>
            <w:szCs w:val="18"/>
          </w:rPr>
          <w:t>Return to Figure 3.7</w:t>
        </w:r>
      </w:hyperlink>
      <w:r w:rsidR="00961617" w:rsidRPr="002F5864">
        <w:rPr>
          <w:rFonts w:cstheme="minorHAnsi"/>
          <w:sz w:val="18"/>
          <w:szCs w:val="18"/>
        </w:rPr>
        <w:t xml:space="preserve"> where this data is referenced.</w:t>
      </w:r>
    </w:p>
    <w:p w14:paraId="1770F697" w14:textId="77777777" w:rsidR="00961617" w:rsidRPr="002F5864" w:rsidRDefault="00864C5E" w:rsidP="00961617">
      <w:pPr>
        <w:pStyle w:val="ListParagraph"/>
        <w:numPr>
          <w:ilvl w:val="0"/>
          <w:numId w:val="97"/>
        </w:numPr>
        <w:spacing w:before="0"/>
        <w:ind w:left="714" w:hanging="357"/>
        <w:rPr>
          <w:rFonts w:cstheme="minorHAnsi"/>
          <w:sz w:val="18"/>
          <w:szCs w:val="18"/>
        </w:rPr>
      </w:pPr>
      <w:hyperlink w:anchor="Place_A213b" w:history="1">
        <w:r w:rsidR="00961617" w:rsidRPr="00026A22">
          <w:rPr>
            <w:rStyle w:val="Hyperlink"/>
            <w:rFonts w:cstheme="minorHAnsi"/>
            <w:sz w:val="18"/>
            <w:szCs w:val="18"/>
          </w:rPr>
          <w:t>Return to Figure 3.8</w:t>
        </w:r>
      </w:hyperlink>
      <w:r w:rsidR="00961617" w:rsidRPr="002F5864">
        <w:rPr>
          <w:rFonts w:cstheme="minorHAnsi"/>
          <w:sz w:val="18"/>
          <w:szCs w:val="18"/>
        </w:rPr>
        <w:t xml:space="preserve"> where this data is referenced.</w:t>
      </w:r>
    </w:p>
    <w:p w14:paraId="63B0B819" w14:textId="77777777" w:rsidR="00961617" w:rsidRPr="002F5864" w:rsidRDefault="00864C5E" w:rsidP="00961617">
      <w:pPr>
        <w:pStyle w:val="ListParagraph"/>
        <w:numPr>
          <w:ilvl w:val="0"/>
          <w:numId w:val="97"/>
        </w:numPr>
        <w:spacing w:before="0"/>
        <w:ind w:left="714" w:hanging="357"/>
        <w:rPr>
          <w:rFonts w:cstheme="minorHAnsi"/>
          <w:sz w:val="18"/>
          <w:szCs w:val="18"/>
        </w:rPr>
      </w:pPr>
      <w:hyperlink w:anchor="Place_A213c" w:history="1">
        <w:r w:rsidR="00961617" w:rsidRPr="00026A22">
          <w:rPr>
            <w:rStyle w:val="Hyperlink"/>
            <w:rFonts w:cstheme="minorHAnsi"/>
            <w:sz w:val="18"/>
            <w:szCs w:val="18"/>
          </w:rPr>
          <w:t>Return to Figure 3.9</w:t>
        </w:r>
      </w:hyperlink>
      <w:r w:rsidR="00961617" w:rsidRPr="002F5864">
        <w:rPr>
          <w:rFonts w:cstheme="minorHAnsi"/>
          <w:sz w:val="18"/>
          <w:szCs w:val="18"/>
        </w:rPr>
        <w:t xml:space="preserve"> where this data is referenced.</w:t>
      </w:r>
      <w:r w:rsidR="00961617" w:rsidRPr="002F5864">
        <w:rPr>
          <w:rFonts w:cstheme="minorHAnsi"/>
          <w:sz w:val="18"/>
          <w:szCs w:val="18"/>
        </w:rPr>
        <w:br w:type="page"/>
      </w:r>
    </w:p>
    <w:p w14:paraId="0D938E99" w14:textId="77777777" w:rsidR="00961617" w:rsidRPr="002F5864" w:rsidRDefault="00961617" w:rsidP="00961617">
      <w:pPr>
        <w:pStyle w:val="TableheadingforappendixA1"/>
        <w:rPr>
          <w:rFonts w:cstheme="minorHAnsi"/>
        </w:rPr>
      </w:pPr>
      <w:bookmarkStart w:id="651" w:name="_Toc513129907"/>
      <w:r w:rsidRPr="002F5864">
        <w:rPr>
          <w:rFonts w:cstheme="minorHAnsi"/>
        </w:rPr>
        <w:t>Table A2.14: Employment, education and positive outcomes for job seekers between JSA 2012, LTU (per cent)</w:t>
      </w:r>
      <w:bookmarkEnd w:id="651"/>
    </w:p>
    <w:tbl>
      <w:tblPr>
        <w:tblStyle w:val="TableGrid"/>
        <w:tblW w:w="1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1276"/>
        <w:gridCol w:w="1559"/>
        <w:gridCol w:w="1417"/>
        <w:gridCol w:w="1277"/>
      </w:tblGrid>
      <w:tr w:rsidR="00961617" w:rsidRPr="00545C7F" w14:paraId="6CFA5CBC" w14:textId="77777777" w:rsidTr="00EE47DD">
        <w:trPr>
          <w:tblHeader/>
        </w:trPr>
        <w:tc>
          <w:tcPr>
            <w:tcW w:w="7196" w:type="dxa"/>
            <w:shd w:val="clear" w:color="auto" w:fill="1E3D6B"/>
          </w:tcPr>
          <w:p w14:paraId="70D22C31" w14:textId="77777777" w:rsidR="00961617" w:rsidRPr="00545C7F" w:rsidRDefault="00961617" w:rsidP="0020771F">
            <w:pPr>
              <w:rPr>
                <w:rFonts w:cstheme="minorHAnsi"/>
                <w:b/>
                <w:color w:val="FFFFFF" w:themeColor="background2"/>
                <w:sz w:val="20"/>
                <w:szCs w:val="20"/>
              </w:rPr>
            </w:pPr>
            <w:bookmarkStart w:id="652" w:name="Title_A214"/>
            <w:bookmarkEnd w:id="652"/>
            <w:r w:rsidRPr="00545C7F">
              <w:rPr>
                <w:rFonts w:cstheme="minorHAnsi"/>
                <w:b/>
                <w:color w:val="FFFFFF" w:themeColor="background2"/>
                <w:sz w:val="20"/>
                <w:szCs w:val="20"/>
              </w:rPr>
              <w:t>Characteristics</w:t>
            </w:r>
          </w:p>
        </w:tc>
        <w:tc>
          <w:tcPr>
            <w:tcW w:w="1276" w:type="dxa"/>
            <w:shd w:val="clear" w:color="auto" w:fill="1E3D6B"/>
          </w:tcPr>
          <w:p w14:paraId="49F63EDF"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Full time Employment</w:t>
            </w:r>
          </w:p>
        </w:tc>
        <w:tc>
          <w:tcPr>
            <w:tcW w:w="1559" w:type="dxa"/>
            <w:shd w:val="clear" w:color="auto" w:fill="1E3D6B"/>
          </w:tcPr>
          <w:p w14:paraId="06D6E095"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Part time Employment</w:t>
            </w:r>
          </w:p>
        </w:tc>
        <w:tc>
          <w:tcPr>
            <w:tcW w:w="1417" w:type="dxa"/>
            <w:shd w:val="clear" w:color="auto" w:fill="1E3D6B"/>
          </w:tcPr>
          <w:p w14:paraId="7C72795C"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Total Employment</w:t>
            </w:r>
          </w:p>
        </w:tc>
        <w:tc>
          <w:tcPr>
            <w:tcW w:w="1277" w:type="dxa"/>
            <w:shd w:val="clear" w:color="auto" w:fill="1E3D6B"/>
          </w:tcPr>
          <w:p w14:paraId="4EA6B854"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Education</w:t>
            </w:r>
          </w:p>
        </w:tc>
      </w:tr>
      <w:tr w:rsidR="00961617" w:rsidRPr="00545C7F" w14:paraId="19A2E1E3" w14:textId="77777777" w:rsidTr="00EE47DD">
        <w:trPr>
          <w:trHeight w:hRule="exact" w:val="397"/>
        </w:trPr>
        <w:tc>
          <w:tcPr>
            <w:tcW w:w="7196" w:type="dxa"/>
            <w:vAlign w:val="center"/>
          </w:tcPr>
          <w:p w14:paraId="5BC4798D" w14:textId="77777777" w:rsidR="00961617" w:rsidRPr="00545C7F" w:rsidRDefault="00961617" w:rsidP="0020771F">
            <w:pPr>
              <w:rPr>
                <w:rFonts w:cstheme="minorHAnsi"/>
                <w:sz w:val="20"/>
                <w:szCs w:val="20"/>
              </w:rPr>
            </w:pPr>
            <w:r w:rsidRPr="00545C7F">
              <w:rPr>
                <w:rFonts w:cstheme="minorHAnsi"/>
                <w:sz w:val="20"/>
                <w:szCs w:val="20"/>
              </w:rPr>
              <w:t>Commencement stream: Stream 1</w:t>
            </w:r>
          </w:p>
        </w:tc>
        <w:tc>
          <w:tcPr>
            <w:tcW w:w="1276" w:type="dxa"/>
            <w:vAlign w:val="center"/>
          </w:tcPr>
          <w:p w14:paraId="1B780DB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21.5</w:t>
            </w:r>
          </w:p>
        </w:tc>
        <w:tc>
          <w:tcPr>
            <w:tcW w:w="1559" w:type="dxa"/>
            <w:vAlign w:val="center"/>
          </w:tcPr>
          <w:p w14:paraId="67B3B44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30.7</w:t>
            </w:r>
          </w:p>
        </w:tc>
        <w:tc>
          <w:tcPr>
            <w:tcW w:w="1417" w:type="dxa"/>
            <w:vAlign w:val="center"/>
          </w:tcPr>
          <w:p w14:paraId="7417A62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52.2</w:t>
            </w:r>
          </w:p>
        </w:tc>
        <w:tc>
          <w:tcPr>
            <w:tcW w:w="1277" w:type="dxa"/>
            <w:vAlign w:val="center"/>
          </w:tcPr>
          <w:p w14:paraId="4A4D7C3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17.2</w:t>
            </w:r>
          </w:p>
        </w:tc>
      </w:tr>
      <w:tr w:rsidR="00961617" w:rsidRPr="00545C7F" w14:paraId="16A19FFC" w14:textId="77777777" w:rsidTr="00EE47DD">
        <w:trPr>
          <w:trHeight w:hRule="exact" w:val="397"/>
        </w:trPr>
        <w:tc>
          <w:tcPr>
            <w:tcW w:w="7196" w:type="dxa"/>
            <w:shd w:val="clear" w:color="auto" w:fill="E5E5E5" w:themeFill="background1" w:themeFillTint="33"/>
            <w:vAlign w:val="center"/>
          </w:tcPr>
          <w:p w14:paraId="18C072C5" w14:textId="77777777" w:rsidR="00961617" w:rsidRPr="00545C7F" w:rsidRDefault="00961617" w:rsidP="0020771F">
            <w:pPr>
              <w:pStyle w:val="Tablefirstcolumn"/>
              <w:rPr>
                <w:rFonts w:cstheme="minorHAnsi"/>
              </w:rPr>
            </w:pPr>
            <w:r w:rsidRPr="00545C7F">
              <w:rPr>
                <w:rFonts w:cstheme="minorHAnsi"/>
              </w:rPr>
              <w:t>Commencement stream: Stream 2</w:t>
            </w:r>
          </w:p>
        </w:tc>
        <w:tc>
          <w:tcPr>
            <w:tcW w:w="1276" w:type="dxa"/>
            <w:shd w:val="clear" w:color="auto" w:fill="E5E5E5" w:themeFill="background1" w:themeFillTint="33"/>
            <w:vAlign w:val="center"/>
          </w:tcPr>
          <w:p w14:paraId="29FFB6F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15.7</w:t>
            </w:r>
          </w:p>
        </w:tc>
        <w:tc>
          <w:tcPr>
            <w:tcW w:w="1559" w:type="dxa"/>
            <w:shd w:val="clear" w:color="auto" w:fill="E5E5E5" w:themeFill="background1" w:themeFillTint="33"/>
            <w:vAlign w:val="center"/>
          </w:tcPr>
          <w:p w14:paraId="521B4C4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32.0</w:t>
            </w:r>
          </w:p>
        </w:tc>
        <w:tc>
          <w:tcPr>
            <w:tcW w:w="1417" w:type="dxa"/>
            <w:shd w:val="clear" w:color="auto" w:fill="E5E5E5" w:themeFill="background1" w:themeFillTint="33"/>
            <w:vAlign w:val="center"/>
          </w:tcPr>
          <w:p w14:paraId="7C49B66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47.7</w:t>
            </w:r>
          </w:p>
        </w:tc>
        <w:tc>
          <w:tcPr>
            <w:tcW w:w="1277" w:type="dxa"/>
            <w:shd w:val="clear" w:color="auto" w:fill="E5E5E5" w:themeFill="background1" w:themeFillTint="33"/>
            <w:vAlign w:val="center"/>
          </w:tcPr>
          <w:p w14:paraId="32E858C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22.6</w:t>
            </w:r>
          </w:p>
        </w:tc>
      </w:tr>
      <w:tr w:rsidR="00961617" w:rsidRPr="00545C7F" w14:paraId="1B4F773D" w14:textId="77777777" w:rsidTr="00EE47DD">
        <w:trPr>
          <w:trHeight w:hRule="exact" w:val="397"/>
        </w:trPr>
        <w:tc>
          <w:tcPr>
            <w:tcW w:w="7196" w:type="dxa"/>
            <w:vAlign w:val="center"/>
          </w:tcPr>
          <w:p w14:paraId="51833F0B" w14:textId="77777777" w:rsidR="00961617" w:rsidRPr="00545C7F" w:rsidRDefault="00961617" w:rsidP="0020771F">
            <w:pPr>
              <w:pStyle w:val="Tablefirstcolumn"/>
              <w:rPr>
                <w:rFonts w:cstheme="minorHAnsi"/>
              </w:rPr>
            </w:pPr>
            <w:r w:rsidRPr="00545C7F">
              <w:rPr>
                <w:rFonts w:cstheme="minorHAnsi"/>
              </w:rPr>
              <w:t>Commencement stream: Stream 3</w:t>
            </w:r>
          </w:p>
        </w:tc>
        <w:tc>
          <w:tcPr>
            <w:tcW w:w="1276" w:type="dxa"/>
            <w:vAlign w:val="center"/>
          </w:tcPr>
          <w:p w14:paraId="3316613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8.4</w:t>
            </w:r>
          </w:p>
        </w:tc>
        <w:tc>
          <w:tcPr>
            <w:tcW w:w="1559" w:type="dxa"/>
            <w:vAlign w:val="center"/>
          </w:tcPr>
          <w:p w14:paraId="7C9B404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26.1</w:t>
            </w:r>
          </w:p>
        </w:tc>
        <w:tc>
          <w:tcPr>
            <w:tcW w:w="1417" w:type="dxa"/>
            <w:vAlign w:val="center"/>
          </w:tcPr>
          <w:p w14:paraId="6AFD0B4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34.5</w:t>
            </w:r>
          </w:p>
        </w:tc>
        <w:tc>
          <w:tcPr>
            <w:tcW w:w="1277" w:type="dxa"/>
            <w:vAlign w:val="center"/>
          </w:tcPr>
          <w:p w14:paraId="08A7756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24.8</w:t>
            </w:r>
          </w:p>
        </w:tc>
      </w:tr>
      <w:tr w:rsidR="00961617" w:rsidRPr="00545C7F" w14:paraId="216DBDB4" w14:textId="77777777" w:rsidTr="00EE47DD">
        <w:trPr>
          <w:trHeight w:hRule="exact" w:val="397"/>
        </w:trPr>
        <w:tc>
          <w:tcPr>
            <w:tcW w:w="7196" w:type="dxa"/>
            <w:shd w:val="clear" w:color="auto" w:fill="E5E5E5" w:themeFill="background1" w:themeFillTint="33"/>
            <w:vAlign w:val="center"/>
          </w:tcPr>
          <w:p w14:paraId="529E26F1" w14:textId="77777777" w:rsidR="00961617" w:rsidRPr="00545C7F" w:rsidRDefault="00961617" w:rsidP="0020771F">
            <w:pPr>
              <w:pStyle w:val="Tablefirstcolumn"/>
              <w:rPr>
                <w:rFonts w:cstheme="minorHAnsi"/>
              </w:rPr>
            </w:pPr>
            <w:r w:rsidRPr="00545C7F">
              <w:rPr>
                <w:rFonts w:cstheme="minorHAnsi"/>
              </w:rPr>
              <w:t>Commencement stream: Stream 4</w:t>
            </w:r>
          </w:p>
        </w:tc>
        <w:tc>
          <w:tcPr>
            <w:tcW w:w="1276" w:type="dxa"/>
            <w:shd w:val="clear" w:color="auto" w:fill="E5E5E5" w:themeFill="background1" w:themeFillTint="33"/>
            <w:vAlign w:val="center"/>
          </w:tcPr>
          <w:p w14:paraId="1848C5D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5.8</w:t>
            </w:r>
          </w:p>
        </w:tc>
        <w:tc>
          <w:tcPr>
            <w:tcW w:w="1559" w:type="dxa"/>
            <w:shd w:val="clear" w:color="auto" w:fill="E5E5E5" w:themeFill="background1" w:themeFillTint="33"/>
            <w:vAlign w:val="center"/>
          </w:tcPr>
          <w:p w14:paraId="3ADA9E3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14.8</w:t>
            </w:r>
          </w:p>
        </w:tc>
        <w:tc>
          <w:tcPr>
            <w:tcW w:w="1417" w:type="dxa"/>
            <w:shd w:val="clear" w:color="auto" w:fill="E5E5E5" w:themeFill="background1" w:themeFillTint="33"/>
            <w:vAlign w:val="center"/>
          </w:tcPr>
          <w:p w14:paraId="6FF4D7B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20.6</w:t>
            </w:r>
          </w:p>
        </w:tc>
        <w:tc>
          <w:tcPr>
            <w:tcW w:w="1277" w:type="dxa"/>
            <w:shd w:val="clear" w:color="auto" w:fill="E5E5E5" w:themeFill="background1" w:themeFillTint="33"/>
            <w:vAlign w:val="center"/>
          </w:tcPr>
          <w:p w14:paraId="1F0517C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23.4</w:t>
            </w:r>
          </w:p>
        </w:tc>
      </w:tr>
      <w:tr w:rsidR="00961617" w:rsidRPr="00545C7F" w14:paraId="7697C358" w14:textId="77777777" w:rsidTr="00EE47DD">
        <w:trPr>
          <w:trHeight w:hRule="exact" w:val="397"/>
        </w:trPr>
        <w:tc>
          <w:tcPr>
            <w:tcW w:w="7196" w:type="dxa"/>
            <w:vAlign w:val="center"/>
          </w:tcPr>
          <w:p w14:paraId="0A1373C4" w14:textId="77777777" w:rsidR="00961617" w:rsidRPr="00545C7F" w:rsidRDefault="00961617" w:rsidP="0020771F">
            <w:pPr>
              <w:pStyle w:val="Tablefirstcolumn"/>
              <w:rPr>
                <w:rFonts w:cstheme="minorHAnsi"/>
              </w:rPr>
            </w:pPr>
            <w:r w:rsidRPr="00545C7F">
              <w:rPr>
                <w:rFonts w:cstheme="minorHAnsi"/>
              </w:rPr>
              <w:t>Long-term capacity to participate in the labour force: Partial capacity</w:t>
            </w:r>
          </w:p>
        </w:tc>
        <w:tc>
          <w:tcPr>
            <w:tcW w:w="1276" w:type="dxa"/>
            <w:vAlign w:val="center"/>
          </w:tcPr>
          <w:p w14:paraId="274CE3B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4.7</w:t>
            </w:r>
          </w:p>
        </w:tc>
        <w:tc>
          <w:tcPr>
            <w:tcW w:w="1559" w:type="dxa"/>
            <w:vAlign w:val="center"/>
          </w:tcPr>
          <w:p w14:paraId="4BC8E88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27.0</w:t>
            </w:r>
          </w:p>
        </w:tc>
        <w:tc>
          <w:tcPr>
            <w:tcW w:w="1417" w:type="dxa"/>
            <w:vAlign w:val="center"/>
          </w:tcPr>
          <w:p w14:paraId="758E59D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31.7</w:t>
            </w:r>
          </w:p>
        </w:tc>
        <w:tc>
          <w:tcPr>
            <w:tcW w:w="1277" w:type="dxa"/>
            <w:vAlign w:val="center"/>
          </w:tcPr>
          <w:p w14:paraId="7119672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22.8</w:t>
            </w:r>
          </w:p>
        </w:tc>
      </w:tr>
      <w:tr w:rsidR="00961617" w:rsidRPr="00545C7F" w14:paraId="35B6C28B" w14:textId="77777777" w:rsidTr="00EE47DD">
        <w:trPr>
          <w:trHeight w:hRule="exact" w:val="397"/>
        </w:trPr>
        <w:tc>
          <w:tcPr>
            <w:tcW w:w="7196" w:type="dxa"/>
            <w:shd w:val="clear" w:color="auto" w:fill="E5E5E5" w:themeFill="background1" w:themeFillTint="33"/>
            <w:vAlign w:val="center"/>
          </w:tcPr>
          <w:p w14:paraId="372E085F" w14:textId="77777777" w:rsidR="00961617" w:rsidRPr="00545C7F" w:rsidRDefault="00961617" w:rsidP="0020771F">
            <w:pPr>
              <w:pStyle w:val="Tablefirstcolumn"/>
              <w:rPr>
                <w:rFonts w:cstheme="minorHAnsi"/>
              </w:rPr>
            </w:pPr>
            <w:r w:rsidRPr="00545C7F">
              <w:rPr>
                <w:rFonts w:cstheme="minorHAnsi"/>
              </w:rPr>
              <w:t>Long-term capacity to participate in the labour force: Not partial capacity</w:t>
            </w:r>
          </w:p>
        </w:tc>
        <w:tc>
          <w:tcPr>
            <w:tcW w:w="1276" w:type="dxa"/>
            <w:shd w:val="clear" w:color="auto" w:fill="E5E5E5" w:themeFill="background1" w:themeFillTint="33"/>
            <w:vAlign w:val="center"/>
          </w:tcPr>
          <w:p w14:paraId="7C03F2A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14.3</w:t>
            </w:r>
          </w:p>
        </w:tc>
        <w:tc>
          <w:tcPr>
            <w:tcW w:w="1559" w:type="dxa"/>
            <w:shd w:val="clear" w:color="auto" w:fill="E5E5E5" w:themeFill="background1" w:themeFillTint="33"/>
            <w:vAlign w:val="center"/>
          </w:tcPr>
          <w:p w14:paraId="3E81288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25.0</w:t>
            </w:r>
          </w:p>
        </w:tc>
        <w:tc>
          <w:tcPr>
            <w:tcW w:w="1417" w:type="dxa"/>
            <w:shd w:val="clear" w:color="auto" w:fill="E5E5E5" w:themeFill="background1" w:themeFillTint="33"/>
            <w:vAlign w:val="center"/>
          </w:tcPr>
          <w:p w14:paraId="7BFD2CB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39.3</w:t>
            </w:r>
          </w:p>
        </w:tc>
        <w:tc>
          <w:tcPr>
            <w:tcW w:w="1277" w:type="dxa"/>
            <w:shd w:val="clear" w:color="auto" w:fill="E5E5E5" w:themeFill="background1" w:themeFillTint="33"/>
            <w:vAlign w:val="center"/>
          </w:tcPr>
          <w:p w14:paraId="3AAA637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23.5</w:t>
            </w:r>
          </w:p>
        </w:tc>
      </w:tr>
      <w:tr w:rsidR="00961617" w:rsidRPr="00545C7F" w14:paraId="23BF1AB3" w14:textId="77777777" w:rsidTr="00EE47DD">
        <w:trPr>
          <w:trHeight w:hRule="exact" w:val="397"/>
        </w:trPr>
        <w:tc>
          <w:tcPr>
            <w:tcW w:w="7196" w:type="dxa"/>
            <w:vAlign w:val="center"/>
          </w:tcPr>
          <w:p w14:paraId="3F522111" w14:textId="77777777" w:rsidR="00961617" w:rsidRPr="00545C7F" w:rsidRDefault="00961617" w:rsidP="0020771F">
            <w:pPr>
              <w:pStyle w:val="Tablefirstcolumn"/>
              <w:rPr>
                <w:rFonts w:cstheme="minorHAnsi"/>
              </w:rPr>
            </w:pPr>
            <w:r w:rsidRPr="00545C7F">
              <w:rPr>
                <w:rFonts w:cstheme="minorHAnsi"/>
              </w:rPr>
              <w:t>Gender and age group: Males aged &lt; 25 years</w:t>
            </w:r>
          </w:p>
        </w:tc>
        <w:tc>
          <w:tcPr>
            <w:tcW w:w="1276" w:type="dxa"/>
            <w:vAlign w:val="center"/>
          </w:tcPr>
          <w:p w14:paraId="4CCB697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22.0</w:t>
            </w:r>
          </w:p>
        </w:tc>
        <w:tc>
          <w:tcPr>
            <w:tcW w:w="1559" w:type="dxa"/>
            <w:vAlign w:val="center"/>
          </w:tcPr>
          <w:p w14:paraId="3299970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18.3</w:t>
            </w:r>
          </w:p>
        </w:tc>
        <w:tc>
          <w:tcPr>
            <w:tcW w:w="1417" w:type="dxa"/>
            <w:vAlign w:val="center"/>
          </w:tcPr>
          <w:p w14:paraId="4942D19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40.3</w:t>
            </w:r>
          </w:p>
        </w:tc>
        <w:tc>
          <w:tcPr>
            <w:tcW w:w="1277" w:type="dxa"/>
            <w:vAlign w:val="center"/>
          </w:tcPr>
          <w:p w14:paraId="23703C1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38.7</w:t>
            </w:r>
          </w:p>
        </w:tc>
      </w:tr>
      <w:tr w:rsidR="00961617" w:rsidRPr="00545C7F" w14:paraId="3FF7EA49" w14:textId="77777777" w:rsidTr="00EE47DD">
        <w:trPr>
          <w:trHeight w:hRule="exact" w:val="397"/>
        </w:trPr>
        <w:tc>
          <w:tcPr>
            <w:tcW w:w="7196" w:type="dxa"/>
            <w:shd w:val="clear" w:color="auto" w:fill="E5E5E5" w:themeFill="background1" w:themeFillTint="33"/>
            <w:vAlign w:val="center"/>
          </w:tcPr>
          <w:p w14:paraId="757009A9" w14:textId="77777777" w:rsidR="00961617" w:rsidRPr="00545C7F" w:rsidRDefault="00961617" w:rsidP="0020771F">
            <w:pPr>
              <w:pStyle w:val="Tablefirstcolumn"/>
              <w:rPr>
                <w:rFonts w:cstheme="minorHAnsi"/>
              </w:rPr>
            </w:pPr>
            <w:r w:rsidRPr="00545C7F">
              <w:rPr>
                <w:rFonts w:cstheme="minorHAnsi"/>
              </w:rPr>
              <w:t>Gender and age group: Males aged 25-49 years</w:t>
            </w:r>
          </w:p>
        </w:tc>
        <w:tc>
          <w:tcPr>
            <w:tcW w:w="1276" w:type="dxa"/>
            <w:shd w:val="clear" w:color="auto" w:fill="E5E5E5" w:themeFill="background1" w:themeFillTint="33"/>
            <w:vAlign w:val="center"/>
          </w:tcPr>
          <w:p w14:paraId="662F80E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16.6</w:t>
            </w:r>
          </w:p>
        </w:tc>
        <w:tc>
          <w:tcPr>
            <w:tcW w:w="1559" w:type="dxa"/>
            <w:shd w:val="clear" w:color="auto" w:fill="E5E5E5" w:themeFill="background1" w:themeFillTint="33"/>
            <w:vAlign w:val="center"/>
          </w:tcPr>
          <w:p w14:paraId="4771A03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18.4</w:t>
            </w:r>
          </w:p>
        </w:tc>
        <w:tc>
          <w:tcPr>
            <w:tcW w:w="1417" w:type="dxa"/>
            <w:shd w:val="clear" w:color="auto" w:fill="E5E5E5" w:themeFill="background1" w:themeFillTint="33"/>
            <w:vAlign w:val="center"/>
          </w:tcPr>
          <w:p w14:paraId="6D1B7C6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35.0</w:t>
            </w:r>
          </w:p>
        </w:tc>
        <w:tc>
          <w:tcPr>
            <w:tcW w:w="1277" w:type="dxa"/>
            <w:shd w:val="clear" w:color="auto" w:fill="E5E5E5" w:themeFill="background1" w:themeFillTint="33"/>
            <w:vAlign w:val="center"/>
          </w:tcPr>
          <w:p w14:paraId="5281286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21.5</w:t>
            </w:r>
          </w:p>
        </w:tc>
      </w:tr>
      <w:tr w:rsidR="00961617" w:rsidRPr="00545C7F" w14:paraId="2968CB48" w14:textId="77777777" w:rsidTr="00EE47DD">
        <w:trPr>
          <w:trHeight w:hRule="exact" w:val="397"/>
        </w:trPr>
        <w:tc>
          <w:tcPr>
            <w:tcW w:w="7196" w:type="dxa"/>
            <w:vAlign w:val="center"/>
          </w:tcPr>
          <w:p w14:paraId="24E3B775" w14:textId="77777777" w:rsidR="00961617" w:rsidRPr="00545C7F" w:rsidRDefault="00961617" w:rsidP="0020771F">
            <w:pPr>
              <w:pStyle w:val="Tablefirstcolumn"/>
              <w:rPr>
                <w:rFonts w:cstheme="minorHAnsi"/>
              </w:rPr>
            </w:pPr>
            <w:r w:rsidRPr="00545C7F">
              <w:rPr>
                <w:rFonts w:cstheme="minorHAnsi"/>
              </w:rPr>
              <w:t>Gender and age group: Males ages 50+ years</w:t>
            </w:r>
          </w:p>
        </w:tc>
        <w:tc>
          <w:tcPr>
            <w:tcW w:w="1276" w:type="dxa"/>
            <w:vAlign w:val="center"/>
          </w:tcPr>
          <w:p w14:paraId="4F01BB2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4.5</w:t>
            </w:r>
          </w:p>
        </w:tc>
        <w:tc>
          <w:tcPr>
            <w:tcW w:w="1559" w:type="dxa"/>
            <w:vAlign w:val="center"/>
          </w:tcPr>
          <w:p w14:paraId="1076859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17.5</w:t>
            </w:r>
          </w:p>
        </w:tc>
        <w:tc>
          <w:tcPr>
            <w:tcW w:w="1417" w:type="dxa"/>
            <w:vAlign w:val="center"/>
          </w:tcPr>
          <w:p w14:paraId="2DF0B0D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22.0</w:t>
            </w:r>
          </w:p>
        </w:tc>
        <w:tc>
          <w:tcPr>
            <w:tcW w:w="1277" w:type="dxa"/>
            <w:vAlign w:val="center"/>
          </w:tcPr>
          <w:p w14:paraId="05BC71D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7.4</w:t>
            </w:r>
          </w:p>
        </w:tc>
      </w:tr>
      <w:tr w:rsidR="00961617" w:rsidRPr="00545C7F" w14:paraId="0A4DF101" w14:textId="77777777" w:rsidTr="00EE47DD">
        <w:trPr>
          <w:trHeight w:hRule="exact" w:val="397"/>
        </w:trPr>
        <w:tc>
          <w:tcPr>
            <w:tcW w:w="7196" w:type="dxa"/>
            <w:shd w:val="clear" w:color="auto" w:fill="E5E5E5" w:themeFill="background1" w:themeFillTint="33"/>
            <w:vAlign w:val="center"/>
          </w:tcPr>
          <w:p w14:paraId="344B5223" w14:textId="77777777" w:rsidR="00961617" w:rsidRPr="00545C7F" w:rsidRDefault="00961617" w:rsidP="0020771F">
            <w:pPr>
              <w:pStyle w:val="Tablefirstcolumn"/>
              <w:rPr>
                <w:rFonts w:cstheme="minorHAnsi"/>
              </w:rPr>
            </w:pPr>
            <w:r w:rsidRPr="00545C7F">
              <w:rPr>
                <w:rFonts w:cstheme="minorHAnsi"/>
              </w:rPr>
              <w:t>Gender and age group: Females aged &lt; 25 years</w:t>
            </w:r>
          </w:p>
        </w:tc>
        <w:tc>
          <w:tcPr>
            <w:tcW w:w="1276" w:type="dxa"/>
            <w:shd w:val="clear" w:color="auto" w:fill="E5E5E5" w:themeFill="background1" w:themeFillTint="33"/>
            <w:vAlign w:val="center"/>
          </w:tcPr>
          <w:p w14:paraId="489ADF6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11.9</w:t>
            </w:r>
          </w:p>
        </w:tc>
        <w:tc>
          <w:tcPr>
            <w:tcW w:w="1559" w:type="dxa"/>
            <w:shd w:val="clear" w:color="auto" w:fill="E5E5E5" w:themeFill="background1" w:themeFillTint="33"/>
            <w:vAlign w:val="center"/>
          </w:tcPr>
          <w:p w14:paraId="787978B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20.3</w:t>
            </w:r>
          </w:p>
        </w:tc>
        <w:tc>
          <w:tcPr>
            <w:tcW w:w="1417" w:type="dxa"/>
            <w:shd w:val="clear" w:color="auto" w:fill="E5E5E5" w:themeFill="background1" w:themeFillTint="33"/>
            <w:vAlign w:val="center"/>
          </w:tcPr>
          <w:p w14:paraId="6717E4F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32.2</w:t>
            </w:r>
          </w:p>
        </w:tc>
        <w:tc>
          <w:tcPr>
            <w:tcW w:w="1277" w:type="dxa"/>
            <w:shd w:val="clear" w:color="auto" w:fill="E5E5E5" w:themeFill="background1" w:themeFillTint="33"/>
            <w:vAlign w:val="center"/>
          </w:tcPr>
          <w:p w14:paraId="1AB76FE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26.0</w:t>
            </w:r>
          </w:p>
        </w:tc>
      </w:tr>
      <w:tr w:rsidR="00961617" w:rsidRPr="00545C7F" w14:paraId="0C2A13BF" w14:textId="77777777" w:rsidTr="00EE47DD">
        <w:trPr>
          <w:trHeight w:hRule="exact" w:val="397"/>
        </w:trPr>
        <w:tc>
          <w:tcPr>
            <w:tcW w:w="7196" w:type="dxa"/>
            <w:vAlign w:val="center"/>
          </w:tcPr>
          <w:p w14:paraId="6B236A49" w14:textId="77777777" w:rsidR="00961617" w:rsidRPr="00545C7F" w:rsidRDefault="00961617" w:rsidP="0020771F">
            <w:pPr>
              <w:pStyle w:val="Tablefirstcolumn"/>
              <w:rPr>
                <w:rFonts w:cstheme="minorHAnsi"/>
              </w:rPr>
            </w:pPr>
            <w:r w:rsidRPr="00545C7F">
              <w:rPr>
                <w:rFonts w:cstheme="minorHAnsi"/>
              </w:rPr>
              <w:t>Gender and age group: Females aged 25-49 years</w:t>
            </w:r>
          </w:p>
        </w:tc>
        <w:tc>
          <w:tcPr>
            <w:tcW w:w="1276" w:type="dxa"/>
            <w:vAlign w:val="center"/>
          </w:tcPr>
          <w:p w14:paraId="48B151D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7.0</w:t>
            </w:r>
          </w:p>
        </w:tc>
        <w:tc>
          <w:tcPr>
            <w:tcW w:w="1559" w:type="dxa"/>
            <w:vAlign w:val="center"/>
          </w:tcPr>
          <w:p w14:paraId="559D0DA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38.3</w:t>
            </w:r>
          </w:p>
        </w:tc>
        <w:tc>
          <w:tcPr>
            <w:tcW w:w="1417" w:type="dxa"/>
            <w:vAlign w:val="center"/>
          </w:tcPr>
          <w:p w14:paraId="05219F2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45.3</w:t>
            </w:r>
          </w:p>
        </w:tc>
        <w:tc>
          <w:tcPr>
            <w:tcW w:w="1277" w:type="dxa"/>
            <w:vAlign w:val="center"/>
          </w:tcPr>
          <w:p w14:paraId="75E2783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29.7</w:t>
            </w:r>
          </w:p>
        </w:tc>
      </w:tr>
      <w:tr w:rsidR="00961617" w:rsidRPr="00545C7F" w14:paraId="411B5205" w14:textId="77777777" w:rsidTr="00EE47DD">
        <w:trPr>
          <w:trHeight w:hRule="exact" w:val="397"/>
        </w:trPr>
        <w:tc>
          <w:tcPr>
            <w:tcW w:w="7196" w:type="dxa"/>
            <w:shd w:val="clear" w:color="auto" w:fill="E5E5E5" w:themeFill="background1" w:themeFillTint="33"/>
            <w:vAlign w:val="center"/>
          </w:tcPr>
          <w:p w14:paraId="45444A59" w14:textId="77777777" w:rsidR="00961617" w:rsidRPr="00545C7F" w:rsidRDefault="00961617" w:rsidP="0020771F">
            <w:pPr>
              <w:pStyle w:val="Tablefirstcolumn"/>
              <w:rPr>
                <w:rFonts w:cstheme="minorHAnsi"/>
              </w:rPr>
            </w:pPr>
            <w:r w:rsidRPr="00545C7F">
              <w:rPr>
                <w:rFonts w:cstheme="minorHAnsi"/>
              </w:rPr>
              <w:t>Gender and age group: Females aged 50+ years</w:t>
            </w:r>
          </w:p>
        </w:tc>
        <w:tc>
          <w:tcPr>
            <w:tcW w:w="1276" w:type="dxa"/>
            <w:shd w:val="clear" w:color="auto" w:fill="E5E5E5" w:themeFill="background1" w:themeFillTint="33"/>
            <w:vAlign w:val="center"/>
          </w:tcPr>
          <w:p w14:paraId="67E5088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5.6</w:t>
            </w:r>
          </w:p>
        </w:tc>
        <w:tc>
          <w:tcPr>
            <w:tcW w:w="1559" w:type="dxa"/>
            <w:shd w:val="clear" w:color="auto" w:fill="E5E5E5" w:themeFill="background1" w:themeFillTint="33"/>
            <w:vAlign w:val="center"/>
          </w:tcPr>
          <w:p w14:paraId="5884245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27.9</w:t>
            </w:r>
          </w:p>
        </w:tc>
        <w:tc>
          <w:tcPr>
            <w:tcW w:w="1417" w:type="dxa"/>
            <w:shd w:val="clear" w:color="auto" w:fill="E5E5E5" w:themeFill="background1" w:themeFillTint="33"/>
            <w:vAlign w:val="center"/>
          </w:tcPr>
          <w:p w14:paraId="6072F18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33.5</w:t>
            </w:r>
          </w:p>
        </w:tc>
        <w:tc>
          <w:tcPr>
            <w:tcW w:w="1277" w:type="dxa"/>
            <w:shd w:val="clear" w:color="auto" w:fill="E5E5E5" w:themeFill="background1" w:themeFillTint="33"/>
            <w:vAlign w:val="center"/>
          </w:tcPr>
          <w:p w14:paraId="34A88C4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21.0</w:t>
            </w:r>
          </w:p>
        </w:tc>
      </w:tr>
      <w:tr w:rsidR="00961617" w:rsidRPr="00545C7F" w14:paraId="555E1321" w14:textId="77777777" w:rsidTr="00EE47DD">
        <w:trPr>
          <w:trHeight w:hRule="exact" w:val="397"/>
        </w:trPr>
        <w:tc>
          <w:tcPr>
            <w:tcW w:w="7196" w:type="dxa"/>
            <w:vAlign w:val="center"/>
          </w:tcPr>
          <w:p w14:paraId="502660CF" w14:textId="77777777" w:rsidR="00961617" w:rsidRPr="00545C7F" w:rsidRDefault="00961617" w:rsidP="0020771F">
            <w:pPr>
              <w:pStyle w:val="Tablefirstcolumn"/>
              <w:rPr>
                <w:rFonts w:cstheme="minorHAnsi"/>
              </w:rPr>
            </w:pPr>
            <w:r w:rsidRPr="00545C7F">
              <w:rPr>
                <w:rFonts w:cstheme="minorHAnsi"/>
              </w:rPr>
              <w:t>Length of unemployment: 1 to less than 2 years</w:t>
            </w:r>
          </w:p>
        </w:tc>
        <w:tc>
          <w:tcPr>
            <w:tcW w:w="1276" w:type="dxa"/>
            <w:vAlign w:val="center"/>
          </w:tcPr>
          <w:p w14:paraId="6B5CBA9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15.3</w:t>
            </w:r>
          </w:p>
        </w:tc>
        <w:tc>
          <w:tcPr>
            <w:tcW w:w="1559" w:type="dxa"/>
            <w:vAlign w:val="center"/>
          </w:tcPr>
          <w:p w14:paraId="5F701BE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22.4</w:t>
            </w:r>
          </w:p>
        </w:tc>
        <w:tc>
          <w:tcPr>
            <w:tcW w:w="1417" w:type="dxa"/>
            <w:vAlign w:val="center"/>
          </w:tcPr>
          <w:p w14:paraId="6AEC864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37.7</w:t>
            </w:r>
          </w:p>
        </w:tc>
        <w:tc>
          <w:tcPr>
            <w:tcW w:w="1277" w:type="dxa"/>
            <w:vAlign w:val="center"/>
          </w:tcPr>
          <w:p w14:paraId="0EE72AB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29.2</w:t>
            </w:r>
          </w:p>
        </w:tc>
      </w:tr>
      <w:tr w:rsidR="00961617" w:rsidRPr="00545C7F" w14:paraId="08A506B0" w14:textId="77777777" w:rsidTr="00EE47DD">
        <w:trPr>
          <w:trHeight w:hRule="exact" w:val="397"/>
        </w:trPr>
        <w:tc>
          <w:tcPr>
            <w:tcW w:w="7196" w:type="dxa"/>
            <w:shd w:val="clear" w:color="auto" w:fill="E5E5E5" w:themeFill="background1" w:themeFillTint="33"/>
            <w:vAlign w:val="center"/>
          </w:tcPr>
          <w:p w14:paraId="1510CDBB" w14:textId="77777777" w:rsidR="00961617" w:rsidRPr="00545C7F" w:rsidRDefault="00961617" w:rsidP="0020771F">
            <w:pPr>
              <w:pStyle w:val="Tablefirstcolumn"/>
              <w:rPr>
                <w:rFonts w:cstheme="minorHAnsi"/>
              </w:rPr>
            </w:pPr>
            <w:r w:rsidRPr="00545C7F">
              <w:rPr>
                <w:rFonts w:cstheme="minorHAnsi"/>
              </w:rPr>
              <w:t>Length of unemployment: 2 to less than 5 years</w:t>
            </w:r>
          </w:p>
        </w:tc>
        <w:tc>
          <w:tcPr>
            <w:tcW w:w="1276" w:type="dxa"/>
            <w:shd w:val="clear" w:color="auto" w:fill="E5E5E5" w:themeFill="background1" w:themeFillTint="33"/>
            <w:vAlign w:val="center"/>
          </w:tcPr>
          <w:p w14:paraId="40B1324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11.3</w:t>
            </w:r>
          </w:p>
        </w:tc>
        <w:tc>
          <w:tcPr>
            <w:tcW w:w="1559" w:type="dxa"/>
            <w:shd w:val="clear" w:color="auto" w:fill="E5E5E5" w:themeFill="background1" w:themeFillTint="33"/>
            <w:vAlign w:val="center"/>
          </w:tcPr>
          <w:p w14:paraId="68E1F81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26.7</w:t>
            </w:r>
          </w:p>
        </w:tc>
        <w:tc>
          <w:tcPr>
            <w:tcW w:w="1417" w:type="dxa"/>
            <w:shd w:val="clear" w:color="auto" w:fill="E5E5E5" w:themeFill="background1" w:themeFillTint="33"/>
            <w:vAlign w:val="center"/>
          </w:tcPr>
          <w:p w14:paraId="3FF6D28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38.0</w:t>
            </w:r>
          </w:p>
        </w:tc>
        <w:tc>
          <w:tcPr>
            <w:tcW w:w="1277" w:type="dxa"/>
            <w:shd w:val="clear" w:color="auto" w:fill="E5E5E5" w:themeFill="background1" w:themeFillTint="33"/>
            <w:vAlign w:val="center"/>
          </w:tcPr>
          <w:p w14:paraId="7AF79F3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17.8</w:t>
            </w:r>
          </w:p>
        </w:tc>
      </w:tr>
      <w:tr w:rsidR="00961617" w:rsidRPr="00545C7F" w14:paraId="0F8233CD" w14:textId="77777777" w:rsidTr="00EE47DD">
        <w:trPr>
          <w:trHeight w:hRule="exact" w:val="397"/>
        </w:trPr>
        <w:tc>
          <w:tcPr>
            <w:tcW w:w="7196" w:type="dxa"/>
            <w:vAlign w:val="center"/>
          </w:tcPr>
          <w:p w14:paraId="3DFE3679" w14:textId="77777777" w:rsidR="00961617" w:rsidRPr="00545C7F" w:rsidRDefault="00961617" w:rsidP="0020771F">
            <w:pPr>
              <w:pStyle w:val="Tablefirstcolumn"/>
              <w:rPr>
                <w:rFonts w:cstheme="minorHAnsi"/>
              </w:rPr>
            </w:pPr>
            <w:r w:rsidRPr="00545C7F">
              <w:rPr>
                <w:rFonts w:cstheme="minorHAnsi"/>
              </w:rPr>
              <w:t>Length of unemployment: 5 years or more</w:t>
            </w:r>
          </w:p>
        </w:tc>
        <w:tc>
          <w:tcPr>
            <w:tcW w:w="1276" w:type="dxa"/>
            <w:vAlign w:val="center"/>
          </w:tcPr>
          <w:p w14:paraId="5C7CA40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3.7</w:t>
            </w:r>
          </w:p>
        </w:tc>
        <w:tc>
          <w:tcPr>
            <w:tcW w:w="1559" w:type="dxa"/>
            <w:vAlign w:val="center"/>
          </w:tcPr>
          <w:p w14:paraId="34AEC71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27.1</w:t>
            </w:r>
          </w:p>
        </w:tc>
        <w:tc>
          <w:tcPr>
            <w:tcW w:w="1417" w:type="dxa"/>
            <w:vAlign w:val="center"/>
          </w:tcPr>
          <w:p w14:paraId="3017951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30.8</w:t>
            </w:r>
          </w:p>
        </w:tc>
        <w:tc>
          <w:tcPr>
            <w:tcW w:w="1277" w:type="dxa"/>
            <w:vAlign w:val="center"/>
          </w:tcPr>
          <w:p w14:paraId="13BE885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24.6</w:t>
            </w:r>
          </w:p>
        </w:tc>
      </w:tr>
      <w:tr w:rsidR="00961617" w:rsidRPr="00545C7F" w14:paraId="3155A56D" w14:textId="77777777" w:rsidTr="00EE47DD">
        <w:trPr>
          <w:trHeight w:hRule="exact" w:val="397"/>
        </w:trPr>
        <w:tc>
          <w:tcPr>
            <w:tcW w:w="7196" w:type="dxa"/>
            <w:shd w:val="clear" w:color="auto" w:fill="E5E5E5" w:themeFill="background1" w:themeFillTint="33"/>
            <w:vAlign w:val="center"/>
          </w:tcPr>
          <w:p w14:paraId="1109F50D" w14:textId="77777777" w:rsidR="00961617" w:rsidRPr="00545C7F" w:rsidRDefault="00961617" w:rsidP="0020771F">
            <w:pPr>
              <w:pStyle w:val="Tablefirstcolumn"/>
              <w:rPr>
                <w:rFonts w:cstheme="minorHAnsi"/>
              </w:rPr>
            </w:pPr>
            <w:r w:rsidRPr="00545C7F">
              <w:rPr>
                <w:rFonts w:cstheme="minorHAnsi"/>
              </w:rPr>
              <w:t>Income support type: NSA/YA(O)</w:t>
            </w:r>
          </w:p>
        </w:tc>
        <w:tc>
          <w:tcPr>
            <w:tcW w:w="1276" w:type="dxa"/>
            <w:shd w:val="clear" w:color="auto" w:fill="E5E5E5" w:themeFill="background1" w:themeFillTint="33"/>
            <w:vAlign w:val="center"/>
          </w:tcPr>
          <w:p w14:paraId="460AA25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10.8</w:t>
            </w:r>
          </w:p>
        </w:tc>
        <w:tc>
          <w:tcPr>
            <w:tcW w:w="1559" w:type="dxa"/>
            <w:shd w:val="clear" w:color="auto" w:fill="E5E5E5" w:themeFill="background1" w:themeFillTint="33"/>
            <w:vAlign w:val="center"/>
          </w:tcPr>
          <w:p w14:paraId="2102499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24.8</w:t>
            </w:r>
          </w:p>
        </w:tc>
        <w:tc>
          <w:tcPr>
            <w:tcW w:w="1417" w:type="dxa"/>
            <w:shd w:val="clear" w:color="auto" w:fill="E5E5E5" w:themeFill="background1" w:themeFillTint="33"/>
            <w:vAlign w:val="center"/>
          </w:tcPr>
          <w:p w14:paraId="6FCE980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35.6</w:t>
            </w:r>
          </w:p>
        </w:tc>
        <w:tc>
          <w:tcPr>
            <w:tcW w:w="1277" w:type="dxa"/>
            <w:shd w:val="clear" w:color="auto" w:fill="E5E5E5" w:themeFill="background1" w:themeFillTint="33"/>
            <w:vAlign w:val="center"/>
          </w:tcPr>
          <w:p w14:paraId="63AAFA6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23.0</w:t>
            </w:r>
          </w:p>
        </w:tc>
      </w:tr>
      <w:tr w:rsidR="00961617" w:rsidRPr="00545C7F" w14:paraId="760A6E82" w14:textId="77777777" w:rsidTr="00EE47DD">
        <w:trPr>
          <w:trHeight w:hRule="exact" w:val="397"/>
        </w:trPr>
        <w:tc>
          <w:tcPr>
            <w:tcW w:w="7196" w:type="dxa"/>
            <w:vAlign w:val="center"/>
          </w:tcPr>
          <w:p w14:paraId="3DB8162C" w14:textId="77777777" w:rsidR="00961617" w:rsidRPr="00545C7F" w:rsidRDefault="00961617" w:rsidP="0020771F">
            <w:pPr>
              <w:pStyle w:val="Tablefirstcolumn"/>
              <w:rPr>
                <w:rFonts w:cstheme="minorHAnsi"/>
              </w:rPr>
            </w:pPr>
            <w:r w:rsidRPr="00545C7F">
              <w:rPr>
                <w:rFonts w:cstheme="minorHAnsi"/>
              </w:rPr>
              <w:t>Income support type: PPP/PPS</w:t>
            </w:r>
          </w:p>
        </w:tc>
        <w:tc>
          <w:tcPr>
            <w:tcW w:w="1276" w:type="dxa"/>
            <w:vAlign w:val="center"/>
          </w:tcPr>
          <w:p w14:paraId="5A376C1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n.a.</w:t>
            </w:r>
          </w:p>
        </w:tc>
        <w:tc>
          <w:tcPr>
            <w:tcW w:w="1559" w:type="dxa"/>
            <w:vAlign w:val="center"/>
          </w:tcPr>
          <w:p w14:paraId="1B3A09C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n.a.</w:t>
            </w:r>
          </w:p>
        </w:tc>
        <w:tc>
          <w:tcPr>
            <w:tcW w:w="1417" w:type="dxa"/>
            <w:vAlign w:val="center"/>
          </w:tcPr>
          <w:p w14:paraId="1C96720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24.1</w:t>
            </w:r>
          </w:p>
        </w:tc>
        <w:tc>
          <w:tcPr>
            <w:tcW w:w="1277" w:type="dxa"/>
            <w:vAlign w:val="center"/>
          </w:tcPr>
          <w:p w14:paraId="52A0989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29.0</w:t>
            </w:r>
          </w:p>
        </w:tc>
      </w:tr>
      <w:tr w:rsidR="00961617" w:rsidRPr="00545C7F" w14:paraId="0EC60F13" w14:textId="77777777" w:rsidTr="00EE47DD">
        <w:trPr>
          <w:trHeight w:hRule="exact" w:val="397"/>
        </w:trPr>
        <w:tc>
          <w:tcPr>
            <w:tcW w:w="7196" w:type="dxa"/>
            <w:shd w:val="clear" w:color="auto" w:fill="E5E5E5" w:themeFill="background1" w:themeFillTint="33"/>
            <w:vAlign w:val="center"/>
          </w:tcPr>
          <w:p w14:paraId="093E5E07" w14:textId="77777777" w:rsidR="00961617" w:rsidRPr="00545C7F" w:rsidRDefault="00961617" w:rsidP="0020771F">
            <w:pPr>
              <w:pStyle w:val="Tablefirstcolumn"/>
              <w:rPr>
                <w:rFonts w:cstheme="minorHAnsi"/>
              </w:rPr>
            </w:pPr>
            <w:r w:rsidRPr="00545C7F">
              <w:rPr>
                <w:rFonts w:cstheme="minorHAnsi"/>
              </w:rPr>
              <w:t>Income support type: Other income support type/not on income support</w:t>
            </w:r>
          </w:p>
        </w:tc>
        <w:tc>
          <w:tcPr>
            <w:tcW w:w="1276" w:type="dxa"/>
            <w:shd w:val="clear" w:color="auto" w:fill="E5E5E5" w:themeFill="background1" w:themeFillTint="33"/>
            <w:vAlign w:val="center"/>
          </w:tcPr>
          <w:p w14:paraId="38A9DC2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14.8</w:t>
            </w:r>
          </w:p>
        </w:tc>
        <w:tc>
          <w:tcPr>
            <w:tcW w:w="1559" w:type="dxa"/>
            <w:shd w:val="clear" w:color="auto" w:fill="E5E5E5" w:themeFill="background1" w:themeFillTint="33"/>
            <w:vAlign w:val="center"/>
          </w:tcPr>
          <w:p w14:paraId="676EB08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23.1</w:t>
            </w:r>
          </w:p>
        </w:tc>
        <w:tc>
          <w:tcPr>
            <w:tcW w:w="1417" w:type="dxa"/>
            <w:shd w:val="clear" w:color="auto" w:fill="E5E5E5" w:themeFill="background1" w:themeFillTint="33"/>
            <w:vAlign w:val="center"/>
          </w:tcPr>
          <w:p w14:paraId="1C783E3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37.9</w:t>
            </w:r>
          </w:p>
        </w:tc>
        <w:tc>
          <w:tcPr>
            <w:tcW w:w="1277" w:type="dxa"/>
            <w:shd w:val="clear" w:color="auto" w:fill="E5E5E5" w:themeFill="background1" w:themeFillTint="33"/>
            <w:vAlign w:val="center"/>
          </w:tcPr>
          <w:p w14:paraId="4BF846E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16.7</w:t>
            </w:r>
          </w:p>
        </w:tc>
      </w:tr>
      <w:tr w:rsidR="00961617" w:rsidRPr="00545C7F" w14:paraId="4F277D3A" w14:textId="77777777" w:rsidTr="00EE47DD">
        <w:trPr>
          <w:trHeight w:hRule="exact" w:val="397"/>
        </w:trPr>
        <w:tc>
          <w:tcPr>
            <w:tcW w:w="7196" w:type="dxa"/>
            <w:vAlign w:val="center"/>
          </w:tcPr>
          <w:p w14:paraId="5F3D13FB" w14:textId="77777777" w:rsidR="00961617" w:rsidRPr="00545C7F" w:rsidRDefault="00961617" w:rsidP="0020771F">
            <w:pPr>
              <w:pStyle w:val="Tablefirstcolumn"/>
              <w:rPr>
                <w:rFonts w:cstheme="minorHAnsi"/>
              </w:rPr>
            </w:pPr>
            <w:r w:rsidRPr="00545C7F">
              <w:rPr>
                <w:rFonts w:cstheme="minorHAnsi"/>
              </w:rPr>
              <w:t>Geographic location: Major Cities of Australia</w:t>
            </w:r>
          </w:p>
        </w:tc>
        <w:tc>
          <w:tcPr>
            <w:tcW w:w="1276" w:type="dxa"/>
            <w:vAlign w:val="center"/>
          </w:tcPr>
          <w:p w14:paraId="45347A5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11.3</w:t>
            </w:r>
          </w:p>
        </w:tc>
        <w:tc>
          <w:tcPr>
            <w:tcW w:w="1559" w:type="dxa"/>
            <w:vAlign w:val="center"/>
          </w:tcPr>
          <w:p w14:paraId="09466CF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26.3</w:t>
            </w:r>
          </w:p>
        </w:tc>
        <w:tc>
          <w:tcPr>
            <w:tcW w:w="1417" w:type="dxa"/>
            <w:vAlign w:val="center"/>
          </w:tcPr>
          <w:p w14:paraId="6DCF284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37.6</w:t>
            </w:r>
          </w:p>
        </w:tc>
        <w:tc>
          <w:tcPr>
            <w:tcW w:w="1277" w:type="dxa"/>
            <w:vAlign w:val="center"/>
          </w:tcPr>
          <w:p w14:paraId="3F482E5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23.9</w:t>
            </w:r>
          </w:p>
        </w:tc>
      </w:tr>
      <w:tr w:rsidR="00961617" w:rsidRPr="00545C7F" w14:paraId="69E879ED" w14:textId="77777777" w:rsidTr="00EE47DD">
        <w:trPr>
          <w:trHeight w:hRule="exact" w:val="397"/>
        </w:trPr>
        <w:tc>
          <w:tcPr>
            <w:tcW w:w="7196" w:type="dxa"/>
            <w:shd w:val="clear" w:color="auto" w:fill="E5E5E5" w:themeFill="background1" w:themeFillTint="33"/>
            <w:vAlign w:val="center"/>
          </w:tcPr>
          <w:p w14:paraId="38FBF2F0" w14:textId="77777777" w:rsidR="00961617" w:rsidRPr="00545C7F" w:rsidRDefault="00961617" w:rsidP="0020771F">
            <w:pPr>
              <w:pStyle w:val="Tablefirstcolumn"/>
              <w:rPr>
                <w:rFonts w:cstheme="minorHAnsi"/>
              </w:rPr>
            </w:pPr>
            <w:r w:rsidRPr="00545C7F">
              <w:rPr>
                <w:rFonts w:cstheme="minorHAnsi"/>
              </w:rPr>
              <w:t xml:space="preserve">Geographic location: Inner Regional </w:t>
            </w:r>
          </w:p>
        </w:tc>
        <w:tc>
          <w:tcPr>
            <w:tcW w:w="1276" w:type="dxa"/>
            <w:shd w:val="clear" w:color="auto" w:fill="E5E5E5" w:themeFill="background1" w:themeFillTint="33"/>
            <w:vAlign w:val="center"/>
          </w:tcPr>
          <w:p w14:paraId="34A3A50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11.7</w:t>
            </w:r>
          </w:p>
        </w:tc>
        <w:tc>
          <w:tcPr>
            <w:tcW w:w="1559" w:type="dxa"/>
            <w:shd w:val="clear" w:color="auto" w:fill="E5E5E5" w:themeFill="background1" w:themeFillTint="33"/>
            <w:vAlign w:val="center"/>
          </w:tcPr>
          <w:p w14:paraId="04FDB33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21.1</w:t>
            </w:r>
          </w:p>
        </w:tc>
        <w:tc>
          <w:tcPr>
            <w:tcW w:w="1417" w:type="dxa"/>
            <w:shd w:val="clear" w:color="auto" w:fill="E5E5E5" w:themeFill="background1" w:themeFillTint="33"/>
            <w:vAlign w:val="center"/>
          </w:tcPr>
          <w:p w14:paraId="13D1F48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32.8</w:t>
            </w:r>
          </w:p>
        </w:tc>
        <w:tc>
          <w:tcPr>
            <w:tcW w:w="1277" w:type="dxa"/>
            <w:shd w:val="clear" w:color="auto" w:fill="E5E5E5" w:themeFill="background1" w:themeFillTint="33"/>
            <w:vAlign w:val="center"/>
          </w:tcPr>
          <w:p w14:paraId="789E3F1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20.5</w:t>
            </w:r>
          </w:p>
        </w:tc>
      </w:tr>
      <w:tr w:rsidR="00961617" w:rsidRPr="00545C7F" w14:paraId="2EE8B0CF" w14:textId="77777777" w:rsidTr="00EE47DD">
        <w:trPr>
          <w:trHeight w:hRule="exact" w:val="397"/>
        </w:trPr>
        <w:tc>
          <w:tcPr>
            <w:tcW w:w="7196" w:type="dxa"/>
            <w:vAlign w:val="center"/>
          </w:tcPr>
          <w:p w14:paraId="169A6812" w14:textId="77777777" w:rsidR="00961617" w:rsidRPr="00545C7F" w:rsidRDefault="00961617" w:rsidP="0020771F">
            <w:pPr>
              <w:pStyle w:val="Tablefirstcolumn"/>
              <w:rPr>
                <w:rFonts w:cstheme="minorHAnsi"/>
              </w:rPr>
            </w:pPr>
            <w:r w:rsidRPr="00545C7F">
              <w:rPr>
                <w:rFonts w:cstheme="minorHAnsi"/>
              </w:rPr>
              <w:t>Geographic location: Other</w:t>
            </w:r>
          </w:p>
        </w:tc>
        <w:tc>
          <w:tcPr>
            <w:tcW w:w="1276" w:type="dxa"/>
            <w:vAlign w:val="center"/>
          </w:tcPr>
          <w:p w14:paraId="3C972E6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11.1</w:t>
            </w:r>
          </w:p>
        </w:tc>
        <w:tc>
          <w:tcPr>
            <w:tcW w:w="1559" w:type="dxa"/>
            <w:vAlign w:val="center"/>
          </w:tcPr>
          <w:p w14:paraId="0EDB807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21.0</w:t>
            </w:r>
          </w:p>
        </w:tc>
        <w:tc>
          <w:tcPr>
            <w:tcW w:w="1417" w:type="dxa"/>
            <w:vAlign w:val="center"/>
          </w:tcPr>
          <w:p w14:paraId="15DCB37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32.1</w:t>
            </w:r>
          </w:p>
        </w:tc>
        <w:tc>
          <w:tcPr>
            <w:tcW w:w="1277" w:type="dxa"/>
            <w:vAlign w:val="center"/>
          </w:tcPr>
          <w:p w14:paraId="4EDDD2B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23.4</w:t>
            </w:r>
          </w:p>
        </w:tc>
      </w:tr>
      <w:tr w:rsidR="00961617" w:rsidRPr="00545C7F" w14:paraId="17FA1D67" w14:textId="77777777" w:rsidTr="00EE47DD">
        <w:trPr>
          <w:trHeight w:hRule="exact" w:val="397"/>
        </w:trPr>
        <w:tc>
          <w:tcPr>
            <w:tcW w:w="7196" w:type="dxa"/>
            <w:shd w:val="clear" w:color="auto" w:fill="E5E5E5" w:themeFill="background1" w:themeFillTint="33"/>
            <w:vAlign w:val="center"/>
          </w:tcPr>
          <w:p w14:paraId="2FD3CD3E" w14:textId="77777777" w:rsidR="00961617" w:rsidRPr="00545C7F" w:rsidRDefault="00961617" w:rsidP="0020771F">
            <w:pPr>
              <w:pStyle w:val="Tablefirstcolumn"/>
              <w:rPr>
                <w:rFonts w:cstheme="minorHAnsi"/>
              </w:rPr>
            </w:pPr>
            <w:r w:rsidRPr="00545C7F">
              <w:rPr>
                <w:rFonts w:cstheme="minorHAnsi"/>
              </w:rPr>
              <w:t>Highest level of education: Less than Year 10</w:t>
            </w:r>
          </w:p>
        </w:tc>
        <w:tc>
          <w:tcPr>
            <w:tcW w:w="1276" w:type="dxa"/>
            <w:shd w:val="clear" w:color="auto" w:fill="E5E5E5" w:themeFill="background1" w:themeFillTint="33"/>
            <w:vAlign w:val="center"/>
          </w:tcPr>
          <w:p w14:paraId="6B75876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5.9</w:t>
            </w:r>
          </w:p>
        </w:tc>
        <w:tc>
          <w:tcPr>
            <w:tcW w:w="1559" w:type="dxa"/>
            <w:shd w:val="clear" w:color="auto" w:fill="E5E5E5" w:themeFill="background1" w:themeFillTint="33"/>
            <w:vAlign w:val="center"/>
          </w:tcPr>
          <w:p w14:paraId="16D8905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15.2</w:t>
            </w:r>
          </w:p>
        </w:tc>
        <w:tc>
          <w:tcPr>
            <w:tcW w:w="1417" w:type="dxa"/>
            <w:shd w:val="clear" w:color="auto" w:fill="E5E5E5" w:themeFill="background1" w:themeFillTint="33"/>
            <w:vAlign w:val="center"/>
          </w:tcPr>
          <w:p w14:paraId="0D26920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21.1</w:t>
            </w:r>
          </w:p>
        </w:tc>
        <w:tc>
          <w:tcPr>
            <w:tcW w:w="1277" w:type="dxa"/>
            <w:shd w:val="clear" w:color="auto" w:fill="E5E5E5" w:themeFill="background1" w:themeFillTint="33"/>
            <w:vAlign w:val="center"/>
          </w:tcPr>
          <w:p w14:paraId="1BBC0AE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28.0</w:t>
            </w:r>
          </w:p>
        </w:tc>
      </w:tr>
      <w:tr w:rsidR="00961617" w:rsidRPr="00545C7F" w14:paraId="3C5C742F" w14:textId="77777777" w:rsidTr="00EE47DD">
        <w:trPr>
          <w:trHeight w:hRule="exact" w:val="397"/>
        </w:trPr>
        <w:tc>
          <w:tcPr>
            <w:tcW w:w="7196" w:type="dxa"/>
            <w:vAlign w:val="center"/>
          </w:tcPr>
          <w:p w14:paraId="7146ACB7" w14:textId="77777777" w:rsidR="00961617" w:rsidRPr="00545C7F" w:rsidRDefault="00961617" w:rsidP="0020771F">
            <w:pPr>
              <w:pStyle w:val="Tablefirstcolumn"/>
              <w:rPr>
                <w:rFonts w:cstheme="minorHAnsi"/>
              </w:rPr>
            </w:pPr>
            <w:r w:rsidRPr="00545C7F">
              <w:rPr>
                <w:rFonts w:cstheme="minorHAnsi"/>
              </w:rPr>
              <w:t>Highest level of education: Year 10/11</w:t>
            </w:r>
          </w:p>
        </w:tc>
        <w:tc>
          <w:tcPr>
            <w:tcW w:w="1276" w:type="dxa"/>
            <w:vAlign w:val="center"/>
          </w:tcPr>
          <w:p w14:paraId="3F5CE07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11.8</w:t>
            </w:r>
          </w:p>
        </w:tc>
        <w:tc>
          <w:tcPr>
            <w:tcW w:w="1559" w:type="dxa"/>
            <w:vAlign w:val="center"/>
          </w:tcPr>
          <w:p w14:paraId="691B218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22.0</w:t>
            </w:r>
          </w:p>
        </w:tc>
        <w:tc>
          <w:tcPr>
            <w:tcW w:w="1417" w:type="dxa"/>
            <w:vAlign w:val="center"/>
          </w:tcPr>
          <w:p w14:paraId="50E2D12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33.8</w:t>
            </w:r>
          </w:p>
        </w:tc>
        <w:tc>
          <w:tcPr>
            <w:tcW w:w="1277" w:type="dxa"/>
            <w:vAlign w:val="center"/>
          </w:tcPr>
          <w:p w14:paraId="287F729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21.5</w:t>
            </w:r>
          </w:p>
        </w:tc>
      </w:tr>
      <w:tr w:rsidR="00961617" w:rsidRPr="00545C7F" w14:paraId="1750656B" w14:textId="77777777" w:rsidTr="00EE47DD">
        <w:trPr>
          <w:trHeight w:hRule="exact" w:val="397"/>
        </w:trPr>
        <w:tc>
          <w:tcPr>
            <w:tcW w:w="7196" w:type="dxa"/>
            <w:shd w:val="clear" w:color="auto" w:fill="E5E5E5" w:themeFill="background1" w:themeFillTint="33"/>
            <w:vAlign w:val="center"/>
          </w:tcPr>
          <w:p w14:paraId="41E1FAAD" w14:textId="77777777" w:rsidR="00961617" w:rsidRPr="00545C7F" w:rsidRDefault="00961617" w:rsidP="0020771F">
            <w:pPr>
              <w:pStyle w:val="Tablefirstcolumn"/>
              <w:rPr>
                <w:rFonts w:cstheme="minorHAnsi"/>
              </w:rPr>
            </w:pPr>
            <w:r w:rsidRPr="00545C7F">
              <w:rPr>
                <w:rFonts w:cstheme="minorHAnsi"/>
              </w:rPr>
              <w:t>Highest level of education: Year 12</w:t>
            </w:r>
          </w:p>
        </w:tc>
        <w:tc>
          <w:tcPr>
            <w:tcW w:w="1276" w:type="dxa"/>
            <w:shd w:val="clear" w:color="auto" w:fill="E5E5E5" w:themeFill="background1" w:themeFillTint="33"/>
            <w:vAlign w:val="center"/>
          </w:tcPr>
          <w:p w14:paraId="155AA34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8.4</w:t>
            </w:r>
          </w:p>
        </w:tc>
        <w:tc>
          <w:tcPr>
            <w:tcW w:w="1559" w:type="dxa"/>
            <w:shd w:val="clear" w:color="auto" w:fill="E5E5E5" w:themeFill="background1" w:themeFillTint="33"/>
            <w:vAlign w:val="center"/>
          </w:tcPr>
          <w:p w14:paraId="5135B76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27.7</w:t>
            </w:r>
          </w:p>
        </w:tc>
        <w:tc>
          <w:tcPr>
            <w:tcW w:w="1417" w:type="dxa"/>
            <w:shd w:val="clear" w:color="auto" w:fill="E5E5E5" w:themeFill="background1" w:themeFillTint="33"/>
            <w:vAlign w:val="center"/>
          </w:tcPr>
          <w:p w14:paraId="14C8B1A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36.1</w:t>
            </w:r>
          </w:p>
        </w:tc>
        <w:tc>
          <w:tcPr>
            <w:tcW w:w="1277" w:type="dxa"/>
            <w:shd w:val="clear" w:color="auto" w:fill="E5E5E5" w:themeFill="background1" w:themeFillTint="33"/>
            <w:vAlign w:val="center"/>
          </w:tcPr>
          <w:p w14:paraId="7253E3A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28.1</w:t>
            </w:r>
          </w:p>
        </w:tc>
      </w:tr>
      <w:tr w:rsidR="00961617" w:rsidRPr="00545C7F" w14:paraId="6BF6DD31" w14:textId="77777777" w:rsidTr="00EE47DD">
        <w:trPr>
          <w:trHeight w:hRule="exact" w:val="397"/>
        </w:trPr>
        <w:tc>
          <w:tcPr>
            <w:tcW w:w="7196" w:type="dxa"/>
            <w:vAlign w:val="center"/>
          </w:tcPr>
          <w:p w14:paraId="024F69C1" w14:textId="77777777" w:rsidR="00961617" w:rsidRPr="00545C7F" w:rsidRDefault="00961617" w:rsidP="0020771F">
            <w:pPr>
              <w:pStyle w:val="Tablefirstcolumn"/>
              <w:rPr>
                <w:rFonts w:cstheme="minorHAnsi"/>
              </w:rPr>
            </w:pPr>
            <w:r w:rsidRPr="00545C7F">
              <w:rPr>
                <w:rFonts w:cstheme="minorHAnsi"/>
              </w:rPr>
              <w:t>Highest level of education: TAFE/Diploma</w:t>
            </w:r>
          </w:p>
        </w:tc>
        <w:tc>
          <w:tcPr>
            <w:tcW w:w="1276" w:type="dxa"/>
            <w:vAlign w:val="center"/>
          </w:tcPr>
          <w:p w14:paraId="3B98C73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14.1</w:t>
            </w:r>
          </w:p>
        </w:tc>
        <w:tc>
          <w:tcPr>
            <w:tcW w:w="1559" w:type="dxa"/>
            <w:vAlign w:val="center"/>
          </w:tcPr>
          <w:p w14:paraId="6F1F420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29.6</w:t>
            </w:r>
          </w:p>
        </w:tc>
        <w:tc>
          <w:tcPr>
            <w:tcW w:w="1417" w:type="dxa"/>
            <w:vAlign w:val="center"/>
          </w:tcPr>
          <w:p w14:paraId="1D33F39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43.7</w:t>
            </w:r>
          </w:p>
        </w:tc>
        <w:tc>
          <w:tcPr>
            <w:tcW w:w="1277" w:type="dxa"/>
            <w:vAlign w:val="center"/>
          </w:tcPr>
          <w:p w14:paraId="6D157A0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18.7</w:t>
            </w:r>
          </w:p>
        </w:tc>
      </w:tr>
      <w:tr w:rsidR="00961617" w:rsidRPr="00545C7F" w14:paraId="74C55B39" w14:textId="77777777" w:rsidTr="00EE47DD">
        <w:trPr>
          <w:trHeight w:hRule="exact" w:val="397"/>
        </w:trPr>
        <w:tc>
          <w:tcPr>
            <w:tcW w:w="7196" w:type="dxa"/>
            <w:shd w:val="clear" w:color="auto" w:fill="E5E5E5" w:themeFill="background1" w:themeFillTint="33"/>
            <w:vAlign w:val="center"/>
          </w:tcPr>
          <w:p w14:paraId="789096CF" w14:textId="77777777" w:rsidR="00961617" w:rsidRPr="00545C7F" w:rsidRDefault="00961617" w:rsidP="0020771F">
            <w:pPr>
              <w:pStyle w:val="Tablefirstcolumn"/>
              <w:rPr>
                <w:rFonts w:cstheme="minorHAnsi"/>
              </w:rPr>
            </w:pPr>
            <w:r w:rsidRPr="00545C7F">
              <w:rPr>
                <w:rFonts w:cstheme="minorHAnsi"/>
              </w:rPr>
              <w:t>Highest level of education: Degree/Post-graduate</w:t>
            </w:r>
          </w:p>
        </w:tc>
        <w:tc>
          <w:tcPr>
            <w:tcW w:w="1276" w:type="dxa"/>
            <w:shd w:val="clear" w:color="auto" w:fill="E5E5E5" w:themeFill="background1" w:themeFillTint="33"/>
            <w:vAlign w:val="center"/>
          </w:tcPr>
          <w:p w14:paraId="5DF686B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16.0</w:t>
            </w:r>
          </w:p>
        </w:tc>
        <w:tc>
          <w:tcPr>
            <w:tcW w:w="1559" w:type="dxa"/>
            <w:shd w:val="clear" w:color="auto" w:fill="E5E5E5" w:themeFill="background1" w:themeFillTint="33"/>
            <w:vAlign w:val="center"/>
          </w:tcPr>
          <w:p w14:paraId="559A527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32.6</w:t>
            </w:r>
          </w:p>
        </w:tc>
        <w:tc>
          <w:tcPr>
            <w:tcW w:w="1417" w:type="dxa"/>
            <w:shd w:val="clear" w:color="auto" w:fill="E5E5E5" w:themeFill="background1" w:themeFillTint="33"/>
            <w:vAlign w:val="center"/>
          </w:tcPr>
          <w:p w14:paraId="1C5AD6C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48.6</w:t>
            </w:r>
          </w:p>
        </w:tc>
        <w:tc>
          <w:tcPr>
            <w:tcW w:w="1277" w:type="dxa"/>
            <w:shd w:val="clear" w:color="auto" w:fill="E5E5E5" w:themeFill="background1" w:themeFillTint="33"/>
            <w:vAlign w:val="center"/>
          </w:tcPr>
          <w:p w14:paraId="63EF776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22.7</w:t>
            </w:r>
          </w:p>
        </w:tc>
      </w:tr>
      <w:tr w:rsidR="00961617" w:rsidRPr="00545C7F" w14:paraId="4F7EB8FA" w14:textId="77777777" w:rsidTr="00EE47DD">
        <w:trPr>
          <w:trHeight w:hRule="exact" w:val="397"/>
        </w:trPr>
        <w:tc>
          <w:tcPr>
            <w:tcW w:w="7196" w:type="dxa"/>
            <w:vAlign w:val="center"/>
          </w:tcPr>
          <w:p w14:paraId="5249969D" w14:textId="77777777" w:rsidR="00961617" w:rsidRPr="00545C7F" w:rsidRDefault="00961617" w:rsidP="0020771F">
            <w:pPr>
              <w:pStyle w:val="Tablefirstcolumn"/>
              <w:rPr>
                <w:rFonts w:cstheme="minorHAnsi"/>
              </w:rPr>
            </w:pPr>
            <w:r w:rsidRPr="00545C7F">
              <w:rPr>
                <w:rFonts w:cstheme="minorHAnsi"/>
              </w:rPr>
              <w:t>Indigenous</w:t>
            </w:r>
          </w:p>
        </w:tc>
        <w:tc>
          <w:tcPr>
            <w:tcW w:w="1276" w:type="dxa"/>
            <w:vAlign w:val="center"/>
          </w:tcPr>
          <w:p w14:paraId="6C23D71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9.0</w:t>
            </w:r>
          </w:p>
        </w:tc>
        <w:tc>
          <w:tcPr>
            <w:tcW w:w="1559" w:type="dxa"/>
            <w:vAlign w:val="center"/>
          </w:tcPr>
          <w:p w14:paraId="35FF167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21.9</w:t>
            </w:r>
          </w:p>
        </w:tc>
        <w:tc>
          <w:tcPr>
            <w:tcW w:w="1417" w:type="dxa"/>
            <w:vAlign w:val="center"/>
          </w:tcPr>
          <w:p w14:paraId="160EE64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30.9</w:t>
            </w:r>
          </w:p>
        </w:tc>
        <w:tc>
          <w:tcPr>
            <w:tcW w:w="1277" w:type="dxa"/>
            <w:vAlign w:val="center"/>
          </w:tcPr>
          <w:p w14:paraId="54A4C0A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21.6</w:t>
            </w:r>
          </w:p>
        </w:tc>
      </w:tr>
      <w:tr w:rsidR="00961617" w:rsidRPr="00545C7F" w14:paraId="7CC5F7AA" w14:textId="77777777" w:rsidTr="00EE47DD">
        <w:trPr>
          <w:trHeight w:hRule="exact" w:val="397"/>
        </w:trPr>
        <w:tc>
          <w:tcPr>
            <w:tcW w:w="7196" w:type="dxa"/>
            <w:shd w:val="clear" w:color="auto" w:fill="E5E5E5" w:themeFill="background1" w:themeFillTint="33"/>
            <w:vAlign w:val="center"/>
          </w:tcPr>
          <w:p w14:paraId="4B8B3C84" w14:textId="77777777" w:rsidR="00961617" w:rsidRPr="00545C7F" w:rsidRDefault="00961617" w:rsidP="0020771F">
            <w:pPr>
              <w:pStyle w:val="Tablefirstcolumn"/>
              <w:rPr>
                <w:rFonts w:cstheme="minorHAnsi"/>
              </w:rPr>
            </w:pPr>
            <w:r w:rsidRPr="00545C7F">
              <w:rPr>
                <w:rFonts w:cstheme="minorHAnsi"/>
              </w:rPr>
              <w:t>Non-Indigenous</w:t>
            </w:r>
          </w:p>
        </w:tc>
        <w:tc>
          <w:tcPr>
            <w:tcW w:w="1276" w:type="dxa"/>
            <w:shd w:val="clear" w:color="auto" w:fill="E5E5E5" w:themeFill="background1" w:themeFillTint="33"/>
            <w:vAlign w:val="center"/>
          </w:tcPr>
          <w:p w14:paraId="379D6AC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11.4</w:t>
            </w:r>
          </w:p>
        </w:tc>
        <w:tc>
          <w:tcPr>
            <w:tcW w:w="1559" w:type="dxa"/>
            <w:shd w:val="clear" w:color="auto" w:fill="E5E5E5" w:themeFill="background1" w:themeFillTint="33"/>
            <w:vAlign w:val="center"/>
          </w:tcPr>
          <w:p w14:paraId="2D16DB9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25.2</w:t>
            </w:r>
          </w:p>
        </w:tc>
        <w:tc>
          <w:tcPr>
            <w:tcW w:w="1417" w:type="dxa"/>
            <w:shd w:val="clear" w:color="auto" w:fill="E5E5E5" w:themeFill="background1" w:themeFillTint="33"/>
            <w:vAlign w:val="center"/>
          </w:tcPr>
          <w:p w14:paraId="60F314A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36.6</w:t>
            </w:r>
          </w:p>
        </w:tc>
        <w:tc>
          <w:tcPr>
            <w:tcW w:w="1277" w:type="dxa"/>
            <w:shd w:val="clear" w:color="auto" w:fill="E5E5E5" w:themeFill="background1" w:themeFillTint="33"/>
            <w:vAlign w:val="center"/>
          </w:tcPr>
          <w:p w14:paraId="686B707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23.2</w:t>
            </w:r>
          </w:p>
        </w:tc>
      </w:tr>
      <w:tr w:rsidR="00961617" w:rsidRPr="00545C7F" w14:paraId="5630CA97" w14:textId="77777777" w:rsidTr="00EE47DD">
        <w:trPr>
          <w:trHeight w:hRule="exact" w:val="397"/>
        </w:trPr>
        <w:tc>
          <w:tcPr>
            <w:tcW w:w="7196" w:type="dxa"/>
            <w:vAlign w:val="center"/>
          </w:tcPr>
          <w:p w14:paraId="51BB39AE" w14:textId="77777777" w:rsidR="00961617" w:rsidRPr="00545C7F" w:rsidRDefault="00961617" w:rsidP="0020771F">
            <w:pPr>
              <w:pStyle w:val="Tablefirstcolumn"/>
              <w:rPr>
                <w:rFonts w:cstheme="minorHAnsi"/>
              </w:rPr>
            </w:pPr>
            <w:r w:rsidRPr="00545C7F">
              <w:rPr>
                <w:rFonts w:cstheme="minorHAnsi"/>
              </w:rPr>
              <w:t>Job seekers with a disability as identified by JCA/ESAt</w:t>
            </w:r>
          </w:p>
        </w:tc>
        <w:tc>
          <w:tcPr>
            <w:tcW w:w="1276" w:type="dxa"/>
            <w:vAlign w:val="center"/>
          </w:tcPr>
          <w:p w14:paraId="16A0AB0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3.5</w:t>
            </w:r>
          </w:p>
        </w:tc>
        <w:tc>
          <w:tcPr>
            <w:tcW w:w="1559" w:type="dxa"/>
            <w:vAlign w:val="center"/>
          </w:tcPr>
          <w:p w14:paraId="2CCE8EE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11.8</w:t>
            </w:r>
          </w:p>
        </w:tc>
        <w:tc>
          <w:tcPr>
            <w:tcW w:w="1417" w:type="dxa"/>
            <w:vAlign w:val="center"/>
          </w:tcPr>
          <w:p w14:paraId="0B4C04F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15.3</w:t>
            </w:r>
          </w:p>
        </w:tc>
        <w:tc>
          <w:tcPr>
            <w:tcW w:w="1277" w:type="dxa"/>
            <w:vAlign w:val="center"/>
          </w:tcPr>
          <w:p w14:paraId="7E67262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18.8</w:t>
            </w:r>
          </w:p>
        </w:tc>
      </w:tr>
      <w:tr w:rsidR="00961617" w:rsidRPr="00545C7F" w14:paraId="49882330" w14:textId="77777777" w:rsidTr="00EE47DD">
        <w:trPr>
          <w:trHeight w:hRule="exact" w:val="397"/>
        </w:trPr>
        <w:tc>
          <w:tcPr>
            <w:tcW w:w="7196" w:type="dxa"/>
            <w:shd w:val="clear" w:color="auto" w:fill="E5E5E5" w:themeFill="background1" w:themeFillTint="33"/>
            <w:vAlign w:val="center"/>
          </w:tcPr>
          <w:p w14:paraId="28D8E3E4" w14:textId="77777777" w:rsidR="00961617" w:rsidRPr="00545C7F" w:rsidRDefault="00961617" w:rsidP="0020771F">
            <w:pPr>
              <w:pStyle w:val="Tablefirstcolumn"/>
              <w:rPr>
                <w:rFonts w:cstheme="minorHAnsi"/>
              </w:rPr>
            </w:pPr>
            <w:r w:rsidRPr="00545C7F">
              <w:rPr>
                <w:rFonts w:cstheme="minorHAnsi"/>
              </w:rPr>
              <w:t>Non-English speaking background</w:t>
            </w:r>
          </w:p>
        </w:tc>
        <w:tc>
          <w:tcPr>
            <w:tcW w:w="1276" w:type="dxa"/>
            <w:shd w:val="clear" w:color="auto" w:fill="E5E5E5" w:themeFill="background1" w:themeFillTint="33"/>
            <w:vAlign w:val="center"/>
          </w:tcPr>
          <w:p w14:paraId="23AB5DE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9.9</w:t>
            </w:r>
          </w:p>
        </w:tc>
        <w:tc>
          <w:tcPr>
            <w:tcW w:w="1559" w:type="dxa"/>
            <w:shd w:val="clear" w:color="auto" w:fill="E5E5E5" w:themeFill="background1" w:themeFillTint="33"/>
            <w:vAlign w:val="center"/>
          </w:tcPr>
          <w:p w14:paraId="003EF42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25.6</w:t>
            </w:r>
          </w:p>
        </w:tc>
        <w:tc>
          <w:tcPr>
            <w:tcW w:w="1417" w:type="dxa"/>
            <w:shd w:val="clear" w:color="auto" w:fill="E5E5E5" w:themeFill="background1" w:themeFillTint="33"/>
            <w:vAlign w:val="center"/>
          </w:tcPr>
          <w:p w14:paraId="0A28AE8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35.5</w:t>
            </w:r>
          </w:p>
        </w:tc>
        <w:tc>
          <w:tcPr>
            <w:tcW w:w="1277" w:type="dxa"/>
            <w:shd w:val="clear" w:color="auto" w:fill="E5E5E5" w:themeFill="background1" w:themeFillTint="33"/>
            <w:vAlign w:val="center"/>
          </w:tcPr>
          <w:p w14:paraId="55BCDD7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31.8</w:t>
            </w:r>
          </w:p>
        </w:tc>
      </w:tr>
      <w:tr w:rsidR="00961617" w:rsidRPr="00545C7F" w14:paraId="294A9116" w14:textId="77777777" w:rsidTr="00EE47DD">
        <w:trPr>
          <w:trHeight w:hRule="exact" w:val="397"/>
        </w:trPr>
        <w:tc>
          <w:tcPr>
            <w:tcW w:w="7196" w:type="dxa"/>
            <w:vAlign w:val="center"/>
          </w:tcPr>
          <w:p w14:paraId="06BACF9E" w14:textId="77777777" w:rsidR="00961617" w:rsidRPr="00545C7F" w:rsidRDefault="00961617" w:rsidP="0020771F">
            <w:pPr>
              <w:pStyle w:val="Tablefirstcolumn"/>
              <w:rPr>
                <w:rFonts w:cstheme="minorHAnsi"/>
              </w:rPr>
            </w:pPr>
            <w:r w:rsidRPr="00545C7F">
              <w:rPr>
                <w:rFonts w:cstheme="minorHAnsi"/>
              </w:rPr>
              <w:t>Mixed or low English proficiency</w:t>
            </w:r>
          </w:p>
        </w:tc>
        <w:tc>
          <w:tcPr>
            <w:tcW w:w="1276" w:type="dxa"/>
            <w:vAlign w:val="center"/>
          </w:tcPr>
          <w:p w14:paraId="47BB987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12.3</w:t>
            </w:r>
          </w:p>
        </w:tc>
        <w:tc>
          <w:tcPr>
            <w:tcW w:w="1559" w:type="dxa"/>
            <w:vAlign w:val="center"/>
          </w:tcPr>
          <w:p w14:paraId="02D4222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15.4</w:t>
            </w:r>
          </w:p>
        </w:tc>
        <w:tc>
          <w:tcPr>
            <w:tcW w:w="1417" w:type="dxa"/>
            <w:vAlign w:val="center"/>
          </w:tcPr>
          <w:p w14:paraId="1F2F431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27.7</w:t>
            </w:r>
          </w:p>
        </w:tc>
        <w:tc>
          <w:tcPr>
            <w:tcW w:w="1277" w:type="dxa"/>
            <w:vAlign w:val="center"/>
          </w:tcPr>
          <w:p w14:paraId="732D3B5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32.3</w:t>
            </w:r>
          </w:p>
        </w:tc>
      </w:tr>
      <w:tr w:rsidR="00961617" w:rsidRPr="00545C7F" w14:paraId="6ABBE34D" w14:textId="77777777" w:rsidTr="00EE47DD">
        <w:trPr>
          <w:trHeight w:hRule="exact" w:val="397"/>
        </w:trPr>
        <w:tc>
          <w:tcPr>
            <w:tcW w:w="7196" w:type="dxa"/>
            <w:shd w:val="clear" w:color="auto" w:fill="E5E5E5" w:themeFill="background1" w:themeFillTint="33"/>
            <w:vAlign w:val="center"/>
          </w:tcPr>
          <w:p w14:paraId="2CACC50C" w14:textId="77777777" w:rsidR="00961617" w:rsidRPr="00545C7F" w:rsidRDefault="00961617" w:rsidP="0020771F">
            <w:pPr>
              <w:pStyle w:val="Tablefirstcolumn"/>
              <w:rPr>
                <w:rFonts w:cstheme="minorHAnsi"/>
              </w:rPr>
            </w:pPr>
            <w:r w:rsidRPr="00545C7F">
              <w:rPr>
                <w:rFonts w:cstheme="minorHAnsi"/>
              </w:rPr>
              <w:t>Single parents</w:t>
            </w:r>
          </w:p>
        </w:tc>
        <w:tc>
          <w:tcPr>
            <w:tcW w:w="1276" w:type="dxa"/>
            <w:shd w:val="clear" w:color="auto" w:fill="E5E5E5" w:themeFill="background1" w:themeFillTint="33"/>
            <w:vAlign w:val="center"/>
          </w:tcPr>
          <w:p w14:paraId="7B101ED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9.5</w:t>
            </w:r>
          </w:p>
        </w:tc>
        <w:tc>
          <w:tcPr>
            <w:tcW w:w="1559" w:type="dxa"/>
            <w:shd w:val="clear" w:color="auto" w:fill="E5E5E5" w:themeFill="background1" w:themeFillTint="33"/>
            <w:vAlign w:val="center"/>
          </w:tcPr>
          <w:p w14:paraId="347C3B3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39.2</w:t>
            </w:r>
          </w:p>
        </w:tc>
        <w:tc>
          <w:tcPr>
            <w:tcW w:w="1417" w:type="dxa"/>
            <w:shd w:val="clear" w:color="auto" w:fill="E5E5E5" w:themeFill="background1" w:themeFillTint="33"/>
            <w:vAlign w:val="center"/>
          </w:tcPr>
          <w:p w14:paraId="1CF91C8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48.7</w:t>
            </w:r>
          </w:p>
        </w:tc>
        <w:tc>
          <w:tcPr>
            <w:tcW w:w="1277" w:type="dxa"/>
            <w:shd w:val="clear" w:color="auto" w:fill="E5E5E5" w:themeFill="background1" w:themeFillTint="33"/>
            <w:vAlign w:val="center"/>
          </w:tcPr>
          <w:p w14:paraId="1BC8359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27.8</w:t>
            </w:r>
          </w:p>
        </w:tc>
      </w:tr>
      <w:tr w:rsidR="00961617" w:rsidRPr="00545C7F" w14:paraId="4A243EB5" w14:textId="77777777" w:rsidTr="00EE47DD">
        <w:trPr>
          <w:trHeight w:hRule="exact" w:val="397"/>
        </w:trPr>
        <w:tc>
          <w:tcPr>
            <w:tcW w:w="7196" w:type="dxa"/>
            <w:vAlign w:val="center"/>
          </w:tcPr>
          <w:p w14:paraId="450BE2D4" w14:textId="77777777" w:rsidR="00961617" w:rsidRPr="00545C7F" w:rsidRDefault="00961617" w:rsidP="0020771F">
            <w:pPr>
              <w:pStyle w:val="Tablefirstcolumn"/>
              <w:rPr>
                <w:rFonts w:cstheme="minorHAnsi"/>
              </w:rPr>
            </w:pPr>
            <w:r w:rsidRPr="00545C7F">
              <w:rPr>
                <w:rFonts w:cstheme="minorHAnsi"/>
              </w:rPr>
              <w:t>Ex-offenders</w:t>
            </w:r>
          </w:p>
        </w:tc>
        <w:tc>
          <w:tcPr>
            <w:tcW w:w="1276" w:type="dxa"/>
            <w:vAlign w:val="center"/>
          </w:tcPr>
          <w:p w14:paraId="7409C16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13.9</w:t>
            </w:r>
          </w:p>
        </w:tc>
        <w:tc>
          <w:tcPr>
            <w:tcW w:w="1559" w:type="dxa"/>
            <w:vAlign w:val="center"/>
          </w:tcPr>
          <w:p w14:paraId="354D2C7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19.3</w:t>
            </w:r>
          </w:p>
        </w:tc>
        <w:tc>
          <w:tcPr>
            <w:tcW w:w="1417" w:type="dxa"/>
            <w:vAlign w:val="center"/>
          </w:tcPr>
          <w:p w14:paraId="6CB0875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33.2</w:t>
            </w:r>
          </w:p>
        </w:tc>
        <w:tc>
          <w:tcPr>
            <w:tcW w:w="1277" w:type="dxa"/>
            <w:vAlign w:val="center"/>
          </w:tcPr>
          <w:p w14:paraId="4B45A6F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15.9</w:t>
            </w:r>
          </w:p>
        </w:tc>
      </w:tr>
      <w:tr w:rsidR="00961617" w:rsidRPr="00545C7F" w14:paraId="6C7370DF" w14:textId="77777777" w:rsidTr="00EE47DD">
        <w:trPr>
          <w:trHeight w:hRule="exact" w:val="397"/>
        </w:trPr>
        <w:tc>
          <w:tcPr>
            <w:tcW w:w="7196" w:type="dxa"/>
            <w:shd w:val="clear" w:color="auto" w:fill="E5E5E5" w:themeFill="background1" w:themeFillTint="33"/>
            <w:vAlign w:val="center"/>
          </w:tcPr>
          <w:p w14:paraId="6B8676D3" w14:textId="77777777" w:rsidR="00961617" w:rsidRPr="00545C7F" w:rsidRDefault="00961617" w:rsidP="0020771F">
            <w:pPr>
              <w:pStyle w:val="Tablefirstcolumn"/>
              <w:rPr>
                <w:rFonts w:cstheme="minorHAnsi"/>
              </w:rPr>
            </w:pPr>
            <w:r w:rsidRPr="00545C7F">
              <w:rPr>
                <w:rFonts w:cstheme="minorHAnsi"/>
              </w:rPr>
              <w:t>Homeless</w:t>
            </w:r>
          </w:p>
        </w:tc>
        <w:tc>
          <w:tcPr>
            <w:tcW w:w="1276" w:type="dxa"/>
            <w:shd w:val="clear" w:color="auto" w:fill="E5E5E5" w:themeFill="background1" w:themeFillTint="33"/>
            <w:vAlign w:val="center"/>
          </w:tcPr>
          <w:p w14:paraId="20896B0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12.1</w:t>
            </w:r>
          </w:p>
        </w:tc>
        <w:tc>
          <w:tcPr>
            <w:tcW w:w="1559" w:type="dxa"/>
            <w:shd w:val="clear" w:color="auto" w:fill="E5E5E5" w:themeFill="background1" w:themeFillTint="33"/>
            <w:vAlign w:val="center"/>
          </w:tcPr>
          <w:p w14:paraId="52DB8E1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12.0</w:t>
            </w:r>
          </w:p>
        </w:tc>
        <w:tc>
          <w:tcPr>
            <w:tcW w:w="1417" w:type="dxa"/>
            <w:shd w:val="clear" w:color="auto" w:fill="E5E5E5" w:themeFill="background1" w:themeFillTint="33"/>
            <w:vAlign w:val="center"/>
          </w:tcPr>
          <w:p w14:paraId="4BE6B1B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24.1</w:t>
            </w:r>
          </w:p>
        </w:tc>
        <w:tc>
          <w:tcPr>
            <w:tcW w:w="1277" w:type="dxa"/>
            <w:shd w:val="clear" w:color="auto" w:fill="E5E5E5" w:themeFill="background1" w:themeFillTint="33"/>
            <w:vAlign w:val="center"/>
          </w:tcPr>
          <w:p w14:paraId="6C3C9D8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33.0</w:t>
            </w:r>
          </w:p>
        </w:tc>
      </w:tr>
      <w:tr w:rsidR="00961617" w:rsidRPr="00545C7F" w14:paraId="2F1FE2F0" w14:textId="77777777" w:rsidTr="00EE47DD">
        <w:trPr>
          <w:trHeight w:hRule="exact" w:val="397"/>
        </w:trPr>
        <w:tc>
          <w:tcPr>
            <w:tcW w:w="7196" w:type="dxa"/>
            <w:shd w:val="clear" w:color="auto" w:fill="8EAEDE"/>
            <w:vAlign w:val="center"/>
          </w:tcPr>
          <w:p w14:paraId="23BE038A" w14:textId="77777777" w:rsidR="00961617" w:rsidRPr="00545C7F" w:rsidRDefault="00961617" w:rsidP="0020771F">
            <w:pPr>
              <w:pStyle w:val="Tablefirstcolumn"/>
              <w:rPr>
                <w:rFonts w:cstheme="minorHAnsi"/>
              </w:rPr>
            </w:pPr>
            <w:r w:rsidRPr="00545C7F">
              <w:rPr>
                <w:rFonts w:cstheme="minorHAnsi"/>
              </w:rPr>
              <w:t>Total</w:t>
            </w:r>
          </w:p>
        </w:tc>
        <w:tc>
          <w:tcPr>
            <w:tcW w:w="1276" w:type="dxa"/>
            <w:shd w:val="clear" w:color="auto" w:fill="8EAEDE"/>
            <w:vAlign w:val="center"/>
          </w:tcPr>
          <w:p w14:paraId="4B9A879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11.2</w:t>
            </w:r>
          </w:p>
        </w:tc>
        <w:tc>
          <w:tcPr>
            <w:tcW w:w="1559" w:type="dxa"/>
            <w:shd w:val="clear" w:color="auto" w:fill="8EAEDE"/>
            <w:vAlign w:val="center"/>
          </w:tcPr>
          <w:p w14:paraId="0250B07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24.8</w:t>
            </w:r>
          </w:p>
        </w:tc>
        <w:tc>
          <w:tcPr>
            <w:tcW w:w="1417" w:type="dxa"/>
            <w:shd w:val="clear" w:color="auto" w:fill="8EAEDE"/>
            <w:vAlign w:val="center"/>
          </w:tcPr>
          <w:p w14:paraId="6C8F257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36.0</w:t>
            </w:r>
          </w:p>
        </w:tc>
        <w:tc>
          <w:tcPr>
            <w:tcW w:w="1277" w:type="dxa"/>
            <w:shd w:val="clear" w:color="auto" w:fill="8EAEDE"/>
            <w:vAlign w:val="center"/>
          </w:tcPr>
          <w:p w14:paraId="4A9E1F3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23.2</w:t>
            </w:r>
          </w:p>
        </w:tc>
      </w:tr>
    </w:tbl>
    <w:p w14:paraId="7551CAE1" w14:textId="77777777" w:rsidR="00961617" w:rsidRPr="002F5864" w:rsidRDefault="00961617" w:rsidP="00961617">
      <w:pPr>
        <w:pStyle w:val="Sourceandnotetext"/>
        <w:spacing w:before="0" w:after="0"/>
        <w:rPr>
          <w:rFonts w:cstheme="minorHAnsi"/>
        </w:rPr>
      </w:pPr>
      <w:r w:rsidRPr="002F5864">
        <w:rPr>
          <w:rFonts w:cstheme="minorHAnsi"/>
        </w:rPr>
        <w:t>n.a.:</w:t>
      </w:r>
      <w:r w:rsidRPr="002F5864">
        <w:rPr>
          <w:rFonts w:cstheme="minorHAnsi"/>
        </w:rPr>
        <w:tab/>
        <w:t>Not available due to high relative standard errors.</w:t>
      </w:r>
    </w:p>
    <w:p w14:paraId="5DE114B2" w14:textId="77777777" w:rsidR="00961617" w:rsidRPr="002F5864" w:rsidRDefault="00961617" w:rsidP="00E13B5E">
      <w:pPr>
        <w:pStyle w:val="Notes"/>
      </w:pPr>
      <w:r w:rsidRPr="002F5864">
        <w:rPr>
          <w:b/>
        </w:rPr>
        <w:t>Note:</w:t>
      </w:r>
      <w:r w:rsidR="00E13B5E">
        <w:tab/>
      </w:r>
      <w:r w:rsidRPr="002F5864">
        <w:t>Both JSA 2009 and 2012 caseloads and study populations exclude job seekers living in communities that were subsequently transferred to the Remote Jobs and Communities Programme in July 2013.</w:t>
      </w:r>
    </w:p>
    <w:p w14:paraId="1EE3CD5A" w14:textId="77777777" w:rsidR="00961617" w:rsidRPr="002F5864" w:rsidRDefault="00961617" w:rsidP="00E13B5E">
      <w:pPr>
        <w:pStyle w:val="Source"/>
      </w:pPr>
      <w:r w:rsidRPr="002F5864">
        <w:rPr>
          <w:b/>
        </w:rPr>
        <w:t>Source:</w:t>
      </w:r>
      <w:r w:rsidR="00E13B5E">
        <w:rPr>
          <w:b/>
        </w:rPr>
        <w:tab/>
      </w:r>
      <w:r w:rsidRPr="002F5864">
        <w:t xml:space="preserve"> Department of Employment Post Programme Monitoring Survey.</w:t>
      </w:r>
    </w:p>
    <w:p w14:paraId="2449C39F"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3CE28101" w14:textId="77777777" w:rsidR="00026A22" w:rsidRPr="002F5864" w:rsidRDefault="00864C5E" w:rsidP="00026A22">
      <w:pPr>
        <w:pStyle w:val="ListParagraph"/>
        <w:numPr>
          <w:ilvl w:val="0"/>
          <w:numId w:val="97"/>
        </w:numPr>
        <w:spacing w:before="0"/>
        <w:ind w:left="714" w:hanging="357"/>
        <w:rPr>
          <w:rFonts w:cstheme="minorHAnsi"/>
          <w:sz w:val="18"/>
          <w:szCs w:val="18"/>
        </w:rPr>
      </w:pPr>
      <w:hyperlink w:anchor="Place_A213a" w:history="1">
        <w:r w:rsidR="00026A22" w:rsidRPr="00026A22">
          <w:rPr>
            <w:rStyle w:val="Hyperlink"/>
            <w:rFonts w:cstheme="minorHAnsi"/>
            <w:sz w:val="18"/>
            <w:szCs w:val="18"/>
          </w:rPr>
          <w:t>Return to Figure 3.7</w:t>
        </w:r>
      </w:hyperlink>
      <w:r w:rsidR="00026A22" w:rsidRPr="002F5864">
        <w:rPr>
          <w:rFonts w:cstheme="minorHAnsi"/>
          <w:sz w:val="18"/>
          <w:szCs w:val="18"/>
        </w:rPr>
        <w:t xml:space="preserve"> where this data is referenced.</w:t>
      </w:r>
    </w:p>
    <w:p w14:paraId="587BDFD3" w14:textId="77777777" w:rsidR="00026A22" w:rsidRPr="002F5864" w:rsidRDefault="00864C5E" w:rsidP="00026A22">
      <w:pPr>
        <w:pStyle w:val="ListParagraph"/>
        <w:numPr>
          <w:ilvl w:val="0"/>
          <w:numId w:val="97"/>
        </w:numPr>
        <w:spacing w:before="0"/>
        <w:ind w:left="714" w:hanging="357"/>
        <w:rPr>
          <w:rFonts w:cstheme="minorHAnsi"/>
          <w:sz w:val="18"/>
          <w:szCs w:val="18"/>
        </w:rPr>
      </w:pPr>
      <w:hyperlink w:anchor="Place_A213b" w:history="1">
        <w:r w:rsidR="00026A22" w:rsidRPr="00026A22">
          <w:rPr>
            <w:rStyle w:val="Hyperlink"/>
            <w:rFonts w:cstheme="minorHAnsi"/>
            <w:sz w:val="18"/>
            <w:szCs w:val="18"/>
          </w:rPr>
          <w:t>Return to Figure 3.8</w:t>
        </w:r>
      </w:hyperlink>
      <w:r w:rsidR="00026A22" w:rsidRPr="002F5864">
        <w:rPr>
          <w:rFonts w:cstheme="minorHAnsi"/>
          <w:sz w:val="18"/>
          <w:szCs w:val="18"/>
        </w:rPr>
        <w:t xml:space="preserve"> where this data is referenced.</w:t>
      </w:r>
    </w:p>
    <w:p w14:paraId="2346810A" w14:textId="77777777" w:rsidR="00961617" w:rsidRPr="002F5864" w:rsidRDefault="00864C5E" w:rsidP="00026A22">
      <w:pPr>
        <w:pStyle w:val="ListParagraph"/>
        <w:numPr>
          <w:ilvl w:val="0"/>
          <w:numId w:val="97"/>
        </w:numPr>
        <w:spacing w:before="0"/>
        <w:ind w:left="714" w:hanging="357"/>
        <w:rPr>
          <w:rFonts w:cstheme="minorHAnsi"/>
          <w:sz w:val="20"/>
          <w:szCs w:val="20"/>
        </w:rPr>
      </w:pPr>
      <w:hyperlink w:anchor="Place_A213c" w:history="1">
        <w:r w:rsidR="00026A22" w:rsidRPr="00026A22">
          <w:rPr>
            <w:rStyle w:val="Hyperlink"/>
            <w:rFonts w:cstheme="minorHAnsi"/>
            <w:sz w:val="18"/>
            <w:szCs w:val="18"/>
          </w:rPr>
          <w:t>Return to Figure 3.9</w:t>
        </w:r>
      </w:hyperlink>
      <w:r w:rsidR="00026A22" w:rsidRPr="002F5864">
        <w:rPr>
          <w:rFonts w:cstheme="minorHAnsi"/>
          <w:sz w:val="18"/>
          <w:szCs w:val="18"/>
        </w:rPr>
        <w:t xml:space="preserve"> where this data is referenced.</w:t>
      </w:r>
      <w:r w:rsidR="00961617" w:rsidRPr="002F5864">
        <w:rPr>
          <w:rFonts w:cstheme="minorHAnsi"/>
        </w:rPr>
        <w:br w:type="page"/>
      </w:r>
    </w:p>
    <w:p w14:paraId="62D118E0" w14:textId="77777777" w:rsidR="00961617" w:rsidRPr="002F5864" w:rsidRDefault="00961617" w:rsidP="00961617">
      <w:pPr>
        <w:pStyle w:val="TableheadingforappendixA1"/>
        <w:rPr>
          <w:rFonts w:cstheme="minorHAnsi"/>
        </w:rPr>
      </w:pPr>
      <w:bookmarkStart w:id="653" w:name="_Toc513129908"/>
      <w:r w:rsidRPr="002F5864">
        <w:rPr>
          <w:rFonts w:cstheme="minorHAnsi"/>
        </w:rPr>
        <w:t>Table A2.15: Comparison of employment, education and positive outcomes for job seekers between JSA 2009 and 2012, LTU (percentage point difference)</w:t>
      </w:r>
      <w:bookmarkEnd w:id="653"/>
    </w:p>
    <w:tbl>
      <w:tblPr>
        <w:tblStyle w:val="TableGrid"/>
        <w:tblW w:w="12582" w:type="dxa"/>
        <w:tblLayout w:type="fixed"/>
        <w:tblLook w:val="04A0" w:firstRow="1" w:lastRow="0" w:firstColumn="1" w:lastColumn="0" w:noHBand="0" w:noVBand="1"/>
      </w:tblPr>
      <w:tblGrid>
        <w:gridCol w:w="7196"/>
        <w:gridCol w:w="1417"/>
        <w:gridCol w:w="1276"/>
        <w:gridCol w:w="1418"/>
        <w:gridCol w:w="1275"/>
      </w:tblGrid>
      <w:tr w:rsidR="00961617" w:rsidRPr="00545C7F" w14:paraId="1E5C2D0E" w14:textId="77777777" w:rsidTr="00EE47DD">
        <w:trPr>
          <w:tblHeader/>
        </w:trPr>
        <w:tc>
          <w:tcPr>
            <w:tcW w:w="7196" w:type="dxa"/>
            <w:tcBorders>
              <w:top w:val="nil"/>
              <w:left w:val="nil"/>
              <w:bottom w:val="nil"/>
              <w:right w:val="nil"/>
            </w:tcBorders>
            <w:shd w:val="clear" w:color="auto" w:fill="1E3D6B"/>
          </w:tcPr>
          <w:p w14:paraId="0AB424B7" w14:textId="77777777" w:rsidR="00961617" w:rsidRPr="00545C7F" w:rsidRDefault="00961617" w:rsidP="0020771F">
            <w:pPr>
              <w:rPr>
                <w:rFonts w:cstheme="minorHAnsi"/>
                <w:b/>
                <w:color w:val="FFFFFF" w:themeColor="background2"/>
                <w:sz w:val="20"/>
                <w:szCs w:val="20"/>
              </w:rPr>
            </w:pPr>
            <w:bookmarkStart w:id="654" w:name="Title_A215"/>
            <w:bookmarkEnd w:id="654"/>
            <w:r w:rsidRPr="00545C7F">
              <w:rPr>
                <w:rFonts w:cstheme="minorHAnsi"/>
                <w:b/>
                <w:color w:val="FFFFFF" w:themeColor="background2"/>
                <w:sz w:val="20"/>
                <w:szCs w:val="20"/>
              </w:rPr>
              <w:t>Characteristics</w:t>
            </w:r>
          </w:p>
        </w:tc>
        <w:tc>
          <w:tcPr>
            <w:tcW w:w="1417" w:type="dxa"/>
            <w:tcBorders>
              <w:top w:val="nil"/>
              <w:left w:val="nil"/>
              <w:bottom w:val="nil"/>
              <w:right w:val="nil"/>
            </w:tcBorders>
            <w:shd w:val="clear" w:color="auto" w:fill="1E3D6B"/>
          </w:tcPr>
          <w:p w14:paraId="3BF14411"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Full time Employment</w:t>
            </w:r>
          </w:p>
        </w:tc>
        <w:tc>
          <w:tcPr>
            <w:tcW w:w="1276" w:type="dxa"/>
            <w:tcBorders>
              <w:top w:val="nil"/>
              <w:left w:val="nil"/>
              <w:bottom w:val="nil"/>
              <w:right w:val="nil"/>
            </w:tcBorders>
            <w:shd w:val="clear" w:color="auto" w:fill="1E3D6B"/>
          </w:tcPr>
          <w:p w14:paraId="31CD13DF"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Part time Employment</w:t>
            </w:r>
          </w:p>
        </w:tc>
        <w:tc>
          <w:tcPr>
            <w:tcW w:w="1418" w:type="dxa"/>
            <w:tcBorders>
              <w:top w:val="nil"/>
              <w:left w:val="nil"/>
              <w:bottom w:val="nil"/>
              <w:right w:val="nil"/>
            </w:tcBorders>
            <w:shd w:val="clear" w:color="auto" w:fill="1E3D6B"/>
          </w:tcPr>
          <w:p w14:paraId="238027BB"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Total Employment</w:t>
            </w:r>
          </w:p>
        </w:tc>
        <w:tc>
          <w:tcPr>
            <w:tcW w:w="1275" w:type="dxa"/>
            <w:tcBorders>
              <w:top w:val="nil"/>
              <w:left w:val="nil"/>
              <w:bottom w:val="nil"/>
              <w:right w:val="nil"/>
            </w:tcBorders>
            <w:shd w:val="clear" w:color="auto" w:fill="1E3D6B"/>
          </w:tcPr>
          <w:p w14:paraId="068102FC" w14:textId="77777777" w:rsidR="00961617" w:rsidRPr="00545C7F" w:rsidRDefault="00961617" w:rsidP="0020771F">
            <w:pPr>
              <w:pStyle w:val="Tablefirstcolumn"/>
              <w:rPr>
                <w:rFonts w:cstheme="minorHAnsi"/>
                <w:b/>
                <w:bCs/>
                <w:color w:val="FFFFFF" w:themeColor="background2"/>
              </w:rPr>
            </w:pPr>
            <w:r w:rsidRPr="00545C7F">
              <w:rPr>
                <w:rFonts w:cstheme="minorHAnsi"/>
                <w:b/>
                <w:bCs/>
                <w:color w:val="FFFFFF" w:themeColor="background2"/>
              </w:rPr>
              <w:t>Education</w:t>
            </w:r>
          </w:p>
        </w:tc>
      </w:tr>
      <w:tr w:rsidR="00961617" w:rsidRPr="00545C7F" w14:paraId="4F80A963"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1392BB4" w14:textId="77777777" w:rsidR="00961617" w:rsidRPr="00545C7F" w:rsidRDefault="00961617" w:rsidP="0020771F">
            <w:pPr>
              <w:rPr>
                <w:rFonts w:cstheme="minorHAnsi"/>
                <w:sz w:val="20"/>
                <w:szCs w:val="20"/>
              </w:rPr>
            </w:pPr>
            <w:r w:rsidRPr="00545C7F">
              <w:rPr>
                <w:rFonts w:cstheme="minorHAnsi"/>
                <w:sz w:val="20"/>
                <w:szCs w:val="20"/>
              </w:rPr>
              <w:t>Commencement stream: Stream 1</w:t>
            </w:r>
          </w:p>
        </w:tc>
        <w:tc>
          <w:tcPr>
            <w:tcW w:w="1417" w:type="dxa"/>
            <w:tcBorders>
              <w:top w:val="nil"/>
              <w:left w:val="nil"/>
              <w:bottom w:val="nil"/>
              <w:right w:val="nil"/>
            </w:tcBorders>
            <w:vAlign w:val="center"/>
          </w:tcPr>
          <w:p w14:paraId="194E8C6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-8.8</w:t>
            </w:r>
          </w:p>
        </w:tc>
        <w:tc>
          <w:tcPr>
            <w:tcW w:w="1276" w:type="dxa"/>
            <w:tcBorders>
              <w:top w:val="nil"/>
              <w:left w:val="nil"/>
              <w:bottom w:val="nil"/>
              <w:right w:val="nil"/>
            </w:tcBorders>
            <w:vAlign w:val="center"/>
          </w:tcPr>
          <w:p w14:paraId="756C45F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w:t>
            </w:r>
          </w:p>
        </w:tc>
        <w:tc>
          <w:tcPr>
            <w:tcW w:w="1418" w:type="dxa"/>
            <w:tcBorders>
              <w:top w:val="nil"/>
              <w:left w:val="nil"/>
              <w:bottom w:val="nil"/>
              <w:right w:val="nil"/>
            </w:tcBorders>
            <w:vAlign w:val="center"/>
          </w:tcPr>
          <w:p w14:paraId="55C5280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-9.8</w:t>
            </w:r>
          </w:p>
        </w:tc>
        <w:tc>
          <w:tcPr>
            <w:tcW w:w="1275" w:type="dxa"/>
            <w:tcBorders>
              <w:top w:val="nil"/>
              <w:left w:val="nil"/>
              <w:bottom w:val="nil"/>
              <w:right w:val="nil"/>
            </w:tcBorders>
            <w:vAlign w:val="center"/>
          </w:tcPr>
          <w:p w14:paraId="079DE5A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w:t>
            </w:r>
          </w:p>
        </w:tc>
      </w:tr>
      <w:tr w:rsidR="00961617" w:rsidRPr="00545C7F" w14:paraId="3B65D707"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15EF13C2" w14:textId="77777777" w:rsidR="00961617" w:rsidRPr="00545C7F" w:rsidRDefault="00961617" w:rsidP="0020771F">
            <w:pPr>
              <w:pStyle w:val="Tablefirstcolumn"/>
              <w:rPr>
                <w:rFonts w:cstheme="minorHAnsi"/>
              </w:rPr>
            </w:pPr>
            <w:r w:rsidRPr="00545C7F">
              <w:rPr>
                <w:rFonts w:cstheme="minorHAnsi"/>
              </w:rPr>
              <w:t>Commencement stream: Stream 2</w:t>
            </w:r>
          </w:p>
        </w:tc>
        <w:tc>
          <w:tcPr>
            <w:tcW w:w="1417" w:type="dxa"/>
            <w:tcBorders>
              <w:top w:val="nil"/>
              <w:left w:val="nil"/>
              <w:bottom w:val="nil"/>
              <w:right w:val="nil"/>
            </w:tcBorders>
            <w:shd w:val="clear" w:color="auto" w:fill="E5E5E5" w:themeFill="background1" w:themeFillTint="33"/>
            <w:vAlign w:val="center"/>
          </w:tcPr>
          <w:p w14:paraId="0FD5B65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-12.3</w:t>
            </w:r>
          </w:p>
        </w:tc>
        <w:tc>
          <w:tcPr>
            <w:tcW w:w="1276" w:type="dxa"/>
            <w:tcBorders>
              <w:top w:val="nil"/>
              <w:left w:val="nil"/>
              <w:bottom w:val="nil"/>
              <w:right w:val="nil"/>
            </w:tcBorders>
            <w:shd w:val="clear" w:color="auto" w:fill="E5E5E5" w:themeFill="background1" w:themeFillTint="33"/>
            <w:vAlign w:val="center"/>
          </w:tcPr>
          <w:p w14:paraId="14C02E2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5.3</w:t>
            </w:r>
          </w:p>
        </w:tc>
        <w:tc>
          <w:tcPr>
            <w:tcW w:w="1418" w:type="dxa"/>
            <w:tcBorders>
              <w:top w:val="nil"/>
              <w:left w:val="nil"/>
              <w:bottom w:val="nil"/>
              <w:right w:val="nil"/>
            </w:tcBorders>
            <w:shd w:val="clear" w:color="auto" w:fill="E5E5E5" w:themeFill="background1" w:themeFillTint="33"/>
            <w:vAlign w:val="center"/>
          </w:tcPr>
          <w:p w14:paraId="2BB730C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-7.0</w:t>
            </w:r>
          </w:p>
        </w:tc>
        <w:tc>
          <w:tcPr>
            <w:tcW w:w="1275" w:type="dxa"/>
            <w:tcBorders>
              <w:top w:val="nil"/>
              <w:left w:val="nil"/>
              <w:bottom w:val="nil"/>
              <w:right w:val="nil"/>
            </w:tcBorders>
            <w:shd w:val="clear" w:color="auto" w:fill="E5E5E5" w:themeFill="background1" w:themeFillTint="33"/>
            <w:vAlign w:val="center"/>
          </w:tcPr>
          <w:p w14:paraId="2DD765B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4.9</w:t>
            </w:r>
          </w:p>
        </w:tc>
      </w:tr>
      <w:tr w:rsidR="00961617" w:rsidRPr="00545C7F" w14:paraId="6F654CAE"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4CF6EE33" w14:textId="77777777" w:rsidR="00961617" w:rsidRPr="00545C7F" w:rsidRDefault="00961617" w:rsidP="0020771F">
            <w:pPr>
              <w:pStyle w:val="Tablefirstcolumn"/>
              <w:rPr>
                <w:rFonts w:cstheme="minorHAnsi"/>
              </w:rPr>
            </w:pPr>
            <w:r w:rsidRPr="00545C7F">
              <w:rPr>
                <w:rFonts w:cstheme="minorHAnsi"/>
              </w:rPr>
              <w:t>Commencement stream: Stream 3</w:t>
            </w:r>
          </w:p>
        </w:tc>
        <w:tc>
          <w:tcPr>
            <w:tcW w:w="1417" w:type="dxa"/>
            <w:tcBorders>
              <w:top w:val="nil"/>
              <w:left w:val="nil"/>
              <w:bottom w:val="nil"/>
              <w:right w:val="nil"/>
            </w:tcBorders>
            <w:vAlign w:val="center"/>
          </w:tcPr>
          <w:p w14:paraId="381CFF6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-6.0</w:t>
            </w:r>
          </w:p>
        </w:tc>
        <w:tc>
          <w:tcPr>
            <w:tcW w:w="1276" w:type="dxa"/>
            <w:tcBorders>
              <w:top w:val="nil"/>
              <w:left w:val="nil"/>
              <w:bottom w:val="nil"/>
              <w:right w:val="nil"/>
            </w:tcBorders>
            <w:vAlign w:val="center"/>
          </w:tcPr>
          <w:p w14:paraId="4B7E18C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w:t>
            </w:r>
          </w:p>
        </w:tc>
        <w:tc>
          <w:tcPr>
            <w:tcW w:w="1418" w:type="dxa"/>
            <w:tcBorders>
              <w:top w:val="nil"/>
              <w:left w:val="nil"/>
              <w:bottom w:val="nil"/>
              <w:right w:val="nil"/>
            </w:tcBorders>
            <w:vAlign w:val="center"/>
          </w:tcPr>
          <w:p w14:paraId="3F8A9E9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-4.7</w:t>
            </w:r>
          </w:p>
        </w:tc>
        <w:tc>
          <w:tcPr>
            <w:tcW w:w="1275" w:type="dxa"/>
            <w:tcBorders>
              <w:top w:val="nil"/>
              <w:left w:val="nil"/>
              <w:bottom w:val="nil"/>
              <w:right w:val="nil"/>
            </w:tcBorders>
            <w:vAlign w:val="center"/>
          </w:tcPr>
          <w:p w14:paraId="43F37F3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6.0</w:t>
            </w:r>
          </w:p>
        </w:tc>
      </w:tr>
      <w:tr w:rsidR="00961617" w:rsidRPr="00545C7F" w14:paraId="2F65B2AA"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1C3BA347" w14:textId="77777777" w:rsidR="00961617" w:rsidRPr="00545C7F" w:rsidRDefault="00961617" w:rsidP="0020771F">
            <w:pPr>
              <w:pStyle w:val="Tablefirstcolumn"/>
              <w:rPr>
                <w:rFonts w:cstheme="minorHAnsi"/>
              </w:rPr>
            </w:pPr>
            <w:r w:rsidRPr="00545C7F">
              <w:rPr>
                <w:rFonts w:cstheme="minorHAnsi"/>
              </w:rPr>
              <w:t>Commencement stream: Stream 4</w:t>
            </w:r>
          </w:p>
        </w:tc>
        <w:tc>
          <w:tcPr>
            <w:tcW w:w="1417" w:type="dxa"/>
            <w:tcBorders>
              <w:top w:val="nil"/>
              <w:left w:val="nil"/>
              <w:bottom w:val="nil"/>
              <w:right w:val="nil"/>
            </w:tcBorders>
            <w:shd w:val="clear" w:color="auto" w:fill="E5E5E5" w:themeFill="background1" w:themeFillTint="33"/>
            <w:vAlign w:val="center"/>
          </w:tcPr>
          <w:p w14:paraId="36F39C3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-6.5</w:t>
            </w:r>
          </w:p>
        </w:tc>
        <w:tc>
          <w:tcPr>
            <w:tcW w:w="1276" w:type="dxa"/>
            <w:tcBorders>
              <w:top w:val="nil"/>
              <w:left w:val="nil"/>
              <w:bottom w:val="nil"/>
              <w:right w:val="nil"/>
            </w:tcBorders>
            <w:shd w:val="clear" w:color="auto" w:fill="E5E5E5" w:themeFill="background1" w:themeFillTint="33"/>
            <w:vAlign w:val="center"/>
          </w:tcPr>
          <w:p w14:paraId="3ABC66A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0.6</w:t>
            </w:r>
          </w:p>
        </w:tc>
        <w:tc>
          <w:tcPr>
            <w:tcW w:w="1418" w:type="dxa"/>
            <w:tcBorders>
              <w:top w:val="nil"/>
              <w:left w:val="nil"/>
              <w:bottom w:val="nil"/>
              <w:right w:val="nil"/>
            </w:tcBorders>
            <w:shd w:val="clear" w:color="auto" w:fill="E5E5E5" w:themeFill="background1" w:themeFillTint="33"/>
            <w:vAlign w:val="center"/>
          </w:tcPr>
          <w:p w14:paraId="68BC21B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-5.9</w:t>
            </w:r>
          </w:p>
        </w:tc>
        <w:tc>
          <w:tcPr>
            <w:tcW w:w="1275" w:type="dxa"/>
            <w:tcBorders>
              <w:top w:val="nil"/>
              <w:left w:val="nil"/>
              <w:bottom w:val="nil"/>
              <w:right w:val="nil"/>
            </w:tcBorders>
            <w:shd w:val="clear" w:color="auto" w:fill="E5E5E5" w:themeFill="background1" w:themeFillTint="33"/>
            <w:vAlign w:val="center"/>
          </w:tcPr>
          <w:p w14:paraId="146630A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7.3</w:t>
            </w:r>
          </w:p>
        </w:tc>
      </w:tr>
      <w:tr w:rsidR="00961617" w:rsidRPr="00545C7F" w14:paraId="61271F7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6B83F37B" w14:textId="77777777" w:rsidR="00961617" w:rsidRPr="00545C7F" w:rsidRDefault="00961617" w:rsidP="0020771F">
            <w:pPr>
              <w:pStyle w:val="Tablefirstcolumn"/>
              <w:rPr>
                <w:rFonts w:cstheme="minorHAnsi"/>
              </w:rPr>
            </w:pPr>
            <w:r w:rsidRPr="00545C7F">
              <w:rPr>
                <w:rFonts w:cstheme="minorHAnsi"/>
              </w:rPr>
              <w:t>Long-term capacity to participate in the labour force: Partial capacity</w:t>
            </w:r>
          </w:p>
        </w:tc>
        <w:tc>
          <w:tcPr>
            <w:tcW w:w="1417" w:type="dxa"/>
            <w:tcBorders>
              <w:top w:val="nil"/>
              <w:left w:val="nil"/>
              <w:bottom w:val="nil"/>
              <w:right w:val="nil"/>
            </w:tcBorders>
            <w:vAlign w:val="center"/>
          </w:tcPr>
          <w:p w14:paraId="402099B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-6.8</w:t>
            </w:r>
          </w:p>
        </w:tc>
        <w:tc>
          <w:tcPr>
            <w:tcW w:w="1276" w:type="dxa"/>
            <w:tcBorders>
              <w:top w:val="nil"/>
              <w:left w:val="nil"/>
              <w:bottom w:val="nil"/>
              <w:right w:val="nil"/>
            </w:tcBorders>
            <w:vAlign w:val="center"/>
          </w:tcPr>
          <w:p w14:paraId="3DB5C7D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w:t>
            </w:r>
          </w:p>
        </w:tc>
        <w:tc>
          <w:tcPr>
            <w:tcW w:w="1418" w:type="dxa"/>
            <w:tcBorders>
              <w:top w:val="nil"/>
              <w:left w:val="nil"/>
              <w:bottom w:val="nil"/>
              <w:right w:val="nil"/>
            </w:tcBorders>
            <w:vAlign w:val="center"/>
          </w:tcPr>
          <w:p w14:paraId="01C04C1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-4.8</w:t>
            </w:r>
          </w:p>
        </w:tc>
        <w:tc>
          <w:tcPr>
            <w:tcW w:w="1275" w:type="dxa"/>
            <w:tcBorders>
              <w:top w:val="nil"/>
              <w:left w:val="nil"/>
              <w:bottom w:val="nil"/>
              <w:right w:val="nil"/>
            </w:tcBorders>
            <w:vAlign w:val="center"/>
          </w:tcPr>
          <w:p w14:paraId="4933BEA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6.1</w:t>
            </w:r>
          </w:p>
        </w:tc>
      </w:tr>
      <w:tr w:rsidR="00961617" w:rsidRPr="00545C7F" w14:paraId="5D928C41"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34EFB5B5" w14:textId="77777777" w:rsidR="00961617" w:rsidRPr="00545C7F" w:rsidRDefault="00961617" w:rsidP="0020771F">
            <w:pPr>
              <w:pStyle w:val="Tablefirstcolumn"/>
              <w:rPr>
                <w:rFonts w:cstheme="minorHAnsi"/>
              </w:rPr>
            </w:pPr>
            <w:r w:rsidRPr="00545C7F">
              <w:rPr>
                <w:rFonts w:cstheme="minorHAnsi"/>
              </w:rPr>
              <w:t>Long-term capacity to participate in the labour force: Not partial capacity</w:t>
            </w:r>
          </w:p>
        </w:tc>
        <w:tc>
          <w:tcPr>
            <w:tcW w:w="1417" w:type="dxa"/>
            <w:tcBorders>
              <w:top w:val="nil"/>
              <w:left w:val="nil"/>
              <w:bottom w:val="nil"/>
              <w:right w:val="nil"/>
            </w:tcBorders>
            <w:shd w:val="clear" w:color="auto" w:fill="E5E5E5" w:themeFill="background1" w:themeFillTint="33"/>
            <w:vAlign w:val="center"/>
          </w:tcPr>
          <w:p w14:paraId="6B1ABC8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-10.8</w:t>
            </w:r>
          </w:p>
        </w:tc>
        <w:tc>
          <w:tcPr>
            <w:tcW w:w="1276" w:type="dxa"/>
            <w:tcBorders>
              <w:top w:val="nil"/>
              <w:left w:val="nil"/>
              <w:bottom w:val="nil"/>
              <w:right w:val="nil"/>
            </w:tcBorders>
            <w:shd w:val="clear" w:color="auto" w:fill="E5E5E5" w:themeFill="background1" w:themeFillTint="33"/>
            <w:vAlign w:val="center"/>
          </w:tcPr>
          <w:p w14:paraId="7BBFE78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w:t>
            </w:r>
          </w:p>
        </w:tc>
        <w:tc>
          <w:tcPr>
            <w:tcW w:w="1418" w:type="dxa"/>
            <w:tcBorders>
              <w:top w:val="nil"/>
              <w:left w:val="nil"/>
              <w:bottom w:val="nil"/>
              <w:right w:val="nil"/>
            </w:tcBorders>
            <w:shd w:val="clear" w:color="auto" w:fill="E5E5E5" w:themeFill="background1" w:themeFillTint="33"/>
            <w:vAlign w:val="center"/>
          </w:tcPr>
          <w:p w14:paraId="0C22076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-8.7</w:t>
            </w:r>
          </w:p>
        </w:tc>
        <w:tc>
          <w:tcPr>
            <w:tcW w:w="1275" w:type="dxa"/>
            <w:tcBorders>
              <w:top w:val="nil"/>
              <w:left w:val="nil"/>
              <w:bottom w:val="nil"/>
              <w:right w:val="nil"/>
            </w:tcBorders>
            <w:shd w:val="clear" w:color="auto" w:fill="E5E5E5" w:themeFill="background1" w:themeFillTint="33"/>
            <w:vAlign w:val="center"/>
          </w:tcPr>
          <w:p w14:paraId="1081C5E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4.5</w:t>
            </w:r>
          </w:p>
        </w:tc>
      </w:tr>
      <w:tr w:rsidR="00961617" w:rsidRPr="00545C7F" w14:paraId="50853C27"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A1B892E" w14:textId="77777777" w:rsidR="00961617" w:rsidRPr="00545C7F" w:rsidRDefault="00961617" w:rsidP="0020771F">
            <w:pPr>
              <w:pStyle w:val="Tablefirstcolumn"/>
              <w:rPr>
                <w:rFonts w:cstheme="minorHAnsi"/>
              </w:rPr>
            </w:pPr>
            <w:r w:rsidRPr="00545C7F">
              <w:rPr>
                <w:rFonts w:cstheme="minorHAnsi"/>
              </w:rPr>
              <w:t>Gender and age group: Males aged &lt; 25 years</w:t>
            </w:r>
          </w:p>
        </w:tc>
        <w:tc>
          <w:tcPr>
            <w:tcW w:w="1417" w:type="dxa"/>
            <w:tcBorders>
              <w:top w:val="nil"/>
              <w:left w:val="nil"/>
              <w:bottom w:val="nil"/>
              <w:right w:val="nil"/>
            </w:tcBorders>
            <w:vAlign w:val="center"/>
          </w:tcPr>
          <w:p w14:paraId="6D6A954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-7.7</w:t>
            </w:r>
          </w:p>
        </w:tc>
        <w:tc>
          <w:tcPr>
            <w:tcW w:w="1276" w:type="dxa"/>
            <w:tcBorders>
              <w:top w:val="nil"/>
              <w:left w:val="nil"/>
              <w:bottom w:val="nil"/>
              <w:right w:val="nil"/>
            </w:tcBorders>
            <w:vAlign w:val="center"/>
          </w:tcPr>
          <w:p w14:paraId="2CEECB3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w:t>
            </w:r>
          </w:p>
        </w:tc>
        <w:tc>
          <w:tcPr>
            <w:tcW w:w="1418" w:type="dxa"/>
            <w:tcBorders>
              <w:top w:val="nil"/>
              <w:left w:val="nil"/>
              <w:bottom w:val="nil"/>
              <w:right w:val="nil"/>
            </w:tcBorders>
            <w:vAlign w:val="center"/>
          </w:tcPr>
          <w:p w14:paraId="5FF7F7B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-5.7</w:t>
            </w:r>
          </w:p>
        </w:tc>
        <w:tc>
          <w:tcPr>
            <w:tcW w:w="1275" w:type="dxa"/>
            <w:tcBorders>
              <w:top w:val="nil"/>
              <w:left w:val="nil"/>
              <w:bottom w:val="nil"/>
              <w:right w:val="nil"/>
            </w:tcBorders>
            <w:vAlign w:val="center"/>
          </w:tcPr>
          <w:p w14:paraId="46E8154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18.5</w:t>
            </w:r>
          </w:p>
        </w:tc>
      </w:tr>
      <w:tr w:rsidR="00961617" w:rsidRPr="00545C7F" w14:paraId="21D062ED"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22618B92" w14:textId="77777777" w:rsidR="00961617" w:rsidRPr="00545C7F" w:rsidRDefault="00961617" w:rsidP="0020771F">
            <w:pPr>
              <w:pStyle w:val="Tablefirstcolumn"/>
              <w:rPr>
                <w:rFonts w:cstheme="minorHAnsi"/>
              </w:rPr>
            </w:pPr>
            <w:r w:rsidRPr="00545C7F">
              <w:rPr>
                <w:rFonts w:cstheme="minorHAnsi"/>
              </w:rPr>
              <w:t>Gender and age group: Males aged 25-49 years</w:t>
            </w:r>
          </w:p>
        </w:tc>
        <w:tc>
          <w:tcPr>
            <w:tcW w:w="1417" w:type="dxa"/>
            <w:tcBorders>
              <w:top w:val="nil"/>
              <w:left w:val="nil"/>
              <w:bottom w:val="nil"/>
              <w:right w:val="nil"/>
            </w:tcBorders>
            <w:shd w:val="clear" w:color="auto" w:fill="E5E5E5" w:themeFill="background1" w:themeFillTint="33"/>
            <w:vAlign w:val="center"/>
          </w:tcPr>
          <w:p w14:paraId="13342CF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-8.3</w:t>
            </w:r>
          </w:p>
        </w:tc>
        <w:tc>
          <w:tcPr>
            <w:tcW w:w="1276" w:type="dxa"/>
            <w:tcBorders>
              <w:top w:val="nil"/>
              <w:left w:val="nil"/>
              <w:bottom w:val="nil"/>
              <w:right w:val="nil"/>
            </w:tcBorders>
            <w:shd w:val="clear" w:color="auto" w:fill="E5E5E5" w:themeFill="background1" w:themeFillTint="33"/>
            <w:vAlign w:val="center"/>
          </w:tcPr>
          <w:p w14:paraId="53AED4A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w:t>
            </w:r>
          </w:p>
        </w:tc>
        <w:tc>
          <w:tcPr>
            <w:tcW w:w="1418" w:type="dxa"/>
            <w:tcBorders>
              <w:top w:val="nil"/>
              <w:left w:val="nil"/>
              <w:bottom w:val="nil"/>
              <w:right w:val="nil"/>
            </w:tcBorders>
            <w:shd w:val="clear" w:color="auto" w:fill="E5E5E5" w:themeFill="background1" w:themeFillTint="33"/>
            <w:vAlign w:val="center"/>
          </w:tcPr>
          <w:p w14:paraId="7520F65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-6.8</w:t>
            </w:r>
          </w:p>
        </w:tc>
        <w:tc>
          <w:tcPr>
            <w:tcW w:w="1275" w:type="dxa"/>
            <w:tcBorders>
              <w:top w:val="nil"/>
              <w:left w:val="nil"/>
              <w:bottom w:val="nil"/>
              <w:right w:val="nil"/>
            </w:tcBorders>
            <w:shd w:val="clear" w:color="auto" w:fill="E5E5E5" w:themeFill="background1" w:themeFillTint="33"/>
            <w:vAlign w:val="center"/>
          </w:tcPr>
          <w:p w14:paraId="0C97421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7.3</w:t>
            </w:r>
          </w:p>
        </w:tc>
      </w:tr>
      <w:tr w:rsidR="00961617" w:rsidRPr="00545C7F" w14:paraId="2E17CE11"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26FD266" w14:textId="77777777" w:rsidR="00961617" w:rsidRPr="00545C7F" w:rsidRDefault="00961617" w:rsidP="0020771F">
            <w:pPr>
              <w:pStyle w:val="Tablefirstcolumn"/>
              <w:rPr>
                <w:rFonts w:cstheme="minorHAnsi"/>
              </w:rPr>
            </w:pPr>
            <w:r w:rsidRPr="00545C7F">
              <w:rPr>
                <w:rFonts w:cstheme="minorHAnsi"/>
              </w:rPr>
              <w:t>Gender and age group: Males ages 50+ years</w:t>
            </w:r>
          </w:p>
        </w:tc>
        <w:tc>
          <w:tcPr>
            <w:tcW w:w="1417" w:type="dxa"/>
            <w:tcBorders>
              <w:top w:val="nil"/>
              <w:left w:val="nil"/>
              <w:bottom w:val="nil"/>
              <w:right w:val="nil"/>
            </w:tcBorders>
            <w:vAlign w:val="center"/>
          </w:tcPr>
          <w:p w14:paraId="26E764A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-12.8</w:t>
            </w:r>
          </w:p>
        </w:tc>
        <w:tc>
          <w:tcPr>
            <w:tcW w:w="1276" w:type="dxa"/>
            <w:tcBorders>
              <w:top w:val="nil"/>
              <w:left w:val="nil"/>
              <w:bottom w:val="nil"/>
              <w:right w:val="nil"/>
            </w:tcBorders>
            <w:vAlign w:val="center"/>
          </w:tcPr>
          <w:p w14:paraId="160D2D1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0.9</w:t>
            </w:r>
          </w:p>
        </w:tc>
        <w:tc>
          <w:tcPr>
            <w:tcW w:w="1418" w:type="dxa"/>
            <w:tcBorders>
              <w:top w:val="nil"/>
              <w:left w:val="nil"/>
              <w:bottom w:val="nil"/>
              <w:right w:val="nil"/>
            </w:tcBorders>
            <w:vAlign w:val="center"/>
          </w:tcPr>
          <w:p w14:paraId="12879DB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-11.9</w:t>
            </w:r>
          </w:p>
        </w:tc>
        <w:tc>
          <w:tcPr>
            <w:tcW w:w="1275" w:type="dxa"/>
            <w:tcBorders>
              <w:top w:val="nil"/>
              <w:left w:val="nil"/>
              <w:bottom w:val="nil"/>
              <w:right w:val="nil"/>
            </w:tcBorders>
            <w:vAlign w:val="center"/>
          </w:tcPr>
          <w:p w14:paraId="77B9CDC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-4.1</w:t>
            </w:r>
          </w:p>
        </w:tc>
      </w:tr>
      <w:tr w:rsidR="00961617" w:rsidRPr="00545C7F" w14:paraId="493A57FE"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62493160" w14:textId="77777777" w:rsidR="00961617" w:rsidRPr="00545C7F" w:rsidRDefault="00961617" w:rsidP="0020771F">
            <w:pPr>
              <w:pStyle w:val="Tablefirstcolumn"/>
              <w:rPr>
                <w:rFonts w:cstheme="minorHAnsi"/>
              </w:rPr>
            </w:pPr>
            <w:r w:rsidRPr="00545C7F">
              <w:rPr>
                <w:rFonts w:cstheme="minorHAnsi"/>
              </w:rPr>
              <w:t>Gender and age group: Females aged &lt; 25 years</w:t>
            </w:r>
          </w:p>
        </w:tc>
        <w:tc>
          <w:tcPr>
            <w:tcW w:w="1417" w:type="dxa"/>
            <w:tcBorders>
              <w:top w:val="nil"/>
              <w:left w:val="nil"/>
              <w:bottom w:val="nil"/>
              <w:right w:val="nil"/>
            </w:tcBorders>
            <w:shd w:val="clear" w:color="auto" w:fill="E5E5E5" w:themeFill="background1" w:themeFillTint="33"/>
            <w:vAlign w:val="center"/>
          </w:tcPr>
          <w:p w14:paraId="2CF8097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-9.2</w:t>
            </w:r>
          </w:p>
        </w:tc>
        <w:tc>
          <w:tcPr>
            <w:tcW w:w="1276" w:type="dxa"/>
            <w:tcBorders>
              <w:top w:val="nil"/>
              <w:left w:val="nil"/>
              <w:bottom w:val="nil"/>
              <w:right w:val="nil"/>
            </w:tcBorders>
            <w:shd w:val="clear" w:color="auto" w:fill="E5E5E5" w:themeFill="background1" w:themeFillTint="33"/>
            <w:vAlign w:val="center"/>
          </w:tcPr>
          <w:p w14:paraId="4290E38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0.1</w:t>
            </w:r>
          </w:p>
        </w:tc>
        <w:tc>
          <w:tcPr>
            <w:tcW w:w="1418" w:type="dxa"/>
            <w:tcBorders>
              <w:top w:val="nil"/>
              <w:left w:val="nil"/>
              <w:bottom w:val="nil"/>
              <w:right w:val="nil"/>
            </w:tcBorders>
            <w:shd w:val="clear" w:color="auto" w:fill="E5E5E5" w:themeFill="background1" w:themeFillTint="33"/>
            <w:vAlign w:val="center"/>
          </w:tcPr>
          <w:p w14:paraId="4B760AE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-9.1</w:t>
            </w:r>
          </w:p>
        </w:tc>
        <w:tc>
          <w:tcPr>
            <w:tcW w:w="1275" w:type="dxa"/>
            <w:tcBorders>
              <w:top w:val="nil"/>
              <w:left w:val="nil"/>
              <w:bottom w:val="nil"/>
              <w:right w:val="nil"/>
            </w:tcBorders>
            <w:shd w:val="clear" w:color="auto" w:fill="E5E5E5" w:themeFill="background1" w:themeFillTint="33"/>
            <w:vAlign w:val="center"/>
          </w:tcPr>
          <w:p w14:paraId="0A8C739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-2.4</w:t>
            </w:r>
          </w:p>
        </w:tc>
      </w:tr>
      <w:tr w:rsidR="00961617" w:rsidRPr="00545C7F" w14:paraId="5FA5F0E0"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E4E8EB4" w14:textId="77777777" w:rsidR="00961617" w:rsidRPr="00545C7F" w:rsidRDefault="00961617" w:rsidP="0020771F">
            <w:pPr>
              <w:pStyle w:val="Tablefirstcolumn"/>
              <w:rPr>
                <w:rFonts w:cstheme="minorHAnsi"/>
              </w:rPr>
            </w:pPr>
            <w:r w:rsidRPr="00545C7F">
              <w:rPr>
                <w:rFonts w:cstheme="minorHAnsi"/>
              </w:rPr>
              <w:t>Gender and age group: Females aged 25-49 years</w:t>
            </w:r>
          </w:p>
        </w:tc>
        <w:tc>
          <w:tcPr>
            <w:tcW w:w="1417" w:type="dxa"/>
            <w:tcBorders>
              <w:top w:val="nil"/>
              <w:left w:val="nil"/>
              <w:bottom w:val="nil"/>
              <w:right w:val="nil"/>
            </w:tcBorders>
            <w:vAlign w:val="center"/>
          </w:tcPr>
          <w:p w14:paraId="06C56AA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-9.0</w:t>
            </w:r>
          </w:p>
        </w:tc>
        <w:tc>
          <w:tcPr>
            <w:tcW w:w="1276" w:type="dxa"/>
            <w:tcBorders>
              <w:top w:val="nil"/>
              <w:left w:val="nil"/>
              <w:bottom w:val="nil"/>
              <w:right w:val="nil"/>
            </w:tcBorders>
            <w:vAlign w:val="center"/>
          </w:tcPr>
          <w:p w14:paraId="5E996BA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5.9</w:t>
            </w:r>
          </w:p>
        </w:tc>
        <w:tc>
          <w:tcPr>
            <w:tcW w:w="1418" w:type="dxa"/>
            <w:tcBorders>
              <w:top w:val="nil"/>
              <w:left w:val="nil"/>
              <w:bottom w:val="nil"/>
              <w:right w:val="nil"/>
            </w:tcBorders>
            <w:vAlign w:val="center"/>
          </w:tcPr>
          <w:p w14:paraId="3EC3971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-3.1</w:t>
            </w:r>
          </w:p>
        </w:tc>
        <w:tc>
          <w:tcPr>
            <w:tcW w:w="1275" w:type="dxa"/>
            <w:tcBorders>
              <w:top w:val="nil"/>
              <w:left w:val="nil"/>
              <w:bottom w:val="nil"/>
              <w:right w:val="nil"/>
            </w:tcBorders>
            <w:vAlign w:val="center"/>
          </w:tcPr>
          <w:p w14:paraId="7089559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7.4</w:t>
            </w:r>
          </w:p>
        </w:tc>
      </w:tr>
      <w:tr w:rsidR="00961617" w:rsidRPr="00545C7F" w14:paraId="2EBB365F"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7C16ABFF" w14:textId="77777777" w:rsidR="00961617" w:rsidRPr="00545C7F" w:rsidRDefault="00961617" w:rsidP="0020771F">
            <w:pPr>
              <w:pStyle w:val="Tablefirstcolumn"/>
              <w:rPr>
                <w:rFonts w:cstheme="minorHAnsi"/>
              </w:rPr>
            </w:pPr>
            <w:r w:rsidRPr="00545C7F">
              <w:rPr>
                <w:rFonts w:cstheme="minorHAnsi"/>
              </w:rPr>
              <w:t>Gender and age group: Females aged 50+ years</w:t>
            </w:r>
          </w:p>
        </w:tc>
        <w:tc>
          <w:tcPr>
            <w:tcW w:w="1417" w:type="dxa"/>
            <w:tcBorders>
              <w:top w:val="nil"/>
              <w:left w:val="nil"/>
              <w:bottom w:val="nil"/>
              <w:right w:val="nil"/>
            </w:tcBorders>
            <w:shd w:val="clear" w:color="auto" w:fill="E5E5E5" w:themeFill="background1" w:themeFillTint="33"/>
            <w:vAlign w:val="center"/>
          </w:tcPr>
          <w:p w14:paraId="0CD141B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-4.1</w:t>
            </w:r>
          </w:p>
        </w:tc>
        <w:tc>
          <w:tcPr>
            <w:tcW w:w="1276" w:type="dxa"/>
            <w:tcBorders>
              <w:top w:val="nil"/>
              <w:left w:val="nil"/>
              <w:bottom w:val="nil"/>
              <w:right w:val="nil"/>
            </w:tcBorders>
            <w:shd w:val="clear" w:color="auto" w:fill="E5E5E5" w:themeFill="background1" w:themeFillTint="33"/>
            <w:vAlign w:val="center"/>
          </w:tcPr>
          <w:p w14:paraId="52D1ADB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-4.4</w:t>
            </w:r>
          </w:p>
        </w:tc>
        <w:tc>
          <w:tcPr>
            <w:tcW w:w="1418" w:type="dxa"/>
            <w:tcBorders>
              <w:top w:val="nil"/>
              <w:left w:val="nil"/>
              <w:bottom w:val="nil"/>
              <w:right w:val="nil"/>
            </w:tcBorders>
            <w:shd w:val="clear" w:color="auto" w:fill="E5E5E5" w:themeFill="background1" w:themeFillTint="33"/>
            <w:vAlign w:val="center"/>
          </w:tcPr>
          <w:p w14:paraId="510228D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-8.5</w:t>
            </w:r>
          </w:p>
        </w:tc>
        <w:tc>
          <w:tcPr>
            <w:tcW w:w="1275" w:type="dxa"/>
            <w:tcBorders>
              <w:top w:val="nil"/>
              <w:left w:val="nil"/>
              <w:bottom w:val="nil"/>
              <w:right w:val="nil"/>
            </w:tcBorders>
            <w:shd w:val="clear" w:color="auto" w:fill="E5E5E5" w:themeFill="background1" w:themeFillTint="33"/>
            <w:vAlign w:val="center"/>
          </w:tcPr>
          <w:p w14:paraId="5AE56E0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4.1</w:t>
            </w:r>
          </w:p>
        </w:tc>
      </w:tr>
      <w:tr w:rsidR="00961617" w:rsidRPr="00545C7F" w14:paraId="1265A766"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F21B1F4" w14:textId="77777777" w:rsidR="00961617" w:rsidRPr="00545C7F" w:rsidRDefault="00961617" w:rsidP="0020771F">
            <w:pPr>
              <w:pStyle w:val="Tablefirstcolumn"/>
              <w:rPr>
                <w:rFonts w:cstheme="minorHAnsi"/>
              </w:rPr>
            </w:pPr>
            <w:r w:rsidRPr="00545C7F">
              <w:rPr>
                <w:rFonts w:cstheme="minorHAnsi"/>
              </w:rPr>
              <w:t>Length of unemployment: 1 to less than 2 years</w:t>
            </w:r>
          </w:p>
        </w:tc>
        <w:tc>
          <w:tcPr>
            <w:tcW w:w="1417" w:type="dxa"/>
            <w:tcBorders>
              <w:top w:val="nil"/>
              <w:left w:val="nil"/>
              <w:bottom w:val="nil"/>
              <w:right w:val="nil"/>
            </w:tcBorders>
            <w:vAlign w:val="center"/>
          </w:tcPr>
          <w:p w14:paraId="2AB4B68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-11.0</w:t>
            </w:r>
          </w:p>
        </w:tc>
        <w:tc>
          <w:tcPr>
            <w:tcW w:w="1276" w:type="dxa"/>
            <w:tcBorders>
              <w:top w:val="nil"/>
              <w:left w:val="nil"/>
              <w:bottom w:val="nil"/>
              <w:right w:val="nil"/>
            </w:tcBorders>
            <w:vAlign w:val="center"/>
          </w:tcPr>
          <w:p w14:paraId="71CA5D0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w:t>
            </w:r>
          </w:p>
        </w:tc>
        <w:tc>
          <w:tcPr>
            <w:tcW w:w="1418" w:type="dxa"/>
            <w:tcBorders>
              <w:top w:val="nil"/>
              <w:left w:val="nil"/>
              <w:bottom w:val="nil"/>
              <w:right w:val="nil"/>
            </w:tcBorders>
            <w:vAlign w:val="center"/>
          </w:tcPr>
          <w:p w14:paraId="7B600AD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-13.0</w:t>
            </w:r>
          </w:p>
        </w:tc>
        <w:tc>
          <w:tcPr>
            <w:tcW w:w="1275" w:type="dxa"/>
            <w:tcBorders>
              <w:top w:val="nil"/>
              <w:left w:val="nil"/>
              <w:bottom w:val="nil"/>
              <w:right w:val="nil"/>
            </w:tcBorders>
            <w:vAlign w:val="center"/>
          </w:tcPr>
          <w:p w14:paraId="2E8DD65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9.7</w:t>
            </w:r>
          </w:p>
        </w:tc>
      </w:tr>
      <w:tr w:rsidR="00961617" w:rsidRPr="00545C7F" w14:paraId="466D885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60D39FF6" w14:textId="77777777" w:rsidR="00961617" w:rsidRPr="00545C7F" w:rsidRDefault="00961617" w:rsidP="0020771F">
            <w:pPr>
              <w:pStyle w:val="Tablefirstcolumn"/>
              <w:rPr>
                <w:rFonts w:cstheme="minorHAnsi"/>
              </w:rPr>
            </w:pPr>
            <w:r w:rsidRPr="00545C7F">
              <w:rPr>
                <w:rFonts w:cstheme="minorHAnsi"/>
              </w:rPr>
              <w:t>Length of unemployment: 2 to less than 5 years</w:t>
            </w:r>
          </w:p>
        </w:tc>
        <w:tc>
          <w:tcPr>
            <w:tcW w:w="1417" w:type="dxa"/>
            <w:tcBorders>
              <w:top w:val="nil"/>
              <w:left w:val="nil"/>
              <w:bottom w:val="nil"/>
              <w:right w:val="nil"/>
            </w:tcBorders>
            <w:shd w:val="clear" w:color="auto" w:fill="E5E5E5" w:themeFill="background1" w:themeFillTint="33"/>
            <w:vAlign w:val="center"/>
          </w:tcPr>
          <w:p w14:paraId="31AC8B2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-4.9</w:t>
            </w:r>
          </w:p>
        </w:tc>
        <w:tc>
          <w:tcPr>
            <w:tcW w:w="1276" w:type="dxa"/>
            <w:tcBorders>
              <w:top w:val="nil"/>
              <w:left w:val="nil"/>
              <w:bottom w:val="nil"/>
              <w:right w:val="nil"/>
            </w:tcBorders>
            <w:shd w:val="clear" w:color="auto" w:fill="E5E5E5" w:themeFill="background1" w:themeFillTint="33"/>
            <w:vAlign w:val="center"/>
          </w:tcPr>
          <w:p w14:paraId="4362B7B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2.0</w:t>
            </w:r>
          </w:p>
        </w:tc>
        <w:tc>
          <w:tcPr>
            <w:tcW w:w="1418" w:type="dxa"/>
            <w:tcBorders>
              <w:top w:val="nil"/>
              <w:left w:val="nil"/>
              <w:bottom w:val="nil"/>
              <w:right w:val="nil"/>
            </w:tcBorders>
            <w:shd w:val="clear" w:color="auto" w:fill="E5E5E5" w:themeFill="background1" w:themeFillTint="33"/>
            <w:vAlign w:val="center"/>
          </w:tcPr>
          <w:p w14:paraId="3D2E1CC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w:t>
            </w:r>
          </w:p>
        </w:tc>
        <w:tc>
          <w:tcPr>
            <w:tcW w:w="1275" w:type="dxa"/>
            <w:tcBorders>
              <w:top w:val="nil"/>
              <w:left w:val="nil"/>
              <w:bottom w:val="nil"/>
              <w:right w:val="nil"/>
            </w:tcBorders>
            <w:shd w:val="clear" w:color="auto" w:fill="E5E5E5" w:themeFill="background1" w:themeFillTint="33"/>
            <w:vAlign w:val="center"/>
          </w:tcPr>
          <w:p w14:paraId="2D12D47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-0.4</w:t>
            </w:r>
          </w:p>
        </w:tc>
      </w:tr>
      <w:tr w:rsidR="00961617" w:rsidRPr="00545C7F" w14:paraId="057AB42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731514ED" w14:textId="77777777" w:rsidR="00961617" w:rsidRPr="00545C7F" w:rsidRDefault="00961617" w:rsidP="0020771F">
            <w:pPr>
              <w:pStyle w:val="Tablefirstcolumn"/>
              <w:rPr>
                <w:rFonts w:cstheme="minorHAnsi"/>
              </w:rPr>
            </w:pPr>
            <w:r w:rsidRPr="00545C7F">
              <w:rPr>
                <w:rFonts w:cstheme="minorHAnsi"/>
              </w:rPr>
              <w:t>Length of unemployment: 5 years or more</w:t>
            </w:r>
          </w:p>
        </w:tc>
        <w:tc>
          <w:tcPr>
            <w:tcW w:w="1417" w:type="dxa"/>
            <w:tcBorders>
              <w:top w:val="nil"/>
              <w:left w:val="nil"/>
              <w:bottom w:val="nil"/>
              <w:right w:val="nil"/>
            </w:tcBorders>
            <w:vAlign w:val="center"/>
          </w:tcPr>
          <w:p w14:paraId="0AD0AA5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-6.0</w:t>
            </w:r>
          </w:p>
        </w:tc>
        <w:tc>
          <w:tcPr>
            <w:tcW w:w="1276" w:type="dxa"/>
            <w:tcBorders>
              <w:top w:val="nil"/>
              <w:left w:val="nil"/>
              <w:bottom w:val="nil"/>
              <w:right w:val="nil"/>
            </w:tcBorders>
            <w:vAlign w:val="center"/>
          </w:tcPr>
          <w:p w14:paraId="0223377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6.1</w:t>
            </w:r>
          </w:p>
        </w:tc>
        <w:tc>
          <w:tcPr>
            <w:tcW w:w="1418" w:type="dxa"/>
            <w:tcBorders>
              <w:top w:val="nil"/>
              <w:left w:val="nil"/>
              <w:bottom w:val="nil"/>
              <w:right w:val="nil"/>
            </w:tcBorders>
            <w:vAlign w:val="center"/>
          </w:tcPr>
          <w:p w14:paraId="1C1315F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0.1</w:t>
            </w:r>
          </w:p>
        </w:tc>
        <w:tc>
          <w:tcPr>
            <w:tcW w:w="1275" w:type="dxa"/>
            <w:tcBorders>
              <w:top w:val="nil"/>
              <w:left w:val="nil"/>
              <w:bottom w:val="nil"/>
              <w:right w:val="nil"/>
            </w:tcBorders>
            <w:vAlign w:val="center"/>
          </w:tcPr>
          <w:p w14:paraId="233D65E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10.4</w:t>
            </w:r>
          </w:p>
        </w:tc>
      </w:tr>
      <w:tr w:rsidR="00961617" w:rsidRPr="00545C7F" w14:paraId="70A1B2DA"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4F5EB561" w14:textId="77777777" w:rsidR="00961617" w:rsidRPr="00545C7F" w:rsidRDefault="00961617" w:rsidP="0020771F">
            <w:pPr>
              <w:pStyle w:val="Tablefirstcolumn"/>
              <w:rPr>
                <w:rFonts w:cstheme="minorHAnsi"/>
              </w:rPr>
            </w:pPr>
            <w:r w:rsidRPr="00545C7F">
              <w:rPr>
                <w:rFonts w:cstheme="minorHAnsi"/>
              </w:rPr>
              <w:t>Income support type: NSA/YA(O)</w:t>
            </w:r>
          </w:p>
        </w:tc>
        <w:tc>
          <w:tcPr>
            <w:tcW w:w="1417" w:type="dxa"/>
            <w:tcBorders>
              <w:top w:val="nil"/>
              <w:left w:val="nil"/>
              <w:bottom w:val="nil"/>
              <w:right w:val="nil"/>
            </w:tcBorders>
            <w:shd w:val="clear" w:color="auto" w:fill="E5E5E5" w:themeFill="background1" w:themeFillTint="33"/>
            <w:vAlign w:val="center"/>
          </w:tcPr>
          <w:p w14:paraId="7F61295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-8.5</w:t>
            </w:r>
          </w:p>
        </w:tc>
        <w:tc>
          <w:tcPr>
            <w:tcW w:w="1276" w:type="dxa"/>
            <w:tcBorders>
              <w:top w:val="nil"/>
              <w:left w:val="nil"/>
              <w:bottom w:val="nil"/>
              <w:right w:val="nil"/>
            </w:tcBorders>
            <w:shd w:val="clear" w:color="auto" w:fill="E5E5E5" w:themeFill="background1" w:themeFillTint="33"/>
            <w:vAlign w:val="center"/>
          </w:tcPr>
          <w:p w14:paraId="4D7B1BE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w:t>
            </w:r>
          </w:p>
        </w:tc>
        <w:tc>
          <w:tcPr>
            <w:tcW w:w="1418" w:type="dxa"/>
            <w:tcBorders>
              <w:top w:val="nil"/>
              <w:left w:val="nil"/>
              <w:bottom w:val="nil"/>
              <w:right w:val="nil"/>
            </w:tcBorders>
            <w:shd w:val="clear" w:color="auto" w:fill="E5E5E5" w:themeFill="background1" w:themeFillTint="33"/>
            <w:vAlign w:val="center"/>
          </w:tcPr>
          <w:p w14:paraId="06E998E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-5.2</w:t>
            </w:r>
          </w:p>
        </w:tc>
        <w:tc>
          <w:tcPr>
            <w:tcW w:w="1275" w:type="dxa"/>
            <w:tcBorders>
              <w:top w:val="nil"/>
              <w:left w:val="nil"/>
              <w:bottom w:val="nil"/>
              <w:right w:val="nil"/>
            </w:tcBorders>
            <w:shd w:val="clear" w:color="auto" w:fill="E5E5E5" w:themeFill="background1" w:themeFillTint="33"/>
            <w:vAlign w:val="center"/>
          </w:tcPr>
          <w:p w14:paraId="4A9C7E2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5.9</w:t>
            </w:r>
          </w:p>
        </w:tc>
      </w:tr>
      <w:tr w:rsidR="00961617" w:rsidRPr="00545C7F" w14:paraId="40A46978"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065756FA" w14:textId="77777777" w:rsidR="00961617" w:rsidRPr="00545C7F" w:rsidRDefault="00961617" w:rsidP="0020771F">
            <w:pPr>
              <w:pStyle w:val="Tablefirstcolumn"/>
              <w:rPr>
                <w:rFonts w:cstheme="minorHAnsi"/>
              </w:rPr>
            </w:pPr>
            <w:r w:rsidRPr="00545C7F">
              <w:rPr>
                <w:rFonts w:cstheme="minorHAnsi"/>
              </w:rPr>
              <w:t>Income support type: PPP/PPS</w:t>
            </w:r>
          </w:p>
        </w:tc>
        <w:tc>
          <w:tcPr>
            <w:tcW w:w="1417" w:type="dxa"/>
            <w:tcBorders>
              <w:top w:val="nil"/>
              <w:left w:val="nil"/>
              <w:bottom w:val="nil"/>
              <w:right w:val="nil"/>
            </w:tcBorders>
            <w:vAlign w:val="center"/>
          </w:tcPr>
          <w:p w14:paraId="5FB0590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n.a.</w:t>
            </w:r>
          </w:p>
        </w:tc>
        <w:tc>
          <w:tcPr>
            <w:tcW w:w="1276" w:type="dxa"/>
            <w:tcBorders>
              <w:top w:val="nil"/>
              <w:left w:val="nil"/>
              <w:bottom w:val="nil"/>
              <w:right w:val="nil"/>
            </w:tcBorders>
            <w:vAlign w:val="center"/>
          </w:tcPr>
          <w:p w14:paraId="0B5397A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n.a.</w:t>
            </w:r>
          </w:p>
        </w:tc>
        <w:tc>
          <w:tcPr>
            <w:tcW w:w="1418" w:type="dxa"/>
            <w:tcBorders>
              <w:top w:val="nil"/>
              <w:left w:val="nil"/>
              <w:bottom w:val="nil"/>
              <w:right w:val="nil"/>
            </w:tcBorders>
            <w:vAlign w:val="center"/>
          </w:tcPr>
          <w:p w14:paraId="20EE2AD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-27.9</w:t>
            </w:r>
          </w:p>
        </w:tc>
        <w:tc>
          <w:tcPr>
            <w:tcW w:w="1275" w:type="dxa"/>
            <w:tcBorders>
              <w:top w:val="nil"/>
              <w:left w:val="nil"/>
              <w:bottom w:val="nil"/>
              <w:right w:val="nil"/>
            </w:tcBorders>
            <w:vAlign w:val="center"/>
          </w:tcPr>
          <w:p w14:paraId="6BEEBBB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7.6</w:t>
            </w:r>
          </w:p>
        </w:tc>
      </w:tr>
      <w:tr w:rsidR="00961617" w:rsidRPr="00545C7F" w14:paraId="62322C11"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7E6F0286" w14:textId="77777777" w:rsidR="00961617" w:rsidRPr="00545C7F" w:rsidRDefault="00961617" w:rsidP="0020771F">
            <w:pPr>
              <w:pStyle w:val="Tablefirstcolumn"/>
              <w:rPr>
                <w:rFonts w:cstheme="minorHAnsi"/>
              </w:rPr>
            </w:pPr>
            <w:r w:rsidRPr="00545C7F">
              <w:rPr>
                <w:rFonts w:cstheme="minorHAnsi"/>
              </w:rPr>
              <w:t>Income support type: Other income support type/not on income support</w:t>
            </w:r>
          </w:p>
        </w:tc>
        <w:tc>
          <w:tcPr>
            <w:tcW w:w="1417" w:type="dxa"/>
            <w:tcBorders>
              <w:top w:val="nil"/>
              <w:left w:val="nil"/>
              <w:bottom w:val="nil"/>
              <w:right w:val="nil"/>
            </w:tcBorders>
            <w:shd w:val="clear" w:color="auto" w:fill="E5E5E5" w:themeFill="background1" w:themeFillTint="33"/>
            <w:vAlign w:val="center"/>
          </w:tcPr>
          <w:p w14:paraId="03C0B80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-12.5</w:t>
            </w:r>
          </w:p>
        </w:tc>
        <w:tc>
          <w:tcPr>
            <w:tcW w:w="1276" w:type="dxa"/>
            <w:tcBorders>
              <w:top w:val="nil"/>
              <w:left w:val="nil"/>
              <w:bottom w:val="nil"/>
              <w:right w:val="nil"/>
            </w:tcBorders>
            <w:shd w:val="clear" w:color="auto" w:fill="E5E5E5" w:themeFill="background1" w:themeFillTint="33"/>
            <w:vAlign w:val="center"/>
          </w:tcPr>
          <w:p w14:paraId="1360CD5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3.3</w:t>
            </w:r>
          </w:p>
        </w:tc>
        <w:tc>
          <w:tcPr>
            <w:tcW w:w="1418" w:type="dxa"/>
            <w:tcBorders>
              <w:top w:val="nil"/>
              <w:left w:val="nil"/>
              <w:bottom w:val="nil"/>
              <w:right w:val="nil"/>
            </w:tcBorders>
            <w:shd w:val="clear" w:color="auto" w:fill="E5E5E5" w:themeFill="background1" w:themeFillTint="33"/>
            <w:vAlign w:val="center"/>
          </w:tcPr>
          <w:p w14:paraId="03B36D6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-9.2</w:t>
            </w:r>
          </w:p>
        </w:tc>
        <w:tc>
          <w:tcPr>
            <w:tcW w:w="1275" w:type="dxa"/>
            <w:tcBorders>
              <w:top w:val="nil"/>
              <w:left w:val="nil"/>
              <w:bottom w:val="nil"/>
              <w:right w:val="nil"/>
            </w:tcBorders>
            <w:shd w:val="clear" w:color="auto" w:fill="E5E5E5" w:themeFill="background1" w:themeFillTint="33"/>
            <w:vAlign w:val="center"/>
          </w:tcPr>
          <w:p w14:paraId="15791BF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-2.9</w:t>
            </w:r>
          </w:p>
        </w:tc>
      </w:tr>
      <w:tr w:rsidR="00961617" w:rsidRPr="00545C7F" w14:paraId="62D3399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39D16C81" w14:textId="77777777" w:rsidR="00961617" w:rsidRPr="00545C7F" w:rsidRDefault="00961617" w:rsidP="0020771F">
            <w:pPr>
              <w:pStyle w:val="Tablefirstcolumn"/>
              <w:rPr>
                <w:rFonts w:cstheme="minorHAnsi"/>
              </w:rPr>
            </w:pPr>
            <w:r w:rsidRPr="00545C7F">
              <w:rPr>
                <w:rFonts w:cstheme="minorHAnsi"/>
              </w:rPr>
              <w:t>Geographic location: Major Cities of Australia</w:t>
            </w:r>
          </w:p>
        </w:tc>
        <w:tc>
          <w:tcPr>
            <w:tcW w:w="1417" w:type="dxa"/>
            <w:tcBorders>
              <w:top w:val="nil"/>
              <w:left w:val="nil"/>
              <w:bottom w:val="nil"/>
              <w:right w:val="nil"/>
            </w:tcBorders>
            <w:vAlign w:val="center"/>
          </w:tcPr>
          <w:p w14:paraId="323C730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-8.8</w:t>
            </w:r>
          </w:p>
        </w:tc>
        <w:tc>
          <w:tcPr>
            <w:tcW w:w="1276" w:type="dxa"/>
            <w:tcBorders>
              <w:top w:val="nil"/>
              <w:left w:val="nil"/>
              <w:bottom w:val="nil"/>
              <w:right w:val="nil"/>
            </w:tcBorders>
            <w:vAlign w:val="center"/>
          </w:tcPr>
          <w:p w14:paraId="54155EB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3.6</w:t>
            </w:r>
          </w:p>
        </w:tc>
        <w:tc>
          <w:tcPr>
            <w:tcW w:w="1418" w:type="dxa"/>
            <w:tcBorders>
              <w:top w:val="nil"/>
              <w:left w:val="nil"/>
              <w:bottom w:val="nil"/>
              <w:right w:val="nil"/>
            </w:tcBorders>
            <w:vAlign w:val="center"/>
          </w:tcPr>
          <w:p w14:paraId="52DF221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-5.2</w:t>
            </w:r>
          </w:p>
        </w:tc>
        <w:tc>
          <w:tcPr>
            <w:tcW w:w="1275" w:type="dxa"/>
            <w:tcBorders>
              <w:top w:val="nil"/>
              <w:left w:val="nil"/>
              <w:bottom w:val="nil"/>
              <w:right w:val="nil"/>
            </w:tcBorders>
            <w:vAlign w:val="center"/>
          </w:tcPr>
          <w:p w14:paraId="552AB79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4.4</w:t>
            </w:r>
          </w:p>
        </w:tc>
      </w:tr>
      <w:tr w:rsidR="00961617" w:rsidRPr="00545C7F" w14:paraId="56D7826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C55F042" w14:textId="77777777" w:rsidR="00961617" w:rsidRPr="00545C7F" w:rsidRDefault="00961617" w:rsidP="0020771F">
            <w:pPr>
              <w:pStyle w:val="Tablefirstcolumn"/>
              <w:rPr>
                <w:rFonts w:cstheme="minorHAnsi"/>
              </w:rPr>
            </w:pPr>
            <w:r w:rsidRPr="00545C7F">
              <w:rPr>
                <w:rFonts w:cstheme="minorHAnsi"/>
              </w:rPr>
              <w:t xml:space="preserve">Geographic location: Inner Regional </w:t>
            </w:r>
          </w:p>
        </w:tc>
        <w:tc>
          <w:tcPr>
            <w:tcW w:w="1417" w:type="dxa"/>
            <w:tcBorders>
              <w:top w:val="nil"/>
              <w:left w:val="nil"/>
              <w:bottom w:val="nil"/>
              <w:right w:val="nil"/>
            </w:tcBorders>
            <w:shd w:val="clear" w:color="auto" w:fill="E5E5E5" w:themeFill="background1" w:themeFillTint="33"/>
            <w:vAlign w:val="center"/>
          </w:tcPr>
          <w:p w14:paraId="67EF04F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-7.5</w:t>
            </w:r>
          </w:p>
        </w:tc>
        <w:tc>
          <w:tcPr>
            <w:tcW w:w="1276" w:type="dxa"/>
            <w:tcBorders>
              <w:top w:val="nil"/>
              <w:left w:val="nil"/>
              <w:bottom w:val="nil"/>
              <w:right w:val="nil"/>
            </w:tcBorders>
            <w:shd w:val="clear" w:color="auto" w:fill="E5E5E5" w:themeFill="background1" w:themeFillTint="33"/>
            <w:vAlign w:val="center"/>
          </w:tcPr>
          <w:p w14:paraId="579E74A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-4.6</w:t>
            </w:r>
          </w:p>
        </w:tc>
        <w:tc>
          <w:tcPr>
            <w:tcW w:w="1418" w:type="dxa"/>
            <w:tcBorders>
              <w:top w:val="nil"/>
              <w:left w:val="nil"/>
              <w:bottom w:val="nil"/>
              <w:right w:val="nil"/>
            </w:tcBorders>
            <w:shd w:val="clear" w:color="auto" w:fill="E5E5E5" w:themeFill="background1" w:themeFillTint="33"/>
            <w:vAlign w:val="center"/>
          </w:tcPr>
          <w:p w14:paraId="74ED632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-12.1</w:t>
            </w:r>
          </w:p>
        </w:tc>
        <w:tc>
          <w:tcPr>
            <w:tcW w:w="1275" w:type="dxa"/>
            <w:tcBorders>
              <w:top w:val="nil"/>
              <w:left w:val="nil"/>
              <w:bottom w:val="nil"/>
              <w:right w:val="nil"/>
            </w:tcBorders>
            <w:shd w:val="clear" w:color="auto" w:fill="E5E5E5" w:themeFill="background1" w:themeFillTint="33"/>
            <w:vAlign w:val="center"/>
          </w:tcPr>
          <w:p w14:paraId="5202F75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4.7</w:t>
            </w:r>
          </w:p>
        </w:tc>
      </w:tr>
      <w:tr w:rsidR="00961617" w:rsidRPr="00545C7F" w14:paraId="3087679D"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24B33D75" w14:textId="77777777" w:rsidR="00961617" w:rsidRPr="00545C7F" w:rsidRDefault="00961617" w:rsidP="0020771F">
            <w:pPr>
              <w:pStyle w:val="Tablefirstcolumn"/>
              <w:rPr>
                <w:rFonts w:cstheme="minorHAnsi"/>
              </w:rPr>
            </w:pPr>
            <w:r w:rsidRPr="00545C7F">
              <w:rPr>
                <w:rFonts w:cstheme="minorHAnsi"/>
              </w:rPr>
              <w:t>Geographic location: Other</w:t>
            </w:r>
          </w:p>
        </w:tc>
        <w:tc>
          <w:tcPr>
            <w:tcW w:w="1417" w:type="dxa"/>
            <w:tcBorders>
              <w:top w:val="nil"/>
              <w:left w:val="nil"/>
              <w:bottom w:val="nil"/>
              <w:right w:val="nil"/>
            </w:tcBorders>
            <w:vAlign w:val="center"/>
          </w:tcPr>
          <w:p w14:paraId="0B496B4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-7.6</w:t>
            </w:r>
          </w:p>
        </w:tc>
        <w:tc>
          <w:tcPr>
            <w:tcW w:w="1276" w:type="dxa"/>
            <w:tcBorders>
              <w:top w:val="nil"/>
              <w:left w:val="nil"/>
              <w:bottom w:val="nil"/>
              <w:right w:val="nil"/>
            </w:tcBorders>
            <w:vAlign w:val="center"/>
          </w:tcPr>
          <w:p w14:paraId="1AA537F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-4.5</w:t>
            </w:r>
          </w:p>
        </w:tc>
        <w:tc>
          <w:tcPr>
            <w:tcW w:w="1418" w:type="dxa"/>
            <w:tcBorders>
              <w:top w:val="nil"/>
              <w:left w:val="nil"/>
              <w:bottom w:val="nil"/>
              <w:right w:val="nil"/>
            </w:tcBorders>
            <w:vAlign w:val="center"/>
          </w:tcPr>
          <w:p w14:paraId="4F61E3C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-12.1</w:t>
            </w:r>
          </w:p>
        </w:tc>
        <w:tc>
          <w:tcPr>
            <w:tcW w:w="1275" w:type="dxa"/>
            <w:tcBorders>
              <w:top w:val="nil"/>
              <w:left w:val="nil"/>
              <w:bottom w:val="nil"/>
              <w:right w:val="nil"/>
            </w:tcBorders>
            <w:vAlign w:val="center"/>
          </w:tcPr>
          <w:p w14:paraId="796B9D8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8.2</w:t>
            </w:r>
          </w:p>
        </w:tc>
      </w:tr>
      <w:tr w:rsidR="00961617" w:rsidRPr="00545C7F" w14:paraId="2FDF6E49"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59EB997" w14:textId="77777777" w:rsidR="00961617" w:rsidRPr="00545C7F" w:rsidRDefault="00961617" w:rsidP="0020771F">
            <w:pPr>
              <w:pStyle w:val="Tablefirstcolumn"/>
              <w:rPr>
                <w:rFonts w:cstheme="minorHAnsi"/>
              </w:rPr>
            </w:pPr>
            <w:r w:rsidRPr="00545C7F">
              <w:rPr>
                <w:rFonts w:cstheme="minorHAnsi"/>
              </w:rPr>
              <w:t>Highest level of education: Less than Year 10</w:t>
            </w:r>
          </w:p>
        </w:tc>
        <w:tc>
          <w:tcPr>
            <w:tcW w:w="1417" w:type="dxa"/>
            <w:tcBorders>
              <w:top w:val="nil"/>
              <w:left w:val="nil"/>
              <w:bottom w:val="nil"/>
              <w:right w:val="nil"/>
            </w:tcBorders>
            <w:shd w:val="clear" w:color="auto" w:fill="E5E5E5" w:themeFill="background1" w:themeFillTint="33"/>
            <w:vAlign w:val="center"/>
          </w:tcPr>
          <w:p w14:paraId="4542C19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-8.3</w:t>
            </w:r>
          </w:p>
        </w:tc>
        <w:tc>
          <w:tcPr>
            <w:tcW w:w="1276" w:type="dxa"/>
            <w:tcBorders>
              <w:top w:val="nil"/>
              <w:left w:val="nil"/>
              <w:bottom w:val="nil"/>
              <w:right w:val="nil"/>
            </w:tcBorders>
            <w:shd w:val="clear" w:color="auto" w:fill="E5E5E5" w:themeFill="background1" w:themeFillTint="33"/>
            <w:vAlign w:val="center"/>
          </w:tcPr>
          <w:p w14:paraId="2D0A126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-0.4</w:t>
            </w:r>
          </w:p>
        </w:tc>
        <w:tc>
          <w:tcPr>
            <w:tcW w:w="1418" w:type="dxa"/>
            <w:tcBorders>
              <w:top w:val="nil"/>
              <w:left w:val="nil"/>
              <w:bottom w:val="nil"/>
              <w:right w:val="nil"/>
            </w:tcBorders>
            <w:shd w:val="clear" w:color="auto" w:fill="E5E5E5" w:themeFill="background1" w:themeFillTint="33"/>
            <w:vAlign w:val="center"/>
          </w:tcPr>
          <w:p w14:paraId="7671C57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-8.7</w:t>
            </w:r>
          </w:p>
        </w:tc>
        <w:tc>
          <w:tcPr>
            <w:tcW w:w="1275" w:type="dxa"/>
            <w:tcBorders>
              <w:top w:val="nil"/>
              <w:left w:val="nil"/>
              <w:bottom w:val="nil"/>
              <w:right w:val="nil"/>
            </w:tcBorders>
            <w:shd w:val="clear" w:color="auto" w:fill="E5E5E5" w:themeFill="background1" w:themeFillTint="33"/>
            <w:vAlign w:val="center"/>
          </w:tcPr>
          <w:p w14:paraId="05B29A8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7.6</w:t>
            </w:r>
          </w:p>
        </w:tc>
      </w:tr>
      <w:tr w:rsidR="00961617" w:rsidRPr="00545C7F" w14:paraId="35782978"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2996AB4E" w14:textId="77777777" w:rsidR="00961617" w:rsidRPr="00545C7F" w:rsidRDefault="00961617" w:rsidP="0020771F">
            <w:pPr>
              <w:pStyle w:val="Tablefirstcolumn"/>
              <w:rPr>
                <w:rFonts w:cstheme="minorHAnsi"/>
              </w:rPr>
            </w:pPr>
            <w:r w:rsidRPr="00545C7F">
              <w:rPr>
                <w:rFonts w:cstheme="minorHAnsi"/>
              </w:rPr>
              <w:t>Highest level of education: Year 10/11</w:t>
            </w:r>
          </w:p>
        </w:tc>
        <w:tc>
          <w:tcPr>
            <w:tcW w:w="1417" w:type="dxa"/>
            <w:tcBorders>
              <w:top w:val="nil"/>
              <w:left w:val="nil"/>
              <w:bottom w:val="nil"/>
              <w:right w:val="nil"/>
            </w:tcBorders>
            <w:vAlign w:val="center"/>
          </w:tcPr>
          <w:p w14:paraId="14369F7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-7.7</w:t>
            </w:r>
          </w:p>
        </w:tc>
        <w:tc>
          <w:tcPr>
            <w:tcW w:w="1276" w:type="dxa"/>
            <w:tcBorders>
              <w:top w:val="nil"/>
              <w:left w:val="nil"/>
              <w:bottom w:val="nil"/>
              <w:right w:val="nil"/>
            </w:tcBorders>
            <w:vAlign w:val="center"/>
          </w:tcPr>
          <w:p w14:paraId="0E8F45D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w:t>
            </w:r>
          </w:p>
        </w:tc>
        <w:tc>
          <w:tcPr>
            <w:tcW w:w="1418" w:type="dxa"/>
            <w:tcBorders>
              <w:top w:val="nil"/>
              <w:left w:val="nil"/>
              <w:bottom w:val="nil"/>
              <w:right w:val="nil"/>
            </w:tcBorders>
            <w:vAlign w:val="center"/>
          </w:tcPr>
          <w:p w14:paraId="2976D46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-9.0</w:t>
            </w:r>
          </w:p>
        </w:tc>
        <w:tc>
          <w:tcPr>
            <w:tcW w:w="1275" w:type="dxa"/>
            <w:tcBorders>
              <w:top w:val="nil"/>
              <w:left w:val="nil"/>
              <w:bottom w:val="nil"/>
              <w:right w:val="nil"/>
            </w:tcBorders>
            <w:vAlign w:val="center"/>
          </w:tcPr>
          <w:p w14:paraId="4EBFF71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7.1</w:t>
            </w:r>
          </w:p>
        </w:tc>
      </w:tr>
      <w:tr w:rsidR="00961617" w:rsidRPr="00545C7F" w14:paraId="3F49327F"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DDBA5D3" w14:textId="77777777" w:rsidR="00961617" w:rsidRPr="00545C7F" w:rsidRDefault="00961617" w:rsidP="0020771F">
            <w:pPr>
              <w:pStyle w:val="Tablefirstcolumn"/>
              <w:rPr>
                <w:rFonts w:cstheme="minorHAnsi"/>
              </w:rPr>
            </w:pPr>
            <w:r w:rsidRPr="00545C7F">
              <w:rPr>
                <w:rFonts w:cstheme="minorHAnsi"/>
              </w:rPr>
              <w:t>Highest level of education: Year 12</w:t>
            </w:r>
          </w:p>
        </w:tc>
        <w:tc>
          <w:tcPr>
            <w:tcW w:w="1417" w:type="dxa"/>
            <w:tcBorders>
              <w:top w:val="nil"/>
              <w:left w:val="nil"/>
              <w:bottom w:val="nil"/>
              <w:right w:val="nil"/>
            </w:tcBorders>
            <w:shd w:val="clear" w:color="auto" w:fill="E5E5E5" w:themeFill="background1" w:themeFillTint="33"/>
            <w:vAlign w:val="center"/>
          </w:tcPr>
          <w:p w14:paraId="4E75898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-13.4</w:t>
            </w:r>
          </w:p>
        </w:tc>
        <w:tc>
          <w:tcPr>
            <w:tcW w:w="1276" w:type="dxa"/>
            <w:tcBorders>
              <w:top w:val="nil"/>
              <w:left w:val="nil"/>
              <w:bottom w:val="nil"/>
              <w:right w:val="nil"/>
            </w:tcBorders>
            <w:shd w:val="clear" w:color="auto" w:fill="E5E5E5" w:themeFill="background1" w:themeFillTint="33"/>
            <w:vAlign w:val="center"/>
          </w:tcPr>
          <w:p w14:paraId="0E2B211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0.9</w:t>
            </w:r>
          </w:p>
        </w:tc>
        <w:tc>
          <w:tcPr>
            <w:tcW w:w="1418" w:type="dxa"/>
            <w:tcBorders>
              <w:top w:val="nil"/>
              <w:left w:val="nil"/>
              <w:bottom w:val="nil"/>
              <w:right w:val="nil"/>
            </w:tcBorders>
            <w:shd w:val="clear" w:color="auto" w:fill="E5E5E5" w:themeFill="background1" w:themeFillTint="33"/>
            <w:vAlign w:val="center"/>
          </w:tcPr>
          <w:p w14:paraId="27A17002"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-12.5</w:t>
            </w:r>
          </w:p>
        </w:tc>
        <w:tc>
          <w:tcPr>
            <w:tcW w:w="1275" w:type="dxa"/>
            <w:tcBorders>
              <w:top w:val="nil"/>
              <w:left w:val="nil"/>
              <w:bottom w:val="nil"/>
              <w:right w:val="nil"/>
            </w:tcBorders>
            <w:shd w:val="clear" w:color="auto" w:fill="E5E5E5" w:themeFill="background1" w:themeFillTint="33"/>
            <w:vAlign w:val="center"/>
          </w:tcPr>
          <w:p w14:paraId="7752D1D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5.3</w:t>
            </w:r>
          </w:p>
        </w:tc>
      </w:tr>
      <w:tr w:rsidR="00961617" w:rsidRPr="00545C7F" w14:paraId="0B95DB76"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762302AF" w14:textId="77777777" w:rsidR="00961617" w:rsidRPr="00545C7F" w:rsidRDefault="00961617" w:rsidP="0020771F">
            <w:pPr>
              <w:pStyle w:val="Tablefirstcolumn"/>
              <w:rPr>
                <w:rFonts w:cstheme="minorHAnsi"/>
              </w:rPr>
            </w:pPr>
            <w:r w:rsidRPr="00545C7F">
              <w:rPr>
                <w:rFonts w:cstheme="minorHAnsi"/>
              </w:rPr>
              <w:t>Highest level of education: TAFE/Diploma</w:t>
            </w:r>
          </w:p>
        </w:tc>
        <w:tc>
          <w:tcPr>
            <w:tcW w:w="1417" w:type="dxa"/>
            <w:tcBorders>
              <w:top w:val="nil"/>
              <w:left w:val="nil"/>
              <w:bottom w:val="nil"/>
              <w:right w:val="nil"/>
            </w:tcBorders>
            <w:vAlign w:val="center"/>
          </w:tcPr>
          <w:p w14:paraId="382AD78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-9.1</w:t>
            </w:r>
          </w:p>
        </w:tc>
        <w:tc>
          <w:tcPr>
            <w:tcW w:w="1276" w:type="dxa"/>
            <w:tcBorders>
              <w:top w:val="nil"/>
              <w:left w:val="nil"/>
              <w:bottom w:val="nil"/>
              <w:right w:val="nil"/>
            </w:tcBorders>
            <w:vAlign w:val="center"/>
          </w:tcPr>
          <w:p w14:paraId="5E9B3BD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2.1</w:t>
            </w:r>
          </w:p>
        </w:tc>
        <w:tc>
          <w:tcPr>
            <w:tcW w:w="1418" w:type="dxa"/>
            <w:tcBorders>
              <w:top w:val="nil"/>
              <w:left w:val="nil"/>
              <w:bottom w:val="nil"/>
              <w:right w:val="nil"/>
            </w:tcBorders>
            <w:vAlign w:val="center"/>
          </w:tcPr>
          <w:p w14:paraId="0454AE1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-7.0</w:t>
            </w:r>
          </w:p>
        </w:tc>
        <w:tc>
          <w:tcPr>
            <w:tcW w:w="1275" w:type="dxa"/>
            <w:tcBorders>
              <w:top w:val="nil"/>
              <w:left w:val="nil"/>
              <w:bottom w:val="nil"/>
              <w:right w:val="nil"/>
            </w:tcBorders>
            <w:vAlign w:val="center"/>
          </w:tcPr>
          <w:p w14:paraId="3FA72DD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1.9</w:t>
            </w:r>
          </w:p>
        </w:tc>
      </w:tr>
      <w:tr w:rsidR="00961617" w:rsidRPr="00545C7F" w14:paraId="37E8B218"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0F10EF40" w14:textId="77777777" w:rsidR="00961617" w:rsidRPr="00545C7F" w:rsidRDefault="00961617" w:rsidP="0020771F">
            <w:pPr>
              <w:pStyle w:val="Tablefirstcolumn"/>
              <w:rPr>
                <w:rFonts w:cstheme="minorHAnsi"/>
              </w:rPr>
            </w:pPr>
            <w:r w:rsidRPr="00545C7F">
              <w:rPr>
                <w:rFonts w:cstheme="minorHAnsi"/>
              </w:rPr>
              <w:t>Highest level of education: Degree/Post-graduate</w:t>
            </w:r>
          </w:p>
        </w:tc>
        <w:tc>
          <w:tcPr>
            <w:tcW w:w="1417" w:type="dxa"/>
            <w:tcBorders>
              <w:top w:val="nil"/>
              <w:left w:val="nil"/>
              <w:bottom w:val="nil"/>
              <w:right w:val="nil"/>
            </w:tcBorders>
            <w:shd w:val="clear" w:color="auto" w:fill="E5E5E5" w:themeFill="background1" w:themeFillTint="33"/>
            <w:vAlign w:val="center"/>
          </w:tcPr>
          <w:p w14:paraId="17B7124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-7.4</w:t>
            </w:r>
          </w:p>
        </w:tc>
        <w:tc>
          <w:tcPr>
            <w:tcW w:w="1276" w:type="dxa"/>
            <w:tcBorders>
              <w:top w:val="nil"/>
              <w:left w:val="nil"/>
              <w:bottom w:val="nil"/>
              <w:right w:val="nil"/>
            </w:tcBorders>
            <w:shd w:val="clear" w:color="auto" w:fill="E5E5E5" w:themeFill="background1" w:themeFillTint="33"/>
            <w:vAlign w:val="center"/>
          </w:tcPr>
          <w:p w14:paraId="65446E0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1.7</w:t>
            </w:r>
          </w:p>
        </w:tc>
        <w:tc>
          <w:tcPr>
            <w:tcW w:w="1418" w:type="dxa"/>
            <w:tcBorders>
              <w:top w:val="nil"/>
              <w:left w:val="nil"/>
              <w:bottom w:val="nil"/>
              <w:right w:val="nil"/>
            </w:tcBorders>
            <w:shd w:val="clear" w:color="auto" w:fill="E5E5E5" w:themeFill="background1" w:themeFillTint="33"/>
            <w:vAlign w:val="center"/>
          </w:tcPr>
          <w:p w14:paraId="0D3DECA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-5.7</w:t>
            </w:r>
          </w:p>
        </w:tc>
        <w:tc>
          <w:tcPr>
            <w:tcW w:w="1275" w:type="dxa"/>
            <w:tcBorders>
              <w:top w:val="nil"/>
              <w:left w:val="nil"/>
              <w:bottom w:val="nil"/>
              <w:right w:val="nil"/>
            </w:tcBorders>
            <w:shd w:val="clear" w:color="auto" w:fill="E5E5E5" w:themeFill="background1" w:themeFillTint="33"/>
            <w:vAlign w:val="center"/>
          </w:tcPr>
          <w:p w14:paraId="1BAC313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2.6</w:t>
            </w:r>
          </w:p>
        </w:tc>
      </w:tr>
      <w:tr w:rsidR="00961617" w:rsidRPr="00545C7F" w14:paraId="16B5D830"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75051583" w14:textId="77777777" w:rsidR="00961617" w:rsidRPr="00545C7F" w:rsidRDefault="00961617" w:rsidP="0020771F">
            <w:pPr>
              <w:pStyle w:val="Tablefirstcolumn"/>
              <w:rPr>
                <w:rFonts w:cstheme="minorHAnsi"/>
              </w:rPr>
            </w:pPr>
            <w:r w:rsidRPr="00545C7F">
              <w:rPr>
                <w:rFonts w:cstheme="minorHAnsi"/>
              </w:rPr>
              <w:t>Indigenous</w:t>
            </w:r>
          </w:p>
        </w:tc>
        <w:tc>
          <w:tcPr>
            <w:tcW w:w="1417" w:type="dxa"/>
            <w:tcBorders>
              <w:top w:val="nil"/>
              <w:left w:val="nil"/>
              <w:bottom w:val="nil"/>
              <w:right w:val="nil"/>
            </w:tcBorders>
            <w:vAlign w:val="center"/>
          </w:tcPr>
          <w:p w14:paraId="5F1737C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-7.7</w:t>
            </w:r>
          </w:p>
        </w:tc>
        <w:tc>
          <w:tcPr>
            <w:tcW w:w="1276" w:type="dxa"/>
            <w:tcBorders>
              <w:top w:val="nil"/>
              <w:left w:val="nil"/>
              <w:bottom w:val="nil"/>
              <w:right w:val="nil"/>
            </w:tcBorders>
            <w:vAlign w:val="center"/>
          </w:tcPr>
          <w:p w14:paraId="18C3AA6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7.2</w:t>
            </w:r>
          </w:p>
        </w:tc>
        <w:tc>
          <w:tcPr>
            <w:tcW w:w="1418" w:type="dxa"/>
            <w:tcBorders>
              <w:top w:val="nil"/>
              <w:left w:val="nil"/>
              <w:bottom w:val="nil"/>
              <w:right w:val="nil"/>
            </w:tcBorders>
            <w:vAlign w:val="center"/>
          </w:tcPr>
          <w:p w14:paraId="256E0F5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-0.5</w:t>
            </w:r>
          </w:p>
        </w:tc>
        <w:tc>
          <w:tcPr>
            <w:tcW w:w="1275" w:type="dxa"/>
            <w:tcBorders>
              <w:top w:val="nil"/>
              <w:left w:val="nil"/>
              <w:bottom w:val="nil"/>
              <w:right w:val="nil"/>
            </w:tcBorders>
            <w:vAlign w:val="center"/>
          </w:tcPr>
          <w:p w14:paraId="0A4F13C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1.1</w:t>
            </w:r>
          </w:p>
        </w:tc>
      </w:tr>
      <w:tr w:rsidR="00961617" w:rsidRPr="00545C7F" w14:paraId="34A04532"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93373B1" w14:textId="77777777" w:rsidR="00961617" w:rsidRPr="00545C7F" w:rsidRDefault="00961617" w:rsidP="0020771F">
            <w:pPr>
              <w:pStyle w:val="Tablefirstcolumn"/>
              <w:rPr>
                <w:rFonts w:cstheme="minorHAnsi"/>
              </w:rPr>
            </w:pPr>
            <w:r w:rsidRPr="00545C7F">
              <w:rPr>
                <w:rFonts w:cstheme="minorHAnsi"/>
              </w:rPr>
              <w:t>Non-Indigenous</w:t>
            </w:r>
          </w:p>
        </w:tc>
        <w:tc>
          <w:tcPr>
            <w:tcW w:w="1417" w:type="dxa"/>
            <w:tcBorders>
              <w:top w:val="nil"/>
              <w:left w:val="nil"/>
              <w:bottom w:val="nil"/>
              <w:right w:val="nil"/>
            </w:tcBorders>
            <w:shd w:val="clear" w:color="auto" w:fill="E5E5E5" w:themeFill="background1" w:themeFillTint="33"/>
            <w:vAlign w:val="center"/>
          </w:tcPr>
          <w:p w14:paraId="25EA275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-8.5</w:t>
            </w:r>
          </w:p>
        </w:tc>
        <w:tc>
          <w:tcPr>
            <w:tcW w:w="1276" w:type="dxa"/>
            <w:tcBorders>
              <w:top w:val="nil"/>
              <w:left w:val="nil"/>
              <w:bottom w:val="nil"/>
              <w:right w:val="nil"/>
            </w:tcBorders>
            <w:shd w:val="clear" w:color="auto" w:fill="E5E5E5" w:themeFill="background1" w:themeFillTint="33"/>
            <w:vAlign w:val="center"/>
          </w:tcPr>
          <w:p w14:paraId="22F5015D"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0.7</w:t>
            </w:r>
          </w:p>
        </w:tc>
        <w:tc>
          <w:tcPr>
            <w:tcW w:w="1418" w:type="dxa"/>
            <w:tcBorders>
              <w:top w:val="nil"/>
              <w:left w:val="nil"/>
              <w:bottom w:val="nil"/>
              <w:right w:val="nil"/>
            </w:tcBorders>
            <w:shd w:val="clear" w:color="auto" w:fill="E5E5E5" w:themeFill="background1" w:themeFillTint="33"/>
            <w:vAlign w:val="center"/>
          </w:tcPr>
          <w:p w14:paraId="2C4219D0"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-7.8</w:t>
            </w:r>
          </w:p>
        </w:tc>
        <w:tc>
          <w:tcPr>
            <w:tcW w:w="1275" w:type="dxa"/>
            <w:tcBorders>
              <w:top w:val="nil"/>
              <w:left w:val="nil"/>
              <w:bottom w:val="nil"/>
              <w:right w:val="nil"/>
            </w:tcBorders>
            <w:shd w:val="clear" w:color="auto" w:fill="E5E5E5" w:themeFill="background1" w:themeFillTint="33"/>
            <w:vAlign w:val="center"/>
          </w:tcPr>
          <w:p w14:paraId="7EE50FE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5.2</w:t>
            </w:r>
          </w:p>
        </w:tc>
      </w:tr>
      <w:tr w:rsidR="00961617" w:rsidRPr="00545C7F" w14:paraId="2C9B156F"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038B6A35" w14:textId="77777777" w:rsidR="00961617" w:rsidRPr="00545C7F" w:rsidRDefault="00961617" w:rsidP="0020771F">
            <w:pPr>
              <w:pStyle w:val="Tablefirstcolumn"/>
              <w:rPr>
                <w:rFonts w:cstheme="minorHAnsi"/>
              </w:rPr>
            </w:pPr>
            <w:r w:rsidRPr="00545C7F">
              <w:rPr>
                <w:rFonts w:cstheme="minorHAnsi"/>
              </w:rPr>
              <w:t>Job seekers with a disability as identified by JCA/ESAt</w:t>
            </w:r>
          </w:p>
        </w:tc>
        <w:tc>
          <w:tcPr>
            <w:tcW w:w="1417" w:type="dxa"/>
            <w:tcBorders>
              <w:top w:val="nil"/>
              <w:left w:val="nil"/>
              <w:bottom w:val="nil"/>
              <w:right w:val="nil"/>
            </w:tcBorders>
            <w:vAlign w:val="center"/>
          </w:tcPr>
          <w:p w14:paraId="16761AF8"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-6.0</w:t>
            </w:r>
          </w:p>
        </w:tc>
        <w:tc>
          <w:tcPr>
            <w:tcW w:w="1276" w:type="dxa"/>
            <w:tcBorders>
              <w:top w:val="nil"/>
              <w:left w:val="nil"/>
              <w:bottom w:val="nil"/>
              <w:right w:val="nil"/>
            </w:tcBorders>
            <w:vAlign w:val="center"/>
          </w:tcPr>
          <w:p w14:paraId="4BF559E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-6.4</w:t>
            </w:r>
          </w:p>
        </w:tc>
        <w:tc>
          <w:tcPr>
            <w:tcW w:w="1418" w:type="dxa"/>
            <w:tcBorders>
              <w:top w:val="nil"/>
              <w:left w:val="nil"/>
              <w:bottom w:val="nil"/>
              <w:right w:val="nil"/>
            </w:tcBorders>
            <w:vAlign w:val="center"/>
          </w:tcPr>
          <w:p w14:paraId="1E8713D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-12.4</w:t>
            </w:r>
          </w:p>
        </w:tc>
        <w:tc>
          <w:tcPr>
            <w:tcW w:w="1275" w:type="dxa"/>
            <w:tcBorders>
              <w:top w:val="nil"/>
              <w:left w:val="nil"/>
              <w:bottom w:val="nil"/>
              <w:right w:val="nil"/>
            </w:tcBorders>
            <w:vAlign w:val="center"/>
          </w:tcPr>
          <w:p w14:paraId="3F11E56B"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4.0</w:t>
            </w:r>
          </w:p>
        </w:tc>
      </w:tr>
      <w:tr w:rsidR="00961617" w:rsidRPr="00545C7F" w14:paraId="5B6CD850"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4921BD0" w14:textId="77777777" w:rsidR="00961617" w:rsidRPr="00545C7F" w:rsidRDefault="00961617" w:rsidP="0020771F">
            <w:pPr>
              <w:pStyle w:val="Tablefirstcolumn"/>
              <w:rPr>
                <w:rFonts w:cstheme="minorHAnsi"/>
              </w:rPr>
            </w:pPr>
            <w:r w:rsidRPr="00545C7F">
              <w:rPr>
                <w:rFonts w:cstheme="minorHAnsi"/>
              </w:rPr>
              <w:t>Non-English speaking background</w:t>
            </w:r>
          </w:p>
        </w:tc>
        <w:tc>
          <w:tcPr>
            <w:tcW w:w="1417" w:type="dxa"/>
            <w:tcBorders>
              <w:top w:val="nil"/>
              <w:left w:val="nil"/>
              <w:bottom w:val="nil"/>
              <w:right w:val="nil"/>
            </w:tcBorders>
            <w:shd w:val="clear" w:color="auto" w:fill="E5E5E5" w:themeFill="background1" w:themeFillTint="33"/>
            <w:vAlign w:val="center"/>
          </w:tcPr>
          <w:p w14:paraId="0441E84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-7.8</w:t>
            </w:r>
          </w:p>
        </w:tc>
        <w:tc>
          <w:tcPr>
            <w:tcW w:w="1276" w:type="dxa"/>
            <w:tcBorders>
              <w:top w:val="nil"/>
              <w:left w:val="nil"/>
              <w:bottom w:val="nil"/>
              <w:right w:val="nil"/>
            </w:tcBorders>
            <w:shd w:val="clear" w:color="auto" w:fill="E5E5E5" w:themeFill="background1" w:themeFillTint="33"/>
            <w:vAlign w:val="center"/>
          </w:tcPr>
          <w:p w14:paraId="6F7802D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4.0</w:t>
            </w:r>
          </w:p>
        </w:tc>
        <w:tc>
          <w:tcPr>
            <w:tcW w:w="1418" w:type="dxa"/>
            <w:tcBorders>
              <w:top w:val="nil"/>
              <w:left w:val="nil"/>
              <w:bottom w:val="nil"/>
              <w:right w:val="nil"/>
            </w:tcBorders>
            <w:shd w:val="clear" w:color="auto" w:fill="E5E5E5" w:themeFill="background1" w:themeFillTint="33"/>
            <w:vAlign w:val="center"/>
          </w:tcPr>
          <w:p w14:paraId="6A10F9C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-3.8</w:t>
            </w:r>
          </w:p>
        </w:tc>
        <w:tc>
          <w:tcPr>
            <w:tcW w:w="1275" w:type="dxa"/>
            <w:tcBorders>
              <w:top w:val="nil"/>
              <w:left w:val="nil"/>
              <w:bottom w:val="nil"/>
              <w:right w:val="nil"/>
            </w:tcBorders>
            <w:shd w:val="clear" w:color="auto" w:fill="E5E5E5" w:themeFill="background1" w:themeFillTint="33"/>
            <w:vAlign w:val="center"/>
          </w:tcPr>
          <w:p w14:paraId="284ADF7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5.6</w:t>
            </w:r>
          </w:p>
        </w:tc>
      </w:tr>
      <w:tr w:rsidR="00961617" w:rsidRPr="00545C7F" w14:paraId="6EF8F451"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79B35258" w14:textId="77777777" w:rsidR="00961617" w:rsidRPr="00545C7F" w:rsidRDefault="00961617" w:rsidP="0020771F">
            <w:pPr>
              <w:pStyle w:val="Tablefirstcolumn"/>
              <w:rPr>
                <w:rFonts w:cstheme="minorHAnsi"/>
              </w:rPr>
            </w:pPr>
            <w:r w:rsidRPr="00545C7F">
              <w:rPr>
                <w:rFonts w:cstheme="minorHAnsi"/>
              </w:rPr>
              <w:t>Mixed or low English proficiency</w:t>
            </w:r>
          </w:p>
        </w:tc>
        <w:tc>
          <w:tcPr>
            <w:tcW w:w="1417" w:type="dxa"/>
            <w:tcBorders>
              <w:top w:val="nil"/>
              <w:left w:val="nil"/>
              <w:bottom w:val="nil"/>
              <w:right w:val="nil"/>
            </w:tcBorders>
            <w:vAlign w:val="center"/>
          </w:tcPr>
          <w:p w14:paraId="6F6AFFA3"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-1.8</w:t>
            </w:r>
          </w:p>
        </w:tc>
        <w:tc>
          <w:tcPr>
            <w:tcW w:w="1276" w:type="dxa"/>
            <w:tcBorders>
              <w:top w:val="nil"/>
              <w:left w:val="nil"/>
              <w:bottom w:val="nil"/>
              <w:right w:val="nil"/>
            </w:tcBorders>
            <w:vAlign w:val="center"/>
          </w:tcPr>
          <w:p w14:paraId="76DE1236"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0.5</w:t>
            </w:r>
          </w:p>
        </w:tc>
        <w:tc>
          <w:tcPr>
            <w:tcW w:w="1418" w:type="dxa"/>
            <w:tcBorders>
              <w:top w:val="nil"/>
              <w:left w:val="nil"/>
              <w:bottom w:val="nil"/>
              <w:right w:val="nil"/>
            </w:tcBorders>
            <w:vAlign w:val="center"/>
          </w:tcPr>
          <w:p w14:paraId="406DA784"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-1.3</w:t>
            </w:r>
          </w:p>
        </w:tc>
        <w:tc>
          <w:tcPr>
            <w:tcW w:w="1275" w:type="dxa"/>
            <w:tcBorders>
              <w:top w:val="nil"/>
              <w:left w:val="nil"/>
              <w:bottom w:val="nil"/>
              <w:right w:val="nil"/>
            </w:tcBorders>
            <w:vAlign w:val="center"/>
          </w:tcPr>
          <w:p w14:paraId="49C03D3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5.0</w:t>
            </w:r>
          </w:p>
        </w:tc>
      </w:tr>
      <w:tr w:rsidR="00961617" w:rsidRPr="00545C7F" w14:paraId="30CD766C"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5FC1AE00" w14:textId="77777777" w:rsidR="00961617" w:rsidRPr="00545C7F" w:rsidRDefault="00961617" w:rsidP="0020771F">
            <w:pPr>
              <w:pStyle w:val="Tablefirstcolumn"/>
              <w:rPr>
                <w:rFonts w:cstheme="minorHAnsi"/>
              </w:rPr>
            </w:pPr>
            <w:r w:rsidRPr="00545C7F">
              <w:rPr>
                <w:rFonts w:cstheme="minorHAnsi"/>
              </w:rPr>
              <w:t>Single parents</w:t>
            </w:r>
          </w:p>
        </w:tc>
        <w:tc>
          <w:tcPr>
            <w:tcW w:w="1417" w:type="dxa"/>
            <w:tcBorders>
              <w:top w:val="nil"/>
              <w:left w:val="nil"/>
              <w:bottom w:val="nil"/>
              <w:right w:val="nil"/>
            </w:tcBorders>
            <w:shd w:val="clear" w:color="auto" w:fill="E5E5E5" w:themeFill="background1" w:themeFillTint="33"/>
            <w:vAlign w:val="center"/>
          </w:tcPr>
          <w:p w14:paraId="243D2977"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-8.2</w:t>
            </w:r>
          </w:p>
        </w:tc>
        <w:tc>
          <w:tcPr>
            <w:tcW w:w="1276" w:type="dxa"/>
            <w:tcBorders>
              <w:top w:val="nil"/>
              <w:left w:val="nil"/>
              <w:bottom w:val="nil"/>
              <w:right w:val="nil"/>
            </w:tcBorders>
            <w:shd w:val="clear" w:color="auto" w:fill="E5E5E5" w:themeFill="background1" w:themeFillTint="33"/>
            <w:vAlign w:val="center"/>
          </w:tcPr>
          <w:p w14:paraId="596C908C"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w:t>
            </w:r>
          </w:p>
        </w:tc>
        <w:tc>
          <w:tcPr>
            <w:tcW w:w="1418" w:type="dxa"/>
            <w:tcBorders>
              <w:top w:val="nil"/>
              <w:left w:val="nil"/>
              <w:bottom w:val="nil"/>
              <w:right w:val="nil"/>
            </w:tcBorders>
            <w:shd w:val="clear" w:color="auto" w:fill="E5E5E5" w:themeFill="background1" w:themeFillTint="33"/>
            <w:vAlign w:val="center"/>
          </w:tcPr>
          <w:p w14:paraId="34F22E4A"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-7.2</w:t>
            </w:r>
          </w:p>
        </w:tc>
        <w:tc>
          <w:tcPr>
            <w:tcW w:w="1275" w:type="dxa"/>
            <w:tcBorders>
              <w:top w:val="nil"/>
              <w:left w:val="nil"/>
              <w:bottom w:val="nil"/>
              <w:right w:val="nil"/>
            </w:tcBorders>
            <w:shd w:val="clear" w:color="auto" w:fill="E5E5E5" w:themeFill="background1" w:themeFillTint="33"/>
            <w:vAlign w:val="center"/>
          </w:tcPr>
          <w:p w14:paraId="49E6A82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7.2</w:t>
            </w:r>
          </w:p>
        </w:tc>
      </w:tr>
      <w:tr w:rsidR="00961617" w:rsidRPr="00545C7F" w14:paraId="26F8C71F"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vAlign w:val="center"/>
          </w:tcPr>
          <w:p w14:paraId="5544E50D" w14:textId="77777777" w:rsidR="00961617" w:rsidRPr="00545C7F" w:rsidRDefault="00961617" w:rsidP="0020771F">
            <w:pPr>
              <w:pStyle w:val="Tablefirstcolumn"/>
              <w:rPr>
                <w:rFonts w:cstheme="minorHAnsi"/>
              </w:rPr>
            </w:pPr>
            <w:r w:rsidRPr="00545C7F">
              <w:rPr>
                <w:rFonts w:cstheme="minorHAnsi"/>
              </w:rPr>
              <w:t>Ex-offenders</w:t>
            </w:r>
          </w:p>
        </w:tc>
        <w:tc>
          <w:tcPr>
            <w:tcW w:w="1417" w:type="dxa"/>
            <w:tcBorders>
              <w:top w:val="nil"/>
              <w:left w:val="nil"/>
              <w:bottom w:val="nil"/>
              <w:right w:val="nil"/>
            </w:tcBorders>
            <w:vAlign w:val="center"/>
          </w:tcPr>
          <w:p w14:paraId="4F13F91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-7.7</w:t>
            </w:r>
          </w:p>
        </w:tc>
        <w:tc>
          <w:tcPr>
            <w:tcW w:w="1276" w:type="dxa"/>
            <w:tcBorders>
              <w:top w:val="nil"/>
              <w:left w:val="nil"/>
              <w:bottom w:val="nil"/>
              <w:right w:val="nil"/>
            </w:tcBorders>
            <w:vAlign w:val="center"/>
          </w:tcPr>
          <w:p w14:paraId="4C46D6B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5.0</w:t>
            </w:r>
          </w:p>
        </w:tc>
        <w:tc>
          <w:tcPr>
            <w:tcW w:w="1418" w:type="dxa"/>
            <w:tcBorders>
              <w:top w:val="nil"/>
              <w:left w:val="nil"/>
              <w:bottom w:val="nil"/>
              <w:right w:val="nil"/>
            </w:tcBorders>
            <w:vAlign w:val="center"/>
          </w:tcPr>
          <w:p w14:paraId="54A9217F"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-2.7</w:t>
            </w:r>
          </w:p>
        </w:tc>
        <w:tc>
          <w:tcPr>
            <w:tcW w:w="1275" w:type="dxa"/>
            <w:tcBorders>
              <w:top w:val="nil"/>
              <w:left w:val="nil"/>
              <w:bottom w:val="nil"/>
              <w:right w:val="nil"/>
            </w:tcBorders>
            <w:vAlign w:val="center"/>
          </w:tcPr>
          <w:p w14:paraId="7776E33E"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5.4</w:t>
            </w:r>
          </w:p>
        </w:tc>
      </w:tr>
      <w:tr w:rsidR="00961617" w:rsidRPr="00545C7F" w14:paraId="5B636183"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E5E5E5" w:themeFill="background1" w:themeFillTint="33"/>
            <w:vAlign w:val="center"/>
          </w:tcPr>
          <w:p w14:paraId="30FBC502" w14:textId="77777777" w:rsidR="00961617" w:rsidRPr="00545C7F" w:rsidRDefault="00961617" w:rsidP="0020771F">
            <w:pPr>
              <w:pStyle w:val="Tablefirstcolumn"/>
              <w:rPr>
                <w:rFonts w:cstheme="minorHAnsi"/>
              </w:rPr>
            </w:pPr>
            <w:r w:rsidRPr="00545C7F">
              <w:rPr>
                <w:rFonts w:cstheme="minorHAnsi"/>
              </w:rPr>
              <w:t>Homeless</w:t>
            </w:r>
          </w:p>
        </w:tc>
        <w:tc>
          <w:tcPr>
            <w:tcW w:w="1417" w:type="dxa"/>
            <w:tcBorders>
              <w:top w:val="nil"/>
              <w:left w:val="nil"/>
              <w:bottom w:val="nil"/>
              <w:right w:val="nil"/>
            </w:tcBorders>
            <w:shd w:val="clear" w:color="auto" w:fill="E5E5E5" w:themeFill="background1" w:themeFillTint="33"/>
            <w:vAlign w:val="center"/>
          </w:tcPr>
          <w:p w14:paraId="45C1A1E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-5.6</w:t>
            </w:r>
          </w:p>
        </w:tc>
        <w:tc>
          <w:tcPr>
            <w:tcW w:w="1276" w:type="dxa"/>
            <w:tcBorders>
              <w:top w:val="nil"/>
              <w:left w:val="nil"/>
              <w:bottom w:val="nil"/>
              <w:right w:val="nil"/>
            </w:tcBorders>
            <w:shd w:val="clear" w:color="auto" w:fill="E5E5E5" w:themeFill="background1" w:themeFillTint="33"/>
            <w:vAlign w:val="center"/>
          </w:tcPr>
          <w:p w14:paraId="306D4CB9"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-5.2</w:t>
            </w:r>
          </w:p>
        </w:tc>
        <w:tc>
          <w:tcPr>
            <w:tcW w:w="1418" w:type="dxa"/>
            <w:tcBorders>
              <w:top w:val="nil"/>
              <w:left w:val="nil"/>
              <w:bottom w:val="nil"/>
              <w:right w:val="nil"/>
            </w:tcBorders>
            <w:shd w:val="clear" w:color="auto" w:fill="E5E5E5" w:themeFill="background1" w:themeFillTint="33"/>
            <w:vAlign w:val="center"/>
          </w:tcPr>
          <w:p w14:paraId="6C253051"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-10.8</w:t>
            </w:r>
          </w:p>
        </w:tc>
        <w:tc>
          <w:tcPr>
            <w:tcW w:w="1275" w:type="dxa"/>
            <w:tcBorders>
              <w:top w:val="nil"/>
              <w:left w:val="nil"/>
              <w:bottom w:val="nil"/>
              <w:right w:val="nil"/>
            </w:tcBorders>
            <w:shd w:val="clear" w:color="auto" w:fill="E5E5E5" w:themeFill="background1" w:themeFillTint="33"/>
            <w:vAlign w:val="center"/>
          </w:tcPr>
          <w:p w14:paraId="69BB8ED5" w14:textId="77777777" w:rsidR="00961617" w:rsidRPr="00545C7F" w:rsidRDefault="00961617" w:rsidP="0020771F">
            <w:pPr>
              <w:pStyle w:val="tabletextslim"/>
              <w:spacing w:before="0"/>
              <w:ind w:left="-62" w:right="183"/>
              <w:rPr>
                <w:rFonts w:cstheme="minorHAnsi"/>
                <w:sz w:val="20"/>
                <w:szCs w:val="20"/>
              </w:rPr>
            </w:pPr>
            <w:r w:rsidRPr="00545C7F">
              <w:rPr>
                <w:rFonts w:cstheme="minorHAnsi"/>
                <w:sz w:val="20"/>
                <w:szCs w:val="20"/>
              </w:rPr>
              <w:t>15.2</w:t>
            </w:r>
          </w:p>
        </w:tc>
      </w:tr>
      <w:tr w:rsidR="00961617" w:rsidRPr="00545C7F" w14:paraId="398B7DB0" w14:textId="77777777" w:rsidTr="00EE47DD">
        <w:tblPrEx>
          <w:tblBorders>
            <w:left w:val="none" w:sz="0" w:space="0" w:color="auto"/>
            <w:right w:val="none" w:sz="0" w:space="0" w:color="auto"/>
            <w:insideH w:val="none" w:sz="0" w:space="0" w:color="auto"/>
            <w:insideV w:val="none" w:sz="0" w:space="0" w:color="auto"/>
          </w:tblBorders>
        </w:tblPrEx>
        <w:trPr>
          <w:trHeight w:hRule="exact" w:val="397"/>
        </w:trPr>
        <w:tc>
          <w:tcPr>
            <w:tcW w:w="7196" w:type="dxa"/>
            <w:tcBorders>
              <w:top w:val="nil"/>
              <w:left w:val="nil"/>
              <w:bottom w:val="nil"/>
              <w:right w:val="nil"/>
            </w:tcBorders>
            <w:shd w:val="clear" w:color="auto" w:fill="8EAEDE"/>
            <w:vAlign w:val="center"/>
          </w:tcPr>
          <w:p w14:paraId="0EA0BA28" w14:textId="77777777" w:rsidR="00961617" w:rsidRPr="00545C7F" w:rsidRDefault="00961617" w:rsidP="0020771F">
            <w:pPr>
              <w:pStyle w:val="Tablefirstcolumn"/>
              <w:rPr>
                <w:rFonts w:cstheme="minorHAnsi"/>
              </w:rPr>
            </w:pPr>
            <w:r w:rsidRPr="00545C7F">
              <w:rPr>
                <w:rFonts w:cstheme="minorHAnsi"/>
              </w:rPr>
              <w:t>Total</w:t>
            </w:r>
          </w:p>
        </w:tc>
        <w:tc>
          <w:tcPr>
            <w:tcW w:w="1417" w:type="dxa"/>
            <w:tcBorders>
              <w:top w:val="nil"/>
              <w:left w:val="nil"/>
              <w:bottom w:val="nil"/>
              <w:right w:val="nil"/>
            </w:tcBorders>
            <w:shd w:val="clear" w:color="auto" w:fill="8EAEDE"/>
            <w:vAlign w:val="center"/>
          </w:tcPr>
          <w:p w14:paraId="471242A8" w14:textId="77777777" w:rsidR="00961617" w:rsidRPr="00545C7F" w:rsidRDefault="00961617" w:rsidP="00EE47DD">
            <w:pPr>
              <w:pStyle w:val="tabletextslim"/>
              <w:spacing w:before="0"/>
              <w:ind w:right="183"/>
              <w:rPr>
                <w:rFonts w:cstheme="minorHAnsi"/>
                <w:sz w:val="20"/>
                <w:szCs w:val="20"/>
              </w:rPr>
            </w:pPr>
            <w:r w:rsidRPr="00545C7F">
              <w:rPr>
                <w:rFonts w:cstheme="minorHAnsi"/>
                <w:sz w:val="20"/>
                <w:szCs w:val="20"/>
              </w:rPr>
              <w:t>-8.5</w:t>
            </w:r>
          </w:p>
        </w:tc>
        <w:tc>
          <w:tcPr>
            <w:tcW w:w="1276" w:type="dxa"/>
            <w:tcBorders>
              <w:top w:val="nil"/>
              <w:left w:val="nil"/>
              <w:bottom w:val="nil"/>
              <w:right w:val="nil"/>
            </w:tcBorders>
            <w:shd w:val="clear" w:color="auto" w:fill="8EAEDE"/>
            <w:vAlign w:val="center"/>
          </w:tcPr>
          <w:p w14:paraId="229414BA" w14:textId="77777777" w:rsidR="00961617" w:rsidRPr="00545C7F" w:rsidRDefault="00961617" w:rsidP="00EE47DD">
            <w:pPr>
              <w:pStyle w:val="tabletextslim"/>
              <w:spacing w:before="0"/>
              <w:ind w:left="-144" w:right="183"/>
              <w:rPr>
                <w:rFonts w:cstheme="minorHAnsi"/>
                <w:sz w:val="20"/>
                <w:szCs w:val="20"/>
              </w:rPr>
            </w:pPr>
            <w:r w:rsidRPr="00545C7F">
              <w:rPr>
                <w:rFonts w:cstheme="minorHAnsi"/>
                <w:sz w:val="20"/>
                <w:szCs w:val="20"/>
              </w:rPr>
              <w:t>1.0</w:t>
            </w:r>
          </w:p>
        </w:tc>
        <w:tc>
          <w:tcPr>
            <w:tcW w:w="1418" w:type="dxa"/>
            <w:tcBorders>
              <w:top w:val="nil"/>
              <w:left w:val="nil"/>
              <w:bottom w:val="nil"/>
              <w:right w:val="nil"/>
            </w:tcBorders>
            <w:shd w:val="clear" w:color="auto" w:fill="8EAEDE"/>
            <w:vAlign w:val="center"/>
          </w:tcPr>
          <w:p w14:paraId="25EBFA6A" w14:textId="77777777" w:rsidR="00961617" w:rsidRPr="00545C7F" w:rsidRDefault="00961617" w:rsidP="00EE47DD">
            <w:pPr>
              <w:pStyle w:val="tabletextslim"/>
              <w:spacing w:before="0"/>
              <w:ind w:left="-145" w:right="184"/>
              <w:rPr>
                <w:rFonts w:cstheme="minorHAnsi"/>
                <w:sz w:val="20"/>
                <w:szCs w:val="20"/>
              </w:rPr>
            </w:pPr>
            <w:r w:rsidRPr="00545C7F">
              <w:rPr>
                <w:rFonts w:cstheme="minorHAnsi"/>
                <w:sz w:val="20"/>
                <w:szCs w:val="20"/>
              </w:rPr>
              <w:t>-7.5</w:t>
            </w:r>
          </w:p>
        </w:tc>
        <w:tc>
          <w:tcPr>
            <w:tcW w:w="1275" w:type="dxa"/>
            <w:tcBorders>
              <w:top w:val="nil"/>
              <w:left w:val="nil"/>
              <w:bottom w:val="nil"/>
              <w:right w:val="nil"/>
            </w:tcBorders>
            <w:shd w:val="clear" w:color="auto" w:fill="8EAEDE"/>
            <w:vAlign w:val="center"/>
          </w:tcPr>
          <w:p w14:paraId="68F27BFD" w14:textId="77777777" w:rsidR="00961617" w:rsidRPr="00545C7F" w:rsidRDefault="00961617" w:rsidP="00EE47DD">
            <w:pPr>
              <w:pStyle w:val="tabletextslim"/>
              <w:spacing w:before="0"/>
              <w:ind w:left="-145" w:right="183"/>
              <w:rPr>
                <w:rFonts w:cstheme="minorHAnsi"/>
                <w:sz w:val="20"/>
                <w:szCs w:val="20"/>
              </w:rPr>
            </w:pPr>
            <w:r w:rsidRPr="00545C7F">
              <w:rPr>
                <w:rFonts w:cstheme="minorHAnsi"/>
                <w:sz w:val="20"/>
                <w:szCs w:val="20"/>
              </w:rPr>
              <w:t>5.1</w:t>
            </w:r>
          </w:p>
        </w:tc>
      </w:tr>
    </w:tbl>
    <w:p w14:paraId="3761AE8B" w14:textId="77777777" w:rsidR="00961617" w:rsidRPr="002F5864" w:rsidRDefault="00961617" w:rsidP="00961617">
      <w:pPr>
        <w:pStyle w:val="Sourceandnotetext"/>
        <w:spacing w:before="0" w:after="0"/>
        <w:rPr>
          <w:rFonts w:cstheme="minorHAnsi"/>
        </w:rPr>
      </w:pPr>
      <w:r w:rsidRPr="002F5864">
        <w:rPr>
          <w:rFonts w:cstheme="minorHAnsi"/>
        </w:rPr>
        <w:t>n.a.:</w:t>
      </w:r>
      <w:r w:rsidRPr="002F5864">
        <w:rPr>
          <w:rFonts w:cstheme="minorHAnsi"/>
        </w:rPr>
        <w:tab/>
        <w:t>Not available due to high relative standard errors.</w:t>
      </w:r>
    </w:p>
    <w:p w14:paraId="3971C9A9" w14:textId="77777777" w:rsidR="00961617" w:rsidRPr="002F5864" w:rsidRDefault="00961617" w:rsidP="00E13B5E">
      <w:pPr>
        <w:pStyle w:val="Notes"/>
      </w:pPr>
      <w:r w:rsidRPr="002F5864">
        <w:rPr>
          <w:b/>
        </w:rPr>
        <w:t>Note:</w:t>
      </w:r>
      <w:r w:rsidR="00E13B5E">
        <w:tab/>
      </w:r>
      <w:r w:rsidRPr="002F5864">
        <w:t>Both JSA 2009 and 2012 caseloads and study populations exclude job seekers living in communities that were subsequently transferred to the Remote Jobs and Communities Programme in July 2013.</w:t>
      </w:r>
    </w:p>
    <w:p w14:paraId="5D5236F4" w14:textId="77777777" w:rsidR="00961617" w:rsidRPr="002F5864" w:rsidRDefault="00961617" w:rsidP="00E13B5E">
      <w:pPr>
        <w:pStyle w:val="Source"/>
      </w:pPr>
      <w:r w:rsidRPr="002F5864">
        <w:rPr>
          <w:b/>
        </w:rPr>
        <w:t>Source:</w:t>
      </w:r>
      <w:r w:rsidR="00E13B5E">
        <w:tab/>
      </w:r>
      <w:r w:rsidRPr="002F5864">
        <w:t>Department of Employment Post Programme Monitoring Survey.</w:t>
      </w:r>
    </w:p>
    <w:p w14:paraId="36131152"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148C5919" w14:textId="77777777" w:rsidR="00026A22" w:rsidRPr="002F5864" w:rsidRDefault="00864C5E" w:rsidP="00026A22">
      <w:pPr>
        <w:pStyle w:val="ListParagraph"/>
        <w:numPr>
          <w:ilvl w:val="0"/>
          <w:numId w:val="97"/>
        </w:numPr>
        <w:spacing w:before="0"/>
        <w:ind w:left="714" w:hanging="357"/>
        <w:rPr>
          <w:rFonts w:cstheme="minorHAnsi"/>
          <w:sz w:val="18"/>
          <w:szCs w:val="18"/>
        </w:rPr>
      </w:pPr>
      <w:hyperlink w:anchor="Place_A213a" w:history="1">
        <w:r w:rsidR="00026A22" w:rsidRPr="00026A22">
          <w:rPr>
            <w:rStyle w:val="Hyperlink"/>
            <w:rFonts w:cstheme="minorHAnsi"/>
            <w:sz w:val="18"/>
            <w:szCs w:val="18"/>
          </w:rPr>
          <w:t>Return to Figure 3.7</w:t>
        </w:r>
      </w:hyperlink>
      <w:r w:rsidR="00026A22" w:rsidRPr="002F5864">
        <w:rPr>
          <w:rFonts w:cstheme="minorHAnsi"/>
          <w:sz w:val="18"/>
          <w:szCs w:val="18"/>
        </w:rPr>
        <w:t xml:space="preserve"> where this data is referenced.</w:t>
      </w:r>
    </w:p>
    <w:p w14:paraId="6742D38B" w14:textId="77777777" w:rsidR="00026A22" w:rsidRPr="002F5864" w:rsidRDefault="00864C5E" w:rsidP="00026A22">
      <w:pPr>
        <w:pStyle w:val="ListParagraph"/>
        <w:numPr>
          <w:ilvl w:val="0"/>
          <w:numId w:val="97"/>
        </w:numPr>
        <w:spacing w:before="0"/>
        <w:ind w:left="714" w:hanging="357"/>
        <w:rPr>
          <w:rFonts w:cstheme="minorHAnsi"/>
          <w:sz w:val="18"/>
          <w:szCs w:val="18"/>
        </w:rPr>
      </w:pPr>
      <w:hyperlink w:anchor="Place_A213b" w:history="1">
        <w:r w:rsidR="00026A22" w:rsidRPr="00026A22">
          <w:rPr>
            <w:rStyle w:val="Hyperlink"/>
            <w:rFonts w:cstheme="minorHAnsi"/>
            <w:sz w:val="18"/>
            <w:szCs w:val="18"/>
          </w:rPr>
          <w:t>Return to Figure 3.8</w:t>
        </w:r>
      </w:hyperlink>
      <w:r w:rsidR="00026A22" w:rsidRPr="002F5864">
        <w:rPr>
          <w:rFonts w:cstheme="minorHAnsi"/>
          <w:sz w:val="18"/>
          <w:szCs w:val="18"/>
        </w:rPr>
        <w:t xml:space="preserve"> where this data is referenced.</w:t>
      </w:r>
    </w:p>
    <w:p w14:paraId="09BA75EF" w14:textId="77777777" w:rsidR="00961617" w:rsidRPr="002F5864" w:rsidRDefault="00864C5E" w:rsidP="00026A22">
      <w:pPr>
        <w:pStyle w:val="ListParagraph"/>
        <w:numPr>
          <w:ilvl w:val="0"/>
          <w:numId w:val="97"/>
        </w:numPr>
        <w:spacing w:before="0"/>
        <w:ind w:left="714" w:hanging="357"/>
        <w:rPr>
          <w:rFonts w:cstheme="minorHAnsi"/>
          <w:sz w:val="18"/>
          <w:szCs w:val="18"/>
        </w:rPr>
        <w:sectPr w:rsidR="00961617" w:rsidRPr="002F5864" w:rsidSect="00861BD8">
          <w:pgSz w:w="16839" w:h="11907" w:orient="landscape" w:code="9"/>
          <w:pgMar w:top="1440" w:right="1440" w:bottom="1440" w:left="1440" w:header="709" w:footer="284" w:gutter="0"/>
          <w:cols w:space="708"/>
          <w:docGrid w:linePitch="360"/>
        </w:sectPr>
      </w:pPr>
      <w:hyperlink w:anchor="Place_A213c" w:history="1">
        <w:r w:rsidR="00026A22" w:rsidRPr="00026A22">
          <w:rPr>
            <w:rStyle w:val="Hyperlink"/>
            <w:rFonts w:cstheme="minorHAnsi"/>
            <w:sz w:val="18"/>
            <w:szCs w:val="18"/>
          </w:rPr>
          <w:t>Return to Figure 3.9</w:t>
        </w:r>
      </w:hyperlink>
      <w:r w:rsidR="00026A22">
        <w:rPr>
          <w:rFonts w:cstheme="minorHAnsi"/>
          <w:sz w:val="18"/>
          <w:szCs w:val="18"/>
        </w:rPr>
        <w:t xml:space="preserve"> where this data is referenced</w:t>
      </w:r>
      <w:r w:rsidR="00961617" w:rsidRPr="002F5864">
        <w:rPr>
          <w:rFonts w:cstheme="minorHAnsi"/>
          <w:sz w:val="18"/>
          <w:szCs w:val="18"/>
        </w:rPr>
        <w:t>.</w:t>
      </w:r>
    </w:p>
    <w:p w14:paraId="514AFDA8" w14:textId="77777777" w:rsidR="00961617" w:rsidRPr="002F5864" w:rsidRDefault="00961617" w:rsidP="00961617">
      <w:pPr>
        <w:pStyle w:val="TableheadingforappendixA1"/>
        <w:rPr>
          <w:rFonts w:cstheme="minorHAnsi"/>
        </w:rPr>
      </w:pPr>
      <w:bookmarkStart w:id="655" w:name="_Toc513129909"/>
      <w:r w:rsidRPr="002F5864">
        <w:rPr>
          <w:rFonts w:cstheme="minorHAnsi"/>
        </w:rPr>
        <w:t>Table A2.16: Intensive activity type, 2009 and 2012 Steam 1 servicing study population (per cent)</w:t>
      </w:r>
      <w:bookmarkEnd w:id="655"/>
    </w:p>
    <w:tbl>
      <w:tblPr>
        <w:tblW w:w="8804" w:type="dxa"/>
        <w:tblInd w:w="93" w:type="dxa"/>
        <w:tblLook w:val="04A0" w:firstRow="1" w:lastRow="0" w:firstColumn="1" w:lastColumn="0" w:noHBand="0" w:noVBand="1"/>
      </w:tblPr>
      <w:tblGrid>
        <w:gridCol w:w="6536"/>
        <w:gridCol w:w="1134"/>
        <w:gridCol w:w="1134"/>
      </w:tblGrid>
      <w:tr w:rsidR="00961617" w:rsidRPr="002F5864" w14:paraId="11BFCDED" w14:textId="77777777" w:rsidTr="0020771F">
        <w:trPr>
          <w:trHeight w:val="288"/>
          <w:tblHeader/>
        </w:trPr>
        <w:tc>
          <w:tcPr>
            <w:tcW w:w="6536" w:type="dxa"/>
            <w:shd w:val="clear" w:color="auto" w:fill="1E3D6B"/>
            <w:noWrap/>
            <w:vAlign w:val="bottom"/>
            <w:hideMark/>
          </w:tcPr>
          <w:p w14:paraId="44F1F9D6" w14:textId="77777777" w:rsidR="00961617" w:rsidRPr="002F5864" w:rsidRDefault="00961617" w:rsidP="0020771F">
            <w:pPr>
              <w:spacing w:after="0" w:line="240" w:lineRule="auto"/>
              <w:rPr>
                <w:rFonts w:eastAsia="Times New Roman" w:cstheme="minorHAnsi"/>
                <w:b/>
                <w:color w:val="FFFFFF" w:themeColor="background2"/>
                <w:sz w:val="20"/>
                <w:szCs w:val="20"/>
                <w:lang w:eastAsia="en-AU"/>
              </w:rPr>
            </w:pPr>
            <w:bookmarkStart w:id="656" w:name="Title_A216"/>
            <w:bookmarkStart w:id="657" w:name="_Toc415485705"/>
            <w:bookmarkStart w:id="658" w:name="_Toc435695223"/>
            <w:bookmarkStart w:id="659" w:name="_Toc436142583"/>
            <w:bookmarkEnd w:id="656"/>
            <w:r w:rsidRPr="002F5864">
              <w:rPr>
                <w:rFonts w:eastAsia="Times New Roman" w:cstheme="minorHAnsi"/>
                <w:b/>
                <w:color w:val="FFFFFF" w:themeColor="background2"/>
                <w:sz w:val="20"/>
                <w:szCs w:val="20"/>
                <w:lang w:eastAsia="en-AU"/>
              </w:rPr>
              <w:t>Intensive activity type</w:t>
            </w:r>
          </w:p>
        </w:tc>
        <w:tc>
          <w:tcPr>
            <w:tcW w:w="1134" w:type="dxa"/>
            <w:shd w:val="clear" w:color="auto" w:fill="1E3D6B"/>
            <w:noWrap/>
            <w:vAlign w:val="center"/>
            <w:hideMark/>
          </w:tcPr>
          <w:p w14:paraId="120A5E7D" w14:textId="77777777" w:rsidR="00961617" w:rsidRPr="002F5864" w:rsidRDefault="00961617" w:rsidP="0020771F">
            <w:pPr>
              <w:spacing w:after="0" w:line="240" w:lineRule="auto"/>
              <w:jc w:val="center"/>
              <w:rPr>
                <w:rFonts w:eastAsia="Times New Roman" w:cstheme="minorHAnsi"/>
                <w:b/>
                <w:color w:val="FFFFFF" w:themeColor="background2"/>
                <w:sz w:val="20"/>
                <w:szCs w:val="20"/>
                <w:lang w:eastAsia="en-AU"/>
              </w:rPr>
            </w:pPr>
            <w:r w:rsidRPr="002F5864">
              <w:rPr>
                <w:rFonts w:eastAsia="Times New Roman" w:cstheme="minorHAnsi"/>
                <w:b/>
                <w:color w:val="FFFFFF" w:themeColor="background2"/>
                <w:sz w:val="20"/>
                <w:szCs w:val="20"/>
                <w:lang w:eastAsia="en-AU"/>
              </w:rPr>
              <w:t xml:space="preserve">JSA 2009 </w:t>
            </w:r>
          </w:p>
        </w:tc>
        <w:tc>
          <w:tcPr>
            <w:tcW w:w="1134" w:type="dxa"/>
            <w:shd w:val="clear" w:color="auto" w:fill="1E3D6B"/>
            <w:noWrap/>
            <w:vAlign w:val="center"/>
            <w:hideMark/>
          </w:tcPr>
          <w:p w14:paraId="32D7896C" w14:textId="77777777" w:rsidR="00961617" w:rsidRPr="002F5864" w:rsidRDefault="00961617" w:rsidP="0020771F">
            <w:pPr>
              <w:spacing w:after="0" w:line="240" w:lineRule="auto"/>
              <w:jc w:val="center"/>
              <w:rPr>
                <w:rFonts w:eastAsia="Times New Roman" w:cstheme="minorHAnsi"/>
                <w:b/>
                <w:color w:val="FFFFFF" w:themeColor="background2"/>
                <w:sz w:val="20"/>
                <w:szCs w:val="20"/>
                <w:lang w:eastAsia="en-AU"/>
              </w:rPr>
            </w:pPr>
            <w:r w:rsidRPr="002F5864">
              <w:rPr>
                <w:rFonts w:eastAsia="Times New Roman" w:cstheme="minorHAnsi"/>
                <w:b/>
                <w:color w:val="FFFFFF" w:themeColor="background2"/>
                <w:sz w:val="20"/>
                <w:szCs w:val="20"/>
                <w:lang w:eastAsia="en-AU"/>
              </w:rPr>
              <w:t xml:space="preserve">JSA 2012 </w:t>
            </w:r>
          </w:p>
        </w:tc>
      </w:tr>
      <w:tr w:rsidR="00961617" w:rsidRPr="002F5864" w14:paraId="50738279" w14:textId="77777777" w:rsidTr="0020771F">
        <w:trPr>
          <w:trHeight w:val="397"/>
        </w:trPr>
        <w:tc>
          <w:tcPr>
            <w:tcW w:w="6536" w:type="dxa"/>
            <w:tcBorders>
              <w:top w:val="nil"/>
            </w:tcBorders>
            <w:shd w:val="clear" w:color="auto" w:fill="auto"/>
            <w:noWrap/>
            <w:vAlign w:val="center"/>
            <w:hideMark/>
          </w:tcPr>
          <w:p w14:paraId="064BC0D6"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Training in Job Search Techniques</w:t>
            </w:r>
          </w:p>
        </w:tc>
        <w:tc>
          <w:tcPr>
            <w:tcW w:w="1134" w:type="dxa"/>
            <w:tcBorders>
              <w:top w:val="nil"/>
            </w:tcBorders>
            <w:shd w:val="clear" w:color="000000" w:fill="FFFFFF"/>
            <w:noWrap/>
            <w:vAlign w:val="center"/>
            <w:hideMark/>
          </w:tcPr>
          <w:p w14:paraId="23318D03"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56.8</w:t>
            </w:r>
          </w:p>
        </w:tc>
        <w:tc>
          <w:tcPr>
            <w:tcW w:w="1134" w:type="dxa"/>
            <w:tcBorders>
              <w:top w:val="nil"/>
            </w:tcBorders>
            <w:shd w:val="clear" w:color="000000" w:fill="FFFFFF"/>
            <w:noWrap/>
            <w:vAlign w:val="center"/>
            <w:hideMark/>
          </w:tcPr>
          <w:p w14:paraId="3EFB7991"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53.4</w:t>
            </w:r>
          </w:p>
        </w:tc>
      </w:tr>
      <w:tr w:rsidR="00961617" w:rsidRPr="002F5864" w14:paraId="2E6F7ABA" w14:textId="77777777" w:rsidTr="0020771F">
        <w:trPr>
          <w:trHeight w:val="397"/>
        </w:trPr>
        <w:tc>
          <w:tcPr>
            <w:tcW w:w="6536" w:type="dxa"/>
            <w:shd w:val="clear" w:color="auto" w:fill="E5E5E5" w:themeFill="background1" w:themeFillTint="33"/>
            <w:noWrap/>
            <w:vAlign w:val="center"/>
            <w:hideMark/>
          </w:tcPr>
          <w:p w14:paraId="7A612AC7"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Part Time/Casual Paid Employment</w:t>
            </w:r>
          </w:p>
        </w:tc>
        <w:tc>
          <w:tcPr>
            <w:tcW w:w="1134" w:type="dxa"/>
            <w:shd w:val="clear" w:color="auto" w:fill="E5E5E5" w:themeFill="background1" w:themeFillTint="33"/>
            <w:noWrap/>
            <w:vAlign w:val="center"/>
            <w:hideMark/>
          </w:tcPr>
          <w:p w14:paraId="7CB317CA"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24.0</w:t>
            </w:r>
          </w:p>
        </w:tc>
        <w:tc>
          <w:tcPr>
            <w:tcW w:w="1134" w:type="dxa"/>
            <w:shd w:val="clear" w:color="auto" w:fill="E5E5E5" w:themeFill="background1" w:themeFillTint="33"/>
            <w:noWrap/>
            <w:vAlign w:val="center"/>
            <w:hideMark/>
          </w:tcPr>
          <w:p w14:paraId="7DA49831"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25.8</w:t>
            </w:r>
          </w:p>
        </w:tc>
      </w:tr>
      <w:tr w:rsidR="00961617" w:rsidRPr="002F5864" w14:paraId="2DD6A9EC" w14:textId="77777777" w:rsidTr="0020771F">
        <w:trPr>
          <w:trHeight w:val="397"/>
        </w:trPr>
        <w:tc>
          <w:tcPr>
            <w:tcW w:w="6536" w:type="dxa"/>
            <w:shd w:val="clear" w:color="auto" w:fill="auto"/>
            <w:noWrap/>
            <w:vAlign w:val="center"/>
            <w:hideMark/>
          </w:tcPr>
          <w:p w14:paraId="05C3ECD8"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Accredited /Non-accredited Education and Training (Vocational)</w:t>
            </w:r>
          </w:p>
        </w:tc>
        <w:tc>
          <w:tcPr>
            <w:tcW w:w="1134" w:type="dxa"/>
            <w:shd w:val="clear" w:color="000000" w:fill="FFFFFF"/>
            <w:noWrap/>
            <w:vAlign w:val="center"/>
            <w:hideMark/>
          </w:tcPr>
          <w:p w14:paraId="4861C195"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14.2</w:t>
            </w:r>
          </w:p>
        </w:tc>
        <w:tc>
          <w:tcPr>
            <w:tcW w:w="1134" w:type="dxa"/>
            <w:shd w:val="clear" w:color="000000" w:fill="FFFFFF"/>
            <w:noWrap/>
            <w:vAlign w:val="center"/>
            <w:hideMark/>
          </w:tcPr>
          <w:p w14:paraId="694C43EC"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15.3</w:t>
            </w:r>
          </w:p>
        </w:tc>
      </w:tr>
      <w:tr w:rsidR="00961617" w:rsidRPr="002F5864" w14:paraId="370EEB65" w14:textId="77777777" w:rsidTr="0020771F">
        <w:trPr>
          <w:trHeight w:val="397"/>
        </w:trPr>
        <w:tc>
          <w:tcPr>
            <w:tcW w:w="6536" w:type="dxa"/>
            <w:shd w:val="clear" w:color="auto" w:fill="E5E5E5" w:themeFill="background1" w:themeFillTint="33"/>
            <w:noWrap/>
            <w:vAlign w:val="center"/>
            <w:hideMark/>
          </w:tcPr>
          <w:p w14:paraId="1F419FDF"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Voluntary Work in community/non-profit sector</w:t>
            </w:r>
          </w:p>
        </w:tc>
        <w:tc>
          <w:tcPr>
            <w:tcW w:w="1134" w:type="dxa"/>
            <w:shd w:val="clear" w:color="auto" w:fill="E5E5E5" w:themeFill="background1" w:themeFillTint="33"/>
            <w:noWrap/>
            <w:vAlign w:val="center"/>
            <w:hideMark/>
          </w:tcPr>
          <w:p w14:paraId="339EFF63"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1.5</w:t>
            </w:r>
          </w:p>
        </w:tc>
        <w:tc>
          <w:tcPr>
            <w:tcW w:w="1134" w:type="dxa"/>
            <w:shd w:val="clear" w:color="auto" w:fill="E5E5E5" w:themeFill="background1" w:themeFillTint="33"/>
            <w:noWrap/>
            <w:vAlign w:val="center"/>
            <w:hideMark/>
          </w:tcPr>
          <w:p w14:paraId="75B8367A"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0.9</w:t>
            </w:r>
          </w:p>
        </w:tc>
      </w:tr>
      <w:tr w:rsidR="00961617" w:rsidRPr="002F5864" w14:paraId="64D51B14" w14:textId="77777777" w:rsidTr="0020771F">
        <w:trPr>
          <w:trHeight w:val="397"/>
        </w:trPr>
        <w:tc>
          <w:tcPr>
            <w:tcW w:w="6536" w:type="dxa"/>
            <w:shd w:val="clear" w:color="auto" w:fill="auto"/>
            <w:noWrap/>
            <w:vAlign w:val="center"/>
            <w:hideMark/>
          </w:tcPr>
          <w:p w14:paraId="52694BF2"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Work for the Dole</w:t>
            </w:r>
          </w:p>
        </w:tc>
        <w:tc>
          <w:tcPr>
            <w:tcW w:w="1134" w:type="dxa"/>
            <w:shd w:val="clear" w:color="000000" w:fill="FFFFFF"/>
            <w:noWrap/>
            <w:vAlign w:val="center"/>
            <w:hideMark/>
          </w:tcPr>
          <w:p w14:paraId="2C935CFB"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1.1</w:t>
            </w:r>
          </w:p>
        </w:tc>
        <w:tc>
          <w:tcPr>
            <w:tcW w:w="1134" w:type="dxa"/>
            <w:shd w:val="clear" w:color="000000" w:fill="FFFFFF"/>
            <w:noWrap/>
            <w:vAlign w:val="center"/>
            <w:hideMark/>
          </w:tcPr>
          <w:p w14:paraId="2C62C966"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0.7</w:t>
            </w:r>
          </w:p>
        </w:tc>
      </w:tr>
      <w:tr w:rsidR="00961617" w:rsidRPr="002F5864" w14:paraId="2F1727A2" w14:textId="77777777" w:rsidTr="0020771F">
        <w:trPr>
          <w:trHeight w:val="397"/>
        </w:trPr>
        <w:tc>
          <w:tcPr>
            <w:tcW w:w="6536" w:type="dxa"/>
            <w:tcBorders>
              <w:top w:val="nil"/>
            </w:tcBorders>
            <w:shd w:val="clear" w:color="auto" w:fill="E5E5E5" w:themeFill="background1" w:themeFillTint="33"/>
            <w:noWrap/>
            <w:vAlign w:val="center"/>
            <w:hideMark/>
          </w:tcPr>
          <w:p w14:paraId="5E7CC3FA"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Education/Training Non-vocational</w:t>
            </w:r>
          </w:p>
        </w:tc>
        <w:tc>
          <w:tcPr>
            <w:tcW w:w="1134" w:type="dxa"/>
            <w:tcBorders>
              <w:top w:val="nil"/>
            </w:tcBorders>
            <w:shd w:val="clear" w:color="auto" w:fill="E5E5E5" w:themeFill="background1" w:themeFillTint="33"/>
            <w:noWrap/>
            <w:vAlign w:val="center"/>
            <w:hideMark/>
          </w:tcPr>
          <w:p w14:paraId="7377355E"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0.8</w:t>
            </w:r>
          </w:p>
        </w:tc>
        <w:tc>
          <w:tcPr>
            <w:tcW w:w="1134" w:type="dxa"/>
            <w:tcBorders>
              <w:top w:val="nil"/>
            </w:tcBorders>
            <w:shd w:val="clear" w:color="auto" w:fill="E5E5E5" w:themeFill="background1" w:themeFillTint="33"/>
            <w:noWrap/>
            <w:vAlign w:val="center"/>
            <w:hideMark/>
          </w:tcPr>
          <w:p w14:paraId="3F475866"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2.9</w:t>
            </w:r>
          </w:p>
        </w:tc>
      </w:tr>
      <w:tr w:rsidR="00961617" w:rsidRPr="002F5864" w14:paraId="0BF26B63" w14:textId="77777777" w:rsidTr="0020771F">
        <w:trPr>
          <w:trHeight w:val="397"/>
        </w:trPr>
        <w:tc>
          <w:tcPr>
            <w:tcW w:w="6536" w:type="dxa"/>
            <w:tcBorders>
              <w:top w:val="nil"/>
            </w:tcBorders>
            <w:shd w:val="clear" w:color="auto" w:fill="auto"/>
            <w:noWrap/>
            <w:vAlign w:val="center"/>
            <w:hideMark/>
          </w:tcPr>
          <w:p w14:paraId="26583EE1"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Unpaid Work Experience</w:t>
            </w:r>
          </w:p>
        </w:tc>
        <w:tc>
          <w:tcPr>
            <w:tcW w:w="1134" w:type="dxa"/>
            <w:tcBorders>
              <w:top w:val="nil"/>
            </w:tcBorders>
            <w:shd w:val="clear" w:color="000000" w:fill="FFFFFF"/>
            <w:noWrap/>
            <w:vAlign w:val="center"/>
            <w:hideMark/>
          </w:tcPr>
          <w:p w14:paraId="22710D17"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0.4</w:t>
            </w:r>
          </w:p>
        </w:tc>
        <w:tc>
          <w:tcPr>
            <w:tcW w:w="1134" w:type="dxa"/>
            <w:tcBorders>
              <w:top w:val="nil"/>
            </w:tcBorders>
            <w:shd w:val="clear" w:color="000000" w:fill="FFFFFF"/>
            <w:noWrap/>
            <w:vAlign w:val="center"/>
            <w:hideMark/>
          </w:tcPr>
          <w:p w14:paraId="660FEC8B"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0.3</w:t>
            </w:r>
          </w:p>
        </w:tc>
      </w:tr>
      <w:tr w:rsidR="00961617" w:rsidRPr="002F5864" w14:paraId="4C945FF2" w14:textId="77777777" w:rsidTr="0020771F">
        <w:trPr>
          <w:trHeight w:val="397"/>
        </w:trPr>
        <w:tc>
          <w:tcPr>
            <w:tcW w:w="6536" w:type="dxa"/>
            <w:tcBorders>
              <w:top w:val="nil"/>
            </w:tcBorders>
            <w:shd w:val="clear" w:color="auto" w:fill="E5E5E5" w:themeFill="background1" w:themeFillTint="33"/>
            <w:noWrap/>
            <w:vAlign w:val="center"/>
            <w:hideMark/>
          </w:tcPr>
          <w:p w14:paraId="6E0E751A"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Other activity</w:t>
            </w:r>
          </w:p>
        </w:tc>
        <w:tc>
          <w:tcPr>
            <w:tcW w:w="1134" w:type="dxa"/>
            <w:tcBorders>
              <w:top w:val="nil"/>
            </w:tcBorders>
            <w:shd w:val="clear" w:color="auto" w:fill="E5E5E5" w:themeFill="background1" w:themeFillTint="33"/>
            <w:noWrap/>
            <w:vAlign w:val="center"/>
            <w:hideMark/>
          </w:tcPr>
          <w:p w14:paraId="3BAF52DE"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1.1</w:t>
            </w:r>
          </w:p>
        </w:tc>
        <w:tc>
          <w:tcPr>
            <w:tcW w:w="1134" w:type="dxa"/>
            <w:tcBorders>
              <w:top w:val="nil"/>
            </w:tcBorders>
            <w:shd w:val="clear" w:color="auto" w:fill="E5E5E5" w:themeFill="background1" w:themeFillTint="33"/>
            <w:noWrap/>
            <w:vAlign w:val="center"/>
            <w:hideMark/>
          </w:tcPr>
          <w:p w14:paraId="500AE231"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0.7</w:t>
            </w:r>
          </w:p>
        </w:tc>
      </w:tr>
      <w:tr w:rsidR="00961617" w:rsidRPr="002F5864" w14:paraId="7A990895" w14:textId="77777777" w:rsidTr="0020771F">
        <w:trPr>
          <w:trHeight w:val="397"/>
        </w:trPr>
        <w:tc>
          <w:tcPr>
            <w:tcW w:w="6536" w:type="dxa"/>
            <w:tcBorders>
              <w:top w:val="nil"/>
            </w:tcBorders>
            <w:shd w:val="clear" w:color="auto" w:fill="8EAEDE"/>
            <w:noWrap/>
            <w:vAlign w:val="center"/>
            <w:hideMark/>
          </w:tcPr>
          <w:p w14:paraId="7331A133" w14:textId="77777777" w:rsidR="00961617" w:rsidRPr="002F5864" w:rsidRDefault="00961617" w:rsidP="0020771F">
            <w:pPr>
              <w:spacing w:after="0" w:line="240" w:lineRule="auto"/>
              <w:rPr>
                <w:rFonts w:eastAsia="Times New Roman" w:cstheme="minorHAnsi"/>
                <w:color w:val="000000"/>
                <w:sz w:val="20"/>
                <w:szCs w:val="20"/>
                <w:lang w:eastAsia="en-AU"/>
              </w:rPr>
            </w:pPr>
            <w:r w:rsidRPr="002F5864">
              <w:rPr>
                <w:rFonts w:eastAsia="Times New Roman" w:cstheme="minorHAnsi"/>
                <w:color w:val="000000"/>
                <w:sz w:val="20"/>
                <w:szCs w:val="20"/>
                <w:lang w:eastAsia="en-AU"/>
              </w:rPr>
              <w:t>Total</w:t>
            </w:r>
          </w:p>
        </w:tc>
        <w:tc>
          <w:tcPr>
            <w:tcW w:w="1134" w:type="dxa"/>
            <w:tcBorders>
              <w:top w:val="nil"/>
            </w:tcBorders>
            <w:shd w:val="clear" w:color="auto" w:fill="8EAEDE"/>
            <w:noWrap/>
            <w:vAlign w:val="center"/>
            <w:hideMark/>
          </w:tcPr>
          <w:p w14:paraId="52021D02"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100.0</w:t>
            </w:r>
          </w:p>
        </w:tc>
        <w:tc>
          <w:tcPr>
            <w:tcW w:w="1134" w:type="dxa"/>
            <w:tcBorders>
              <w:top w:val="nil"/>
            </w:tcBorders>
            <w:shd w:val="clear" w:color="auto" w:fill="8EAEDE"/>
            <w:noWrap/>
            <w:vAlign w:val="center"/>
            <w:hideMark/>
          </w:tcPr>
          <w:p w14:paraId="361FBCC1" w14:textId="77777777" w:rsidR="00961617" w:rsidRPr="002F5864" w:rsidRDefault="00961617" w:rsidP="0020771F">
            <w:pPr>
              <w:spacing w:after="0" w:line="240" w:lineRule="auto"/>
              <w:ind w:left="-207" w:right="263"/>
              <w:jc w:val="right"/>
              <w:rPr>
                <w:rFonts w:eastAsia="Times New Roman" w:cstheme="minorHAnsi"/>
                <w:color w:val="000000"/>
                <w:sz w:val="20"/>
                <w:szCs w:val="20"/>
                <w:lang w:eastAsia="en-AU"/>
              </w:rPr>
            </w:pPr>
            <w:r w:rsidRPr="002F5864">
              <w:rPr>
                <w:rFonts w:eastAsia="Times New Roman" w:cstheme="minorHAnsi"/>
                <w:color w:val="000000"/>
                <w:sz w:val="20"/>
                <w:szCs w:val="20"/>
                <w:lang w:eastAsia="en-AU"/>
              </w:rPr>
              <w:t>100.0</w:t>
            </w:r>
          </w:p>
        </w:tc>
      </w:tr>
    </w:tbl>
    <w:p w14:paraId="5BEB3F7A" w14:textId="77777777" w:rsidR="00961617" w:rsidRPr="002F5864" w:rsidRDefault="00961617" w:rsidP="00E13B5E">
      <w:pPr>
        <w:pStyle w:val="Notes"/>
      </w:pPr>
      <w:r w:rsidRPr="00E13B5E">
        <w:rPr>
          <w:b/>
        </w:rPr>
        <w:t>Notes</w:t>
      </w:r>
      <w:r w:rsidRPr="002F5864">
        <w:t xml:space="preserve">: </w:t>
      </w:r>
    </w:p>
    <w:p w14:paraId="6AEF1531" w14:textId="77777777" w:rsidR="00961617" w:rsidRPr="00AE501D" w:rsidRDefault="00961617" w:rsidP="00AE501D">
      <w:pPr>
        <w:pStyle w:val="Notesnumbered"/>
        <w:numPr>
          <w:ilvl w:val="0"/>
          <w:numId w:val="264"/>
        </w:numPr>
      </w:pPr>
      <w:r w:rsidRPr="00AE501D">
        <w:t>Numbers may not add up due to rounding.</w:t>
      </w:r>
    </w:p>
    <w:p w14:paraId="710CEBE3" w14:textId="77777777" w:rsidR="00961617" w:rsidRPr="002F5864" w:rsidRDefault="00961617" w:rsidP="00AE501D">
      <w:pPr>
        <w:pStyle w:val="Notesnumbered"/>
        <w:numPr>
          <w:ilvl w:val="0"/>
          <w:numId w:val="264"/>
        </w:numPr>
      </w:pPr>
      <w:r w:rsidRPr="00AE501D">
        <w:t>Includes all I</w:t>
      </w:r>
      <w:r w:rsidRPr="002F5864">
        <w:t>ntensive Activities commenced in the first 12 months of service.</w:t>
      </w:r>
    </w:p>
    <w:p w14:paraId="17C263AC" w14:textId="77777777" w:rsidR="00961617" w:rsidRPr="002F5864" w:rsidRDefault="00961617" w:rsidP="00E13B5E">
      <w:pPr>
        <w:pStyle w:val="Source"/>
      </w:pPr>
      <w:r w:rsidRPr="002F5864">
        <w:rPr>
          <w:b/>
        </w:rPr>
        <w:t>Source:</w:t>
      </w:r>
      <w:r w:rsidRPr="002F5864">
        <w:t xml:space="preserve"> Department of Employment administrative data.</w:t>
      </w:r>
    </w:p>
    <w:p w14:paraId="177668DF" w14:textId="77777777" w:rsidR="00961617" w:rsidRPr="002F5864" w:rsidRDefault="00864C5E" w:rsidP="00961617">
      <w:pPr>
        <w:rPr>
          <w:rFonts w:cstheme="minorHAnsi"/>
          <w:sz w:val="18"/>
          <w:szCs w:val="18"/>
        </w:rPr>
      </w:pPr>
      <w:hyperlink w:anchor="Place_A216" w:history="1">
        <w:r w:rsidR="00961617" w:rsidRPr="005F1335">
          <w:rPr>
            <w:rStyle w:val="Hyperlink"/>
            <w:rFonts w:cstheme="minorHAnsi"/>
            <w:sz w:val="18"/>
            <w:szCs w:val="18"/>
          </w:rPr>
          <w:t xml:space="preserve">Return to </w:t>
        </w:r>
        <w:r w:rsidR="003649E1" w:rsidRPr="005F1335">
          <w:rPr>
            <w:rStyle w:val="Hyperlink"/>
            <w:rFonts w:cstheme="minorHAnsi"/>
            <w:sz w:val="18"/>
            <w:szCs w:val="18"/>
          </w:rPr>
          <w:t>s</w:t>
        </w:r>
        <w:r w:rsidR="00961617" w:rsidRPr="005F1335">
          <w:rPr>
            <w:rStyle w:val="Hyperlink"/>
            <w:rFonts w:cstheme="minorHAnsi"/>
            <w:sz w:val="18"/>
            <w:szCs w:val="18"/>
          </w:rPr>
          <w:t>ection 4.2.1</w:t>
        </w:r>
      </w:hyperlink>
      <w:r w:rsidR="00961617" w:rsidRPr="002F5864">
        <w:rPr>
          <w:rFonts w:cstheme="minorHAnsi"/>
          <w:sz w:val="18"/>
          <w:szCs w:val="18"/>
        </w:rPr>
        <w:t xml:space="preserve"> where this data is referenced.</w:t>
      </w:r>
    </w:p>
    <w:p w14:paraId="34A1ED02" w14:textId="77777777" w:rsidR="00961617" w:rsidRPr="002F5864" w:rsidRDefault="00961617" w:rsidP="00961617">
      <w:pPr>
        <w:pStyle w:val="TableheadingforappendixA1"/>
        <w:keepNext w:val="0"/>
        <w:spacing w:before="120"/>
        <w:rPr>
          <w:rFonts w:cstheme="minorHAnsi"/>
        </w:rPr>
      </w:pPr>
      <w:r w:rsidRPr="002F5864">
        <w:rPr>
          <w:rFonts w:cstheme="minorHAnsi"/>
          <w:b w:val="0"/>
          <w:i/>
          <w:sz w:val="18"/>
          <w:szCs w:val="18"/>
        </w:rPr>
        <w:br w:type="page"/>
      </w:r>
      <w:bookmarkStart w:id="660" w:name="_Toc513129910"/>
      <w:r w:rsidRPr="002F5864">
        <w:rPr>
          <w:rFonts w:cstheme="minorHAnsi"/>
        </w:rPr>
        <w:t>Table A2.17: Number of weeks in service to start of Intensive Activity, 2009 and 2012 Steam 1 servicing study population (per cent)</w:t>
      </w:r>
      <w:bookmarkEnd w:id="660"/>
    </w:p>
    <w:tbl>
      <w:tblPr>
        <w:tblW w:w="3843" w:type="dxa"/>
        <w:tblInd w:w="93" w:type="dxa"/>
        <w:shd w:val="clear" w:color="auto" w:fill="FFFFFF" w:themeFill="background2"/>
        <w:tblLook w:val="04A0" w:firstRow="1" w:lastRow="0" w:firstColumn="1" w:lastColumn="0" w:noHBand="0" w:noVBand="1"/>
      </w:tblPr>
      <w:tblGrid>
        <w:gridCol w:w="1149"/>
        <w:gridCol w:w="1418"/>
        <w:gridCol w:w="1276"/>
      </w:tblGrid>
      <w:tr w:rsidR="00961617" w:rsidRPr="00545C7F" w14:paraId="4306F6DA" w14:textId="77777777" w:rsidTr="0020771F">
        <w:trPr>
          <w:trHeight w:val="434"/>
          <w:tblHeader/>
        </w:trPr>
        <w:tc>
          <w:tcPr>
            <w:tcW w:w="1149" w:type="dxa"/>
            <w:shd w:val="clear" w:color="auto" w:fill="1E3D6B"/>
            <w:noWrap/>
            <w:vAlign w:val="center"/>
            <w:hideMark/>
          </w:tcPr>
          <w:p w14:paraId="430E2FD5"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bookmarkStart w:id="661" w:name="Title_A217"/>
            <w:bookmarkEnd w:id="661"/>
            <w:r w:rsidRPr="00545C7F">
              <w:rPr>
                <w:rFonts w:eastAsia="Times New Roman" w:cstheme="minorHAnsi"/>
                <w:b/>
                <w:color w:val="FFFFFF" w:themeColor="background2"/>
                <w:sz w:val="20"/>
                <w:szCs w:val="20"/>
                <w:lang w:eastAsia="en-AU"/>
              </w:rPr>
              <w:t>Weeks</w:t>
            </w:r>
          </w:p>
        </w:tc>
        <w:tc>
          <w:tcPr>
            <w:tcW w:w="1418" w:type="dxa"/>
            <w:shd w:val="clear" w:color="auto" w:fill="1E3D6B"/>
            <w:noWrap/>
            <w:vAlign w:val="center"/>
            <w:hideMark/>
          </w:tcPr>
          <w:p w14:paraId="124DCA82"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2009</w:t>
            </w:r>
          </w:p>
        </w:tc>
        <w:tc>
          <w:tcPr>
            <w:tcW w:w="1276" w:type="dxa"/>
            <w:shd w:val="clear" w:color="auto" w:fill="1E3D6B"/>
            <w:noWrap/>
            <w:vAlign w:val="center"/>
            <w:hideMark/>
          </w:tcPr>
          <w:p w14:paraId="4D5EA5AF"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2012</w:t>
            </w:r>
          </w:p>
        </w:tc>
      </w:tr>
      <w:tr w:rsidR="00961617" w:rsidRPr="00545C7F" w14:paraId="2E5D4973" w14:textId="77777777" w:rsidTr="0020771F">
        <w:trPr>
          <w:trHeight w:val="288"/>
        </w:trPr>
        <w:tc>
          <w:tcPr>
            <w:tcW w:w="1149" w:type="dxa"/>
            <w:shd w:val="clear" w:color="auto" w:fill="FFFFFF" w:themeFill="background2"/>
            <w:noWrap/>
            <w:vAlign w:val="bottom"/>
            <w:hideMark/>
          </w:tcPr>
          <w:p w14:paraId="7D38DF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w:t>
            </w:r>
          </w:p>
        </w:tc>
        <w:tc>
          <w:tcPr>
            <w:tcW w:w="1418" w:type="dxa"/>
            <w:shd w:val="clear" w:color="auto" w:fill="FFFFFF" w:themeFill="background2"/>
            <w:noWrap/>
            <w:vAlign w:val="bottom"/>
            <w:hideMark/>
          </w:tcPr>
          <w:p w14:paraId="09E667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276" w:type="dxa"/>
            <w:shd w:val="clear" w:color="auto" w:fill="FFFFFF" w:themeFill="background2"/>
            <w:noWrap/>
            <w:vAlign w:val="bottom"/>
            <w:hideMark/>
          </w:tcPr>
          <w:p w14:paraId="672C6C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w:t>
            </w:r>
          </w:p>
        </w:tc>
      </w:tr>
      <w:tr w:rsidR="00961617" w:rsidRPr="00545C7F" w14:paraId="265981AF" w14:textId="77777777" w:rsidTr="0020771F">
        <w:trPr>
          <w:trHeight w:val="288"/>
        </w:trPr>
        <w:tc>
          <w:tcPr>
            <w:tcW w:w="1149" w:type="dxa"/>
            <w:shd w:val="clear" w:color="auto" w:fill="E5E5E5" w:themeFill="background1" w:themeFillTint="33"/>
            <w:noWrap/>
            <w:vAlign w:val="bottom"/>
            <w:hideMark/>
          </w:tcPr>
          <w:p w14:paraId="4BD795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418" w:type="dxa"/>
            <w:shd w:val="clear" w:color="auto" w:fill="E5E5E5" w:themeFill="background1" w:themeFillTint="33"/>
            <w:noWrap/>
            <w:vAlign w:val="bottom"/>
            <w:hideMark/>
          </w:tcPr>
          <w:p w14:paraId="287EBA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shd w:val="clear" w:color="auto" w:fill="E5E5E5" w:themeFill="background1" w:themeFillTint="33"/>
            <w:noWrap/>
            <w:vAlign w:val="bottom"/>
            <w:hideMark/>
          </w:tcPr>
          <w:p w14:paraId="20CAFD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r>
      <w:tr w:rsidR="00961617" w:rsidRPr="00545C7F" w14:paraId="05CEA210" w14:textId="77777777" w:rsidTr="0020771F">
        <w:trPr>
          <w:trHeight w:val="288"/>
        </w:trPr>
        <w:tc>
          <w:tcPr>
            <w:tcW w:w="1149" w:type="dxa"/>
            <w:shd w:val="clear" w:color="auto" w:fill="FFFFFF" w:themeFill="background2"/>
            <w:noWrap/>
            <w:vAlign w:val="bottom"/>
            <w:hideMark/>
          </w:tcPr>
          <w:p w14:paraId="52D0DA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418" w:type="dxa"/>
            <w:shd w:val="clear" w:color="auto" w:fill="FFFFFF" w:themeFill="background2"/>
            <w:noWrap/>
            <w:vAlign w:val="bottom"/>
            <w:hideMark/>
          </w:tcPr>
          <w:p w14:paraId="3156CA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c>
          <w:tcPr>
            <w:tcW w:w="1276" w:type="dxa"/>
            <w:shd w:val="clear" w:color="auto" w:fill="FFFFFF" w:themeFill="background2"/>
            <w:noWrap/>
            <w:vAlign w:val="bottom"/>
            <w:hideMark/>
          </w:tcPr>
          <w:p w14:paraId="6997F6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r>
      <w:tr w:rsidR="00961617" w:rsidRPr="00545C7F" w14:paraId="1A4404B6" w14:textId="77777777" w:rsidTr="0020771F">
        <w:trPr>
          <w:trHeight w:val="288"/>
        </w:trPr>
        <w:tc>
          <w:tcPr>
            <w:tcW w:w="1149" w:type="dxa"/>
            <w:shd w:val="clear" w:color="auto" w:fill="E5E5E5" w:themeFill="background1" w:themeFillTint="33"/>
            <w:noWrap/>
            <w:vAlign w:val="bottom"/>
            <w:hideMark/>
          </w:tcPr>
          <w:p w14:paraId="632BE4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418" w:type="dxa"/>
            <w:shd w:val="clear" w:color="auto" w:fill="E5E5E5" w:themeFill="background1" w:themeFillTint="33"/>
            <w:noWrap/>
            <w:vAlign w:val="bottom"/>
            <w:hideMark/>
          </w:tcPr>
          <w:p w14:paraId="25F388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c>
          <w:tcPr>
            <w:tcW w:w="1276" w:type="dxa"/>
            <w:shd w:val="clear" w:color="auto" w:fill="E5E5E5" w:themeFill="background1" w:themeFillTint="33"/>
            <w:noWrap/>
            <w:vAlign w:val="bottom"/>
            <w:hideMark/>
          </w:tcPr>
          <w:p w14:paraId="0ACDF5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r>
      <w:tr w:rsidR="00961617" w:rsidRPr="00545C7F" w14:paraId="29BDED65" w14:textId="77777777" w:rsidTr="0020771F">
        <w:trPr>
          <w:trHeight w:val="288"/>
        </w:trPr>
        <w:tc>
          <w:tcPr>
            <w:tcW w:w="1149" w:type="dxa"/>
            <w:shd w:val="clear" w:color="auto" w:fill="FFFFFF" w:themeFill="background2"/>
            <w:noWrap/>
            <w:vAlign w:val="bottom"/>
            <w:hideMark/>
          </w:tcPr>
          <w:p w14:paraId="3E757E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418" w:type="dxa"/>
            <w:shd w:val="clear" w:color="auto" w:fill="FFFFFF" w:themeFill="background2"/>
            <w:noWrap/>
            <w:vAlign w:val="bottom"/>
            <w:hideMark/>
          </w:tcPr>
          <w:p w14:paraId="3C83D4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c>
          <w:tcPr>
            <w:tcW w:w="1276" w:type="dxa"/>
            <w:shd w:val="clear" w:color="auto" w:fill="FFFFFF" w:themeFill="background2"/>
            <w:noWrap/>
            <w:vAlign w:val="bottom"/>
            <w:hideMark/>
          </w:tcPr>
          <w:p w14:paraId="28824C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r>
      <w:tr w:rsidR="00961617" w:rsidRPr="00545C7F" w14:paraId="1E3ABB93" w14:textId="77777777" w:rsidTr="0020771F">
        <w:trPr>
          <w:trHeight w:val="288"/>
        </w:trPr>
        <w:tc>
          <w:tcPr>
            <w:tcW w:w="1149" w:type="dxa"/>
            <w:shd w:val="clear" w:color="auto" w:fill="E5E5E5" w:themeFill="background1" w:themeFillTint="33"/>
            <w:noWrap/>
            <w:vAlign w:val="bottom"/>
            <w:hideMark/>
          </w:tcPr>
          <w:p w14:paraId="764911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418" w:type="dxa"/>
            <w:shd w:val="clear" w:color="auto" w:fill="E5E5E5" w:themeFill="background1" w:themeFillTint="33"/>
            <w:noWrap/>
            <w:vAlign w:val="bottom"/>
            <w:hideMark/>
          </w:tcPr>
          <w:p w14:paraId="6C251B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c>
          <w:tcPr>
            <w:tcW w:w="1276" w:type="dxa"/>
            <w:shd w:val="clear" w:color="auto" w:fill="E5E5E5" w:themeFill="background1" w:themeFillTint="33"/>
            <w:noWrap/>
            <w:vAlign w:val="bottom"/>
            <w:hideMark/>
          </w:tcPr>
          <w:p w14:paraId="669FDE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r>
      <w:tr w:rsidR="00961617" w:rsidRPr="00545C7F" w14:paraId="2CA79365" w14:textId="77777777" w:rsidTr="0020771F">
        <w:trPr>
          <w:trHeight w:val="288"/>
        </w:trPr>
        <w:tc>
          <w:tcPr>
            <w:tcW w:w="1149" w:type="dxa"/>
            <w:shd w:val="clear" w:color="auto" w:fill="FFFFFF" w:themeFill="background2"/>
            <w:noWrap/>
            <w:vAlign w:val="bottom"/>
            <w:hideMark/>
          </w:tcPr>
          <w:p w14:paraId="4E3AAF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418" w:type="dxa"/>
            <w:shd w:val="clear" w:color="auto" w:fill="FFFFFF" w:themeFill="background2"/>
            <w:noWrap/>
            <w:vAlign w:val="bottom"/>
            <w:hideMark/>
          </w:tcPr>
          <w:p w14:paraId="3C6005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0.14</w:t>
            </w:r>
          </w:p>
        </w:tc>
        <w:tc>
          <w:tcPr>
            <w:tcW w:w="1276" w:type="dxa"/>
            <w:shd w:val="clear" w:color="auto" w:fill="FFFFFF" w:themeFill="background2"/>
            <w:noWrap/>
            <w:vAlign w:val="bottom"/>
            <w:hideMark/>
          </w:tcPr>
          <w:p w14:paraId="4AB569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r>
      <w:tr w:rsidR="00961617" w:rsidRPr="00545C7F" w14:paraId="2A058168" w14:textId="77777777" w:rsidTr="0020771F">
        <w:trPr>
          <w:trHeight w:val="288"/>
        </w:trPr>
        <w:tc>
          <w:tcPr>
            <w:tcW w:w="1149" w:type="dxa"/>
            <w:shd w:val="clear" w:color="auto" w:fill="E5E5E5" w:themeFill="background1" w:themeFillTint="33"/>
            <w:noWrap/>
            <w:vAlign w:val="bottom"/>
            <w:hideMark/>
          </w:tcPr>
          <w:p w14:paraId="33CE419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418" w:type="dxa"/>
            <w:shd w:val="clear" w:color="auto" w:fill="E5E5E5" w:themeFill="background1" w:themeFillTint="33"/>
            <w:noWrap/>
            <w:vAlign w:val="bottom"/>
            <w:hideMark/>
          </w:tcPr>
          <w:p w14:paraId="0AB704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c>
          <w:tcPr>
            <w:tcW w:w="1276" w:type="dxa"/>
            <w:shd w:val="clear" w:color="auto" w:fill="E5E5E5" w:themeFill="background1" w:themeFillTint="33"/>
            <w:noWrap/>
            <w:vAlign w:val="bottom"/>
            <w:hideMark/>
          </w:tcPr>
          <w:p w14:paraId="2A3ABA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r>
      <w:tr w:rsidR="00961617" w:rsidRPr="00545C7F" w14:paraId="03D85166" w14:textId="77777777" w:rsidTr="0020771F">
        <w:trPr>
          <w:trHeight w:val="288"/>
        </w:trPr>
        <w:tc>
          <w:tcPr>
            <w:tcW w:w="1149" w:type="dxa"/>
            <w:shd w:val="clear" w:color="auto" w:fill="FFFFFF" w:themeFill="background2"/>
            <w:noWrap/>
            <w:vAlign w:val="bottom"/>
            <w:hideMark/>
          </w:tcPr>
          <w:p w14:paraId="30422E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418" w:type="dxa"/>
            <w:shd w:val="clear" w:color="auto" w:fill="FFFFFF" w:themeFill="background2"/>
            <w:noWrap/>
            <w:vAlign w:val="bottom"/>
            <w:hideMark/>
          </w:tcPr>
          <w:p w14:paraId="760195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c>
          <w:tcPr>
            <w:tcW w:w="1276" w:type="dxa"/>
            <w:shd w:val="clear" w:color="auto" w:fill="FFFFFF" w:themeFill="background2"/>
            <w:noWrap/>
            <w:vAlign w:val="bottom"/>
            <w:hideMark/>
          </w:tcPr>
          <w:p w14:paraId="35C93A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w:t>
            </w:r>
          </w:p>
        </w:tc>
      </w:tr>
      <w:tr w:rsidR="00961617" w:rsidRPr="00545C7F" w14:paraId="77F7A948" w14:textId="77777777" w:rsidTr="0020771F">
        <w:trPr>
          <w:trHeight w:val="288"/>
        </w:trPr>
        <w:tc>
          <w:tcPr>
            <w:tcW w:w="1149" w:type="dxa"/>
            <w:shd w:val="clear" w:color="auto" w:fill="E5E5E5" w:themeFill="background1" w:themeFillTint="33"/>
            <w:noWrap/>
            <w:vAlign w:val="bottom"/>
            <w:hideMark/>
          </w:tcPr>
          <w:p w14:paraId="1CB77A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418" w:type="dxa"/>
            <w:shd w:val="clear" w:color="auto" w:fill="E5E5E5" w:themeFill="background1" w:themeFillTint="33"/>
            <w:noWrap/>
            <w:vAlign w:val="bottom"/>
            <w:hideMark/>
          </w:tcPr>
          <w:p w14:paraId="45E4DA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0.61</w:t>
            </w:r>
          </w:p>
        </w:tc>
        <w:tc>
          <w:tcPr>
            <w:tcW w:w="1276" w:type="dxa"/>
            <w:shd w:val="clear" w:color="auto" w:fill="E5E5E5" w:themeFill="background1" w:themeFillTint="33"/>
            <w:noWrap/>
            <w:vAlign w:val="bottom"/>
            <w:hideMark/>
          </w:tcPr>
          <w:p w14:paraId="77A7B5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r>
      <w:tr w:rsidR="00961617" w:rsidRPr="00545C7F" w14:paraId="5B08BD12" w14:textId="77777777" w:rsidTr="0020771F">
        <w:trPr>
          <w:trHeight w:val="288"/>
        </w:trPr>
        <w:tc>
          <w:tcPr>
            <w:tcW w:w="1149" w:type="dxa"/>
            <w:shd w:val="clear" w:color="auto" w:fill="FFFFFF" w:themeFill="background2"/>
            <w:noWrap/>
            <w:vAlign w:val="bottom"/>
            <w:hideMark/>
          </w:tcPr>
          <w:p w14:paraId="732627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418" w:type="dxa"/>
            <w:shd w:val="clear" w:color="auto" w:fill="FFFFFF" w:themeFill="background2"/>
            <w:noWrap/>
            <w:vAlign w:val="bottom"/>
            <w:hideMark/>
          </w:tcPr>
          <w:p w14:paraId="19C8BB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1.13</w:t>
            </w:r>
          </w:p>
        </w:tc>
        <w:tc>
          <w:tcPr>
            <w:tcW w:w="1276" w:type="dxa"/>
            <w:shd w:val="clear" w:color="auto" w:fill="FFFFFF" w:themeFill="background2"/>
            <w:noWrap/>
            <w:vAlign w:val="bottom"/>
            <w:hideMark/>
          </w:tcPr>
          <w:p w14:paraId="44D283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r>
      <w:tr w:rsidR="00961617" w:rsidRPr="00545C7F" w14:paraId="43CC3703" w14:textId="77777777" w:rsidTr="0020771F">
        <w:trPr>
          <w:trHeight w:val="288"/>
        </w:trPr>
        <w:tc>
          <w:tcPr>
            <w:tcW w:w="1149" w:type="dxa"/>
            <w:shd w:val="clear" w:color="auto" w:fill="E5E5E5" w:themeFill="background1" w:themeFillTint="33"/>
            <w:noWrap/>
            <w:vAlign w:val="bottom"/>
            <w:hideMark/>
          </w:tcPr>
          <w:p w14:paraId="794A38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418" w:type="dxa"/>
            <w:shd w:val="clear" w:color="auto" w:fill="E5E5E5" w:themeFill="background1" w:themeFillTint="33"/>
            <w:noWrap/>
            <w:vAlign w:val="bottom"/>
            <w:hideMark/>
          </w:tcPr>
          <w:p w14:paraId="2F6756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2.16</w:t>
            </w:r>
          </w:p>
        </w:tc>
        <w:tc>
          <w:tcPr>
            <w:tcW w:w="1276" w:type="dxa"/>
            <w:shd w:val="clear" w:color="auto" w:fill="E5E5E5" w:themeFill="background1" w:themeFillTint="33"/>
            <w:noWrap/>
            <w:vAlign w:val="bottom"/>
            <w:hideMark/>
          </w:tcPr>
          <w:p w14:paraId="2A6D72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r>
      <w:tr w:rsidR="00961617" w:rsidRPr="00545C7F" w14:paraId="3D91DC35" w14:textId="77777777" w:rsidTr="0020771F">
        <w:trPr>
          <w:trHeight w:val="288"/>
        </w:trPr>
        <w:tc>
          <w:tcPr>
            <w:tcW w:w="1149" w:type="dxa"/>
            <w:shd w:val="clear" w:color="auto" w:fill="FFFFFF" w:themeFill="background2"/>
            <w:noWrap/>
            <w:vAlign w:val="bottom"/>
            <w:hideMark/>
          </w:tcPr>
          <w:p w14:paraId="0C673F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418" w:type="dxa"/>
            <w:shd w:val="clear" w:color="auto" w:fill="FFFFFF" w:themeFill="background2"/>
            <w:noWrap/>
            <w:vAlign w:val="bottom"/>
            <w:hideMark/>
          </w:tcPr>
          <w:p w14:paraId="6FF795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6.29</w:t>
            </w:r>
          </w:p>
        </w:tc>
        <w:tc>
          <w:tcPr>
            <w:tcW w:w="1276" w:type="dxa"/>
            <w:shd w:val="clear" w:color="auto" w:fill="FFFFFF" w:themeFill="background2"/>
            <w:noWrap/>
            <w:vAlign w:val="bottom"/>
            <w:hideMark/>
          </w:tcPr>
          <w:p w14:paraId="083D95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0.26</w:t>
            </w:r>
          </w:p>
        </w:tc>
      </w:tr>
      <w:tr w:rsidR="00961617" w:rsidRPr="00545C7F" w14:paraId="6C415C10" w14:textId="77777777" w:rsidTr="0020771F">
        <w:trPr>
          <w:trHeight w:val="288"/>
        </w:trPr>
        <w:tc>
          <w:tcPr>
            <w:tcW w:w="1149" w:type="dxa"/>
            <w:shd w:val="clear" w:color="auto" w:fill="E5E5E5" w:themeFill="background1" w:themeFillTint="33"/>
            <w:noWrap/>
            <w:vAlign w:val="bottom"/>
            <w:hideMark/>
          </w:tcPr>
          <w:p w14:paraId="1FB9C1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418" w:type="dxa"/>
            <w:shd w:val="clear" w:color="auto" w:fill="E5E5E5" w:themeFill="background1" w:themeFillTint="33"/>
            <w:noWrap/>
            <w:vAlign w:val="bottom"/>
            <w:hideMark/>
          </w:tcPr>
          <w:p w14:paraId="344CF2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16.42</w:t>
            </w:r>
          </w:p>
        </w:tc>
        <w:tc>
          <w:tcPr>
            <w:tcW w:w="1276" w:type="dxa"/>
            <w:shd w:val="clear" w:color="auto" w:fill="E5E5E5" w:themeFill="background1" w:themeFillTint="33"/>
            <w:noWrap/>
            <w:vAlign w:val="bottom"/>
            <w:hideMark/>
          </w:tcPr>
          <w:p w14:paraId="070F2D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0.31</w:t>
            </w:r>
          </w:p>
        </w:tc>
      </w:tr>
      <w:tr w:rsidR="00961617" w:rsidRPr="00545C7F" w14:paraId="71FB0628" w14:textId="77777777" w:rsidTr="0020771F">
        <w:trPr>
          <w:trHeight w:val="288"/>
        </w:trPr>
        <w:tc>
          <w:tcPr>
            <w:tcW w:w="1149" w:type="dxa"/>
            <w:shd w:val="clear" w:color="auto" w:fill="FFFFFF" w:themeFill="background2"/>
            <w:noWrap/>
            <w:vAlign w:val="bottom"/>
            <w:hideMark/>
          </w:tcPr>
          <w:p w14:paraId="2275BF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418" w:type="dxa"/>
            <w:shd w:val="clear" w:color="auto" w:fill="FFFFFF" w:themeFill="background2"/>
            <w:noWrap/>
            <w:vAlign w:val="bottom"/>
            <w:hideMark/>
          </w:tcPr>
          <w:p w14:paraId="1A2F75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15.37</w:t>
            </w:r>
          </w:p>
        </w:tc>
        <w:tc>
          <w:tcPr>
            <w:tcW w:w="1276" w:type="dxa"/>
            <w:shd w:val="clear" w:color="auto" w:fill="FFFFFF" w:themeFill="background2"/>
            <w:noWrap/>
            <w:vAlign w:val="bottom"/>
            <w:hideMark/>
          </w:tcPr>
          <w:p w14:paraId="29CE7F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r>
      <w:tr w:rsidR="00961617" w:rsidRPr="00545C7F" w14:paraId="77153E7F" w14:textId="77777777" w:rsidTr="0020771F">
        <w:trPr>
          <w:trHeight w:val="288"/>
        </w:trPr>
        <w:tc>
          <w:tcPr>
            <w:tcW w:w="1149" w:type="dxa"/>
            <w:shd w:val="clear" w:color="auto" w:fill="E5E5E5" w:themeFill="background1" w:themeFillTint="33"/>
            <w:noWrap/>
            <w:vAlign w:val="bottom"/>
            <w:hideMark/>
          </w:tcPr>
          <w:p w14:paraId="462828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418" w:type="dxa"/>
            <w:shd w:val="clear" w:color="auto" w:fill="E5E5E5" w:themeFill="background1" w:themeFillTint="33"/>
            <w:noWrap/>
            <w:vAlign w:val="bottom"/>
            <w:hideMark/>
          </w:tcPr>
          <w:p w14:paraId="0D93E2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12.31</w:t>
            </w:r>
          </w:p>
        </w:tc>
        <w:tc>
          <w:tcPr>
            <w:tcW w:w="1276" w:type="dxa"/>
            <w:shd w:val="clear" w:color="auto" w:fill="E5E5E5" w:themeFill="background1" w:themeFillTint="33"/>
            <w:noWrap/>
            <w:vAlign w:val="bottom"/>
            <w:hideMark/>
          </w:tcPr>
          <w:p w14:paraId="7D5669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0.38</w:t>
            </w:r>
          </w:p>
        </w:tc>
      </w:tr>
      <w:tr w:rsidR="00961617" w:rsidRPr="00545C7F" w14:paraId="73C108C3" w14:textId="77777777" w:rsidTr="0020771F">
        <w:trPr>
          <w:trHeight w:val="288"/>
        </w:trPr>
        <w:tc>
          <w:tcPr>
            <w:tcW w:w="1149" w:type="dxa"/>
            <w:shd w:val="clear" w:color="auto" w:fill="FFFFFF" w:themeFill="background2"/>
            <w:noWrap/>
            <w:vAlign w:val="bottom"/>
            <w:hideMark/>
          </w:tcPr>
          <w:p w14:paraId="050B78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418" w:type="dxa"/>
            <w:shd w:val="clear" w:color="auto" w:fill="FFFFFF" w:themeFill="background2"/>
            <w:noWrap/>
            <w:vAlign w:val="bottom"/>
            <w:hideMark/>
          </w:tcPr>
          <w:p w14:paraId="2407D7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9.79</w:t>
            </w:r>
          </w:p>
        </w:tc>
        <w:tc>
          <w:tcPr>
            <w:tcW w:w="1276" w:type="dxa"/>
            <w:shd w:val="clear" w:color="auto" w:fill="FFFFFF" w:themeFill="background2"/>
            <w:noWrap/>
            <w:vAlign w:val="bottom"/>
            <w:hideMark/>
          </w:tcPr>
          <w:p w14:paraId="5BF226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r>
      <w:tr w:rsidR="00961617" w:rsidRPr="00545C7F" w14:paraId="66B1FC64" w14:textId="77777777" w:rsidTr="0020771F">
        <w:trPr>
          <w:trHeight w:val="288"/>
        </w:trPr>
        <w:tc>
          <w:tcPr>
            <w:tcW w:w="1149" w:type="dxa"/>
            <w:shd w:val="clear" w:color="auto" w:fill="E5E5E5" w:themeFill="background1" w:themeFillTint="33"/>
            <w:noWrap/>
            <w:vAlign w:val="bottom"/>
            <w:hideMark/>
          </w:tcPr>
          <w:p w14:paraId="4F7A20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418" w:type="dxa"/>
            <w:shd w:val="clear" w:color="auto" w:fill="E5E5E5" w:themeFill="background1" w:themeFillTint="33"/>
            <w:noWrap/>
            <w:vAlign w:val="bottom"/>
            <w:hideMark/>
          </w:tcPr>
          <w:p w14:paraId="1B4F94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6.99</w:t>
            </w:r>
          </w:p>
        </w:tc>
        <w:tc>
          <w:tcPr>
            <w:tcW w:w="1276" w:type="dxa"/>
            <w:shd w:val="clear" w:color="auto" w:fill="E5E5E5" w:themeFill="background1" w:themeFillTint="33"/>
            <w:noWrap/>
            <w:vAlign w:val="bottom"/>
            <w:hideMark/>
          </w:tcPr>
          <w:p w14:paraId="5711F3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0.48</w:t>
            </w:r>
          </w:p>
        </w:tc>
      </w:tr>
      <w:tr w:rsidR="00961617" w:rsidRPr="00545C7F" w14:paraId="02C11BB3" w14:textId="77777777" w:rsidTr="0020771F">
        <w:trPr>
          <w:trHeight w:val="288"/>
        </w:trPr>
        <w:tc>
          <w:tcPr>
            <w:tcW w:w="1149" w:type="dxa"/>
            <w:shd w:val="clear" w:color="auto" w:fill="FFFFFF" w:themeFill="background2"/>
            <w:noWrap/>
            <w:vAlign w:val="bottom"/>
            <w:hideMark/>
          </w:tcPr>
          <w:p w14:paraId="552C7E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418" w:type="dxa"/>
            <w:shd w:val="clear" w:color="auto" w:fill="FFFFFF" w:themeFill="background2"/>
            <w:noWrap/>
            <w:vAlign w:val="bottom"/>
            <w:hideMark/>
          </w:tcPr>
          <w:p w14:paraId="27060C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4.89</w:t>
            </w:r>
          </w:p>
        </w:tc>
        <w:tc>
          <w:tcPr>
            <w:tcW w:w="1276" w:type="dxa"/>
            <w:shd w:val="clear" w:color="auto" w:fill="FFFFFF" w:themeFill="background2"/>
            <w:noWrap/>
            <w:vAlign w:val="bottom"/>
            <w:hideMark/>
          </w:tcPr>
          <w:p w14:paraId="2E07F7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0.42</w:t>
            </w:r>
          </w:p>
        </w:tc>
      </w:tr>
      <w:tr w:rsidR="00961617" w:rsidRPr="00545C7F" w14:paraId="3B2653EF" w14:textId="77777777" w:rsidTr="0020771F">
        <w:trPr>
          <w:trHeight w:val="288"/>
        </w:trPr>
        <w:tc>
          <w:tcPr>
            <w:tcW w:w="1149" w:type="dxa"/>
            <w:shd w:val="clear" w:color="auto" w:fill="E5E5E5" w:themeFill="background1" w:themeFillTint="33"/>
            <w:noWrap/>
            <w:vAlign w:val="bottom"/>
            <w:hideMark/>
          </w:tcPr>
          <w:p w14:paraId="455048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418" w:type="dxa"/>
            <w:shd w:val="clear" w:color="auto" w:fill="E5E5E5" w:themeFill="background1" w:themeFillTint="33"/>
            <w:noWrap/>
            <w:vAlign w:val="bottom"/>
            <w:hideMark/>
          </w:tcPr>
          <w:p w14:paraId="33F5FE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3.58</w:t>
            </w:r>
          </w:p>
        </w:tc>
        <w:tc>
          <w:tcPr>
            <w:tcW w:w="1276" w:type="dxa"/>
            <w:shd w:val="clear" w:color="auto" w:fill="E5E5E5" w:themeFill="background1" w:themeFillTint="33"/>
            <w:noWrap/>
            <w:vAlign w:val="bottom"/>
            <w:hideMark/>
          </w:tcPr>
          <w:p w14:paraId="7F24A0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0.48</w:t>
            </w:r>
          </w:p>
        </w:tc>
      </w:tr>
      <w:tr w:rsidR="00961617" w:rsidRPr="00545C7F" w14:paraId="405506B9" w14:textId="77777777" w:rsidTr="0020771F">
        <w:trPr>
          <w:trHeight w:val="288"/>
        </w:trPr>
        <w:tc>
          <w:tcPr>
            <w:tcW w:w="1149" w:type="dxa"/>
            <w:shd w:val="clear" w:color="auto" w:fill="FFFFFF" w:themeFill="background2"/>
            <w:noWrap/>
            <w:vAlign w:val="bottom"/>
            <w:hideMark/>
          </w:tcPr>
          <w:p w14:paraId="486EC6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418" w:type="dxa"/>
            <w:shd w:val="clear" w:color="auto" w:fill="FFFFFF" w:themeFill="background2"/>
            <w:noWrap/>
            <w:vAlign w:val="bottom"/>
            <w:hideMark/>
          </w:tcPr>
          <w:p w14:paraId="5CD04B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3.01</w:t>
            </w:r>
          </w:p>
        </w:tc>
        <w:tc>
          <w:tcPr>
            <w:tcW w:w="1276" w:type="dxa"/>
            <w:shd w:val="clear" w:color="auto" w:fill="FFFFFF" w:themeFill="background2"/>
            <w:noWrap/>
            <w:vAlign w:val="bottom"/>
            <w:hideMark/>
          </w:tcPr>
          <w:p w14:paraId="3DDC1D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0.48</w:t>
            </w:r>
          </w:p>
        </w:tc>
      </w:tr>
      <w:tr w:rsidR="00961617" w:rsidRPr="00545C7F" w14:paraId="53E9916C" w14:textId="77777777" w:rsidTr="0020771F">
        <w:trPr>
          <w:trHeight w:val="288"/>
        </w:trPr>
        <w:tc>
          <w:tcPr>
            <w:tcW w:w="1149" w:type="dxa"/>
            <w:shd w:val="clear" w:color="auto" w:fill="E5E5E5" w:themeFill="background1" w:themeFillTint="33"/>
            <w:noWrap/>
            <w:vAlign w:val="bottom"/>
            <w:hideMark/>
          </w:tcPr>
          <w:p w14:paraId="18EFBB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418" w:type="dxa"/>
            <w:shd w:val="clear" w:color="auto" w:fill="E5E5E5" w:themeFill="background1" w:themeFillTint="33"/>
            <w:noWrap/>
            <w:vAlign w:val="bottom"/>
            <w:hideMark/>
          </w:tcPr>
          <w:p w14:paraId="3FF344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2.37</w:t>
            </w:r>
          </w:p>
        </w:tc>
        <w:tc>
          <w:tcPr>
            <w:tcW w:w="1276" w:type="dxa"/>
            <w:shd w:val="clear" w:color="auto" w:fill="E5E5E5" w:themeFill="background1" w:themeFillTint="33"/>
            <w:noWrap/>
            <w:vAlign w:val="bottom"/>
            <w:hideMark/>
          </w:tcPr>
          <w:p w14:paraId="72A58B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w:t>
            </w:r>
          </w:p>
        </w:tc>
      </w:tr>
      <w:tr w:rsidR="00961617" w:rsidRPr="00545C7F" w14:paraId="0B86613D" w14:textId="77777777" w:rsidTr="0020771F">
        <w:trPr>
          <w:trHeight w:val="288"/>
        </w:trPr>
        <w:tc>
          <w:tcPr>
            <w:tcW w:w="1149" w:type="dxa"/>
            <w:shd w:val="clear" w:color="auto" w:fill="FFFFFF" w:themeFill="background2"/>
            <w:noWrap/>
            <w:vAlign w:val="bottom"/>
            <w:hideMark/>
          </w:tcPr>
          <w:p w14:paraId="427CCD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418" w:type="dxa"/>
            <w:shd w:val="clear" w:color="auto" w:fill="FFFFFF" w:themeFill="background2"/>
            <w:noWrap/>
            <w:vAlign w:val="bottom"/>
            <w:hideMark/>
          </w:tcPr>
          <w:p w14:paraId="48E2A0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1.82</w:t>
            </w:r>
          </w:p>
        </w:tc>
        <w:tc>
          <w:tcPr>
            <w:tcW w:w="1276" w:type="dxa"/>
            <w:shd w:val="clear" w:color="auto" w:fill="FFFFFF" w:themeFill="background2"/>
            <w:noWrap/>
            <w:vAlign w:val="bottom"/>
            <w:hideMark/>
          </w:tcPr>
          <w:p w14:paraId="392996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r>
      <w:tr w:rsidR="00961617" w:rsidRPr="00545C7F" w14:paraId="59F5B9F9" w14:textId="77777777" w:rsidTr="0020771F">
        <w:trPr>
          <w:trHeight w:val="288"/>
        </w:trPr>
        <w:tc>
          <w:tcPr>
            <w:tcW w:w="1149" w:type="dxa"/>
            <w:shd w:val="clear" w:color="auto" w:fill="E5E5E5" w:themeFill="background1" w:themeFillTint="33"/>
            <w:noWrap/>
            <w:vAlign w:val="bottom"/>
            <w:hideMark/>
          </w:tcPr>
          <w:p w14:paraId="3D4D14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418" w:type="dxa"/>
            <w:shd w:val="clear" w:color="auto" w:fill="E5E5E5" w:themeFill="background1" w:themeFillTint="33"/>
            <w:noWrap/>
            <w:vAlign w:val="bottom"/>
            <w:hideMark/>
          </w:tcPr>
          <w:p w14:paraId="511203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1.57</w:t>
            </w:r>
          </w:p>
        </w:tc>
        <w:tc>
          <w:tcPr>
            <w:tcW w:w="1276" w:type="dxa"/>
            <w:shd w:val="clear" w:color="auto" w:fill="E5E5E5" w:themeFill="background1" w:themeFillTint="33"/>
            <w:noWrap/>
            <w:vAlign w:val="bottom"/>
            <w:hideMark/>
          </w:tcPr>
          <w:p w14:paraId="3B1970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1.57</w:t>
            </w:r>
          </w:p>
        </w:tc>
      </w:tr>
      <w:tr w:rsidR="00961617" w:rsidRPr="00545C7F" w14:paraId="6AE27815" w14:textId="77777777" w:rsidTr="0020771F">
        <w:trPr>
          <w:trHeight w:val="288"/>
        </w:trPr>
        <w:tc>
          <w:tcPr>
            <w:tcW w:w="1149" w:type="dxa"/>
            <w:shd w:val="clear" w:color="auto" w:fill="FFFFFF" w:themeFill="background2"/>
            <w:noWrap/>
            <w:vAlign w:val="bottom"/>
            <w:hideMark/>
          </w:tcPr>
          <w:p w14:paraId="42EC5F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418" w:type="dxa"/>
            <w:shd w:val="clear" w:color="auto" w:fill="FFFFFF" w:themeFill="background2"/>
            <w:noWrap/>
            <w:vAlign w:val="bottom"/>
            <w:hideMark/>
          </w:tcPr>
          <w:p w14:paraId="0110B8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w:t>
            </w:r>
          </w:p>
        </w:tc>
        <w:tc>
          <w:tcPr>
            <w:tcW w:w="1276" w:type="dxa"/>
            <w:shd w:val="clear" w:color="auto" w:fill="FFFFFF" w:themeFill="background2"/>
            <w:noWrap/>
            <w:vAlign w:val="bottom"/>
            <w:hideMark/>
          </w:tcPr>
          <w:p w14:paraId="797A7B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2.39</w:t>
            </w:r>
          </w:p>
        </w:tc>
      </w:tr>
      <w:tr w:rsidR="00961617" w:rsidRPr="00545C7F" w14:paraId="04EB1BC3" w14:textId="77777777" w:rsidTr="0020771F">
        <w:trPr>
          <w:trHeight w:val="288"/>
        </w:trPr>
        <w:tc>
          <w:tcPr>
            <w:tcW w:w="1149" w:type="dxa"/>
            <w:shd w:val="clear" w:color="auto" w:fill="E5E5E5" w:themeFill="background1" w:themeFillTint="33"/>
            <w:noWrap/>
            <w:vAlign w:val="bottom"/>
            <w:hideMark/>
          </w:tcPr>
          <w:p w14:paraId="0D25BB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418" w:type="dxa"/>
            <w:shd w:val="clear" w:color="auto" w:fill="E5E5E5" w:themeFill="background1" w:themeFillTint="33"/>
            <w:noWrap/>
            <w:vAlign w:val="bottom"/>
            <w:hideMark/>
          </w:tcPr>
          <w:p w14:paraId="7B8EAA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1276" w:type="dxa"/>
            <w:shd w:val="clear" w:color="auto" w:fill="E5E5E5" w:themeFill="background1" w:themeFillTint="33"/>
            <w:noWrap/>
            <w:vAlign w:val="bottom"/>
            <w:hideMark/>
          </w:tcPr>
          <w:p w14:paraId="2B30A9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6.62</w:t>
            </w:r>
          </w:p>
        </w:tc>
      </w:tr>
      <w:tr w:rsidR="00961617" w:rsidRPr="00545C7F" w14:paraId="1E1D43A6" w14:textId="77777777" w:rsidTr="0020771F">
        <w:trPr>
          <w:trHeight w:val="288"/>
        </w:trPr>
        <w:tc>
          <w:tcPr>
            <w:tcW w:w="1149" w:type="dxa"/>
            <w:shd w:val="clear" w:color="auto" w:fill="FFFFFF" w:themeFill="background2"/>
            <w:noWrap/>
            <w:vAlign w:val="bottom"/>
            <w:hideMark/>
          </w:tcPr>
          <w:p w14:paraId="4A94B2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418" w:type="dxa"/>
            <w:shd w:val="clear" w:color="auto" w:fill="FFFFFF" w:themeFill="background2"/>
            <w:noWrap/>
            <w:vAlign w:val="bottom"/>
            <w:hideMark/>
          </w:tcPr>
          <w:p w14:paraId="458713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0.92</w:t>
            </w:r>
          </w:p>
        </w:tc>
        <w:tc>
          <w:tcPr>
            <w:tcW w:w="1276" w:type="dxa"/>
            <w:shd w:val="clear" w:color="auto" w:fill="FFFFFF" w:themeFill="background2"/>
            <w:noWrap/>
            <w:vAlign w:val="bottom"/>
            <w:hideMark/>
          </w:tcPr>
          <w:p w14:paraId="6A0D5F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15.28</w:t>
            </w:r>
          </w:p>
        </w:tc>
      </w:tr>
      <w:tr w:rsidR="00961617" w:rsidRPr="00545C7F" w14:paraId="0508CE5C" w14:textId="77777777" w:rsidTr="0020771F">
        <w:trPr>
          <w:trHeight w:val="288"/>
        </w:trPr>
        <w:tc>
          <w:tcPr>
            <w:tcW w:w="1149" w:type="dxa"/>
            <w:shd w:val="clear" w:color="auto" w:fill="E5E5E5" w:themeFill="background1" w:themeFillTint="33"/>
            <w:noWrap/>
            <w:vAlign w:val="bottom"/>
            <w:hideMark/>
          </w:tcPr>
          <w:p w14:paraId="63B907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418" w:type="dxa"/>
            <w:shd w:val="clear" w:color="auto" w:fill="E5E5E5" w:themeFill="background1" w:themeFillTint="33"/>
            <w:noWrap/>
            <w:vAlign w:val="bottom"/>
            <w:hideMark/>
          </w:tcPr>
          <w:p w14:paraId="4C553B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0.91</w:t>
            </w:r>
          </w:p>
        </w:tc>
        <w:tc>
          <w:tcPr>
            <w:tcW w:w="1276" w:type="dxa"/>
            <w:shd w:val="clear" w:color="auto" w:fill="E5E5E5" w:themeFill="background1" w:themeFillTint="33"/>
            <w:noWrap/>
            <w:vAlign w:val="bottom"/>
            <w:hideMark/>
          </w:tcPr>
          <w:p w14:paraId="7CD150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14.12</w:t>
            </w:r>
          </w:p>
        </w:tc>
      </w:tr>
      <w:tr w:rsidR="00961617" w:rsidRPr="00545C7F" w14:paraId="281079DF" w14:textId="77777777" w:rsidTr="0020771F">
        <w:trPr>
          <w:trHeight w:val="288"/>
        </w:trPr>
        <w:tc>
          <w:tcPr>
            <w:tcW w:w="1149" w:type="dxa"/>
            <w:shd w:val="clear" w:color="auto" w:fill="FFFFFF" w:themeFill="background2"/>
            <w:noWrap/>
            <w:vAlign w:val="bottom"/>
            <w:hideMark/>
          </w:tcPr>
          <w:p w14:paraId="3DE14C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418" w:type="dxa"/>
            <w:shd w:val="clear" w:color="auto" w:fill="FFFFFF" w:themeFill="background2"/>
            <w:noWrap/>
            <w:vAlign w:val="bottom"/>
            <w:hideMark/>
          </w:tcPr>
          <w:p w14:paraId="07501D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w:t>
            </w:r>
          </w:p>
        </w:tc>
        <w:tc>
          <w:tcPr>
            <w:tcW w:w="1276" w:type="dxa"/>
            <w:shd w:val="clear" w:color="auto" w:fill="FFFFFF" w:themeFill="background2"/>
            <w:noWrap/>
            <w:vAlign w:val="bottom"/>
            <w:hideMark/>
          </w:tcPr>
          <w:p w14:paraId="278B5A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11.92</w:t>
            </w:r>
          </w:p>
        </w:tc>
      </w:tr>
      <w:tr w:rsidR="00961617" w:rsidRPr="00545C7F" w14:paraId="4A1AEA6D" w14:textId="77777777" w:rsidTr="0020771F">
        <w:trPr>
          <w:trHeight w:val="288"/>
        </w:trPr>
        <w:tc>
          <w:tcPr>
            <w:tcW w:w="1149" w:type="dxa"/>
            <w:shd w:val="clear" w:color="auto" w:fill="E5E5E5" w:themeFill="background1" w:themeFillTint="33"/>
            <w:noWrap/>
            <w:vAlign w:val="bottom"/>
            <w:hideMark/>
          </w:tcPr>
          <w:p w14:paraId="1B2038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418" w:type="dxa"/>
            <w:shd w:val="clear" w:color="auto" w:fill="E5E5E5" w:themeFill="background1" w:themeFillTint="33"/>
            <w:noWrap/>
            <w:vAlign w:val="bottom"/>
            <w:hideMark/>
          </w:tcPr>
          <w:p w14:paraId="3E35B3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0.62</w:t>
            </w:r>
          </w:p>
        </w:tc>
        <w:tc>
          <w:tcPr>
            <w:tcW w:w="1276" w:type="dxa"/>
            <w:shd w:val="clear" w:color="auto" w:fill="E5E5E5" w:themeFill="background1" w:themeFillTint="33"/>
            <w:noWrap/>
            <w:vAlign w:val="bottom"/>
            <w:hideMark/>
          </w:tcPr>
          <w:p w14:paraId="2D30F4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w:t>
            </w:r>
          </w:p>
        </w:tc>
      </w:tr>
      <w:tr w:rsidR="00961617" w:rsidRPr="00545C7F" w14:paraId="57B31749" w14:textId="77777777" w:rsidTr="0020771F">
        <w:trPr>
          <w:trHeight w:val="288"/>
        </w:trPr>
        <w:tc>
          <w:tcPr>
            <w:tcW w:w="1149" w:type="dxa"/>
            <w:shd w:val="clear" w:color="auto" w:fill="FFFFFF" w:themeFill="background2"/>
            <w:noWrap/>
            <w:vAlign w:val="bottom"/>
            <w:hideMark/>
          </w:tcPr>
          <w:p w14:paraId="05A027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418" w:type="dxa"/>
            <w:shd w:val="clear" w:color="auto" w:fill="FFFFFF" w:themeFill="background2"/>
            <w:noWrap/>
            <w:vAlign w:val="bottom"/>
            <w:hideMark/>
          </w:tcPr>
          <w:p w14:paraId="6C0E78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0.59</w:t>
            </w:r>
          </w:p>
        </w:tc>
        <w:tc>
          <w:tcPr>
            <w:tcW w:w="1276" w:type="dxa"/>
            <w:shd w:val="clear" w:color="auto" w:fill="FFFFFF" w:themeFill="background2"/>
            <w:noWrap/>
            <w:vAlign w:val="bottom"/>
            <w:hideMark/>
          </w:tcPr>
          <w:p w14:paraId="0242CC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6.27</w:t>
            </w:r>
          </w:p>
        </w:tc>
      </w:tr>
      <w:tr w:rsidR="00961617" w:rsidRPr="00545C7F" w14:paraId="4C13C1DA" w14:textId="77777777" w:rsidTr="0020771F">
        <w:trPr>
          <w:trHeight w:val="288"/>
        </w:trPr>
        <w:tc>
          <w:tcPr>
            <w:tcW w:w="1149" w:type="dxa"/>
            <w:shd w:val="clear" w:color="auto" w:fill="E5E5E5" w:themeFill="background1" w:themeFillTint="33"/>
            <w:noWrap/>
            <w:vAlign w:val="bottom"/>
            <w:hideMark/>
          </w:tcPr>
          <w:p w14:paraId="0C9130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418" w:type="dxa"/>
            <w:shd w:val="clear" w:color="auto" w:fill="E5E5E5" w:themeFill="background1" w:themeFillTint="33"/>
            <w:noWrap/>
            <w:vAlign w:val="bottom"/>
            <w:hideMark/>
          </w:tcPr>
          <w:p w14:paraId="390AEF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276" w:type="dxa"/>
            <w:shd w:val="clear" w:color="auto" w:fill="E5E5E5" w:themeFill="background1" w:themeFillTint="33"/>
            <w:noWrap/>
            <w:vAlign w:val="bottom"/>
            <w:hideMark/>
          </w:tcPr>
          <w:p w14:paraId="738B8F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4.58</w:t>
            </w:r>
          </w:p>
        </w:tc>
      </w:tr>
      <w:tr w:rsidR="00961617" w:rsidRPr="00545C7F" w14:paraId="0CA06A9C" w14:textId="77777777" w:rsidTr="0020771F">
        <w:trPr>
          <w:trHeight w:val="288"/>
        </w:trPr>
        <w:tc>
          <w:tcPr>
            <w:tcW w:w="1149" w:type="dxa"/>
            <w:shd w:val="clear" w:color="auto" w:fill="FFFFFF" w:themeFill="background2"/>
            <w:noWrap/>
            <w:vAlign w:val="bottom"/>
            <w:hideMark/>
          </w:tcPr>
          <w:p w14:paraId="2D00B8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418" w:type="dxa"/>
            <w:shd w:val="clear" w:color="auto" w:fill="FFFFFF" w:themeFill="background2"/>
            <w:noWrap/>
            <w:vAlign w:val="bottom"/>
            <w:hideMark/>
          </w:tcPr>
          <w:p w14:paraId="0FB35E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0.42</w:t>
            </w:r>
          </w:p>
        </w:tc>
        <w:tc>
          <w:tcPr>
            <w:tcW w:w="1276" w:type="dxa"/>
            <w:shd w:val="clear" w:color="auto" w:fill="FFFFFF" w:themeFill="background2"/>
            <w:noWrap/>
            <w:vAlign w:val="bottom"/>
            <w:hideMark/>
          </w:tcPr>
          <w:p w14:paraId="6F2F82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3.88</w:t>
            </w:r>
          </w:p>
        </w:tc>
      </w:tr>
      <w:tr w:rsidR="00961617" w:rsidRPr="00545C7F" w14:paraId="28DCEF8A" w14:textId="77777777" w:rsidTr="0020771F">
        <w:trPr>
          <w:trHeight w:val="288"/>
        </w:trPr>
        <w:tc>
          <w:tcPr>
            <w:tcW w:w="1149" w:type="dxa"/>
            <w:shd w:val="clear" w:color="auto" w:fill="E5E5E5" w:themeFill="background1" w:themeFillTint="33"/>
            <w:noWrap/>
            <w:vAlign w:val="bottom"/>
            <w:hideMark/>
          </w:tcPr>
          <w:p w14:paraId="012699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418" w:type="dxa"/>
            <w:shd w:val="clear" w:color="auto" w:fill="E5E5E5" w:themeFill="background1" w:themeFillTint="33"/>
            <w:noWrap/>
            <w:vAlign w:val="bottom"/>
            <w:hideMark/>
          </w:tcPr>
          <w:p w14:paraId="40E4FB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0.30</w:t>
            </w:r>
          </w:p>
        </w:tc>
        <w:tc>
          <w:tcPr>
            <w:tcW w:w="1276" w:type="dxa"/>
            <w:shd w:val="clear" w:color="auto" w:fill="E5E5E5" w:themeFill="background1" w:themeFillTint="33"/>
            <w:noWrap/>
            <w:vAlign w:val="bottom"/>
            <w:hideMark/>
          </w:tcPr>
          <w:p w14:paraId="2B8859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3.18</w:t>
            </w:r>
          </w:p>
        </w:tc>
      </w:tr>
      <w:tr w:rsidR="00961617" w:rsidRPr="00545C7F" w14:paraId="0C815C71" w14:textId="77777777" w:rsidTr="0020771F">
        <w:trPr>
          <w:trHeight w:val="288"/>
        </w:trPr>
        <w:tc>
          <w:tcPr>
            <w:tcW w:w="1149" w:type="dxa"/>
            <w:shd w:val="clear" w:color="auto" w:fill="FFFFFF" w:themeFill="background2"/>
            <w:noWrap/>
            <w:vAlign w:val="bottom"/>
            <w:hideMark/>
          </w:tcPr>
          <w:p w14:paraId="3EDE5B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418" w:type="dxa"/>
            <w:shd w:val="clear" w:color="auto" w:fill="FFFFFF" w:themeFill="background2"/>
            <w:noWrap/>
            <w:vAlign w:val="bottom"/>
            <w:hideMark/>
          </w:tcPr>
          <w:p w14:paraId="736EB2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0.29</w:t>
            </w:r>
          </w:p>
        </w:tc>
        <w:tc>
          <w:tcPr>
            <w:tcW w:w="1276" w:type="dxa"/>
            <w:shd w:val="clear" w:color="auto" w:fill="FFFFFF" w:themeFill="background2"/>
            <w:noWrap/>
            <w:vAlign w:val="bottom"/>
            <w:hideMark/>
          </w:tcPr>
          <w:p w14:paraId="78D488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2.47</w:t>
            </w:r>
          </w:p>
        </w:tc>
      </w:tr>
      <w:tr w:rsidR="00961617" w:rsidRPr="00545C7F" w14:paraId="31DB8E15" w14:textId="77777777" w:rsidTr="0020771F">
        <w:trPr>
          <w:trHeight w:val="288"/>
        </w:trPr>
        <w:tc>
          <w:tcPr>
            <w:tcW w:w="1149" w:type="dxa"/>
            <w:shd w:val="clear" w:color="auto" w:fill="E5E5E5" w:themeFill="background1" w:themeFillTint="33"/>
            <w:noWrap/>
            <w:vAlign w:val="bottom"/>
            <w:hideMark/>
          </w:tcPr>
          <w:p w14:paraId="59C415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418" w:type="dxa"/>
            <w:shd w:val="clear" w:color="auto" w:fill="E5E5E5" w:themeFill="background1" w:themeFillTint="33"/>
            <w:noWrap/>
            <w:vAlign w:val="bottom"/>
            <w:hideMark/>
          </w:tcPr>
          <w:p w14:paraId="526B17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0.28</w:t>
            </w:r>
          </w:p>
        </w:tc>
        <w:tc>
          <w:tcPr>
            <w:tcW w:w="1276" w:type="dxa"/>
            <w:shd w:val="clear" w:color="auto" w:fill="E5E5E5" w:themeFill="background1" w:themeFillTint="33"/>
            <w:noWrap/>
            <w:vAlign w:val="bottom"/>
            <w:hideMark/>
          </w:tcPr>
          <w:p w14:paraId="716B06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2.01</w:t>
            </w:r>
          </w:p>
        </w:tc>
      </w:tr>
      <w:tr w:rsidR="00961617" w:rsidRPr="00545C7F" w14:paraId="676478C9" w14:textId="77777777" w:rsidTr="0020771F">
        <w:trPr>
          <w:trHeight w:val="288"/>
        </w:trPr>
        <w:tc>
          <w:tcPr>
            <w:tcW w:w="1149" w:type="dxa"/>
            <w:shd w:val="clear" w:color="auto" w:fill="FFFFFF" w:themeFill="background2"/>
            <w:noWrap/>
            <w:vAlign w:val="bottom"/>
            <w:hideMark/>
          </w:tcPr>
          <w:p w14:paraId="4EE684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418" w:type="dxa"/>
            <w:shd w:val="clear" w:color="auto" w:fill="FFFFFF" w:themeFill="background2"/>
            <w:noWrap/>
            <w:vAlign w:val="bottom"/>
            <w:hideMark/>
          </w:tcPr>
          <w:p w14:paraId="7C718B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w:t>
            </w:r>
          </w:p>
        </w:tc>
        <w:tc>
          <w:tcPr>
            <w:tcW w:w="1276" w:type="dxa"/>
            <w:shd w:val="clear" w:color="auto" w:fill="FFFFFF" w:themeFill="background2"/>
            <w:noWrap/>
            <w:vAlign w:val="bottom"/>
            <w:hideMark/>
          </w:tcPr>
          <w:p w14:paraId="2B0B31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1.77</w:t>
            </w:r>
          </w:p>
        </w:tc>
      </w:tr>
      <w:tr w:rsidR="00961617" w:rsidRPr="00545C7F" w14:paraId="1BA54D27" w14:textId="77777777" w:rsidTr="0020771F">
        <w:trPr>
          <w:trHeight w:val="288"/>
        </w:trPr>
        <w:tc>
          <w:tcPr>
            <w:tcW w:w="1149" w:type="dxa"/>
            <w:shd w:val="clear" w:color="auto" w:fill="E5E5E5" w:themeFill="background1" w:themeFillTint="33"/>
            <w:noWrap/>
            <w:vAlign w:val="bottom"/>
            <w:hideMark/>
          </w:tcPr>
          <w:p w14:paraId="147AAD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418" w:type="dxa"/>
            <w:shd w:val="clear" w:color="auto" w:fill="E5E5E5" w:themeFill="background1" w:themeFillTint="33"/>
            <w:noWrap/>
            <w:vAlign w:val="bottom"/>
            <w:hideMark/>
          </w:tcPr>
          <w:p w14:paraId="415B48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0.22</w:t>
            </w:r>
          </w:p>
        </w:tc>
        <w:tc>
          <w:tcPr>
            <w:tcW w:w="1276" w:type="dxa"/>
            <w:shd w:val="clear" w:color="auto" w:fill="E5E5E5" w:themeFill="background1" w:themeFillTint="33"/>
            <w:noWrap/>
            <w:vAlign w:val="bottom"/>
            <w:hideMark/>
          </w:tcPr>
          <w:p w14:paraId="65F24D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w:t>
            </w:r>
          </w:p>
        </w:tc>
      </w:tr>
      <w:tr w:rsidR="00961617" w:rsidRPr="00545C7F" w14:paraId="3B064F28" w14:textId="77777777" w:rsidTr="0020771F">
        <w:trPr>
          <w:trHeight w:val="288"/>
        </w:trPr>
        <w:tc>
          <w:tcPr>
            <w:tcW w:w="1149" w:type="dxa"/>
            <w:shd w:val="clear" w:color="auto" w:fill="FFFFFF" w:themeFill="background2"/>
            <w:noWrap/>
            <w:vAlign w:val="bottom"/>
            <w:hideMark/>
          </w:tcPr>
          <w:p w14:paraId="2F8D9D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418" w:type="dxa"/>
            <w:shd w:val="clear" w:color="auto" w:fill="FFFFFF" w:themeFill="background2"/>
            <w:noWrap/>
            <w:vAlign w:val="bottom"/>
            <w:hideMark/>
          </w:tcPr>
          <w:p w14:paraId="66EF34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0.23</w:t>
            </w:r>
          </w:p>
        </w:tc>
        <w:tc>
          <w:tcPr>
            <w:tcW w:w="1276" w:type="dxa"/>
            <w:shd w:val="clear" w:color="auto" w:fill="FFFFFF" w:themeFill="background2"/>
            <w:noWrap/>
            <w:vAlign w:val="bottom"/>
            <w:hideMark/>
          </w:tcPr>
          <w:p w14:paraId="01ABE8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1.10</w:t>
            </w:r>
          </w:p>
        </w:tc>
      </w:tr>
      <w:tr w:rsidR="00961617" w:rsidRPr="00545C7F" w14:paraId="3A145934" w14:textId="77777777" w:rsidTr="0020771F">
        <w:trPr>
          <w:trHeight w:val="288"/>
        </w:trPr>
        <w:tc>
          <w:tcPr>
            <w:tcW w:w="1149" w:type="dxa"/>
            <w:shd w:val="clear" w:color="auto" w:fill="E5E5E5" w:themeFill="background1" w:themeFillTint="33"/>
            <w:noWrap/>
            <w:vAlign w:val="bottom"/>
            <w:hideMark/>
          </w:tcPr>
          <w:p w14:paraId="7C177F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418" w:type="dxa"/>
            <w:shd w:val="clear" w:color="auto" w:fill="E5E5E5" w:themeFill="background1" w:themeFillTint="33"/>
            <w:noWrap/>
            <w:vAlign w:val="bottom"/>
            <w:hideMark/>
          </w:tcPr>
          <w:p w14:paraId="2C8D18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w:t>
            </w:r>
          </w:p>
        </w:tc>
        <w:tc>
          <w:tcPr>
            <w:tcW w:w="1276" w:type="dxa"/>
            <w:shd w:val="clear" w:color="auto" w:fill="E5E5E5" w:themeFill="background1" w:themeFillTint="33"/>
            <w:noWrap/>
            <w:vAlign w:val="bottom"/>
            <w:hideMark/>
          </w:tcPr>
          <w:p w14:paraId="3BE778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0.93</w:t>
            </w:r>
          </w:p>
        </w:tc>
      </w:tr>
      <w:tr w:rsidR="00961617" w:rsidRPr="00545C7F" w14:paraId="6A922F59" w14:textId="77777777" w:rsidTr="0020771F">
        <w:trPr>
          <w:trHeight w:val="288"/>
        </w:trPr>
        <w:tc>
          <w:tcPr>
            <w:tcW w:w="1149" w:type="dxa"/>
            <w:shd w:val="clear" w:color="auto" w:fill="FFFFFF" w:themeFill="background2"/>
            <w:noWrap/>
            <w:vAlign w:val="bottom"/>
            <w:hideMark/>
          </w:tcPr>
          <w:p w14:paraId="39AEEC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418" w:type="dxa"/>
            <w:shd w:val="clear" w:color="auto" w:fill="FFFFFF" w:themeFill="background2"/>
            <w:noWrap/>
            <w:vAlign w:val="bottom"/>
            <w:hideMark/>
          </w:tcPr>
          <w:p w14:paraId="06A424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0.11</w:t>
            </w:r>
          </w:p>
        </w:tc>
        <w:tc>
          <w:tcPr>
            <w:tcW w:w="1276" w:type="dxa"/>
            <w:shd w:val="clear" w:color="auto" w:fill="FFFFFF" w:themeFill="background2"/>
            <w:noWrap/>
            <w:vAlign w:val="bottom"/>
            <w:hideMark/>
          </w:tcPr>
          <w:p w14:paraId="620B67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w:t>
            </w:r>
          </w:p>
        </w:tc>
      </w:tr>
      <w:tr w:rsidR="00961617" w:rsidRPr="00545C7F" w14:paraId="07B66EBF" w14:textId="77777777" w:rsidTr="0020771F">
        <w:trPr>
          <w:trHeight w:val="288"/>
        </w:trPr>
        <w:tc>
          <w:tcPr>
            <w:tcW w:w="1149" w:type="dxa"/>
            <w:shd w:val="clear" w:color="auto" w:fill="E5E5E5" w:themeFill="background1" w:themeFillTint="33"/>
            <w:noWrap/>
            <w:vAlign w:val="bottom"/>
            <w:hideMark/>
          </w:tcPr>
          <w:p w14:paraId="052F50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418" w:type="dxa"/>
            <w:shd w:val="clear" w:color="auto" w:fill="E5E5E5" w:themeFill="background1" w:themeFillTint="33"/>
            <w:noWrap/>
            <w:vAlign w:val="bottom"/>
            <w:hideMark/>
          </w:tcPr>
          <w:p w14:paraId="0324EA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0.13</w:t>
            </w:r>
          </w:p>
        </w:tc>
        <w:tc>
          <w:tcPr>
            <w:tcW w:w="1276" w:type="dxa"/>
            <w:shd w:val="clear" w:color="auto" w:fill="E5E5E5" w:themeFill="background1" w:themeFillTint="33"/>
            <w:noWrap/>
            <w:vAlign w:val="bottom"/>
            <w:hideMark/>
          </w:tcPr>
          <w:p w14:paraId="3A37BF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0.70</w:t>
            </w:r>
          </w:p>
        </w:tc>
      </w:tr>
      <w:tr w:rsidR="00961617" w:rsidRPr="00545C7F" w14:paraId="77B9DAD4" w14:textId="77777777" w:rsidTr="0020771F">
        <w:trPr>
          <w:trHeight w:val="288"/>
        </w:trPr>
        <w:tc>
          <w:tcPr>
            <w:tcW w:w="1149" w:type="dxa"/>
            <w:shd w:val="clear" w:color="auto" w:fill="FFFFFF" w:themeFill="background2"/>
            <w:noWrap/>
            <w:vAlign w:val="bottom"/>
            <w:hideMark/>
          </w:tcPr>
          <w:p w14:paraId="7CC352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418" w:type="dxa"/>
            <w:shd w:val="clear" w:color="auto" w:fill="FFFFFF" w:themeFill="background2"/>
            <w:noWrap/>
            <w:vAlign w:val="bottom"/>
            <w:hideMark/>
          </w:tcPr>
          <w:p w14:paraId="6C4D66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276" w:type="dxa"/>
            <w:shd w:val="clear" w:color="auto" w:fill="FFFFFF" w:themeFill="background2"/>
            <w:noWrap/>
            <w:vAlign w:val="bottom"/>
            <w:hideMark/>
          </w:tcPr>
          <w:p w14:paraId="706BEE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0.60</w:t>
            </w:r>
          </w:p>
        </w:tc>
      </w:tr>
      <w:tr w:rsidR="00961617" w:rsidRPr="00545C7F" w14:paraId="6CB005D3" w14:textId="77777777" w:rsidTr="0020771F">
        <w:trPr>
          <w:trHeight w:val="288"/>
        </w:trPr>
        <w:tc>
          <w:tcPr>
            <w:tcW w:w="1149" w:type="dxa"/>
            <w:shd w:val="clear" w:color="auto" w:fill="E5E5E5" w:themeFill="background1" w:themeFillTint="33"/>
            <w:noWrap/>
            <w:vAlign w:val="bottom"/>
            <w:hideMark/>
          </w:tcPr>
          <w:p w14:paraId="300CE4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418" w:type="dxa"/>
            <w:shd w:val="clear" w:color="auto" w:fill="E5E5E5" w:themeFill="background1" w:themeFillTint="33"/>
            <w:noWrap/>
            <w:vAlign w:val="bottom"/>
            <w:hideMark/>
          </w:tcPr>
          <w:p w14:paraId="799512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c>
          <w:tcPr>
            <w:tcW w:w="1276" w:type="dxa"/>
            <w:shd w:val="clear" w:color="auto" w:fill="E5E5E5" w:themeFill="background1" w:themeFillTint="33"/>
            <w:noWrap/>
            <w:vAlign w:val="bottom"/>
            <w:hideMark/>
          </w:tcPr>
          <w:p w14:paraId="66E7FB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0.50</w:t>
            </w:r>
          </w:p>
        </w:tc>
      </w:tr>
      <w:tr w:rsidR="00961617" w:rsidRPr="00545C7F" w14:paraId="3481135C" w14:textId="77777777" w:rsidTr="0020771F">
        <w:trPr>
          <w:trHeight w:val="288"/>
        </w:trPr>
        <w:tc>
          <w:tcPr>
            <w:tcW w:w="1149" w:type="dxa"/>
            <w:shd w:val="clear" w:color="auto" w:fill="FFFFFF" w:themeFill="background2"/>
            <w:noWrap/>
            <w:vAlign w:val="bottom"/>
            <w:hideMark/>
          </w:tcPr>
          <w:p w14:paraId="37DC5C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418" w:type="dxa"/>
            <w:shd w:val="clear" w:color="auto" w:fill="FFFFFF" w:themeFill="background2"/>
            <w:noWrap/>
            <w:vAlign w:val="bottom"/>
            <w:hideMark/>
          </w:tcPr>
          <w:p w14:paraId="1BE4B7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276" w:type="dxa"/>
            <w:shd w:val="clear" w:color="auto" w:fill="FFFFFF" w:themeFill="background2"/>
            <w:noWrap/>
            <w:vAlign w:val="bottom"/>
            <w:hideMark/>
          </w:tcPr>
          <w:p w14:paraId="305128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0.49</w:t>
            </w:r>
          </w:p>
        </w:tc>
      </w:tr>
      <w:tr w:rsidR="00961617" w:rsidRPr="00545C7F" w14:paraId="3DB58A23" w14:textId="77777777" w:rsidTr="0020771F">
        <w:trPr>
          <w:trHeight w:val="288"/>
        </w:trPr>
        <w:tc>
          <w:tcPr>
            <w:tcW w:w="1149" w:type="dxa"/>
            <w:shd w:val="clear" w:color="auto" w:fill="E5E5E5" w:themeFill="background1" w:themeFillTint="33"/>
            <w:noWrap/>
            <w:vAlign w:val="bottom"/>
            <w:hideMark/>
          </w:tcPr>
          <w:p w14:paraId="56D085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418" w:type="dxa"/>
            <w:shd w:val="clear" w:color="auto" w:fill="E5E5E5" w:themeFill="background1" w:themeFillTint="33"/>
            <w:noWrap/>
            <w:vAlign w:val="bottom"/>
            <w:hideMark/>
          </w:tcPr>
          <w:p w14:paraId="189FE6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0.11</w:t>
            </w:r>
          </w:p>
        </w:tc>
        <w:tc>
          <w:tcPr>
            <w:tcW w:w="1276" w:type="dxa"/>
            <w:shd w:val="clear" w:color="auto" w:fill="E5E5E5" w:themeFill="background1" w:themeFillTint="33"/>
            <w:noWrap/>
            <w:vAlign w:val="bottom"/>
            <w:hideMark/>
          </w:tcPr>
          <w:p w14:paraId="494D83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0.44</w:t>
            </w:r>
          </w:p>
        </w:tc>
      </w:tr>
      <w:tr w:rsidR="00961617" w:rsidRPr="00545C7F" w14:paraId="375D839E" w14:textId="77777777" w:rsidTr="0020771F">
        <w:trPr>
          <w:trHeight w:val="288"/>
        </w:trPr>
        <w:tc>
          <w:tcPr>
            <w:tcW w:w="1149" w:type="dxa"/>
            <w:shd w:val="clear" w:color="auto" w:fill="FFFFFF" w:themeFill="background2"/>
            <w:noWrap/>
            <w:vAlign w:val="bottom"/>
            <w:hideMark/>
          </w:tcPr>
          <w:p w14:paraId="788124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418" w:type="dxa"/>
            <w:shd w:val="clear" w:color="auto" w:fill="FFFFFF" w:themeFill="background2"/>
            <w:noWrap/>
            <w:vAlign w:val="bottom"/>
            <w:hideMark/>
          </w:tcPr>
          <w:p w14:paraId="0D54B1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276" w:type="dxa"/>
            <w:shd w:val="clear" w:color="auto" w:fill="FFFFFF" w:themeFill="background2"/>
            <w:noWrap/>
            <w:vAlign w:val="bottom"/>
            <w:hideMark/>
          </w:tcPr>
          <w:p w14:paraId="053AAF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0.45</w:t>
            </w:r>
          </w:p>
        </w:tc>
      </w:tr>
      <w:tr w:rsidR="00961617" w:rsidRPr="00545C7F" w14:paraId="3FB317F4" w14:textId="77777777" w:rsidTr="0020771F">
        <w:trPr>
          <w:trHeight w:val="288"/>
        </w:trPr>
        <w:tc>
          <w:tcPr>
            <w:tcW w:w="1149" w:type="dxa"/>
            <w:shd w:val="clear" w:color="auto" w:fill="E5E5E5" w:themeFill="background1" w:themeFillTint="33"/>
            <w:noWrap/>
            <w:vAlign w:val="bottom"/>
            <w:hideMark/>
          </w:tcPr>
          <w:p w14:paraId="198F1D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418" w:type="dxa"/>
            <w:shd w:val="clear" w:color="auto" w:fill="E5E5E5" w:themeFill="background1" w:themeFillTint="33"/>
            <w:noWrap/>
            <w:vAlign w:val="bottom"/>
            <w:hideMark/>
          </w:tcPr>
          <w:p w14:paraId="225F9D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w:t>
            </w:r>
          </w:p>
        </w:tc>
        <w:tc>
          <w:tcPr>
            <w:tcW w:w="1276" w:type="dxa"/>
            <w:shd w:val="clear" w:color="auto" w:fill="E5E5E5" w:themeFill="background1" w:themeFillTint="33"/>
            <w:noWrap/>
            <w:vAlign w:val="bottom"/>
            <w:hideMark/>
          </w:tcPr>
          <w:p w14:paraId="492F89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0.28</w:t>
            </w:r>
          </w:p>
        </w:tc>
      </w:tr>
      <w:tr w:rsidR="00961617" w:rsidRPr="00545C7F" w14:paraId="65A7067C" w14:textId="77777777" w:rsidTr="0020771F">
        <w:trPr>
          <w:trHeight w:val="288"/>
        </w:trPr>
        <w:tc>
          <w:tcPr>
            <w:tcW w:w="1149" w:type="dxa"/>
            <w:shd w:val="clear" w:color="auto" w:fill="FFFFFF" w:themeFill="background2"/>
            <w:noWrap/>
            <w:vAlign w:val="bottom"/>
            <w:hideMark/>
          </w:tcPr>
          <w:p w14:paraId="54AAC2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418" w:type="dxa"/>
            <w:shd w:val="clear" w:color="auto" w:fill="FFFFFF" w:themeFill="background2"/>
            <w:noWrap/>
            <w:vAlign w:val="bottom"/>
            <w:hideMark/>
          </w:tcPr>
          <w:p w14:paraId="35EE16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276" w:type="dxa"/>
            <w:shd w:val="clear" w:color="auto" w:fill="FFFFFF" w:themeFill="background2"/>
            <w:noWrap/>
            <w:vAlign w:val="bottom"/>
            <w:hideMark/>
          </w:tcPr>
          <w:p w14:paraId="09ED0A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w:t>
            </w:r>
          </w:p>
        </w:tc>
      </w:tr>
      <w:tr w:rsidR="00961617" w:rsidRPr="00545C7F" w14:paraId="1ED0F6BA" w14:textId="77777777" w:rsidTr="0020771F">
        <w:trPr>
          <w:trHeight w:val="288"/>
        </w:trPr>
        <w:tc>
          <w:tcPr>
            <w:tcW w:w="1149" w:type="dxa"/>
            <w:shd w:val="clear" w:color="auto" w:fill="E5E5E5" w:themeFill="background1" w:themeFillTint="33"/>
            <w:noWrap/>
            <w:vAlign w:val="bottom"/>
            <w:hideMark/>
          </w:tcPr>
          <w:p w14:paraId="53B0AF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418" w:type="dxa"/>
            <w:shd w:val="clear" w:color="auto" w:fill="E5E5E5" w:themeFill="background1" w:themeFillTint="33"/>
            <w:noWrap/>
            <w:vAlign w:val="bottom"/>
            <w:hideMark/>
          </w:tcPr>
          <w:p w14:paraId="3C4E21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shd w:val="clear" w:color="auto" w:fill="E5E5E5" w:themeFill="background1" w:themeFillTint="33"/>
            <w:noWrap/>
            <w:vAlign w:val="bottom"/>
            <w:hideMark/>
          </w:tcPr>
          <w:p w14:paraId="1C73BA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0.17</w:t>
            </w:r>
          </w:p>
        </w:tc>
      </w:tr>
      <w:tr w:rsidR="00961617" w:rsidRPr="00545C7F" w14:paraId="51A5F7CD" w14:textId="77777777" w:rsidTr="0020771F">
        <w:trPr>
          <w:trHeight w:val="288"/>
        </w:trPr>
        <w:tc>
          <w:tcPr>
            <w:tcW w:w="1149" w:type="dxa"/>
            <w:shd w:val="clear" w:color="auto" w:fill="FFFFFF" w:themeFill="background2"/>
            <w:noWrap/>
            <w:vAlign w:val="bottom"/>
            <w:hideMark/>
          </w:tcPr>
          <w:p w14:paraId="51960B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418" w:type="dxa"/>
            <w:shd w:val="clear" w:color="auto" w:fill="FFFFFF" w:themeFill="background2"/>
            <w:noWrap/>
            <w:vAlign w:val="bottom"/>
            <w:hideMark/>
          </w:tcPr>
          <w:p w14:paraId="043B3D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276" w:type="dxa"/>
            <w:shd w:val="clear" w:color="auto" w:fill="FFFFFF" w:themeFill="background2"/>
            <w:noWrap/>
            <w:vAlign w:val="bottom"/>
            <w:hideMark/>
          </w:tcPr>
          <w:p w14:paraId="6FBD71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r>
      <w:tr w:rsidR="00961617" w:rsidRPr="00545C7F" w14:paraId="68A6B2E1" w14:textId="77777777" w:rsidTr="0020771F">
        <w:trPr>
          <w:trHeight w:val="288"/>
        </w:trPr>
        <w:tc>
          <w:tcPr>
            <w:tcW w:w="1149" w:type="dxa"/>
            <w:tcBorders>
              <w:bottom w:val="single" w:sz="4" w:space="0" w:color="auto"/>
            </w:tcBorders>
            <w:shd w:val="clear" w:color="auto" w:fill="E5E5E5" w:themeFill="background1" w:themeFillTint="33"/>
            <w:noWrap/>
            <w:vAlign w:val="bottom"/>
            <w:hideMark/>
          </w:tcPr>
          <w:p w14:paraId="672060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418" w:type="dxa"/>
            <w:tcBorders>
              <w:bottom w:val="single" w:sz="4" w:space="0" w:color="auto"/>
            </w:tcBorders>
            <w:shd w:val="clear" w:color="auto" w:fill="E5E5E5" w:themeFill="background1" w:themeFillTint="33"/>
            <w:noWrap/>
            <w:vAlign w:val="bottom"/>
            <w:hideMark/>
          </w:tcPr>
          <w:p w14:paraId="602E26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w:t>
            </w:r>
          </w:p>
        </w:tc>
        <w:tc>
          <w:tcPr>
            <w:tcW w:w="1276" w:type="dxa"/>
            <w:tcBorders>
              <w:bottom w:val="single" w:sz="4" w:space="0" w:color="auto"/>
            </w:tcBorders>
            <w:shd w:val="clear" w:color="auto" w:fill="E5E5E5" w:themeFill="background1" w:themeFillTint="33"/>
            <w:noWrap/>
            <w:vAlign w:val="bottom"/>
            <w:hideMark/>
          </w:tcPr>
          <w:p w14:paraId="6578DC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r>
    </w:tbl>
    <w:p w14:paraId="5E2958F3" w14:textId="77777777" w:rsidR="00961617" w:rsidRPr="002F5864" w:rsidRDefault="00961617" w:rsidP="00E13B5E">
      <w:pPr>
        <w:pStyle w:val="Notes"/>
      </w:pPr>
      <w:r w:rsidRPr="00E13B5E">
        <w:rPr>
          <w:b/>
        </w:rPr>
        <w:t>Notes</w:t>
      </w:r>
      <w:r w:rsidRPr="002F5864">
        <w:t xml:space="preserve">: </w:t>
      </w:r>
    </w:p>
    <w:p w14:paraId="73463BBD" w14:textId="77777777" w:rsidR="00961617" w:rsidRPr="00AE501D" w:rsidRDefault="00961617" w:rsidP="00AE501D">
      <w:pPr>
        <w:pStyle w:val="Notesnumbered"/>
        <w:numPr>
          <w:ilvl w:val="0"/>
          <w:numId w:val="265"/>
        </w:numPr>
      </w:pPr>
      <w:r w:rsidRPr="002F5864">
        <w:t xml:space="preserve">Periods of interest </w:t>
      </w:r>
      <w:r w:rsidRPr="00AE501D">
        <w:t>where job seekers did not undertake an Intensive Activity are excluded.</w:t>
      </w:r>
    </w:p>
    <w:p w14:paraId="686EBD37" w14:textId="77777777" w:rsidR="00961617" w:rsidRPr="002F5864" w:rsidRDefault="00961617" w:rsidP="00AE501D">
      <w:pPr>
        <w:pStyle w:val="Notesnumbered"/>
        <w:numPr>
          <w:ilvl w:val="0"/>
          <w:numId w:val="265"/>
        </w:numPr>
      </w:pPr>
      <w:r w:rsidRPr="00AE501D">
        <w:t>Weeks in service excludes periods</w:t>
      </w:r>
      <w:r w:rsidRPr="002F5864">
        <w:t xml:space="preserve"> during which the job seeker was suspended from service or took allowable breaks.</w:t>
      </w:r>
    </w:p>
    <w:p w14:paraId="7B5DD50C" w14:textId="77777777" w:rsidR="00961617" w:rsidRPr="002F5864" w:rsidRDefault="00961617" w:rsidP="00E13B5E">
      <w:pPr>
        <w:pStyle w:val="Source"/>
      </w:pPr>
      <w:r w:rsidRPr="002F5864">
        <w:rPr>
          <w:b/>
        </w:rPr>
        <w:t>Source:</w:t>
      </w:r>
      <w:r w:rsidRPr="002F5864">
        <w:t xml:space="preserve"> Department of Employment administrative data.</w:t>
      </w:r>
    </w:p>
    <w:p w14:paraId="59C3270B" w14:textId="77777777" w:rsidR="00961617" w:rsidRPr="002F5864" w:rsidRDefault="00864C5E" w:rsidP="00961617">
      <w:pPr>
        <w:spacing w:before="120"/>
        <w:rPr>
          <w:rFonts w:cstheme="minorHAnsi"/>
          <w:sz w:val="18"/>
          <w:szCs w:val="18"/>
        </w:rPr>
      </w:pPr>
      <w:hyperlink w:anchor="Place_A217" w:history="1">
        <w:r w:rsidR="00961617" w:rsidRPr="005F1335">
          <w:rPr>
            <w:rStyle w:val="Hyperlink"/>
            <w:rFonts w:cstheme="minorHAnsi"/>
            <w:sz w:val="18"/>
            <w:szCs w:val="18"/>
          </w:rPr>
          <w:t>Return to Figure 4.1</w:t>
        </w:r>
      </w:hyperlink>
      <w:r w:rsidR="00961617" w:rsidRPr="002F5864">
        <w:rPr>
          <w:rFonts w:cstheme="minorHAnsi"/>
          <w:sz w:val="18"/>
          <w:szCs w:val="18"/>
        </w:rPr>
        <w:t xml:space="preserve"> where this data is referenced.</w:t>
      </w:r>
    </w:p>
    <w:p w14:paraId="2EBDAA3D" w14:textId="77777777" w:rsidR="00961617" w:rsidRPr="002F5864" w:rsidRDefault="00961617" w:rsidP="00961617">
      <w:pPr>
        <w:pStyle w:val="TableheadingforappendixA1"/>
        <w:keepNext w:val="0"/>
        <w:spacing w:before="120"/>
        <w:rPr>
          <w:rFonts w:cstheme="minorHAnsi"/>
        </w:rPr>
      </w:pPr>
      <w:r w:rsidRPr="002F5864">
        <w:rPr>
          <w:rFonts w:cstheme="minorHAnsi"/>
        </w:rPr>
        <w:br w:type="page"/>
      </w:r>
      <w:bookmarkStart w:id="662" w:name="_Toc513129911"/>
      <w:r w:rsidRPr="002F5864">
        <w:rPr>
          <w:rFonts w:cstheme="minorHAnsi"/>
        </w:rPr>
        <w:t>Table A2.18: Number of weeks in service to conduct Skills Assessment, 2009 and 2012 Steam 1 servicing study population (per cent)</w:t>
      </w:r>
      <w:bookmarkEnd w:id="662"/>
    </w:p>
    <w:tbl>
      <w:tblPr>
        <w:tblW w:w="3843" w:type="dxa"/>
        <w:tblInd w:w="93" w:type="dxa"/>
        <w:shd w:val="clear" w:color="auto" w:fill="FFFFFF" w:themeFill="background2"/>
        <w:tblLook w:val="04A0" w:firstRow="1" w:lastRow="0" w:firstColumn="1" w:lastColumn="0" w:noHBand="0" w:noVBand="1"/>
      </w:tblPr>
      <w:tblGrid>
        <w:gridCol w:w="1149"/>
        <w:gridCol w:w="1418"/>
        <w:gridCol w:w="1276"/>
      </w:tblGrid>
      <w:tr w:rsidR="00961617" w:rsidRPr="00545C7F" w14:paraId="39A22675" w14:textId="77777777" w:rsidTr="0020771F">
        <w:trPr>
          <w:trHeight w:val="434"/>
          <w:tblHeader/>
        </w:trPr>
        <w:tc>
          <w:tcPr>
            <w:tcW w:w="1149" w:type="dxa"/>
            <w:shd w:val="clear" w:color="auto" w:fill="1E3D6B"/>
            <w:noWrap/>
            <w:vAlign w:val="center"/>
            <w:hideMark/>
          </w:tcPr>
          <w:p w14:paraId="3D38A673"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bookmarkStart w:id="663" w:name="Title_A218"/>
            <w:bookmarkEnd w:id="663"/>
            <w:r w:rsidRPr="00545C7F">
              <w:rPr>
                <w:rFonts w:eastAsia="Times New Roman" w:cstheme="minorHAnsi"/>
                <w:b/>
                <w:color w:val="FFFFFF" w:themeColor="background2"/>
                <w:sz w:val="20"/>
                <w:szCs w:val="20"/>
                <w:lang w:eastAsia="en-AU"/>
              </w:rPr>
              <w:t>Weeks</w:t>
            </w:r>
          </w:p>
        </w:tc>
        <w:tc>
          <w:tcPr>
            <w:tcW w:w="1418" w:type="dxa"/>
            <w:shd w:val="clear" w:color="auto" w:fill="1E3D6B"/>
            <w:noWrap/>
            <w:vAlign w:val="center"/>
            <w:hideMark/>
          </w:tcPr>
          <w:p w14:paraId="41565DC6"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2009</w:t>
            </w:r>
          </w:p>
        </w:tc>
        <w:tc>
          <w:tcPr>
            <w:tcW w:w="1276" w:type="dxa"/>
            <w:shd w:val="clear" w:color="auto" w:fill="1E3D6B"/>
            <w:noWrap/>
            <w:vAlign w:val="center"/>
            <w:hideMark/>
          </w:tcPr>
          <w:p w14:paraId="29584029"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2012</w:t>
            </w:r>
          </w:p>
        </w:tc>
      </w:tr>
      <w:tr w:rsidR="00961617" w:rsidRPr="00545C7F" w14:paraId="66F696A0" w14:textId="77777777" w:rsidTr="0020771F">
        <w:tblPrEx>
          <w:shd w:val="clear" w:color="auto" w:fill="auto"/>
        </w:tblPrEx>
        <w:trPr>
          <w:trHeight w:hRule="exact" w:val="289"/>
        </w:trPr>
        <w:tc>
          <w:tcPr>
            <w:tcW w:w="1149" w:type="dxa"/>
            <w:shd w:val="clear" w:color="auto" w:fill="auto"/>
            <w:noWrap/>
            <w:vAlign w:val="center"/>
            <w:hideMark/>
          </w:tcPr>
          <w:p w14:paraId="1CAA2D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w:t>
            </w:r>
          </w:p>
        </w:tc>
        <w:tc>
          <w:tcPr>
            <w:tcW w:w="1418" w:type="dxa"/>
            <w:shd w:val="clear" w:color="auto" w:fill="auto"/>
            <w:noWrap/>
            <w:vAlign w:val="center"/>
            <w:hideMark/>
          </w:tcPr>
          <w:p w14:paraId="47AE95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2.30</w:t>
            </w:r>
          </w:p>
        </w:tc>
        <w:tc>
          <w:tcPr>
            <w:tcW w:w="1276" w:type="dxa"/>
            <w:shd w:val="clear" w:color="auto" w:fill="auto"/>
            <w:noWrap/>
            <w:vAlign w:val="center"/>
            <w:hideMark/>
          </w:tcPr>
          <w:p w14:paraId="0FB9D3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3.21</w:t>
            </w:r>
          </w:p>
        </w:tc>
      </w:tr>
      <w:tr w:rsidR="00961617" w:rsidRPr="00545C7F" w14:paraId="4FCC0229"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1CFD6B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418" w:type="dxa"/>
            <w:shd w:val="clear" w:color="auto" w:fill="E5E5E5" w:themeFill="background1" w:themeFillTint="33"/>
            <w:noWrap/>
            <w:vAlign w:val="center"/>
            <w:hideMark/>
          </w:tcPr>
          <w:p w14:paraId="410CB6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0.39</w:t>
            </w:r>
          </w:p>
        </w:tc>
        <w:tc>
          <w:tcPr>
            <w:tcW w:w="1276" w:type="dxa"/>
            <w:shd w:val="clear" w:color="auto" w:fill="E5E5E5" w:themeFill="background1" w:themeFillTint="33"/>
            <w:noWrap/>
            <w:vAlign w:val="center"/>
            <w:hideMark/>
          </w:tcPr>
          <w:p w14:paraId="1FC47B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w:t>
            </w:r>
          </w:p>
        </w:tc>
      </w:tr>
      <w:tr w:rsidR="00961617" w:rsidRPr="00545C7F" w14:paraId="57451C99" w14:textId="77777777" w:rsidTr="0020771F">
        <w:tblPrEx>
          <w:shd w:val="clear" w:color="auto" w:fill="auto"/>
        </w:tblPrEx>
        <w:trPr>
          <w:trHeight w:hRule="exact" w:val="289"/>
        </w:trPr>
        <w:tc>
          <w:tcPr>
            <w:tcW w:w="1149" w:type="dxa"/>
            <w:shd w:val="clear" w:color="auto" w:fill="auto"/>
            <w:noWrap/>
            <w:vAlign w:val="center"/>
            <w:hideMark/>
          </w:tcPr>
          <w:p w14:paraId="607BCC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418" w:type="dxa"/>
            <w:shd w:val="clear" w:color="auto" w:fill="auto"/>
            <w:noWrap/>
            <w:vAlign w:val="center"/>
            <w:hideMark/>
          </w:tcPr>
          <w:p w14:paraId="085ED3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c>
          <w:tcPr>
            <w:tcW w:w="1276" w:type="dxa"/>
            <w:shd w:val="clear" w:color="auto" w:fill="auto"/>
            <w:noWrap/>
            <w:vAlign w:val="center"/>
            <w:hideMark/>
          </w:tcPr>
          <w:p w14:paraId="38F62D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0.13</w:t>
            </w:r>
          </w:p>
        </w:tc>
      </w:tr>
      <w:tr w:rsidR="00961617" w:rsidRPr="00545C7F" w14:paraId="0932FF9C"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116706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418" w:type="dxa"/>
            <w:shd w:val="clear" w:color="auto" w:fill="E5E5E5" w:themeFill="background1" w:themeFillTint="33"/>
            <w:noWrap/>
            <w:vAlign w:val="center"/>
            <w:hideMark/>
          </w:tcPr>
          <w:p w14:paraId="3866C7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0.33</w:t>
            </w:r>
          </w:p>
        </w:tc>
        <w:tc>
          <w:tcPr>
            <w:tcW w:w="1276" w:type="dxa"/>
            <w:shd w:val="clear" w:color="auto" w:fill="E5E5E5" w:themeFill="background1" w:themeFillTint="33"/>
            <w:noWrap/>
            <w:vAlign w:val="center"/>
            <w:hideMark/>
          </w:tcPr>
          <w:p w14:paraId="59FE3B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0.18</w:t>
            </w:r>
          </w:p>
        </w:tc>
      </w:tr>
      <w:tr w:rsidR="00961617" w:rsidRPr="00545C7F" w14:paraId="26DF04F7" w14:textId="77777777" w:rsidTr="0020771F">
        <w:tblPrEx>
          <w:shd w:val="clear" w:color="auto" w:fill="auto"/>
        </w:tblPrEx>
        <w:trPr>
          <w:trHeight w:hRule="exact" w:val="289"/>
        </w:trPr>
        <w:tc>
          <w:tcPr>
            <w:tcW w:w="1149" w:type="dxa"/>
            <w:shd w:val="clear" w:color="auto" w:fill="auto"/>
            <w:noWrap/>
            <w:vAlign w:val="center"/>
            <w:hideMark/>
          </w:tcPr>
          <w:p w14:paraId="0484A7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418" w:type="dxa"/>
            <w:shd w:val="clear" w:color="auto" w:fill="auto"/>
            <w:noWrap/>
            <w:vAlign w:val="center"/>
            <w:hideMark/>
          </w:tcPr>
          <w:p w14:paraId="701A39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0.32</w:t>
            </w:r>
          </w:p>
        </w:tc>
        <w:tc>
          <w:tcPr>
            <w:tcW w:w="1276" w:type="dxa"/>
            <w:shd w:val="clear" w:color="auto" w:fill="auto"/>
            <w:noWrap/>
            <w:vAlign w:val="center"/>
            <w:hideMark/>
          </w:tcPr>
          <w:p w14:paraId="391CF4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r>
      <w:tr w:rsidR="00961617" w:rsidRPr="00545C7F" w14:paraId="0E8BC099"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54CE4A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418" w:type="dxa"/>
            <w:shd w:val="clear" w:color="auto" w:fill="E5E5E5" w:themeFill="background1" w:themeFillTint="33"/>
            <w:noWrap/>
            <w:vAlign w:val="center"/>
            <w:hideMark/>
          </w:tcPr>
          <w:p w14:paraId="0910CB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0.30</w:t>
            </w:r>
          </w:p>
        </w:tc>
        <w:tc>
          <w:tcPr>
            <w:tcW w:w="1276" w:type="dxa"/>
            <w:shd w:val="clear" w:color="auto" w:fill="E5E5E5" w:themeFill="background1" w:themeFillTint="33"/>
            <w:noWrap/>
            <w:vAlign w:val="center"/>
            <w:hideMark/>
          </w:tcPr>
          <w:p w14:paraId="6464EA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w:t>
            </w:r>
          </w:p>
        </w:tc>
      </w:tr>
      <w:tr w:rsidR="00961617" w:rsidRPr="00545C7F" w14:paraId="60571A88" w14:textId="77777777" w:rsidTr="0020771F">
        <w:tblPrEx>
          <w:shd w:val="clear" w:color="auto" w:fill="auto"/>
        </w:tblPrEx>
        <w:trPr>
          <w:trHeight w:hRule="exact" w:val="289"/>
        </w:trPr>
        <w:tc>
          <w:tcPr>
            <w:tcW w:w="1149" w:type="dxa"/>
            <w:shd w:val="clear" w:color="auto" w:fill="auto"/>
            <w:noWrap/>
            <w:vAlign w:val="center"/>
            <w:hideMark/>
          </w:tcPr>
          <w:p w14:paraId="226867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418" w:type="dxa"/>
            <w:shd w:val="clear" w:color="auto" w:fill="auto"/>
            <w:noWrap/>
            <w:vAlign w:val="center"/>
            <w:hideMark/>
          </w:tcPr>
          <w:p w14:paraId="1A5A62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c>
          <w:tcPr>
            <w:tcW w:w="1276" w:type="dxa"/>
            <w:shd w:val="clear" w:color="auto" w:fill="auto"/>
            <w:noWrap/>
            <w:vAlign w:val="center"/>
            <w:hideMark/>
          </w:tcPr>
          <w:p w14:paraId="188FD1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0.11</w:t>
            </w:r>
          </w:p>
        </w:tc>
      </w:tr>
      <w:tr w:rsidR="00961617" w:rsidRPr="00545C7F" w14:paraId="534788F2"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08A1C6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418" w:type="dxa"/>
            <w:shd w:val="clear" w:color="auto" w:fill="E5E5E5" w:themeFill="background1" w:themeFillTint="33"/>
            <w:noWrap/>
            <w:vAlign w:val="center"/>
            <w:hideMark/>
          </w:tcPr>
          <w:p w14:paraId="413790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0.47</w:t>
            </w:r>
          </w:p>
        </w:tc>
        <w:tc>
          <w:tcPr>
            <w:tcW w:w="1276" w:type="dxa"/>
            <w:shd w:val="clear" w:color="auto" w:fill="E5E5E5" w:themeFill="background1" w:themeFillTint="33"/>
            <w:noWrap/>
            <w:vAlign w:val="center"/>
            <w:hideMark/>
          </w:tcPr>
          <w:p w14:paraId="0BB900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w:t>
            </w:r>
          </w:p>
        </w:tc>
      </w:tr>
      <w:tr w:rsidR="00961617" w:rsidRPr="00545C7F" w14:paraId="37714A11" w14:textId="77777777" w:rsidTr="0020771F">
        <w:tblPrEx>
          <w:shd w:val="clear" w:color="auto" w:fill="auto"/>
        </w:tblPrEx>
        <w:trPr>
          <w:trHeight w:hRule="exact" w:val="289"/>
        </w:trPr>
        <w:tc>
          <w:tcPr>
            <w:tcW w:w="1149" w:type="dxa"/>
            <w:shd w:val="clear" w:color="auto" w:fill="auto"/>
            <w:noWrap/>
            <w:vAlign w:val="center"/>
            <w:hideMark/>
          </w:tcPr>
          <w:p w14:paraId="7A5D8F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418" w:type="dxa"/>
            <w:shd w:val="clear" w:color="auto" w:fill="auto"/>
            <w:noWrap/>
            <w:vAlign w:val="center"/>
            <w:hideMark/>
          </w:tcPr>
          <w:p w14:paraId="724E1E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0.61</w:t>
            </w:r>
          </w:p>
        </w:tc>
        <w:tc>
          <w:tcPr>
            <w:tcW w:w="1276" w:type="dxa"/>
            <w:shd w:val="clear" w:color="auto" w:fill="auto"/>
            <w:noWrap/>
            <w:vAlign w:val="center"/>
            <w:hideMark/>
          </w:tcPr>
          <w:p w14:paraId="39EF96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r>
      <w:tr w:rsidR="00961617" w:rsidRPr="00545C7F" w14:paraId="153098C0"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103349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418" w:type="dxa"/>
            <w:shd w:val="clear" w:color="auto" w:fill="E5E5E5" w:themeFill="background1" w:themeFillTint="33"/>
            <w:noWrap/>
            <w:vAlign w:val="center"/>
            <w:hideMark/>
          </w:tcPr>
          <w:p w14:paraId="1AA66F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1.03</w:t>
            </w:r>
          </w:p>
        </w:tc>
        <w:tc>
          <w:tcPr>
            <w:tcW w:w="1276" w:type="dxa"/>
            <w:shd w:val="clear" w:color="auto" w:fill="E5E5E5" w:themeFill="background1" w:themeFillTint="33"/>
            <w:noWrap/>
            <w:vAlign w:val="center"/>
            <w:hideMark/>
          </w:tcPr>
          <w:p w14:paraId="7E1F63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0.17</w:t>
            </w:r>
          </w:p>
        </w:tc>
      </w:tr>
      <w:tr w:rsidR="00961617" w:rsidRPr="00545C7F" w14:paraId="7F328503" w14:textId="77777777" w:rsidTr="0020771F">
        <w:tblPrEx>
          <w:shd w:val="clear" w:color="auto" w:fill="auto"/>
        </w:tblPrEx>
        <w:trPr>
          <w:trHeight w:hRule="exact" w:val="289"/>
        </w:trPr>
        <w:tc>
          <w:tcPr>
            <w:tcW w:w="1149" w:type="dxa"/>
            <w:shd w:val="clear" w:color="auto" w:fill="auto"/>
            <w:noWrap/>
            <w:vAlign w:val="center"/>
            <w:hideMark/>
          </w:tcPr>
          <w:p w14:paraId="0460BE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418" w:type="dxa"/>
            <w:shd w:val="clear" w:color="auto" w:fill="auto"/>
            <w:noWrap/>
            <w:vAlign w:val="center"/>
            <w:hideMark/>
          </w:tcPr>
          <w:p w14:paraId="0E6FF9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1.68</w:t>
            </w:r>
          </w:p>
        </w:tc>
        <w:tc>
          <w:tcPr>
            <w:tcW w:w="1276" w:type="dxa"/>
            <w:shd w:val="clear" w:color="auto" w:fill="auto"/>
            <w:noWrap/>
            <w:vAlign w:val="center"/>
            <w:hideMark/>
          </w:tcPr>
          <w:p w14:paraId="78B97E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0.22</w:t>
            </w:r>
          </w:p>
        </w:tc>
      </w:tr>
      <w:tr w:rsidR="00961617" w:rsidRPr="00545C7F" w14:paraId="6D163014"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5025B7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418" w:type="dxa"/>
            <w:shd w:val="clear" w:color="auto" w:fill="E5E5E5" w:themeFill="background1" w:themeFillTint="33"/>
            <w:noWrap/>
            <w:vAlign w:val="center"/>
            <w:hideMark/>
          </w:tcPr>
          <w:p w14:paraId="51F9D9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3.53</w:t>
            </w:r>
          </w:p>
        </w:tc>
        <w:tc>
          <w:tcPr>
            <w:tcW w:w="1276" w:type="dxa"/>
            <w:shd w:val="clear" w:color="auto" w:fill="E5E5E5" w:themeFill="background1" w:themeFillTint="33"/>
            <w:noWrap/>
            <w:vAlign w:val="center"/>
            <w:hideMark/>
          </w:tcPr>
          <w:p w14:paraId="790FC5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0.37</w:t>
            </w:r>
          </w:p>
        </w:tc>
      </w:tr>
      <w:tr w:rsidR="00961617" w:rsidRPr="00545C7F" w14:paraId="3B3BB808" w14:textId="77777777" w:rsidTr="0020771F">
        <w:tblPrEx>
          <w:shd w:val="clear" w:color="auto" w:fill="auto"/>
        </w:tblPrEx>
        <w:trPr>
          <w:trHeight w:hRule="exact" w:val="289"/>
        </w:trPr>
        <w:tc>
          <w:tcPr>
            <w:tcW w:w="1149" w:type="dxa"/>
            <w:shd w:val="clear" w:color="auto" w:fill="auto"/>
            <w:noWrap/>
            <w:vAlign w:val="center"/>
            <w:hideMark/>
          </w:tcPr>
          <w:p w14:paraId="073F59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418" w:type="dxa"/>
            <w:shd w:val="clear" w:color="auto" w:fill="auto"/>
            <w:noWrap/>
            <w:vAlign w:val="center"/>
            <w:hideMark/>
          </w:tcPr>
          <w:p w14:paraId="246285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10.16</w:t>
            </w:r>
          </w:p>
        </w:tc>
        <w:tc>
          <w:tcPr>
            <w:tcW w:w="1276" w:type="dxa"/>
            <w:shd w:val="clear" w:color="auto" w:fill="auto"/>
            <w:noWrap/>
            <w:vAlign w:val="center"/>
            <w:hideMark/>
          </w:tcPr>
          <w:p w14:paraId="72B595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0.98</w:t>
            </w:r>
          </w:p>
        </w:tc>
      </w:tr>
      <w:tr w:rsidR="00961617" w:rsidRPr="00545C7F" w14:paraId="702F46A5"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7D0FEE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418" w:type="dxa"/>
            <w:shd w:val="clear" w:color="auto" w:fill="E5E5E5" w:themeFill="background1" w:themeFillTint="33"/>
            <w:noWrap/>
            <w:vAlign w:val="center"/>
            <w:hideMark/>
          </w:tcPr>
          <w:p w14:paraId="674E33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21.07</w:t>
            </w:r>
          </w:p>
        </w:tc>
        <w:tc>
          <w:tcPr>
            <w:tcW w:w="1276" w:type="dxa"/>
            <w:shd w:val="clear" w:color="auto" w:fill="E5E5E5" w:themeFill="background1" w:themeFillTint="33"/>
            <w:noWrap/>
            <w:vAlign w:val="center"/>
            <w:hideMark/>
          </w:tcPr>
          <w:p w14:paraId="3E196B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1.64</w:t>
            </w:r>
          </w:p>
        </w:tc>
      </w:tr>
      <w:tr w:rsidR="00961617" w:rsidRPr="00545C7F" w14:paraId="59BBAF51" w14:textId="77777777" w:rsidTr="0020771F">
        <w:tblPrEx>
          <w:shd w:val="clear" w:color="auto" w:fill="auto"/>
        </w:tblPrEx>
        <w:trPr>
          <w:trHeight w:hRule="exact" w:val="289"/>
        </w:trPr>
        <w:tc>
          <w:tcPr>
            <w:tcW w:w="1149" w:type="dxa"/>
            <w:shd w:val="clear" w:color="auto" w:fill="auto"/>
            <w:noWrap/>
            <w:vAlign w:val="center"/>
            <w:hideMark/>
          </w:tcPr>
          <w:p w14:paraId="60B625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418" w:type="dxa"/>
            <w:shd w:val="clear" w:color="auto" w:fill="auto"/>
            <w:noWrap/>
            <w:vAlign w:val="center"/>
            <w:hideMark/>
          </w:tcPr>
          <w:p w14:paraId="46CD29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15.86</w:t>
            </w:r>
          </w:p>
        </w:tc>
        <w:tc>
          <w:tcPr>
            <w:tcW w:w="1276" w:type="dxa"/>
            <w:shd w:val="clear" w:color="auto" w:fill="auto"/>
            <w:noWrap/>
            <w:vAlign w:val="center"/>
            <w:hideMark/>
          </w:tcPr>
          <w:p w14:paraId="47C132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1.21</w:t>
            </w:r>
          </w:p>
        </w:tc>
      </w:tr>
      <w:tr w:rsidR="00961617" w:rsidRPr="00545C7F" w14:paraId="01C4AC37"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1041AD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418" w:type="dxa"/>
            <w:shd w:val="clear" w:color="auto" w:fill="E5E5E5" w:themeFill="background1" w:themeFillTint="33"/>
            <w:noWrap/>
            <w:vAlign w:val="center"/>
            <w:hideMark/>
          </w:tcPr>
          <w:p w14:paraId="42AC3F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11.73</w:t>
            </w:r>
          </w:p>
        </w:tc>
        <w:tc>
          <w:tcPr>
            <w:tcW w:w="1276" w:type="dxa"/>
            <w:shd w:val="clear" w:color="auto" w:fill="E5E5E5" w:themeFill="background1" w:themeFillTint="33"/>
            <w:noWrap/>
            <w:vAlign w:val="center"/>
            <w:hideMark/>
          </w:tcPr>
          <w:p w14:paraId="6518C1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0.95</w:t>
            </w:r>
          </w:p>
        </w:tc>
      </w:tr>
      <w:tr w:rsidR="00961617" w:rsidRPr="00545C7F" w14:paraId="1939944B" w14:textId="77777777" w:rsidTr="0020771F">
        <w:tblPrEx>
          <w:shd w:val="clear" w:color="auto" w:fill="auto"/>
        </w:tblPrEx>
        <w:trPr>
          <w:trHeight w:hRule="exact" w:val="289"/>
        </w:trPr>
        <w:tc>
          <w:tcPr>
            <w:tcW w:w="1149" w:type="dxa"/>
            <w:shd w:val="clear" w:color="auto" w:fill="auto"/>
            <w:noWrap/>
            <w:vAlign w:val="center"/>
            <w:hideMark/>
          </w:tcPr>
          <w:p w14:paraId="710F63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418" w:type="dxa"/>
            <w:shd w:val="clear" w:color="auto" w:fill="auto"/>
            <w:noWrap/>
            <w:vAlign w:val="center"/>
            <w:hideMark/>
          </w:tcPr>
          <w:p w14:paraId="7668A4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7.54</w:t>
            </w:r>
          </w:p>
        </w:tc>
        <w:tc>
          <w:tcPr>
            <w:tcW w:w="1276" w:type="dxa"/>
            <w:shd w:val="clear" w:color="auto" w:fill="auto"/>
            <w:noWrap/>
            <w:vAlign w:val="center"/>
            <w:hideMark/>
          </w:tcPr>
          <w:p w14:paraId="2776F2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w:t>
            </w:r>
          </w:p>
        </w:tc>
      </w:tr>
      <w:tr w:rsidR="00961617" w:rsidRPr="00545C7F" w14:paraId="34997FE1"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50FAB6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418" w:type="dxa"/>
            <w:shd w:val="clear" w:color="auto" w:fill="E5E5E5" w:themeFill="background1" w:themeFillTint="33"/>
            <w:noWrap/>
            <w:vAlign w:val="center"/>
            <w:hideMark/>
          </w:tcPr>
          <w:p w14:paraId="3D360B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5.30</w:t>
            </w:r>
          </w:p>
        </w:tc>
        <w:tc>
          <w:tcPr>
            <w:tcW w:w="1276" w:type="dxa"/>
            <w:shd w:val="clear" w:color="auto" w:fill="E5E5E5" w:themeFill="background1" w:themeFillTint="33"/>
            <w:noWrap/>
            <w:vAlign w:val="center"/>
            <w:hideMark/>
          </w:tcPr>
          <w:p w14:paraId="5D738A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w:t>
            </w:r>
          </w:p>
        </w:tc>
      </w:tr>
      <w:tr w:rsidR="00961617" w:rsidRPr="00545C7F" w14:paraId="183180B0" w14:textId="77777777" w:rsidTr="0020771F">
        <w:tblPrEx>
          <w:shd w:val="clear" w:color="auto" w:fill="auto"/>
        </w:tblPrEx>
        <w:trPr>
          <w:trHeight w:hRule="exact" w:val="289"/>
        </w:trPr>
        <w:tc>
          <w:tcPr>
            <w:tcW w:w="1149" w:type="dxa"/>
            <w:shd w:val="clear" w:color="auto" w:fill="auto"/>
            <w:noWrap/>
            <w:vAlign w:val="center"/>
            <w:hideMark/>
          </w:tcPr>
          <w:p w14:paraId="7FCBA2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418" w:type="dxa"/>
            <w:shd w:val="clear" w:color="auto" w:fill="auto"/>
            <w:noWrap/>
            <w:vAlign w:val="center"/>
            <w:hideMark/>
          </w:tcPr>
          <w:p w14:paraId="421B23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3.36</w:t>
            </w:r>
          </w:p>
        </w:tc>
        <w:tc>
          <w:tcPr>
            <w:tcW w:w="1276" w:type="dxa"/>
            <w:shd w:val="clear" w:color="auto" w:fill="auto"/>
            <w:noWrap/>
            <w:vAlign w:val="center"/>
            <w:hideMark/>
          </w:tcPr>
          <w:p w14:paraId="261F41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w:t>
            </w:r>
          </w:p>
        </w:tc>
      </w:tr>
      <w:tr w:rsidR="00961617" w:rsidRPr="00545C7F" w14:paraId="22C56E4B"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3E2294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418" w:type="dxa"/>
            <w:shd w:val="clear" w:color="auto" w:fill="E5E5E5" w:themeFill="background1" w:themeFillTint="33"/>
            <w:noWrap/>
            <w:vAlign w:val="center"/>
            <w:hideMark/>
          </w:tcPr>
          <w:p w14:paraId="4F951A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2.48</w:t>
            </w:r>
          </w:p>
        </w:tc>
        <w:tc>
          <w:tcPr>
            <w:tcW w:w="1276" w:type="dxa"/>
            <w:shd w:val="clear" w:color="auto" w:fill="E5E5E5" w:themeFill="background1" w:themeFillTint="33"/>
            <w:noWrap/>
            <w:vAlign w:val="center"/>
            <w:hideMark/>
          </w:tcPr>
          <w:p w14:paraId="2618DC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0.75</w:t>
            </w:r>
          </w:p>
        </w:tc>
      </w:tr>
      <w:tr w:rsidR="00961617" w:rsidRPr="00545C7F" w14:paraId="25C1627D" w14:textId="77777777" w:rsidTr="0020771F">
        <w:tblPrEx>
          <w:shd w:val="clear" w:color="auto" w:fill="auto"/>
        </w:tblPrEx>
        <w:trPr>
          <w:trHeight w:hRule="exact" w:val="289"/>
        </w:trPr>
        <w:tc>
          <w:tcPr>
            <w:tcW w:w="1149" w:type="dxa"/>
            <w:shd w:val="clear" w:color="auto" w:fill="auto"/>
            <w:noWrap/>
            <w:vAlign w:val="center"/>
            <w:hideMark/>
          </w:tcPr>
          <w:p w14:paraId="0B2509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418" w:type="dxa"/>
            <w:shd w:val="clear" w:color="auto" w:fill="auto"/>
            <w:noWrap/>
            <w:vAlign w:val="center"/>
            <w:hideMark/>
          </w:tcPr>
          <w:p w14:paraId="26DE5D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1.93</w:t>
            </w:r>
          </w:p>
        </w:tc>
        <w:tc>
          <w:tcPr>
            <w:tcW w:w="1276" w:type="dxa"/>
            <w:shd w:val="clear" w:color="auto" w:fill="auto"/>
            <w:noWrap/>
            <w:vAlign w:val="center"/>
            <w:hideMark/>
          </w:tcPr>
          <w:p w14:paraId="3BB18E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0.98</w:t>
            </w:r>
          </w:p>
        </w:tc>
      </w:tr>
      <w:tr w:rsidR="00961617" w:rsidRPr="00545C7F" w14:paraId="04D4EA37"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06EC18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418" w:type="dxa"/>
            <w:shd w:val="clear" w:color="auto" w:fill="E5E5E5" w:themeFill="background1" w:themeFillTint="33"/>
            <w:noWrap/>
            <w:vAlign w:val="center"/>
            <w:hideMark/>
          </w:tcPr>
          <w:p w14:paraId="2A73A3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1.44</w:t>
            </w:r>
          </w:p>
        </w:tc>
        <w:tc>
          <w:tcPr>
            <w:tcW w:w="1276" w:type="dxa"/>
            <w:shd w:val="clear" w:color="auto" w:fill="E5E5E5" w:themeFill="background1" w:themeFillTint="33"/>
            <w:noWrap/>
            <w:vAlign w:val="center"/>
            <w:hideMark/>
          </w:tcPr>
          <w:p w14:paraId="314A27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1.47</w:t>
            </w:r>
          </w:p>
        </w:tc>
      </w:tr>
      <w:tr w:rsidR="00961617" w:rsidRPr="00545C7F" w14:paraId="0B4D34C7" w14:textId="77777777" w:rsidTr="0020771F">
        <w:tblPrEx>
          <w:shd w:val="clear" w:color="auto" w:fill="auto"/>
        </w:tblPrEx>
        <w:trPr>
          <w:trHeight w:hRule="exact" w:val="289"/>
        </w:trPr>
        <w:tc>
          <w:tcPr>
            <w:tcW w:w="1149" w:type="dxa"/>
            <w:shd w:val="clear" w:color="auto" w:fill="auto"/>
            <w:noWrap/>
            <w:vAlign w:val="center"/>
            <w:hideMark/>
          </w:tcPr>
          <w:p w14:paraId="7729E1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418" w:type="dxa"/>
            <w:shd w:val="clear" w:color="auto" w:fill="auto"/>
            <w:noWrap/>
            <w:vAlign w:val="center"/>
            <w:hideMark/>
          </w:tcPr>
          <w:p w14:paraId="1CC73F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1.10</w:t>
            </w:r>
          </w:p>
        </w:tc>
        <w:tc>
          <w:tcPr>
            <w:tcW w:w="1276" w:type="dxa"/>
            <w:shd w:val="clear" w:color="auto" w:fill="auto"/>
            <w:noWrap/>
            <w:vAlign w:val="center"/>
            <w:hideMark/>
          </w:tcPr>
          <w:p w14:paraId="22E376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1.58</w:t>
            </w:r>
          </w:p>
        </w:tc>
      </w:tr>
      <w:tr w:rsidR="00961617" w:rsidRPr="00545C7F" w14:paraId="685B5D09"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2BEE6C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418" w:type="dxa"/>
            <w:shd w:val="clear" w:color="auto" w:fill="E5E5E5" w:themeFill="background1" w:themeFillTint="33"/>
            <w:noWrap/>
            <w:vAlign w:val="center"/>
            <w:hideMark/>
          </w:tcPr>
          <w:p w14:paraId="74D536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0.94</w:t>
            </w:r>
          </w:p>
        </w:tc>
        <w:tc>
          <w:tcPr>
            <w:tcW w:w="1276" w:type="dxa"/>
            <w:shd w:val="clear" w:color="auto" w:fill="E5E5E5" w:themeFill="background1" w:themeFillTint="33"/>
            <w:noWrap/>
            <w:vAlign w:val="center"/>
            <w:hideMark/>
          </w:tcPr>
          <w:p w14:paraId="32A468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2.17</w:t>
            </w:r>
          </w:p>
        </w:tc>
      </w:tr>
      <w:tr w:rsidR="00961617" w:rsidRPr="00545C7F" w14:paraId="4DD5DBB4" w14:textId="77777777" w:rsidTr="0020771F">
        <w:tblPrEx>
          <w:shd w:val="clear" w:color="auto" w:fill="auto"/>
        </w:tblPrEx>
        <w:trPr>
          <w:trHeight w:hRule="exact" w:val="289"/>
        </w:trPr>
        <w:tc>
          <w:tcPr>
            <w:tcW w:w="1149" w:type="dxa"/>
            <w:shd w:val="clear" w:color="auto" w:fill="auto"/>
            <w:noWrap/>
            <w:vAlign w:val="center"/>
            <w:hideMark/>
          </w:tcPr>
          <w:p w14:paraId="140D20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418" w:type="dxa"/>
            <w:shd w:val="clear" w:color="auto" w:fill="auto"/>
            <w:noWrap/>
            <w:vAlign w:val="center"/>
            <w:hideMark/>
          </w:tcPr>
          <w:p w14:paraId="56B3F0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0.81</w:t>
            </w:r>
          </w:p>
        </w:tc>
        <w:tc>
          <w:tcPr>
            <w:tcW w:w="1276" w:type="dxa"/>
            <w:shd w:val="clear" w:color="auto" w:fill="auto"/>
            <w:noWrap/>
            <w:vAlign w:val="center"/>
            <w:hideMark/>
          </w:tcPr>
          <w:p w14:paraId="501843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3.25</w:t>
            </w:r>
          </w:p>
        </w:tc>
      </w:tr>
      <w:tr w:rsidR="00961617" w:rsidRPr="00545C7F" w14:paraId="01DE28F3"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205A77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418" w:type="dxa"/>
            <w:shd w:val="clear" w:color="auto" w:fill="E5E5E5" w:themeFill="background1" w:themeFillTint="33"/>
            <w:noWrap/>
            <w:vAlign w:val="center"/>
            <w:hideMark/>
          </w:tcPr>
          <w:p w14:paraId="49B03D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0.67</w:t>
            </w:r>
          </w:p>
        </w:tc>
        <w:tc>
          <w:tcPr>
            <w:tcW w:w="1276" w:type="dxa"/>
            <w:shd w:val="clear" w:color="auto" w:fill="E5E5E5" w:themeFill="background1" w:themeFillTint="33"/>
            <w:noWrap/>
            <w:vAlign w:val="center"/>
            <w:hideMark/>
          </w:tcPr>
          <w:p w14:paraId="0946F2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7.22</w:t>
            </w:r>
          </w:p>
        </w:tc>
      </w:tr>
      <w:tr w:rsidR="00961617" w:rsidRPr="00545C7F" w14:paraId="202FC67A" w14:textId="77777777" w:rsidTr="0020771F">
        <w:tblPrEx>
          <w:shd w:val="clear" w:color="auto" w:fill="auto"/>
        </w:tblPrEx>
        <w:trPr>
          <w:trHeight w:hRule="exact" w:val="289"/>
        </w:trPr>
        <w:tc>
          <w:tcPr>
            <w:tcW w:w="1149" w:type="dxa"/>
            <w:shd w:val="clear" w:color="auto" w:fill="auto"/>
            <w:noWrap/>
            <w:vAlign w:val="center"/>
            <w:hideMark/>
          </w:tcPr>
          <w:p w14:paraId="42D5B0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418" w:type="dxa"/>
            <w:shd w:val="clear" w:color="auto" w:fill="auto"/>
            <w:noWrap/>
            <w:vAlign w:val="center"/>
            <w:hideMark/>
          </w:tcPr>
          <w:p w14:paraId="1AEB3B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0.59</w:t>
            </w:r>
          </w:p>
        </w:tc>
        <w:tc>
          <w:tcPr>
            <w:tcW w:w="1276" w:type="dxa"/>
            <w:shd w:val="clear" w:color="auto" w:fill="auto"/>
            <w:noWrap/>
            <w:vAlign w:val="center"/>
            <w:hideMark/>
          </w:tcPr>
          <w:p w14:paraId="4D6113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15.32</w:t>
            </w:r>
          </w:p>
        </w:tc>
      </w:tr>
      <w:tr w:rsidR="00961617" w:rsidRPr="00545C7F" w14:paraId="79BFDD35"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63DDEF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418" w:type="dxa"/>
            <w:shd w:val="clear" w:color="auto" w:fill="E5E5E5" w:themeFill="background1" w:themeFillTint="33"/>
            <w:noWrap/>
            <w:vAlign w:val="center"/>
            <w:hideMark/>
          </w:tcPr>
          <w:p w14:paraId="544ABE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0.52</w:t>
            </w:r>
          </w:p>
        </w:tc>
        <w:tc>
          <w:tcPr>
            <w:tcW w:w="1276" w:type="dxa"/>
            <w:shd w:val="clear" w:color="auto" w:fill="E5E5E5" w:themeFill="background1" w:themeFillTint="33"/>
            <w:noWrap/>
            <w:vAlign w:val="center"/>
            <w:hideMark/>
          </w:tcPr>
          <w:p w14:paraId="526EA5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13.09</w:t>
            </w:r>
          </w:p>
        </w:tc>
      </w:tr>
      <w:tr w:rsidR="00961617" w:rsidRPr="00545C7F" w14:paraId="11961CBA" w14:textId="77777777" w:rsidTr="0020771F">
        <w:tblPrEx>
          <w:shd w:val="clear" w:color="auto" w:fill="auto"/>
        </w:tblPrEx>
        <w:trPr>
          <w:trHeight w:hRule="exact" w:val="289"/>
        </w:trPr>
        <w:tc>
          <w:tcPr>
            <w:tcW w:w="1149" w:type="dxa"/>
            <w:shd w:val="clear" w:color="auto" w:fill="auto"/>
            <w:noWrap/>
            <w:vAlign w:val="center"/>
            <w:hideMark/>
          </w:tcPr>
          <w:p w14:paraId="50963E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418" w:type="dxa"/>
            <w:shd w:val="clear" w:color="auto" w:fill="auto"/>
            <w:noWrap/>
            <w:vAlign w:val="center"/>
            <w:hideMark/>
          </w:tcPr>
          <w:p w14:paraId="2EE8A5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276" w:type="dxa"/>
            <w:shd w:val="clear" w:color="auto" w:fill="auto"/>
            <w:noWrap/>
            <w:vAlign w:val="center"/>
            <w:hideMark/>
          </w:tcPr>
          <w:p w14:paraId="2E1909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10.05</w:t>
            </w:r>
          </w:p>
        </w:tc>
      </w:tr>
      <w:tr w:rsidR="00961617" w:rsidRPr="00545C7F" w14:paraId="1A304E02"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46D8D9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418" w:type="dxa"/>
            <w:shd w:val="clear" w:color="auto" w:fill="E5E5E5" w:themeFill="background1" w:themeFillTint="33"/>
            <w:noWrap/>
            <w:vAlign w:val="center"/>
            <w:hideMark/>
          </w:tcPr>
          <w:p w14:paraId="0816F3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0.40</w:t>
            </w:r>
          </w:p>
        </w:tc>
        <w:tc>
          <w:tcPr>
            <w:tcW w:w="1276" w:type="dxa"/>
            <w:shd w:val="clear" w:color="auto" w:fill="E5E5E5" w:themeFill="background1" w:themeFillTint="33"/>
            <w:noWrap/>
            <w:vAlign w:val="center"/>
            <w:hideMark/>
          </w:tcPr>
          <w:p w14:paraId="738D98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7.52</w:t>
            </w:r>
          </w:p>
        </w:tc>
      </w:tr>
      <w:tr w:rsidR="00961617" w:rsidRPr="00545C7F" w14:paraId="6C76F59A" w14:textId="77777777" w:rsidTr="0020771F">
        <w:tblPrEx>
          <w:shd w:val="clear" w:color="auto" w:fill="auto"/>
        </w:tblPrEx>
        <w:trPr>
          <w:trHeight w:hRule="exact" w:val="289"/>
        </w:trPr>
        <w:tc>
          <w:tcPr>
            <w:tcW w:w="1149" w:type="dxa"/>
            <w:shd w:val="clear" w:color="auto" w:fill="auto"/>
            <w:noWrap/>
            <w:vAlign w:val="center"/>
            <w:hideMark/>
          </w:tcPr>
          <w:p w14:paraId="4A2D66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418" w:type="dxa"/>
            <w:shd w:val="clear" w:color="auto" w:fill="auto"/>
            <w:noWrap/>
            <w:vAlign w:val="center"/>
            <w:hideMark/>
          </w:tcPr>
          <w:p w14:paraId="4AB23F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0.31</w:t>
            </w:r>
          </w:p>
        </w:tc>
        <w:tc>
          <w:tcPr>
            <w:tcW w:w="1276" w:type="dxa"/>
            <w:shd w:val="clear" w:color="auto" w:fill="auto"/>
            <w:noWrap/>
            <w:vAlign w:val="center"/>
            <w:hideMark/>
          </w:tcPr>
          <w:p w14:paraId="332D50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5.21</w:t>
            </w:r>
          </w:p>
        </w:tc>
      </w:tr>
      <w:tr w:rsidR="00961617" w:rsidRPr="00545C7F" w14:paraId="7283E942"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2AB8F5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418" w:type="dxa"/>
            <w:shd w:val="clear" w:color="auto" w:fill="E5E5E5" w:themeFill="background1" w:themeFillTint="33"/>
            <w:noWrap/>
            <w:vAlign w:val="center"/>
            <w:hideMark/>
          </w:tcPr>
          <w:p w14:paraId="14AA5B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276" w:type="dxa"/>
            <w:shd w:val="clear" w:color="auto" w:fill="E5E5E5" w:themeFill="background1" w:themeFillTint="33"/>
            <w:noWrap/>
            <w:vAlign w:val="center"/>
            <w:hideMark/>
          </w:tcPr>
          <w:p w14:paraId="6680B3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3.70</w:t>
            </w:r>
          </w:p>
        </w:tc>
      </w:tr>
      <w:tr w:rsidR="00961617" w:rsidRPr="00545C7F" w14:paraId="4AC3FC6E" w14:textId="77777777" w:rsidTr="0020771F">
        <w:tblPrEx>
          <w:shd w:val="clear" w:color="auto" w:fill="auto"/>
        </w:tblPrEx>
        <w:trPr>
          <w:trHeight w:hRule="exact" w:val="289"/>
        </w:trPr>
        <w:tc>
          <w:tcPr>
            <w:tcW w:w="1149" w:type="dxa"/>
            <w:shd w:val="clear" w:color="auto" w:fill="auto"/>
            <w:noWrap/>
            <w:vAlign w:val="center"/>
            <w:hideMark/>
          </w:tcPr>
          <w:p w14:paraId="499878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418" w:type="dxa"/>
            <w:shd w:val="clear" w:color="auto" w:fill="auto"/>
            <w:noWrap/>
            <w:vAlign w:val="center"/>
            <w:hideMark/>
          </w:tcPr>
          <w:p w14:paraId="795278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shd w:val="clear" w:color="auto" w:fill="auto"/>
            <w:noWrap/>
            <w:vAlign w:val="center"/>
            <w:hideMark/>
          </w:tcPr>
          <w:p w14:paraId="6BDAFA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2.58</w:t>
            </w:r>
          </w:p>
        </w:tc>
      </w:tr>
      <w:tr w:rsidR="00961617" w:rsidRPr="00545C7F" w14:paraId="18AEFD45"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5BB7F3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418" w:type="dxa"/>
            <w:shd w:val="clear" w:color="auto" w:fill="E5E5E5" w:themeFill="background1" w:themeFillTint="33"/>
            <w:noWrap/>
            <w:vAlign w:val="center"/>
            <w:hideMark/>
          </w:tcPr>
          <w:p w14:paraId="3B1028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c>
          <w:tcPr>
            <w:tcW w:w="1276" w:type="dxa"/>
            <w:shd w:val="clear" w:color="auto" w:fill="E5E5E5" w:themeFill="background1" w:themeFillTint="33"/>
            <w:noWrap/>
            <w:vAlign w:val="center"/>
            <w:hideMark/>
          </w:tcPr>
          <w:p w14:paraId="75DF75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2.29</w:t>
            </w:r>
          </w:p>
        </w:tc>
      </w:tr>
      <w:tr w:rsidR="00961617" w:rsidRPr="00545C7F" w14:paraId="38E613C5" w14:textId="77777777" w:rsidTr="0020771F">
        <w:tblPrEx>
          <w:shd w:val="clear" w:color="auto" w:fill="auto"/>
        </w:tblPrEx>
        <w:trPr>
          <w:trHeight w:hRule="exact" w:val="289"/>
        </w:trPr>
        <w:tc>
          <w:tcPr>
            <w:tcW w:w="1149" w:type="dxa"/>
            <w:shd w:val="clear" w:color="auto" w:fill="auto"/>
            <w:noWrap/>
            <w:vAlign w:val="center"/>
            <w:hideMark/>
          </w:tcPr>
          <w:p w14:paraId="0C370A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418" w:type="dxa"/>
            <w:shd w:val="clear" w:color="auto" w:fill="auto"/>
            <w:noWrap/>
            <w:vAlign w:val="center"/>
            <w:hideMark/>
          </w:tcPr>
          <w:p w14:paraId="369F45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shd w:val="clear" w:color="auto" w:fill="auto"/>
            <w:noWrap/>
            <w:vAlign w:val="center"/>
            <w:hideMark/>
          </w:tcPr>
          <w:p w14:paraId="1733CA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1.73</w:t>
            </w:r>
          </w:p>
        </w:tc>
      </w:tr>
      <w:tr w:rsidR="00961617" w:rsidRPr="00545C7F" w14:paraId="26FBD8F1"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6D912D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418" w:type="dxa"/>
            <w:shd w:val="clear" w:color="auto" w:fill="E5E5E5" w:themeFill="background1" w:themeFillTint="33"/>
            <w:noWrap/>
            <w:vAlign w:val="center"/>
            <w:hideMark/>
          </w:tcPr>
          <w:p w14:paraId="7597FF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shd w:val="clear" w:color="auto" w:fill="E5E5E5" w:themeFill="background1" w:themeFillTint="33"/>
            <w:noWrap/>
            <w:vAlign w:val="center"/>
            <w:hideMark/>
          </w:tcPr>
          <w:p w14:paraId="633FF0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1.43</w:t>
            </w:r>
          </w:p>
        </w:tc>
      </w:tr>
      <w:tr w:rsidR="00961617" w:rsidRPr="00545C7F" w14:paraId="72ECDA57" w14:textId="77777777" w:rsidTr="0020771F">
        <w:tblPrEx>
          <w:shd w:val="clear" w:color="auto" w:fill="auto"/>
        </w:tblPrEx>
        <w:trPr>
          <w:trHeight w:hRule="exact" w:val="289"/>
        </w:trPr>
        <w:tc>
          <w:tcPr>
            <w:tcW w:w="1149" w:type="dxa"/>
            <w:shd w:val="clear" w:color="auto" w:fill="auto"/>
            <w:noWrap/>
            <w:vAlign w:val="center"/>
            <w:hideMark/>
          </w:tcPr>
          <w:p w14:paraId="26BE64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418" w:type="dxa"/>
            <w:shd w:val="clear" w:color="auto" w:fill="auto"/>
            <w:noWrap/>
            <w:vAlign w:val="center"/>
            <w:hideMark/>
          </w:tcPr>
          <w:p w14:paraId="7117D4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0.14</w:t>
            </w:r>
          </w:p>
        </w:tc>
        <w:tc>
          <w:tcPr>
            <w:tcW w:w="1276" w:type="dxa"/>
            <w:shd w:val="clear" w:color="auto" w:fill="auto"/>
            <w:noWrap/>
            <w:vAlign w:val="center"/>
            <w:hideMark/>
          </w:tcPr>
          <w:p w14:paraId="3A3734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1.17</w:t>
            </w:r>
          </w:p>
        </w:tc>
      </w:tr>
      <w:tr w:rsidR="00961617" w:rsidRPr="00545C7F" w14:paraId="2E5C5AD9"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038121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418" w:type="dxa"/>
            <w:shd w:val="clear" w:color="auto" w:fill="E5E5E5" w:themeFill="background1" w:themeFillTint="33"/>
            <w:noWrap/>
            <w:vAlign w:val="center"/>
            <w:hideMark/>
          </w:tcPr>
          <w:p w14:paraId="0BE993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c>
          <w:tcPr>
            <w:tcW w:w="1276" w:type="dxa"/>
            <w:shd w:val="clear" w:color="auto" w:fill="E5E5E5" w:themeFill="background1" w:themeFillTint="33"/>
            <w:noWrap/>
            <w:vAlign w:val="center"/>
            <w:hideMark/>
          </w:tcPr>
          <w:p w14:paraId="1AD311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r>
      <w:tr w:rsidR="00961617" w:rsidRPr="00545C7F" w14:paraId="090B04FE" w14:textId="77777777" w:rsidTr="0020771F">
        <w:tblPrEx>
          <w:shd w:val="clear" w:color="auto" w:fill="auto"/>
        </w:tblPrEx>
        <w:trPr>
          <w:trHeight w:hRule="exact" w:val="289"/>
        </w:trPr>
        <w:tc>
          <w:tcPr>
            <w:tcW w:w="1149" w:type="dxa"/>
            <w:shd w:val="clear" w:color="auto" w:fill="auto"/>
            <w:noWrap/>
            <w:vAlign w:val="center"/>
            <w:hideMark/>
          </w:tcPr>
          <w:p w14:paraId="281612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418" w:type="dxa"/>
            <w:shd w:val="clear" w:color="auto" w:fill="auto"/>
            <w:noWrap/>
            <w:vAlign w:val="center"/>
            <w:hideMark/>
          </w:tcPr>
          <w:p w14:paraId="71DDC4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c>
          <w:tcPr>
            <w:tcW w:w="1276" w:type="dxa"/>
            <w:shd w:val="clear" w:color="auto" w:fill="auto"/>
            <w:noWrap/>
            <w:vAlign w:val="center"/>
            <w:hideMark/>
          </w:tcPr>
          <w:p w14:paraId="63C49E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w:t>
            </w:r>
          </w:p>
        </w:tc>
      </w:tr>
      <w:tr w:rsidR="00961617" w:rsidRPr="00545C7F" w14:paraId="62ECE505"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06CB44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418" w:type="dxa"/>
            <w:shd w:val="clear" w:color="auto" w:fill="E5E5E5" w:themeFill="background1" w:themeFillTint="33"/>
            <w:noWrap/>
            <w:vAlign w:val="center"/>
            <w:hideMark/>
          </w:tcPr>
          <w:p w14:paraId="3F121C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w:t>
            </w:r>
          </w:p>
        </w:tc>
        <w:tc>
          <w:tcPr>
            <w:tcW w:w="1276" w:type="dxa"/>
            <w:shd w:val="clear" w:color="auto" w:fill="E5E5E5" w:themeFill="background1" w:themeFillTint="33"/>
            <w:noWrap/>
            <w:vAlign w:val="center"/>
            <w:hideMark/>
          </w:tcPr>
          <w:p w14:paraId="34D4CD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w:t>
            </w:r>
          </w:p>
        </w:tc>
      </w:tr>
      <w:tr w:rsidR="00961617" w:rsidRPr="00545C7F" w14:paraId="62488201" w14:textId="77777777" w:rsidTr="0020771F">
        <w:tblPrEx>
          <w:shd w:val="clear" w:color="auto" w:fill="auto"/>
        </w:tblPrEx>
        <w:trPr>
          <w:trHeight w:hRule="exact" w:val="289"/>
        </w:trPr>
        <w:tc>
          <w:tcPr>
            <w:tcW w:w="1149" w:type="dxa"/>
            <w:shd w:val="clear" w:color="auto" w:fill="auto"/>
            <w:noWrap/>
            <w:vAlign w:val="center"/>
            <w:hideMark/>
          </w:tcPr>
          <w:p w14:paraId="351AEE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418" w:type="dxa"/>
            <w:shd w:val="clear" w:color="auto" w:fill="auto"/>
            <w:noWrap/>
            <w:vAlign w:val="center"/>
            <w:hideMark/>
          </w:tcPr>
          <w:p w14:paraId="653E42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276" w:type="dxa"/>
            <w:shd w:val="clear" w:color="auto" w:fill="auto"/>
            <w:noWrap/>
            <w:vAlign w:val="center"/>
            <w:hideMark/>
          </w:tcPr>
          <w:p w14:paraId="2093D4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0.63</w:t>
            </w:r>
          </w:p>
        </w:tc>
      </w:tr>
      <w:tr w:rsidR="00961617" w:rsidRPr="00545C7F" w14:paraId="2801335B"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12B053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418" w:type="dxa"/>
            <w:shd w:val="clear" w:color="auto" w:fill="E5E5E5" w:themeFill="background1" w:themeFillTint="33"/>
            <w:noWrap/>
            <w:vAlign w:val="center"/>
            <w:hideMark/>
          </w:tcPr>
          <w:p w14:paraId="118422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276" w:type="dxa"/>
            <w:shd w:val="clear" w:color="auto" w:fill="E5E5E5" w:themeFill="background1" w:themeFillTint="33"/>
            <w:noWrap/>
            <w:vAlign w:val="center"/>
            <w:hideMark/>
          </w:tcPr>
          <w:p w14:paraId="1534DC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0.57</w:t>
            </w:r>
          </w:p>
        </w:tc>
      </w:tr>
      <w:tr w:rsidR="00961617" w:rsidRPr="00545C7F" w14:paraId="181CFC9B" w14:textId="77777777" w:rsidTr="0020771F">
        <w:tblPrEx>
          <w:shd w:val="clear" w:color="auto" w:fill="auto"/>
        </w:tblPrEx>
        <w:trPr>
          <w:trHeight w:hRule="exact" w:val="289"/>
        </w:trPr>
        <w:tc>
          <w:tcPr>
            <w:tcW w:w="1149" w:type="dxa"/>
            <w:shd w:val="clear" w:color="auto" w:fill="auto"/>
            <w:noWrap/>
            <w:vAlign w:val="center"/>
            <w:hideMark/>
          </w:tcPr>
          <w:p w14:paraId="511BF1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418" w:type="dxa"/>
            <w:shd w:val="clear" w:color="auto" w:fill="auto"/>
            <w:noWrap/>
            <w:vAlign w:val="center"/>
            <w:hideMark/>
          </w:tcPr>
          <w:p w14:paraId="3802A0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w:t>
            </w:r>
          </w:p>
        </w:tc>
        <w:tc>
          <w:tcPr>
            <w:tcW w:w="1276" w:type="dxa"/>
            <w:shd w:val="clear" w:color="auto" w:fill="auto"/>
            <w:noWrap/>
            <w:vAlign w:val="center"/>
            <w:hideMark/>
          </w:tcPr>
          <w:p w14:paraId="57D16B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0.49</w:t>
            </w:r>
          </w:p>
        </w:tc>
      </w:tr>
      <w:tr w:rsidR="00961617" w:rsidRPr="00545C7F" w14:paraId="6D31476B"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2B138C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418" w:type="dxa"/>
            <w:shd w:val="clear" w:color="auto" w:fill="E5E5E5" w:themeFill="background1" w:themeFillTint="33"/>
            <w:noWrap/>
            <w:vAlign w:val="center"/>
            <w:hideMark/>
          </w:tcPr>
          <w:p w14:paraId="280565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shd w:val="clear" w:color="auto" w:fill="E5E5E5" w:themeFill="background1" w:themeFillTint="33"/>
            <w:noWrap/>
            <w:vAlign w:val="center"/>
            <w:hideMark/>
          </w:tcPr>
          <w:p w14:paraId="720963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0.37</w:t>
            </w:r>
          </w:p>
        </w:tc>
      </w:tr>
      <w:tr w:rsidR="00961617" w:rsidRPr="00545C7F" w14:paraId="048F77B1" w14:textId="77777777" w:rsidTr="0020771F">
        <w:tblPrEx>
          <w:shd w:val="clear" w:color="auto" w:fill="auto"/>
        </w:tblPrEx>
        <w:trPr>
          <w:trHeight w:hRule="exact" w:val="289"/>
        </w:trPr>
        <w:tc>
          <w:tcPr>
            <w:tcW w:w="1149" w:type="dxa"/>
            <w:shd w:val="clear" w:color="auto" w:fill="auto"/>
            <w:noWrap/>
            <w:vAlign w:val="center"/>
            <w:hideMark/>
          </w:tcPr>
          <w:p w14:paraId="168DC4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418" w:type="dxa"/>
            <w:shd w:val="clear" w:color="auto" w:fill="auto"/>
            <w:noWrap/>
            <w:vAlign w:val="center"/>
            <w:hideMark/>
          </w:tcPr>
          <w:p w14:paraId="57B7C9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276" w:type="dxa"/>
            <w:shd w:val="clear" w:color="auto" w:fill="auto"/>
            <w:noWrap/>
            <w:vAlign w:val="center"/>
            <w:hideMark/>
          </w:tcPr>
          <w:p w14:paraId="40BBED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0.33</w:t>
            </w:r>
          </w:p>
        </w:tc>
      </w:tr>
      <w:tr w:rsidR="00961617" w:rsidRPr="00545C7F" w14:paraId="0ADCB01E"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0EEF6A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418" w:type="dxa"/>
            <w:shd w:val="clear" w:color="auto" w:fill="E5E5E5" w:themeFill="background1" w:themeFillTint="33"/>
            <w:noWrap/>
            <w:vAlign w:val="center"/>
            <w:hideMark/>
          </w:tcPr>
          <w:p w14:paraId="11DBB9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shd w:val="clear" w:color="auto" w:fill="E5E5E5" w:themeFill="background1" w:themeFillTint="33"/>
            <w:noWrap/>
            <w:vAlign w:val="center"/>
            <w:hideMark/>
          </w:tcPr>
          <w:p w14:paraId="356550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0.30</w:t>
            </w:r>
          </w:p>
        </w:tc>
      </w:tr>
      <w:tr w:rsidR="00961617" w:rsidRPr="00545C7F" w14:paraId="25D9FA1D" w14:textId="77777777" w:rsidTr="0020771F">
        <w:tblPrEx>
          <w:shd w:val="clear" w:color="auto" w:fill="auto"/>
        </w:tblPrEx>
        <w:trPr>
          <w:trHeight w:hRule="exact" w:val="289"/>
        </w:trPr>
        <w:tc>
          <w:tcPr>
            <w:tcW w:w="1149" w:type="dxa"/>
            <w:shd w:val="clear" w:color="auto" w:fill="auto"/>
            <w:noWrap/>
            <w:vAlign w:val="center"/>
            <w:hideMark/>
          </w:tcPr>
          <w:p w14:paraId="4F5D23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418" w:type="dxa"/>
            <w:shd w:val="clear" w:color="auto" w:fill="auto"/>
            <w:noWrap/>
            <w:vAlign w:val="center"/>
            <w:hideMark/>
          </w:tcPr>
          <w:p w14:paraId="4321EC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276" w:type="dxa"/>
            <w:shd w:val="clear" w:color="auto" w:fill="auto"/>
            <w:noWrap/>
            <w:vAlign w:val="center"/>
            <w:hideMark/>
          </w:tcPr>
          <w:p w14:paraId="0788CA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0.28</w:t>
            </w:r>
          </w:p>
        </w:tc>
      </w:tr>
      <w:tr w:rsidR="00961617" w:rsidRPr="00545C7F" w14:paraId="79FB6747"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365CEE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418" w:type="dxa"/>
            <w:shd w:val="clear" w:color="auto" w:fill="E5E5E5" w:themeFill="background1" w:themeFillTint="33"/>
            <w:noWrap/>
            <w:vAlign w:val="center"/>
            <w:hideMark/>
          </w:tcPr>
          <w:p w14:paraId="2644AD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w:t>
            </w:r>
          </w:p>
        </w:tc>
        <w:tc>
          <w:tcPr>
            <w:tcW w:w="1276" w:type="dxa"/>
            <w:shd w:val="clear" w:color="auto" w:fill="E5E5E5" w:themeFill="background1" w:themeFillTint="33"/>
            <w:noWrap/>
            <w:vAlign w:val="center"/>
            <w:hideMark/>
          </w:tcPr>
          <w:p w14:paraId="33C725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r>
      <w:tr w:rsidR="00961617" w:rsidRPr="00545C7F" w14:paraId="6D584C59" w14:textId="77777777" w:rsidTr="0020771F">
        <w:tblPrEx>
          <w:shd w:val="clear" w:color="auto" w:fill="auto"/>
        </w:tblPrEx>
        <w:trPr>
          <w:trHeight w:hRule="exact" w:val="289"/>
        </w:trPr>
        <w:tc>
          <w:tcPr>
            <w:tcW w:w="1149" w:type="dxa"/>
            <w:shd w:val="clear" w:color="auto" w:fill="auto"/>
            <w:noWrap/>
            <w:vAlign w:val="center"/>
            <w:hideMark/>
          </w:tcPr>
          <w:p w14:paraId="3CB60E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418" w:type="dxa"/>
            <w:shd w:val="clear" w:color="auto" w:fill="auto"/>
            <w:noWrap/>
            <w:vAlign w:val="center"/>
            <w:hideMark/>
          </w:tcPr>
          <w:p w14:paraId="2F4A7F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w:t>
            </w:r>
          </w:p>
        </w:tc>
        <w:tc>
          <w:tcPr>
            <w:tcW w:w="1276" w:type="dxa"/>
            <w:shd w:val="clear" w:color="auto" w:fill="auto"/>
            <w:noWrap/>
            <w:vAlign w:val="center"/>
            <w:hideMark/>
          </w:tcPr>
          <w:p w14:paraId="581309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r>
      <w:tr w:rsidR="00961617" w:rsidRPr="00545C7F" w14:paraId="20568B0B" w14:textId="77777777" w:rsidTr="0020771F">
        <w:tblPrEx>
          <w:shd w:val="clear" w:color="auto" w:fill="auto"/>
        </w:tblPrEx>
        <w:trPr>
          <w:trHeight w:hRule="exact" w:val="289"/>
        </w:trPr>
        <w:tc>
          <w:tcPr>
            <w:tcW w:w="1149" w:type="dxa"/>
            <w:shd w:val="clear" w:color="auto" w:fill="E5E5E5" w:themeFill="background1" w:themeFillTint="33"/>
            <w:noWrap/>
            <w:vAlign w:val="center"/>
            <w:hideMark/>
          </w:tcPr>
          <w:p w14:paraId="6F75E4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418" w:type="dxa"/>
            <w:shd w:val="clear" w:color="auto" w:fill="E5E5E5" w:themeFill="background1" w:themeFillTint="33"/>
            <w:noWrap/>
            <w:vAlign w:val="center"/>
            <w:hideMark/>
          </w:tcPr>
          <w:p w14:paraId="18D83B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w:t>
            </w:r>
          </w:p>
        </w:tc>
        <w:tc>
          <w:tcPr>
            <w:tcW w:w="1276" w:type="dxa"/>
            <w:shd w:val="clear" w:color="auto" w:fill="E5E5E5" w:themeFill="background1" w:themeFillTint="33"/>
            <w:noWrap/>
            <w:vAlign w:val="center"/>
            <w:hideMark/>
          </w:tcPr>
          <w:p w14:paraId="3A606D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r>
      <w:tr w:rsidR="00961617" w:rsidRPr="00545C7F" w14:paraId="3A26FFA0" w14:textId="77777777" w:rsidTr="0020771F">
        <w:tblPrEx>
          <w:shd w:val="clear" w:color="auto" w:fill="auto"/>
        </w:tblPrEx>
        <w:trPr>
          <w:trHeight w:hRule="exact" w:val="289"/>
        </w:trPr>
        <w:tc>
          <w:tcPr>
            <w:tcW w:w="1149" w:type="dxa"/>
            <w:shd w:val="clear" w:color="auto" w:fill="auto"/>
            <w:noWrap/>
            <w:vAlign w:val="center"/>
            <w:hideMark/>
          </w:tcPr>
          <w:p w14:paraId="3320E4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418" w:type="dxa"/>
            <w:shd w:val="clear" w:color="auto" w:fill="auto"/>
            <w:noWrap/>
            <w:vAlign w:val="center"/>
            <w:hideMark/>
          </w:tcPr>
          <w:p w14:paraId="0FFA96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w:t>
            </w:r>
          </w:p>
        </w:tc>
        <w:tc>
          <w:tcPr>
            <w:tcW w:w="1276" w:type="dxa"/>
            <w:shd w:val="clear" w:color="auto" w:fill="auto"/>
            <w:noWrap/>
            <w:vAlign w:val="center"/>
            <w:hideMark/>
          </w:tcPr>
          <w:p w14:paraId="1B5F82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w:t>
            </w:r>
          </w:p>
        </w:tc>
      </w:tr>
      <w:tr w:rsidR="00961617" w:rsidRPr="00545C7F" w14:paraId="78196790" w14:textId="77777777" w:rsidTr="0020771F">
        <w:tblPrEx>
          <w:shd w:val="clear" w:color="auto" w:fill="auto"/>
        </w:tblPrEx>
        <w:trPr>
          <w:trHeight w:hRule="exact" w:val="289"/>
        </w:trPr>
        <w:tc>
          <w:tcPr>
            <w:tcW w:w="1149" w:type="dxa"/>
            <w:tcBorders>
              <w:bottom w:val="single" w:sz="4" w:space="0" w:color="auto"/>
            </w:tcBorders>
            <w:shd w:val="clear" w:color="auto" w:fill="E5E5E5" w:themeFill="background1" w:themeFillTint="33"/>
            <w:noWrap/>
            <w:vAlign w:val="center"/>
            <w:hideMark/>
          </w:tcPr>
          <w:p w14:paraId="05295F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418" w:type="dxa"/>
            <w:tcBorders>
              <w:bottom w:val="single" w:sz="4" w:space="0" w:color="auto"/>
            </w:tcBorders>
            <w:shd w:val="clear" w:color="auto" w:fill="E5E5E5" w:themeFill="background1" w:themeFillTint="33"/>
            <w:noWrap/>
            <w:vAlign w:val="center"/>
            <w:hideMark/>
          </w:tcPr>
          <w:p w14:paraId="1F4A9B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w:t>
            </w:r>
          </w:p>
        </w:tc>
        <w:tc>
          <w:tcPr>
            <w:tcW w:w="1276" w:type="dxa"/>
            <w:tcBorders>
              <w:bottom w:val="single" w:sz="4" w:space="0" w:color="auto"/>
            </w:tcBorders>
            <w:shd w:val="clear" w:color="auto" w:fill="E5E5E5" w:themeFill="background1" w:themeFillTint="33"/>
            <w:noWrap/>
            <w:vAlign w:val="center"/>
            <w:hideMark/>
          </w:tcPr>
          <w:p w14:paraId="0C3C15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0.11</w:t>
            </w:r>
          </w:p>
        </w:tc>
      </w:tr>
    </w:tbl>
    <w:p w14:paraId="01A702F7" w14:textId="77777777" w:rsidR="00961617" w:rsidRPr="002F5864" w:rsidRDefault="00961617" w:rsidP="00E13B5E">
      <w:pPr>
        <w:pStyle w:val="Notes"/>
      </w:pPr>
      <w:r w:rsidRPr="00E13B5E">
        <w:rPr>
          <w:b/>
        </w:rPr>
        <w:t>Notes</w:t>
      </w:r>
      <w:r w:rsidRPr="002F5864">
        <w:t xml:space="preserve">: </w:t>
      </w:r>
    </w:p>
    <w:p w14:paraId="7F2976BF" w14:textId="77777777" w:rsidR="00961617" w:rsidRPr="00AE501D" w:rsidRDefault="00961617" w:rsidP="00AE501D">
      <w:pPr>
        <w:pStyle w:val="Notesnumbered"/>
        <w:numPr>
          <w:ilvl w:val="0"/>
          <w:numId w:val="266"/>
        </w:numPr>
      </w:pPr>
      <w:r w:rsidRPr="00AE501D">
        <w:t>Excludes those job seekers that did not have Skills Assessment.</w:t>
      </w:r>
    </w:p>
    <w:p w14:paraId="74BD865B" w14:textId="77777777" w:rsidR="00961617" w:rsidRPr="002F5864" w:rsidRDefault="00961617" w:rsidP="00AE501D">
      <w:pPr>
        <w:pStyle w:val="Notesnumbered"/>
        <w:numPr>
          <w:ilvl w:val="0"/>
          <w:numId w:val="266"/>
        </w:numPr>
      </w:pPr>
      <w:r w:rsidRPr="00AE501D">
        <w:t>Weeks in s</w:t>
      </w:r>
      <w:r w:rsidRPr="002F5864">
        <w:t>ervice excludes periods during which the job seeker was suspended from service or took allowable breaks.</w:t>
      </w:r>
    </w:p>
    <w:p w14:paraId="25D837F0" w14:textId="77777777" w:rsidR="00961617" w:rsidRPr="002F5864" w:rsidRDefault="00961617" w:rsidP="00E13B5E">
      <w:pPr>
        <w:pStyle w:val="Source"/>
      </w:pPr>
      <w:r w:rsidRPr="002F5864">
        <w:rPr>
          <w:b/>
        </w:rPr>
        <w:t>Source:</w:t>
      </w:r>
      <w:r w:rsidRPr="002F5864">
        <w:t xml:space="preserve"> Department of Employment administrative data.</w:t>
      </w:r>
    </w:p>
    <w:p w14:paraId="72E6B4CC" w14:textId="77777777" w:rsidR="00961617" w:rsidRPr="002F5864" w:rsidRDefault="00864C5E" w:rsidP="00961617">
      <w:pPr>
        <w:spacing w:before="120" w:after="240"/>
        <w:rPr>
          <w:rFonts w:cstheme="minorHAnsi"/>
        </w:rPr>
        <w:sectPr w:rsidR="00961617" w:rsidRPr="002F5864" w:rsidSect="00861BD8">
          <w:pgSz w:w="11906" w:h="16838" w:code="9"/>
          <w:pgMar w:top="1440" w:right="1440" w:bottom="1440" w:left="1440" w:header="709" w:footer="284" w:gutter="0"/>
          <w:cols w:space="708"/>
          <w:docGrid w:linePitch="360"/>
        </w:sectPr>
      </w:pPr>
      <w:hyperlink w:anchor="Place_A218" w:history="1">
        <w:r w:rsidR="00961617" w:rsidRPr="005F1335">
          <w:rPr>
            <w:rStyle w:val="Hyperlink"/>
            <w:rFonts w:cstheme="minorHAnsi"/>
            <w:sz w:val="18"/>
            <w:szCs w:val="18"/>
          </w:rPr>
          <w:t>Return to Figure 4.2</w:t>
        </w:r>
      </w:hyperlink>
      <w:r w:rsidR="00961617" w:rsidRPr="002F5864">
        <w:rPr>
          <w:rFonts w:cstheme="minorHAnsi"/>
          <w:sz w:val="18"/>
          <w:szCs w:val="18"/>
        </w:rPr>
        <w:t xml:space="preserve"> where this data is referenced.</w:t>
      </w:r>
    </w:p>
    <w:p w14:paraId="17B2E24F" w14:textId="77777777" w:rsidR="00961617" w:rsidRPr="002F5864" w:rsidRDefault="00961617" w:rsidP="00961617">
      <w:pPr>
        <w:pStyle w:val="TableheadingforappendixA1"/>
        <w:rPr>
          <w:rFonts w:cstheme="minorHAnsi"/>
        </w:rPr>
      </w:pPr>
      <w:bookmarkStart w:id="664" w:name="_Toc513129912"/>
      <w:r w:rsidRPr="002F5864">
        <w:rPr>
          <w:rFonts w:cstheme="minorHAnsi"/>
        </w:rPr>
        <w:t>Table A2.19: Comparison of employment, education and positive outcomes for the two Stream 1 servicing study populations (per cent)</w:t>
      </w:r>
      <w:bookmarkEnd w:id="657"/>
      <w:bookmarkEnd w:id="658"/>
      <w:bookmarkEnd w:id="659"/>
      <w:bookmarkEnd w:id="664"/>
    </w:p>
    <w:tbl>
      <w:tblPr>
        <w:tblW w:w="12211" w:type="dxa"/>
        <w:jc w:val="center"/>
        <w:tblLayout w:type="fixed"/>
        <w:tblLook w:val="04A0" w:firstRow="1" w:lastRow="0" w:firstColumn="1" w:lastColumn="0" w:noHBand="0" w:noVBand="1"/>
      </w:tblPr>
      <w:tblGrid>
        <w:gridCol w:w="4472"/>
        <w:gridCol w:w="1289"/>
        <w:gridCol w:w="1290"/>
        <w:gridCol w:w="1290"/>
        <w:gridCol w:w="1290"/>
        <w:gridCol w:w="1290"/>
        <w:gridCol w:w="1290"/>
      </w:tblGrid>
      <w:tr w:rsidR="00961617" w:rsidRPr="00545C7F" w14:paraId="41CCD8E2" w14:textId="77777777" w:rsidTr="0020771F">
        <w:trPr>
          <w:trHeight w:val="713"/>
          <w:tblHeader/>
          <w:jc w:val="center"/>
        </w:trPr>
        <w:tc>
          <w:tcPr>
            <w:tcW w:w="4472" w:type="dxa"/>
            <w:tcBorders>
              <w:left w:val="nil"/>
              <w:right w:val="nil"/>
            </w:tcBorders>
            <w:shd w:val="clear" w:color="auto" w:fill="1E3D6B"/>
            <w:vAlign w:val="center"/>
            <w:hideMark/>
          </w:tcPr>
          <w:p w14:paraId="44A0AF44" w14:textId="77777777" w:rsidR="00961617" w:rsidRPr="00545C7F" w:rsidRDefault="00961617" w:rsidP="0020771F">
            <w:pPr>
              <w:spacing w:after="0"/>
              <w:rPr>
                <w:rFonts w:cstheme="minorHAnsi"/>
                <w:b/>
                <w:color w:val="FFFFFF" w:themeColor="background2"/>
                <w:sz w:val="20"/>
                <w:szCs w:val="20"/>
              </w:rPr>
            </w:pPr>
            <w:bookmarkStart w:id="665" w:name="Title_A219"/>
            <w:bookmarkEnd w:id="665"/>
            <w:r w:rsidRPr="00545C7F">
              <w:rPr>
                <w:rFonts w:cstheme="minorHAnsi"/>
                <w:b/>
                <w:color w:val="FFFFFF" w:themeColor="background2"/>
                <w:sz w:val="20"/>
                <w:szCs w:val="20"/>
              </w:rPr>
              <w:t>Characteristics</w:t>
            </w:r>
          </w:p>
        </w:tc>
        <w:tc>
          <w:tcPr>
            <w:tcW w:w="1289" w:type="dxa"/>
            <w:tcBorders>
              <w:left w:val="nil"/>
              <w:right w:val="nil"/>
            </w:tcBorders>
            <w:shd w:val="clear" w:color="auto" w:fill="1E3D6B"/>
            <w:noWrap/>
            <w:vAlign w:val="center"/>
            <w:hideMark/>
          </w:tcPr>
          <w:p w14:paraId="637090E1"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JSA 2009</w:t>
            </w:r>
            <w:r w:rsidRPr="00545C7F">
              <w:rPr>
                <w:rFonts w:cstheme="minorHAnsi"/>
                <w:b/>
                <w:color w:val="FFFFFF" w:themeColor="background2"/>
                <w:sz w:val="20"/>
                <w:szCs w:val="20"/>
              </w:rPr>
              <w:br/>
              <w:t>Employment</w:t>
            </w:r>
          </w:p>
        </w:tc>
        <w:tc>
          <w:tcPr>
            <w:tcW w:w="1290" w:type="dxa"/>
            <w:tcBorders>
              <w:left w:val="nil"/>
              <w:right w:val="nil"/>
            </w:tcBorders>
            <w:shd w:val="clear" w:color="auto" w:fill="1E3D6B"/>
            <w:noWrap/>
            <w:vAlign w:val="center"/>
            <w:hideMark/>
          </w:tcPr>
          <w:p w14:paraId="7072E505"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JSA 2009</w:t>
            </w:r>
            <w:r w:rsidRPr="00545C7F">
              <w:rPr>
                <w:rFonts w:cstheme="minorHAnsi"/>
                <w:b/>
                <w:color w:val="FFFFFF" w:themeColor="background2"/>
                <w:sz w:val="20"/>
                <w:szCs w:val="20"/>
              </w:rPr>
              <w:br/>
              <w:t>Education</w:t>
            </w:r>
          </w:p>
        </w:tc>
        <w:tc>
          <w:tcPr>
            <w:tcW w:w="1290" w:type="dxa"/>
            <w:tcBorders>
              <w:left w:val="nil"/>
              <w:right w:val="nil"/>
            </w:tcBorders>
            <w:shd w:val="clear" w:color="auto" w:fill="1E3D6B"/>
            <w:noWrap/>
            <w:vAlign w:val="center"/>
            <w:hideMark/>
          </w:tcPr>
          <w:p w14:paraId="02C8F67E"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JSA 2012</w:t>
            </w:r>
            <w:r w:rsidRPr="00545C7F">
              <w:rPr>
                <w:rFonts w:cstheme="minorHAnsi"/>
                <w:b/>
                <w:color w:val="FFFFFF" w:themeColor="background2"/>
                <w:sz w:val="20"/>
                <w:szCs w:val="20"/>
              </w:rPr>
              <w:br/>
              <w:t>Employment</w:t>
            </w:r>
          </w:p>
        </w:tc>
        <w:tc>
          <w:tcPr>
            <w:tcW w:w="1290" w:type="dxa"/>
            <w:tcBorders>
              <w:left w:val="nil"/>
              <w:right w:val="nil"/>
            </w:tcBorders>
            <w:shd w:val="clear" w:color="auto" w:fill="1E3D6B"/>
            <w:noWrap/>
            <w:vAlign w:val="center"/>
            <w:hideMark/>
          </w:tcPr>
          <w:p w14:paraId="72A4F50B"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JSA 2012</w:t>
            </w:r>
            <w:r w:rsidRPr="00545C7F">
              <w:rPr>
                <w:rFonts w:cstheme="minorHAnsi"/>
                <w:b/>
                <w:color w:val="FFFFFF" w:themeColor="background2"/>
                <w:sz w:val="20"/>
                <w:szCs w:val="20"/>
              </w:rPr>
              <w:br/>
              <w:t>Education</w:t>
            </w:r>
          </w:p>
        </w:tc>
        <w:tc>
          <w:tcPr>
            <w:tcW w:w="1290" w:type="dxa"/>
            <w:tcBorders>
              <w:left w:val="nil"/>
              <w:right w:val="nil"/>
            </w:tcBorders>
            <w:shd w:val="clear" w:color="auto" w:fill="1E3D6B"/>
            <w:noWrap/>
            <w:vAlign w:val="center"/>
            <w:hideMark/>
          </w:tcPr>
          <w:p w14:paraId="3D59ACD2"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Difference</w:t>
            </w:r>
            <w:r w:rsidRPr="00545C7F">
              <w:rPr>
                <w:rFonts w:cstheme="minorHAnsi"/>
                <w:b/>
                <w:color w:val="FFFFFF" w:themeColor="background2"/>
                <w:sz w:val="20"/>
                <w:szCs w:val="20"/>
              </w:rPr>
              <w:br/>
              <w:t>Employment</w:t>
            </w:r>
          </w:p>
        </w:tc>
        <w:tc>
          <w:tcPr>
            <w:tcW w:w="1290" w:type="dxa"/>
            <w:tcBorders>
              <w:left w:val="nil"/>
              <w:right w:val="nil"/>
            </w:tcBorders>
            <w:shd w:val="clear" w:color="auto" w:fill="1E3D6B"/>
            <w:noWrap/>
            <w:vAlign w:val="center"/>
            <w:hideMark/>
          </w:tcPr>
          <w:p w14:paraId="3447CE94" w14:textId="77777777" w:rsidR="00961617" w:rsidRPr="00545C7F" w:rsidRDefault="00961617" w:rsidP="0020771F">
            <w:pPr>
              <w:spacing w:after="0"/>
              <w:jc w:val="center"/>
              <w:rPr>
                <w:rFonts w:cstheme="minorHAnsi"/>
                <w:b/>
                <w:color w:val="FFFFFF" w:themeColor="background2"/>
                <w:sz w:val="20"/>
                <w:szCs w:val="20"/>
              </w:rPr>
            </w:pPr>
            <w:r w:rsidRPr="00545C7F">
              <w:rPr>
                <w:rFonts w:cstheme="minorHAnsi"/>
                <w:b/>
                <w:color w:val="FFFFFF" w:themeColor="background2"/>
                <w:sz w:val="20"/>
                <w:szCs w:val="20"/>
              </w:rPr>
              <w:t>Difference</w:t>
            </w:r>
            <w:r w:rsidRPr="00545C7F">
              <w:rPr>
                <w:rFonts w:cstheme="minorHAnsi"/>
                <w:b/>
                <w:color w:val="FFFFFF" w:themeColor="background2"/>
                <w:sz w:val="20"/>
                <w:szCs w:val="20"/>
              </w:rPr>
              <w:br/>
              <w:t>Education</w:t>
            </w:r>
          </w:p>
        </w:tc>
      </w:tr>
      <w:tr w:rsidR="00961617" w:rsidRPr="00545C7F" w14:paraId="02843504" w14:textId="77777777" w:rsidTr="0020771F">
        <w:trPr>
          <w:trHeight w:hRule="exact" w:val="510"/>
          <w:jc w:val="center"/>
        </w:trPr>
        <w:tc>
          <w:tcPr>
            <w:tcW w:w="4472" w:type="dxa"/>
            <w:tcBorders>
              <w:left w:val="nil"/>
              <w:bottom w:val="nil"/>
              <w:right w:val="nil"/>
            </w:tcBorders>
            <w:shd w:val="clear" w:color="auto" w:fill="FFFFFF" w:themeFill="background2"/>
            <w:vAlign w:val="center"/>
            <w:hideMark/>
          </w:tcPr>
          <w:p w14:paraId="6AA93D20" w14:textId="77777777" w:rsidR="00961617" w:rsidRPr="00545C7F" w:rsidRDefault="00961617" w:rsidP="0020771F">
            <w:pPr>
              <w:spacing w:after="0"/>
              <w:rPr>
                <w:rFonts w:cstheme="minorHAnsi"/>
                <w:sz w:val="20"/>
                <w:szCs w:val="20"/>
              </w:rPr>
            </w:pPr>
            <w:r w:rsidRPr="00545C7F">
              <w:rPr>
                <w:rFonts w:cstheme="minorHAnsi"/>
                <w:sz w:val="20"/>
                <w:szCs w:val="20"/>
              </w:rPr>
              <w:t>Males, under 21 years</w:t>
            </w:r>
          </w:p>
        </w:tc>
        <w:tc>
          <w:tcPr>
            <w:tcW w:w="1289" w:type="dxa"/>
            <w:tcBorders>
              <w:left w:val="nil"/>
              <w:bottom w:val="nil"/>
              <w:right w:val="nil"/>
            </w:tcBorders>
            <w:shd w:val="clear" w:color="auto" w:fill="FFFFFF" w:themeFill="background2"/>
            <w:noWrap/>
            <w:vAlign w:val="center"/>
            <w:hideMark/>
          </w:tcPr>
          <w:p w14:paraId="799AEB75"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70.8</w:t>
            </w:r>
          </w:p>
        </w:tc>
        <w:tc>
          <w:tcPr>
            <w:tcW w:w="1290" w:type="dxa"/>
            <w:tcBorders>
              <w:left w:val="nil"/>
              <w:bottom w:val="nil"/>
              <w:right w:val="nil"/>
            </w:tcBorders>
            <w:shd w:val="clear" w:color="auto" w:fill="FFFFFF" w:themeFill="background2"/>
            <w:noWrap/>
            <w:vAlign w:val="center"/>
            <w:hideMark/>
          </w:tcPr>
          <w:p w14:paraId="4747EAD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37.0</w:t>
            </w:r>
          </w:p>
        </w:tc>
        <w:tc>
          <w:tcPr>
            <w:tcW w:w="1290" w:type="dxa"/>
            <w:tcBorders>
              <w:left w:val="nil"/>
              <w:bottom w:val="nil"/>
              <w:right w:val="nil"/>
            </w:tcBorders>
            <w:shd w:val="clear" w:color="auto" w:fill="FFFFFF" w:themeFill="background2"/>
            <w:noWrap/>
            <w:vAlign w:val="center"/>
            <w:hideMark/>
          </w:tcPr>
          <w:p w14:paraId="2D09971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57.5</w:t>
            </w:r>
          </w:p>
        </w:tc>
        <w:tc>
          <w:tcPr>
            <w:tcW w:w="1290" w:type="dxa"/>
            <w:tcBorders>
              <w:left w:val="nil"/>
              <w:bottom w:val="nil"/>
              <w:right w:val="nil"/>
            </w:tcBorders>
            <w:shd w:val="clear" w:color="auto" w:fill="FFFFFF" w:themeFill="background2"/>
            <w:noWrap/>
            <w:vAlign w:val="center"/>
            <w:hideMark/>
          </w:tcPr>
          <w:p w14:paraId="63F55A4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46.5</w:t>
            </w:r>
          </w:p>
        </w:tc>
        <w:tc>
          <w:tcPr>
            <w:tcW w:w="1290" w:type="dxa"/>
            <w:tcBorders>
              <w:left w:val="nil"/>
              <w:bottom w:val="nil"/>
              <w:right w:val="nil"/>
            </w:tcBorders>
            <w:shd w:val="clear" w:color="auto" w:fill="FFFFFF" w:themeFill="background2"/>
            <w:noWrap/>
            <w:vAlign w:val="center"/>
            <w:hideMark/>
          </w:tcPr>
          <w:p w14:paraId="5694BC8B"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-13.3</w:t>
            </w:r>
          </w:p>
        </w:tc>
        <w:tc>
          <w:tcPr>
            <w:tcW w:w="1290" w:type="dxa"/>
            <w:tcBorders>
              <w:left w:val="nil"/>
              <w:bottom w:val="nil"/>
              <w:right w:val="nil"/>
            </w:tcBorders>
            <w:shd w:val="clear" w:color="auto" w:fill="FFFFFF" w:themeFill="background2"/>
            <w:noWrap/>
            <w:vAlign w:val="center"/>
            <w:hideMark/>
          </w:tcPr>
          <w:p w14:paraId="2311F22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9.5</w:t>
            </w:r>
          </w:p>
        </w:tc>
      </w:tr>
      <w:tr w:rsidR="00961617" w:rsidRPr="00545C7F" w14:paraId="30C6CD20"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24F28251" w14:textId="77777777" w:rsidR="00961617" w:rsidRPr="00545C7F" w:rsidRDefault="00961617" w:rsidP="0020771F">
            <w:pPr>
              <w:spacing w:after="0"/>
              <w:rPr>
                <w:rFonts w:cstheme="minorHAnsi"/>
                <w:sz w:val="20"/>
                <w:szCs w:val="20"/>
              </w:rPr>
            </w:pPr>
            <w:r w:rsidRPr="00545C7F">
              <w:rPr>
                <w:rFonts w:cstheme="minorHAnsi"/>
                <w:sz w:val="20"/>
                <w:szCs w:val="20"/>
              </w:rPr>
              <w:t>Males, 21-24 years</w:t>
            </w:r>
          </w:p>
        </w:tc>
        <w:tc>
          <w:tcPr>
            <w:tcW w:w="1289" w:type="dxa"/>
            <w:tcBorders>
              <w:top w:val="nil"/>
              <w:left w:val="nil"/>
              <w:bottom w:val="nil"/>
              <w:right w:val="nil"/>
            </w:tcBorders>
            <w:shd w:val="clear" w:color="auto" w:fill="E5E5E5" w:themeFill="background1" w:themeFillTint="33"/>
            <w:noWrap/>
            <w:vAlign w:val="center"/>
            <w:hideMark/>
          </w:tcPr>
          <w:p w14:paraId="067E292F"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80.1</w:t>
            </w:r>
          </w:p>
        </w:tc>
        <w:tc>
          <w:tcPr>
            <w:tcW w:w="1290" w:type="dxa"/>
            <w:tcBorders>
              <w:top w:val="nil"/>
              <w:left w:val="nil"/>
              <w:bottom w:val="nil"/>
              <w:right w:val="nil"/>
            </w:tcBorders>
            <w:shd w:val="clear" w:color="auto" w:fill="E5E5E5" w:themeFill="background1" w:themeFillTint="33"/>
            <w:noWrap/>
            <w:vAlign w:val="center"/>
            <w:hideMark/>
          </w:tcPr>
          <w:p w14:paraId="30FEACB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21.3</w:t>
            </w:r>
          </w:p>
        </w:tc>
        <w:tc>
          <w:tcPr>
            <w:tcW w:w="1290" w:type="dxa"/>
            <w:tcBorders>
              <w:top w:val="nil"/>
              <w:left w:val="nil"/>
              <w:bottom w:val="nil"/>
              <w:right w:val="nil"/>
            </w:tcBorders>
            <w:shd w:val="clear" w:color="auto" w:fill="E5E5E5" w:themeFill="background1" w:themeFillTint="33"/>
            <w:noWrap/>
            <w:vAlign w:val="center"/>
            <w:hideMark/>
          </w:tcPr>
          <w:p w14:paraId="3533DA1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70.2</w:t>
            </w:r>
          </w:p>
        </w:tc>
        <w:tc>
          <w:tcPr>
            <w:tcW w:w="1290" w:type="dxa"/>
            <w:tcBorders>
              <w:top w:val="nil"/>
              <w:left w:val="nil"/>
              <w:bottom w:val="nil"/>
              <w:right w:val="nil"/>
            </w:tcBorders>
            <w:shd w:val="clear" w:color="auto" w:fill="E5E5E5" w:themeFill="background1" w:themeFillTint="33"/>
            <w:noWrap/>
            <w:vAlign w:val="center"/>
            <w:hideMark/>
          </w:tcPr>
          <w:p w14:paraId="2143863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19.7</w:t>
            </w:r>
          </w:p>
        </w:tc>
        <w:tc>
          <w:tcPr>
            <w:tcW w:w="1290" w:type="dxa"/>
            <w:tcBorders>
              <w:top w:val="nil"/>
              <w:left w:val="nil"/>
              <w:bottom w:val="nil"/>
              <w:right w:val="nil"/>
            </w:tcBorders>
            <w:shd w:val="clear" w:color="auto" w:fill="E5E5E5" w:themeFill="background1" w:themeFillTint="33"/>
            <w:noWrap/>
            <w:vAlign w:val="center"/>
            <w:hideMark/>
          </w:tcPr>
          <w:p w14:paraId="3681CE18"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-9.9</w:t>
            </w:r>
          </w:p>
        </w:tc>
        <w:tc>
          <w:tcPr>
            <w:tcW w:w="1290" w:type="dxa"/>
            <w:tcBorders>
              <w:top w:val="nil"/>
              <w:left w:val="nil"/>
              <w:bottom w:val="nil"/>
              <w:right w:val="nil"/>
            </w:tcBorders>
            <w:shd w:val="clear" w:color="auto" w:fill="E5E5E5" w:themeFill="background1" w:themeFillTint="33"/>
            <w:noWrap/>
            <w:vAlign w:val="center"/>
            <w:hideMark/>
          </w:tcPr>
          <w:p w14:paraId="2CCC32D4"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-1.6</w:t>
            </w:r>
          </w:p>
        </w:tc>
      </w:tr>
      <w:tr w:rsidR="00961617" w:rsidRPr="00545C7F" w14:paraId="08A07286"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55B823DC" w14:textId="77777777" w:rsidR="00961617" w:rsidRPr="00545C7F" w:rsidRDefault="00961617" w:rsidP="0020771F">
            <w:pPr>
              <w:spacing w:after="0"/>
              <w:rPr>
                <w:rFonts w:cstheme="minorHAnsi"/>
                <w:sz w:val="20"/>
                <w:szCs w:val="20"/>
              </w:rPr>
            </w:pPr>
            <w:r w:rsidRPr="00545C7F">
              <w:rPr>
                <w:rFonts w:cstheme="minorHAnsi"/>
                <w:sz w:val="20"/>
                <w:szCs w:val="20"/>
              </w:rPr>
              <w:t>Males, 25-34 years</w:t>
            </w:r>
          </w:p>
        </w:tc>
        <w:tc>
          <w:tcPr>
            <w:tcW w:w="1289" w:type="dxa"/>
            <w:tcBorders>
              <w:top w:val="nil"/>
              <w:left w:val="nil"/>
              <w:bottom w:val="nil"/>
              <w:right w:val="nil"/>
            </w:tcBorders>
            <w:shd w:val="clear" w:color="auto" w:fill="FFFFFF" w:themeFill="background2"/>
            <w:noWrap/>
            <w:vAlign w:val="center"/>
            <w:hideMark/>
          </w:tcPr>
          <w:p w14:paraId="14448398"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77.9</w:t>
            </w:r>
          </w:p>
        </w:tc>
        <w:tc>
          <w:tcPr>
            <w:tcW w:w="1290" w:type="dxa"/>
            <w:tcBorders>
              <w:top w:val="nil"/>
              <w:left w:val="nil"/>
              <w:bottom w:val="nil"/>
              <w:right w:val="nil"/>
            </w:tcBorders>
            <w:shd w:val="clear" w:color="auto" w:fill="FFFFFF" w:themeFill="background2"/>
            <w:noWrap/>
            <w:vAlign w:val="center"/>
            <w:hideMark/>
          </w:tcPr>
          <w:p w14:paraId="23791B7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21.0</w:t>
            </w:r>
          </w:p>
        </w:tc>
        <w:tc>
          <w:tcPr>
            <w:tcW w:w="1290" w:type="dxa"/>
            <w:tcBorders>
              <w:top w:val="nil"/>
              <w:left w:val="nil"/>
              <w:bottom w:val="nil"/>
              <w:right w:val="nil"/>
            </w:tcBorders>
            <w:shd w:val="clear" w:color="auto" w:fill="FFFFFF" w:themeFill="background2"/>
            <w:noWrap/>
            <w:vAlign w:val="center"/>
            <w:hideMark/>
          </w:tcPr>
          <w:p w14:paraId="781E5A85"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70.0</w:t>
            </w:r>
          </w:p>
        </w:tc>
        <w:tc>
          <w:tcPr>
            <w:tcW w:w="1290" w:type="dxa"/>
            <w:tcBorders>
              <w:top w:val="nil"/>
              <w:left w:val="nil"/>
              <w:bottom w:val="nil"/>
              <w:right w:val="nil"/>
            </w:tcBorders>
            <w:shd w:val="clear" w:color="auto" w:fill="FFFFFF" w:themeFill="background2"/>
            <w:noWrap/>
            <w:vAlign w:val="center"/>
            <w:hideMark/>
          </w:tcPr>
          <w:p w14:paraId="3F83A16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24.5</w:t>
            </w:r>
          </w:p>
        </w:tc>
        <w:tc>
          <w:tcPr>
            <w:tcW w:w="1290" w:type="dxa"/>
            <w:tcBorders>
              <w:top w:val="nil"/>
              <w:left w:val="nil"/>
              <w:bottom w:val="nil"/>
              <w:right w:val="nil"/>
            </w:tcBorders>
            <w:shd w:val="clear" w:color="auto" w:fill="FFFFFF" w:themeFill="background2"/>
            <w:noWrap/>
            <w:vAlign w:val="center"/>
            <w:hideMark/>
          </w:tcPr>
          <w:p w14:paraId="37D45E83"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-7.9</w:t>
            </w:r>
          </w:p>
        </w:tc>
        <w:tc>
          <w:tcPr>
            <w:tcW w:w="1290" w:type="dxa"/>
            <w:tcBorders>
              <w:top w:val="nil"/>
              <w:left w:val="nil"/>
              <w:bottom w:val="nil"/>
              <w:right w:val="nil"/>
            </w:tcBorders>
            <w:shd w:val="clear" w:color="auto" w:fill="FFFFFF" w:themeFill="background2"/>
            <w:noWrap/>
            <w:vAlign w:val="center"/>
            <w:hideMark/>
          </w:tcPr>
          <w:p w14:paraId="693A9CDB"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3.5</w:t>
            </w:r>
          </w:p>
        </w:tc>
      </w:tr>
      <w:tr w:rsidR="00961617" w:rsidRPr="00545C7F" w14:paraId="5472BE63"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0E5646EA" w14:textId="77777777" w:rsidR="00961617" w:rsidRPr="00545C7F" w:rsidRDefault="00961617" w:rsidP="0020771F">
            <w:pPr>
              <w:spacing w:after="0"/>
              <w:rPr>
                <w:rFonts w:cstheme="minorHAnsi"/>
                <w:sz w:val="20"/>
                <w:szCs w:val="20"/>
              </w:rPr>
            </w:pPr>
            <w:r w:rsidRPr="00545C7F">
              <w:rPr>
                <w:rFonts w:cstheme="minorHAnsi"/>
                <w:sz w:val="20"/>
                <w:szCs w:val="20"/>
              </w:rPr>
              <w:t>Males, 35-49 years</w:t>
            </w:r>
          </w:p>
        </w:tc>
        <w:tc>
          <w:tcPr>
            <w:tcW w:w="1289" w:type="dxa"/>
            <w:tcBorders>
              <w:top w:val="nil"/>
              <w:left w:val="nil"/>
              <w:bottom w:val="nil"/>
              <w:right w:val="nil"/>
            </w:tcBorders>
            <w:shd w:val="clear" w:color="auto" w:fill="E5E5E5" w:themeFill="background1" w:themeFillTint="33"/>
            <w:noWrap/>
            <w:vAlign w:val="center"/>
            <w:hideMark/>
          </w:tcPr>
          <w:p w14:paraId="1EEB3662"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77.4</w:t>
            </w:r>
          </w:p>
        </w:tc>
        <w:tc>
          <w:tcPr>
            <w:tcW w:w="1290" w:type="dxa"/>
            <w:tcBorders>
              <w:top w:val="nil"/>
              <w:left w:val="nil"/>
              <w:bottom w:val="nil"/>
              <w:right w:val="nil"/>
            </w:tcBorders>
            <w:shd w:val="clear" w:color="auto" w:fill="E5E5E5" w:themeFill="background1" w:themeFillTint="33"/>
            <w:noWrap/>
            <w:vAlign w:val="center"/>
            <w:hideMark/>
          </w:tcPr>
          <w:p w14:paraId="409209F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12.5</w:t>
            </w:r>
          </w:p>
        </w:tc>
        <w:tc>
          <w:tcPr>
            <w:tcW w:w="1290" w:type="dxa"/>
            <w:tcBorders>
              <w:top w:val="nil"/>
              <w:left w:val="nil"/>
              <w:bottom w:val="nil"/>
              <w:right w:val="nil"/>
            </w:tcBorders>
            <w:shd w:val="clear" w:color="auto" w:fill="E5E5E5" w:themeFill="background1" w:themeFillTint="33"/>
            <w:noWrap/>
            <w:vAlign w:val="center"/>
            <w:hideMark/>
          </w:tcPr>
          <w:p w14:paraId="3D963E8C"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72.1</w:t>
            </w:r>
          </w:p>
        </w:tc>
        <w:tc>
          <w:tcPr>
            <w:tcW w:w="1290" w:type="dxa"/>
            <w:tcBorders>
              <w:top w:val="nil"/>
              <w:left w:val="nil"/>
              <w:bottom w:val="nil"/>
              <w:right w:val="nil"/>
            </w:tcBorders>
            <w:shd w:val="clear" w:color="auto" w:fill="E5E5E5" w:themeFill="background1" w:themeFillTint="33"/>
            <w:noWrap/>
            <w:vAlign w:val="center"/>
            <w:hideMark/>
          </w:tcPr>
          <w:p w14:paraId="47EA629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12.2</w:t>
            </w:r>
          </w:p>
        </w:tc>
        <w:tc>
          <w:tcPr>
            <w:tcW w:w="1290" w:type="dxa"/>
            <w:tcBorders>
              <w:top w:val="nil"/>
              <w:left w:val="nil"/>
              <w:bottom w:val="nil"/>
              <w:right w:val="nil"/>
            </w:tcBorders>
            <w:shd w:val="clear" w:color="auto" w:fill="E5E5E5" w:themeFill="background1" w:themeFillTint="33"/>
            <w:noWrap/>
            <w:vAlign w:val="center"/>
            <w:hideMark/>
          </w:tcPr>
          <w:p w14:paraId="05D42920"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-5.3</w:t>
            </w:r>
          </w:p>
        </w:tc>
        <w:tc>
          <w:tcPr>
            <w:tcW w:w="1290" w:type="dxa"/>
            <w:tcBorders>
              <w:top w:val="nil"/>
              <w:left w:val="nil"/>
              <w:bottom w:val="nil"/>
              <w:right w:val="nil"/>
            </w:tcBorders>
            <w:shd w:val="clear" w:color="auto" w:fill="E5E5E5" w:themeFill="background1" w:themeFillTint="33"/>
            <w:noWrap/>
            <w:vAlign w:val="center"/>
            <w:hideMark/>
          </w:tcPr>
          <w:p w14:paraId="373A58F0"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-0.3</w:t>
            </w:r>
          </w:p>
        </w:tc>
      </w:tr>
      <w:tr w:rsidR="00961617" w:rsidRPr="00545C7F" w14:paraId="1CC0A2B0"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50FEB594" w14:textId="77777777" w:rsidR="00961617" w:rsidRPr="00545C7F" w:rsidRDefault="00961617" w:rsidP="0020771F">
            <w:pPr>
              <w:spacing w:after="0"/>
              <w:rPr>
                <w:rFonts w:cstheme="minorHAnsi"/>
                <w:sz w:val="20"/>
                <w:szCs w:val="20"/>
              </w:rPr>
            </w:pPr>
            <w:r w:rsidRPr="00545C7F">
              <w:rPr>
                <w:rFonts w:cstheme="minorHAnsi"/>
                <w:sz w:val="20"/>
                <w:szCs w:val="20"/>
              </w:rPr>
              <w:t>Males, 50 years and older</w:t>
            </w:r>
          </w:p>
        </w:tc>
        <w:tc>
          <w:tcPr>
            <w:tcW w:w="1289" w:type="dxa"/>
            <w:tcBorders>
              <w:top w:val="nil"/>
              <w:left w:val="nil"/>
              <w:right w:val="nil"/>
            </w:tcBorders>
            <w:shd w:val="clear" w:color="auto" w:fill="FFFFFF" w:themeFill="background2"/>
            <w:noWrap/>
            <w:vAlign w:val="center"/>
            <w:hideMark/>
          </w:tcPr>
          <w:p w14:paraId="5688D1E5"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72.9</w:t>
            </w:r>
          </w:p>
        </w:tc>
        <w:tc>
          <w:tcPr>
            <w:tcW w:w="1290" w:type="dxa"/>
            <w:tcBorders>
              <w:top w:val="nil"/>
              <w:left w:val="nil"/>
              <w:right w:val="nil"/>
            </w:tcBorders>
            <w:shd w:val="clear" w:color="auto" w:fill="FFFFFF" w:themeFill="background2"/>
            <w:noWrap/>
            <w:vAlign w:val="center"/>
            <w:hideMark/>
          </w:tcPr>
          <w:p w14:paraId="59E923F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8.8</w:t>
            </w:r>
          </w:p>
        </w:tc>
        <w:tc>
          <w:tcPr>
            <w:tcW w:w="1290" w:type="dxa"/>
            <w:tcBorders>
              <w:top w:val="nil"/>
              <w:left w:val="nil"/>
              <w:right w:val="nil"/>
            </w:tcBorders>
            <w:shd w:val="clear" w:color="auto" w:fill="FFFFFF" w:themeFill="background2"/>
            <w:noWrap/>
            <w:vAlign w:val="center"/>
            <w:hideMark/>
          </w:tcPr>
          <w:p w14:paraId="6014C803"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58.8</w:t>
            </w:r>
          </w:p>
        </w:tc>
        <w:tc>
          <w:tcPr>
            <w:tcW w:w="1290" w:type="dxa"/>
            <w:tcBorders>
              <w:top w:val="nil"/>
              <w:left w:val="nil"/>
              <w:right w:val="nil"/>
            </w:tcBorders>
            <w:shd w:val="clear" w:color="auto" w:fill="FFFFFF" w:themeFill="background2"/>
            <w:noWrap/>
            <w:vAlign w:val="center"/>
            <w:hideMark/>
          </w:tcPr>
          <w:p w14:paraId="184A17C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9.4</w:t>
            </w:r>
          </w:p>
        </w:tc>
        <w:tc>
          <w:tcPr>
            <w:tcW w:w="1290" w:type="dxa"/>
            <w:tcBorders>
              <w:top w:val="nil"/>
              <w:left w:val="nil"/>
              <w:right w:val="nil"/>
            </w:tcBorders>
            <w:shd w:val="clear" w:color="auto" w:fill="FFFFFF" w:themeFill="background2"/>
            <w:noWrap/>
            <w:vAlign w:val="center"/>
            <w:hideMark/>
          </w:tcPr>
          <w:p w14:paraId="6D7EC3FE"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-14.1</w:t>
            </w:r>
          </w:p>
        </w:tc>
        <w:tc>
          <w:tcPr>
            <w:tcW w:w="1290" w:type="dxa"/>
            <w:tcBorders>
              <w:top w:val="nil"/>
              <w:left w:val="nil"/>
              <w:right w:val="nil"/>
            </w:tcBorders>
            <w:shd w:val="clear" w:color="auto" w:fill="FFFFFF" w:themeFill="background2"/>
            <w:noWrap/>
            <w:vAlign w:val="center"/>
            <w:hideMark/>
          </w:tcPr>
          <w:p w14:paraId="3331E8E7"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0.6</w:t>
            </w:r>
          </w:p>
        </w:tc>
      </w:tr>
      <w:tr w:rsidR="00961617" w:rsidRPr="00545C7F" w14:paraId="60B4C3DF"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252DF954" w14:textId="77777777" w:rsidR="00961617" w:rsidRPr="00545C7F" w:rsidRDefault="00961617" w:rsidP="0020771F">
            <w:pPr>
              <w:spacing w:after="0"/>
              <w:rPr>
                <w:rFonts w:cstheme="minorHAnsi"/>
                <w:sz w:val="20"/>
                <w:szCs w:val="20"/>
              </w:rPr>
            </w:pPr>
            <w:r w:rsidRPr="00545C7F">
              <w:rPr>
                <w:rFonts w:cstheme="minorHAnsi"/>
                <w:sz w:val="20"/>
                <w:szCs w:val="20"/>
              </w:rPr>
              <w:t>Males</w:t>
            </w:r>
          </w:p>
        </w:tc>
        <w:tc>
          <w:tcPr>
            <w:tcW w:w="1289" w:type="dxa"/>
            <w:tcBorders>
              <w:top w:val="nil"/>
              <w:left w:val="nil"/>
              <w:right w:val="nil"/>
            </w:tcBorders>
            <w:shd w:val="clear" w:color="auto" w:fill="E5E5E5" w:themeFill="background1" w:themeFillTint="33"/>
            <w:noWrap/>
            <w:vAlign w:val="center"/>
            <w:hideMark/>
          </w:tcPr>
          <w:p w14:paraId="6FC2D89D"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75.7</w:t>
            </w:r>
          </w:p>
        </w:tc>
        <w:tc>
          <w:tcPr>
            <w:tcW w:w="1290" w:type="dxa"/>
            <w:tcBorders>
              <w:top w:val="nil"/>
              <w:left w:val="nil"/>
              <w:right w:val="nil"/>
            </w:tcBorders>
            <w:shd w:val="clear" w:color="auto" w:fill="E5E5E5" w:themeFill="background1" w:themeFillTint="33"/>
            <w:noWrap/>
            <w:vAlign w:val="center"/>
            <w:hideMark/>
          </w:tcPr>
          <w:p w14:paraId="20FCFBB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19.5</w:t>
            </w:r>
          </w:p>
        </w:tc>
        <w:tc>
          <w:tcPr>
            <w:tcW w:w="1290" w:type="dxa"/>
            <w:tcBorders>
              <w:top w:val="nil"/>
              <w:left w:val="nil"/>
              <w:right w:val="nil"/>
            </w:tcBorders>
            <w:shd w:val="clear" w:color="auto" w:fill="E5E5E5" w:themeFill="background1" w:themeFillTint="33"/>
            <w:noWrap/>
            <w:vAlign w:val="center"/>
            <w:hideMark/>
          </w:tcPr>
          <w:p w14:paraId="24517EE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66.4</w:t>
            </w:r>
          </w:p>
        </w:tc>
        <w:tc>
          <w:tcPr>
            <w:tcW w:w="1290" w:type="dxa"/>
            <w:tcBorders>
              <w:top w:val="nil"/>
              <w:left w:val="nil"/>
              <w:right w:val="nil"/>
            </w:tcBorders>
            <w:shd w:val="clear" w:color="auto" w:fill="E5E5E5" w:themeFill="background1" w:themeFillTint="33"/>
            <w:noWrap/>
            <w:vAlign w:val="center"/>
            <w:hideMark/>
          </w:tcPr>
          <w:p w14:paraId="657E8BE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19.7</w:t>
            </w:r>
          </w:p>
        </w:tc>
        <w:tc>
          <w:tcPr>
            <w:tcW w:w="1290" w:type="dxa"/>
            <w:tcBorders>
              <w:top w:val="nil"/>
              <w:left w:val="nil"/>
              <w:right w:val="nil"/>
            </w:tcBorders>
            <w:shd w:val="clear" w:color="auto" w:fill="E5E5E5" w:themeFill="background1" w:themeFillTint="33"/>
            <w:noWrap/>
            <w:vAlign w:val="center"/>
            <w:hideMark/>
          </w:tcPr>
          <w:p w14:paraId="42CA2643"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-9.3</w:t>
            </w:r>
          </w:p>
        </w:tc>
        <w:tc>
          <w:tcPr>
            <w:tcW w:w="1290" w:type="dxa"/>
            <w:tcBorders>
              <w:top w:val="nil"/>
              <w:left w:val="nil"/>
              <w:right w:val="nil"/>
            </w:tcBorders>
            <w:shd w:val="clear" w:color="auto" w:fill="E5E5E5" w:themeFill="background1" w:themeFillTint="33"/>
            <w:noWrap/>
            <w:vAlign w:val="center"/>
            <w:hideMark/>
          </w:tcPr>
          <w:p w14:paraId="602AB027"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0.2</w:t>
            </w:r>
          </w:p>
        </w:tc>
      </w:tr>
      <w:tr w:rsidR="00961617" w:rsidRPr="00545C7F" w14:paraId="3D10F43F"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11CB3DF2" w14:textId="77777777" w:rsidR="00961617" w:rsidRPr="00545C7F" w:rsidRDefault="00961617" w:rsidP="0020771F">
            <w:pPr>
              <w:spacing w:after="0"/>
              <w:rPr>
                <w:rFonts w:cstheme="minorHAnsi"/>
                <w:sz w:val="20"/>
                <w:szCs w:val="20"/>
              </w:rPr>
            </w:pPr>
            <w:r w:rsidRPr="00545C7F">
              <w:rPr>
                <w:rFonts w:cstheme="minorHAnsi"/>
                <w:sz w:val="20"/>
                <w:szCs w:val="20"/>
              </w:rPr>
              <w:t>Females, under 21 years</w:t>
            </w:r>
          </w:p>
        </w:tc>
        <w:tc>
          <w:tcPr>
            <w:tcW w:w="1289" w:type="dxa"/>
            <w:tcBorders>
              <w:top w:val="nil"/>
              <w:left w:val="nil"/>
              <w:bottom w:val="nil"/>
              <w:right w:val="nil"/>
            </w:tcBorders>
            <w:shd w:val="clear" w:color="auto" w:fill="FFFFFF" w:themeFill="background2"/>
            <w:noWrap/>
            <w:vAlign w:val="center"/>
            <w:hideMark/>
          </w:tcPr>
          <w:p w14:paraId="3D143106"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71.5</w:t>
            </w:r>
          </w:p>
        </w:tc>
        <w:tc>
          <w:tcPr>
            <w:tcW w:w="1290" w:type="dxa"/>
            <w:tcBorders>
              <w:top w:val="nil"/>
              <w:left w:val="nil"/>
              <w:bottom w:val="nil"/>
              <w:right w:val="nil"/>
            </w:tcBorders>
            <w:shd w:val="clear" w:color="auto" w:fill="FFFFFF" w:themeFill="background2"/>
            <w:noWrap/>
            <w:vAlign w:val="center"/>
            <w:hideMark/>
          </w:tcPr>
          <w:p w14:paraId="4AA9914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40.8</w:t>
            </w:r>
          </w:p>
        </w:tc>
        <w:tc>
          <w:tcPr>
            <w:tcW w:w="1290" w:type="dxa"/>
            <w:tcBorders>
              <w:top w:val="nil"/>
              <w:left w:val="nil"/>
              <w:bottom w:val="nil"/>
              <w:right w:val="nil"/>
            </w:tcBorders>
            <w:shd w:val="clear" w:color="auto" w:fill="FFFFFF" w:themeFill="background2"/>
            <w:noWrap/>
            <w:vAlign w:val="center"/>
            <w:hideMark/>
          </w:tcPr>
          <w:p w14:paraId="6637A31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58.9</w:t>
            </w:r>
          </w:p>
        </w:tc>
        <w:tc>
          <w:tcPr>
            <w:tcW w:w="1290" w:type="dxa"/>
            <w:tcBorders>
              <w:top w:val="nil"/>
              <w:left w:val="nil"/>
              <w:bottom w:val="nil"/>
              <w:right w:val="nil"/>
            </w:tcBorders>
            <w:shd w:val="clear" w:color="auto" w:fill="FFFFFF" w:themeFill="background2"/>
            <w:noWrap/>
            <w:vAlign w:val="center"/>
            <w:hideMark/>
          </w:tcPr>
          <w:p w14:paraId="7F798A9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44.5</w:t>
            </w:r>
          </w:p>
        </w:tc>
        <w:tc>
          <w:tcPr>
            <w:tcW w:w="1290" w:type="dxa"/>
            <w:tcBorders>
              <w:top w:val="nil"/>
              <w:left w:val="nil"/>
              <w:bottom w:val="nil"/>
              <w:right w:val="nil"/>
            </w:tcBorders>
            <w:shd w:val="clear" w:color="auto" w:fill="FFFFFF" w:themeFill="background2"/>
            <w:noWrap/>
            <w:vAlign w:val="center"/>
            <w:hideMark/>
          </w:tcPr>
          <w:p w14:paraId="74C5C041"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-12.6</w:t>
            </w:r>
          </w:p>
        </w:tc>
        <w:tc>
          <w:tcPr>
            <w:tcW w:w="1290" w:type="dxa"/>
            <w:tcBorders>
              <w:top w:val="nil"/>
              <w:left w:val="nil"/>
              <w:bottom w:val="nil"/>
              <w:right w:val="nil"/>
            </w:tcBorders>
            <w:shd w:val="clear" w:color="auto" w:fill="FFFFFF" w:themeFill="background2"/>
            <w:noWrap/>
            <w:vAlign w:val="center"/>
            <w:hideMark/>
          </w:tcPr>
          <w:p w14:paraId="616D66E3"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3.7</w:t>
            </w:r>
          </w:p>
        </w:tc>
      </w:tr>
      <w:tr w:rsidR="00961617" w:rsidRPr="00545C7F" w14:paraId="4CA6580C"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4E76F04C" w14:textId="77777777" w:rsidR="00961617" w:rsidRPr="00545C7F" w:rsidRDefault="00961617" w:rsidP="0020771F">
            <w:pPr>
              <w:spacing w:after="0"/>
              <w:rPr>
                <w:rFonts w:cstheme="minorHAnsi"/>
                <w:sz w:val="20"/>
                <w:szCs w:val="20"/>
              </w:rPr>
            </w:pPr>
            <w:r w:rsidRPr="00545C7F">
              <w:rPr>
                <w:rFonts w:cstheme="minorHAnsi"/>
                <w:sz w:val="20"/>
                <w:szCs w:val="20"/>
              </w:rPr>
              <w:t>Females, 21-24 years</w:t>
            </w:r>
          </w:p>
        </w:tc>
        <w:tc>
          <w:tcPr>
            <w:tcW w:w="1289" w:type="dxa"/>
            <w:tcBorders>
              <w:top w:val="nil"/>
              <w:left w:val="nil"/>
              <w:bottom w:val="nil"/>
              <w:right w:val="nil"/>
            </w:tcBorders>
            <w:shd w:val="clear" w:color="auto" w:fill="E5E5E5" w:themeFill="background1" w:themeFillTint="33"/>
            <w:noWrap/>
            <w:vAlign w:val="center"/>
            <w:hideMark/>
          </w:tcPr>
          <w:p w14:paraId="43ED8487"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80.6</w:t>
            </w:r>
          </w:p>
        </w:tc>
        <w:tc>
          <w:tcPr>
            <w:tcW w:w="1290" w:type="dxa"/>
            <w:tcBorders>
              <w:top w:val="nil"/>
              <w:left w:val="nil"/>
              <w:bottom w:val="nil"/>
              <w:right w:val="nil"/>
            </w:tcBorders>
            <w:shd w:val="clear" w:color="auto" w:fill="E5E5E5" w:themeFill="background1" w:themeFillTint="33"/>
            <w:noWrap/>
            <w:vAlign w:val="center"/>
            <w:hideMark/>
          </w:tcPr>
          <w:p w14:paraId="0A01FE9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23.5</w:t>
            </w:r>
          </w:p>
        </w:tc>
        <w:tc>
          <w:tcPr>
            <w:tcW w:w="1290" w:type="dxa"/>
            <w:tcBorders>
              <w:top w:val="nil"/>
              <w:left w:val="nil"/>
              <w:bottom w:val="nil"/>
              <w:right w:val="nil"/>
            </w:tcBorders>
            <w:shd w:val="clear" w:color="auto" w:fill="E5E5E5" w:themeFill="background1" w:themeFillTint="33"/>
            <w:noWrap/>
            <w:vAlign w:val="center"/>
            <w:hideMark/>
          </w:tcPr>
          <w:p w14:paraId="0991C97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76.8</w:t>
            </w:r>
          </w:p>
        </w:tc>
        <w:tc>
          <w:tcPr>
            <w:tcW w:w="1290" w:type="dxa"/>
            <w:tcBorders>
              <w:top w:val="nil"/>
              <w:left w:val="nil"/>
              <w:bottom w:val="nil"/>
              <w:right w:val="nil"/>
            </w:tcBorders>
            <w:shd w:val="clear" w:color="auto" w:fill="E5E5E5" w:themeFill="background1" w:themeFillTint="33"/>
            <w:noWrap/>
            <w:vAlign w:val="center"/>
            <w:hideMark/>
          </w:tcPr>
          <w:p w14:paraId="38EBB54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30.1</w:t>
            </w:r>
          </w:p>
        </w:tc>
        <w:tc>
          <w:tcPr>
            <w:tcW w:w="1290" w:type="dxa"/>
            <w:tcBorders>
              <w:top w:val="nil"/>
              <w:left w:val="nil"/>
              <w:bottom w:val="nil"/>
              <w:right w:val="nil"/>
            </w:tcBorders>
            <w:shd w:val="clear" w:color="auto" w:fill="E5E5E5" w:themeFill="background1" w:themeFillTint="33"/>
            <w:noWrap/>
            <w:vAlign w:val="center"/>
            <w:hideMark/>
          </w:tcPr>
          <w:p w14:paraId="45970C3C"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-3.8</w:t>
            </w:r>
          </w:p>
        </w:tc>
        <w:tc>
          <w:tcPr>
            <w:tcW w:w="1290" w:type="dxa"/>
            <w:tcBorders>
              <w:top w:val="nil"/>
              <w:left w:val="nil"/>
              <w:bottom w:val="nil"/>
              <w:right w:val="nil"/>
            </w:tcBorders>
            <w:shd w:val="clear" w:color="auto" w:fill="E5E5E5" w:themeFill="background1" w:themeFillTint="33"/>
            <w:noWrap/>
            <w:vAlign w:val="center"/>
            <w:hideMark/>
          </w:tcPr>
          <w:p w14:paraId="4EBD3BA7"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6.6</w:t>
            </w:r>
          </w:p>
        </w:tc>
      </w:tr>
      <w:tr w:rsidR="00961617" w:rsidRPr="00545C7F" w14:paraId="3148CA49"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248CB128" w14:textId="77777777" w:rsidR="00961617" w:rsidRPr="00545C7F" w:rsidRDefault="00961617" w:rsidP="0020771F">
            <w:pPr>
              <w:spacing w:after="0"/>
              <w:rPr>
                <w:rFonts w:cstheme="minorHAnsi"/>
                <w:sz w:val="20"/>
                <w:szCs w:val="20"/>
              </w:rPr>
            </w:pPr>
            <w:r w:rsidRPr="00545C7F">
              <w:rPr>
                <w:rFonts w:cstheme="minorHAnsi"/>
                <w:sz w:val="20"/>
                <w:szCs w:val="20"/>
              </w:rPr>
              <w:t>Females, 25-34 years</w:t>
            </w:r>
          </w:p>
        </w:tc>
        <w:tc>
          <w:tcPr>
            <w:tcW w:w="1289" w:type="dxa"/>
            <w:tcBorders>
              <w:top w:val="nil"/>
              <w:left w:val="nil"/>
              <w:bottom w:val="nil"/>
              <w:right w:val="nil"/>
            </w:tcBorders>
            <w:shd w:val="clear" w:color="auto" w:fill="FFFFFF" w:themeFill="background2"/>
            <w:noWrap/>
            <w:vAlign w:val="center"/>
            <w:hideMark/>
          </w:tcPr>
          <w:p w14:paraId="44751B7B"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79.8</w:t>
            </w:r>
          </w:p>
        </w:tc>
        <w:tc>
          <w:tcPr>
            <w:tcW w:w="1290" w:type="dxa"/>
            <w:tcBorders>
              <w:top w:val="nil"/>
              <w:left w:val="nil"/>
              <w:bottom w:val="nil"/>
              <w:right w:val="nil"/>
            </w:tcBorders>
            <w:shd w:val="clear" w:color="auto" w:fill="FFFFFF" w:themeFill="background2"/>
            <w:noWrap/>
            <w:vAlign w:val="center"/>
            <w:hideMark/>
          </w:tcPr>
          <w:p w14:paraId="5BAC104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20.9</w:t>
            </w:r>
          </w:p>
        </w:tc>
        <w:tc>
          <w:tcPr>
            <w:tcW w:w="1290" w:type="dxa"/>
            <w:tcBorders>
              <w:top w:val="nil"/>
              <w:left w:val="nil"/>
              <w:bottom w:val="nil"/>
              <w:right w:val="nil"/>
            </w:tcBorders>
            <w:shd w:val="clear" w:color="auto" w:fill="FFFFFF" w:themeFill="background2"/>
            <w:noWrap/>
            <w:vAlign w:val="center"/>
            <w:hideMark/>
          </w:tcPr>
          <w:p w14:paraId="72F86DE5"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76.9</w:t>
            </w:r>
          </w:p>
        </w:tc>
        <w:tc>
          <w:tcPr>
            <w:tcW w:w="1290" w:type="dxa"/>
            <w:tcBorders>
              <w:top w:val="nil"/>
              <w:left w:val="nil"/>
              <w:bottom w:val="nil"/>
              <w:right w:val="nil"/>
            </w:tcBorders>
            <w:shd w:val="clear" w:color="auto" w:fill="FFFFFF" w:themeFill="background2"/>
            <w:noWrap/>
            <w:vAlign w:val="center"/>
            <w:hideMark/>
          </w:tcPr>
          <w:p w14:paraId="3F9CD3B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26.5</w:t>
            </w:r>
          </w:p>
        </w:tc>
        <w:tc>
          <w:tcPr>
            <w:tcW w:w="1290" w:type="dxa"/>
            <w:tcBorders>
              <w:top w:val="nil"/>
              <w:left w:val="nil"/>
              <w:bottom w:val="nil"/>
              <w:right w:val="nil"/>
            </w:tcBorders>
            <w:shd w:val="clear" w:color="auto" w:fill="FFFFFF" w:themeFill="background2"/>
            <w:noWrap/>
            <w:vAlign w:val="center"/>
            <w:hideMark/>
          </w:tcPr>
          <w:p w14:paraId="7E71FD8C"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-2.9</w:t>
            </w:r>
          </w:p>
        </w:tc>
        <w:tc>
          <w:tcPr>
            <w:tcW w:w="1290" w:type="dxa"/>
            <w:tcBorders>
              <w:top w:val="nil"/>
              <w:left w:val="nil"/>
              <w:bottom w:val="nil"/>
              <w:right w:val="nil"/>
            </w:tcBorders>
            <w:shd w:val="clear" w:color="auto" w:fill="FFFFFF" w:themeFill="background2"/>
            <w:noWrap/>
            <w:vAlign w:val="center"/>
            <w:hideMark/>
          </w:tcPr>
          <w:p w14:paraId="7618D24D"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5.6</w:t>
            </w:r>
          </w:p>
        </w:tc>
      </w:tr>
      <w:tr w:rsidR="00961617" w:rsidRPr="00545C7F" w14:paraId="51AC5C56"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5085252A" w14:textId="77777777" w:rsidR="00961617" w:rsidRPr="00545C7F" w:rsidRDefault="00961617" w:rsidP="0020771F">
            <w:pPr>
              <w:spacing w:after="0"/>
              <w:rPr>
                <w:rFonts w:cstheme="minorHAnsi"/>
                <w:sz w:val="20"/>
                <w:szCs w:val="20"/>
              </w:rPr>
            </w:pPr>
            <w:r w:rsidRPr="00545C7F">
              <w:rPr>
                <w:rFonts w:cstheme="minorHAnsi"/>
                <w:sz w:val="20"/>
                <w:szCs w:val="20"/>
              </w:rPr>
              <w:t>Females, 35-49 years</w:t>
            </w:r>
          </w:p>
        </w:tc>
        <w:tc>
          <w:tcPr>
            <w:tcW w:w="1289" w:type="dxa"/>
            <w:tcBorders>
              <w:top w:val="nil"/>
              <w:left w:val="nil"/>
              <w:bottom w:val="nil"/>
              <w:right w:val="nil"/>
            </w:tcBorders>
            <w:shd w:val="clear" w:color="auto" w:fill="E5E5E5" w:themeFill="background1" w:themeFillTint="33"/>
            <w:noWrap/>
            <w:vAlign w:val="center"/>
            <w:hideMark/>
          </w:tcPr>
          <w:p w14:paraId="1EEFA383"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72.9</w:t>
            </w:r>
          </w:p>
        </w:tc>
        <w:tc>
          <w:tcPr>
            <w:tcW w:w="1290" w:type="dxa"/>
            <w:tcBorders>
              <w:top w:val="nil"/>
              <w:left w:val="nil"/>
              <w:bottom w:val="nil"/>
              <w:right w:val="nil"/>
            </w:tcBorders>
            <w:shd w:val="clear" w:color="auto" w:fill="E5E5E5" w:themeFill="background1" w:themeFillTint="33"/>
            <w:noWrap/>
            <w:vAlign w:val="center"/>
            <w:hideMark/>
          </w:tcPr>
          <w:p w14:paraId="6A60979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16.8</w:t>
            </w:r>
          </w:p>
        </w:tc>
        <w:tc>
          <w:tcPr>
            <w:tcW w:w="1290" w:type="dxa"/>
            <w:tcBorders>
              <w:top w:val="nil"/>
              <w:left w:val="nil"/>
              <w:bottom w:val="nil"/>
              <w:right w:val="nil"/>
            </w:tcBorders>
            <w:shd w:val="clear" w:color="auto" w:fill="E5E5E5" w:themeFill="background1" w:themeFillTint="33"/>
            <w:noWrap/>
            <w:vAlign w:val="center"/>
            <w:hideMark/>
          </w:tcPr>
          <w:p w14:paraId="16A4E5E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67.7</w:t>
            </w:r>
          </w:p>
        </w:tc>
        <w:tc>
          <w:tcPr>
            <w:tcW w:w="1290" w:type="dxa"/>
            <w:tcBorders>
              <w:top w:val="nil"/>
              <w:left w:val="nil"/>
              <w:bottom w:val="nil"/>
              <w:right w:val="nil"/>
            </w:tcBorders>
            <w:shd w:val="clear" w:color="auto" w:fill="E5E5E5" w:themeFill="background1" w:themeFillTint="33"/>
            <w:noWrap/>
            <w:vAlign w:val="center"/>
            <w:hideMark/>
          </w:tcPr>
          <w:p w14:paraId="4F15C66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16.4</w:t>
            </w:r>
          </w:p>
        </w:tc>
        <w:tc>
          <w:tcPr>
            <w:tcW w:w="1290" w:type="dxa"/>
            <w:tcBorders>
              <w:top w:val="nil"/>
              <w:left w:val="nil"/>
              <w:bottom w:val="nil"/>
              <w:right w:val="nil"/>
            </w:tcBorders>
            <w:shd w:val="clear" w:color="auto" w:fill="E5E5E5" w:themeFill="background1" w:themeFillTint="33"/>
            <w:noWrap/>
            <w:vAlign w:val="center"/>
            <w:hideMark/>
          </w:tcPr>
          <w:p w14:paraId="11687F29"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-5.2</w:t>
            </w:r>
          </w:p>
        </w:tc>
        <w:tc>
          <w:tcPr>
            <w:tcW w:w="1290" w:type="dxa"/>
            <w:tcBorders>
              <w:top w:val="nil"/>
              <w:left w:val="nil"/>
              <w:bottom w:val="nil"/>
              <w:right w:val="nil"/>
            </w:tcBorders>
            <w:shd w:val="clear" w:color="auto" w:fill="E5E5E5" w:themeFill="background1" w:themeFillTint="33"/>
            <w:noWrap/>
            <w:vAlign w:val="center"/>
            <w:hideMark/>
          </w:tcPr>
          <w:p w14:paraId="70E30E66"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-0.4</w:t>
            </w:r>
          </w:p>
        </w:tc>
      </w:tr>
      <w:tr w:rsidR="00961617" w:rsidRPr="00545C7F" w14:paraId="219D5AD2"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5C5F1DB1" w14:textId="77777777" w:rsidR="00961617" w:rsidRPr="00545C7F" w:rsidRDefault="00961617" w:rsidP="0020771F">
            <w:pPr>
              <w:spacing w:after="0"/>
              <w:rPr>
                <w:rFonts w:cstheme="minorHAnsi"/>
                <w:sz w:val="20"/>
                <w:szCs w:val="20"/>
              </w:rPr>
            </w:pPr>
            <w:r w:rsidRPr="00545C7F">
              <w:rPr>
                <w:rFonts w:cstheme="minorHAnsi"/>
                <w:sz w:val="20"/>
                <w:szCs w:val="20"/>
              </w:rPr>
              <w:t>Females, 50 years and older</w:t>
            </w:r>
          </w:p>
        </w:tc>
        <w:tc>
          <w:tcPr>
            <w:tcW w:w="1289" w:type="dxa"/>
            <w:tcBorders>
              <w:top w:val="nil"/>
              <w:left w:val="nil"/>
              <w:right w:val="nil"/>
            </w:tcBorders>
            <w:shd w:val="clear" w:color="auto" w:fill="FFFFFF" w:themeFill="background2"/>
            <w:noWrap/>
            <w:vAlign w:val="center"/>
            <w:hideMark/>
          </w:tcPr>
          <w:p w14:paraId="4802EFF5"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69.3</w:t>
            </w:r>
          </w:p>
        </w:tc>
        <w:tc>
          <w:tcPr>
            <w:tcW w:w="1290" w:type="dxa"/>
            <w:tcBorders>
              <w:top w:val="nil"/>
              <w:left w:val="nil"/>
              <w:right w:val="nil"/>
            </w:tcBorders>
            <w:shd w:val="clear" w:color="auto" w:fill="FFFFFF" w:themeFill="background2"/>
            <w:noWrap/>
            <w:vAlign w:val="center"/>
            <w:hideMark/>
          </w:tcPr>
          <w:p w14:paraId="33BC6FF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12.1</w:t>
            </w:r>
          </w:p>
        </w:tc>
        <w:tc>
          <w:tcPr>
            <w:tcW w:w="1290" w:type="dxa"/>
            <w:tcBorders>
              <w:top w:val="nil"/>
              <w:left w:val="nil"/>
              <w:right w:val="nil"/>
            </w:tcBorders>
            <w:shd w:val="clear" w:color="auto" w:fill="FFFFFF" w:themeFill="background2"/>
            <w:noWrap/>
            <w:vAlign w:val="center"/>
            <w:hideMark/>
          </w:tcPr>
          <w:p w14:paraId="5F20D23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72.5</w:t>
            </w:r>
          </w:p>
        </w:tc>
        <w:tc>
          <w:tcPr>
            <w:tcW w:w="1290" w:type="dxa"/>
            <w:tcBorders>
              <w:top w:val="nil"/>
              <w:left w:val="nil"/>
              <w:right w:val="nil"/>
            </w:tcBorders>
            <w:shd w:val="clear" w:color="auto" w:fill="FFFFFF" w:themeFill="background2"/>
            <w:noWrap/>
            <w:vAlign w:val="center"/>
            <w:hideMark/>
          </w:tcPr>
          <w:p w14:paraId="092C6BC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11.9</w:t>
            </w:r>
          </w:p>
        </w:tc>
        <w:tc>
          <w:tcPr>
            <w:tcW w:w="1290" w:type="dxa"/>
            <w:tcBorders>
              <w:top w:val="nil"/>
              <w:left w:val="nil"/>
              <w:right w:val="nil"/>
            </w:tcBorders>
            <w:shd w:val="clear" w:color="auto" w:fill="FFFFFF" w:themeFill="background2"/>
            <w:noWrap/>
            <w:vAlign w:val="center"/>
            <w:hideMark/>
          </w:tcPr>
          <w:p w14:paraId="082EAFAC"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3.2</w:t>
            </w:r>
          </w:p>
        </w:tc>
        <w:tc>
          <w:tcPr>
            <w:tcW w:w="1290" w:type="dxa"/>
            <w:tcBorders>
              <w:top w:val="nil"/>
              <w:left w:val="nil"/>
              <w:right w:val="nil"/>
            </w:tcBorders>
            <w:shd w:val="clear" w:color="auto" w:fill="FFFFFF" w:themeFill="background2"/>
            <w:noWrap/>
            <w:vAlign w:val="center"/>
            <w:hideMark/>
          </w:tcPr>
          <w:p w14:paraId="021603D3"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-0.2</w:t>
            </w:r>
          </w:p>
        </w:tc>
      </w:tr>
      <w:tr w:rsidR="00961617" w:rsidRPr="00545C7F" w14:paraId="5CF19D61"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2CB1E15D" w14:textId="77777777" w:rsidR="00961617" w:rsidRPr="00545C7F" w:rsidRDefault="00961617" w:rsidP="0020771F">
            <w:pPr>
              <w:spacing w:after="0"/>
              <w:rPr>
                <w:rFonts w:cstheme="minorHAnsi"/>
                <w:sz w:val="20"/>
                <w:szCs w:val="20"/>
              </w:rPr>
            </w:pPr>
            <w:r w:rsidRPr="00545C7F">
              <w:rPr>
                <w:rFonts w:cstheme="minorHAnsi"/>
                <w:sz w:val="20"/>
                <w:szCs w:val="20"/>
              </w:rPr>
              <w:t>Females</w:t>
            </w:r>
          </w:p>
        </w:tc>
        <w:tc>
          <w:tcPr>
            <w:tcW w:w="1289" w:type="dxa"/>
            <w:tcBorders>
              <w:top w:val="nil"/>
              <w:left w:val="nil"/>
              <w:right w:val="nil"/>
            </w:tcBorders>
            <w:shd w:val="clear" w:color="auto" w:fill="E5E5E5" w:themeFill="background1" w:themeFillTint="33"/>
            <w:noWrap/>
            <w:vAlign w:val="center"/>
            <w:hideMark/>
          </w:tcPr>
          <w:p w14:paraId="3F1F8AAC"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75.2</w:t>
            </w:r>
          </w:p>
        </w:tc>
        <w:tc>
          <w:tcPr>
            <w:tcW w:w="1290" w:type="dxa"/>
            <w:tcBorders>
              <w:top w:val="nil"/>
              <w:left w:val="nil"/>
              <w:right w:val="nil"/>
            </w:tcBorders>
            <w:shd w:val="clear" w:color="auto" w:fill="E5E5E5" w:themeFill="background1" w:themeFillTint="33"/>
            <w:noWrap/>
            <w:vAlign w:val="center"/>
            <w:hideMark/>
          </w:tcPr>
          <w:p w14:paraId="3817B2D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22.6</w:t>
            </w:r>
          </w:p>
        </w:tc>
        <w:tc>
          <w:tcPr>
            <w:tcW w:w="1290" w:type="dxa"/>
            <w:tcBorders>
              <w:top w:val="nil"/>
              <w:left w:val="nil"/>
              <w:right w:val="nil"/>
            </w:tcBorders>
            <w:shd w:val="clear" w:color="auto" w:fill="E5E5E5" w:themeFill="background1" w:themeFillTint="33"/>
            <w:noWrap/>
            <w:vAlign w:val="center"/>
            <w:hideMark/>
          </w:tcPr>
          <w:p w14:paraId="0033B69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71.3</w:t>
            </w:r>
          </w:p>
        </w:tc>
        <w:tc>
          <w:tcPr>
            <w:tcW w:w="1290" w:type="dxa"/>
            <w:tcBorders>
              <w:top w:val="nil"/>
              <w:left w:val="nil"/>
              <w:right w:val="nil"/>
            </w:tcBorders>
            <w:shd w:val="clear" w:color="auto" w:fill="E5E5E5" w:themeFill="background1" w:themeFillTint="33"/>
            <w:noWrap/>
            <w:vAlign w:val="center"/>
            <w:hideMark/>
          </w:tcPr>
          <w:p w14:paraId="5AF0C7AC"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24.4</w:t>
            </w:r>
          </w:p>
        </w:tc>
        <w:tc>
          <w:tcPr>
            <w:tcW w:w="1290" w:type="dxa"/>
            <w:tcBorders>
              <w:top w:val="nil"/>
              <w:left w:val="nil"/>
              <w:right w:val="nil"/>
            </w:tcBorders>
            <w:shd w:val="clear" w:color="auto" w:fill="E5E5E5" w:themeFill="background1" w:themeFillTint="33"/>
            <w:noWrap/>
            <w:vAlign w:val="center"/>
            <w:hideMark/>
          </w:tcPr>
          <w:p w14:paraId="62290540"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-3.9</w:t>
            </w:r>
          </w:p>
        </w:tc>
        <w:tc>
          <w:tcPr>
            <w:tcW w:w="1290" w:type="dxa"/>
            <w:tcBorders>
              <w:top w:val="nil"/>
              <w:left w:val="nil"/>
              <w:right w:val="nil"/>
            </w:tcBorders>
            <w:shd w:val="clear" w:color="auto" w:fill="E5E5E5" w:themeFill="background1" w:themeFillTint="33"/>
            <w:noWrap/>
            <w:vAlign w:val="center"/>
            <w:hideMark/>
          </w:tcPr>
          <w:p w14:paraId="5ABB4276"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1.8</w:t>
            </w:r>
          </w:p>
        </w:tc>
      </w:tr>
      <w:tr w:rsidR="00961617" w:rsidRPr="00545C7F" w14:paraId="65534048"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3C2F7D63" w14:textId="77777777" w:rsidR="00961617" w:rsidRPr="00545C7F" w:rsidRDefault="00961617" w:rsidP="0020771F">
            <w:pPr>
              <w:spacing w:after="0"/>
              <w:rPr>
                <w:rFonts w:cstheme="minorHAnsi"/>
                <w:sz w:val="20"/>
                <w:szCs w:val="20"/>
              </w:rPr>
            </w:pPr>
            <w:r w:rsidRPr="00545C7F">
              <w:rPr>
                <w:rFonts w:cstheme="minorHAnsi"/>
                <w:sz w:val="20"/>
                <w:szCs w:val="20"/>
              </w:rPr>
              <w:t>Major Cities of Australia</w:t>
            </w:r>
          </w:p>
        </w:tc>
        <w:tc>
          <w:tcPr>
            <w:tcW w:w="1289" w:type="dxa"/>
            <w:tcBorders>
              <w:top w:val="nil"/>
              <w:left w:val="nil"/>
              <w:bottom w:val="nil"/>
              <w:right w:val="nil"/>
            </w:tcBorders>
            <w:shd w:val="clear" w:color="auto" w:fill="FFFFFF" w:themeFill="background2"/>
            <w:noWrap/>
            <w:vAlign w:val="center"/>
            <w:hideMark/>
          </w:tcPr>
          <w:p w14:paraId="04EA0F11"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75.1</w:t>
            </w:r>
          </w:p>
        </w:tc>
        <w:tc>
          <w:tcPr>
            <w:tcW w:w="1290" w:type="dxa"/>
            <w:tcBorders>
              <w:top w:val="nil"/>
              <w:left w:val="nil"/>
              <w:bottom w:val="nil"/>
              <w:right w:val="nil"/>
            </w:tcBorders>
            <w:shd w:val="clear" w:color="auto" w:fill="FFFFFF" w:themeFill="background2"/>
            <w:noWrap/>
            <w:vAlign w:val="center"/>
            <w:hideMark/>
          </w:tcPr>
          <w:p w14:paraId="2250B953"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20.8</w:t>
            </w:r>
          </w:p>
        </w:tc>
        <w:tc>
          <w:tcPr>
            <w:tcW w:w="1290" w:type="dxa"/>
            <w:tcBorders>
              <w:top w:val="nil"/>
              <w:left w:val="nil"/>
              <w:bottom w:val="nil"/>
              <w:right w:val="nil"/>
            </w:tcBorders>
            <w:shd w:val="clear" w:color="auto" w:fill="FFFFFF" w:themeFill="background2"/>
            <w:noWrap/>
            <w:vAlign w:val="center"/>
            <w:hideMark/>
          </w:tcPr>
          <w:p w14:paraId="0DE256D5"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67.2</w:t>
            </w:r>
          </w:p>
        </w:tc>
        <w:tc>
          <w:tcPr>
            <w:tcW w:w="1290" w:type="dxa"/>
            <w:tcBorders>
              <w:top w:val="nil"/>
              <w:left w:val="nil"/>
              <w:bottom w:val="nil"/>
              <w:right w:val="nil"/>
            </w:tcBorders>
            <w:shd w:val="clear" w:color="auto" w:fill="FFFFFF" w:themeFill="background2"/>
            <w:noWrap/>
            <w:vAlign w:val="center"/>
            <w:hideMark/>
          </w:tcPr>
          <w:p w14:paraId="3F29ED4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21.5</w:t>
            </w:r>
          </w:p>
        </w:tc>
        <w:tc>
          <w:tcPr>
            <w:tcW w:w="1290" w:type="dxa"/>
            <w:tcBorders>
              <w:top w:val="nil"/>
              <w:left w:val="nil"/>
              <w:bottom w:val="nil"/>
              <w:right w:val="nil"/>
            </w:tcBorders>
            <w:shd w:val="clear" w:color="auto" w:fill="FFFFFF" w:themeFill="background2"/>
            <w:noWrap/>
            <w:vAlign w:val="center"/>
            <w:hideMark/>
          </w:tcPr>
          <w:p w14:paraId="468012E8"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-7.9</w:t>
            </w:r>
          </w:p>
        </w:tc>
        <w:tc>
          <w:tcPr>
            <w:tcW w:w="1290" w:type="dxa"/>
            <w:tcBorders>
              <w:top w:val="nil"/>
              <w:left w:val="nil"/>
              <w:bottom w:val="nil"/>
              <w:right w:val="nil"/>
            </w:tcBorders>
            <w:shd w:val="clear" w:color="auto" w:fill="FFFFFF" w:themeFill="background2"/>
            <w:noWrap/>
            <w:vAlign w:val="center"/>
            <w:hideMark/>
          </w:tcPr>
          <w:p w14:paraId="3A6239E1"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0.7</w:t>
            </w:r>
          </w:p>
        </w:tc>
      </w:tr>
      <w:tr w:rsidR="00961617" w:rsidRPr="00545C7F" w14:paraId="61EFA07C"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45D5F84D" w14:textId="77777777" w:rsidR="00961617" w:rsidRPr="00545C7F" w:rsidRDefault="00961617" w:rsidP="0020771F">
            <w:pPr>
              <w:spacing w:after="0"/>
              <w:rPr>
                <w:rFonts w:cstheme="minorHAnsi"/>
                <w:sz w:val="20"/>
                <w:szCs w:val="20"/>
              </w:rPr>
            </w:pPr>
            <w:r w:rsidRPr="00545C7F">
              <w:rPr>
                <w:rFonts w:cstheme="minorHAnsi"/>
                <w:sz w:val="20"/>
                <w:szCs w:val="20"/>
              </w:rPr>
              <w:t>Inner Regional Australia</w:t>
            </w:r>
          </w:p>
        </w:tc>
        <w:tc>
          <w:tcPr>
            <w:tcW w:w="1289" w:type="dxa"/>
            <w:tcBorders>
              <w:top w:val="nil"/>
              <w:left w:val="nil"/>
              <w:right w:val="nil"/>
            </w:tcBorders>
            <w:shd w:val="clear" w:color="auto" w:fill="E5E5E5" w:themeFill="background1" w:themeFillTint="33"/>
            <w:noWrap/>
            <w:vAlign w:val="center"/>
            <w:hideMark/>
          </w:tcPr>
          <w:p w14:paraId="3CA37C43"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76.4</w:t>
            </w:r>
          </w:p>
        </w:tc>
        <w:tc>
          <w:tcPr>
            <w:tcW w:w="1290" w:type="dxa"/>
            <w:tcBorders>
              <w:top w:val="nil"/>
              <w:left w:val="nil"/>
              <w:right w:val="nil"/>
            </w:tcBorders>
            <w:shd w:val="clear" w:color="auto" w:fill="E5E5E5" w:themeFill="background1" w:themeFillTint="33"/>
            <w:noWrap/>
            <w:vAlign w:val="center"/>
            <w:hideMark/>
          </w:tcPr>
          <w:p w14:paraId="66E2EB75"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23.1</w:t>
            </w:r>
          </w:p>
        </w:tc>
        <w:tc>
          <w:tcPr>
            <w:tcW w:w="1290" w:type="dxa"/>
            <w:tcBorders>
              <w:top w:val="nil"/>
              <w:left w:val="nil"/>
              <w:right w:val="nil"/>
            </w:tcBorders>
            <w:shd w:val="clear" w:color="auto" w:fill="E5E5E5" w:themeFill="background1" w:themeFillTint="33"/>
            <w:noWrap/>
            <w:vAlign w:val="center"/>
            <w:hideMark/>
          </w:tcPr>
          <w:p w14:paraId="2A6FCE8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70.5</w:t>
            </w:r>
          </w:p>
        </w:tc>
        <w:tc>
          <w:tcPr>
            <w:tcW w:w="1290" w:type="dxa"/>
            <w:tcBorders>
              <w:top w:val="nil"/>
              <w:left w:val="nil"/>
              <w:right w:val="nil"/>
            </w:tcBorders>
            <w:shd w:val="clear" w:color="auto" w:fill="E5E5E5" w:themeFill="background1" w:themeFillTint="33"/>
            <w:noWrap/>
            <w:vAlign w:val="center"/>
            <w:hideMark/>
          </w:tcPr>
          <w:p w14:paraId="1E5307E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25.4</w:t>
            </w:r>
          </w:p>
        </w:tc>
        <w:tc>
          <w:tcPr>
            <w:tcW w:w="1290" w:type="dxa"/>
            <w:tcBorders>
              <w:top w:val="nil"/>
              <w:left w:val="nil"/>
              <w:right w:val="nil"/>
            </w:tcBorders>
            <w:shd w:val="clear" w:color="auto" w:fill="E5E5E5" w:themeFill="background1" w:themeFillTint="33"/>
            <w:noWrap/>
            <w:vAlign w:val="center"/>
            <w:hideMark/>
          </w:tcPr>
          <w:p w14:paraId="72621FB9"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-5.9</w:t>
            </w:r>
          </w:p>
        </w:tc>
        <w:tc>
          <w:tcPr>
            <w:tcW w:w="1290" w:type="dxa"/>
            <w:tcBorders>
              <w:top w:val="nil"/>
              <w:left w:val="nil"/>
              <w:right w:val="nil"/>
            </w:tcBorders>
            <w:shd w:val="clear" w:color="auto" w:fill="E5E5E5" w:themeFill="background1" w:themeFillTint="33"/>
            <w:noWrap/>
            <w:vAlign w:val="center"/>
            <w:hideMark/>
          </w:tcPr>
          <w:p w14:paraId="3967E602"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2.3</w:t>
            </w:r>
          </w:p>
        </w:tc>
      </w:tr>
      <w:tr w:rsidR="00961617" w:rsidRPr="00545C7F" w14:paraId="1A4E19CD"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40EC9302" w14:textId="77777777" w:rsidR="00961617" w:rsidRPr="00545C7F" w:rsidRDefault="00961617" w:rsidP="0020771F">
            <w:pPr>
              <w:spacing w:after="0"/>
              <w:rPr>
                <w:rFonts w:cstheme="minorHAnsi"/>
                <w:sz w:val="20"/>
                <w:szCs w:val="20"/>
              </w:rPr>
            </w:pPr>
            <w:r w:rsidRPr="00545C7F">
              <w:rPr>
                <w:rFonts w:cstheme="minorHAnsi"/>
                <w:sz w:val="20"/>
                <w:szCs w:val="20"/>
              </w:rPr>
              <w:t>Other</w:t>
            </w:r>
          </w:p>
        </w:tc>
        <w:tc>
          <w:tcPr>
            <w:tcW w:w="1289" w:type="dxa"/>
            <w:tcBorders>
              <w:top w:val="nil"/>
              <w:left w:val="nil"/>
              <w:right w:val="nil"/>
            </w:tcBorders>
            <w:shd w:val="clear" w:color="auto" w:fill="FFFFFF" w:themeFill="background2"/>
            <w:noWrap/>
            <w:vAlign w:val="center"/>
            <w:hideMark/>
          </w:tcPr>
          <w:p w14:paraId="4ED08506"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76.3</w:t>
            </w:r>
          </w:p>
        </w:tc>
        <w:tc>
          <w:tcPr>
            <w:tcW w:w="1290" w:type="dxa"/>
            <w:tcBorders>
              <w:top w:val="nil"/>
              <w:left w:val="nil"/>
              <w:right w:val="nil"/>
            </w:tcBorders>
            <w:shd w:val="clear" w:color="auto" w:fill="FFFFFF" w:themeFill="background2"/>
            <w:noWrap/>
            <w:vAlign w:val="center"/>
            <w:hideMark/>
          </w:tcPr>
          <w:p w14:paraId="308C141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18.6</w:t>
            </w:r>
          </w:p>
        </w:tc>
        <w:tc>
          <w:tcPr>
            <w:tcW w:w="1290" w:type="dxa"/>
            <w:tcBorders>
              <w:top w:val="nil"/>
              <w:left w:val="nil"/>
              <w:right w:val="nil"/>
            </w:tcBorders>
            <w:shd w:val="clear" w:color="auto" w:fill="FFFFFF" w:themeFill="background2"/>
            <w:noWrap/>
            <w:vAlign w:val="center"/>
            <w:hideMark/>
          </w:tcPr>
          <w:p w14:paraId="08EB993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76.9</w:t>
            </w:r>
          </w:p>
        </w:tc>
        <w:tc>
          <w:tcPr>
            <w:tcW w:w="1290" w:type="dxa"/>
            <w:tcBorders>
              <w:top w:val="nil"/>
              <w:left w:val="nil"/>
              <w:right w:val="nil"/>
            </w:tcBorders>
            <w:shd w:val="clear" w:color="auto" w:fill="FFFFFF" w:themeFill="background2"/>
            <w:noWrap/>
            <w:vAlign w:val="center"/>
            <w:hideMark/>
          </w:tcPr>
          <w:p w14:paraId="5160905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15.8</w:t>
            </w:r>
          </w:p>
        </w:tc>
        <w:tc>
          <w:tcPr>
            <w:tcW w:w="1290" w:type="dxa"/>
            <w:tcBorders>
              <w:top w:val="nil"/>
              <w:left w:val="nil"/>
              <w:right w:val="nil"/>
            </w:tcBorders>
            <w:shd w:val="clear" w:color="auto" w:fill="FFFFFF" w:themeFill="background2"/>
            <w:noWrap/>
            <w:vAlign w:val="center"/>
            <w:hideMark/>
          </w:tcPr>
          <w:p w14:paraId="008D5104"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0.6</w:t>
            </w:r>
          </w:p>
        </w:tc>
        <w:tc>
          <w:tcPr>
            <w:tcW w:w="1290" w:type="dxa"/>
            <w:tcBorders>
              <w:top w:val="nil"/>
              <w:left w:val="nil"/>
              <w:right w:val="nil"/>
            </w:tcBorders>
            <w:shd w:val="clear" w:color="auto" w:fill="FFFFFF" w:themeFill="background2"/>
            <w:noWrap/>
            <w:vAlign w:val="center"/>
            <w:hideMark/>
          </w:tcPr>
          <w:p w14:paraId="4869B4E9"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-2.8</w:t>
            </w:r>
          </w:p>
        </w:tc>
      </w:tr>
      <w:tr w:rsidR="00961617" w:rsidRPr="00545C7F" w14:paraId="37B54345"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41409388" w14:textId="77777777" w:rsidR="00961617" w:rsidRPr="00545C7F" w:rsidRDefault="00961617" w:rsidP="0020771F">
            <w:pPr>
              <w:spacing w:after="0"/>
              <w:rPr>
                <w:rFonts w:cstheme="minorHAnsi"/>
                <w:sz w:val="20"/>
                <w:szCs w:val="20"/>
              </w:rPr>
            </w:pPr>
            <w:r w:rsidRPr="00545C7F">
              <w:rPr>
                <w:rFonts w:cstheme="minorHAnsi"/>
                <w:sz w:val="20"/>
                <w:szCs w:val="20"/>
              </w:rPr>
              <w:t>Highest level of education: Less than Year 10</w:t>
            </w:r>
          </w:p>
        </w:tc>
        <w:tc>
          <w:tcPr>
            <w:tcW w:w="1289" w:type="dxa"/>
            <w:tcBorders>
              <w:top w:val="nil"/>
              <w:left w:val="nil"/>
              <w:bottom w:val="nil"/>
              <w:right w:val="nil"/>
            </w:tcBorders>
            <w:shd w:val="clear" w:color="auto" w:fill="E5E5E5" w:themeFill="background1" w:themeFillTint="33"/>
            <w:noWrap/>
            <w:vAlign w:val="center"/>
            <w:hideMark/>
          </w:tcPr>
          <w:p w14:paraId="65689BE0"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67.2</w:t>
            </w:r>
          </w:p>
        </w:tc>
        <w:tc>
          <w:tcPr>
            <w:tcW w:w="1290" w:type="dxa"/>
            <w:tcBorders>
              <w:top w:val="nil"/>
              <w:left w:val="nil"/>
              <w:bottom w:val="nil"/>
              <w:right w:val="nil"/>
            </w:tcBorders>
            <w:shd w:val="clear" w:color="auto" w:fill="E5E5E5" w:themeFill="background1" w:themeFillTint="33"/>
            <w:noWrap/>
            <w:vAlign w:val="center"/>
            <w:hideMark/>
          </w:tcPr>
          <w:p w14:paraId="7930C78C"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bottom w:val="nil"/>
              <w:right w:val="nil"/>
            </w:tcBorders>
            <w:shd w:val="clear" w:color="auto" w:fill="E5E5E5" w:themeFill="background1" w:themeFillTint="33"/>
            <w:noWrap/>
            <w:vAlign w:val="center"/>
            <w:hideMark/>
          </w:tcPr>
          <w:p w14:paraId="5F644AA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61.4</w:t>
            </w:r>
          </w:p>
        </w:tc>
        <w:tc>
          <w:tcPr>
            <w:tcW w:w="1290" w:type="dxa"/>
            <w:tcBorders>
              <w:top w:val="nil"/>
              <w:left w:val="nil"/>
              <w:bottom w:val="nil"/>
              <w:right w:val="nil"/>
            </w:tcBorders>
            <w:shd w:val="clear" w:color="auto" w:fill="E5E5E5" w:themeFill="background1" w:themeFillTint="33"/>
            <w:noWrap/>
            <w:vAlign w:val="center"/>
            <w:hideMark/>
          </w:tcPr>
          <w:p w14:paraId="258FFD9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bottom w:val="nil"/>
              <w:right w:val="nil"/>
            </w:tcBorders>
            <w:shd w:val="clear" w:color="auto" w:fill="E5E5E5" w:themeFill="background1" w:themeFillTint="33"/>
            <w:noWrap/>
            <w:vAlign w:val="center"/>
            <w:hideMark/>
          </w:tcPr>
          <w:p w14:paraId="20009AC5"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-5.8</w:t>
            </w:r>
          </w:p>
        </w:tc>
        <w:tc>
          <w:tcPr>
            <w:tcW w:w="1290" w:type="dxa"/>
            <w:tcBorders>
              <w:top w:val="nil"/>
              <w:left w:val="nil"/>
              <w:bottom w:val="nil"/>
              <w:right w:val="nil"/>
            </w:tcBorders>
            <w:shd w:val="clear" w:color="auto" w:fill="E5E5E5" w:themeFill="background1" w:themeFillTint="33"/>
            <w:noWrap/>
            <w:vAlign w:val="center"/>
            <w:hideMark/>
          </w:tcPr>
          <w:p w14:paraId="523E3648"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 xml:space="preserve"> ^</w:t>
            </w:r>
          </w:p>
        </w:tc>
      </w:tr>
      <w:tr w:rsidR="00961617" w:rsidRPr="00545C7F" w14:paraId="5E2E67AC"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3FE2831C" w14:textId="77777777" w:rsidR="00961617" w:rsidRPr="00545C7F" w:rsidRDefault="00961617" w:rsidP="0020771F">
            <w:pPr>
              <w:spacing w:after="0"/>
              <w:rPr>
                <w:rFonts w:cstheme="minorHAnsi"/>
                <w:sz w:val="20"/>
                <w:szCs w:val="20"/>
              </w:rPr>
            </w:pPr>
            <w:r w:rsidRPr="00545C7F">
              <w:rPr>
                <w:rFonts w:cstheme="minorHAnsi"/>
                <w:sz w:val="20"/>
                <w:szCs w:val="20"/>
              </w:rPr>
              <w:t>Highest level of education: Year 10 or Year 11</w:t>
            </w:r>
          </w:p>
        </w:tc>
        <w:tc>
          <w:tcPr>
            <w:tcW w:w="1289" w:type="dxa"/>
            <w:tcBorders>
              <w:top w:val="nil"/>
              <w:left w:val="nil"/>
              <w:bottom w:val="nil"/>
              <w:right w:val="nil"/>
            </w:tcBorders>
            <w:shd w:val="clear" w:color="auto" w:fill="FFFFFF" w:themeFill="background2"/>
            <w:noWrap/>
            <w:vAlign w:val="center"/>
            <w:hideMark/>
          </w:tcPr>
          <w:p w14:paraId="6FCCA93A"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72.9</w:t>
            </w:r>
          </w:p>
        </w:tc>
        <w:tc>
          <w:tcPr>
            <w:tcW w:w="1290" w:type="dxa"/>
            <w:tcBorders>
              <w:top w:val="nil"/>
              <w:left w:val="nil"/>
              <w:bottom w:val="nil"/>
              <w:right w:val="nil"/>
            </w:tcBorders>
            <w:shd w:val="clear" w:color="auto" w:fill="FFFFFF" w:themeFill="background2"/>
            <w:noWrap/>
            <w:vAlign w:val="center"/>
            <w:hideMark/>
          </w:tcPr>
          <w:p w14:paraId="1985110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12.1</w:t>
            </w:r>
          </w:p>
        </w:tc>
        <w:tc>
          <w:tcPr>
            <w:tcW w:w="1290" w:type="dxa"/>
            <w:tcBorders>
              <w:top w:val="nil"/>
              <w:left w:val="nil"/>
              <w:bottom w:val="nil"/>
              <w:right w:val="nil"/>
            </w:tcBorders>
            <w:shd w:val="clear" w:color="auto" w:fill="FFFFFF" w:themeFill="background2"/>
            <w:noWrap/>
            <w:vAlign w:val="center"/>
            <w:hideMark/>
          </w:tcPr>
          <w:p w14:paraId="20EB163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64.9</w:t>
            </w:r>
          </w:p>
        </w:tc>
        <w:tc>
          <w:tcPr>
            <w:tcW w:w="1290" w:type="dxa"/>
            <w:tcBorders>
              <w:top w:val="nil"/>
              <w:left w:val="nil"/>
              <w:bottom w:val="nil"/>
              <w:right w:val="nil"/>
            </w:tcBorders>
            <w:shd w:val="clear" w:color="auto" w:fill="FFFFFF" w:themeFill="background2"/>
            <w:noWrap/>
            <w:vAlign w:val="center"/>
            <w:hideMark/>
          </w:tcPr>
          <w:p w14:paraId="75C0A35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7.3</w:t>
            </w:r>
          </w:p>
        </w:tc>
        <w:tc>
          <w:tcPr>
            <w:tcW w:w="1290" w:type="dxa"/>
            <w:tcBorders>
              <w:top w:val="nil"/>
              <w:left w:val="nil"/>
              <w:bottom w:val="nil"/>
              <w:right w:val="nil"/>
            </w:tcBorders>
            <w:shd w:val="clear" w:color="auto" w:fill="FFFFFF" w:themeFill="background2"/>
            <w:noWrap/>
            <w:vAlign w:val="center"/>
            <w:hideMark/>
          </w:tcPr>
          <w:p w14:paraId="7A47D6A9"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-8.0</w:t>
            </w:r>
          </w:p>
        </w:tc>
        <w:tc>
          <w:tcPr>
            <w:tcW w:w="1290" w:type="dxa"/>
            <w:tcBorders>
              <w:top w:val="nil"/>
              <w:left w:val="nil"/>
              <w:bottom w:val="nil"/>
              <w:right w:val="nil"/>
            </w:tcBorders>
            <w:shd w:val="clear" w:color="auto" w:fill="FFFFFF" w:themeFill="background2"/>
            <w:noWrap/>
            <w:vAlign w:val="center"/>
            <w:hideMark/>
          </w:tcPr>
          <w:p w14:paraId="3103144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-4.8</w:t>
            </w:r>
          </w:p>
        </w:tc>
      </w:tr>
      <w:tr w:rsidR="00961617" w:rsidRPr="00545C7F" w14:paraId="1B1BE398"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354C16F0" w14:textId="77777777" w:rsidR="00961617" w:rsidRPr="00545C7F" w:rsidRDefault="00961617" w:rsidP="0020771F">
            <w:pPr>
              <w:spacing w:after="0"/>
              <w:rPr>
                <w:rFonts w:cstheme="minorHAnsi"/>
                <w:sz w:val="20"/>
                <w:szCs w:val="20"/>
              </w:rPr>
            </w:pPr>
            <w:r w:rsidRPr="00545C7F">
              <w:rPr>
                <w:rFonts w:cstheme="minorHAnsi"/>
                <w:sz w:val="20"/>
                <w:szCs w:val="20"/>
              </w:rPr>
              <w:t>Highest level of education: Year 12</w:t>
            </w:r>
          </w:p>
        </w:tc>
        <w:tc>
          <w:tcPr>
            <w:tcW w:w="1289" w:type="dxa"/>
            <w:tcBorders>
              <w:top w:val="nil"/>
              <w:left w:val="nil"/>
              <w:bottom w:val="nil"/>
              <w:right w:val="nil"/>
            </w:tcBorders>
            <w:shd w:val="clear" w:color="auto" w:fill="E5E5E5" w:themeFill="background1" w:themeFillTint="33"/>
            <w:noWrap/>
            <w:vAlign w:val="center"/>
            <w:hideMark/>
          </w:tcPr>
          <w:p w14:paraId="4318CCC7"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71.3</w:t>
            </w:r>
          </w:p>
        </w:tc>
        <w:tc>
          <w:tcPr>
            <w:tcW w:w="1290" w:type="dxa"/>
            <w:tcBorders>
              <w:top w:val="nil"/>
              <w:left w:val="nil"/>
              <w:bottom w:val="nil"/>
              <w:right w:val="nil"/>
            </w:tcBorders>
            <w:shd w:val="clear" w:color="auto" w:fill="E5E5E5" w:themeFill="background1" w:themeFillTint="33"/>
            <w:noWrap/>
            <w:vAlign w:val="center"/>
            <w:hideMark/>
          </w:tcPr>
          <w:p w14:paraId="2974D51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31.9</w:t>
            </w:r>
          </w:p>
        </w:tc>
        <w:tc>
          <w:tcPr>
            <w:tcW w:w="1290" w:type="dxa"/>
            <w:tcBorders>
              <w:top w:val="nil"/>
              <w:left w:val="nil"/>
              <w:bottom w:val="nil"/>
              <w:right w:val="nil"/>
            </w:tcBorders>
            <w:shd w:val="clear" w:color="auto" w:fill="E5E5E5" w:themeFill="background1" w:themeFillTint="33"/>
            <w:noWrap/>
            <w:vAlign w:val="center"/>
            <w:hideMark/>
          </w:tcPr>
          <w:p w14:paraId="021FDBA7"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60.9</w:t>
            </w:r>
          </w:p>
        </w:tc>
        <w:tc>
          <w:tcPr>
            <w:tcW w:w="1290" w:type="dxa"/>
            <w:tcBorders>
              <w:top w:val="nil"/>
              <w:left w:val="nil"/>
              <w:bottom w:val="nil"/>
              <w:right w:val="nil"/>
            </w:tcBorders>
            <w:shd w:val="clear" w:color="auto" w:fill="E5E5E5" w:themeFill="background1" w:themeFillTint="33"/>
            <w:noWrap/>
            <w:vAlign w:val="center"/>
            <w:hideMark/>
          </w:tcPr>
          <w:p w14:paraId="1B3A58A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34.6</w:t>
            </w:r>
          </w:p>
        </w:tc>
        <w:tc>
          <w:tcPr>
            <w:tcW w:w="1290" w:type="dxa"/>
            <w:tcBorders>
              <w:top w:val="nil"/>
              <w:left w:val="nil"/>
              <w:bottom w:val="nil"/>
              <w:right w:val="nil"/>
            </w:tcBorders>
            <w:shd w:val="clear" w:color="auto" w:fill="E5E5E5" w:themeFill="background1" w:themeFillTint="33"/>
            <w:noWrap/>
            <w:vAlign w:val="center"/>
            <w:hideMark/>
          </w:tcPr>
          <w:p w14:paraId="2867E759"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-10.4</w:t>
            </w:r>
          </w:p>
        </w:tc>
        <w:tc>
          <w:tcPr>
            <w:tcW w:w="1290" w:type="dxa"/>
            <w:tcBorders>
              <w:top w:val="nil"/>
              <w:left w:val="nil"/>
              <w:bottom w:val="nil"/>
              <w:right w:val="nil"/>
            </w:tcBorders>
            <w:shd w:val="clear" w:color="auto" w:fill="E5E5E5" w:themeFill="background1" w:themeFillTint="33"/>
            <w:noWrap/>
            <w:vAlign w:val="center"/>
            <w:hideMark/>
          </w:tcPr>
          <w:p w14:paraId="3523024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2.7</w:t>
            </w:r>
          </w:p>
        </w:tc>
      </w:tr>
      <w:tr w:rsidR="00961617" w:rsidRPr="00545C7F" w14:paraId="55DF4290"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17F70AB9" w14:textId="77777777" w:rsidR="00961617" w:rsidRPr="00545C7F" w:rsidRDefault="00961617" w:rsidP="0020771F">
            <w:pPr>
              <w:spacing w:after="0"/>
              <w:rPr>
                <w:rFonts w:cstheme="minorHAnsi"/>
                <w:sz w:val="20"/>
                <w:szCs w:val="20"/>
              </w:rPr>
            </w:pPr>
            <w:r w:rsidRPr="00545C7F">
              <w:rPr>
                <w:rFonts w:cstheme="minorHAnsi"/>
                <w:sz w:val="20"/>
                <w:szCs w:val="20"/>
              </w:rPr>
              <w:t>Highest level of education: TAFE / Diploma</w:t>
            </w:r>
          </w:p>
        </w:tc>
        <w:tc>
          <w:tcPr>
            <w:tcW w:w="1289" w:type="dxa"/>
            <w:tcBorders>
              <w:top w:val="nil"/>
              <w:left w:val="nil"/>
              <w:right w:val="nil"/>
            </w:tcBorders>
            <w:shd w:val="clear" w:color="auto" w:fill="FFFFFF" w:themeFill="background2"/>
            <w:noWrap/>
            <w:vAlign w:val="center"/>
            <w:hideMark/>
          </w:tcPr>
          <w:p w14:paraId="7B632023"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77.0</w:t>
            </w:r>
          </w:p>
        </w:tc>
        <w:tc>
          <w:tcPr>
            <w:tcW w:w="1290" w:type="dxa"/>
            <w:tcBorders>
              <w:top w:val="nil"/>
              <w:left w:val="nil"/>
              <w:right w:val="nil"/>
            </w:tcBorders>
            <w:shd w:val="clear" w:color="auto" w:fill="FFFFFF" w:themeFill="background2"/>
            <w:noWrap/>
            <w:vAlign w:val="center"/>
            <w:hideMark/>
          </w:tcPr>
          <w:p w14:paraId="24D4E31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18.7</w:t>
            </w:r>
          </w:p>
        </w:tc>
        <w:tc>
          <w:tcPr>
            <w:tcW w:w="1290" w:type="dxa"/>
            <w:tcBorders>
              <w:top w:val="nil"/>
              <w:left w:val="nil"/>
              <w:right w:val="nil"/>
            </w:tcBorders>
            <w:shd w:val="clear" w:color="auto" w:fill="FFFFFF" w:themeFill="background2"/>
            <w:noWrap/>
            <w:vAlign w:val="center"/>
            <w:hideMark/>
          </w:tcPr>
          <w:p w14:paraId="1619A7E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70.1</w:t>
            </w:r>
          </w:p>
        </w:tc>
        <w:tc>
          <w:tcPr>
            <w:tcW w:w="1290" w:type="dxa"/>
            <w:tcBorders>
              <w:top w:val="nil"/>
              <w:left w:val="nil"/>
              <w:right w:val="nil"/>
            </w:tcBorders>
            <w:shd w:val="clear" w:color="auto" w:fill="FFFFFF" w:themeFill="background2"/>
            <w:noWrap/>
            <w:vAlign w:val="center"/>
            <w:hideMark/>
          </w:tcPr>
          <w:p w14:paraId="714A1C2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21.2</w:t>
            </w:r>
          </w:p>
        </w:tc>
        <w:tc>
          <w:tcPr>
            <w:tcW w:w="1290" w:type="dxa"/>
            <w:tcBorders>
              <w:top w:val="nil"/>
              <w:left w:val="nil"/>
              <w:right w:val="nil"/>
            </w:tcBorders>
            <w:shd w:val="clear" w:color="auto" w:fill="FFFFFF" w:themeFill="background2"/>
            <w:noWrap/>
            <w:vAlign w:val="center"/>
            <w:hideMark/>
          </w:tcPr>
          <w:p w14:paraId="43262370"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-6.9</w:t>
            </w:r>
          </w:p>
        </w:tc>
        <w:tc>
          <w:tcPr>
            <w:tcW w:w="1290" w:type="dxa"/>
            <w:tcBorders>
              <w:top w:val="nil"/>
              <w:left w:val="nil"/>
              <w:right w:val="nil"/>
            </w:tcBorders>
            <w:shd w:val="clear" w:color="auto" w:fill="FFFFFF" w:themeFill="background2"/>
            <w:noWrap/>
            <w:vAlign w:val="center"/>
            <w:hideMark/>
          </w:tcPr>
          <w:p w14:paraId="292A467F"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2.5</w:t>
            </w:r>
          </w:p>
        </w:tc>
      </w:tr>
      <w:tr w:rsidR="00961617" w:rsidRPr="00545C7F" w14:paraId="76B8D8A6"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710972A4" w14:textId="77777777" w:rsidR="00961617" w:rsidRPr="00545C7F" w:rsidRDefault="00961617" w:rsidP="0020771F">
            <w:pPr>
              <w:spacing w:after="0"/>
              <w:rPr>
                <w:rFonts w:cstheme="minorHAnsi"/>
                <w:sz w:val="20"/>
                <w:szCs w:val="20"/>
              </w:rPr>
            </w:pPr>
            <w:r w:rsidRPr="00545C7F">
              <w:rPr>
                <w:rFonts w:cstheme="minorHAnsi"/>
                <w:sz w:val="20"/>
                <w:szCs w:val="20"/>
              </w:rPr>
              <w:t>Highest level of education: Degree or post graduate</w:t>
            </w:r>
          </w:p>
        </w:tc>
        <w:tc>
          <w:tcPr>
            <w:tcW w:w="1289" w:type="dxa"/>
            <w:tcBorders>
              <w:top w:val="nil"/>
              <w:left w:val="nil"/>
              <w:right w:val="nil"/>
            </w:tcBorders>
            <w:shd w:val="clear" w:color="auto" w:fill="E5E5E5" w:themeFill="background1" w:themeFillTint="33"/>
            <w:noWrap/>
            <w:vAlign w:val="center"/>
            <w:hideMark/>
          </w:tcPr>
          <w:p w14:paraId="127FDFBD"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80.3</w:t>
            </w:r>
          </w:p>
        </w:tc>
        <w:tc>
          <w:tcPr>
            <w:tcW w:w="1290" w:type="dxa"/>
            <w:tcBorders>
              <w:top w:val="nil"/>
              <w:left w:val="nil"/>
              <w:right w:val="nil"/>
            </w:tcBorders>
            <w:shd w:val="clear" w:color="auto" w:fill="E5E5E5" w:themeFill="background1" w:themeFillTint="33"/>
            <w:noWrap/>
            <w:vAlign w:val="center"/>
            <w:hideMark/>
          </w:tcPr>
          <w:p w14:paraId="4EB7075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19.5</w:t>
            </w:r>
          </w:p>
        </w:tc>
        <w:tc>
          <w:tcPr>
            <w:tcW w:w="1290" w:type="dxa"/>
            <w:tcBorders>
              <w:top w:val="nil"/>
              <w:left w:val="nil"/>
              <w:right w:val="nil"/>
            </w:tcBorders>
            <w:shd w:val="clear" w:color="auto" w:fill="E5E5E5" w:themeFill="background1" w:themeFillTint="33"/>
            <w:noWrap/>
            <w:vAlign w:val="center"/>
            <w:hideMark/>
          </w:tcPr>
          <w:p w14:paraId="5EA1587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76.6</w:t>
            </w:r>
          </w:p>
        </w:tc>
        <w:tc>
          <w:tcPr>
            <w:tcW w:w="1290" w:type="dxa"/>
            <w:tcBorders>
              <w:top w:val="nil"/>
              <w:left w:val="nil"/>
              <w:right w:val="nil"/>
            </w:tcBorders>
            <w:shd w:val="clear" w:color="auto" w:fill="E5E5E5" w:themeFill="background1" w:themeFillTint="33"/>
            <w:noWrap/>
            <w:vAlign w:val="center"/>
            <w:hideMark/>
          </w:tcPr>
          <w:p w14:paraId="6ECCA2F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19.5</w:t>
            </w:r>
          </w:p>
        </w:tc>
        <w:tc>
          <w:tcPr>
            <w:tcW w:w="1290" w:type="dxa"/>
            <w:tcBorders>
              <w:top w:val="nil"/>
              <w:left w:val="nil"/>
              <w:right w:val="nil"/>
            </w:tcBorders>
            <w:shd w:val="clear" w:color="auto" w:fill="E5E5E5" w:themeFill="background1" w:themeFillTint="33"/>
            <w:noWrap/>
            <w:vAlign w:val="center"/>
            <w:hideMark/>
          </w:tcPr>
          <w:p w14:paraId="3B953C6B"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-3.7</w:t>
            </w:r>
          </w:p>
        </w:tc>
        <w:tc>
          <w:tcPr>
            <w:tcW w:w="1290" w:type="dxa"/>
            <w:tcBorders>
              <w:top w:val="nil"/>
              <w:left w:val="nil"/>
              <w:right w:val="nil"/>
            </w:tcBorders>
            <w:shd w:val="clear" w:color="auto" w:fill="E5E5E5" w:themeFill="background1" w:themeFillTint="33"/>
            <w:noWrap/>
            <w:vAlign w:val="center"/>
            <w:hideMark/>
          </w:tcPr>
          <w:p w14:paraId="673BA86A"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0.0</w:t>
            </w:r>
          </w:p>
        </w:tc>
      </w:tr>
      <w:tr w:rsidR="00961617" w:rsidRPr="00545C7F" w14:paraId="0215C6C6"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2C5C58F5" w14:textId="77777777" w:rsidR="00961617" w:rsidRPr="00545C7F" w:rsidRDefault="00961617" w:rsidP="0020771F">
            <w:pPr>
              <w:spacing w:after="0"/>
              <w:rPr>
                <w:rFonts w:cstheme="minorHAnsi"/>
                <w:sz w:val="20"/>
                <w:szCs w:val="20"/>
              </w:rPr>
            </w:pPr>
            <w:r w:rsidRPr="00545C7F">
              <w:rPr>
                <w:rFonts w:cstheme="minorHAnsi"/>
                <w:sz w:val="20"/>
                <w:szCs w:val="20"/>
              </w:rPr>
              <w:t>Without disability</w:t>
            </w:r>
          </w:p>
        </w:tc>
        <w:tc>
          <w:tcPr>
            <w:tcW w:w="1289" w:type="dxa"/>
            <w:tcBorders>
              <w:top w:val="nil"/>
              <w:left w:val="nil"/>
              <w:right w:val="nil"/>
            </w:tcBorders>
            <w:shd w:val="clear" w:color="auto" w:fill="FFFFFF" w:themeFill="background2"/>
            <w:noWrap/>
            <w:vAlign w:val="center"/>
            <w:hideMark/>
          </w:tcPr>
          <w:p w14:paraId="6DCD8432"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76.5</w:t>
            </w:r>
          </w:p>
        </w:tc>
        <w:tc>
          <w:tcPr>
            <w:tcW w:w="1290" w:type="dxa"/>
            <w:tcBorders>
              <w:top w:val="nil"/>
              <w:left w:val="nil"/>
              <w:right w:val="nil"/>
            </w:tcBorders>
            <w:shd w:val="clear" w:color="auto" w:fill="FFFFFF" w:themeFill="background2"/>
            <w:noWrap/>
            <w:vAlign w:val="center"/>
            <w:hideMark/>
          </w:tcPr>
          <w:p w14:paraId="0055602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21.0</w:t>
            </w:r>
          </w:p>
        </w:tc>
        <w:tc>
          <w:tcPr>
            <w:tcW w:w="1290" w:type="dxa"/>
            <w:tcBorders>
              <w:top w:val="nil"/>
              <w:left w:val="nil"/>
              <w:right w:val="nil"/>
            </w:tcBorders>
            <w:shd w:val="clear" w:color="auto" w:fill="FFFFFF" w:themeFill="background2"/>
            <w:noWrap/>
            <w:vAlign w:val="center"/>
            <w:hideMark/>
          </w:tcPr>
          <w:p w14:paraId="6656D13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70.1</w:t>
            </w:r>
          </w:p>
        </w:tc>
        <w:tc>
          <w:tcPr>
            <w:tcW w:w="1290" w:type="dxa"/>
            <w:tcBorders>
              <w:top w:val="nil"/>
              <w:left w:val="nil"/>
              <w:right w:val="nil"/>
            </w:tcBorders>
            <w:shd w:val="clear" w:color="auto" w:fill="FFFFFF" w:themeFill="background2"/>
            <w:noWrap/>
            <w:vAlign w:val="center"/>
            <w:hideMark/>
          </w:tcPr>
          <w:p w14:paraId="2BA63B4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22.0</w:t>
            </w:r>
          </w:p>
        </w:tc>
        <w:tc>
          <w:tcPr>
            <w:tcW w:w="1290" w:type="dxa"/>
            <w:tcBorders>
              <w:top w:val="nil"/>
              <w:left w:val="nil"/>
              <w:right w:val="nil"/>
            </w:tcBorders>
            <w:shd w:val="clear" w:color="auto" w:fill="FFFFFF" w:themeFill="background2"/>
            <w:noWrap/>
            <w:vAlign w:val="center"/>
            <w:hideMark/>
          </w:tcPr>
          <w:p w14:paraId="233BD48D"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-6.4</w:t>
            </w:r>
          </w:p>
        </w:tc>
        <w:tc>
          <w:tcPr>
            <w:tcW w:w="1290" w:type="dxa"/>
            <w:tcBorders>
              <w:top w:val="nil"/>
              <w:left w:val="nil"/>
              <w:right w:val="nil"/>
            </w:tcBorders>
            <w:shd w:val="clear" w:color="auto" w:fill="FFFFFF" w:themeFill="background2"/>
            <w:noWrap/>
            <w:vAlign w:val="center"/>
            <w:hideMark/>
          </w:tcPr>
          <w:p w14:paraId="4955F7F1"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1.0</w:t>
            </w:r>
          </w:p>
        </w:tc>
      </w:tr>
      <w:tr w:rsidR="00961617" w:rsidRPr="00545C7F" w14:paraId="5095247E"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187754D3" w14:textId="77777777" w:rsidR="00961617" w:rsidRPr="00545C7F" w:rsidRDefault="00961617" w:rsidP="0020771F">
            <w:pPr>
              <w:spacing w:after="0"/>
              <w:rPr>
                <w:rFonts w:cstheme="minorHAnsi"/>
                <w:sz w:val="20"/>
                <w:szCs w:val="20"/>
              </w:rPr>
            </w:pPr>
            <w:r w:rsidRPr="00545C7F">
              <w:rPr>
                <w:rFonts w:cstheme="minorHAnsi"/>
                <w:sz w:val="20"/>
                <w:szCs w:val="20"/>
              </w:rPr>
              <w:t>With disability</w:t>
            </w:r>
          </w:p>
        </w:tc>
        <w:tc>
          <w:tcPr>
            <w:tcW w:w="1289" w:type="dxa"/>
            <w:tcBorders>
              <w:top w:val="nil"/>
              <w:left w:val="nil"/>
              <w:right w:val="nil"/>
            </w:tcBorders>
            <w:shd w:val="clear" w:color="auto" w:fill="E5E5E5" w:themeFill="background1" w:themeFillTint="33"/>
            <w:noWrap/>
            <w:vAlign w:val="center"/>
            <w:hideMark/>
          </w:tcPr>
          <w:p w14:paraId="34FDF3A7"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58.2</w:t>
            </w:r>
          </w:p>
        </w:tc>
        <w:tc>
          <w:tcPr>
            <w:tcW w:w="1290" w:type="dxa"/>
            <w:tcBorders>
              <w:top w:val="nil"/>
              <w:left w:val="nil"/>
              <w:right w:val="nil"/>
            </w:tcBorders>
            <w:shd w:val="clear" w:color="auto" w:fill="E5E5E5" w:themeFill="background1" w:themeFillTint="33"/>
            <w:noWrap/>
            <w:vAlign w:val="center"/>
            <w:hideMark/>
          </w:tcPr>
          <w:p w14:paraId="0D7925B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23.5</w:t>
            </w:r>
          </w:p>
        </w:tc>
        <w:tc>
          <w:tcPr>
            <w:tcW w:w="1290" w:type="dxa"/>
            <w:tcBorders>
              <w:top w:val="nil"/>
              <w:left w:val="nil"/>
              <w:right w:val="nil"/>
            </w:tcBorders>
            <w:shd w:val="clear" w:color="auto" w:fill="E5E5E5" w:themeFill="background1" w:themeFillTint="33"/>
            <w:noWrap/>
            <w:vAlign w:val="center"/>
            <w:hideMark/>
          </w:tcPr>
          <w:p w14:paraId="7BA87B0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46.7</w:t>
            </w:r>
          </w:p>
        </w:tc>
        <w:tc>
          <w:tcPr>
            <w:tcW w:w="1290" w:type="dxa"/>
            <w:tcBorders>
              <w:top w:val="nil"/>
              <w:left w:val="nil"/>
              <w:right w:val="nil"/>
            </w:tcBorders>
            <w:shd w:val="clear" w:color="auto" w:fill="E5E5E5" w:themeFill="background1" w:themeFillTint="33"/>
            <w:noWrap/>
            <w:vAlign w:val="center"/>
            <w:hideMark/>
          </w:tcPr>
          <w:p w14:paraId="09839E9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19.4</w:t>
            </w:r>
          </w:p>
        </w:tc>
        <w:tc>
          <w:tcPr>
            <w:tcW w:w="1290" w:type="dxa"/>
            <w:tcBorders>
              <w:top w:val="nil"/>
              <w:left w:val="nil"/>
              <w:right w:val="nil"/>
            </w:tcBorders>
            <w:shd w:val="clear" w:color="auto" w:fill="E5E5E5" w:themeFill="background1" w:themeFillTint="33"/>
            <w:noWrap/>
            <w:vAlign w:val="center"/>
            <w:hideMark/>
          </w:tcPr>
          <w:p w14:paraId="19670C5A"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-11.5</w:t>
            </w:r>
          </w:p>
        </w:tc>
        <w:tc>
          <w:tcPr>
            <w:tcW w:w="1290" w:type="dxa"/>
            <w:tcBorders>
              <w:top w:val="nil"/>
              <w:left w:val="nil"/>
              <w:right w:val="nil"/>
            </w:tcBorders>
            <w:shd w:val="clear" w:color="auto" w:fill="E5E5E5" w:themeFill="background1" w:themeFillTint="33"/>
            <w:noWrap/>
            <w:vAlign w:val="center"/>
            <w:hideMark/>
          </w:tcPr>
          <w:p w14:paraId="21518CD9"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-4.1</w:t>
            </w:r>
          </w:p>
        </w:tc>
      </w:tr>
      <w:tr w:rsidR="00961617" w:rsidRPr="00545C7F" w14:paraId="13C81671"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04A5D071" w14:textId="77777777" w:rsidR="00961617" w:rsidRPr="00545C7F" w:rsidRDefault="00961617" w:rsidP="0020771F">
            <w:pPr>
              <w:spacing w:after="0"/>
              <w:rPr>
                <w:rFonts w:cstheme="minorHAnsi"/>
                <w:sz w:val="20"/>
                <w:szCs w:val="20"/>
              </w:rPr>
            </w:pPr>
            <w:r w:rsidRPr="00545C7F">
              <w:rPr>
                <w:rFonts w:cstheme="minorHAnsi"/>
                <w:sz w:val="20"/>
                <w:szCs w:val="20"/>
              </w:rPr>
              <w:t>Not single parents</w:t>
            </w:r>
          </w:p>
        </w:tc>
        <w:tc>
          <w:tcPr>
            <w:tcW w:w="1289" w:type="dxa"/>
            <w:tcBorders>
              <w:top w:val="nil"/>
              <w:left w:val="nil"/>
              <w:right w:val="nil"/>
            </w:tcBorders>
            <w:shd w:val="clear" w:color="auto" w:fill="FFFFFF" w:themeFill="background2"/>
            <w:noWrap/>
            <w:vAlign w:val="center"/>
            <w:hideMark/>
          </w:tcPr>
          <w:p w14:paraId="683A2A48"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75.1</w:t>
            </w:r>
          </w:p>
        </w:tc>
        <w:tc>
          <w:tcPr>
            <w:tcW w:w="1290" w:type="dxa"/>
            <w:tcBorders>
              <w:top w:val="nil"/>
              <w:left w:val="nil"/>
              <w:right w:val="nil"/>
            </w:tcBorders>
            <w:shd w:val="clear" w:color="auto" w:fill="FFFFFF" w:themeFill="background2"/>
            <w:noWrap/>
            <w:vAlign w:val="center"/>
            <w:hideMark/>
          </w:tcPr>
          <w:p w14:paraId="1A7504F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21.2</w:t>
            </w:r>
          </w:p>
        </w:tc>
        <w:tc>
          <w:tcPr>
            <w:tcW w:w="1290" w:type="dxa"/>
            <w:tcBorders>
              <w:top w:val="nil"/>
              <w:left w:val="nil"/>
              <w:right w:val="nil"/>
            </w:tcBorders>
            <w:shd w:val="clear" w:color="auto" w:fill="FFFFFF" w:themeFill="background2"/>
            <w:noWrap/>
            <w:vAlign w:val="center"/>
            <w:hideMark/>
          </w:tcPr>
          <w:p w14:paraId="164B63E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68.7</w:t>
            </w:r>
          </w:p>
        </w:tc>
        <w:tc>
          <w:tcPr>
            <w:tcW w:w="1290" w:type="dxa"/>
            <w:tcBorders>
              <w:top w:val="nil"/>
              <w:left w:val="nil"/>
              <w:right w:val="nil"/>
            </w:tcBorders>
            <w:shd w:val="clear" w:color="auto" w:fill="FFFFFF" w:themeFill="background2"/>
            <w:noWrap/>
            <w:vAlign w:val="center"/>
            <w:hideMark/>
          </w:tcPr>
          <w:p w14:paraId="654439E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21.9</w:t>
            </w:r>
          </w:p>
        </w:tc>
        <w:tc>
          <w:tcPr>
            <w:tcW w:w="1290" w:type="dxa"/>
            <w:tcBorders>
              <w:top w:val="nil"/>
              <w:left w:val="nil"/>
              <w:right w:val="nil"/>
            </w:tcBorders>
            <w:shd w:val="clear" w:color="auto" w:fill="FFFFFF" w:themeFill="background2"/>
            <w:noWrap/>
            <w:vAlign w:val="center"/>
            <w:hideMark/>
          </w:tcPr>
          <w:p w14:paraId="056F5554"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-6.4</w:t>
            </w:r>
          </w:p>
        </w:tc>
        <w:tc>
          <w:tcPr>
            <w:tcW w:w="1290" w:type="dxa"/>
            <w:tcBorders>
              <w:top w:val="nil"/>
              <w:left w:val="nil"/>
              <w:right w:val="nil"/>
            </w:tcBorders>
            <w:shd w:val="clear" w:color="auto" w:fill="FFFFFF" w:themeFill="background2"/>
            <w:noWrap/>
            <w:vAlign w:val="center"/>
            <w:hideMark/>
          </w:tcPr>
          <w:p w14:paraId="1B292047"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0.7</w:t>
            </w:r>
          </w:p>
        </w:tc>
      </w:tr>
      <w:tr w:rsidR="00961617" w:rsidRPr="00545C7F" w14:paraId="48C82D9F"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7E11ADEF" w14:textId="77777777" w:rsidR="00961617" w:rsidRPr="00545C7F" w:rsidRDefault="00961617" w:rsidP="0020771F">
            <w:pPr>
              <w:spacing w:after="0"/>
              <w:rPr>
                <w:rFonts w:cstheme="minorHAnsi"/>
                <w:sz w:val="20"/>
                <w:szCs w:val="20"/>
              </w:rPr>
            </w:pPr>
            <w:r w:rsidRPr="00545C7F">
              <w:rPr>
                <w:rFonts w:cstheme="minorHAnsi"/>
                <w:sz w:val="20"/>
                <w:szCs w:val="20"/>
              </w:rPr>
              <w:t>Single parents</w:t>
            </w:r>
          </w:p>
        </w:tc>
        <w:tc>
          <w:tcPr>
            <w:tcW w:w="1289" w:type="dxa"/>
            <w:tcBorders>
              <w:top w:val="nil"/>
              <w:left w:val="nil"/>
              <w:right w:val="nil"/>
            </w:tcBorders>
            <w:shd w:val="clear" w:color="auto" w:fill="E5E5E5" w:themeFill="background1" w:themeFillTint="33"/>
            <w:noWrap/>
            <w:vAlign w:val="center"/>
            <w:hideMark/>
          </w:tcPr>
          <w:p w14:paraId="074AB592"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83.1</w:t>
            </w:r>
          </w:p>
        </w:tc>
        <w:tc>
          <w:tcPr>
            <w:tcW w:w="1290" w:type="dxa"/>
            <w:tcBorders>
              <w:top w:val="nil"/>
              <w:left w:val="nil"/>
              <w:right w:val="nil"/>
            </w:tcBorders>
            <w:shd w:val="clear" w:color="auto" w:fill="E5E5E5" w:themeFill="background1" w:themeFillTint="33"/>
            <w:noWrap/>
            <w:vAlign w:val="center"/>
            <w:hideMark/>
          </w:tcPr>
          <w:p w14:paraId="58244C5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15.3</w:t>
            </w:r>
          </w:p>
        </w:tc>
        <w:tc>
          <w:tcPr>
            <w:tcW w:w="1290" w:type="dxa"/>
            <w:tcBorders>
              <w:top w:val="nil"/>
              <w:left w:val="nil"/>
              <w:right w:val="nil"/>
            </w:tcBorders>
            <w:shd w:val="clear" w:color="auto" w:fill="E5E5E5" w:themeFill="background1" w:themeFillTint="33"/>
            <w:noWrap/>
            <w:vAlign w:val="center"/>
            <w:hideMark/>
          </w:tcPr>
          <w:p w14:paraId="0392CA6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66.9</w:t>
            </w:r>
          </w:p>
        </w:tc>
        <w:tc>
          <w:tcPr>
            <w:tcW w:w="1290" w:type="dxa"/>
            <w:tcBorders>
              <w:top w:val="nil"/>
              <w:left w:val="nil"/>
              <w:right w:val="nil"/>
            </w:tcBorders>
            <w:shd w:val="clear" w:color="auto" w:fill="E5E5E5" w:themeFill="background1" w:themeFillTint="33"/>
            <w:noWrap/>
            <w:vAlign w:val="center"/>
            <w:hideMark/>
          </w:tcPr>
          <w:p w14:paraId="316BAED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17.6</w:t>
            </w:r>
          </w:p>
        </w:tc>
        <w:tc>
          <w:tcPr>
            <w:tcW w:w="1290" w:type="dxa"/>
            <w:tcBorders>
              <w:top w:val="nil"/>
              <w:left w:val="nil"/>
              <w:right w:val="nil"/>
            </w:tcBorders>
            <w:shd w:val="clear" w:color="auto" w:fill="E5E5E5" w:themeFill="background1" w:themeFillTint="33"/>
            <w:noWrap/>
            <w:vAlign w:val="center"/>
            <w:hideMark/>
          </w:tcPr>
          <w:p w14:paraId="0B1FCE72"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-16.2</w:t>
            </w:r>
          </w:p>
        </w:tc>
        <w:tc>
          <w:tcPr>
            <w:tcW w:w="1290" w:type="dxa"/>
            <w:tcBorders>
              <w:top w:val="nil"/>
              <w:left w:val="nil"/>
              <w:right w:val="nil"/>
            </w:tcBorders>
            <w:shd w:val="clear" w:color="auto" w:fill="E5E5E5" w:themeFill="background1" w:themeFillTint="33"/>
            <w:noWrap/>
            <w:vAlign w:val="center"/>
            <w:hideMark/>
          </w:tcPr>
          <w:p w14:paraId="5E3F9872"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2.3</w:t>
            </w:r>
          </w:p>
        </w:tc>
      </w:tr>
      <w:tr w:rsidR="00961617" w:rsidRPr="00545C7F" w14:paraId="371F505C"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428B0F4B" w14:textId="77777777" w:rsidR="00961617" w:rsidRPr="00545C7F" w:rsidRDefault="00961617" w:rsidP="0020771F">
            <w:pPr>
              <w:spacing w:after="0"/>
              <w:rPr>
                <w:rFonts w:cstheme="minorHAnsi"/>
                <w:sz w:val="20"/>
                <w:szCs w:val="20"/>
              </w:rPr>
            </w:pPr>
            <w:r w:rsidRPr="00545C7F">
              <w:rPr>
                <w:rFonts w:cstheme="minorHAnsi"/>
                <w:sz w:val="20"/>
                <w:szCs w:val="20"/>
              </w:rPr>
              <w:t>Not Indigenous</w:t>
            </w:r>
          </w:p>
        </w:tc>
        <w:tc>
          <w:tcPr>
            <w:tcW w:w="1289" w:type="dxa"/>
            <w:tcBorders>
              <w:top w:val="nil"/>
              <w:left w:val="nil"/>
              <w:right w:val="nil"/>
            </w:tcBorders>
            <w:shd w:val="clear" w:color="auto" w:fill="FFFFFF" w:themeFill="background2"/>
            <w:noWrap/>
            <w:vAlign w:val="center"/>
            <w:hideMark/>
          </w:tcPr>
          <w:p w14:paraId="6BD6849D"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75.5</w:t>
            </w:r>
          </w:p>
        </w:tc>
        <w:tc>
          <w:tcPr>
            <w:tcW w:w="1290" w:type="dxa"/>
            <w:tcBorders>
              <w:top w:val="nil"/>
              <w:left w:val="nil"/>
              <w:right w:val="nil"/>
            </w:tcBorders>
            <w:shd w:val="clear" w:color="auto" w:fill="FFFFFF" w:themeFill="background2"/>
            <w:noWrap/>
            <w:vAlign w:val="center"/>
            <w:hideMark/>
          </w:tcPr>
          <w:p w14:paraId="1FAA691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21.1</w:t>
            </w:r>
          </w:p>
        </w:tc>
        <w:tc>
          <w:tcPr>
            <w:tcW w:w="1290" w:type="dxa"/>
            <w:tcBorders>
              <w:top w:val="nil"/>
              <w:left w:val="nil"/>
              <w:right w:val="nil"/>
            </w:tcBorders>
            <w:shd w:val="clear" w:color="auto" w:fill="FFFFFF" w:themeFill="background2"/>
            <w:noWrap/>
            <w:vAlign w:val="center"/>
            <w:hideMark/>
          </w:tcPr>
          <w:p w14:paraId="678F043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68.8</w:t>
            </w:r>
          </w:p>
        </w:tc>
        <w:tc>
          <w:tcPr>
            <w:tcW w:w="1290" w:type="dxa"/>
            <w:tcBorders>
              <w:top w:val="nil"/>
              <w:left w:val="nil"/>
              <w:right w:val="nil"/>
            </w:tcBorders>
            <w:shd w:val="clear" w:color="auto" w:fill="FFFFFF" w:themeFill="background2"/>
            <w:noWrap/>
            <w:vAlign w:val="center"/>
            <w:hideMark/>
          </w:tcPr>
          <w:p w14:paraId="74A11F1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21.7</w:t>
            </w:r>
          </w:p>
        </w:tc>
        <w:tc>
          <w:tcPr>
            <w:tcW w:w="1290" w:type="dxa"/>
            <w:tcBorders>
              <w:top w:val="nil"/>
              <w:left w:val="nil"/>
              <w:right w:val="nil"/>
            </w:tcBorders>
            <w:shd w:val="clear" w:color="auto" w:fill="FFFFFF" w:themeFill="background2"/>
            <w:noWrap/>
            <w:vAlign w:val="center"/>
            <w:hideMark/>
          </w:tcPr>
          <w:p w14:paraId="6432E49C"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-6.7</w:t>
            </w:r>
          </w:p>
        </w:tc>
        <w:tc>
          <w:tcPr>
            <w:tcW w:w="1290" w:type="dxa"/>
            <w:tcBorders>
              <w:top w:val="nil"/>
              <w:left w:val="nil"/>
              <w:right w:val="nil"/>
            </w:tcBorders>
            <w:shd w:val="clear" w:color="auto" w:fill="FFFFFF" w:themeFill="background2"/>
            <w:noWrap/>
            <w:vAlign w:val="center"/>
            <w:hideMark/>
          </w:tcPr>
          <w:p w14:paraId="0F792F7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0.6</w:t>
            </w:r>
          </w:p>
        </w:tc>
      </w:tr>
      <w:tr w:rsidR="00961617" w:rsidRPr="00545C7F" w14:paraId="72217B30"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475AA89F" w14:textId="77777777" w:rsidR="00961617" w:rsidRPr="00545C7F" w:rsidRDefault="00961617" w:rsidP="0020771F">
            <w:pPr>
              <w:spacing w:after="0"/>
              <w:rPr>
                <w:rFonts w:cstheme="minorHAnsi"/>
                <w:sz w:val="20"/>
                <w:szCs w:val="20"/>
              </w:rPr>
            </w:pPr>
            <w:r w:rsidRPr="00545C7F">
              <w:rPr>
                <w:rFonts w:cstheme="minorHAnsi"/>
                <w:sz w:val="20"/>
                <w:szCs w:val="20"/>
              </w:rPr>
              <w:t>Indigenous</w:t>
            </w:r>
          </w:p>
        </w:tc>
        <w:tc>
          <w:tcPr>
            <w:tcW w:w="1289" w:type="dxa"/>
            <w:tcBorders>
              <w:top w:val="nil"/>
              <w:left w:val="nil"/>
              <w:right w:val="nil"/>
            </w:tcBorders>
            <w:shd w:val="clear" w:color="auto" w:fill="E5E5E5" w:themeFill="background1" w:themeFillTint="33"/>
            <w:noWrap/>
            <w:vAlign w:val="center"/>
            <w:hideMark/>
          </w:tcPr>
          <w:p w14:paraId="7C03B55F"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79.4</w:t>
            </w:r>
          </w:p>
        </w:tc>
        <w:tc>
          <w:tcPr>
            <w:tcW w:w="1290" w:type="dxa"/>
            <w:tcBorders>
              <w:top w:val="nil"/>
              <w:left w:val="nil"/>
              <w:right w:val="nil"/>
            </w:tcBorders>
            <w:shd w:val="clear" w:color="auto" w:fill="E5E5E5" w:themeFill="background1" w:themeFillTint="33"/>
            <w:noWrap/>
            <w:vAlign w:val="center"/>
            <w:hideMark/>
          </w:tcPr>
          <w:p w14:paraId="35520702"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31.8</w:t>
            </w:r>
          </w:p>
        </w:tc>
        <w:tc>
          <w:tcPr>
            <w:tcW w:w="1290" w:type="dxa"/>
            <w:tcBorders>
              <w:top w:val="nil"/>
              <w:left w:val="nil"/>
              <w:right w:val="nil"/>
            </w:tcBorders>
            <w:shd w:val="clear" w:color="auto" w:fill="E5E5E5" w:themeFill="background1" w:themeFillTint="33"/>
            <w:noWrap/>
            <w:vAlign w:val="center"/>
            <w:hideMark/>
          </w:tcPr>
          <w:p w14:paraId="26E3973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59.6</w:t>
            </w:r>
          </w:p>
        </w:tc>
        <w:tc>
          <w:tcPr>
            <w:tcW w:w="1290" w:type="dxa"/>
            <w:tcBorders>
              <w:top w:val="nil"/>
              <w:left w:val="nil"/>
              <w:right w:val="nil"/>
            </w:tcBorders>
            <w:shd w:val="clear" w:color="auto" w:fill="E5E5E5" w:themeFill="background1" w:themeFillTint="33"/>
            <w:noWrap/>
            <w:vAlign w:val="center"/>
            <w:hideMark/>
          </w:tcPr>
          <w:p w14:paraId="042C06E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right w:val="nil"/>
            </w:tcBorders>
            <w:shd w:val="clear" w:color="auto" w:fill="E5E5E5" w:themeFill="background1" w:themeFillTint="33"/>
            <w:noWrap/>
            <w:vAlign w:val="center"/>
            <w:hideMark/>
          </w:tcPr>
          <w:p w14:paraId="28106B36"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-19.8</w:t>
            </w:r>
          </w:p>
        </w:tc>
        <w:tc>
          <w:tcPr>
            <w:tcW w:w="1290" w:type="dxa"/>
            <w:tcBorders>
              <w:top w:val="nil"/>
              <w:left w:val="nil"/>
              <w:right w:val="nil"/>
            </w:tcBorders>
            <w:shd w:val="clear" w:color="auto" w:fill="E5E5E5" w:themeFill="background1" w:themeFillTint="33"/>
            <w:noWrap/>
            <w:vAlign w:val="center"/>
            <w:hideMark/>
          </w:tcPr>
          <w:p w14:paraId="18EDB410"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 xml:space="preserve"> ^</w:t>
            </w:r>
          </w:p>
        </w:tc>
      </w:tr>
      <w:tr w:rsidR="00961617" w:rsidRPr="00545C7F" w14:paraId="478B5DEF"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097FD52E" w14:textId="77777777" w:rsidR="00961617" w:rsidRPr="00545C7F" w:rsidRDefault="00961617" w:rsidP="0020771F">
            <w:pPr>
              <w:spacing w:after="0"/>
              <w:rPr>
                <w:rFonts w:cstheme="minorHAnsi"/>
                <w:sz w:val="20"/>
                <w:szCs w:val="20"/>
              </w:rPr>
            </w:pPr>
            <w:r w:rsidRPr="00545C7F">
              <w:rPr>
                <w:rFonts w:cstheme="minorHAnsi"/>
                <w:sz w:val="20"/>
                <w:szCs w:val="20"/>
              </w:rPr>
              <w:t>Job seeker's income support type at commencement: NSA / YA(O)</w:t>
            </w:r>
          </w:p>
        </w:tc>
        <w:tc>
          <w:tcPr>
            <w:tcW w:w="1289" w:type="dxa"/>
            <w:tcBorders>
              <w:top w:val="nil"/>
              <w:left w:val="nil"/>
              <w:bottom w:val="nil"/>
              <w:right w:val="nil"/>
            </w:tcBorders>
            <w:shd w:val="clear" w:color="auto" w:fill="FFFFFF" w:themeFill="background2"/>
            <w:noWrap/>
            <w:vAlign w:val="center"/>
            <w:hideMark/>
          </w:tcPr>
          <w:p w14:paraId="0821F931"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77.5</w:t>
            </w:r>
          </w:p>
        </w:tc>
        <w:tc>
          <w:tcPr>
            <w:tcW w:w="1290" w:type="dxa"/>
            <w:tcBorders>
              <w:top w:val="nil"/>
              <w:left w:val="nil"/>
              <w:bottom w:val="nil"/>
              <w:right w:val="nil"/>
            </w:tcBorders>
            <w:shd w:val="clear" w:color="auto" w:fill="FFFFFF" w:themeFill="background2"/>
            <w:noWrap/>
            <w:vAlign w:val="center"/>
            <w:hideMark/>
          </w:tcPr>
          <w:p w14:paraId="1A61781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20.5</w:t>
            </w:r>
          </w:p>
        </w:tc>
        <w:tc>
          <w:tcPr>
            <w:tcW w:w="1290" w:type="dxa"/>
            <w:tcBorders>
              <w:top w:val="nil"/>
              <w:left w:val="nil"/>
              <w:bottom w:val="nil"/>
              <w:right w:val="nil"/>
            </w:tcBorders>
            <w:shd w:val="clear" w:color="auto" w:fill="FFFFFF" w:themeFill="background2"/>
            <w:noWrap/>
            <w:vAlign w:val="center"/>
            <w:hideMark/>
          </w:tcPr>
          <w:p w14:paraId="2849A39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72.0</w:t>
            </w:r>
          </w:p>
        </w:tc>
        <w:tc>
          <w:tcPr>
            <w:tcW w:w="1290" w:type="dxa"/>
            <w:tcBorders>
              <w:top w:val="nil"/>
              <w:left w:val="nil"/>
              <w:bottom w:val="nil"/>
              <w:right w:val="nil"/>
            </w:tcBorders>
            <w:shd w:val="clear" w:color="auto" w:fill="FFFFFF" w:themeFill="background2"/>
            <w:noWrap/>
            <w:vAlign w:val="center"/>
            <w:hideMark/>
          </w:tcPr>
          <w:p w14:paraId="2C14998A"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21.3</w:t>
            </w:r>
          </w:p>
        </w:tc>
        <w:tc>
          <w:tcPr>
            <w:tcW w:w="1290" w:type="dxa"/>
            <w:tcBorders>
              <w:top w:val="nil"/>
              <w:left w:val="nil"/>
              <w:bottom w:val="nil"/>
              <w:right w:val="nil"/>
            </w:tcBorders>
            <w:shd w:val="clear" w:color="auto" w:fill="FFFFFF" w:themeFill="background2"/>
            <w:noWrap/>
            <w:vAlign w:val="center"/>
            <w:hideMark/>
          </w:tcPr>
          <w:p w14:paraId="2D530EE3"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-5.5</w:t>
            </w:r>
          </w:p>
        </w:tc>
        <w:tc>
          <w:tcPr>
            <w:tcW w:w="1290" w:type="dxa"/>
            <w:tcBorders>
              <w:top w:val="nil"/>
              <w:left w:val="nil"/>
              <w:bottom w:val="nil"/>
              <w:right w:val="nil"/>
            </w:tcBorders>
            <w:shd w:val="clear" w:color="auto" w:fill="FFFFFF" w:themeFill="background2"/>
            <w:noWrap/>
            <w:vAlign w:val="center"/>
            <w:hideMark/>
          </w:tcPr>
          <w:p w14:paraId="666EE671"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0.8</w:t>
            </w:r>
          </w:p>
        </w:tc>
      </w:tr>
      <w:tr w:rsidR="00961617" w:rsidRPr="00545C7F" w14:paraId="41600AAF"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489F6E58" w14:textId="77777777" w:rsidR="00961617" w:rsidRPr="00545C7F" w:rsidRDefault="00961617" w:rsidP="0020771F">
            <w:pPr>
              <w:spacing w:after="0"/>
              <w:rPr>
                <w:rFonts w:cstheme="minorHAnsi"/>
                <w:sz w:val="20"/>
                <w:szCs w:val="20"/>
              </w:rPr>
            </w:pPr>
            <w:r w:rsidRPr="00545C7F">
              <w:rPr>
                <w:rFonts w:cstheme="minorHAnsi"/>
                <w:sz w:val="20"/>
                <w:szCs w:val="20"/>
              </w:rPr>
              <w:t>Job seeker's income support type at commencement: PPP / PPS</w:t>
            </w:r>
          </w:p>
        </w:tc>
        <w:tc>
          <w:tcPr>
            <w:tcW w:w="1289" w:type="dxa"/>
            <w:tcBorders>
              <w:top w:val="nil"/>
              <w:left w:val="nil"/>
              <w:bottom w:val="nil"/>
              <w:right w:val="nil"/>
            </w:tcBorders>
            <w:shd w:val="clear" w:color="auto" w:fill="E5E5E5" w:themeFill="background1" w:themeFillTint="33"/>
            <w:noWrap/>
            <w:vAlign w:val="center"/>
            <w:hideMark/>
          </w:tcPr>
          <w:p w14:paraId="2758FB9D"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67.1</w:t>
            </w:r>
          </w:p>
        </w:tc>
        <w:tc>
          <w:tcPr>
            <w:tcW w:w="1290" w:type="dxa"/>
            <w:tcBorders>
              <w:top w:val="nil"/>
              <w:left w:val="nil"/>
              <w:bottom w:val="nil"/>
              <w:right w:val="nil"/>
            </w:tcBorders>
            <w:shd w:val="clear" w:color="auto" w:fill="E5E5E5" w:themeFill="background1" w:themeFillTint="33"/>
            <w:noWrap/>
            <w:vAlign w:val="center"/>
            <w:hideMark/>
          </w:tcPr>
          <w:p w14:paraId="1BB9811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17.5</w:t>
            </w:r>
          </w:p>
        </w:tc>
        <w:tc>
          <w:tcPr>
            <w:tcW w:w="1290" w:type="dxa"/>
            <w:tcBorders>
              <w:top w:val="nil"/>
              <w:left w:val="nil"/>
              <w:bottom w:val="nil"/>
              <w:right w:val="nil"/>
            </w:tcBorders>
            <w:shd w:val="clear" w:color="auto" w:fill="E5E5E5" w:themeFill="background1" w:themeFillTint="33"/>
            <w:noWrap/>
            <w:vAlign w:val="center"/>
            <w:hideMark/>
          </w:tcPr>
          <w:p w14:paraId="369B0F8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67.2</w:t>
            </w:r>
          </w:p>
        </w:tc>
        <w:tc>
          <w:tcPr>
            <w:tcW w:w="1290" w:type="dxa"/>
            <w:tcBorders>
              <w:top w:val="nil"/>
              <w:left w:val="nil"/>
              <w:bottom w:val="nil"/>
              <w:right w:val="nil"/>
            </w:tcBorders>
            <w:shd w:val="clear" w:color="auto" w:fill="E5E5E5" w:themeFill="background1" w:themeFillTint="33"/>
            <w:noWrap/>
            <w:vAlign w:val="center"/>
            <w:hideMark/>
          </w:tcPr>
          <w:p w14:paraId="75AF674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bottom w:val="nil"/>
              <w:right w:val="nil"/>
            </w:tcBorders>
            <w:shd w:val="clear" w:color="auto" w:fill="E5E5E5" w:themeFill="background1" w:themeFillTint="33"/>
            <w:noWrap/>
            <w:vAlign w:val="center"/>
            <w:hideMark/>
          </w:tcPr>
          <w:p w14:paraId="651A5307"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0.1</w:t>
            </w:r>
          </w:p>
        </w:tc>
        <w:tc>
          <w:tcPr>
            <w:tcW w:w="1290" w:type="dxa"/>
            <w:tcBorders>
              <w:top w:val="nil"/>
              <w:left w:val="nil"/>
              <w:bottom w:val="nil"/>
              <w:right w:val="nil"/>
            </w:tcBorders>
            <w:shd w:val="clear" w:color="auto" w:fill="E5E5E5" w:themeFill="background1" w:themeFillTint="33"/>
            <w:noWrap/>
            <w:vAlign w:val="center"/>
            <w:hideMark/>
          </w:tcPr>
          <w:p w14:paraId="3DF028F5"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 xml:space="preserve"> ^</w:t>
            </w:r>
          </w:p>
        </w:tc>
      </w:tr>
      <w:tr w:rsidR="00961617" w:rsidRPr="00545C7F" w14:paraId="7593D3D8"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1C86A096" w14:textId="77777777" w:rsidR="00961617" w:rsidRPr="00545C7F" w:rsidRDefault="00961617" w:rsidP="0020771F">
            <w:pPr>
              <w:spacing w:after="0"/>
              <w:rPr>
                <w:rFonts w:cstheme="minorHAnsi"/>
                <w:sz w:val="20"/>
                <w:szCs w:val="20"/>
              </w:rPr>
            </w:pPr>
            <w:r w:rsidRPr="00545C7F">
              <w:rPr>
                <w:rFonts w:cstheme="minorHAnsi"/>
                <w:sz w:val="20"/>
                <w:szCs w:val="20"/>
              </w:rPr>
              <w:t>Job seeker's income support type at commencement: Other income support</w:t>
            </w:r>
          </w:p>
        </w:tc>
        <w:tc>
          <w:tcPr>
            <w:tcW w:w="1289" w:type="dxa"/>
            <w:tcBorders>
              <w:top w:val="nil"/>
              <w:left w:val="nil"/>
              <w:right w:val="nil"/>
            </w:tcBorders>
            <w:shd w:val="clear" w:color="auto" w:fill="FFFFFF" w:themeFill="background2"/>
            <w:noWrap/>
            <w:vAlign w:val="center"/>
            <w:hideMark/>
          </w:tcPr>
          <w:p w14:paraId="73CB5921"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56.1</w:t>
            </w:r>
          </w:p>
        </w:tc>
        <w:tc>
          <w:tcPr>
            <w:tcW w:w="1290" w:type="dxa"/>
            <w:tcBorders>
              <w:top w:val="nil"/>
              <w:left w:val="nil"/>
              <w:right w:val="nil"/>
            </w:tcBorders>
            <w:shd w:val="clear" w:color="auto" w:fill="FFFFFF" w:themeFill="background2"/>
            <w:noWrap/>
            <w:vAlign w:val="center"/>
            <w:hideMark/>
          </w:tcPr>
          <w:p w14:paraId="5B27417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27.9</w:t>
            </w:r>
          </w:p>
        </w:tc>
        <w:tc>
          <w:tcPr>
            <w:tcW w:w="1290" w:type="dxa"/>
            <w:tcBorders>
              <w:top w:val="nil"/>
              <w:left w:val="nil"/>
              <w:right w:val="nil"/>
            </w:tcBorders>
            <w:shd w:val="clear" w:color="auto" w:fill="FFFFFF" w:themeFill="background2"/>
            <w:noWrap/>
            <w:vAlign w:val="center"/>
            <w:hideMark/>
          </w:tcPr>
          <w:p w14:paraId="0C087E6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56.5</w:t>
            </w:r>
          </w:p>
        </w:tc>
        <w:tc>
          <w:tcPr>
            <w:tcW w:w="1290" w:type="dxa"/>
            <w:tcBorders>
              <w:top w:val="nil"/>
              <w:left w:val="nil"/>
              <w:right w:val="nil"/>
            </w:tcBorders>
            <w:shd w:val="clear" w:color="auto" w:fill="FFFFFF" w:themeFill="background2"/>
            <w:noWrap/>
            <w:vAlign w:val="center"/>
            <w:hideMark/>
          </w:tcPr>
          <w:p w14:paraId="3CE50F87"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31.9</w:t>
            </w:r>
          </w:p>
        </w:tc>
        <w:tc>
          <w:tcPr>
            <w:tcW w:w="1290" w:type="dxa"/>
            <w:tcBorders>
              <w:top w:val="nil"/>
              <w:left w:val="nil"/>
              <w:right w:val="nil"/>
            </w:tcBorders>
            <w:shd w:val="clear" w:color="auto" w:fill="FFFFFF" w:themeFill="background2"/>
            <w:noWrap/>
            <w:vAlign w:val="center"/>
            <w:hideMark/>
          </w:tcPr>
          <w:p w14:paraId="3A91820A"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0.4</w:t>
            </w:r>
          </w:p>
        </w:tc>
        <w:tc>
          <w:tcPr>
            <w:tcW w:w="1290" w:type="dxa"/>
            <w:tcBorders>
              <w:top w:val="nil"/>
              <w:left w:val="nil"/>
              <w:right w:val="nil"/>
            </w:tcBorders>
            <w:shd w:val="clear" w:color="auto" w:fill="FFFFFF" w:themeFill="background2"/>
            <w:noWrap/>
            <w:vAlign w:val="center"/>
            <w:hideMark/>
          </w:tcPr>
          <w:p w14:paraId="7B3684D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4.0</w:t>
            </w:r>
          </w:p>
        </w:tc>
      </w:tr>
      <w:tr w:rsidR="00961617" w:rsidRPr="00545C7F" w14:paraId="16FEDB22"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43330346" w14:textId="77777777" w:rsidR="00961617" w:rsidRPr="00545C7F" w:rsidRDefault="00961617" w:rsidP="0020771F">
            <w:pPr>
              <w:spacing w:after="0"/>
              <w:rPr>
                <w:rFonts w:cstheme="minorHAnsi"/>
                <w:sz w:val="20"/>
                <w:szCs w:val="20"/>
              </w:rPr>
            </w:pPr>
            <w:r w:rsidRPr="00545C7F">
              <w:rPr>
                <w:rFonts w:cstheme="minorHAnsi"/>
                <w:sz w:val="20"/>
                <w:szCs w:val="20"/>
              </w:rPr>
              <w:t>Job seeker's income support type at commencement: Not on income support</w:t>
            </w:r>
          </w:p>
        </w:tc>
        <w:tc>
          <w:tcPr>
            <w:tcW w:w="1289" w:type="dxa"/>
            <w:tcBorders>
              <w:top w:val="nil"/>
              <w:left w:val="nil"/>
              <w:right w:val="nil"/>
            </w:tcBorders>
            <w:shd w:val="clear" w:color="auto" w:fill="E5E5E5" w:themeFill="background1" w:themeFillTint="33"/>
            <w:noWrap/>
            <w:vAlign w:val="center"/>
            <w:hideMark/>
          </w:tcPr>
          <w:p w14:paraId="17116D5F"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73.0</w:t>
            </w:r>
          </w:p>
        </w:tc>
        <w:tc>
          <w:tcPr>
            <w:tcW w:w="1290" w:type="dxa"/>
            <w:tcBorders>
              <w:top w:val="nil"/>
              <w:left w:val="nil"/>
              <w:right w:val="nil"/>
            </w:tcBorders>
            <w:shd w:val="clear" w:color="auto" w:fill="E5E5E5" w:themeFill="background1" w:themeFillTint="33"/>
            <w:noWrap/>
            <w:vAlign w:val="center"/>
            <w:hideMark/>
          </w:tcPr>
          <w:p w14:paraId="129DA04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21.9</w:t>
            </w:r>
          </w:p>
        </w:tc>
        <w:tc>
          <w:tcPr>
            <w:tcW w:w="1290" w:type="dxa"/>
            <w:tcBorders>
              <w:top w:val="nil"/>
              <w:left w:val="nil"/>
              <w:right w:val="nil"/>
            </w:tcBorders>
            <w:shd w:val="clear" w:color="auto" w:fill="E5E5E5" w:themeFill="background1" w:themeFillTint="33"/>
            <w:noWrap/>
            <w:vAlign w:val="center"/>
            <w:hideMark/>
          </w:tcPr>
          <w:p w14:paraId="441B1B5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59.8</w:t>
            </w:r>
          </w:p>
        </w:tc>
        <w:tc>
          <w:tcPr>
            <w:tcW w:w="1290" w:type="dxa"/>
            <w:tcBorders>
              <w:top w:val="nil"/>
              <w:left w:val="nil"/>
              <w:right w:val="nil"/>
            </w:tcBorders>
            <w:shd w:val="clear" w:color="auto" w:fill="E5E5E5" w:themeFill="background1" w:themeFillTint="33"/>
            <w:noWrap/>
            <w:vAlign w:val="center"/>
            <w:hideMark/>
          </w:tcPr>
          <w:p w14:paraId="5EF58883"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21.0</w:t>
            </w:r>
          </w:p>
        </w:tc>
        <w:tc>
          <w:tcPr>
            <w:tcW w:w="1290" w:type="dxa"/>
            <w:tcBorders>
              <w:top w:val="nil"/>
              <w:left w:val="nil"/>
              <w:right w:val="nil"/>
            </w:tcBorders>
            <w:shd w:val="clear" w:color="auto" w:fill="E5E5E5" w:themeFill="background1" w:themeFillTint="33"/>
            <w:noWrap/>
            <w:vAlign w:val="center"/>
            <w:hideMark/>
          </w:tcPr>
          <w:p w14:paraId="0C82FF9B"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-13.2</w:t>
            </w:r>
          </w:p>
        </w:tc>
        <w:tc>
          <w:tcPr>
            <w:tcW w:w="1290" w:type="dxa"/>
            <w:tcBorders>
              <w:top w:val="nil"/>
              <w:left w:val="nil"/>
              <w:right w:val="nil"/>
            </w:tcBorders>
            <w:shd w:val="clear" w:color="auto" w:fill="E5E5E5" w:themeFill="background1" w:themeFillTint="33"/>
            <w:noWrap/>
            <w:vAlign w:val="center"/>
            <w:hideMark/>
          </w:tcPr>
          <w:p w14:paraId="18949402"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-0.9</w:t>
            </w:r>
          </w:p>
        </w:tc>
      </w:tr>
      <w:tr w:rsidR="00961617" w:rsidRPr="00545C7F" w14:paraId="7AEEB742" w14:textId="77777777" w:rsidTr="0020771F">
        <w:trPr>
          <w:trHeight w:hRule="exact" w:val="510"/>
          <w:jc w:val="center"/>
        </w:trPr>
        <w:tc>
          <w:tcPr>
            <w:tcW w:w="4472" w:type="dxa"/>
            <w:tcBorders>
              <w:top w:val="nil"/>
              <w:left w:val="nil"/>
              <w:bottom w:val="nil"/>
              <w:right w:val="nil"/>
            </w:tcBorders>
            <w:shd w:val="clear" w:color="auto" w:fill="FFFFFF" w:themeFill="background2"/>
            <w:vAlign w:val="center"/>
            <w:hideMark/>
          </w:tcPr>
          <w:p w14:paraId="4A2968FD" w14:textId="77777777" w:rsidR="00961617" w:rsidRPr="00545C7F" w:rsidRDefault="00961617" w:rsidP="0020771F">
            <w:pPr>
              <w:spacing w:after="0"/>
              <w:rPr>
                <w:rFonts w:cstheme="minorHAnsi"/>
                <w:sz w:val="20"/>
                <w:szCs w:val="20"/>
              </w:rPr>
            </w:pPr>
            <w:r w:rsidRPr="00545C7F">
              <w:rPr>
                <w:rFonts w:cstheme="minorHAnsi"/>
                <w:sz w:val="20"/>
                <w:szCs w:val="20"/>
              </w:rPr>
              <w:t>Full time activity tested</w:t>
            </w:r>
          </w:p>
        </w:tc>
        <w:tc>
          <w:tcPr>
            <w:tcW w:w="1289" w:type="dxa"/>
            <w:tcBorders>
              <w:top w:val="nil"/>
              <w:left w:val="nil"/>
              <w:bottom w:val="nil"/>
              <w:right w:val="nil"/>
            </w:tcBorders>
            <w:shd w:val="clear" w:color="auto" w:fill="FFFFFF" w:themeFill="background2"/>
            <w:noWrap/>
            <w:vAlign w:val="center"/>
            <w:hideMark/>
          </w:tcPr>
          <w:p w14:paraId="31AD903F"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76.4</w:t>
            </w:r>
          </w:p>
        </w:tc>
        <w:tc>
          <w:tcPr>
            <w:tcW w:w="1290" w:type="dxa"/>
            <w:tcBorders>
              <w:top w:val="nil"/>
              <w:left w:val="nil"/>
              <w:bottom w:val="nil"/>
              <w:right w:val="nil"/>
            </w:tcBorders>
            <w:shd w:val="clear" w:color="auto" w:fill="FFFFFF" w:themeFill="background2"/>
            <w:noWrap/>
            <w:vAlign w:val="center"/>
            <w:hideMark/>
          </w:tcPr>
          <w:p w14:paraId="6A838EA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20.0</w:t>
            </w:r>
          </w:p>
        </w:tc>
        <w:tc>
          <w:tcPr>
            <w:tcW w:w="1290" w:type="dxa"/>
            <w:tcBorders>
              <w:top w:val="nil"/>
              <w:left w:val="nil"/>
              <w:bottom w:val="nil"/>
              <w:right w:val="nil"/>
            </w:tcBorders>
            <w:shd w:val="clear" w:color="auto" w:fill="FFFFFF" w:themeFill="background2"/>
            <w:noWrap/>
            <w:vAlign w:val="center"/>
            <w:hideMark/>
          </w:tcPr>
          <w:p w14:paraId="5404D81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70.2</w:t>
            </w:r>
          </w:p>
        </w:tc>
        <w:tc>
          <w:tcPr>
            <w:tcW w:w="1290" w:type="dxa"/>
            <w:tcBorders>
              <w:top w:val="nil"/>
              <w:left w:val="nil"/>
              <w:bottom w:val="nil"/>
              <w:right w:val="nil"/>
            </w:tcBorders>
            <w:shd w:val="clear" w:color="auto" w:fill="FFFFFF" w:themeFill="background2"/>
            <w:noWrap/>
            <w:vAlign w:val="center"/>
            <w:hideMark/>
          </w:tcPr>
          <w:p w14:paraId="58E1C28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21.0</w:t>
            </w:r>
          </w:p>
        </w:tc>
        <w:tc>
          <w:tcPr>
            <w:tcW w:w="1290" w:type="dxa"/>
            <w:tcBorders>
              <w:top w:val="nil"/>
              <w:left w:val="nil"/>
              <w:bottom w:val="nil"/>
              <w:right w:val="nil"/>
            </w:tcBorders>
            <w:shd w:val="clear" w:color="auto" w:fill="FFFFFF" w:themeFill="background2"/>
            <w:noWrap/>
            <w:vAlign w:val="center"/>
            <w:hideMark/>
          </w:tcPr>
          <w:p w14:paraId="67F02096"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-6.2</w:t>
            </w:r>
          </w:p>
        </w:tc>
        <w:tc>
          <w:tcPr>
            <w:tcW w:w="1290" w:type="dxa"/>
            <w:tcBorders>
              <w:top w:val="nil"/>
              <w:left w:val="nil"/>
              <w:bottom w:val="nil"/>
              <w:right w:val="nil"/>
            </w:tcBorders>
            <w:shd w:val="clear" w:color="auto" w:fill="FFFFFF" w:themeFill="background2"/>
            <w:noWrap/>
            <w:vAlign w:val="center"/>
            <w:hideMark/>
          </w:tcPr>
          <w:p w14:paraId="021F0425"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1.0</w:t>
            </w:r>
          </w:p>
        </w:tc>
      </w:tr>
      <w:tr w:rsidR="00961617" w:rsidRPr="00545C7F" w14:paraId="6B222244"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32F96B8C" w14:textId="77777777" w:rsidR="00961617" w:rsidRPr="00545C7F" w:rsidRDefault="00961617" w:rsidP="0020771F">
            <w:pPr>
              <w:spacing w:after="0"/>
              <w:rPr>
                <w:rFonts w:cstheme="minorHAnsi"/>
                <w:sz w:val="20"/>
                <w:szCs w:val="20"/>
              </w:rPr>
            </w:pPr>
            <w:r w:rsidRPr="00545C7F">
              <w:rPr>
                <w:rFonts w:cstheme="minorHAnsi"/>
                <w:sz w:val="20"/>
                <w:szCs w:val="20"/>
              </w:rPr>
              <w:t>Part-time activity tested</w:t>
            </w:r>
          </w:p>
        </w:tc>
        <w:tc>
          <w:tcPr>
            <w:tcW w:w="1289" w:type="dxa"/>
            <w:tcBorders>
              <w:top w:val="nil"/>
              <w:left w:val="nil"/>
              <w:right w:val="nil"/>
            </w:tcBorders>
            <w:shd w:val="clear" w:color="auto" w:fill="E5E5E5" w:themeFill="background1" w:themeFillTint="33"/>
            <w:noWrap/>
            <w:vAlign w:val="center"/>
            <w:hideMark/>
          </w:tcPr>
          <w:p w14:paraId="259F9B20"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78.7</w:t>
            </w:r>
          </w:p>
        </w:tc>
        <w:tc>
          <w:tcPr>
            <w:tcW w:w="1290" w:type="dxa"/>
            <w:tcBorders>
              <w:top w:val="nil"/>
              <w:left w:val="nil"/>
              <w:right w:val="nil"/>
            </w:tcBorders>
            <w:shd w:val="clear" w:color="auto" w:fill="E5E5E5" w:themeFill="background1" w:themeFillTint="33"/>
            <w:noWrap/>
            <w:vAlign w:val="center"/>
            <w:hideMark/>
          </w:tcPr>
          <w:p w14:paraId="770ED61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right w:val="nil"/>
            </w:tcBorders>
            <w:shd w:val="clear" w:color="auto" w:fill="E5E5E5" w:themeFill="background1" w:themeFillTint="33"/>
            <w:noWrap/>
            <w:vAlign w:val="center"/>
            <w:hideMark/>
          </w:tcPr>
          <w:p w14:paraId="0F391F4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65.3</w:t>
            </w:r>
          </w:p>
        </w:tc>
        <w:tc>
          <w:tcPr>
            <w:tcW w:w="1290" w:type="dxa"/>
            <w:tcBorders>
              <w:top w:val="nil"/>
              <w:left w:val="nil"/>
              <w:right w:val="nil"/>
            </w:tcBorders>
            <w:shd w:val="clear" w:color="auto" w:fill="E5E5E5" w:themeFill="background1" w:themeFillTint="33"/>
            <w:noWrap/>
            <w:vAlign w:val="center"/>
            <w:hideMark/>
          </w:tcPr>
          <w:p w14:paraId="1D71D3A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right w:val="nil"/>
            </w:tcBorders>
            <w:shd w:val="clear" w:color="auto" w:fill="E5E5E5" w:themeFill="background1" w:themeFillTint="33"/>
            <w:noWrap/>
            <w:vAlign w:val="center"/>
            <w:hideMark/>
          </w:tcPr>
          <w:p w14:paraId="32D1F7AD"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-13.4</w:t>
            </w:r>
          </w:p>
        </w:tc>
        <w:tc>
          <w:tcPr>
            <w:tcW w:w="1290" w:type="dxa"/>
            <w:tcBorders>
              <w:top w:val="nil"/>
              <w:left w:val="nil"/>
              <w:right w:val="nil"/>
            </w:tcBorders>
            <w:shd w:val="clear" w:color="auto" w:fill="E5E5E5" w:themeFill="background1" w:themeFillTint="33"/>
            <w:noWrap/>
            <w:vAlign w:val="center"/>
            <w:hideMark/>
          </w:tcPr>
          <w:p w14:paraId="3C17764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 xml:space="preserve"> ^</w:t>
            </w:r>
          </w:p>
        </w:tc>
      </w:tr>
      <w:tr w:rsidR="00961617" w:rsidRPr="00545C7F" w14:paraId="31BC7F82"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178970AF" w14:textId="77777777" w:rsidR="00961617" w:rsidRPr="00545C7F" w:rsidRDefault="00961617" w:rsidP="0020771F">
            <w:pPr>
              <w:spacing w:after="0"/>
              <w:rPr>
                <w:rFonts w:cstheme="minorHAnsi"/>
                <w:sz w:val="20"/>
                <w:szCs w:val="20"/>
              </w:rPr>
            </w:pPr>
            <w:r w:rsidRPr="00545C7F">
              <w:rPr>
                <w:rFonts w:cstheme="minorHAnsi"/>
                <w:sz w:val="20"/>
                <w:szCs w:val="20"/>
              </w:rPr>
              <w:t>Volunteer</w:t>
            </w:r>
          </w:p>
        </w:tc>
        <w:tc>
          <w:tcPr>
            <w:tcW w:w="1289" w:type="dxa"/>
            <w:tcBorders>
              <w:top w:val="nil"/>
              <w:left w:val="nil"/>
              <w:right w:val="nil"/>
            </w:tcBorders>
            <w:shd w:val="clear" w:color="auto" w:fill="FFFFFF" w:themeFill="background2"/>
            <w:noWrap/>
            <w:vAlign w:val="center"/>
            <w:hideMark/>
          </w:tcPr>
          <w:p w14:paraId="0EB4A54C"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71.8</w:t>
            </w:r>
          </w:p>
        </w:tc>
        <w:tc>
          <w:tcPr>
            <w:tcW w:w="1290" w:type="dxa"/>
            <w:tcBorders>
              <w:top w:val="nil"/>
              <w:left w:val="nil"/>
              <w:right w:val="nil"/>
            </w:tcBorders>
            <w:shd w:val="clear" w:color="auto" w:fill="FFFFFF" w:themeFill="background2"/>
            <w:noWrap/>
            <w:vAlign w:val="center"/>
            <w:hideMark/>
          </w:tcPr>
          <w:p w14:paraId="4335FF2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25.7</w:t>
            </w:r>
          </w:p>
        </w:tc>
        <w:tc>
          <w:tcPr>
            <w:tcW w:w="1290" w:type="dxa"/>
            <w:tcBorders>
              <w:top w:val="nil"/>
              <w:left w:val="nil"/>
              <w:right w:val="nil"/>
            </w:tcBorders>
            <w:shd w:val="clear" w:color="auto" w:fill="FFFFFF" w:themeFill="background2"/>
            <w:noWrap/>
            <w:vAlign w:val="center"/>
            <w:hideMark/>
          </w:tcPr>
          <w:p w14:paraId="098AF50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61.9</w:t>
            </w:r>
          </w:p>
        </w:tc>
        <w:tc>
          <w:tcPr>
            <w:tcW w:w="1290" w:type="dxa"/>
            <w:tcBorders>
              <w:top w:val="nil"/>
              <w:left w:val="nil"/>
              <w:right w:val="nil"/>
            </w:tcBorders>
            <w:shd w:val="clear" w:color="auto" w:fill="FFFFFF" w:themeFill="background2"/>
            <w:noWrap/>
            <w:vAlign w:val="center"/>
            <w:hideMark/>
          </w:tcPr>
          <w:p w14:paraId="32E7EB2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26.1</w:t>
            </w:r>
          </w:p>
        </w:tc>
        <w:tc>
          <w:tcPr>
            <w:tcW w:w="1290" w:type="dxa"/>
            <w:tcBorders>
              <w:top w:val="nil"/>
              <w:left w:val="nil"/>
              <w:right w:val="nil"/>
            </w:tcBorders>
            <w:shd w:val="clear" w:color="auto" w:fill="FFFFFF" w:themeFill="background2"/>
            <w:noWrap/>
            <w:vAlign w:val="center"/>
            <w:hideMark/>
          </w:tcPr>
          <w:p w14:paraId="06354BE8"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-9.9</w:t>
            </w:r>
          </w:p>
        </w:tc>
        <w:tc>
          <w:tcPr>
            <w:tcW w:w="1290" w:type="dxa"/>
            <w:tcBorders>
              <w:top w:val="nil"/>
              <w:left w:val="nil"/>
              <w:right w:val="nil"/>
            </w:tcBorders>
            <w:shd w:val="clear" w:color="auto" w:fill="FFFFFF" w:themeFill="background2"/>
            <w:noWrap/>
            <w:vAlign w:val="center"/>
            <w:hideMark/>
          </w:tcPr>
          <w:p w14:paraId="45ADA5C0"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0.4</w:t>
            </w:r>
          </w:p>
        </w:tc>
      </w:tr>
      <w:tr w:rsidR="00961617" w:rsidRPr="00545C7F" w14:paraId="2DAFC1B0" w14:textId="77777777" w:rsidTr="0020771F">
        <w:trPr>
          <w:trHeight w:hRule="exact" w:val="510"/>
          <w:jc w:val="center"/>
        </w:trPr>
        <w:tc>
          <w:tcPr>
            <w:tcW w:w="4472" w:type="dxa"/>
            <w:tcBorders>
              <w:top w:val="nil"/>
              <w:left w:val="nil"/>
              <w:bottom w:val="nil"/>
              <w:right w:val="nil"/>
            </w:tcBorders>
            <w:shd w:val="clear" w:color="auto" w:fill="E5E5E5" w:themeFill="background1" w:themeFillTint="33"/>
            <w:vAlign w:val="center"/>
            <w:hideMark/>
          </w:tcPr>
          <w:p w14:paraId="27746004" w14:textId="77777777" w:rsidR="00961617" w:rsidRPr="00545C7F" w:rsidRDefault="00961617" w:rsidP="0020771F">
            <w:pPr>
              <w:spacing w:after="0"/>
              <w:rPr>
                <w:rFonts w:cstheme="minorHAnsi"/>
                <w:sz w:val="20"/>
                <w:szCs w:val="20"/>
              </w:rPr>
            </w:pPr>
            <w:r w:rsidRPr="00545C7F">
              <w:rPr>
                <w:rFonts w:cstheme="minorHAnsi"/>
                <w:sz w:val="20"/>
                <w:szCs w:val="20"/>
              </w:rPr>
              <w:t>Very low/low disadvantage country of birth</w:t>
            </w:r>
          </w:p>
        </w:tc>
        <w:tc>
          <w:tcPr>
            <w:tcW w:w="1289" w:type="dxa"/>
            <w:tcBorders>
              <w:top w:val="nil"/>
              <w:left w:val="nil"/>
              <w:bottom w:val="nil"/>
              <w:right w:val="nil"/>
            </w:tcBorders>
            <w:shd w:val="clear" w:color="auto" w:fill="E5E5E5" w:themeFill="background1" w:themeFillTint="33"/>
            <w:noWrap/>
            <w:vAlign w:val="center"/>
            <w:hideMark/>
          </w:tcPr>
          <w:p w14:paraId="36943F5D"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77.6</w:t>
            </w:r>
          </w:p>
        </w:tc>
        <w:tc>
          <w:tcPr>
            <w:tcW w:w="1290" w:type="dxa"/>
            <w:tcBorders>
              <w:top w:val="nil"/>
              <w:left w:val="nil"/>
              <w:bottom w:val="nil"/>
              <w:right w:val="nil"/>
            </w:tcBorders>
            <w:shd w:val="clear" w:color="auto" w:fill="E5E5E5" w:themeFill="background1" w:themeFillTint="33"/>
            <w:noWrap/>
            <w:vAlign w:val="center"/>
            <w:hideMark/>
          </w:tcPr>
          <w:p w14:paraId="704F985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20.8</w:t>
            </w:r>
          </w:p>
        </w:tc>
        <w:tc>
          <w:tcPr>
            <w:tcW w:w="1290" w:type="dxa"/>
            <w:tcBorders>
              <w:top w:val="nil"/>
              <w:left w:val="nil"/>
              <w:bottom w:val="nil"/>
              <w:right w:val="nil"/>
            </w:tcBorders>
            <w:shd w:val="clear" w:color="auto" w:fill="E5E5E5" w:themeFill="background1" w:themeFillTint="33"/>
            <w:noWrap/>
            <w:vAlign w:val="center"/>
            <w:hideMark/>
          </w:tcPr>
          <w:p w14:paraId="38934AD8"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70.8</w:t>
            </w:r>
          </w:p>
        </w:tc>
        <w:tc>
          <w:tcPr>
            <w:tcW w:w="1290" w:type="dxa"/>
            <w:tcBorders>
              <w:top w:val="nil"/>
              <w:left w:val="nil"/>
              <w:bottom w:val="nil"/>
              <w:right w:val="nil"/>
            </w:tcBorders>
            <w:shd w:val="clear" w:color="auto" w:fill="E5E5E5" w:themeFill="background1" w:themeFillTint="33"/>
            <w:noWrap/>
            <w:vAlign w:val="center"/>
            <w:hideMark/>
          </w:tcPr>
          <w:p w14:paraId="05AB1E35"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21.2</w:t>
            </w:r>
          </w:p>
        </w:tc>
        <w:tc>
          <w:tcPr>
            <w:tcW w:w="1290" w:type="dxa"/>
            <w:tcBorders>
              <w:top w:val="nil"/>
              <w:left w:val="nil"/>
              <w:bottom w:val="nil"/>
              <w:right w:val="nil"/>
            </w:tcBorders>
            <w:shd w:val="clear" w:color="auto" w:fill="E5E5E5" w:themeFill="background1" w:themeFillTint="33"/>
            <w:noWrap/>
            <w:vAlign w:val="center"/>
            <w:hideMark/>
          </w:tcPr>
          <w:p w14:paraId="10B293A6"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-6.8</w:t>
            </w:r>
          </w:p>
        </w:tc>
        <w:tc>
          <w:tcPr>
            <w:tcW w:w="1290" w:type="dxa"/>
            <w:tcBorders>
              <w:top w:val="nil"/>
              <w:left w:val="nil"/>
              <w:bottom w:val="nil"/>
              <w:right w:val="nil"/>
            </w:tcBorders>
            <w:shd w:val="clear" w:color="auto" w:fill="E5E5E5" w:themeFill="background1" w:themeFillTint="33"/>
            <w:noWrap/>
            <w:vAlign w:val="center"/>
            <w:hideMark/>
          </w:tcPr>
          <w:p w14:paraId="2DD70A38"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0.4</w:t>
            </w:r>
          </w:p>
        </w:tc>
      </w:tr>
      <w:tr w:rsidR="00961617" w:rsidRPr="00545C7F" w14:paraId="74741244"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4AA65162" w14:textId="77777777" w:rsidR="00961617" w:rsidRPr="00545C7F" w:rsidRDefault="00961617" w:rsidP="0020771F">
            <w:pPr>
              <w:spacing w:after="0"/>
              <w:rPr>
                <w:rFonts w:cstheme="minorHAnsi"/>
                <w:sz w:val="20"/>
                <w:szCs w:val="20"/>
              </w:rPr>
            </w:pPr>
            <w:r w:rsidRPr="00545C7F">
              <w:rPr>
                <w:rFonts w:cstheme="minorHAnsi"/>
                <w:sz w:val="20"/>
                <w:szCs w:val="20"/>
              </w:rPr>
              <w:t>Medium disadvantage country of birth</w:t>
            </w:r>
          </w:p>
        </w:tc>
        <w:tc>
          <w:tcPr>
            <w:tcW w:w="1289" w:type="dxa"/>
            <w:tcBorders>
              <w:top w:val="nil"/>
              <w:left w:val="nil"/>
              <w:right w:val="nil"/>
            </w:tcBorders>
            <w:shd w:val="clear" w:color="auto" w:fill="FFFFFF" w:themeFill="background2"/>
            <w:noWrap/>
            <w:vAlign w:val="center"/>
            <w:hideMark/>
          </w:tcPr>
          <w:p w14:paraId="698CEB46"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64.6</w:t>
            </w:r>
          </w:p>
        </w:tc>
        <w:tc>
          <w:tcPr>
            <w:tcW w:w="1290" w:type="dxa"/>
            <w:tcBorders>
              <w:top w:val="nil"/>
              <w:left w:val="nil"/>
              <w:right w:val="nil"/>
            </w:tcBorders>
            <w:shd w:val="clear" w:color="auto" w:fill="FFFFFF" w:themeFill="background2"/>
            <w:noWrap/>
            <w:vAlign w:val="center"/>
            <w:hideMark/>
          </w:tcPr>
          <w:p w14:paraId="5E2AD1FE"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21.4</w:t>
            </w:r>
          </w:p>
        </w:tc>
        <w:tc>
          <w:tcPr>
            <w:tcW w:w="1290" w:type="dxa"/>
            <w:tcBorders>
              <w:top w:val="nil"/>
              <w:left w:val="nil"/>
              <w:right w:val="nil"/>
            </w:tcBorders>
            <w:shd w:val="clear" w:color="auto" w:fill="FFFFFF" w:themeFill="background2"/>
            <w:noWrap/>
            <w:vAlign w:val="center"/>
            <w:hideMark/>
          </w:tcPr>
          <w:p w14:paraId="2BC6D6E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56.0</w:t>
            </w:r>
          </w:p>
        </w:tc>
        <w:tc>
          <w:tcPr>
            <w:tcW w:w="1290" w:type="dxa"/>
            <w:tcBorders>
              <w:top w:val="nil"/>
              <w:left w:val="nil"/>
              <w:right w:val="nil"/>
            </w:tcBorders>
            <w:shd w:val="clear" w:color="auto" w:fill="FFFFFF" w:themeFill="background2"/>
            <w:noWrap/>
            <w:vAlign w:val="center"/>
            <w:hideMark/>
          </w:tcPr>
          <w:p w14:paraId="062EA59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24.5</w:t>
            </w:r>
          </w:p>
        </w:tc>
        <w:tc>
          <w:tcPr>
            <w:tcW w:w="1290" w:type="dxa"/>
            <w:tcBorders>
              <w:top w:val="nil"/>
              <w:left w:val="nil"/>
              <w:right w:val="nil"/>
            </w:tcBorders>
            <w:shd w:val="clear" w:color="auto" w:fill="FFFFFF" w:themeFill="background2"/>
            <w:noWrap/>
            <w:vAlign w:val="center"/>
            <w:hideMark/>
          </w:tcPr>
          <w:p w14:paraId="46939DF9"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-8.6</w:t>
            </w:r>
          </w:p>
        </w:tc>
        <w:tc>
          <w:tcPr>
            <w:tcW w:w="1290" w:type="dxa"/>
            <w:tcBorders>
              <w:top w:val="nil"/>
              <w:left w:val="nil"/>
              <w:right w:val="nil"/>
            </w:tcBorders>
            <w:shd w:val="clear" w:color="auto" w:fill="FFFFFF" w:themeFill="background2"/>
            <w:noWrap/>
            <w:vAlign w:val="center"/>
            <w:hideMark/>
          </w:tcPr>
          <w:p w14:paraId="2820268F"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3.1</w:t>
            </w:r>
          </w:p>
        </w:tc>
      </w:tr>
      <w:tr w:rsidR="00961617" w:rsidRPr="00545C7F" w14:paraId="35F126DC"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23ED9E23" w14:textId="77777777" w:rsidR="00961617" w:rsidRPr="00545C7F" w:rsidRDefault="00961617" w:rsidP="0020771F">
            <w:pPr>
              <w:spacing w:after="0"/>
              <w:rPr>
                <w:rFonts w:cstheme="minorHAnsi"/>
                <w:sz w:val="20"/>
                <w:szCs w:val="20"/>
              </w:rPr>
            </w:pPr>
            <w:r w:rsidRPr="00545C7F">
              <w:rPr>
                <w:rFonts w:cstheme="minorHAnsi"/>
                <w:sz w:val="20"/>
                <w:szCs w:val="20"/>
              </w:rPr>
              <w:t>High disadvantage country of birth</w:t>
            </w:r>
          </w:p>
        </w:tc>
        <w:tc>
          <w:tcPr>
            <w:tcW w:w="1289" w:type="dxa"/>
            <w:tcBorders>
              <w:top w:val="nil"/>
              <w:left w:val="nil"/>
              <w:right w:val="nil"/>
            </w:tcBorders>
            <w:shd w:val="clear" w:color="auto" w:fill="E5E5E5" w:themeFill="background1" w:themeFillTint="33"/>
            <w:noWrap/>
            <w:vAlign w:val="center"/>
            <w:hideMark/>
          </w:tcPr>
          <w:p w14:paraId="6DD859B0"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64.4</w:t>
            </w:r>
          </w:p>
        </w:tc>
        <w:tc>
          <w:tcPr>
            <w:tcW w:w="1290" w:type="dxa"/>
            <w:tcBorders>
              <w:top w:val="nil"/>
              <w:left w:val="nil"/>
              <w:right w:val="nil"/>
            </w:tcBorders>
            <w:shd w:val="clear" w:color="auto" w:fill="E5E5E5" w:themeFill="background1" w:themeFillTint="33"/>
            <w:noWrap/>
            <w:vAlign w:val="center"/>
            <w:hideMark/>
          </w:tcPr>
          <w:p w14:paraId="1FF59EE3"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43.0</w:t>
            </w:r>
          </w:p>
        </w:tc>
        <w:tc>
          <w:tcPr>
            <w:tcW w:w="1290" w:type="dxa"/>
            <w:tcBorders>
              <w:top w:val="nil"/>
              <w:left w:val="nil"/>
              <w:right w:val="nil"/>
            </w:tcBorders>
            <w:shd w:val="clear" w:color="auto" w:fill="E5E5E5" w:themeFill="background1" w:themeFillTint="33"/>
            <w:noWrap/>
            <w:vAlign w:val="center"/>
            <w:hideMark/>
          </w:tcPr>
          <w:p w14:paraId="2CDD3E5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66.2</w:t>
            </w:r>
          </w:p>
        </w:tc>
        <w:tc>
          <w:tcPr>
            <w:tcW w:w="1290" w:type="dxa"/>
            <w:tcBorders>
              <w:top w:val="nil"/>
              <w:left w:val="nil"/>
              <w:right w:val="nil"/>
            </w:tcBorders>
            <w:shd w:val="clear" w:color="auto" w:fill="E5E5E5" w:themeFill="background1" w:themeFillTint="33"/>
            <w:noWrap/>
            <w:vAlign w:val="center"/>
            <w:hideMark/>
          </w:tcPr>
          <w:p w14:paraId="3EAC405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w:t>
            </w:r>
          </w:p>
        </w:tc>
        <w:tc>
          <w:tcPr>
            <w:tcW w:w="1290" w:type="dxa"/>
            <w:tcBorders>
              <w:top w:val="nil"/>
              <w:left w:val="nil"/>
              <w:right w:val="nil"/>
            </w:tcBorders>
            <w:shd w:val="clear" w:color="auto" w:fill="E5E5E5" w:themeFill="background1" w:themeFillTint="33"/>
            <w:noWrap/>
            <w:vAlign w:val="center"/>
            <w:hideMark/>
          </w:tcPr>
          <w:p w14:paraId="712DACDC"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1.8</w:t>
            </w:r>
          </w:p>
        </w:tc>
        <w:tc>
          <w:tcPr>
            <w:tcW w:w="1290" w:type="dxa"/>
            <w:tcBorders>
              <w:top w:val="nil"/>
              <w:left w:val="nil"/>
              <w:right w:val="nil"/>
            </w:tcBorders>
            <w:shd w:val="clear" w:color="auto" w:fill="E5E5E5" w:themeFill="background1" w:themeFillTint="33"/>
            <w:noWrap/>
            <w:vAlign w:val="center"/>
            <w:hideMark/>
          </w:tcPr>
          <w:p w14:paraId="004D70E8"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 xml:space="preserve"> ^</w:t>
            </w:r>
          </w:p>
        </w:tc>
      </w:tr>
      <w:tr w:rsidR="00961617" w:rsidRPr="00545C7F" w14:paraId="0FF045CE"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7F6C90B3" w14:textId="77777777" w:rsidR="00961617" w:rsidRPr="00545C7F" w:rsidRDefault="00961617" w:rsidP="0020771F">
            <w:pPr>
              <w:spacing w:after="0"/>
              <w:rPr>
                <w:rFonts w:cstheme="minorHAnsi"/>
                <w:sz w:val="20"/>
                <w:szCs w:val="20"/>
              </w:rPr>
            </w:pPr>
            <w:r w:rsidRPr="00545C7F">
              <w:rPr>
                <w:rFonts w:cstheme="minorHAnsi"/>
                <w:sz w:val="20"/>
                <w:szCs w:val="20"/>
              </w:rPr>
              <w:t>Not CALD</w:t>
            </w:r>
          </w:p>
        </w:tc>
        <w:tc>
          <w:tcPr>
            <w:tcW w:w="1289" w:type="dxa"/>
            <w:tcBorders>
              <w:top w:val="nil"/>
              <w:left w:val="nil"/>
              <w:right w:val="nil"/>
            </w:tcBorders>
            <w:shd w:val="clear" w:color="auto" w:fill="FFFFFF" w:themeFill="background2"/>
            <w:noWrap/>
            <w:vAlign w:val="center"/>
            <w:hideMark/>
          </w:tcPr>
          <w:p w14:paraId="02F815E5"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77.8</w:t>
            </w:r>
          </w:p>
        </w:tc>
        <w:tc>
          <w:tcPr>
            <w:tcW w:w="1290" w:type="dxa"/>
            <w:tcBorders>
              <w:top w:val="nil"/>
              <w:left w:val="nil"/>
              <w:right w:val="nil"/>
            </w:tcBorders>
            <w:shd w:val="clear" w:color="auto" w:fill="FFFFFF" w:themeFill="background2"/>
            <w:noWrap/>
            <w:vAlign w:val="center"/>
            <w:hideMark/>
          </w:tcPr>
          <w:p w14:paraId="026CB734"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20.8</w:t>
            </w:r>
          </w:p>
        </w:tc>
        <w:tc>
          <w:tcPr>
            <w:tcW w:w="1290" w:type="dxa"/>
            <w:tcBorders>
              <w:top w:val="nil"/>
              <w:left w:val="nil"/>
              <w:right w:val="nil"/>
            </w:tcBorders>
            <w:shd w:val="clear" w:color="auto" w:fill="FFFFFF" w:themeFill="background2"/>
            <w:noWrap/>
            <w:vAlign w:val="center"/>
            <w:hideMark/>
          </w:tcPr>
          <w:p w14:paraId="1FBD048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71.1</w:t>
            </w:r>
          </w:p>
        </w:tc>
        <w:tc>
          <w:tcPr>
            <w:tcW w:w="1290" w:type="dxa"/>
            <w:tcBorders>
              <w:top w:val="nil"/>
              <w:left w:val="nil"/>
              <w:right w:val="nil"/>
            </w:tcBorders>
            <w:shd w:val="clear" w:color="auto" w:fill="FFFFFF" w:themeFill="background2"/>
            <w:noWrap/>
            <w:vAlign w:val="center"/>
            <w:hideMark/>
          </w:tcPr>
          <w:p w14:paraId="3163C08D"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21.4</w:t>
            </w:r>
          </w:p>
        </w:tc>
        <w:tc>
          <w:tcPr>
            <w:tcW w:w="1290" w:type="dxa"/>
            <w:tcBorders>
              <w:top w:val="nil"/>
              <w:left w:val="nil"/>
              <w:right w:val="nil"/>
            </w:tcBorders>
            <w:shd w:val="clear" w:color="auto" w:fill="FFFFFF" w:themeFill="background2"/>
            <w:noWrap/>
            <w:vAlign w:val="center"/>
            <w:hideMark/>
          </w:tcPr>
          <w:p w14:paraId="5ADEA9AD"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-6.7</w:t>
            </w:r>
          </w:p>
        </w:tc>
        <w:tc>
          <w:tcPr>
            <w:tcW w:w="1290" w:type="dxa"/>
            <w:tcBorders>
              <w:top w:val="nil"/>
              <w:left w:val="nil"/>
              <w:right w:val="nil"/>
            </w:tcBorders>
            <w:shd w:val="clear" w:color="auto" w:fill="FFFFFF" w:themeFill="background2"/>
            <w:noWrap/>
            <w:vAlign w:val="center"/>
            <w:hideMark/>
          </w:tcPr>
          <w:p w14:paraId="2B20447D"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0.6</w:t>
            </w:r>
          </w:p>
        </w:tc>
      </w:tr>
      <w:tr w:rsidR="00961617" w:rsidRPr="00545C7F" w14:paraId="08858AFA"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0FB2B3E0" w14:textId="77777777" w:rsidR="00961617" w:rsidRPr="00545C7F" w:rsidRDefault="00961617" w:rsidP="0020771F">
            <w:pPr>
              <w:spacing w:after="0"/>
              <w:rPr>
                <w:rFonts w:cstheme="minorHAnsi"/>
                <w:sz w:val="20"/>
                <w:szCs w:val="20"/>
              </w:rPr>
            </w:pPr>
            <w:r w:rsidRPr="00545C7F">
              <w:rPr>
                <w:rFonts w:cstheme="minorHAnsi"/>
                <w:sz w:val="20"/>
                <w:szCs w:val="20"/>
              </w:rPr>
              <w:t>CALD</w:t>
            </w:r>
          </w:p>
        </w:tc>
        <w:tc>
          <w:tcPr>
            <w:tcW w:w="1289" w:type="dxa"/>
            <w:tcBorders>
              <w:top w:val="nil"/>
              <w:left w:val="nil"/>
              <w:right w:val="nil"/>
            </w:tcBorders>
            <w:shd w:val="clear" w:color="auto" w:fill="E5E5E5" w:themeFill="background1" w:themeFillTint="33"/>
            <w:noWrap/>
            <w:vAlign w:val="center"/>
            <w:hideMark/>
          </w:tcPr>
          <w:p w14:paraId="55AB4927"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66.1</w:t>
            </w:r>
          </w:p>
        </w:tc>
        <w:tc>
          <w:tcPr>
            <w:tcW w:w="1290" w:type="dxa"/>
            <w:tcBorders>
              <w:top w:val="nil"/>
              <w:left w:val="nil"/>
              <w:right w:val="nil"/>
            </w:tcBorders>
            <w:shd w:val="clear" w:color="auto" w:fill="E5E5E5" w:themeFill="background1" w:themeFillTint="33"/>
            <w:noWrap/>
            <w:vAlign w:val="center"/>
            <w:hideMark/>
          </w:tcPr>
          <w:p w14:paraId="2722408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22.7</w:t>
            </w:r>
          </w:p>
        </w:tc>
        <w:tc>
          <w:tcPr>
            <w:tcW w:w="1290" w:type="dxa"/>
            <w:tcBorders>
              <w:top w:val="nil"/>
              <w:left w:val="nil"/>
              <w:right w:val="nil"/>
            </w:tcBorders>
            <w:shd w:val="clear" w:color="auto" w:fill="E5E5E5" w:themeFill="background1" w:themeFillTint="33"/>
            <w:noWrap/>
            <w:vAlign w:val="center"/>
            <w:hideMark/>
          </w:tcPr>
          <w:p w14:paraId="681228F9"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58.4</w:t>
            </w:r>
          </w:p>
        </w:tc>
        <w:tc>
          <w:tcPr>
            <w:tcW w:w="1290" w:type="dxa"/>
            <w:tcBorders>
              <w:top w:val="nil"/>
              <w:left w:val="nil"/>
              <w:right w:val="nil"/>
            </w:tcBorders>
            <w:shd w:val="clear" w:color="auto" w:fill="E5E5E5" w:themeFill="background1" w:themeFillTint="33"/>
            <w:noWrap/>
            <w:vAlign w:val="center"/>
            <w:hideMark/>
          </w:tcPr>
          <w:p w14:paraId="1BBABF90"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23.1</w:t>
            </w:r>
          </w:p>
        </w:tc>
        <w:tc>
          <w:tcPr>
            <w:tcW w:w="1290" w:type="dxa"/>
            <w:tcBorders>
              <w:top w:val="nil"/>
              <w:left w:val="nil"/>
              <w:right w:val="nil"/>
            </w:tcBorders>
            <w:shd w:val="clear" w:color="auto" w:fill="E5E5E5" w:themeFill="background1" w:themeFillTint="33"/>
            <w:noWrap/>
            <w:vAlign w:val="center"/>
            <w:hideMark/>
          </w:tcPr>
          <w:p w14:paraId="6653A863"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-7.7</w:t>
            </w:r>
          </w:p>
        </w:tc>
        <w:tc>
          <w:tcPr>
            <w:tcW w:w="1290" w:type="dxa"/>
            <w:tcBorders>
              <w:top w:val="nil"/>
              <w:left w:val="nil"/>
              <w:right w:val="nil"/>
            </w:tcBorders>
            <w:shd w:val="clear" w:color="auto" w:fill="E5E5E5" w:themeFill="background1" w:themeFillTint="33"/>
            <w:noWrap/>
            <w:vAlign w:val="center"/>
            <w:hideMark/>
          </w:tcPr>
          <w:p w14:paraId="326FDD32"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0.4</w:t>
            </w:r>
          </w:p>
        </w:tc>
      </w:tr>
      <w:tr w:rsidR="00961617" w:rsidRPr="00545C7F" w14:paraId="2799D55D" w14:textId="77777777" w:rsidTr="0020771F">
        <w:trPr>
          <w:trHeight w:hRule="exact" w:val="510"/>
          <w:jc w:val="center"/>
        </w:trPr>
        <w:tc>
          <w:tcPr>
            <w:tcW w:w="4472" w:type="dxa"/>
            <w:tcBorders>
              <w:top w:val="nil"/>
              <w:left w:val="nil"/>
              <w:right w:val="nil"/>
            </w:tcBorders>
            <w:shd w:val="clear" w:color="auto" w:fill="FFFFFF" w:themeFill="background2"/>
            <w:vAlign w:val="center"/>
            <w:hideMark/>
          </w:tcPr>
          <w:p w14:paraId="06315B10" w14:textId="77777777" w:rsidR="00961617" w:rsidRPr="00545C7F" w:rsidRDefault="00961617" w:rsidP="0020771F">
            <w:pPr>
              <w:spacing w:after="0"/>
              <w:rPr>
                <w:rFonts w:cstheme="minorHAnsi"/>
                <w:sz w:val="20"/>
                <w:szCs w:val="20"/>
              </w:rPr>
            </w:pPr>
            <w:r w:rsidRPr="00545C7F">
              <w:rPr>
                <w:rFonts w:cstheme="minorHAnsi"/>
                <w:sz w:val="20"/>
                <w:szCs w:val="20"/>
              </w:rPr>
              <w:t>Good English proficiency</w:t>
            </w:r>
          </w:p>
        </w:tc>
        <w:tc>
          <w:tcPr>
            <w:tcW w:w="1289" w:type="dxa"/>
            <w:tcBorders>
              <w:top w:val="nil"/>
              <w:left w:val="nil"/>
              <w:right w:val="nil"/>
            </w:tcBorders>
            <w:shd w:val="clear" w:color="auto" w:fill="FFFFFF" w:themeFill="background2"/>
            <w:noWrap/>
            <w:vAlign w:val="center"/>
            <w:hideMark/>
          </w:tcPr>
          <w:p w14:paraId="2E7F17CE"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76.2</w:t>
            </w:r>
          </w:p>
        </w:tc>
        <w:tc>
          <w:tcPr>
            <w:tcW w:w="1290" w:type="dxa"/>
            <w:tcBorders>
              <w:top w:val="nil"/>
              <w:left w:val="nil"/>
              <w:right w:val="nil"/>
            </w:tcBorders>
            <w:shd w:val="clear" w:color="auto" w:fill="FFFFFF" w:themeFill="background2"/>
            <w:noWrap/>
            <w:vAlign w:val="center"/>
            <w:hideMark/>
          </w:tcPr>
          <w:p w14:paraId="5CC10D0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21.0</w:t>
            </w:r>
          </w:p>
        </w:tc>
        <w:tc>
          <w:tcPr>
            <w:tcW w:w="1290" w:type="dxa"/>
            <w:tcBorders>
              <w:top w:val="nil"/>
              <w:left w:val="nil"/>
              <w:right w:val="nil"/>
            </w:tcBorders>
            <w:shd w:val="clear" w:color="auto" w:fill="FFFFFF" w:themeFill="background2"/>
            <w:noWrap/>
            <w:vAlign w:val="center"/>
            <w:hideMark/>
          </w:tcPr>
          <w:p w14:paraId="751CD107"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69.6</w:t>
            </w:r>
          </w:p>
        </w:tc>
        <w:tc>
          <w:tcPr>
            <w:tcW w:w="1290" w:type="dxa"/>
            <w:tcBorders>
              <w:top w:val="nil"/>
              <w:left w:val="nil"/>
              <w:right w:val="nil"/>
            </w:tcBorders>
            <w:shd w:val="clear" w:color="auto" w:fill="FFFFFF" w:themeFill="background2"/>
            <w:noWrap/>
            <w:vAlign w:val="center"/>
            <w:hideMark/>
          </w:tcPr>
          <w:p w14:paraId="6D8BE86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21.8</w:t>
            </w:r>
          </w:p>
        </w:tc>
        <w:tc>
          <w:tcPr>
            <w:tcW w:w="1290" w:type="dxa"/>
            <w:tcBorders>
              <w:top w:val="nil"/>
              <w:left w:val="nil"/>
              <w:right w:val="nil"/>
            </w:tcBorders>
            <w:shd w:val="clear" w:color="auto" w:fill="FFFFFF" w:themeFill="background2"/>
            <w:noWrap/>
            <w:vAlign w:val="center"/>
            <w:hideMark/>
          </w:tcPr>
          <w:p w14:paraId="2B60E3EF"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-6.6</w:t>
            </w:r>
          </w:p>
        </w:tc>
        <w:tc>
          <w:tcPr>
            <w:tcW w:w="1290" w:type="dxa"/>
            <w:tcBorders>
              <w:top w:val="nil"/>
              <w:left w:val="nil"/>
              <w:right w:val="nil"/>
            </w:tcBorders>
            <w:shd w:val="clear" w:color="auto" w:fill="FFFFFF" w:themeFill="background2"/>
            <w:noWrap/>
            <w:vAlign w:val="center"/>
            <w:hideMark/>
          </w:tcPr>
          <w:p w14:paraId="3F151A2C"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0.8</w:t>
            </w:r>
          </w:p>
        </w:tc>
      </w:tr>
      <w:tr w:rsidR="00961617" w:rsidRPr="00545C7F" w14:paraId="6A5145D7" w14:textId="77777777" w:rsidTr="0020771F">
        <w:trPr>
          <w:trHeight w:hRule="exact" w:val="510"/>
          <w:jc w:val="center"/>
        </w:trPr>
        <w:tc>
          <w:tcPr>
            <w:tcW w:w="4472" w:type="dxa"/>
            <w:tcBorders>
              <w:top w:val="nil"/>
              <w:left w:val="nil"/>
              <w:right w:val="nil"/>
            </w:tcBorders>
            <w:shd w:val="clear" w:color="auto" w:fill="E5E5E5" w:themeFill="background1" w:themeFillTint="33"/>
            <w:vAlign w:val="center"/>
            <w:hideMark/>
          </w:tcPr>
          <w:p w14:paraId="539B2049" w14:textId="77777777" w:rsidR="00961617" w:rsidRPr="00545C7F" w:rsidRDefault="00961617" w:rsidP="0020771F">
            <w:pPr>
              <w:spacing w:after="0"/>
              <w:rPr>
                <w:rFonts w:cstheme="minorHAnsi"/>
                <w:sz w:val="20"/>
                <w:szCs w:val="20"/>
              </w:rPr>
            </w:pPr>
            <w:r w:rsidRPr="00545C7F">
              <w:rPr>
                <w:rFonts w:cstheme="minorHAnsi"/>
                <w:sz w:val="20"/>
                <w:szCs w:val="20"/>
              </w:rPr>
              <w:t>Mixed/poor English proficiency</w:t>
            </w:r>
          </w:p>
        </w:tc>
        <w:tc>
          <w:tcPr>
            <w:tcW w:w="1289" w:type="dxa"/>
            <w:tcBorders>
              <w:top w:val="nil"/>
              <w:left w:val="nil"/>
              <w:right w:val="nil"/>
            </w:tcBorders>
            <w:shd w:val="clear" w:color="auto" w:fill="E5E5E5" w:themeFill="background1" w:themeFillTint="33"/>
            <w:noWrap/>
            <w:vAlign w:val="center"/>
            <w:hideMark/>
          </w:tcPr>
          <w:p w14:paraId="01325FA6"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57.6</w:t>
            </w:r>
          </w:p>
        </w:tc>
        <w:tc>
          <w:tcPr>
            <w:tcW w:w="1290" w:type="dxa"/>
            <w:tcBorders>
              <w:top w:val="nil"/>
              <w:left w:val="nil"/>
              <w:right w:val="nil"/>
            </w:tcBorders>
            <w:shd w:val="clear" w:color="auto" w:fill="E5E5E5" w:themeFill="background1" w:themeFillTint="33"/>
            <w:noWrap/>
            <w:vAlign w:val="center"/>
            <w:hideMark/>
          </w:tcPr>
          <w:p w14:paraId="048C0F97"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24.9</w:t>
            </w:r>
          </w:p>
        </w:tc>
        <w:tc>
          <w:tcPr>
            <w:tcW w:w="1290" w:type="dxa"/>
            <w:tcBorders>
              <w:top w:val="nil"/>
              <w:left w:val="nil"/>
              <w:right w:val="nil"/>
            </w:tcBorders>
            <w:shd w:val="clear" w:color="auto" w:fill="E5E5E5" w:themeFill="background1" w:themeFillTint="33"/>
            <w:noWrap/>
            <w:vAlign w:val="center"/>
            <w:hideMark/>
          </w:tcPr>
          <w:p w14:paraId="0C3ED4BF"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50.2</w:t>
            </w:r>
          </w:p>
        </w:tc>
        <w:tc>
          <w:tcPr>
            <w:tcW w:w="1290" w:type="dxa"/>
            <w:tcBorders>
              <w:top w:val="nil"/>
              <w:left w:val="nil"/>
              <w:right w:val="nil"/>
            </w:tcBorders>
            <w:shd w:val="clear" w:color="auto" w:fill="E5E5E5" w:themeFill="background1" w:themeFillTint="33"/>
            <w:noWrap/>
            <w:vAlign w:val="center"/>
            <w:hideMark/>
          </w:tcPr>
          <w:p w14:paraId="61746DE6"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17.2</w:t>
            </w:r>
          </w:p>
        </w:tc>
        <w:tc>
          <w:tcPr>
            <w:tcW w:w="1290" w:type="dxa"/>
            <w:tcBorders>
              <w:top w:val="nil"/>
              <w:left w:val="nil"/>
              <w:right w:val="nil"/>
            </w:tcBorders>
            <w:shd w:val="clear" w:color="auto" w:fill="E5E5E5" w:themeFill="background1" w:themeFillTint="33"/>
            <w:noWrap/>
            <w:vAlign w:val="center"/>
            <w:hideMark/>
          </w:tcPr>
          <w:p w14:paraId="4AA8E834"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-7.4</w:t>
            </w:r>
          </w:p>
        </w:tc>
        <w:tc>
          <w:tcPr>
            <w:tcW w:w="1290" w:type="dxa"/>
            <w:tcBorders>
              <w:top w:val="nil"/>
              <w:left w:val="nil"/>
              <w:right w:val="nil"/>
            </w:tcBorders>
            <w:shd w:val="clear" w:color="auto" w:fill="E5E5E5" w:themeFill="background1" w:themeFillTint="33"/>
            <w:noWrap/>
            <w:vAlign w:val="center"/>
            <w:hideMark/>
          </w:tcPr>
          <w:p w14:paraId="4CE0E22A"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-7.7</w:t>
            </w:r>
          </w:p>
        </w:tc>
      </w:tr>
      <w:tr w:rsidR="00961617" w:rsidRPr="00545C7F" w14:paraId="5FBA54F3" w14:textId="77777777" w:rsidTr="0020771F">
        <w:trPr>
          <w:trHeight w:hRule="exact" w:val="510"/>
          <w:jc w:val="center"/>
        </w:trPr>
        <w:tc>
          <w:tcPr>
            <w:tcW w:w="4472" w:type="dxa"/>
            <w:tcBorders>
              <w:top w:val="nil"/>
              <w:left w:val="nil"/>
              <w:right w:val="nil"/>
            </w:tcBorders>
            <w:shd w:val="clear" w:color="auto" w:fill="8EAEDE"/>
            <w:vAlign w:val="center"/>
            <w:hideMark/>
          </w:tcPr>
          <w:p w14:paraId="4AF1281D" w14:textId="77777777" w:rsidR="00961617" w:rsidRPr="00545C7F" w:rsidRDefault="00961617" w:rsidP="0020771F">
            <w:pPr>
              <w:spacing w:after="0"/>
              <w:rPr>
                <w:rFonts w:cstheme="minorHAnsi"/>
                <w:sz w:val="20"/>
                <w:szCs w:val="20"/>
              </w:rPr>
            </w:pPr>
            <w:r w:rsidRPr="00545C7F">
              <w:rPr>
                <w:rFonts w:cstheme="minorHAnsi"/>
                <w:sz w:val="20"/>
                <w:szCs w:val="20"/>
              </w:rPr>
              <w:t>Overall, Stream 1</w:t>
            </w:r>
          </w:p>
        </w:tc>
        <w:tc>
          <w:tcPr>
            <w:tcW w:w="1289" w:type="dxa"/>
            <w:tcBorders>
              <w:top w:val="nil"/>
              <w:left w:val="nil"/>
              <w:right w:val="nil"/>
            </w:tcBorders>
            <w:shd w:val="clear" w:color="auto" w:fill="8EAEDE"/>
            <w:noWrap/>
            <w:vAlign w:val="center"/>
            <w:hideMark/>
          </w:tcPr>
          <w:p w14:paraId="209CC6AA" w14:textId="77777777" w:rsidR="00961617" w:rsidRPr="00545C7F" w:rsidRDefault="00961617" w:rsidP="0020771F">
            <w:pPr>
              <w:spacing w:after="0"/>
              <w:ind w:right="146"/>
              <w:jc w:val="right"/>
              <w:rPr>
                <w:rFonts w:cstheme="minorHAnsi"/>
                <w:sz w:val="20"/>
                <w:szCs w:val="20"/>
              </w:rPr>
            </w:pPr>
            <w:r w:rsidRPr="00545C7F">
              <w:rPr>
                <w:rFonts w:cstheme="minorHAnsi"/>
                <w:sz w:val="20"/>
                <w:szCs w:val="20"/>
              </w:rPr>
              <w:t>75.5</w:t>
            </w:r>
          </w:p>
        </w:tc>
        <w:tc>
          <w:tcPr>
            <w:tcW w:w="1290" w:type="dxa"/>
            <w:tcBorders>
              <w:top w:val="nil"/>
              <w:left w:val="nil"/>
              <w:right w:val="nil"/>
            </w:tcBorders>
            <w:shd w:val="clear" w:color="auto" w:fill="8EAEDE"/>
            <w:noWrap/>
            <w:vAlign w:val="center"/>
            <w:hideMark/>
          </w:tcPr>
          <w:p w14:paraId="397E3157"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21.1</w:t>
            </w:r>
          </w:p>
        </w:tc>
        <w:tc>
          <w:tcPr>
            <w:tcW w:w="1290" w:type="dxa"/>
            <w:tcBorders>
              <w:top w:val="nil"/>
              <w:left w:val="nil"/>
              <w:right w:val="nil"/>
            </w:tcBorders>
            <w:shd w:val="clear" w:color="auto" w:fill="8EAEDE"/>
            <w:noWrap/>
            <w:vAlign w:val="center"/>
            <w:hideMark/>
          </w:tcPr>
          <w:p w14:paraId="39379851"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68.7</w:t>
            </w:r>
          </w:p>
        </w:tc>
        <w:tc>
          <w:tcPr>
            <w:tcW w:w="1290" w:type="dxa"/>
            <w:tcBorders>
              <w:top w:val="nil"/>
              <w:left w:val="nil"/>
              <w:right w:val="nil"/>
            </w:tcBorders>
            <w:shd w:val="clear" w:color="auto" w:fill="8EAEDE"/>
            <w:noWrap/>
            <w:vAlign w:val="center"/>
            <w:hideMark/>
          </w:tcPr>
          <w:p w14:paraId="24DB40BB" w14:textId="77777777" w:rsidR="00961617" w:rsidRPr="00545C7F" w:rsidRDefault="00961617" w:rsidP="0020771F">
            <w:pPr>
              <w:spacing w:after="0"/>
              <w:ind w:right="147"/>
              <w:jc w:val="right"/>
              <w:rPr>
                <w:rFonts w:cstheme="minorHAnsi"/>
                <w:sz w:val="20"/>
                <w:szCs w:val="20"/>
              </w:rPr>
            </w:pPr>
            <w:r w:rsidRPr="00545C7F">
              <w:rPr>
                <w:rFonts w:cstheme="minorHAnsi"/>
                <w:sz w:val="20"/>
                <w:szCs w:val="20"/>
              </w:rPr>
              <w:t>21.8</w:t>
            </w:r>
          </w:p>
        </w:tc>
        <w:tc>
          <w:tcPr>
            <w:tcW w:w="1290" w:type="dxa"/>
            <w:tcBorders>
              <w:top w:val="nil"/>
              <w:left w:val="nil"/>
              <w:right w:val="nil"/>
            </w:tcBorders>
            <w:shd w:val="clear" w:color="auto" w:fill="8EAEDE"/>
            <w:noWrap/>
            <w:vAlign w:val="center"/>
            <w:hideMark/>
          </w:tcPr>
          <w:p w14:paraId="0A4F0F97" w14:textId="77777777" w:rsidR="00961617" w:rsidRPr="00545C7F" w:rsidRDefault="00961617" w:rsidP="0020771F">
            <w:pPr>
              <w:spacing w:after="0"/>
              <w:ind w:right="124"/>
              <w:jc w:val="right"/>
              <w:rPr>
                <w:rFonts w:cstheme="minorHAnsi"/>
                <w:sz w:val="20"/>
                <w:szCs w:val="20"/>
              </w:rPr>
            </w:pPr>
            <w:r w:rsidRPr="00545C7F">
              <w:rPr>
                <w:rFonts w:cstheme="minorHAnsi"/>
                <w:sz w:val="20"/>
                <w:szCs w:val="20"/>
              </w:rPr>
              <w:t>-6.8</w:t>
            </w:r>
          </w:p>
        </w:tc>
        <w:tc>
          <w:tcPr>
            <w:tcW w:w="1290" w:type="dxa"/>
            <w:tcBorders>
              <w:top w:val="nil"/>
              <w:left w:val="nil"/>
              <w:right w:val="nil"/>
            </w:tcBorders>
            <w:shd w:val="clear" w:color="auto" w:fill="8EAEDE"/>
            <w:noWrap/>
            <w:vAlign w:val="center"/>
            <w:hideMark/>
          </w:tcPr>
          <w:p w14:paraId="1615DC8A" w14:textId="77777777" w:rsidR="00961617" w:rsidRPr="00545C7F" w:rsidRDefault="00961617" w:rsidP="0020771F">
            <w:pPr>
              <w:spacing w:after="0"/>
              <w:ind w:right="133"/>
              <w:jc w:val="right"/>
              <w:rPr>
                <w:rFonts w:cstheme="minorHAnsi"/>
                <w:sz w:val="20"/>
                <w:szCs w:val="20"/>
              </w:rPr>
            </w:pPr>
            <w:r w:rsidRPr="00545C7F">
              <w:rPr>
                <w:rFonts w:cstheme="minorHAnsi"/>
                <w:sz w:val="20"/>
                <w:szCs w:val="20"/>
              </w:rPr>
              <w:t>0.7</w:t>
            </w:r>
          </w:p>
        </w:tc>
      </w:tr>
    </w:tbl>
    <w:p w14:paraId="0A59DEAC" w14:textId="77777777" w:rsidR="00AE501D" w:rsidRPr="002F5864" w:rsidRDefault="00AE501D" w:rsidP="00AE501D">
      <w:pPr>
        <w:pStyle w:val="Notesnumbered"/>
      </w:pPr>
      <w:r w:rsidRPr="002F5864">
        <w:rPr>
          <w:rFonts w:eastAsia="Times New Roman"/>
          <w:lang w:eastAsia="en-AU"/>
        </w:rPr>
        <w:t>^ Relative standard error too high to provide a reliable estimate</w:t>
      </w:r>
      <w:r w:rsidRPr="002F5864">
        <w:t xml:space="preserve"> </w:t>
      </w:r>
    </w:p>
    <w:p w14:paraId="34C031A5" w14:textId="77777777" w:rsidR="00961617" w:rsidRPr="002F5864" w:rsidRDefault="00961617" w:rsidP="00961617">
      <w:pPr>
        <w:pStyle w:val="Notes"/>
        <w:rPr>
          <w:rFonts w:cstheme="minorHAnsi"/>
          <w:b/>
        </w:rPr>
      </w:pPr>
      <w:r w:rsidRPr="002F5864">
        <w:rPr>
          <w:rFonts w:cstheme="minorHAnsi"/>
          <w:b/>
        </w:rPr>
        <w:t xml:space="preserve">Notes: </w:t>
      </w:r>
      <w:r w:rsidRPr="002F5864">
        <w:rPr>
          <w:rFonts w:cstheme="minorHAnsi"/>
          <w:b/>
        </w:rPr>
        <w:tab/>
      </w:r>
    </w:p>
    <w:p w14:paraId="4C3D5385" w14:textId="77777777" w:rsidR="00961617" w:rsidRPr="00AE501D" w:rsidRDefault="00961617" w:rsidP="00AE501D">
      <w:pPr>
        <w:pStyle w:val="Notesnumbered"/>
        <w:numPr>
          <w:ilvl w:val="0"/>
          <w:numId w:val="267"/>
        </w:numPr>
      </w:pPr>
      <w:r w:rsidRPr="00AE501D">
        <w:t xml:space="preserve">These Post Programme Monitoring Survey results relate to the Stream 1 servicing study populations. </w:t>
      </w:r>
    </w:p>
    <w:p w14:paraId="67B9E137" w14:textId="77777777" w:rsidR="00961617" w:rsidRDefault="00961617" w:rsidP="00AE501D">
      <w:pPr>
        <w:pStyle w:val="Notesnumbered"/>
        <w:numPr>
          <w:ilvl w:val="0"/>
          <w:numId w:val="267"/>
        </w:numPr>
      </w:pPr>
      <w:r w:rsidRPr="00AE501D">
        <w:t>These are observed</w:t>
      </w:r>
      <w:r w:rsidRPr="002F5864">
        <w:t xml:space="preserve"> results, not adjusted for job seeker or labour market characteristics during the two reference periods.</w:t>
      </w:r>
    </w:p>
    <w:p w14:paraId="6101FB42" w14:textId="77777777" w:rsidR="00DE6E91" w:rsidRPr="002F5864" w:rsidRDefault="00DE6E91" w:rsidP="00AE501D">
      <w:pPr>
        <w:pStyle w:val="Notesnumbered"/>
        <w:numPr>
          <w:ilvl w:val="0"/>
          <w:numId w:val="267"/>
        </w:numPr>
      </w:pPr>
      <w:r>
        <w:t>Disadvantage country of birth is a JSCI measure.</w:t>
      </w:r>
    </w:p>
    <w:p w14:paraId="2410EB9E" w14:textId="77777777" w:rsidR="00961617" w:rsidRPr="002F5864" w:rsidRDefault="00961617" w:rsidP="0033478B">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Post Programme Monitoring survey.</w:t>
      </w:r>
    </w:p>
    <w:p w14:paraId="382BE1AB" w14:textId="77777777" w:rsidR="00961617" w:rsidRPr="002F5864" w:rsidRDefault="00961617" w:rsidP="00961617">
      <w:pPr>
        <w:keepNext/>
        <w:keepLines/>
        <w:spacing w:before="120" w:line="240" w:lineRule="auto"/>
        <w:rPr>
          <w:rFonts w:cstheme="minorHAnsi"/>
          <w:sz w:val="18"/>
          <w:szCs w:val="18"/>
        </w:rPr>
      </w:pPr>
      <w:r w:rsidRPr="002F5864">
        <w:rPr>
          <w:rFonts w:cstheme="minorHAnsi"/>
          <w:sz w:val="18"/>
          <w:szCs w:val="18"/>
        </w:rPr>
        <w:t xml:space="preserve">This data is referenced more than once in this report. </w:t>
      </w:r>
    </w:p>
    <w:p w14:paraId="067D2BBA" w14:textId="77777777" w:rsidR="00961617" w:rsidRPr="002F5864" w:rsidRDefault="00864C5E" w:rsidP="00961617">
      <w:pPr>
        <w:pStyle w:val="ListParagraph"/>
        <w:numPr>
          <w:ilvl w:val="0"/>
          <w:numId w:val="97"/>
        </w:numPr>
        <w:spacing w:before="0"/>
        <w:ind w:left="714" w:hanging="357"/>
        <w:rPr>
          <w:rFonts w:cstheme="minorHAnsi"/>
          <w:sz w:val="18"/>
          <w:szCs w:val="18"/>
        </w:rPr>
      </w:pPr>
      <w:hyperlink w:anchor="Place_A219" w:history="1">
        <w:r w:rsidR="00961617" w:rsidRPr="005F1335">
          <w:rPr>
            <w:rStyle w:val="Hyperlink"/>
            <w:rFonts w:cstheme="minorHAnsi"/>
            <w:sz w:val="18"/>
            <w:szCs w:val="18"/>
          </w:rPr>
          <w:t>Return to Table 4.4</w:t>
        </w:r>
      </w:hyperlink>
      <w:r w:rsidR="00961617" w:rsidRPr="002F5864">
        <w:rPr>
          <w:rFonts w:cstheme="minorHAnsi"/>
          <w:sz w:val="18"/>
          <w:szCs w:val="18"/>
        </w:rPr>
        <w:t xml:space="preserve"> where this data is referenced.</w:t>
      </w:r>
    </w:p>
    <w:p w14:paraId="0B032071" w14:textId="77777777" w:rsidR="00961617" w:rsidRPr="002F5864" w:rsidRDefault="00864C5E" w:rsidP="00961617">
      <w:pPr>
        <w:pStyle w:val="ListParagraph"/>
        <w:numPr>
          <w:ilvl w:val="0"/>
          <w:numId w:val="97"/>
        </w:numPr>
        <w:spacing w:before="0"/>
        <w:ind w:left="714" w:hanging="357"/>
        <w:rPr>
          <w:rFonts w:cstheme="minorHAnsi"/>
          <w:sz w:val="18"/>
          <w:szCs w:val="18"/>
        </w:rPr>
      </w:pPr>
      <w:hyperlink w:anchor="Place_A219b" w:history="1">
        <w:r w:rsidR="00961617" w:rsidRPr="005F1335">
          <w:rPr>
            <w:rStyle w:val="Hyperlink"/>
            <w:rFonts w:cstheme="minorHAnsi"/>
            <w:sz w:val="18"/>
            <w:szCs w:val="18"/>
          </w:rPr>
          <w:t>Return to Figure 4.3</w:t>
        </w:r>
      </w:hyperlink>
      <w:r w:rsidR="00961617" w:rsidRPr="002F5864">
        <w:rPr>
          <w:rFonts w:cstheme="minorHAnsi"/>
          <w:sz w:val="18"/>
          <w:szCs w:val="18"/>
        </w:rPr>
        <w:t xml:space="preserve"> where this data is referenced. </w:t>
      </w:r>
    </w:p>
    <w:p w14:paraId="1200466D" w14:textId="77777777" w:rsidR="00961617" w:rsidRPr="002F5864" w:rsidRDefault="00961617" w:rsidP="00961617">
      <w:pPr>
        <w:pStyle w:val="ListParagraph"/>
        <w:numPr>
          <w:ilvl w:val="0"/>
          <w:numId w:val="97"/>
        </w:numPr>
        <w:spacing w:before="0"/>
        <w:ind w:left="714" w:hanging="357"/>
        <w:rPr>
          <w:rFonts w:cstheme="minorHAnsi"/>
          <w:sz w:val="18"/>
          <w:szCs w:val="18"/>
        </w:rPr>
        <w:sectPr w:rsidR="00961617" w:rsidRPr="002F5864" w:rsidSect="00861BD8">
          <w:pgSz w:w="16838" w:h="11906" w:orient="landscape" w:code="9"/>
          <w:pgMar w:top="1440" w:right="1440" w:bottom="1440" w:left="1440" w:header="709" w:footer="284" w:gutter="0"/>
          <w:cols w:space="708"/>
          <w:docGrid w:linePitch="360"/>
        </w:sectPr>
      </w:pPr>
    </w:p>
    <w:p w14:paraId="2F9A7FFE" w14:textId="77777777" w:rsidR="00961617" w:rsidRPr="002F5864" w:rsidRDefault="00961617" w:rsidP="00961617">
      <w:pPr>
        <w:pStyle w:val="TableheadingforappendixA1"/>
        <w:rPr>
          <w:rFonts w:cstheme="minorHAnsi"/>
        </w:rPr>
      </w:pPr>
      <w:bookmarkStart w:id="666" w:name="_Toc513129913"/>
      <w:bookmarkStart w:id="667" w:name="_Toc415485706"/>
      <w:bookmarkStart w:id="668" w:name="_Toc435695224"/>
      <w:bookmarkStart w:id="669" w:name="_Toc436142584"/>
      <w:r w:rsidRPr="002F5864">
        <w:rPr>
          <w:rFonts w:cstheme="minorHAnsi"/>
        </w:rPr>
        <w:t xml:space="preserve">Table A2.20: </w:t>
      </w:r>
      <w:r w:rsidR="001416AD">
        <w:rPr>
          <w:rFonts w:cstheme="minorHAnsi"/>
        </w:rPr>
        <w:t xml:space="preserve">Number of weeks to </w:t>
      </w:r>
      <w:r w:rsidRPr="002F5864">
        <w:rPr>
          <w:rFonts w:cstheme="minorHAnsi"/>
        </w:rPr>
        <w:t xml:space="preserve"> exit service, 2009 and 2012 Stream 1 servicing study populations (</w:t>
      </w:r>
      <w:r w:rsidR="001416AD">
        <w:rPr>
          <w:rFonts w:cstheme="minorHAnsi"/>
        </w:rPr>
        <w:t>per cent</w:t>
      </w:r>
      <w:r w:rsidRPr="002F5864">
        <w:rPr>
          <w:rFonts w:cstheme="minorHAnsi"/>
        </w:rPr>
        <w:t>)</w:t>
      </w:r>
      <w:bookmarkEnd w:id="666"/>
      <w:r w:rsidRPr="002F5864">
        <w:rPr>
          <w:rFonts w:cstheme="minorHAnsi"/>
        </w:rPr>
        <w:t xml:space="preserve"> </w:t>
      </w:r>
    </w:p>
    <w:tbl>
      <w:tblPr>
        <w:tblW w:w="38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2"/>
        <w:tblLook w:val="04A0" w:firstRow="1" w:lastRow="0" w:firstColumn="1" w:lastColumn="0" w:noHBand="0" w:noVBand="1"/>
      </w:tblPr>
      <w:tblGrid>
        <w:gridCol w:w="1149"/>
        <w:gridCol w:w="1418"/>
        <w:gridCol w:w="1276"/>
      </w:tblGrid>
      <w:tr w:rsidR="00961617" w:rsidRPr="00545C7F" w14:paraId="6BFC471E" w14:textId="77777777" w:rsidTr="0020771F">
        <w:trPr>
          <w:trHeight w:val="434"/>
          <w:tblHeader/>
        </w:trPr>
        <w:tc>
          <w:tcPr>
            <w:tcW w:w="1149" w:type="dxa"/>
            <w:tcBorders>
              <w:top w:val="nil"/>
              <w:left w:val="nil"/>
              <w:bottom w:val="nil"/>
              <w:right w:val="nil"/>
            </w:tcBorders>
            <w:shd w:val="clear" w:color="auto" w:fill="1E3D6B"/>
            <w:noWrap/>
            <w:vAlign w:val="center"/>
            <w:hideMark/>
          </w:tcPr>
          <w:p w14:paraId="552CF62F"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bookmarkStart w:id="670" w:name="Title_A220"/>
            <w:bookmarkEnd w:id="670"/>
            <w:r w:rsidRPr="00545C7F">
              <w:rPr>
                <w:rFonts w:eastAsia="Times New Roman" w:cstheme="minorHAnsi"/>
                <w:b/>
                <w:color w:val="FFFFFF" w:themeColor="background2"/>
                <w:sz w:val="20"/>
                <w:szCs w:val="20"/>
                <w:lang w:eastAsia="en-AU"/>
              </w:rPr>
              <w:t>Weeks</w:t>
            </w:r>
          </w:p>
        </w:tc>
        <w:tc>
          <w:tcPr>
            <w:tcW w:w="1418" w:type="dxa"/>
            <w:tcBorders>
              <w:top w:val="nil"/>
              <w:left w:val="nil"/>
              <w:bottom w:val="nil"/>
              <w:right w:val="nil"/>
            </w:tcBorders>
            <w:shd w:val="clear" w:color="auto" w:fill="1E3D6B"/>
            <w:noWrap/>
            <w:vAlign w:val="center"/>
            <w:hideMark/>
          </w:tcPr>
          <w:p w14:paraId="38ED4AC8"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2009</w:t>
            </w:r>
          </w:p>
        </w:tc>
        <w:tc>
          <w:tcPr>
            <w:tcW w:w="1276" w:type="dxa"/>
            <w:tcBorders>
              <w:top w:val="nil"/>
              <w:left w:val="nil"/>
              <w:bottom w:val="nil"/>
              <w:right w:val="nil"/>
            </w:tcBorders>
            <w:shd w:val="clear" w:color="auto" w:fill="1E3D6B"/>
            <w:noWrap/>
            <w:vAlign w:val="center"/>
            <w:hideMark/>
          </w:tcPr>
          <w:p w14:paraId="025AAF1B"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2012</w:t>
            </w:r>
          </w:p>
        </w:tc>
      </w:tr>
      <w:tr w:rsidR="00961617" w:rsidRPr="00545C7F" w14:paraId="76E27DB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48413F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w:t>
            </w:r>
          </w:p>
        </w:tc>
        <w:tc>
          <w:tcPr>
            <w:tcW w:w="1418" w:type="dxa"/>
            <w:tcBorders>
              <w:top w:val="nil"/>
            </w:tcBorders>
            <w:shd w:val="clear" w:color="000000" w:fill="FFFFFF"/>
            <w:noWrap/>
            <w:vAlign w:val="center"/>
            <w:hideMark/>
          </w:tcPr>
          <w:p w14:paraId="0A2C82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0.008</w:t>
            </w:r>
          </w:p>
        </w:tc>
        <w:tc>
          <w:tcPr>
            <w:tcW w:w="1276" w:type="dxa"/>
            <w:tcBorders>
              <w:top w:val="nil"/>
            </w:tcBorders>
            <w:shd w:val="clear" w:color="000000" w:fill="FFFFFF"/>
            <w:noWrap/>
            <w:vAlign w:val="center"/>
            <w:hideMark/>
          </w:tcPr>
          <w:p w14:paraId="6896A9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0.008</w:t>
            </w:r>
          </w:p>
        </w:tc>
      </w:tr>
      <w:tr w:rsidR="00961617" w:rsidRPr="00545C7F" w14:paraId="1B59CC0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69FEFB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418" w:type="dxa"/>
            <w:tcBorders>
              <w:top w:val="nil"/>
            </w:tcBorders>
            <w:shd w:val="clear" w:color="auto" w:fill="E5E5E5" w:themeFill="background1" w:themeFillTint="33"/>
            <w:noWrap/>
            <w:vAlign w:val="center"/>
            <w:hideMark/>
          </w:tcPr>
          <w:p w14:paraId="760DD0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c>
          <w:tcPr>
            <w:tcW w:w="1276" w:type="dxa"/>
            <w:tcBorders>
              <w:top w:val="nil"/>
            </w:tcBorders>
            <w:shd w:val="clear" w:color="auto" w:fill="E5E5E5" w:themeFill="background1" w:themeFillTint="33"/>
            <w:noWrap/>
            <w:vAlign w:val="center"/>
            <w:hideMark/>
          </w:tcPr>
          <w:p w14:paraId="0B0A0B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0.025</w:t>
            </w:r>
          </w:p>
        </w:tc>
      </w:tr>
      <w:tr w:rsidR="00961617" w:rsidRPr="00545C7F" w14:paraId="23CBA7AF"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5EF4F6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418" w:type="dxa"/>
            <w:tcBorders>
              <w:top w:val="nil"/>
            </w:tcBorders>
            <w:shd w:val="clear" w:color="000000" w:fill="FFFFFF"/>
            <w:noWrap/>
            <w:vAlign w:val="center"/>
            <w:hideMark/>
          </w:tcPr>
          <w:p w14:paraId="76A5EF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0.062</w:t>
            </w:r>
          </w:p>
        </w:tc>
        <w:tc>
          <w:tcPr>
            <w:tcW w:w="1276" w:type="dxa"/>
            <w:tcBorders>
              <w:top w:val="nil"/>
            </w:tcBorders>
            <w:shd w:val="clear" w:color="000000" w:fill="FFFFFF"/>
            <w:noWrap/>
            <w:vAlign w:val="center"/>
            <w:hideMark/>
          </w:tcPr>
          <w:p w14:paraId="56E4D4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0.046</w:t>
            </w:r>
          </w:p>
        </w:tc>
      </w:tr>
      <w:tr w:rsidR="00961617" w:rsidRPr="00545C7F" w14:paraId="1A28908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56EC99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418" w:type="dxa"/>
            <w:tcBorders>
              <w:top w:val="nil"/>
            </w:tcBorders>
            <w:shd w:val="clear" w:color="auto" w:fill="E5E5E5" w:themeFill="background1" w:themeFillTint="33"/>
            <w:noWrap/>
            <w:vAlign w:val="center"/>
            <w:hideMark/>
          </w:tcPr>
          <w:p w14:paraId="4DD419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0.080</w:t>
            </w:r>
          </w:p>
        </w:tc>
        <w:tc>
          <w:tcPr>
            <w:tcW w:w="1276" w:type="dxa"/>
            <w:tcBorders>
              <w:top w:val="nil"/>
            </w:tcBorders>
            <w:shd w:val="clear" w:color="auto" w:fill="E5E5E5" w:themeFill="background1" w:themeFillTint="33"/>
            <w:noWrap/>
            <w:vAlign w:val="center"/>
            <w:hideMark/>
          </w:tcPr>
          <w:p w14:paraId="5CE00B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0.068</w:t>
            </w:r>
          </w:p>
        </w:tc>
      </w:tr>
      <w:tr w:rsidR="00961617" w:rsidRPr="00545C7F" w14:paraId="582D32B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213D05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418" w:type="dxa"/>
            <w:tcBorders>
              <w:top w:val="nil"/>
            </w:tcBorders>
            <w:shd w:val="clear" w:color="000000" w:fill="FFFFFF"/>
            <w:noWrap/>
            <w:vAlign w:val="center"/>
            <w:hideMark/>
          </w:tcPr>
          <w:p w14:paraId="3D1447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0.100</w:t>
            </w:r>
          </w:p>
        </w:tc>
        <w:tc>
          <w:tcPr>
            <w:tcW w:w="1276" w:type="dxa"/>
            <w:tcBorders>
              <w:top w:val="nil"/>
            </w:tcBorders>
            <w:shd w:val="clear" w:color="000000" w:fill="FFFFFF"/>
            <w:noWrap/>
            <w:vAlign w:val="center"/>
            <w:hideMark/>
          </w:tcPr>
          <w:p w14:paraId="4E16B5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0.097</w:t>
            </w:r>
          </w:p>
        </w:tc>
      </w:tr>
      <w:tr w:rsidR="00961617" w:rsidRPr="00545C7F" w14:paraId="1467028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58FF01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418" w:type="dxa"/>
            <w:tcBorders>
              <w:top w:val="nil"/>
            </w:tcBorders>
            <w:shd w:val="clear" w:color="auto" w:fill="E5E5E5" w:themeFill="background1" w:themeFillTint="33"/>
            <w:noWrap/>
            <w:vAlign w:val="center"/>
            <w:hideMark/>
          </w:tcPr>
          <w:p w14:paraId="49FAA9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0.124</w:t>
            </w:r>
          </w:p>
        </w:tc>
        <w:tc>
          <w:tcPr>
            <w:tcW w:w="1276" w:type="dxa"/>
            <w:tcBorders>
              <w:top w:val="nil"/>
            </w:tcBorders>
            <w:shd w:val="clear" w:color="auto" w:fill="E5E5E5" w:themeFill="background1" w:themeFillTint="33"/>
            <w:noWrap/>
            <w:vAlign w:val="center"/>
            <w:hideMark/>
          </w:tcPr>
          <w:p w14:paraId="3056FE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0.119</w:t>
            </w:r>
          </w:p>
        </w:tc>
      </w:tr>
      <w:tr w:rsidR="00961617" w:rsidRPr="00545C7F" w14:paraId="605BB66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4ED8C91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418" w:type="dxa"/>
            <w:tcBorders>
              <w:top w:val="nil"/>
            </w:tcBorders>
            <w:shd w:val="clear" w:color="000000" w:fill="FFFFFF"/>
            <w:noWrap/>
            <w:vAlign w:val="center"/>
            <w:hideMark/>
          </w:tcPr>
          <w:p w14:paraId="6DA82F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0.147</w:t>
            </w:r>
          </w:p>
        </w:tc>
        <w:tc>
          <w:tcPr>
            <w:tcW w:w="1276" w:type="dxa"/>
            <w:tcBorders>
              <w:top w:val="nil"/>
            </w:tcBorders>
            <w:shd w:val="clear" w:color="000000" w:fill="FFFFFF"/>
            <w:noWrap/>
            <w:vAlign w:val="center"/>
            <w:hideMark/>
          </w:tcPr>
          <w:p w14:paraId="683BFC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0.144</w:t>
            </w:r>
          </w:p>
        </w:tc>
      </w:tr>
      <w:tr w:rsidR="00961617" w:rsidRPr="00545C7F" w14:paraId="48D9E0DE"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9715B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418" w:type="dxa"/>
            <w:tcBorders>
              <w:top w:val="nil"/>
            </w:tcBorders>
            <w:shd w:val="clear" w:color="auto" w:fill="E5E5E5" w:themeFill="background1" w:themeFillTint="33"/>
            <w:noWrap/>
            <w:vAlign w:val="center"/>
            <w:hideMark/>
          </w:tcPr>
          <w:p w14:paraId="4CDB54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0.174</w:t>
            </w:r>
          </w:p>
        </w:tc>
        <w:tc>
          <w:tcPr>
            <w:tcW w:w="1276" w:type="dxa"/>
            <w:tcBorders>
              <w:top w:val="nil"/>
            </w:tcBorders>
            <w:shd w:val="clear" w:color="auto" w:fill="E5E5E5" w:themeFill="background1" w:themeFillTint="33"/>
            <w:noWrap/>
            <w:vAlign w:val="center"/>
            <w:hideMark/>
          </w:tcPr>
          <w:p w14:paraId="154310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0.167</w:t>
            </w:r>
          </w:p>
        </w:tc>
      </w:tr>
      <w:tr w:rsidR="00961617" w:rsidRPr="00545C7F" w14:paraId="65BCAA95"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699472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418" w:type="dxa"/>
            <w:tcBorders>
              <w:top w:val="nil"/>
            </w:tcBorders>
            <w:shd w:val="clear" w:color="000000" w:fill="FFFFFF"/>
            <w:noWrap/>
            <w:vAlign w:val="center"/>
            <w:hideMark/>
          </w:tcPr>
          <w:p w14:paraId="7EEB08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0.201</w:t>
            </w:r>
          </w:p>
        </w:tc>
        <w:tc>
          <w:tcPr>
            <w:tcW w:w="1276" w:type="dxa"/>
            <w:tcBorders>
              <w:top w:val="nil"/>
            </w:tcBorders>
            <w:shd w:val="clear" w:color="000000" w:fill="FFFFFF"/>
            <w:noWrap/>
            <w:vAlign w:val="center"/>
            <w:hideMark/>
          </w:tcPr>
          <w:p w14:paraId="19AEE6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0.195</w:t>
            </w:r>
          </w:p>
        </w:tc>
      </w:tr>
      <w:tr w:rsidR="00961617" w:rsidRPr="00545C7F" w14:paraId="388CAC5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11E90DD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418" w:type="dxa"/>
            <w:tcBorders>
              <w:top w:val="nil"/>
            </w:tcBorders>
            <w:shd w:val="clear" w:color="auto" w:fill="E5E5E5" w:themeFill="background1" w:themeFillTint="33"/>
            <w:noWrap/>
            <w:vAlign w:val="center"/>
            <w:hideMark/>
          </w:tcPr>
          <w:p w14:paraId="34C5BB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0.230</w:t>
            </w:r>
          </w:p>
        </w:tc>
        <w:tc>
          <w:tcPr>
            <w:tcW w:w="1276" w:type="dxa"/>
            <w:tcBorders>
              <w:top w:val="nil"/>
            </w:tcBorders>
            <w:shd w:val="clear" w:color="auto" w:fill="E5E5E5" w:themeFill="background1" w:themeFillTint="33"/>
            <w:noWrap/>
            <w:vAlign w:val="center"/>
            <w:hideMark/>
          </w:tcPr>
          <w:p w14:paraId="20AA18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0.220</w:t>
            </w:r>
          </w:p>
        </w:tc>
      </w:tr>
      <w:tr w:rsidR="00961617" w:rsidRPr="00545C7F" w14:paraId="6587E91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07BCAC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418" w:type="dxa"/>
            <w:tcBorders>
              <w:top w:val="nil"/>
            </w:tcBorders>
            <w:shd w:val="clear" w:color="000000" w:fill="FFFFFF"/>
            <w:noWrap/>
            <w:vAlign w:val="center"/>
            <w:hideMark/>
          </w:tcPr>
          <w:p w14:paraId="6C2E85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0.260</w:t>
            </w:r>
          </w:p>
        </w:tc>
        <w:tc>
          <w:tcPr>
            <w:tcW w:w="1276" w:type="dxa"/>
            <w:tcBorders>
              <w:top w:val="nil"/>
            </w:tcBorders>
            <w:shd w:val="clear" w:color="000000" w:fill="FFFFFF"/>
            <w:noWrap/>
            <w:vAlign w:val="center"/>
            <w:hideMark/>
          </w:tcPr>
          <w:p w14:paraId="4FBB75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0.247</w:t>
            </w:r>
          </w:p>
        </w:tc>
      </w:tr>
      <w:tr w:rsidR="00961617" w:rsidRPr="00545C7F" w14:paraId="38BAE7C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2A0518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418" w:type="dxa"/>
            <w:tcBorders>
              <w:top w:val="nil"/>
            </w:tcBorders>
            <w:shd w:val="clear" w:color="auto" w:fill="E5E5E5" w:themeFill="background1" w:themeFillTint="33"/>
            <w:noWrap/>
            <w:vAlign w:val="center"/>
            <w:hideMark/>
          </w:tcPr>
          <w:p w14:paraId="209272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0.293</w:t>
            </w:r>
          </w:p>
        </w:tc>
        <w:tc>
          <w:tcPr>
            <w:tcW w:w="1276" w:type="dxa"/>
            <w:tcBorders>
              <w:top w:val="nil"/>
            </w:tcBorders>
            <w:shd w:val="clear" w:color="auto" w:fill="E5E5E5" w:themeFill="background1" w:themeFillTint="33"/>
            <w:noWrap/>
            <w:vAlign w:val="center"/>
            <w:hideMark/>
          </w:tcPr>
          <w:p w14:paraId="2D3DD9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0.272</w:t>
            </w:r>
          </w:p>
        </w:tc>
      </w:tr>
      <w:tr w:rsidR="00961617" w:rsidRPr="00545C7F" w14:paraId="28F7CD8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55ADD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418" w:type="dxa"/>
            <w:tcBorders>
              <w:top w:val="nil"/>
            </w:tcBorders>
            <w:shd w:val="clear" w:color="000000" w:fill="FFFFFF"/>
            <w:noWrap/>
            <w:vAlign w:val="center"/>
            <w:hideMark/>
          </w:tcPr>
          <w:p w14:paraId="39EFEB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0.330</w:t>
            </w:r>
          </w:p>
        </w:tc>
        <w:tc>
          <w:tcPr>
            <w:tcW w:w="1276" w:type="dxa"/>
            <w:tcBorders>
              <w:top w:val="nil"/>
            </w:tcBorders>
            <w:shd w:val="clear" w:color="000000" w:fill="FFFFFF"/>
            <w:noWrap/>
            <w:vAlign w:val="center"/>
            <w:hideMark/>
          </w:tcPr>
          <w:p w14:paraId="442DB7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0.303</w:t>
            </w:r>
          </w:p>
        </w:tc>
      </w:tr>
      <w:tr w:rsidR="00961617" w:rsidRPr="00545C7F" w14:paraId="0CE79AF9"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4594C0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418" w:type="dxa"/>
            <w:tcBorders>
              <w:top w:val="nil"/>
            </w:tcBorders>
            <w:shd w:val="clear" w:color="auto" w:fill="E5E5E5" w:themeFill="background1" w:themeFillTint="33"/>
            <w:noWrap/>
            <w:vAlign w:val="center"/>
            <w:hideMark/>
          </w:tcPr>
          <w:p w14:paraId="76B690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0.380</w:t>
            </w:r>
          </w:p>
        </w:tc>
        <w:tc>
          <w:tcPr>
            <w:tcW w:w="1276" w:type="dxa"/>
            <w:tcBorders>
              <w:top w:val="nil"/>
            </w:tcBorders>
            <w:shd w:val="clear" w:color="auto" w:fill="E5E5E5" w:themeFill="background1" w:themeFillTint="33"/>
            <w:noWrap/>
            <w:vAlign w:val="center"/>
            <w:hideMark/>
          </w:tcPr>
          <w:p w14:paraId="54DF12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0.337</w:t>
            </w:r>
          </w:p>
        </w:tc>
      </w:tr>
      <w:tr w:rsidR="00961617" w:rsidRPr="00545C7F" w14:paraId="722CBA2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2C3104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418" w:type="dxa"/>
            <w:tcBorders>
              <w:top w:val="nil"/>
            </w:tcBorders>
            <w:shd w:val="clear" w:color="000000" w:fill="FFFFFF"/>
            <w:noWrap/>
            <w:vAlign w:val="center"/>
            <w:hideMark/>
          </w:tcPr>
          <w:p w14:paraId="6F9969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0.427</w:t>
            </w:r>
          </w:p>
        </w:tc>
        <w:tc>
          <w:tcPr>
            <w:tcW w:w="1276" w:type="dxa"/>
            <w:tcBorders>
              <w:top w:val="nil"/>
            </w:tcBorders>
            <w:shd w:val="clear" w:color="000000" w:fill="FFFFFF"/>
            <w:noWrap/>
            <w:vAlign w:val="center"/>
            <w:hideMark/>
          </w:tcPr>
          <w:p w14:paraId="6B713C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0.371</w:t>
            </w:r>
          </w:p>
        </w:tc>
      </w:tr>
      <w:tr w:rsidR="00961617" w:rsidRPr="00545C7F" w14:paraId="427C496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8EF18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418" w:type="dxa"/>
            <w:tcBorders>
              <w:top w:val="nil"/>
            </w:tcBorders>
            <w:shd w:val="clear" w:color="auto" w:fill="E5E5E5" w:themeFill="background1" w:themeFillTint="33"/>
            <w:noWrap/>
            <w:vAlign w:val="center"/>
            <w:hideMark/>
          </w:tcPr>
          <w:p w14:paraId="479763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0.470</w:t>
            </w:r>
          </w:p>
        </w:tc>
        <w:tc>
          <w:tcPr>
            <w:tcW w:w="1276" w:type="dxa"/>
            <w:tcBorders>
              <w:top w:val="nil"/>
            </w:tcBorders>
            <w:shd w:val="clear" w:color="auto" w:fill="E5E5E5" w:themeFill="background1" w:themeFillTint="33"/>
            <w:noWrap/>
            <w:vAlign w:val="center"/>
            <w:hideMark/>
          </w:tcPr>
          <w:p w14:paraId="15C505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0.400</w:t>
            </w:r>
          </w:p>
        </w:tc>
      </w:tr>
      <w:tr w:rsidR="00961617" w:rsidRPr="00545C7F" w14:paraId="10737D7E"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351832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418" w:type="dxa"/>
            <w:tcBorders>
              <w:top w:val="nil"/>
            </w:tcBorders>
            <w:shd w:val="clear" w:color="000000" w:fill="FFFFFF"/>
            <w:noWrap/>
            <w:vAlign w:val="center"/>
            <w:hideMark/>
          </w:tcPr>
          <w:p w14:paraId="7C5578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0.508</w:t>
            </w:r>
          </w:p>
        </w:tc>
        <w:tc>
          <w:tcPr>
            <w:tcW w:w="1276" w:type="dxa"/>
            <w:tcBorders>
              <w:top w:val="nil"/>
            </w:tcBorders>
            <w:shd w:val="clear" w:color="000000" w:fill="FFFFFF"/>
            <w:noWrap/>
            <w:vAlign w:val="center"/>
            <w:hideMark/>
          </w:tcPr>
          <w:p w14:paraId="75FD46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0.430</w:t>
            </w:r>
          </w:p>
        </w:tc>
      </w:tr>
      <w:tr w:rsidR="00961617" w:rsidRPr="00545C7F" w14:paraId="0BE022A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9A1F8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418" w:type="dxa"/>
            <w:tcBorders>
              <w:top w:val="nil"/>
            </w:tcBorders>
            <w:shd w:val="clear" w:color="auto" w:fill="E5E5E5" w:themeFill="background1" w:themeFillTint="33"/>
            <w:noWrap/>
            <w:vAlign w:val="center"/>
            <w:hideMark/>
          </w:tcPr>
          <w:p w14:paraId="15BDB9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0.542</w:t>
            </w:r>
          </w:p>
        </w:tc>
        <w:tc>
          <w:tcPr>
            <w:tcW w:w="1276" w:type="dxa"/>
            <w:tcBorders>
              <w:top w:val="nil"/>
            </w:tcBorders>
            <w:shd w:val="clear" w:color="auto" w:fill="E5E5E5" w:themeFill="background1" w:themeFillTint="33"/>
            <w:noWrap/>
            <w:vAlign w:val="center"/>
            <w:hideMark/>
          </w:tcPr>
          <w:p w14:paraId="2A7955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0.454</w:t>
            </w:r>
          </w:p>
        </w:tc>
      </w:tr>
      <w:tr w:rsidR="00961617" w:rsidRPr="00545C7F" w14:paraId="7CC9BECE"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309D53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418" w:type="dxa"/>
            <w:tcBorders>
              <w:top w:val="nil"/>
            </w:tcBorders>
            <w:shd w:val="clear" w:color="000000" w:fill="FFFFFF"/>
            <w:noWrap/>
            <w:vAlign w:val="center"/>
            <w:hideMark/>
          </w:tcPr>
          <w:p w14:paraId="1E966D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0.572</w:t>
            </w:r>
          </w:p>
        </w:tc>
        <w:tc>
          <w:tcPr>
            <w:tcW w:w="1276" w:type="dxa"/>
            <w:tcBorders>
              <w:top w:val="nil"/>
            </w:tcBorders>
            <w:shd w:val="clear" w:color="000000" w:fill="FFFFFF"/>
            <w:noWrap/>
            <w:vAlign w:val="center"/>
            <w:hideMark/>
          </w:tcPr>
          <w:p w14:paraId="0BFCD0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0.480</w:t>
            </w:r>
          </w:p>
        </w:tc>
      </w:tr>
      <w:tr w:rsidR="00961617" w:rsidRPr="00545C7F" w14:paraId="6B68531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62A9DA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418" w:type="dxa"/>
            <w:tcBorders>
              <w:top w:val="nil"/>
            </w:tcBorders>
            <w:shd w:val="clear" w:color="auto" w:fill="E5E5E5" w:themeFill="background1" w:themeFillTint="33"/>
            <w:noWrap/>
            <w:vAlign w:val="center"/>
            <w:hideMark/>
          </w:tcPr>
          <w:p w14:paraId="293D93F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0.599</w:t>
            </w:r>
          </w:p>
        </w:tc>
        <w:tc>
          <w:tcPr>
            <w:tcW w:w="1276" w:type="dxa"/>
            <w:tcBorders>
              <w:top w:val="nil"/>
            </w:tcBorders>
            <w:shd w:val="clear" w:color="auto" w:fill="E5E5E5" w:themeFill="background1" w:themeFillTint="33"/>
            <w:noWrap/>
            <w:vAlign w:val="center"/>
            <w:hideMark/>
          </w:tcPr>
          <w:p w14:paraId="3A6262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0.500</w:t>
            </w:r>
          </w:p>
        </w:tc>
      </w:tr>
      <w:tr w:rsidR="00961617" w:rsidRPr="00545C7F" w14:paraId="194EEFD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FFFFFF" w:themeFill="background2"/>
            <w:noWrap/>
            <w:vAlign w:val="center"/>
            <w:hideMark/>
          </w:tcPr>
          <w:p w14:paraId="1C4937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418" w:type="dxa"/>
            <w:tcBorders>
              <w:top w:val="nil"/>
            </w:tcBorders>
            <w:shd w:val="clear" w:color="auto" w:fill="FFFFFF" w:themeFill="background2"/>
            <w:noWrap/>
            <w:vAlign w:val="center"/>
            <w:hideMark/>
          </w:tcPr>
          <w:p w14:paraId="3FF1A3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0.623</w:t>
            </w:r>
          </w:p>
        </w:tc>
        <w:tc>
          <w:tcPr>
            <w:tcW w:w="1276" w:type="dxa"/>
            <w:tcBorders>
              <w:top w:val="nil"/>
            </w:tcBorders>
            <w:shd w:val="clear" w:color="auto" w:fill="FFFFFF" w:themeFill="background2"/>
            <w:noWrap/>
            <w:vAlign w:val="center"/>
            <w:hideMark/>
          </w:tcPr>
          <w:p w14:paraId="3414B4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0.522</w:t>
            </w:r>
          </w:p>
        </w:tc>
      </w:tr>
      <w:tr w:rsidR="00961617" w:rsidRPr="00545C7F" w14:paraId="4E2A31A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0453D8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418" w:type="dxa"/>
            <w:tcBorders>
              <w:top w:val="nil"/>
            </w:tcBorders>
            <w:shd w:val="clear" w:color="auto" w:fill="E5E5E5" w:themeFill="background1" w:themeFillTint="33"/>
            <w:noWrap/>
            <w:vAlign w:val="center"/>
            <w:hideMark/>
          </w:tcPr>
          <w:p w14:paraId="1F975F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0.645</w:t>
            </w:r>
          </w:p>
        </w:tc>
        <w:tc>
          <w:tcPr>
            <w:tcW w:w="1276" w:type="dxa"/>
            <w:tcBorders>
              <w:top w:val="nil"/>
            </w:tcBorders>
            <w:shd w:val="clear" w:color="auto" w:fill="E5E5E5" w:themeFill="background1" w:themeFillTint="33"/>
            <w:noWrap/>
            <w:vAlign w:val="center"/>
            <w:hideMark/>
          </w:tcPr>
          <w:p w14:paraId="0D3F3D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0.540</w:t>
            </w:r>
          </w:p>
        </w:tc>
      </w:tr>
      <w:tr w:rsidR="00961617" w:rsidRPr="00545C7F" w14:paraId="3000216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43BFBA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418" w:type="dxa"/>
            <w:tcBorders>
              <w:top w:val="nil"/>
            </w:tcBorders>
            <w:shd w:val="clear" w:color="000000" w:fill="FFFFFF"/>
            <w:noWrap/>
            <w:vAlign w:val="center"/>
            <w:hideMark/>
          </w:tcPr>
          <w:p w14:paraId="2D55F0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0.665</w:t>
            </w:r>
          </w:p>
        </w:tc>
        <w:tc>
          <w:tcPr>
            <w:tcW w:w="1276" w:type="dxa"/>
            <w:tcBorders>
              <w:top w:val="nil"/>
            </w:tcBorders>
            <w:shd w:val="clear" w:color="000000" w:fill="FFFFFF"/>
            <w:noWrap/>
            <w:vAlign w:val="center"/>
            <w:hideMark/>
          </w:tcPr>
          <w:p w14:paraId="54E6A9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0.557</w:t>
            </w:r>
          </w:p>
        </w:tc>
      </w:tr>
      <w:tr w:rsidR="00961617" w:rsidRPr="00545C7F" w14:paraId="2F8DAF1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100E71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418" w:type="dxa"/>
            <w:tcBorders>
              <w:top w:val="nil"/>
            </w:tcBorders>
            <w:shd w:val="clear" w:color="auto" w:fill="E5E5E5" w:themeFill="background1" w:themeFillTint="33"/>
            <w:noWrap/>
            <w:vAlign w:val="center"/>
            <w:hideMark/>
          </w:tcPr>
          <w:p w14:paraId="151939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0.683</w:t>
            </w:r>
          </w:p>
        </w:tc>
        <w:tc>
          <w:tcPr>
            <w:tcW w:w="1276" w:type="dxa"/>
            <w:tcBorders>
              <w:top w:val="nil"/>
            </w:tcBorders>
            <w:shd w:val="clear" w:color="auto" w:fill="E5E5E5" w:themeFill="background1" w:themeFillTint="33"/>
            <w:noWrap/>
            <w:vAlign w:val="center"/>
            <w:hideMark/>
          </w:tcPr>
          <w:p w14:paraId="03C174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0.572</w:t>
            </w:r>
          </w:p>
        </w:tc>
      </w:tr>
      <w:tr w:rsidR="00961617" w:rsidRPr="00545C7F" w14:paraId="47E05BC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FFFFFF" w:themeFill="background2"/>
            <w:noWrap/>
            <w:vAlign w:val="center"/>
            <w:hideMark/>
          </w:tcPr>
          <w:p w14:paraId="698247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418" w:type="dxa"/>
            <w:tcBorders>
              <w:top w:val="nil"/>
            </w:tcBorders>
            <w:shd w:val="clear" w:color="auto" w:fill="FFFFFF" w:themeFill="background2"/>
            <w:noWrap/>
            <w:vAlign w:val="center"/>
            <w:hideMark/>
          </w:tcPr>
          <w:p w14:paraId="45EB39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0.699</w:t>
            </w:r>
          </w:p>
        </w:tc>
        <w:tc>
          <w:tcPr>
            <w:tcW w:w="1276" w:type="dxa"/>
            <w:tcBorders>
              <w:top w:val="nil"/>
            </w:tcBorders>
            <w:shd w:val="clear" w:color="auto" w:fill="FFFFFF" w:themeFill="background2"/>
            <w:noWrap/>
            <w:vAlign w:val="center"/>
            <w:hideMark/>
          </w:tcPr>
          <w:p w14:paraId="6C099D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0.587</w:t>
            </w:r>
          </w:p>
        </w:tc>
      </w:tr>
      <w:tr w:rsidR="00961617" w:rsidRPr="00545C7F" w14:paraId="017C53E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052CFE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418" w:type="dxa"/>
            <w:tcBorders>
              <w:top w:val="nil"/>
            </w:tcBorders>
            <w:shd w:val="clear" w:color="auto" w:fill="E5E5E5" w:themeFill="background1" w:themeFillTint="33"/>
            <w:noWrap/>
            <w:vAlign w:val="center"/>
            <w:hideMark/>
          </w:tcPr>
          <w:p w14:paraId="2A1F5F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0.715</w:t>
            </w:r>
          </w:p>
        </w:tc>
        <w:tc>
          <w:tcPr>
            <w:tcW w:w="1276" w:type="dxa"/>
            <w:tcBorders>
              <w:top w:val="nil"/>
            </w:tcBorders>
            <w:shd w:val="clear" w:color="auto" w:fill="E5E5E5" w:themeFill="background1" w:themeFillTint="33"/>
            <w:noWrap/>
            <w:vAlign w:val="center"/>
            <w:hideMark/>
          </w:tcPr>
          <w:p w14:paraId="109364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0.601</w:t>
            </w:r>
          </w:p>
        </w:tc>
      </w:tr>
      <w:tr w:rsidR="00961617" w:rsidRPr="00545C7F" w14:paraId="6FBBB15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19AB0A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418" w:type="dxa"/>
            <w:tcBorders>
              <w:top w:val="nil"/>
            </w:tcBorders>
            <w:shd w:val="clear" w:color="000000" w:fill="FFFFFF"/>
            <w:noWrap/>
            <w:vAlign w:val="center"/>
            <w:hideMark/>
          </w:tcPr>
          <w:p w14:paraId="51CC09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0.729</w:t>
            </w:r>
          </w:p>
        </w:tc>
        <w:tc>
          <w:tcPr>
            <w:tcW w:w="1276" w:type="dxa"/>
            <w:tcBorders>
              <w:top w:val="nil"/>
            </w:tcBorders>
            <w:shd w:val="clear" w:color="000000" w:fill="FFFFFF"/>
            <w:noWrap/>
            <w:vAlign w:val="center"/>
            <w:hideMark/>
          </w:tcPr>
          <w:p w14:paraId="1B92F4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0.616</w:t>
            </w:r>
          </w:p>
        </w:tc>
      </w:tr>
      <w:tr w:rsidR="00961617" w:rsidRPr="00545C7F" w14:paraId="6E0A9ED4"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0E8E34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418" w:type="dxa"/>
            <w:tcBorders>
              <w:top w:val="nil"/>
            </w:tcBorders>
            <w:shd w:val="clear" w:color="auto" w:fill="E5E5E5" w:themeFill="background1" w:themeFillTint="33"/>
            <w:noWrap/>
            <w:vAlign w:val="center"/>
            <w:hideMark/>
          </w:tcPr>
          <w:p w14:paraId="008DC9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0.743</w:t>
            </w:r>
          </w:p>
        </w:tc>
        <w:tc>
          <w:tcPr>
            <w:tcW w:w="1276" w:type="dxa"/>
            <w:tcBorders>
              <w:top w:val="nil"/>
            </w:tcBorders>
            <w:shd w:val="clear" w:color="auto" w:fill="E5E5E5" w:themeFill="background1" w:themeFillTint="33"/>
            <w:noWrap/>
            <w:vAlign w:val="center"/>
            <w:hideMark/>
          </w:tcPr>
          <w:p w14:paraId="5A75A3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0.629</w:t>
            </w:r>
          </w:p>
        </w:tc>
      </w:tr>
      <w:tr w:rsidR="00961617" w:rsidRPr="00545C7F" w14:paraId="00FB2A0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287C0C5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418" w:type="dxa"/>
            <w:tcBorders>
              <w:top w:val="nil"/>
            </w:tcBorders>
            <w:shd w:val="clear" w:color="000000" w:fill="FFFFFF"/>
            <w:noWrap/>
            <w:vAlign w:val="center"/>
            <w:hideMark/>
          </w:tcPr>
          <w:p w14:paraId="39F28A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0.756</w:t>
            </w:r>
          </w:p>
        </w:tc>
        <w:tc>
          <w:tcPr>
            <w:tcW w:w="1276" w:type="dxa"/>
            <w:tcBorders>
              <w:top w:val="nil"/>
            </w:tcBorders>
            <w:shd w:val="clear" w:color="000000" w:fill="FFFFFF"/>
            <w:noWrap/>
            <w:vAlign w:val="center"/>
            <w:hideMark/>
          </w:tcPr>
          <w:p w14:paraId="28B348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0.642</w:t>
            </w:r>
          </w:p>
        </w:tc>
      </w:tr>
      <w:tr w:rsidR="00961617" w:rsidRPr="00545C7F" w14:paraId="4108410D"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E88D3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418" w:type="dxa"/>
            <w:tcBorders>
              <w:top w:val="nil"/>
            </w:tcBorders>
            <w:shd w:val="clear" w:color="auto" w:fill="E5E5E5" w:themeFill="background1" w:themeFillTint="33"/>
            <w:noWrap/>
            <w:vAlign w:val="center"/>
            <w:hideMark/>
          </w:tcPr>
          <w:p w14:paraId="222A41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0.767</w:t>
            </w:r>
          </w:p>
        </w:tc>
        <w:tc>
          <w:tcPr>
            <w:tcW w:w="1276" w:type="dxa"/>
            <w:tcBorders>
              <w:top w:val="nil"/>
            </w:tcBorders>
            <w:shd w:val="clear" w:color="auto" w:fill="E5E5E5" w:themeFill="background1" w:themeFillTint="33"/>
            <w:noWrap/>
            <w:vAlign w:val="center"/>
            <w:hideMark/>
          </w:tcPr>
          <w:p w14:paraId="4A29CF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0.654</w:t>
            </w:r>
          </w:p>
        </w:tc>
      </w:tr>
      <w:tr w:rsidR="00961617" w:rsidRPr="00545C7F" w14:paraId="229A316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4B454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418" w:type="dxa"/>
            <w:tcBorders>
              <w:top w:val="nil"/>
            </w:tcBorders>
            <w:shd w:val="clear" w:color="000000" w:fill="FFFFFF"/>
            <w:noWrap/>
            <w:vAlign w:val="center"/>
            <w:hideMark/>
          </w:tcPr>
          <w:p w14:paraId="450C6F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0.778</w:t>
            </w:r>
          </w:p>
        </w:tc>
        <w:tc>
          <w:tcPr>
            <w:tcW w:w="1276" w:type="dxa"/>
            <w:tcBorders>
              <w:top w:val="nil"/>
            </w:tcBorders>
            <w:shd w:val="clear" w:color="000000" w:fill="FFFFFF"/>
            <w:noWrap/>
            <w:vAlign w:val="center"/>
            <w:hideMark/>
          </w:tcPr>
          <w:p w14:paraId="0930723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0.666</w:t>
            </w:r>
          </w:p>
        </w:tc>
      </w:tr>
      <w:tr w:rsidR="00961617" w:rsidRPr="00545C7F" w14:paraId="15CD163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1066D1B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418" w:type="dxa"/>
            <w:tcBorders>
              <w:top w:val="nil"/>
            </w:tcBorders>
            <w:shd w:val="clear" w:color="auto" w:fill="E5E5E5" w:themeFill="background1" w:themeFillTint="33"/>
            <w:noWrap/>
            <w:vAlign w:val="center"/>
            <w:hideMark/>
          </w:tcPr>
          <w:p w14:paraId="5388B0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0.788</w:t>
            </w:r>
          </w:p>
        </w:tc>
        <w:tc>
          <w:tcPr>
            <w:tcW w:w="1276" w:type="dxa"/>
            <w:tcBorders>
              <w:top w:val="nil"/>
            </w:tcBorders>
            <w:shd w:val="clear" w:color="auto" w:fill="E5E5E5" w:themeFill="background1" w:themeFillTint="33"/>
            <w:noWrap/>
            <w:vAlign w:val="center"/>
            <w:hideMark/>
          </w:tcPr>
          <w:p w14:paraId="3DD7AB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0.675</w:t>
            </w:r>
          </w:p>
        </w:tc>
      </w:tr>
      <w:tr w:rsidR="00961617" w:rsidRPr="00545C7F" w14:paraId="01626C8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7D9ED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418" w:type="dxa"/>
            <w:tcBorders>
              <w:top w:val="nil"/>
            </w:tcBorders>
            <w:shd w:val="clear" w:color="000000" w:fill="FFFFFF"/>
            <w:noWrap/>
            <w:vAlign w:val="center"/>
            <w:hideMark/>
          </w:tcPr>
          <w:p w14:paraId="7E84F0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0.797</w:t>
            </w:r>
          </w:p>
        </w:tc>
        <w:tc>
          <w:tcPr>
            <w:tcW w:w="1276" w:type="dxa"/>
            <w:tcBorders>
              <w:top w:val="nil"/>
            </w:tcBorders>
            <w:shd w:val="clear" w:color="000000" w:fill="FFFFFF"/>
            <w:noWrap/>
            <w:vAlign w:val="center"/>
            <w:hideMark/>
          </w:tcPr>
          <w:p w14:paraId="4CF8D7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0.686</w:t>
            </w:r>
          </w:p>
        </w:tc>
      </w:tr>
      <w:tr w:rsidR="00961617" w:rsidRPr="00545C7F" w14:paraId="7C35B44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7E93D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418" w:type="dxa"/>
            <w:tcBorders>
              <w:top w:val="nil"/>
            </w:tcBorders>
            <w:shd w:val="clear" w:color="auto" w:fill="E5E5E5" w:themeFill="background1" w:themeFillTint="33"/>
            <w:noWrap/>
            <w:vAlign w:val="center"/>
            <w:hideMark/>
          </w:tcPr>
          <w:p w14:paraId="09FB3A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0.805</w:t>
            </w:r>
          </w:p>
        </w:tc>
        <w:tc>
          <w:tcPr>
            <w:tcW w:w="1276" w:type="dxa"/>
            <w:tcBorders>
              <w:top w:val="nil"/>
            </w:tcBorders>
            <w:shd w:val="clear" w:color="auto" w:fill="E5E5E5" w:themeFill="background1" w:themeFillTint="33"/>
            <w:noWrap/>
            <w:vAlign w:val="center"/>
            <w:hideMark/>
          </w:tcPr>
          <w:p w14:paraId="05F752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0.695</w:t>
            </w:r>
          </w:p>
        </w:tc>
      </w:tr>
      <w:tr w:rsidR="00961617" w:rsidRPr="00545C7F" w14:paraId="4DD99DA8"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3351E1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418" w:type="dxa"/>
            <w:tcBorders>
              <w:top w:val="nil"/>
            </w:tcBorders>
            <w:shd w:val="clear" w:color="000000" w:fill="FFFFFF"/>
            <w:noWrap/>
            <w:vAlign w:val="center"/>
            <w:hideMark/>
          </w:tcPr>
          <w:p w14:paraId="6749D5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0.813</w:t>
            </w:r>
          </w:p>
        </w:tc>
        <w:tc>
          <w:tcPr>
            <w:tcW w:w="1276" w:type="dxa"/>
            <w:tcBorders>
              <w:top w:val="nil"/>
            </w:tcBorders>
            <w:shd w:val="clear" w:color="000000" w:fill="FFFFFF"/>
            <w:noWrap/>
            <w:vAlign w:val="center"/>
            <w:hideMark/>
          </w:tcPr>
          <w:p w14:paraId="16942EF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0.704</w:t>
            </w:r>
          </w:p>
        </w:tc>
      </w:tr>
      <w:tr w:rsidR="00961617" w:rsidRPr="00545C7F" w14:paraId="125D6DD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08202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418" w:type="dxa"/>
            <w:tcBorders>
              <w:top w:val="nil"/>
            </w:tcBorders>
            <w:shd w:val="clear" w:color="auto" w:fill="E5E5E5" w:themeFill="background1" w:themeFillTint="33"/>
            <w:noWrap/>
            <w:vAlign w:val="center"/>
            <w:hideMark/>
          </w:tcPr>
          <w:p w14:paraId="0699A7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0.822</w:t>
            </w:r>
          </w:p>
        </w:tc>
        <w:tc>
          <w:tcPr>
            <w:tcW w:w="1276" w:type="dxa"/>
            <w:tcBorders>
              <w:top w:val="nil"/>
            </w:tcBorders>
            <w:shd w:val="clear" w:color="auto" w:fill="E5E5E5" w:themeFill="background1" w:themeFillTint="33"/>
            <w:noWrap/>
            <w:vAlign w:val="center"/>
            <w:hideMark/>
          </w:tcPr>
          <w:p w14:paraId="4FB5F3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0.712</w:t>
            </w:r>
          </w:p>
        </w:tc>
      </w:tr>
      <w:tr w:rsidR="00961617" w:rsidRPr="00545C7F" w14:paraId="75CCAEE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254C083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418" w:type="dxa"/>
            <w:tcBorders>
              <w:top w:val="nil"/>
            </w:tcBorders>
            <w:shd w:val="clear" w:color="000000" w:fill="FFFFFF"/>
            <w:noWrap/>
            <w:vAlign w:val="center"/>
            <w:hideMark/>
          </w:tcPr>
          <w:p w14:paraId="70E496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0.828</w:t>
            </w:r>
          </w:p>
        </w:tc>
        <w:tc>
          <w:tcPr>
            <w:tcW w:w="1276" w:type="dxa"/>
            <w:tcBorders>
              <w:top w:val="nil"/>
            </w:tcBorders>
            <w:shd w:val="clear" w:color="000000" w:fill="FFFFFF"/>
            <w:noWrap/>
            <w:vAlign w:val="center"/>
            <w:hideMark/>
          </w:tcPr>
          <w:p w14:paraId="0C7168C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0.721</w:t>
            </w:r>
          </w:p>
        </w:tc>
      </w:tr>
      <w:tr w:rsidR="00961617" w:rsidRPr="00545C7F" w14:paraId="72F05D0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485F62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418" w:type="dxa"/>
            <w:tcBorders>
              <w:top w:val="nil"/>
            </w:tcBorders>
            <w:shd w:val="clear" w:color="auto" w:fill="E5E5E5" w:themeFill="background1" w:themeFillTint="33"/>
            <w:noWrap/>
            <w:vAlign w:val="center"/>
            <w:hideMark/>
          </w:tcPr>
          <w:p w14:paraId="0E4F25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0.835</w:t>
            </w:r>
          </w:p>
        </w:tc>
        <w:tc>
          <w:tcPr>
            <w:tcW w:w="1276" w:type="dxa"/>
            <w:tcBorders>
              <w:top w:val="nil"/>
            </w:tcBorders>
            <w:shd w:val="clear" w:color="auto" w:fill="E5E5E5" w:themeFill="background1" w:themeFillTint="33"/>
            <w:noWrap/>
            <w:vAlign w:val="center"/>
            <w:hideMark/>
          </w:tcPr>
          <w:p w14:paraId="0D5E3A5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0.728</w:t>
            </w:r>
          </w:p>
        </w:tc>
      </w:tr>
      <w:tr w:rsidR="00961617" w:rsidRPr="00545C7F" w14:paraId="571E623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0A2E2F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418" w:type="dxa"/>
            <w:tcBorders>
              <w:top w:val="nil"/>
            </w:tcBorders>
            <w:shd w:val="clear" w:color="000000" w:fill="FFFFFF"/>
            <w:noWrap/>
            <w:vAlign w:val="center"/>
            <w:hideMark/>
          </w:tcPr>
          <w:p w14:paraId="28D317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0.841</w:t>
            </w:r>
          </w:p>
        </w:tc>
        <w:tc>
          <w:tcPr>
            <w:tcW w:w="1276" w:type="dxa"/>
            <w:tcBorders>
              <w:top w:val="nil"/>
            </w:tcBorders>
            <w:shd w:val="clear" w:color="000000" w:fill="FFFFFF"/>
            <w:noWrap/>
            <w:vAlign w:val="center"/>
            <w:hideMark/>
          </w:tcPr>
          <w:p w14:paraId="4543DA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0.735</w:t>
            </w:r>
          </w:p>
        </w:tc>
      </w:tr>
      <w:tr w:rsidR="00961617" w:rsidRPr="00545C7F" w14:paraId="17358057"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43AB4F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418" w:type="dxa"/>
            <w:tcBorders>
              <w:top w:val="nil"/>
            </w:tcBorders>
            <w:shd w:val="clear" w:color="auto" w:fill="E5E5E5" w:themeFill="background1" w:themeFillTint="33"/>
            <w:noWrap/>
            <w:vAlign w:val="center"/>
            <w:hideMark/>
          </w:tcPr>
          <w:p w14:paraId="1E22E6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0.847</w:t>
            </w:r>
          </w:p>
        </w:tc>
        <w:tc>
          <w:tcPr>
            <w:tcW w:w="1276" w:type="dxa"/>
            <w:tcBorders>
              <w:top w:val="nil"/>
            </w:tcBorders>
            <w:shd w:val="clear" w:color="auto" w:fill="E5E5E5" w:themeFill="background1" w:themeFillTint="33"/>
            <w:noWrap/>
            <w:vAlign w:val="center"/>
            <w:hideMark/>
          </w:tcPr>
          <w:p w14:paraId="3BE690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0.741</w:t>
            </w:r>
          </w:p>
        </w:tc>
      </w:tr>
      <w:tr w:rsidR="00961617" w:rsidRPr="00545C7F" w14:paraId="7EF7086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A893E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418" w:type="dxa"/>
            <w:tcBorders>
              <w:top w:val="nil"/>
            </w:tcBorders>
            <w:shd w:val="clear" w:color="000000" w:fill="FFFFFF"/>
            <w:noWrap/>
            <w:vAlign w:val="center"/>
            <w:hideMark/>
          </w:tcPr>
          <w:p w14:paraId="7E29FE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0.853</w:t>
            </w:r>
          </w:p>
        </w:tc>
        <w:tc>
          <w:tcPr>
            <w:tcW w:w="1276" w:type="dxa"/>
            <w:tcBorders>
              <w:top w:val="nil"/>
            </w:tcBorders>
            <w:shd w:val="clear" w:color="000000" w:fill="FFFFFF"/>
            <w:noWrap/>
            <w:vAlign w:val="center"/>
            <w:hideMark/>
          </w:tcPr>
          <w:p w14:paraId="2C060B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0.748</w:t>
            </w:r>
          </w:p>
        </w:tc>
      </w:tr>
      <w:tr w:rsidR="00961617" w:rsidRPr="00545C7F" w14:paraId="502A14E1"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660A36E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418" w:type="dxa"/>
            <w:tcBorders>
              <w:top w:val="nil"/>
            </w:tcBorders>
            <w:shd w:val="clear" w:color="auto" w:fill="E5E5E5" w:themeFill="background1" w:themeFillTint="33"/>
            <w:noWrap/>
            <w:vAlign w:val="center"/>
            <w:hideMark/>
          </w:tcPr>
          <w:p w14:paraId="30E819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0.858</w:t>
            </w:r>
          </w:p>
        </w:tc>
        <w:tc>
          <w:tcPr>
            <w:tcW w:w="1276" w:type="dxa"/>
            <w:tcBorders>
              <w:top w:val="nil"/>
            </w:tcBorders>
            <w:shd w:val="clear" w:color="auto" w:fill="E5E5E5" w:themeFill="background1" w:themeFillTint="33"/>
            <w:noWrap/>
            <w:vAlign w:val="center"/>
            <w:hideMark/>
          </w:tcPr>
          <w:p w14:paraId="5317B9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0.754</w:t>
            </w:r>
          </w:p>
        </w:tc>
      </w:tr>
      <w:tr w:rsidR="00961617" w:rsidRPr="00545C7F" w14:paraId="04BD9F3C"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96FCCA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418" w:type="dxa"/>
            <w:tcBorders>
              <w:top w:val="nil"/>
            </w:tcBorders>
            <w:shd w:val="clear" w:color="000000" w:fill="FFFFFF"/>
            <w:noWrap/>
            <w:vAlign w:val="center"/>
            <w:hideMark/>
          </w:tcPr>
          <w:p w14:paraId="510B4F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0.863</w:t>
            </w:r>
          </w:p>
        </w:tc>
        <w:tc>
          <w:tcPr>
            <w:tcW w:w="1276" w:type="dxa"/>
            <w:tcBorders>
              <w:top w:val="nil"/>
            </w:tcBorders>
            <w:shd w:val="clear" w:color="000000" w:fill="FFFFFF"/>
            <w:noWrap/>
            <w:vAlign w:val="center"/>
            <w:hideMark/>
          </w:tcPr>
          <w:p w14:paraId="3A0249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0.759</w:t>
            </w:r>
          </w:p>
        </w:tc>
      </w:tr>
      <w:tr w:rsidR="00961617" w:rsidRPr="00545C7F" w14:paraId="35223F9B"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799285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418" w:type="dxa"/>
            <w:tcBorders>
              <w:top w:val="nil"/>
            </w:tcBorders>
            <w:shd w:val="clear" w:color="auto" w:fill="E5E5E5" w:themeFill="background1" w:themeFillTint="33"/>
            <w:noWrap/>
            <w:vAlign w:val="center"/>
            <w:hideMark/>
          </w:tcPr>
          <w:p w14:paraId="051895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0.867</w:t>
            </w:r>
          </w:p>
        </w:tc>
        <w:tc>
          <w:tcPr>
            <w:tcW w:w="1276" w:type="dxa"/>
            <w:tcBorders>
              <w:top w:val="nil"/>
            </w:tcBorders>
            <w:shd w:val="clear" w:color="auto" w:fill="E5E5E5" w:themeFill="background1" w:themeFillTint="33"/>
            <w:noWrap/>
            <w:vAlign w:val="center"/>
            <w:hideMark/>
          </w:tcPr>
          <w:p w14:paraId="1B26A8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0.764</w:t>
            </w:r>
          </w:p>
        </w:tc>
      </w:tr>
      <w:tr w:rsidR="00961617" w:rsidRPr="00545C7F" w14:paraId="4DEAAD7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7DEEE4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418" w:type="dxa"/>
            <w:tcBorders>
              <w:top w:val="nil"/>
            </w:tcBorders>
            <w:shd w:val="clear" w:color="000000" w:fill="FFFFFF"/>
            <w:noWrap/>
            <w:vAlign w:val="center"/>
            <w:hideMark/>
          </w:tcPr>
          <w:p w14:paraId="50C91E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0.872</w:t>
            </w:r>
          </w:p>
        </w:tc>
        <w:tc>
          <w:tcPr>
            <w:tcW w:w="1276" w:type="dxa"/>
            <w:tcBorders>
              <w:top w:val="nil"/>
            </w:tcBorders>
            <w:shd w:val="clear" w:color="000000" w:fill="FFFFFF"/>
            <w:noWrap/>
            <w:vAlign w:val="center"/>
            <w:hideMark/>
          </w:tcPr>
          <w:p w14:paraId="4E9BE6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0.770</w:t>
            </w:r>
          </w:p>
        </w:tc>
      </w:tr>
      <w:tr w:rsidR="00961617" w:rsidRPr="00545C7F" w14:paraId="74BF027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3F0D69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418" w:type="dxa"/>
            <w:tcBorders>
              <w:top w:val="nil"/>
            </w:tcBorders>
            <w:shd w:val="clear" w:color="auto" w:fill="E5E5E5" w:themeFill="background1" w:themeFillTint="33"/>
            <w:noWrap/>
            <w:vAlign w:val="center"/>
            <w:hideMark/>
          </w:tcPr>
          <w:p w14:paraId="00A660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0.876</w:t>
            </w:r>
          </w:p>
        </w:tc>
        <w:tc>
          <w:tcPr>
            <w:tcW w:w="1276" w:type="dxa"/>
            <w:tcBorders>
              <w:top w:val="nil"/>
            </w:tcBorders>
            <w:shd w:val="clear" w:color="auto" w:fill="E5E5E5" w:themeFill="background1" w:themeFillTint="33"/>
            <w:noWrap/>
            <w:vAlign w:val="center"/>
            <w:hideMark/>
          </w:tcPr>
          <w:p w14:paraId="09C564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0.774</w:t>
            </w:r>
          </w:p>
        </w:tc>
      </w:tr>
      <w:tr w:rsidR="00961617" w:rsidRPr="00545C7F" w14:paraId="1F180FC2"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5ECD7C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418" w:type="dxa"/>
            <w:tcBorders>
              <w:top w:val="nil"/>
            </w:tcBorders>
            <w:shd w:val="clear" w:color="000000" w:fill="FFFFFF"/>
            <w:noWrap/>
            <w:vAlign w:val="center"/>
            <w:hideMark/>
          </w:tcPr>
          <w:p w14:paraId="0C3051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0.880</w:t>
            </w:r>
          </w:p>
        </w:tc>
        <w:tc>
          <w:tcPr>
            <w:tcW w:w="1276" w:type="dxa"/>
            <w:tcBorders>
              <w:top w:val="nil"/>
            </w:tcBorders>
            <w:shd w:val="clear" w:color="000000" w:fill="FFFFFF"/>
            <w:noWrap/>
            <w:vAlign w:val="center"/>
            <w:hideMark/>
          </w:tcPr>
          <w:p w14:paraId="34B501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0.779</w:t>
            </w:r>
          </w:p>
        </w:tc>
      </w:tr>
      <w:tr w:rsidR="00961617" w:rsidRPr="00545C7F" w14:paraId="3425B236"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792148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418" w:type="dxa"/>
            <w:tcBorders>
              <w:top w:val="nil"/>
            </w:tcBorders>
            <w:shd w:val="clear" w:color="auto" w:fill="E5E5E5" w:themeFill="background1" w:themeFillTint="33"/>
            <w:noWrap/>
            <w:vAlign w:val="center"/>
            <w:hideMark/>
          </w:tcPr>
          <w:p w14:paraId="0CE5BF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0.884</w:t>
            </w:r>
          </w:p>
        </w:tc>
        <w:tc>
          <w:tcPr>
            <w:tcW w:w="1276" w:type="dxa"/>
            <w:tcBorders>
              <w:top w:val="nil"/>
            </w:tcBorders>
            <w:shd w:val="clear" w:color="auto" w:fill="E5E5E5" w:themeFill="background1" w:themeFillTint="33"/>
            <w:noWrap/>
            <w:vAlign w:val="center"/>
            <w:hideMark/>
          </w:tcPr>
          <w:p w14:paraId="64F207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0.783</w:t>
            </w:r>
          </w:p>
        </w:tc>
      </w:tr>
      <w:tr w:rsidR="00961617" w:rsidRPr="00545C7F" w14:paraId="12503B6A"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253289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418" w:type="dxa"/>
            <w:tcBorders>
              <w:top w:val="nil"/>
            </w:tcBorders>
            <w:shd w:val="clear" w:color="000000" w:fill="FFFFFF"/>
            <w:noWrap/>
            <w:vAlign w:val="center"/>
            <w:hideMark/>
          </w:tcPr>
          <w:p w14:paraId="1EC548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0.888</w:t>
            </w:r>
          </w:p>
        </w:tc>
        <w:tc>
          <w:tcPr>
            <w:tcW w:w="1276" w:type="dxa"/>
            <w:tcBorders>
              <w:top w:val="nil"/>
            </w:tcBorders>
            <w:shd w:val="clear" w:color="000000" w:fill="FFFFFF"/>
            <w:noWrap/>
            <w:vAlign w:val="center"/>
            <w:hideMark/>
          </w:tcPr>
          <w:p w14:paraId="11840F6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0.788</w:t>
            </w:r>
          </w:p>
        </w:tc>
      </w:tr>
      <w:tr w:rsidR="00961617" w:rsidRPr="00545C7F" w14:paraId="719F37C3"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auto" w:fill="E5E5E5" w:themeFill="background1" w:themeFillTint="33"/>
            <w:noWrap/>
            <w:vAlign w:val="center"/>
            <w:hideMark/>
          </w:tcPr>
          <w:p w14:paraId="2B0406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418" w:type="dxa"/>
            <w:tcBorders>
              <w:top w:val="nil"/>
            </w:tcBorders>
            <w:shd w:val="clear" w:color="auto" w:fill="E5E5E5" w:themeFill="background1" w:themeFillTint="33"/>
            <w:noWrap/>
            <w:vAlign w:val="center"/>
            <w:hideMark/>
          </w:tcPr>
          <w:p w14:paraId="546E07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0.891</w:t>
            </w:r>
          </w:p>
        </w:tc>
        <w:tc>
          <w:tcPr>
            <w:tcW w:w="1276" w:type="dxa"/>
            <w:tcBorders>
              <w:top w:val="nil"/>
            </w:tcBorders>
            <w:shd w:val="clear" w:color="auto" w:fill="E5E5E5" w:themeFill="background1" w:themeFillTint="33"/>
            <w:noWrap/>
            <w:vAlign w:val="center"/>
            <w:hideMark/>
          </w:tcPr>
          <w:p w14:paraId="1C1520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0.792</w:t>
            </w:r>
          </w:p>
        </w:tc>
      </w:tr>
      <w:tr w:rsidR="00961617" w:rsidRPr="00545C7F" w14:paraId="180F92BE"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tcBorders>
            <w:shd w:val="clear" w:color="000000" w:fill="FFFFFF"/>
            <w:noWrap/>
            <w:vAlign w:val="center"/>
            <w:hideMark/>
          </w:tcPr>
          <w:p w14:paraId="042B3A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418" w:type="dxa"/>
            <w:tcBorders>
              <w:top w:val="nil"/>
            </w:tcBorders>
            <w:shd w:val="clear" w:color="000000" w:fill="FFFFFF"/>
            <w:noWrap/>
            <w:vAlign w:val="center"/>
            <w:hideMark/>
          </w:tcPr>
          <w:p w14:paraId="0969D0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0.895</w:t>
            </w:r>
          </w:p>
        </w:tc>
        <w:tc>
          <w:tcPr>
            <w:tcW w:w="1276" w:type="dxa"/>
            <w:tcBorders>
              <w:top w:val="nil"/>
            </w:tcBorders>
            <w:shd w:val="clear" w:color="000000" w:fill="FFFFFF"/>
            <w:noWrap/>
            <w:vAlign w:val="center"/>
            <w:hideMark/>
          </w:tcPr>
          <w:p w14:paraId="3B7F27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0.797</w:t>
            </w:r>
          </w:p>
        </w:tc>
      </w:tr>
      <w:tr w:rsidR="00961617" w:rsidRPr="00545C7F" w14:paraId="6B445500" w14:textId="77777777" w:rsidTr="00207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hRule="exact" w:val="289"/>
        </w:trPr>
        <w:tc>
          <w:tcPr>
            <w:tcW w:w="1149" w:type="dxa"/>
            <w:tcBorders>
              <w:top w:val="nil"/>
              <w:left w:val="nil"/>
              <w:bottom w:val="single" w:sz="4" w:space="0" w:color="auto"/>
              <w:right w:val="nil"/>
            </w:tcBorders>
            <w:shd w:val="clear" w:color="auto" w:fill="E5E5E5" w:themeFill="background1" w:themeFillTint="33"/>
            <w:noWrap/>
            <w:vAlign w:val="center"/>
            <w:hideMark/>
          </w:tcPr>
          <w:p w14:paraId="287D33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418" w:type="dxa"/>
            <w:tcBorders>
              <w:top w:val="nil"/>
              <w:left w:val="nil"/>
              <w:bottom w:val="single" w:sz="4" w:space="0" w:color="auto"/>
              <w:right w:val="nil"/>
            </w:tcBorders>
            <w:shd w:val="clear" w:color="auto" w:fill="E5E5E5" w:themeFill="background1" w:themeFillTint="33"/>
            <w:noWrap/>
            <w:vAlign w:val="center"/>
            <w:hideMark/>
          </w:tcPr>
          <w:p w14:paraId="663C02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0.899</w:t>
            </w:r>
          </w:p>
        </w:tc>
        <w:tc>
          <w:tcPr>
            <w:tcW w:w="1276" w:type="dxa"/>
            <w:tcBorders>
              <w:top w:val="nil"/>
              <w:left w:val="nil"/>
              <w:bottom w:val="single" w:sz="4" w:space="0" w:color="auto"/>
              <w:right w:val="nil"/>
            </w:tcBorders>
            <w:shd w:val="clear" w:color="auto" w:fill="E5E5E5" w:themeFill="background1" w:themeFillTint="33"/>
            <w:noWrap/>
            <w:vAlign w:val="center"/>
            <w:hideMark/>
          </w:tcPr>
          <w:p w14:paraId="27405D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0.800</w:t>
            </w:r>
          </w:p>
        </w:tc>
      </w:tr>
    </w:tbl>
    <w:p w14:paraId="377DDB49" w14:textId="77777777" w:rsidR="00961617" w:rsidRPr="002F5864" w:rsidRDefault="00961617" w:rsidP="0033478B">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w:t>
      </w:r>
    </w:p>
    <w:p w14:paraId="725243C7" w14:textId="77777777" w:rsidR="00961617" w:rsidRPr="002F5864" w:rsidRDefault="00864C5E" w:rsidP="00961617">
      <w:pPr>
        <w:spacing w:before="120"/>
        <w:rPr>
          <w:rFonts w:cstheme="minorHAnsi"/>
          <w:sz w:val="18"/>
          <w:szCs w:val="18"/>
        </w:rPr>
      </w:pPr>
      <w:hyperlink w:anchor="Place_A220" w:history="1">
        <w:r w:rsidR="00961617" w:rsidRPr="005F1335">
          <w:rPr>
            <w:rStyle w:val="Hyperlink"/>
            <w:rFonts w:cstheme="minorHAnsi"/>
            <w:sz w:val="18"/>
            <w:szCs w:val="18"/>
          </w:rPr>
          <w:t>Return to Table 4.5</w:t>
        </w:r>
      </w:hyperlink>
      <w:r w:rsidR="00961617" w:rsidRPr="002F5864">
        <w:rPr>
          <w:rFonts w:cstheme="minorHAnsi"/>
          <w:sz w:val="18"/>
          <w:szCs w:val="18"/>
        </w:rPr>
        <w:t xml:space="preserve"> where this data is referenced.</w:t>
      </w:r>
    </w:p>
    <w:p w14:paraId="58FF1557" w14:textId="77777777" w:rsidR="00961617" w:rsidRPr="002F5864" w:rsidRDefault="00961617" w:rsidP="00961617">
      <w:pPr>
        <w:rPr>
          <w:rFonts w:cstheme="minorHAnsi"/>
          <w:b/>
          <w:i/>
          <w:sz w:val="20"/>
        </w:rPr>
      </w:pPr>
      <w:r w:rsidRPr="002F5864">
        <w:rPr>
          <w:rFonts w:cstheme="minorHAnsi"/>
        </w:rPr>
        <w:br w:type="page"/>
      </w:r>
    </w:p>
    <w:p w14:paraId="4CE281BF" w14:textId="77777777" w:rsidR="00961617" w:rsidRPr="002F5864" w:rsidRDefault="00961617" w:rsidP="00961617">
      <w:pPr>
        <w:pStyle w:val="TableheadingforappendixA1"/>
        <w:rPr>
          <w:rFonts w:cstheme="minorHAnsi"/>
        </w:rPr>
      </w:pPr>
      <w:bookmarkStart w:id="671" w:name="_Toc513129914"/>
      <w:r w:rsidRPr="002F5864">
        <w:rPr>
          <w:rFonts w:cstheme="minorHAnsi"/>
        </w:rPr>
        <w:t>Table A2.21: Conditional probability of leaving service in a given week, 2009 and 2012 Stream</w:t>
      </w:r>
      <w:r>
        <w:rPr>
          <w:rFonts w:cstheme="minorHAnsi"/>
        </w:rPr>
        <w:t> </w:t>
      </w:r>
      <w:r w:rsidRPr="002F5864">
        <w:rPr>
          <w:rFonts w:cstheme="minorHAnsi"/>
        </w:rPr>
        <w:t>1 servicing study populations</w:t>
      </w:r>
      <w:bookmarkEnd w:id="671"/>
      <w:r w:rsidRPr="002F5864">
        <w:rPr>
          <w:rFonts w:cstheme="minorHAnsi"/>
        </w:rPr>
        <w:t xml:space="preserve"> </w:t>
      </w:r>
    </w:p>
    <w:tbl>
      <w:tblPr>
        <w:tblW w:w="3843" w:type="dxa"/>
        <w:tblInd w:w="93" w:type="dxa"/>
        <w:tblLook w:val="04A0" w:firstRow="1" w:lastRow="0" w:firstColumn="1" w:lastColumn="0" w:noHBand="0" w:noVBand="1"/>
      </w:tblPr>
      <w:tblGrid>
        <w:gridCol w:w="1149"/>
        <w:gridCol w:w="1418"/>
        <w:gridCol w:w="1276"/>
      </w:tblGrid>
      <w:tr w:rsidR="00961617" w:rsidRPr="00545C7F" w14:paraId="112E047D" w14:textId="77777777" w:rsidTr="0020771F">
        <w:trPr>
          <w:trHeight w:hRule="exact" w:val="289"/>
          <w:tblHeader/>
        </w:trPr>
        <w:tc>
          <w:tcPr>
            <w:tcW w:w="1149" w:type="dxa"/>
            <w:shd w:val="clear" w:color="auto" w:fill="1E3D6B"/>
            <w:noWrap/>
            <w:vAlign w:val="center"/>
            <w:hideMark/>
          </w:tcPr>
          <w:p w14:paraId="28985FBE"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bookmarkStart w:id="672" w:name="Title_A221"/>
            <w:bookmarkEnd w:id="672"/>
            <w:r w:rsidRPr="00545C7F">
              <w:rPr>
                <w:rFonts w:eastAsia="Times New Roman" w:cstheme="minorHAnsi"/>
                <w:b/>
                <w:color w:val="FFFFFF" w:themeColor="background2"/>
                <w:sz w:val="20"/>
                <w:szCs w:val="20"/>
                <w:lang w:eastAsia="en-AU"/>
              </w:rPr>
              <w:t>Weeks</w:t>
            </w:r>
          </w:p>
        </w:tc>
        <w:tc>
          <w:tcPr>
            <w:tcW w:w="1418" w:type="dxa"/>
            <w:shd w:val="clear" w:color="auto" w:fill="1E3D6B"/>
            <w:vAlign w:val="center"/>
            <w:hideMark/>
          </w:tcPr>
          <w:p w14:paraId="789DD051"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2009</w:t>
            </w:r>
          </w:p>
        </w:tc>
        <w:tc>
          <w:tcPr>
            <w:tcW w:w="1276" w:type="dxa"/>
            <w:shd w:val="clear" w:color="auto" w:fill="1E3D6B"/>
            <w:vAlign w:val="center"/>
            <w:hideMark/>
          </w:tcPr>
          <w:p w14:paraId="594D9A87"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2012</w:t>
            </w:r>
          </w:p>
        </w:tc>
      </w:tr>
      <w:tr w:rsidR="00961617" w:rsidRPr="00545C7F" w14:paraId="54D1EF66" w14:textId="77777777" w:rsidTr="0020771F">
        <w:trPr>
          <w:trHeight w:hRule="exact" w:val="289"/>
        </w:trPr>
        <w:tc>
          <w:tcPr>
            <w:tcW w:w="1149" w:type="dxa"/>
            <w:shd w:val="clear" w:color="000000" w:fill="FFFFFF"/>
            <w:noWrap/>
            <w:vAlign w:val="center"/>
            <w:hideMark/>
          </w:tcPr>
          <w:p w14:paraId="2D6EE1E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w:t>
            </w:r>
          </w:p>
        </w:tc>
        <w:tc>
          <w:tcPr>
            <w:tcW w:w="1418" w:type="dxa"/>
            <w:shd w:val="clear" w:color="000000" w:fill="FFFFFF"/>
            <w:noWrap/>
            <w:vAlign w:val="center"/>
            <w:hideMark/>
          </w:tcPr>
          <w:p w14:paraId="11DD91D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0.008</w:t>
            </w:r>
          </w:p>
        </w:tc>
        <w:tc>
          <w:tcPr>
            <w:tcW w:w="1276" w:type="dxa"/>
            <w:shd w:val="clear" w:color="000000" w:fill="FFFFFF"/>
            <w:noWrap/>
            <w:vAlign w:val="center"/>
            <w:hideMark/>
          </w:tcPr>
          <w:p w14:paraId="7C2FE786"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0.008</w:t>
            </w:r>
          </w:p>
        </w:tc>
      </w:tr>
      <w:tr w:rsidR="00961617" w:rsidRPr="00545C7F" w14:paraId="4C0D5F3B" w14:textId="77777777" w:rsidTr="0020771F">
        <w:trPr>
          <w:trHeight w:hRule="exact" w:val="289"/>
        </w:trPr>
        <w:tc>
          <w:tcPr>
            <w:tcW w:w="1149" w:type="dxa"/>
            <w:shd w:val="clear" w:color="auto" w:fill="E5E5E5" w:themeFill="background1" w:themeFillTint="33"/>
            <w:noWrap/>
            <w:vAlign w:val="center"/>
            <w:hideMark/>
          </w:tcPr>
          <w:p w14:paraId="14D9EF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w:t>
            </w:r>
          </w:p>
        </w:tc>
        <w:tc>
          <w:tcPr>
            <w:tcW w:w="1418" w:type="dxa"/>
            <w:shd w:val="clear" w:color="auto" w:fill="E5E5E5" w:themeFill="background1" w:themeFillTint="33"/>
            <w:noWrap/>
            <w:vAlign w:val="center"/>
            <w:hideMark/>
          </w:tcPr>
          <w:p w14:paraId="07BE2F3F"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0.024</w:t>
            </w:r>
          </w:p>
        </w:tc>
        <w:tc>
          <w:tcPr>
            <w:tcW w:w="1276" w:type="dxa"/>
            <w:shd w:val="clear" w:color="auto" w:fill="E5E5E5" w:themeFill="background1" w:themeFillTint="33"/>
            <w:noWrap/>
            <w:vAlign w:val="center"/>
            <w:hideMark/>
          </w:tcPr>
          <w:p w14:paraId="2627484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0.017</w:t>
            </w:r>
          </w:p>
        </w:tc>
      </w:tr>
      <w:tr w:rsidR="00961617" w:rsidRPr="00545C7F" w14:paraId="24CF92F6" w14:textId="77777777" w:rsidTr="0020771F">
        <w:trPr>
          <w:trHeight w:hRule="exact" w:val="289"/>
        </w:trPr>
        <w:tc>
          <w:tcPr>
            <w:tcW w:w="1149" w:type="dxa"/>
            <w:shd w:val="clear" w:color="000000" w:fill="FFFFFF"/>
            <w:noWrap/>
            <w:vAlign w:val="center"/>
            <w:hideMark/>
          </w:tcPr>
          <w:p w14:paraId="380B29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w:t>
            </w:r>
          </w:p>
        </w:tc>
        <w:tc>
          <w:tcPr>
            <w:tcW w:w="1418" w:type="dxa"/>
            <w:shd w:val="clear" w:color="000000" w:fill="FFFFFF"/>
            <w:noWrap/>
            <w:vAlign w:val="center"/>
            <w:hideMark/>
          </w:tcPr>
          <w:p w14:paraId="1F37C63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0.031</w:t>
            </w:r>
          </w:p>
        </w:tc>
        <w:tc>
          <w:tcPr>
            <w:tcW w:w="1276" w:type="dxa"/>
            <w:shd w:val="clear" w:color="000000" w:fill="FFFFFF"/>
            <w:noWrap/>
            <w:vAlign w:val="center"/>
            <w:hideMark/>
          </w:tcPr>
          <w:p w14:paraId="39BD0E0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0.021</w:t>
            </w:r>
          </w:p>
        </w:tc>
      </w:tr>
      <w:tr w:rsidR="00961617" w:rsidRPr="00545C7F" w14:paraId="5BED189A" w14:textId="77777777" w:rsidTr="0020771F">
        <w:trPr>
          <w:trHeight w:hRule="exact" w:val="289"/>
        </w:trPr>
        <w:tc>
          <w:tcPr>
            <w:tcW w:w="1149" w:type="dxa"/>
            <w:shd w:val="clear" w:color="auto" w:fill="E5E5E5" w:themeFill="background1" w:themeFillTint="33"/>
            <w:noWrap/>
            <w:vAlign w:val="center"/>
            <w:hideMark/>
          </w:tcPr>
          <w:p w14:paraId="4A45A3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w:t>
            </w:r>
          </w:p>
        </w:tc>
        <w:tc>
          <w:tcPr>
            <w:tcW w:w="1418" w:type="dxa"/>
            <w:shd w:val="clear" w:color="auto" w:fill="E5E5E5" w:themeFill="background1" w:themeFillTint="33"/>
            <w:noWrap/>
            <w:vAlign w:val="center"/>
            <w:hideMark/>
          </w:tcPr>
          <w:p w14:paraId="6C9413A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0.019</w:t>
            </w:r>
          </w:p>
        </w:tc>
        <w:tc>
          <w:tcPr>
            <w:tcW w:w="1276" w:type="dxa"/>
            <w:shd w:val="clear" w:color="auto" w:fill="E5E5E5" w:themeFill="background1" w:themeFillTint="33"/>
            <w:noWrap/>
            <w:vAlign w:val="center"/>
            <w:hideMark/>
          </w:tcPr>
          <w:p w14:paraId="07C2EC3A"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0.023</w:t>
            </w:r>
          </w:p>
        </w:tc>
      </w:tr>
      <w:tr w:rsidR="00961617" w:rsidRPr="00545C7F" w14:paraId="4DEB0808" w14:textId="77777777" w:rsidTr="0020771F">
        <w:trPr>
          <w:trHeight w:hRule="exact" w:val="289"/>
        </w:trPr>
        <w:tc>
          <w:tcPr>
            <w:tcW w:w="1149" w:type="dxa"/>
            <w:shd w:val="clear" w:color="000000" w:fill="FFFFFF"/>
            <w:noWrap/>
            <w:vAlign w:val="center"/>
            <w:hideMark/>
          </w:tcPr>
          <w:p w14:paraId="31D5BA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w:t>
            </w:r>
          </w:p>
        </w:tc>
        <w:tc>
          <w:tcPr>
            <w:tcW w:w="1418" w:type="dxa"/>
            <w:shd w:val="clear" w:color="000000" w:fill="FFFFFF"/>
            <w:noWrap/>
            <w:vAlign w:val="center"/>
            <w:hideMark/>
          </w:tcPr>
          <w:p w14:paraId="6F569E6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0.022</w:t>
            </w:r>
          </w:p>
        </w:tc>
        <w:tc>
          <w:tcPr>
            <w:tcW w:w="1276" w:type="dxa"/>
            <w:shd w:val="clear" w:color="000000" w:fill="FFFFFF"/>
            <w:noWrap/>
            <w:vAlign w:val="center"/>
            <w:hideMark/>
          </w:tcPr>
          <w:p w14:paraId="690708D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0.031</w:t>
            </w:r>
          </w:p>
        </w:tc>
      </w:tr>
      <w:tr w:rsidR="00961617" w:rsidRPr="00545C7F" w14:paraId="0D18E4A5" w14:textId="77777777" w:rsidTr="0020771F">
        <w:trPr>
          <w:trHeight w:hRule="exact" w:val="289"/>
        </w:trPr>
        <w:tc>
          <w:tcPr>
            <w:tcW w:w="1149" w:type="dxa"/>
            <w:shd w:val="clear" w:color="auto" w:fill="E5E5E5" w:themeFill="background1" w:themeFillTint="33"/>
            <w:noWrap/>
            <w:vAlign w:val="center"/>
            <w:hideMark/>
          </w:tcPr>
          <w:p w14:paraId="4C9FF2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w:t>
            </w:r>
          </w:p>
        </w:tc>
        <w:tc>
          <w:tcPr>
            <w:tcW w:w="1418" w:type="dxa"/>
            <w:shd w:val="clear" w:color="auto" w:fill="E5E5E5" w:themeFill="background1" w:themeFillTint="33"/>
            <w:noWrap/>
            <w:vAlign w:val="center"/>
            <w:hideMark/>
          </w:tcPr>
          <w:p w14:paraId="2F1E395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0.026</w:t>
            </w:r>
          </w:p>
        </w:tc>
        <w:tc>
          <w:tcPr>
            <w:tcW w:w="1276" w:type="dxa"/>
            <w:shd w:val="clear" w:color="auto" w:fill="E5E5E5" w:themeFill="background1" w:themeFillTint="33"/>
            <w:noWrap/>
            <w:vAlign w:val="center"/>
            <w:hideMark/>
          </w:tcPr>
          <w:p w14:paraId="358A1373"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0.024</w:t>
            </w:r>
          </w:p>
        </w:tc>
      </w:tr>
      <w:tr w:rsidR="00961617" w:rsidRPr="00545C7F" w14:paraId="4910E79C" w14:textId="77777777" w:rsidTr="0020771F">
        <w:trPr>
          <w:trHeight w:hRule="exact" w:val="289"/>
        </w:trPr>
        <w:tc>
          <w:tcPr>
            <w:tcW w:w="1149" w:type="dxa"/>
            <w:shd w:val="clear" w:color="000000" w:fill="FFFFFF"/>
            <w:noWrap/>
            <w:vAlign w:val="center"/>
            <w:hideMark/>
          </w:tcPr>
          <w:p w14:paraId="0F0834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418" w:type="dxa"/>
            <w:shd w:val="clear" w:color="000000" w:fill="FFFFFF"/>
            <w:noWrap/>
            <w:vAlign w:val="center"/>
            <w:hideMark/>
          </w:tcPr>
          <w:p w14:paraId="48D12DE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0.026</w:t>
            </w:r>
          </w:p>
        </w:tc>
        <w:tc>
          <w:tcPr>
            <w:tcW w:w="1276" w:type="dxa"/>
            <w:shd w:val="clear" w:color="000000" w:fill="FFFFFF"/>
            <w:noWrap/>
            <w:vAlign w:val="center"/>
            <w:hideMark/>
          </w:tcPr>
          <w:p w14:paraId="1BDB59C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0.029</w:t>
            </w:r>
          </w:p>
        </w:tc>
      </w:tr>
      <w:tr w:rsidR="00961617" w:rsidRPr="00545C7F" w14:paraId="40B5B47D" w14:textId="77777777" w:rsidTr="0020771F">
        <w:trPr>
          <w:trHeight w:hRule="exact" w:val="289"/>
        </w:trPr>
        <w:tc>
          <w:tcPr>
            <w:tcW w:w="1149" w:type="dxa"/>
            <w:shd w:val="clear" w:color="auto" w:fill="E5E5E5" w:themeFill="background1" w:themeFillTint="33"/>
            <w:noWrap/>
            <w:vAlign w:val="center"/>
            <w:hideMark/>
          </w:tcPr>
          <w:p w14:paraId="289239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w:t>
            </w:r>
          </w:p>
        </w:tc>
        <w:tc>
          <w:tcPr>
            <w:tcW w:w="1418" w:type="dxa"/>
            <w:shd w:val="clear" w:color="auto" w:fill="E5E5E5" w:themeFill="background1" w:themeFillTint="33"/>
            <w:noWrap/>
            <w:vAlign w:val="center"/>
            <w:hideMark/>
          </w:tcPr>
          <w:p w14:paraId="0CA9E241"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0.032</w:t>
            </w:r>
          </w:p>
        </w:tc>
        <w:tc>
          <w:tcPr>
            <w:tcW w:w="1276" w:type="dxa"/>
            <w:shd w:val="clear" w:color="auto" w:fill="E5E5E5" w:themeFill="background1" w:themeFillTint="33"/>
            <w:noWrap/>
            <w:vAlign w:val="center"/>
            <w:hideMark/>
          </w:tcPr>
          <w:p w14:paraId="6C5980F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0.027</w:t>
            </w:r>
          </w:p>
        </w:tc>
      </w:tr>
      <w:tr w:rsidR="00961617" w:rsidRPr="00545C7F" w14:paraId="2467A522" w14:textId="77777777" w:rsidTr="0020771F">
        <w:trPr>
          <w:trHeight w:hRule="exact" w:val="289"/>
        </w:trPr>
        <w:tc>
          <w:tcPr>
            <w:tcW w:w="1149" w:type="dxa"/>
            <w:shd w:val="clear" w:color="000000" w:fill="FFFFFF"/>
            <w:noWrap/>
            <w:vAlign w:val="center"/>
            <w:hideMark/>
          </w:tcPr>
          <w:p w14:paraId="15D9E5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w:t>
            </w:r>
          </w:p>
        </w:tc>
        <w:tc>
          <w:tcPr>
            <w:tcW w:w="1418" w:type="dxa"/>
            <w:shd w:val="clear" w:color="000000" w:fill="FFFFFF"/>
            <w:noWrap/>
            <w:vAlign w:val="center"/>
            <w:hideMark/>
          </w:tcPr>
          <w:p w14:paraId="63507F8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c>
          <w:tcPr>
            <w:tcW w:w="1276" w:type="dxa"/>
            <w:shd w:val="clear" w:color="000000" w:fill="FFFFFF"/>
            <w:noWrap/>
            <w:vAlign w:val="center"/>
            <w:hideMark/>
          </w:tcPr>
          <w:p w14:paraId="2239F48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r>
      <w:tr w:rsidR="00961617" w:rsidRPr="00545C7F" w14:paraId="0CD0BFA7" w14:textId="77777777" w:rsidTr="0020771F">
        <w:trPr>
          <w:trHeight w:hRule="exact" w:val="289"/>
        </w:trPr>
        <w:tc>
          <w:tcPr>
            <w:tcW w:w="1149" w:type="dxa"/>
            <w:shd w:val="clear" w:color="auto" w:fill="E5E5E5" w:themeFill="background1" w:themeFillTint="33"/>
            <w:noWrap/>
            <w:vAlign w:val="center"/>
            <w:hideMark/>
          </w:tcPr>
          <w:p w14:paraId="3736D0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w:t>
            </w:r>
          </w:p>
        </w:tc>
        <w:tc>
          <w:tcPr>
            <w:tcW w:w="1418" w:type="dxa"/>
            <w:shd w:val="clear" w:color="auto" w:fill="E5E5E5" w:themeFill="background1" w:themeFillTint="33"/>
            <w:noWrap/>
            <w:vAlign w:val="center"/>
            <w:hideMark/>
          </w:tcPr>
          <w:p w14:paraId="4CD6C19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0.036</w:t>
            </w:r>
          </w:p>
        </w:tc>
        <w:tc>
          <w:tcPr>
            <w:tcW w:w="1276" w:type="dxa"/>
            <w:shd w:val="clear" w:color="auto" w:fill="E5E5E5" w:themeFill="background1" w:themeFillTint="33"/>
            <w:noWrap/>
            <w:vAlign w:val="center"/>
            <w:hideMark/>
          </w:tcPr>
          <w:p w14:paraId="65CD3756"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0.031</w:t>
            </w:r>
          </w:p>
        </w:tc>
      </w:tr>
      <w:tr w:rsidR="00961617" w:rsidRPr="00545C7F" w14:paraId="3360031D" w14:textId="77777777" w:rsidTr="0020771F">
        <w:trPr>
          <w:trHeight w:hRule="exact" w:val="289"/>
        </w:trPr>
        <w:tc>
          <w:tcPr>
            <w:tcW w:w="1149" w:type="dxa"/>
            <w:shd w:val="clear" w:color="000000" w:fill="FFFFFF"/>
            <w:noWrap/>
            <w:vAlign w:val="center"/>
            <w:hideMark/>
          </w:tcPr>
          <w:p w14:paraId="3F5522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w:t>
            </w:r>
          </w:p>
        </w:tc>
        <w:tc>
          <w:tcPr>
            <w:tcW w:w="1418" w:type="dxa"/>
            <w:shd w:val="clear" w:color="000000" w:fill="FFFFFF"/>
            <w:noWrap/>
            <w:vAlign w:val="center"/>
            <w:hideMark/>
          </w:tcPr>
          <w:p w14:paraId="400F5D5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0.039</w:t>
            </w:r>
          </w:p>
        </w:tc>
        <w:tc>
          <w:tcPr>
            <w:tcW w:w="1276" w:type="dxa"/>
            <w:shd w:val="clear" w:color="000000" w:fill="FFFFFF"/>
            <w:noWrap/>
            <w:vAlign w:val="center"/>
            <w:hideMark/>
          </w:tcPr>
          <w:p w14:paraId="287BE07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0.035</w:t>
            </w:r>
          </w:p>
        </w:tc>
      </w:tr>
      <w:tr w:rsidR="00961617" w:rsidRPr="00545C7F" w14:paraId="3F93EB4A" w14:textId="77777777" w:rsidTr="0020771F">
        <w:trPr>
          <w:trHeight w:hRule="exact" w:val="289"/>
        </w:trPr>
        <w:tc>
          <w:tcPr>
            <w:tcW w:w="1149" w:type="dxa"/>
            <w:shd w:val="clear" w:color="auto" w:fill="E5E5E5" w:themeFill="background1" w:themeFillTint="33"/>
            <w:noWrap/>
            <w:vAlign w:val="center"/>
            <w:hideMark/>
          </w:tcPr>
          <w:p w14:paraId="056432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w:t>
            </w:r>
          </w:p>
        </w:tc>
        <w:tc>
          <w:tcPr>
            <w:tcW w:w="1418" w:type="dxa"/>
            <w:shd w:val="clear" w:color="auto" w:fill="E5E5E5" w:themeFill="background1" w:themeFillTint="33"/>
            <w:noWrap/>
            <w:vAlign w:val="center"/>
            <w:hideMark/>
          </w:tcPr>
          <w:p w14:paraId="6FDEE1E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0.044</w:t>
            </w:r>
          </w:p>
        </w:tc>
        <w:tc>
          <w:tcPr>
            <w:tcW w:w="1276" w:type="dxa"/>
            <w:shd w:val="clear" w:color="auto" w:fill="E5E5E5" w:themeFill="background1" w:themeFillTint="33"/>
            <w:noWrap/>
            <w:vAlign w:val="center"/>
            <w:hideMark/>
          </w:tcPr>
          <w:p w14:paraId="548CFB5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0.034</w:t>
            </w:r>
          </w:p>
        </w:tc>
      </w:tr>
      <w:tr w:rsidR="00961617" w:rsidRPr="00545C7F" w14:paraId="5954E9CA" w14:textId="77777777" w:rsidTr="0020771F">
        <w:trPr>
          <w:trHeight w:hRule="exact" w:val="289"/>
        </w:trPr>
        <w:tc>
          <w:tcPr>
            <w:tcW w:w="1149" w:type="dxa"/>
            <w:shd w:val="clear" w:color="000000" w:fill="FFFFFF"/>
            <w:noWrap/>
            <w:vAlign w:val="center"/>
            <w:hideMark/>
          </w:tcPr>
          <w:p w14:paraId="28B63A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w:t>
            </w:r>
          </w:p>
        </w:tc>
        <w:tc>
          <w:tcPr>
            <w:tcW w:w="1418" w:type="dxa"/>
            <w:shd w:val="clear" w:color="000000" w:fill="FFFFFF"/>
            <w:noWrap/>
            <w:vAlign w:val="center"/>
            <w:hideMark/>
          </w:tcPr>
          <w:p w14:paraId="71FB41F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0.052</w:t>
            </w:r>
          </w:p>
        </w:tc>
        <w:tc>
          <w:tcPr>
            <w:tcW w:w="1276" w:type="dxa"/>
            <w:shd w:val="clear" w:color="000000" w:fill="FFFFFF"/>
            <w:noWrap/>
            <w:vAlign w:val="center"/>
            <w:hideMark/>
          </w:tcPr>
          <w:p w14:paraId="4F1E52A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0.042</w:t>
            </w:r>
          </w:p>
        </w:tc>
      </w:tr>
      <w:tr w:rsidR="00961617" w:rsidRPr="00545C7F" w14:paraId="302B07C6" w14:textId="77777777" w:rsidTr="0020771F">
        <w:trPr>
          <w:trHeight w:hRule="exact" w:val="289"/>
        </w:trPr>
        <w:tc>
          <w:tcPr>
            <w:tcW w:w="1149" w:type="dxa"/>
            <w:shd w:val="clear" w:color="auto" w:fill="E5E5E5" w:themeFill="background1" w:themeFillTint="33"/>
            <w:noWrap/>
            <w:vAlign w:val="center"/>
            <w:hideMark/>
          </w:tcPr>
          <w:p w14:paraId="2999DB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418" w:type="dxa"/>
            <w:shd w:val="clear" w:color="auto" w:fill="E5E5E5" w:themeFill="background1" w:themeFillTint="33"/>
            <w:noWrap/>
            <w:vAlign w:val="center"/>
            <w:hideMark/>
          </w:tcPr>
          <w:p w14:paraId="0E87882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0.075</w:t>
            </w:r>
          </w:p>
        </w:tc>
        <w:tc>
          <w:tcPr>
            <w:tcW w:w="1276" w:type="dxa"/>
            <w:shd w:val="clear" w:color="auto" w:fill="E5E5E5" w:themeFill="background1" w:themeFillTint="33"/>
            <w:noWrap/>
            <w:vAlign w:val="center"/>
            <w:hideMark/>
          </w:tcPr>
          <w:p w14:paraId="007F56A1"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0.049</w:t>
            </w:r>
          </w:p>
        </w:tc>
      </w:tr>
      <w:tr w:rsidR="00961617" w:rsidRPr="00545C7F" w14:paraId="43E2BE31" w14:textId="77777777" w:rsidTr="0020771F">
        <w:trPr>
          <w:trHeight w:hRule="exact" w:val="289"/>
        </w:trPr>
        <w:tc>
          <w:tcPr>
            <w:tcW w:w="1149" w:type="dxa"/>
            <w:shd w:val="clear" w:color="000000" w:fill="FFFFFF"/>
            <w:noWrap/>
            <w:vAlign w:val="center"/>
            <w:hideMark/>
          </w:tcPr>
          <w:p w14:paraId="7DD613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w:t>
            </w:r>
          </w:p>
        </w:tc>
        <w:tc>
          <w:tcPr>
            <w:tcW w:w="1418" w:type="dxa"/>
            <w:shd w:val="clear" w:color="000000" w:fill="FFFFFF"/>
            <w:noWrap/>
            <w:vAlign w:val="center"/>
            <w:hideMark/>
          </w:tcPr>
          <w:p w14:paraId="18C9CD2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0.075</w:t>
            </w:r>
          </w:p>
        </w:tc>
        <w:tc>
          <w:tcPr>
            <w:tcW w:w="1276" w:type="dxa"/>
            <w:shd w:val="clear" w:color="000000" w:fill="FFFFFF"/>
            <w:noWrap/>
            <w:vAlign w:val="center"/>
            <w:hideMark/>
          </w:tcPr>
          <w:p w14:paraId="10D12E1D"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0.051</w:t>
            </w:r>
          </w:p>
        </w:tc>
      </w:tr>
      <w:tr w:rsidR="00961617" w:rsidRPr="00545C7F" w14:paraId="005EC013" w14:textId="77777777" w:rsidTr="0020771F">
        <w:trPr>
          <w:trHeight w:hRule="exact" w:val="289"/>
        </w:trPr>
        <w:tc>
          <w:tcPr>
            <w:tcW w:w="1149" w:type="dxa"/>
            <w:shd w:val="clear" w:color="auto" w:fill="E5E5E5" w:themeFill="background1" w:themeFillTint="33"/>
            <w:noWrap/>
            <w:vAlign w:val="center"/>
            <w:hideMark/>
          </w:tcPr>
          <w:p w14:paraId="6CA725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w:t>
            </w:r>
          </w:p>
        </w:tc>
        <w:tc>
          <w:tcPr>
            <w:tcW w:w="1418" w:type="dxa"/>
            <w:shd w:val="clear" w:color="auto" w:fill="E5E5E5" w:themeFill="background1" w:themeFillTint="33"/>
            <w:noWrap/>
            <w:vAlign w:val="center"/>
            <w:hideMark/>
          </w:tcPr>
          <w:p w14:paraId="6350FFC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0.075</w:t>
            </w:r>
          </w:p>
        </w:tc>
        <w:tc>
          <w:tcPr>
            <w:tcW w:w="1276" w:type="dxa"/>
            <w:shd w:val="clear" w:color="auto" w:fill="E5E5E5" w:themeFill="background1" w:themeFillTint="33"/>
            <w:noWrap/>
            <w:vAlign w:val="center"/>
            <w:hideMark/>
          </w:tcPr>
          <w:p w14:paraId="3572637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0.047</w:t>
            </w:r>
          </w:p>
        </w:tc>
      </w:tr>
      <w:tr w:rsidR="00961617" w:rsidRPr="00545C7F" w14:paraId="7BD6F59A" w14:textId="77777777" w:rsidTr="0020771F">
        <w:trPr>
          <w:trHeight w:hRule="exact" w:val="289"/>
        </w:trPr>
        <w:tc>
          <w:tcPr>
            <w:tcW w:w="1149" w:type="dxa"/>
            <w:shd w:val="clear" w:color="000000" w:fill="FFFFFF"/>
            <w:noWrap/>
            <w:vAlign w:val="center"/>
            <w:hideMark/>
          </w:tcPr>
          <w:p w14:paraId="4DFB45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w:t>
            </w:r>
          </w:p>
        </w:tc>
        <w:tc>
          <w:tcPr>
            <w:tcW w:w="1418" w:type="dxa"/>
            <w:shd w:val="clear" w:color="000000" w:fill="FFFFFF"/>
            <w:noWrap/>
            <w:vAlign w:val="center"/>
            <w:hideMark/>
          </w:tcPr>
          <w:p w14:paraId="3B9FC31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0.072</w:t>
            </w:r>
          </w:p>
        </w:tc>
        <w:tc>
          <w:tcPr>
            <w:tcW w:w="1276" w:type="dxa"/>
            <w:shd w:val="clear" w:color="000000" w:fill="FFFFFF"/>
            <w:noWrap/>
            <w:vAlign w:val="center"/>
            <w:hideMark/>
          </w:tcPr>
          <w:p w14:paraId="7B0B4EB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0.049</w:t>
            </w:r>
          </w:p>
        </w:tc>
      </w:tr>
      <w:tr w:rsidR="00961617" w:rsidRPr="00545C7F" w14:paraId="376F256D" w14:textId="77777777" w:rsidTr="0020771F">
        <w:trPr>
          <w:trHeight w:hRule="exact" w:val="289"/>
        </w:trPr>
        <w:tc>
          <w:tcPr>
            <w:tcW w:w="1149" w:type="dxa"/>
            <w:shd w:val="clear" w:color="auto" w:fill="E5E5E5" w:themeFill="background1" w:themeFillTint="33"/>
            <w:noWrap/>
            <w:vAlign w:val="center"/>
            <w:hideMark/>
          </w:tcPr>
          <w:p w14:paraId="009907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w:t>
            </w:r>
          </w:p>
        </w:tc>
        <w:tc>
          <w:tcPr>
            <w:tcW w:w="1418" w:type="dxa"/>
            <w:shd w:val="clear" w:color="auto" w:fill="E5E5E5" w:themeFill="background1" w:themeFillTint="33"/>
            <w:noWrap/>
            <w:vAlign w:val="center"/>
            <w:hideMark/>
          </w:tcPr>
          <w:p w14:paraId="09BC3C5A"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0.069</w:t>
            </w:r>
          </w:p>
        </w:tc>
        <w:tc>
          <w:tcPr>
            <w:tcW w:w="1276" w:type="dxa"/>
            <w:shd w:val="clear" w:color="auto" w:fill="E5E5E5" w:themeFill="background1" w:themeFillTint="33"/>
            <w:noWrap/>
            <w:vAlign w:val="center"/>
            <w:hideMark/>
          </w:tcPr>
          <w:p w14:paraId="1563F9B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0.043</w:t>
            </w:r>
          </w:p>
        </w:tc>
      </w:tr>
      <w:tr w:rsidR="00961617" w:rsidRPr="00545C7F" w14:paraId="1724081A" w14:textId="77777777" w:rsidTr="0020771F">
        <w:trPr>
          <w:trHeight w:hRule="exact" w:val="289"/>
        </w:trPr>
        <w:tc>
          <w:tcPr>
            <w:tcW w:w="1149" w:type="dxa"/>
            <w:shd w:val="clear" w:color="000000" w:fill="FFFFFF"/>
            <w:noWrap/>
            <w:vAlign w:val="center"/>
            <w:hideMark/>
          </w:tcPr>
          <w:p w14:paraId="3DFB9D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w:t>
            </w:r>
          </w:p>
        </w:tc>
        <w:tc>
          <w:tcPr>
            <w:tcW w:w="1418" w:type="dxa"/>
            <w:shd w:val="clear" w:color="000000" w:fill="FFFFFF"/>
            <w:noWrap/>
            <w:vAlign w:val="center"/>
            <w:hideMark/>
          </w:tcPr>
          <w:p w14:paraId="78C9AFF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0.066</w:t>
            </w:r>
          </w:p>
        </w:tc>
        <w:tc>
          <w:tcPr>
            <w:tcW w:w="1276" w:type="dxa"/>
            <w:shd w:val="clear" w:color="000000" w:fill="FFFFFF"/>
            <w:noWrap/>
            <w:vAlign w:val="center"/>
            <w:hideMark/>
          </w:tcPr>
          <w:p w14:paraId="6C6FC6A1"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0.046</w:t>
            </w:r>
          </w:p>
        </w:tc>
      </w:tr>
      <w:tr w:rsidR="00961617" w:rsidRPr="00545C7F" w14:paraId="094FCBF0" w14:textId="77777777" w:rsidTr="0020771F">
        <w:trPr>
          <w:trHeight w:hRule="exact" w:val="289"/>
        </w:trPr>
        <w:tc>
          <w:tcPr>
            <w:tcW w:w="1149" w:type="dxa"/>
            <w:shd w:val="clear" w:color="auto" w:fill="E5E5E5" w:themeFill="background1" w:themeFillTint="33"/>
            <w:noWrap/>
            <w:vAlign w:val="center"/>
            <w:hideMark/>
          </w:tcPr>
          <w:p w14:paraId="5C5779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w:t>
            </w:r>
          </w:p>
        </w:tc>
        <w:tc>
          <w:tcPr>
            <w:tcW w:w="1418" w:type="dxa"/>
            <w:shd w:val="clear" w:color="auto" w:fill="E5E5E5" w:themeFill="background1" w:themeFillTint="33"/>
            <w:noWrap/>
            <w:vAlign w:val="center"/>
            <w:hideMark/>
          </w:tcPr>
          <w:p w14:paraId="22DA3C5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0.062</w:t>
            </w:r>
          </w:p>
        </w:tc>
        <w:tc>
          <w:tcPr>
            <w:tcW w:w="1276" w:type="dxa"/>
            <w:shd w:val="clear" w:color="auto" w:fill="E5E5E5" w:themeFill="background1" w:themeFillTint="33"/>
            <w:noWrap/>
            <w:vAlign w:val="center"/>
            <w:hideMark/>
          </w:tcPr>
          <w:p w14:paraId="2949A51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0.040</w:t>
            </w:r>
          </w:p>
        </w:tc>
      </w:tr>
      <w:tr w:rsidR="00961617" w:rsidRPr="00545C7F" w14:paraId="5DC70874" w14:textId="77777777" w:rsidTr="0020771F">
        <w:trPr>
          <w:trHeight w:hRule="exact" w:val="289"/>
        </w:trPr>
        <w:tc>
          <w:tcPr>
            <w:tcW w:w="1149" w:type="dxa"/>
            <w:shd w:val="clear" w:color="000000" w:fill="FFFFFF"/>
            <w:noWrap/>
            <w:vAlign w:val="center"/>
            <w:hideMark/>
          </w:tcPr>
          <w:p w14:paraId="554F62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418" w:type="dxa"/>
            <w:shd w:val="clear" w:color="000000" w:fill="FFFFFF"/>
            <w:noWrap/>
            <w:vAlign w:val="center"/>
            <w:hideMark/>
          </w:tcPr>
          <w:p w14:paraId="61817CD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0.059</w:t>
            </w:r>
          </w:p>
        </w:tc>
        <w:tc>
          <w:tcPr>
            <w:tcW w:w="1276" w:type="dxa"/>
            <w:shd w:val="clear" w:color="000000" w:fill="FFFFFF"/>
            <w:noWrap/>
            <w:vAlign w:val="center"/>
            <w:hideMark/>
          </w:tcPr>
          <w:p w14:paraId="3F9F4FD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0.043</w:t>
            </w:r>
          </w:p>
        </w:tc>
      </w:tr>
      <w:tr w:rsidR="00961617" w:rsidRPr="00545C7F" w14:paraId="442E75CF" w14:textId="77777777" w:rsidTr="0020771F">
        <w:trPr>
          <w:trHeight w:hRule="exact" w:val="289"/>
        </w:trPr>
        <w:tc>
          <w:tcPr>
            <w:tcW w:w="1149" w:type="dxa"/>
            <w:shd w:val="clear" w:color="auto" w:fill="E5E5E5" w:themeFill="background1" w:themeFillTint="33"/>
            <w:noWrap/>
            <w:vAlign w:val="center"/>
            <w:hideMark/>
          </w:tcPr>
          <w:p w14:paraId="379C35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w:t>
            </w:r>
          </w:p>
        </w:tc>
        <w:tc>
          <w:tcPr>
            <w:tcW w:w="1418" w:type="dxa"/>
            <w:shd w:val="clear" w:color="auto" w:fill="E5E5E5" w:themeFill="background1" w:themeFillTint="33"/>
            <w:noWrap/>
            <w:vAlign w:val="center"/>
            <w:hideMark/>
          </w:tcPr>
          <w:p w14:paraId="7EAC885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0.059</w:t>
            </w:r>
          </w:p>
        </w:tc>
        <w:tc>
          <w:tcPr>
            <w:tcW w:w="1276" w:type="dxa"/>
            <w:shd w:val="clear" w:color="auto" w:fill="E5E5E5" w:themeFill="background1" w:themeFillTint="33"/>
            <w:noWrap/>
            <w:vAlign w:val="center"/>
            <w:hideMark/>
          </w:tcPr>
          <w:p w14:paraId="3BF86B0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0.038</w:t>
            </w:r>
          </w:p>
        </w:tc>
      </w:tr>
      <w:tr w:rsidR="00961617" w:rsidRPr="00545C7F" w14:paraId="29F06FD5" w14:textId="77777777" w:rsidTr="0020771F">
        <w:trPr>
          <w:trHeight w:hRule="exact" w:val="289"/>
        </w:trPr>
        <w:tc>
          <w:tcPr>
            <w:tcW w:w="1149" w:type="dxa"/>
            <w:shd w:val="clear" w:color="000000" w:fill="FFFFFF"/>
            <w:noWrap/>
            <w:vAlign w:val="center"/>
            <w:hideMark/>
          </w:tcPr>
          <w:p w14:paraId="456A5B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w:t>
            </w:r>
          </w:p>
        </w:tc>
        <w:tc>
          <w:tcPr>
            <w:tcW w:w="1418" w:type="dxa"/>
            <w:shd w:val="clear" w:color="000000" w:fill="FFFFFF"/>
            <w:noWrap/>
            <w:vAlign w:val="center"/>
            <w:hideMark/>
          </w:tcPr>
          <w:p w14:paraId="1C4998F0"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0.056</w:t>
            </w:r>
          </w:p>
        </w:tc>
        <w:tc>
          <w:tcPr>
            <w:tcW w:w="1276" w:type="dxa"/>
            <w:shd w:val="clear" w:color="000000" w:fill="FFFFFF"/>
            <w:noWrap/>
            <w:vAlign w:val="center"/>
            <w:hideMark/>
          </w:tcPr>
          <w:p w14:paraId="4E7CEF2D"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0.038</w:t>
            </w:r>
          </w:p>
        </w:tc>
      </w:tr>
      <w:tr w:rsidR="00961617" w:rsidRPr="00545C7F" w14:paraId="31B049C4" w14:textId="77777777" w:rsidTr="0020771F">
        <w:trPr>
          <w:trHeight w:hRule="exact" w:val="289"/>
        </w:trPr>
        <w:tc>
          <w:tcPr>
            <w:tcW w:w="1149" w:type="dxa"/>
            <w:shd w:val="clear" w:color="auto" w:fill="E5E5E5" w:themeFill="background1" w:themeFillTint="33"/>
            <w:noWrap/>
            <w:vAlign w:val="center"/>
            <w:hideMark/>
          </w:tcPr>
          <w:p w14:paraId="07FF1A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w:t>
            </w:r>
          </w:p>
        </w:tc>
        <w:tc>
          <w:tcPr>
            <w:tcW w:w="1418" w:type="dxa"/>
            <w:shd w:val="clear" w:color="auto" w:fill="E5E5E5" w:themeFill="background1" w:themeFillTint="33"/>
            <w:noWrap/>
            <w:vAlign w:val="center"/>
            <w:hideMark/>
          </w:tcPr>
          <w:p w14:paraId="6098CAC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0.055</w:t>
            </w:r>
          </w:p>
        </w:tc>
        <w:tc>
          <w:tcPr>
            <w:tcW w:w="1276" w:type="dxa"/>
            <w:shd w:val="clear" w:color="auto" w:fill="E5E5E5" w:themeFill="background1" w:themeFillTint="33"/>
            <w:noWrap/>
            <w:vAlign w:val="center"/>
            <w:hideMark/>
          </w:tcPr>
          <w:p w14:paraId="60A8401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r>
      <w:tr w:rsidR="00961617" w:rsidRPr="00545C7F" w14:paraId="22DE5514" w14:textId="77777777" w:rsidTr="0020771F">
        <w:trPr>
          <w:trHeight w:hRule="exact" w:val="289"/>
        </w:trPr>
        <w:tc>
          <w:tcPr>
            <w:tcW w:w="1149" w:type="dxa"/>
            <w:shd w:val="clear" w:color="000000" w:fill="FFFFFF"/>
            <w:noWrap/>
            <w:vAlign w:val="center"/>
            <w:hideMark/>
          </w:tcPr>
          <w:p w14:paraId="530AA4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w:t>
            </w:r>
          </w:p>
        </w:tc>
        <w:tc>
          <w:tcPr>
            <w:tcW w:w="1418" w:type="dxa"/>
            <w:shd w:val="clear" w:color="000000" w:fill="FFFFFF"/>
            <w:noWrap/>
            <w:vAlign w:val="center"/>
            <w:hideMark/>
          </w:tcPr>
          <w:p w14:paraId="5A5B098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0.049</w:t>
            </w:r>
          </w:p>
        </w:tc>
        <w:tc>
          <w:tcPr>
            <w:tcW w:w="1276" w:type="dxa"/>
            <w:shd w:val="clear" w:color="000000" w:fill="FFFFFF"/>
            <w:noWrap/>
            <w:vAlign w:val="center"/>
            <w:hideMark/>
          </w:tcPr>
          <w:p w14:paraId="7188A993"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0.036</w:t>
            </w:r>
          </w:p>
        </w:tc>
      </w:tr>
      <w:tr w:rsidR="00961617" w:rsidRPr="00545C7F" w14:paraId="60817C94" w14:textId="77777777" w:rsidTr="0020771F">
        <w:trPr>
          <w:trHeight w:hRule="exact" w:val="289"/>
        </w:trPr>
        <w:tc>
          <w:tcPr>
            <w:tcW w:w="1149" w:type="dxa"/>
            <w:shd w:val="clear" w:color="auto" w:fill="E5E5E5" w:themeFill="background1" w:themeFillTint="33"/>
            <w:noWrap/>
            <w:vAlign w:val="center"/>
            <w:hideMark/>
          </w:tcPr>
          <w:p w14:paraId="4672B0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w:t>
            </w:r>
          </w:p>
        </w:tc>
        <w:tc>
          <w:tcPr>
            <w:tcW w:w="1418" w:type="dxa"/>
            <w:shd w:val="clear" w:color="auto" w:fill="E5E5E5" w:themeFill="background1" w:themeFillTint="33"/>
            <w:noWrap/>
            <w:vAlign w:val="center"/>
            <w:hideMark/>
          </w:tcPr>
          <w:p w14:paraId="38F03FC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0.052</w:t>
            </w:r>
          </w:p>
        </w:tc>
        <w:tc>
          <w:tcPr>
            <w:tcW w:w="1276" w:type="dxa"/>
            <w:shd w:val="clear" w:color="auto" w:fill="E5E5E5" w:themeFill="background1" w:themeFillTint="33"/>
            <w:noWrap/>
            <w:vAlign w:val="center"/>
            <w:hideMark/>
          </w:tcPr>
          <w:p w14:paraId="73CB7CD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r>
      <w:tr w:rsidR="00961617" w:rsidRPr="00545C7F" w14:paraId="7E294AB6" w14:textId="77777777" w:rsidTr="0020771F">
        <w:trPr>
          <w:trHeight w:hRule="exact" w:val="289"/>
        </w:trPr>
        <w:tc>
          <w:tcPr>
            <w:tcW w:w="1149" w:type="dxa"/>
            <w:shd w:val="clear" w:color="000000" w:fill="FFFFFF"/>
            <w:noWrap/>
            <w:vAlign w:val="center"/>
            <w:hideMark/>
          </w:tcPr>
          <w:p w14:paraId="62951B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w:t>
            </w:r>
          </w:p>
        </w:tc>
        <w:tc>
          <w:tcPr>
            <w:tcW w:w="1418" w:type="dxa"/>
            <w:shd w:val="clear" w:color="000000" w:fill="FFFFFF"/>
            <w:noWrap/>
            <w:vAlign w:val="center"/>
            <w:hideMark/>
          </w:tcPr>
          <w:p w14:paraId="0D48E58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0.052</w:t>
            </w:r>
          </w:p>
        </w:tc>
        <w:tc>
          <w:tcPr>
            <w:tcW w:w="1276" w:type="dxa"/>
            <w:shd w:val="clear" w:color="000000" w:fill="FFFFFF"/>
            <w:noWrap/>
            <w:vAlign w:val="center"/>
            <w:hideMark/>
          </w:tcPr>
          <w:p w14:paraId="409A653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0.037</w:t>
            </w:r>
          </w:p>
        </w:tc>
      </w:tr>
      <w:tr w:rsidR="00961617" w:rsidRPr="00545C7F" w14:paraId="7E5C4803" w14:textId="77777777" w:rsidTr="0020771F">
        <w:trPr>
          <w:trHeight w:hRule="exact" w:val="289"/>
        </w:trPr>
        <w:tc>
          <w:tcPr>
            <w:tcW w:w="1149" w:type="dxa"/>
            <w:shd w:val="clear" w:color="auto" w:fill="E5E5E5" w:themeFill="background1" w:themeFillTint="33"/>
            <w:noWrap/>
            <w:vAlign w:val="center"/>
            <w:hideMark/>
          </w:tcPr>
          <w:p w14:paraId="11242B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418" w:type="dxa"/>
            <w:shd w:val="clear" w:color="auto" w:fill="E5E5E5" w:themeFill="background1" w:themeFillTint="33"/>
            <w:noWrap/>
            <w:vAlign w:val="center"/>
            <w:hideMark/>
          </w:tcPr>
          <w:p w14:paraId="33AA1DD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0.051</w:t>
            </w:r>
          </w:p>
        </w:tc>
        <w:tc>
          <w:tcPr>
            <w:tcW w:w="1276" w:type="dxa"/>
            <w:shd w:val="clear" w:color="auto" w:fill="E5E5E5" w:themeFill="background1" w:themeFillTint="33"/>
            <w:noWrap/>
            <w:vAlign w:val="center"/>
            <w:hideMark/>
          </w:tcPr>
          <w:p w14:paraId="2047D25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0.035</w:t>
            </w:r>
          </w:p>
        </w:tc>
      </w:tr>
      <w:tr w:rsidR="00961617" w:rsidRPr="00545C7F" w14:paraId="171F430E" w14:textId="77777777" w:rsidTr="0020771F">
        <w:trPr>
          <w:trHeight w:hRule="exact" w:val="289"/>
        </w:trPr>
        <w:tc>
          <w:tcPr>
            <w:tcW w:w="1149" w:type="dxa"/>
            <w:shd w:val="clear" w:color="000000" w:fill="FFFFFF"/>
            <w:noWrap/>
            <w:vAlign w:val="center"/>
            <w:hideMark/>
          </w:tcPr>
          <w:p w14:paraId="35438C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w:t>
            </w:r>
          </w:p>
        </w:tc>
        <w:tc>
          <w:tcPr>
            <w:tcW w:w="1418" w:type="dxa"/>
            <w:shd w:val="clear" w:color="000000" w:fill="FFFFFF"/>
            <w:noWrap/>
            <w:vAlign w:val="center"/>
            <w:hideMark/>
          </w:tcPr>
          <w:p w14:paraId="7B61D82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0.048</w:t>
            </w:r>
          </w:p>
        </w:tc>
        <w:tc>
          <w:tcPr>
            <w:tcW w:w="1276" w:type="dxa"/>
            <w:shd w:val="clear" w:color="000000" w:fill="FFFFFF"/>
            <w:noWrap/>
            <w:vAlign w:val="center"/>
            <w:hideMark/>
          </w:tcPr>
          <w:p w14:paraId="73AEE1F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0.036</w:t>
            </w:r>
          </w:p>
        </w:tc>
      </w:tr>
      <w:tr w:rsidR="00961617" w:rsidRPr="00545C7F" w14:paraId="4907EF1C" w14:textId="77777777" w:rsidTr="0020771F">
        <w:trPr>
          <w:trHeight w:hRule="exact" w:val="289"/>
        </w:trPr>
        <w:tc>
          <w:tcPr>
            <w:tcW w:w="1149" w:type="dxa"/>
            <w:shd w:val="clear" w:color="auto" w:fill="E5E5E5" w:themeFill="background1" w:themeFillTint="33"/>
            <w:noWrap/>
            <w:vAlign w:val="center"/>
            <w:hideMark/>
          </w:tcPr>
          <w:p w14:paraId="255C3BD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w:t>
            </w:r>
          </w:p>
        </w:tc>
        <w:tc>
          <w:tcPr>
            <w:tcW w:w="1418" w:type="dxa"/>
            <w:shd w:val="clear" w:color="auto" w:fill="E5E5E5" w:themeFill="background1" w:themeFillTint="33"/>
            <w:noWrap/>
            <w:vAlign w:val="center"/>
            <w:hideMark/>
          </w:tcPr>
          <w:p w14:paraId="5E70731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0.047</w:t>
            </w:r>
          </w:p>
        </w:tc>
        <w:tc>
          <w:tcPr>
            <w:tcW w:w="1276" w:type="dxa"/>
            <w:shd w:val="clear" w:color="auto" w:fill="E5E5E5" w:themeFill="background1" w:themeFillTint="33"/>
            <w:noWrap/>
            <w:vAlign w:val="center"/>
            <w:hideMark/>
          </w:tcPr>
          <w:p w14:paraId="1AFBCD8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0.031</w:t>
            </w:r>
          </w:p>
        </w:tc>
      </w:tr>
      <w:tr w:rsidR="00961617" w:rsidRPr="00545C7F" w14:paraId="314F6361" w14:textId="77777777" w:rsidTr="0020771F">
        <w:trPr>
          <w:trHeight w:hRule="exact" w:val="289"/>
        </w:trPr>
        <w:tc>
          <w:tcPr>
            <w:tcW w:w="1149" w:type="dxa"/>
            <w:shd w:val="clear" w:color="000000" w:fill="FFFFFF"/>
            <w:noWrap/>
            <w:vAlign w:val="center"/>
            <w:hideMark/>
          </w:tcPr>
          <w:p w14:paraId="506CDA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w:t>
            </w:r>
          </w:p>
        </w:tc>
        <w:tc>
          <w:tcPr>
            <w:tcW w:w="1418" w:type="dxa"/>
            <w:shd w:val="clear" w:color="000000" w:fill="FFFFFF"/>
            <w:noWrap/>
            <w:vAlign w:val="center"/>
            <w:hideMark/>
          </w:tcPr>
          <w:p w14:paraId="7B134F00"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0.045</w:t>
            </w:r>
          </w:p>
        </w:tc>
        <w:tc>
          <w:tcPr>
            <w:tcW w:w="1276" w:type="dxa"/>
            <w:shd w:val="clear" w:color="000000" w:fill="FFFFFF"/>
            <w:noWrap/>
            <w:vAlign w:val="center"/>
            <w:hideMark/>
          </w:tcPr>
          <w:p w14:paraId="2ECAB35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0.035</w:t>
            </w:r>
          </w:p>
        </w:tc>
      </w:tr>
      <w:tr w:rsidR="00961617" w:rsidRPr="00545C7F" w14:paraId="23636954" w14:textId="77777777" w:rsidTr="0020771F">
        <w:trPr>
          <w:trHeight w:hRule="exact" w:val="289"/>
        </w:trPr>
        <w:tc>
          <w:tcPr>
            <w:tcW w:w="1149" w:type="dxa"/>
            <w:shd w:val="clear" w:color="auto" w:fill="E5E5E5" w:themeFill="background1" w:themeFillTint="33"/>
            <w:noWrap/>
            <w:vAlign w:val="center"/>
            <w:hideMark/>
          </w:tcPr>
          <w:p w14:paraId="4DA458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w:t>
            </w:r>
          </w:p>
        </w:tc>
        <w:tc>
          <w:tcPr>
            <w:tcW w:w="1418" w:type="dxa"/>
            <w:shd w:val="clear" w:color="auto" w:fill="E5E5E5" w:themeFill="background1" w:themeFillTint="33"/>
            <w:noWrap/>
            <w:vAlign w:val="center"/>
            <w:hideMark/>
          </w:tcPr>
          <w:p w14:paraId="34DE65EA"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0.046</w:t>
            </w:r>
          </w:p>
        </w:tc>
        <w:tc>
          <w:tcPr>
            <w:tcW w:w="1276" w:type="dxa"/>
            <w:shd w:val="clear" w:color="auto" w:fill="E5E5E5" w:themeFill="background1" w:themeFillTint="33"/>
            <w:noWrap/>
            <w:vAlign w:val="center"/>
            <w:hideMark/>
          </w:tcPr>
          <w:p w14:paraId="52F8871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0.029</w:t>
            </w:r>
          </w:p>
        </w:tc>
      </w:tr>
      <w:tr w:rsidR="00961617" w:rsidRPr="00545C7F" w14:paraId="6FCF33D0" w14:textId="77777777" w:rsidTr="0020771F">
        <w:trPr>
          <w:trHeight w:hRule="exact" w:val="289"/>
        </w:trPr>
        <w:tc>
          <w:tcPr>
            <w:tcW w:w="1149" w:type="dxa"/>
            <w:shd w:val="clear" w:color="000000" w:fill="FFFFFF"/>
            <w:noWrap/>
            <w:vAlign w:val="center"/>
            <w:hideMark/>
          </w:tcPr>
          <w:p w14:paraId="37CC8B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w:t>
            </w:r>
          </w:p>
        </w:tc>
        <w:tc>
          <w:tcPr>
            <w:tcW w:w="1418" w:type="dxa"/>
            <w:shd w:val="clear" w:color="000000" w:fill="FFFFFF"/>
            <w:noWrap/>
            <w:vAlign w:val="center"/>
            <w:hideMark/>
          </w:tcPr>
          <w:p w14:paraId="3D1206A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0.043</w:t>
            </w:r>
          </w:p>
        </w:tc>
        <w:tc>
          <w:tcPr>
            <w:tcW w:w="1276" w:type="dxa"/>
            <w:shd w:val="clear" w:color="000000" w:fill="FFFFFF"/>
            <w:noWrap/>
            <w:vAlign w:val="center"/>
            <w:hideMark/>
          </w:tcPr>
          <w:p w14:paraId="7796D0A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0.032</w:t>
            </w:r>
          </w:p>
        </w:tc>
      </w:tr>
      <w:tr w:rsidR="00961617" w:rsidRPr="00545C7F" w14:paraId="58DF9FE8" w14:textId="77777777" w:rsidTr="0020771F">
        <w:trPr>
          <w:trHeight w:hRule="exact" w:val="289"/>
        </w:trPr>
        <w:tc>
          <w:tcPr>
            <w:tcW w:w="1149" w:type="dxa"/>
            <w:shd w:val="clear" w:color="auto" w:fill="E5E5E5" w:themeFill="background1" w:themeFillTint="33"/>
            <w:noWrap/>
            <w:vAlign w:val="center"/>
            <w:hideMark/>
          </w:tcPr>
          <w:p w14:paraId="7B03A5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w:t>
            </w:r>
          </w:p>
        </w:tc>
        <w:tc>
          <w:tcPr>
            <w:tcW w:w="1418" w:type="dxa"/>
            <w:shd w:val="clear" w:color="auto" w:fill="E5E5E5" w:themeFill="background1" w:themeFillTint="33"/>
            <w:noWrap/>
            <w:vAlign w:val="center"/>
            <w:hideMark/>
          </w:tcPr>
          <w:p w14:paraId="55F9B17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0.042</w:t>
            </w:r>
          </w:p>
        </w:tc>
        <w:tc>
          <w:tcPr>
            <w:tcW w:w="1276" w:type="dxa"/>
            <w:shd w:val="clear" w:color="auto" w:fill="E5E5E5" w:themeFill="background1" w:themeFillTint="33"/>
            <w:noWrap/>
            <w:vAlign w:val="center"/>
            <w:hideMark/>
          </w:tcPr>
          <w:p w14:paraId="671983B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0.029</w:t>
            </w:r>
          </w:p>
        </w:tc>
      </w:tr>
      <w:tr w:rsidR="00961617" w:rsidRPr="00545C7F" w14:paraId="1A3BCDED" w14:textId="77777777" w:rsidTr="0020771F">
        <w:trPr>
          <w:trHeight w:hRule="exact" w:val="289"/>
        </w:trPr>
        <w:tc>
          <w:tcPr>
            <w:tcW w:w="1149" w:type="dxa"/>
            <w:shd w:val="clear" w:color="000000" w:fill="FFFFFF"/>
            <w:noWrap/>
            <w:vAlign w:val="center"/>
            <w:hideMark/>
          </w:tcPr>
          <w:p w14:paraId="160674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418" w:type="dxa"/>
            <w:shd w:val="clear" w:color="000000" w:fill="FFFFFF"/>
            <w:noWrap/>
            <w:vAlign w:val="center"/>
            <w:hideMark/>
          </w:tcPr>
          <w:p w14:paraId="10B41250"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0.042</w:t>
            </w:r>
          </w:p>
        </w:tc>
        <w:tc>
          <w:tcPr>
            <w:tcW w:w="1276" w:type="dxa"/>
            <w:shd w:val="clear" w:color="000000" w:fill="FFFFFF"/>
            <w:noWrap/>
            <w:vAlign w:val="center"/>
            <w:hideMark/>
          </w:tcPr>
          <w:p w14:paraId="672F3CC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0.030</w:t>
            </w:r>
          </w:p>
        </w:tc>
      </w:tr>
      <w:tr w:rsidR="00961617" w:rsidRPr="00545C7F" w14:paraId="62DA55F4" w14:textId="77777777" w:rsidTr="0020771F">
        <w:trPr>
          <w:trHeight w:hRule="exact" w:val="289"/>
        </w:trPr>
        <w:tc>
          <w:tcPr>
            <w:tcW w:w="1149" w:type="dxa"/>
            <w:shd w:val="clear" w:color="auto" w:fill="E5E5E5" w:themeFill="background1" w:themeFillTint="33"/>
            <w:noWrap/>
            <w:vAlign w:val="center"/>
            <w:hideMark/>
          </w:tcPr>
          <w:p w14:paraId="0357CD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w:t>
            </w:r>
          </w:p>
        </w:tc>
        <w:tc>
          <w:tcPr>
            <w:tcW w:w="1418" w:type="dxa"/>
            <w:shd w:val="clear" w:color="auto" w:fill="E5E5E5" w:themeFill="background1" w:themeFillTint="33"/>
            <w:noWrap/>
            <w:vAlign w:val="center"/>
            <w:hideMark/>
          </w:tcPr>
          <w:p w14:paraId="5A849661"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0.044</w:t>
            </w:r>
          </w:p>
        </w:tc>
        <w:tc>
          <w:tcPr>
            <w:tcW w:w="1276" w:type="dxa"/>
            <w:shd w:val="clear" w:color="auto" w:fill="E5E5E5" w:themeFill="background1" w:themeFillTint="33"/>
            <w:noWrap/>
            <w:vAlign w:val="center"/>
            <w:hideMark/>
          </w:tcPr>
          <w:p w14:paraId="2B89DC6F"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0.027</w:t>
            </w:r>
          </w:p>
        </w:tc>
      </w:tr>
      <w:tr w:rsidR="00961617" w:rsidRPr="00545C7F" w14:paraId="7425900F" w14:textId="77777777" w:rsidTr="0020771F">
        <w:trPr>
          <w:trHeight w:hRule="exact" w:val="289"/>
        </w:trPr>
        <w:tc>
          <w:tcPr>
            <w:tcW w:w="1149" w:type="dxa"/>
            <w:shd w:val="clear" w:color="000000" w:fill="FFFFFF"/>
            <w:noWrap/>
            <w:vAlign w:val="center"/>
            <w:hideMark/>
          </w:tcPr>
          <w:p w14:paraId="6D2064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w:t>
            </w:r>
          </w:p>
        </w:tc>
        <w:tc>
          <w:tcPr>
            <w:tcW w:w="1418" w:type="dxa"/>
            <w:shd w:val="clear" w:color="000000" w:fill="FFFFFF"/>
            <w:noWrap/>
            <w:vAlign w:val="center"/>
            <w:hideMark/>
          </w:tcPr>
          <w:p w14:paraId="0EB6D46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0.038</w:t>
            </w:r>
          </w:p>
        </w:tc>
        <w:tc>
          <w:tcPr>
            <w:tcW w:w="1276" w:type="dxa"/>
            <w:shd w:val="clear" w:color="000000" w:fill="FFFFFF"/>
            <w:noWrap/>
            <w:vAlign w:val="center"/>
            <w:hideMark/>
          </w:tcPr>
          <w:p w14:paraId="16FFF34D"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0.030</w:t>
            </w:r>
          </w:p>
        </w:tc>
      </w:tr>
      <w:tr w:rsidR="00961617" w:rsidRPr="00545C7F" w14:paraId="0CC885AC" w14:textId="77777777" w:rsidTr="0020771F">
        <w:trPr>
          <w:trHeight w:hRule="exact" w:val="289"/>
        </w:trPr>
        <w:tc>
          <w:tcPr>
            <w:tcW w:w="1149" w:type="dxa"/>
            <w:shd w:val="clear" w:color="auto" w:fill="E5E5E5" w:themeFill="background1" w:themeFillTint="33"/>
            <w:noWrap/>
            <w:vAlign w:val="center"/>
            <w:hideMark/>
          </w:tcPr>
          <w:p w14:paraId="60148D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w:t>
            </w:r>
          </w:p>
        </w:tc>
        <w:tc>
          <w:tcPr>
            <w:tcW w:w="1418" w:type="dxa"/>
            <w:shd w:val="clear" w:color="auto" w:fill="E5E5E5" w:themeFill="background1" w:themeFillTint="33"/>
            <w:noWrap/>
            <w:vAlign w:val="center"/>
            <w:hideMark/>
          </w:tcPr>
          <w:p w14:paraId="0F818F4C"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0.038</w:t>
            </w:r>
          </w:p>
        </w:tc>
        <w:tc>
          <w:tcPr>
            <w:tcW w:w="1276" w:type="dxa"/>
            <w:shd w:val="clear" w:color="auto" w:fill="E5E5E5" w:themeFill="background1" w:themeFillTint="33"/>
            <w:noWrap/>
            <w:vAlign w:val="center"/>
            <w:hideMark/>
          </w:tcPr>
          <w:p w14:paraId="7863192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0.025</w:t>
            </w:r>
          </w:p>
        </w:tc>
      </w:tr>
      <w:tr w:rsidR="00961617" w:rsidRPr="00545C7F" w14:paraId="58FF4BD8" w14:textId="77777777" w:rsidTr="0020771F">
        <w:trPr>
          <w:trHeight w:hRule="exact" w:val="289"/>
        </w:trPr>
        <w:tc>
          <w:tcPr>
            <w:tcW w:w="1149" w:type="dxa"/>
            <w:shd w:val="clear" w:color="000000" w:fill="FFFFFF"/>
            <w:noWrap/>
            <w:vAlign w:val="center"/>
            <w:hideMark/>
          </w:tcPr>
          <w:p w14:paraId="03BCDA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w:t>
            </w:r>
          </w:p>
        </w:tc>
        <w:tc>
          <w:tcPr>
            <w:tcW w:w="1418" w:type="dxa"/>
            <w:shd w:val="clear" w:color="000000" w:fill="FFFFFF"/>
            <w:noWrap/>
            <w:vAlign w:val="center"/>
            <w:hideMark/>
          </w:tcPr>
          <w:p w14:paraId="7F0D76A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0.038</w:t>
            </w:r>
          </w:p>
        </w:tc>
        <w:tc>
          <w:tcPr>
            <w:tcW w:w="1276" w:type="dxa"/>
            <w:shd w:val="clear" w:color="000000" w:fill="FFFFFF"/>
            <w:noWrap/>
            <w:vAlign w:val="center"/>
            <w:hideMark/>
          </w:tcPr>
          <w:p w14:paraId="428DE7B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0.026</w:t>
            </w:r>
          </w:p>
        </w:tc>
      </w:tr>
      <w:tr w:rsidR="00961617" w:rsidRPr="00545C7F" w14:paraId="232D6145" w14:textId="77777777" w:rsidTr="0020771F">
        <w:trPr>
          <w:trHeight w:hRule="exact" w:val="289"/>
        </w:trPr>
        <w:tc>
          <w:tcPr>
            <w:tcW w:w="1149" w:type="dxa"/>
            <w:shd w:val="clear" w:color="auto" w:fill="E5E5E5" w:themeFill="background1" w:themeFillTint="33"/>
            <w:noWrap/>
            <w:vAlign w:val="center"/>
            <w:hideMark/>
          </w:tcPr>
          <w:p w14:paraId="550D7A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w:t>
            </w:r>
          </w:p>
        </w:tc>
        <w:tc>
          <w:tcPr>
            <w:tcW w:w="1418" w:type="dxa"/>
            <w:shd w:val="clear" w:color="auto" w:fill="E5E5E5" w:themeFill="background1" w:themeFillTint="33"/>
            <w:noWrap/>
            <w:vAlign w:val="center"/>
            <w:hideMark/>
          </w:tcPr>
          <w:p w14:paraId="01283D8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0.037</w:t>
            </w:r>
          </w:p>
        </w:tc>
        <w:tc>
          <w:tcPr>
            <w:tcW w:w="1276" w:type="dxa"/>
            <w:shd w:val="clear" w:color="auto" w:fill="E5E5E5" w:themeFill="background1" w:themeFillTint="33"/>
            <w:noWrap/>
            <w:vAlign w:val="center"/>
            <w:hideMark/>
          </w:tcPr>
          <w:p w14:paraId="7FCE29FA"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0.024</w:t>
            </w:r>
          </w:p>
        </w:tc>
      </w:tr>
      <w:tr w:rsidR="00961617" w:rsidRPr="00545C7F" w14:paraId="7B524CDA" w14:textId="77777777" w:rsidTr="0020771F">
        <w:trPr>
          <w:trHeight w:hRule="exact" w:val="289"/>
        </w:trPr>
        <w:tc>
          <w:tcPr>
            <w:tcW w:w="1149" w:type="dxa"/>
            <w:shd w:val="clear" w:color="000000" w:fill="FFFFFF"/>
            <w:noWrap/>
            <w:vAlign w:val="center"/>
            <w:hideMark/>
          </w:tcPr>
          <w:p w14:paraId="1EF966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w:t>
            </w:r>
          </w:p>
        </w:tc>
        <w:tc>
          <w:tcPr>
            <w:tcW w:w="1418" w:type="dxa"/>
            <w:shd w:val="clear" w:color="000000" w:fill="FFFFFF"/>
            <w:noWrap/>
            <w:vAlign w:val="center"/>
            <w:hideMark/>
          </w:tcPr>
          <w:p w14:paraId="60DABBE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0.036</w:t>
            </w:r>
          </w:p>
        </w:tc>
        <w:tc>
          <w:tcPr>
            <w:tcW w:w="1276" w:type="dxa"/>
            <w:shd w:val="clear" w:color="000000" w:fill="FFFFFF"/>
            <w:noWrap/>
            <w:vAlign w:val="center"/>
            <w:hideMark/>
          </w:tcPr>
          <w:p w14:paraId="4266C2F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0.025</w:t>
            </w:r>
          </w:p>
        </w:tc>
      </w:tr>
      <w:tr w:rsidR="00961617" w:rsidRPr="00545C7F" w14:paraId="1577A705" w14:textId="77777777" w:rsidTr="0020771F">
        <w:trPr>
          <w:trHeight w:hRule="exact" w:val="289"/>
        </w:trPr>
        <w:tc>
          <w:tcPr>
            <w:tcW w:w="1149" w:type="dxa"/>
            <w:shd w:val="clear" w:color="auto" w:fill="E5E5E5" w:themeFill="background1" w:themeFillTint="33"/>
            <w:noWrap/>
            <w:vAlign w:val="center"/>
            <w:hideMark/>
          </w:tcPr>
          <w:p w14:paraId="1F5B40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418" w:type="dxa"/>
            <w:shd w:val="clear" w:color="auto" w:fill="E5E5E5" w:themeFill="background1" w:themeFillTint="33"/>
            <w:noWrap/>
            <w:vAlign w:val="center"/>
            <w:hideMark/>
          </w:tcPr>
          <w:p w14:paraId="0ABAF23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0.035</w:t>
            </w:r>
          </w:p>
        </w:tc>
        <w:tc>
          <w:tcPr>
            <w:tcW w:w="1276" w:type="dxa"/>
            <w:shd w:val="clear" w:color="auto" w:fill="E5E5E5" w:themeFill="background1" w:themeFillTint="33"/>
            <w:noWrap/>
            <w:vAlign w:val="center"/>
            <w:hideMark/>
          </w:tcPr>
          <w:p w14:paraId="40EB145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0.023</w:t>
            </w:r>
          </w:p>
        </w:tc>
      </w:tr>
      <w:tr w:rsidR="00961617" w:rsidRPr="00545C7F" w14:paraId="75A96A4E" w14:textId="77777777" w:rsidTr="0020771F">
        <w:trPr>
          <w:trHeight w:hRule="exact" w:val="289"/>
        </w:trPr>
        <w:tc>
          <w:tcPr>
            <w:tcW w:w="1149" w:type="dxa"/>
            <w:shd w:val="clear" w:color="000000" w:fill="FFFFFF"/>
            <w:noWrap/>
            <w:vAlign w:val="center"/>
            <w:hideMark/>
          </w:tcPr>
          <w:p w14:paraId="2A4F2F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418" w:type="dxa"/>
            <w:shd w:val="clear" w:color="000000" w:fill="FFFFFF"/>
            <w:noWrap/>
            <w:vAlign w:val="center"/>
            <w:hideMark/>
          </w:tcPr>
          <w:p w14:paraId="3AE7B6C9"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0.034</w:t>
            </w:r>
          </w:p>
        </w:tc>
        <w:tc>
          <w:tcPr>
            <w:tcW w:w="1276" w:type="dxa"/>
            <w:shd w:val="clear" w:color="000000" w:fill="FFFFFF"/>
            <w:noWrap/>
            <w:vAlign w:val="center"/>
            <w:hideMark/>
          </w:tcPr>
          <w:p w14:paraId="665C1548"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0.023</w:t>
            </w:r>
          </w:p>
        </w:tc>
      </w:tr>
      <w:tr w:rsidR="00961617" w:rsidRPr="00545C7F" w14:paraId="368E1183" w14:textId="77777777" w:rsidTr="0020771F">
        <w:trPr>
          <w:trHeight w:hRule="exact" w:val="289"/>
        </w:trPr>
        <w:tc>
          <w:tcPr>
            <w:tcW w:w="1149" w:type="dxa"/>
            <w:shd w:val="clear" w:color="auto" w:fill="E5E5E5" w:themeFill="background1" w:themeFillTint="33"/>
            <w:noWrap/>
            <w:vAlign w:val="center"/>
            <w:hideMark/>
          </w:tcPr>
          <w:p w14:paraId="7F603B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418" w:type="dxa"/>
            <w:shd w:val="clear" w:color="auto" w:fill="E5E5E5" w:themeFill="background1" w:themeFillTint="33"/>
            <w:noWrap/>
            <w:vAlign w:val="center"/>
            <w:hideMark/>
          </w:tcPr>
          <w:p w14:paraId="29E6F9A4"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c>
          <w:tcPr>
            <w:tcW w:w="1276" w:type="dxa"/>
            <w:shd w:val="clear" w:color="auto" w:fill="E5E5E5" w:themeFill="background1" w:themeFillTint="33"/>
            <w:noWrap/>
            <w:vAlign w:val="center"/>
            <w:hideMark/>
          </w:tcPr>
          <w:p w14:paraId="1D03D1A3"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0.022</w:t>
            </w:r>
          </w:p>
        </w:tc>
      </w:tr>
      <w:tr w:rsidR="00961617" w:rsidRPr="00545C7F" w14:paraId="4A7AB206" w14:textId="77777777" w:rsidTr="0020771F">
        <w:trPr>
          <w:trHeight w:hRule="exact" w:val="289"/>
        </w:trPr>
        <w:tc>
          <w:tcPr>
            <w:tcW w:w="1149" w:type="dxa"/>
            <w:shd w:val="clear" w:color="000000" w:fill="FFFFFF"/>
            <w:noWrap/>
            <w:vAlign w:val="center"/>
            <w:hideMark/>
          </w:tcPr>
          <w:p w14:paraId="0342AA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w:t>
            </w:r>
          </w:p>
        </w:tc>
        <w:tc>
          <w:tcPr>
            <w:tcW w:w="1418" w:type="dxa"/>
            <w:shd w:val="clear" w:color="000000" w:fill="FFFFFF"/>
            <w:noWrap/>
            <w:vAlign w:val="center"/>
            <w:hideMark/>
          </w:tcPr>
          <w:p w14:paraId="2F8F1246"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0.034</w:t>
            </w:r>
          </w:p>
        </w:tc>
        <w:tc>
          <w:tcPr>
            <w:tcW w:w="1276" w:type="dxa"/>
            <w:shd w:val="clear" w:color="000000" w:fill="FFFFFF"/>
            <w:noWrap/>
            <w:vAlign w:val="center"/>
            <w:hideMark/>
          </w:tcPr>
          <w:p w14:paraId="1EBCC26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0.023</w:t>
            </w:r>
          </w:p>
        </w:tc>
      </w:tr>
      <w:tr w:rsidR="00961617" w:rsidRPr="00545C7F" w14:paraId="17DBC6B7" w14:textId="77777777" w:rsidTr="0020771F">
        <w:trPr>
          <w:trHeight w:hRule="exact" w:val="289"/>
        </w:trPr>
        <w:tc>
          <w:tcPr>
            <w:tcW w:w="1149" w:type="dxa"/>
            <w:shd w:val="clear" w:color="auto" w:fill="E5E5E5" w:themeFill="background1" w:themeFillTint="33"/>
            <w:noWrap/>
            <w:vAlign w:val="center"/>
            <w:hideMark/>
          </w:tcPr>
          <w:p w14:paraId="600C6A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w:t>
            </w:r>
          </w:p>
        </w:tc>
        <w:tc>
          <w:tcPr>
            <w:tcW w:w="1418" w:type="dxa"/>
            <w:shd w:val="clear" w:color="auto" w:fill="E5E5E5" w:themeFill="background1" w:themeFillTint="33"/>
            <w:noWrap/>
            <w:vAlign w:val="center"/>
            <w:hideMark/>
          </w:tcPr>
          <w:p w14:paraId="575A72D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0.034</w:t>
            </w:r>
          </w:p>
        </w:tc>
        <w:tc>
          <w:tcPr>
            <w:tcW w:w="1276" w:type="dxa"/>
            <w:shd w:val="clear" w:color="auto" w:fill="E5E5E5" w:themeFill="background1" w:themeFillTint="33"/>
            <w:noWrap/>
            <w:vAlign w:val="center"/>
            <w:hideMark/>
          </w:tcPr>
          <w:p w14:paraId="43F48D41"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0.021</w:t>
            </w:r>
          </w:p>
        </w:tc>
      </w:tr>
      <w:tr w:rsidR="00961617" w:rsidRPr="00545C7F" w14:paraId="567ACB6E" w14:textId="77777777" w:rsidTr="0020771F">
        <w:trPr>
          <w:trHeight w:hRule="exact" w:val="289"/>
        </w:trPr>
        <w:tc>
          <w:tcPr>
            <w:tcW w:w="1149" w:type="dxa"/>
            <w:shd w:val="clear" w:color="000000" w:fill="FFFFFF"/>
            <w:noWrap/>
            <w:vAlign w:val="center"/>
            <w:hideMark/>
          </w:tcPr>
          <w:p w14:paraId="656314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w:t>
            </w:r>
          </w:p>
        </w:tc>
        <w:tc>
          <w:tcPr>
            <w:tcW w:w="1418" w:type="dxa"/>
            <w:shd w:val="clear" w:color="000000" w:fill="FFFFFF"/>
            <w:noWrap/>
            <w:vAlign w:val="center"/>
            <w:hideMark/>
          </w:tcPr>
          <w:p w14:paraId="251B162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0.032</w:t>
            </w:r>
          </w:p>
        </w:tc>
        <w:tc>
          <w:tcPr>
            <w:tcW w:w="1276" w:type="dxa"/>
            <w:shd w:val="clear" w:color="000000" w:fill="FFFFFF"/>
            <w:noWrap/>
            <w:vAlign w:val="center"/>
            <w:hideMark/>
          </w:tcPr>
          <w:p w14:paraId="1B2E338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0.021</w:t>
            </w:r>
          </w:p>
        </w:tc>
      </w:tr>
      <w:tr w:rsidR="00961617" w:rsidRPr="00545C7F" w14:paraId="0C520BAA" w14:textId="77777777" w:rsidTr="0020771F">
        <w:trPr>
          <w:trHeight w:hRule="exact" w:val="289"/>
        </w:trPr>
        <w:tc>
          <w:tcPr>
            <w:tcW w:w="1149" w:type="dxa"/>
            <w:shd w:val="clear" w:color="auto" w:fill="E5E5E5" w:themeFill="background1" w:themeFillTint="33"/>
            <w:noWrap/>
            <w:vAlign w:val="center"/>
            <w:hideMark/>
          </w:tcPr>
          <w:p w14:paraId="3FDB26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w:t>
            </w:r>
          </w:p>
        </w:tc>
        <w:tc>
          <w:tcPr>
            <w:tcW w:w="1418" w:type="dxa"/>
            <w:shd w:val="clear" w:color="auto" w:fill="E5E5E5" w:themeFill="background1" w:themeFillTint="33"/>
            <w:noWrap/>
            <w:vAlign w:val="center"/>
            <w:hideMark/>
          </w:tcPr>
          <w:p w14:paraId="55630F7E"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0.030</w:t>
            </w:r>
          </w:p>
        </w:tc>
        <w:tc>
          <w:tcPr>
            <w:tcW w:w="1276" w:type="dxa"/>
            <w:shd w:val="clear" w:color="auto" w:fill="E5E5E5" w:themeFill="background1" w:themeFillTint="33"/>
            <w:noWrap/>
            <w:vAlign w:val="center"/>
            <w:hideMark/>
          </w:tcPr>
          <w:p w14:paraId="545642E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0.019</w:t>
            </w:r>
          </w:p>
        </w:tc>
      </w:tr>
      <w:tr w:rsidR="00961617" w:rsidRPr="00545C7F" w14:paraId="6B573BFF" w14:textId="77777777" w:rsidTr="0020771F">
        <w:trPr>
          <w:trHeight w:hRule="exact" w:val="289"/>
        </w:trPr>
        <w:tc>
          <w:tcPr>
            <w:tcW w:w="1149" w:type="dxa"/>
            <w:shd w:val="clear" w:color="000000" w:fill="FFFFFF"/>
            <w:noWrap/>
            <w:vAlign w:val="center"/>
            <w:hideMark/>
          </w:tcPr>
          <w:p w14:paraId="429627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418" w:type="dxa"/>
            <w:shd w:val="clear" w:color="000000" w:fill="FFFFFF"/>
            <w:noWrap/>
            <w:vAlign w:val="center"/>
            <w:hideMark/>
          </w:tcPr>
          <w:p w14:paraId="1576B39F"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0.036</w:t>
            </w:r>
          </w:p>
        </w:tc>
        <w:tc>
          <w:tcPr>
            <w:tcW w:w="1276" w:type="dxa"/>
            <w:shd w:val="clear" w:color="000000" w:fill="FFFFFF"/>
            <w:noWrap/>
            <w:vAlign w:val="center"/>
            <w:hideMark/>
          </w:tcPr>
          <w:p w14:paraId="05D584E0"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0.021</w:t>
            </w:r>
          </w:p>
        </w:tc>
      </w:tr>
      <w:tr w:rsidR="00961617" w:rsidRPr="00545C7F" w14:paraId="690CC42C" w14:textId="77777777" w:rsidTr="0020771F">
        <w:trPr>
          <w:trHeight w:hRule="exact" w:val="289"/>
        </w:trPr>
        <w:tc>
          <w:tcPr>
            <w:tcW w:w="1149" w:type="dxa"/>
            <w:shd w:val="clear" w:color="auto" w:fill="E5E5E5" w:themeFill="background1" w:themeFillTint="33"/>
            <w:noWrap/>
            <w:vAlign w:val="center"/>
            <w:hideMark/>
          </w:tcPr>
          <w:p w14:paraId="0CA58F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w:t>
            </w:r>
          </w:p>
        </w:tc>
        <w:tc>
          <w:tcPr>
            <w:tcW w:w="1418" w:type="dxa"/>
            <w:shd w:val="clear" w:color="auto" w:fill="E5E5E5" w:themeFill="background1" w:themeFillTint="33"/>
            <w:noWrap/>
            <w:vAlign w:val="center"/>
            <w:hideMark/>
          </w:tcPr>
          <w:p w14:paraId="467C8172"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0.031</w:t>
            </w:r>
          </w:p>
        </w:tc>
        <w:tc>
          <w:tcPr>
            <w:tcW w:w="1276" w:type="dxa"/>
            <w:shd w:val="clear" w:color="auto" w:fill="E5E5E5" w:themeFill="background1" w:themeFillTint="33"/>
            <w:noWrap/>
            <w:vAlign w:val="center"/>
            <w:hideMark/>
          </w:tcPr>
          <w:p w14:paraId="317ED060"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0.021</w:t>
            </w:r>
          </w:p>
        </w:tc>
      </w:tr>
      <w:tr w:rsidR="00961617" w:rsidRPr="00545C7F" w14:paraId="30E52930" w14:textId="77777777" w:rsidTr="0020771F">
        <w:trPr>
          <w:trHeight w:hRule="exact" w:val="289"/>
        </w:trPr>
        <w:tc>
          <w:tcPr>
            <w:tcW w:w="1149" w:type="dxa"/>
            <w:shd w:val="clear" w:color="000000" w:fill="FFFFFF"/>
            <w:noWrap/>
            <w:vAlign w:val="center"/>
            <w:hideMark/>
          </w:tcPr>
          <w:p w14:paraId="29CEA8E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w:t>
            </w:r>
          </w:p>
        </w:tc>
        <w:tc>
          <w:tcPr>
            <w:tcW w:w="1418" w:type="dxa"/>
            <w:shd w:val="clear" w:color="000000" w:fill="FFFFFF"/>
            <w:noWrap/>
            <w:vAlign w:val="center"/>
            <w:hideMark/>
          </w:tcPr>
          <w:p w14:paraId="78323C05"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0.035</w:t>
            </w:r>
          </w:p>
        </w:tc>
        <w:tc>
          <w:tcPr>
            <w:tcW w:w="1276" w:type="dxa"/>
            <w:shd w:val="clear" w:color="000000" w:fill="FFFFFF"/>
            <w:noWrap/>
            <w:vAlign w:val="center"/>
            <w:hideMark/>
          </w:tcPr>
          <w:p w14:paraId="3A357C0F"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0.020</w:t>
            </w:r>
          </w:p>
        </w:tc>
      </w:tr>
      <w:tr w:rsidR="00961617" w:rsidRPr="00545C7F" w14:paraId="5454454C" w14:textId="77777777" w:rsidTr="0020771F">
        <w:trPr>
          <w:trHeight w:hRule="exact" w:val="289"/>
        </w:trPr>
        <w:tc>
          <w:tcPr>
            <w:tcW w:w="1149" w:type="dxa"/>
            <w:tcBorders>
              <w:bottom w:val="single" w:sz="4" w:space="0" w:color="auto"/>
            </w:tcBorders>
            <w:shd w:val="clear" w:color="auto" w:fill="E5E5E5" w:themeFill="background1" w:themeFillTint="33"/>
            <w:noWrap/>
            <w:vAlign w:val="center"/>
            <w:hideMark/>
          </w:tcPr>
          <w:p w14:paraId="6269D2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w:t>
            </w:r>
          </w:p>
        </w:tc>
        <w:tc>
          <w:tcPr>
            <w:tcW w:w="1418" w:type="dxa"/>
            <w:tcBorders>
              <w:bottom w:val="single" w:sz="4" w:space="0" w:color="auto"/>
            </w:tcBorders>
            <w:shd w:val="clear" w:color="auto" w:fill="E5E5E5" w:themeFill="background1" w:themeFillTint="33"/>
            <w:noWrap/>
            <w:vAlign w:val="center"/>
            <w:hideMark/>
          </w:tcPr>
          <w:p w14:paraId="10C9F84B"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0.033</w:t>
            </w:r>
          </w:p>
        </w:tc>
        <w:tc>
          <w:tcPr>
            <w:tcW w:w="1276" w:type="dxa"/>
            <w:tcBorders>
              <w:bottom w:val="single" w:sz="4" w:space="0" w:color="auto"/>
            </w:tcBorders>
            <w:shd w:val="clear" w:color="auto" w:fill="E5E5E5" w:themeFill="background1" w:themeFillTint="33"/>
            <w:noWrap/>
            <w:vAlign w:val="center"/>
            <w:hideMark/>
          </w:tcPr>
          <w:p w14:paraId="2F471097" w14:textId="77777777" w:rsidR="00961617" w:rsidRPr="00545C7F" w:rsidRDefault="00961617" w:rsidP="0020771F">
            <w:pPr>
              <w:spacing w:after="0" w:line="240" w:lineRule="auto"/>
              <w:ind w:right="146"/>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0.019</w:t>
            </w:r>
          </w:p>
        </w:tc>
      </w:tr>
    </w:tbl>
    <w:p w14:paraId="3FF369A6" w14:textId="77777777" w:rsidR="00961617" w:rsidRPr="002F5864" w:rsidRDefault="00961617" w:rsidP="0033478B">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w:t>
      </w:r>
    </w:p>
    <w:p w14:paraId="7828D480" w14:textId="77777777" w:rsidR="00961617" w:rsidRPr="002F5864" w:rsidRDefault="00864C5E" w:rsidP="00961617">
      <w:pPr>
        <w:spacing w:before="120"/>
        <w:rPr>
          <w:rFonts w:cstheme="minorHAnsi"/>
          <w:sz w:val="18"/>
          <w:szCs w:val="18"/>
        </w:rPr>
      </w:pPr>
      <w:hyperlink w:anchor="Place_A221" w:history="1">
        <w:r w:rsidR="00961617" w:rsidRPr="005F1335">
          <w:rPr>
            <w:rStyle w:val="Hyperlink"/>
            <w:rFonts w:cstheme="minorHAnsi"/>
            <w:sz w:val="18"/>
            <w:szCs w:val="18"/>
          </w:rPr>
          <w:t>Return to Figure 4.4</w:t>
        </w:r>
      </w:hyperlink>
      <w:r w:rsidR="00961617" w:rsidRPr="002F5864">
        <w:rPr>
          <w:rFonts w:cstheme="minorHAnsi"/>
          <w:sz w:val="18"/>
          <w:szCs w:val="18"/>
        </w:rPr>
        <w:t xml:space="preserve"> where this data is referenced.</w:t>
      </w:r>
    </w:p>
    <w:p w14:paraId="516D327A" w14:textId="77777777" w:rsidR="00961617" w:rsidRPr="002F5864" w:rsidRDefault="00961617" w:rsidP="00961617">
      <w:pPr>
        <w:rPr>
          <w:rFonts w:cstheme="minorHAnsi"/>
          <w:b/>
          <w:i/>
          <w:sz w:val="20"/>
        </w:rPr>
      </w:pPr>
      <w:r w:rsidRPr="002F5864">
        <w:rPr>
          <w:rFonts w:cstheme="minorHAnsi"/>
        </w:rPr>
        <w:br w:type="page"/>
      </w:r>
    </w:p>
    <w:p w14:paraId="65365573" w14:textId="77777777" w:rsidR="00961617" w:rsidRPr="002F5864" w:rsidRDefault="00961617" w:rsidP="00961617">
      <w:pPr>
        <w:pStyle w:val="TableheadingforappendixA1"/>
        <w:rPr>
          <w:rFonts w:cstheme="minorHAnsi"/>
        </w:rPr>
      </w:pPr>
      <w:bookmarkStart w:id="673" w:name="_Toc513129915"/>
      <w:r w:rsidRPr="002F5864">
        <w:rPr>
          <w:rFonts w:cstheme="minorHAnsi"/>
        </w:rPr>
        <w:t>Table A2.22: Median time in employment services, 2009 and 2012 Stream 1 servicing study populations (days)</w:t>
      </w:r>
      <w:bookmarkEnd w:id="667"/>
      <w:bookmarkEnd w:id="668"/>
      <w:bookmarkEnd w:id="669"/>
      <w:bookmarkEnd w:id="673"/>
      <w:r w:rsidRPr="002F5864">
        <w:rPr>
          <w:rFonts w:cstheme="minorHAnsi"/>
        </w:rPr>
        <w:t xml:space="preserve"> </w:t>
      </w:r>
    </w:p>
    <w:tbl>
      <w:tblPr>
        <w:tblStyle w:val="TableGrid"/>
        <w:tblW w:w="779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1276"/>
        <w:gridCol w:w="1275"/>
      </w:tblGrid>
      <w:tr w:rsidR="00961617" w:rsidRPr="00545C7F" w14:paraId="41D82CDF" w14:textId="77777777" w:rsidTr="00D20CB6">
        <w:trPr>
          <w:trHeight w:val="434"/>
          <w:tblHeader/>
        </w:trPr>
        <w:tc>
          <w:tcPr>
            <w:tcW w:w="5245" w:type="dxa"/>
            <w:shd w:val="clear" w:color="auto" w:fill="1E3D6B"/>
          </w:tcPr>
          <w:p w14:paraId="70790287" w14:textId="77777777" w:rsidR="00961617" w:rsidRPr="00545C7F" w:rsidRDefault="00961617" w:rsidP="0020771F">
            <w:pPr>
              <w:rPr>
                <w:rFonts w:eastAsiaTheme="majorEastAsia" w:cstheme="minorHAnsi"/>
                <w:b/>
                <w:color w:val="FFFFFF" w:themeColor="background2"/>
                <w:sz w:val="20"/>
                <w:szCs w:val="20"/>
              </w:rPr>
            </w:pPr>
            <w:bookmarkStart w:id="674" w:name="Title_A222"/>
            <w:bookmarkEnd w:id="674"/>
          </w:p>
        </w:tc>
        <w:tc>
          <w:tcPr>
            <w:tcW w:w="1276" w:type="dxa"/>
            <w:shd w:val="clear" w:color="auto" w:fill="1E3D6B"/>
            <w:vAlign w:val="center"/>
          </w:tcPr>
          <w:p w14:paraId="6D62E881" w14:textId="77777777" w:rsidR="00961617" w:rsidRPr="00545C7F" w:rsidRDefault="00961617" w:rsidP="0020771F">
            <w:pPr>
              <w:rPr>
                <w:rFonts w:eastAsiaTheme="majorEastAsia" w:cstheme="minorHAnsi"/>
                <w:b/>
                <w:color w:val="FFFFFF" w:themeColor="background2"/>
                <w:sz w:val="20"/>
                <w:szCs w:val="20"/>
              </w:rPr>
            </w:pPr>
            <w:r w:rsidRPr="00545C7F">
              <w:rPr>
                <w:rFonts w:eastAsiaTheme="majorEastAsia" w:cstheme="minorHAnsi"/>
                <w:b/>
                <w:color w:val="FFFFFF" w:themeColor="background2"/>
                <w:sz w:val="20"/>
                <w:szCs w:val="20"/>
              </w:rPr>
              <w:t>JSA 2009</w:t>
            </w:r>
          </w:p>
        </w:tc>
        <w:tc>
          <w:tcPr>
            <w:tcW w:w="1275" w:type="dxa"/>
            <w:shd w:val="clear" w:color="auto" w:fill="1E3D6B"/>
            <w:vAlign w:val="center"/>
          </w:tcPr>
          <w:p w14:paraId="067E999F" w14:textId="77777777" w:rsidR="00961617" w:rsidRPr="00545C7F" w:rsidRDefault="00961617" w:rsidP="0020771F">
            <w:pPr>
              <w:ind w:left="7"/>
              <w:rPr>
                <w:rFonts w:eastAsiaTheme="majorEastAsia" w:cstheme="minorHAnsi"/>
                <w:b/>
                <w:color w:val="FFFFFF" w:themeColor="background2"/>
                <w:sz w:val="20"/>
                <w:szCs w:val="20"/>
              </w:rPr>
            </w:pPr>
            <w:r w:rsidRPr="00545C7F">
              <w:rPr>
                <w:rFonts w:eastAsiaTheme="majorEastAsia" w:cstheme="minorHAnsi"/>
                <w:b/>
                <w:color w:val="FFFFFF" w:themeColor="background2"/>
                <w:sz w:val="20"/>
                <w:szCs w:val="20"/>
              </w:rPr>
              <w:t>JSA 2012</w:t>
            </w:r>
          </w:p>
        </w:tc>
      </w:tr>
      <w:tr w:rsidR="00961617" w:rsidRPr="00545C7F" w14:paraId="72BAAB90" w14:textId="77777777" w:rsidTr="0020771F">
        <w:trPr>
          <w:trHeight w:val="624"/>
        </w:trPr>
        <w:tc>
          <w:tcPr>
            <w:tcW w:w="5245" w:type="dxa"/>
            <w:vAlign w:val="center"/>
          </w:tcPr>
          <w:p w14:paraId="1D3E4520"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Males - other characteristics the same as reference job seeker except under 21 years old</w:t>
            </w:r>
          </w:p>
        </w:tc>
        <w:tc>
          <w:tcPr>
            <w:tcW w:w="1276" w:type="dxa"/>
            <w:vAlign w:val="center"/>
          </w:tcPr>
          <w:p w14:paraId="78EE957E"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107</w:t>
            </w:r>
          </w:p>
        </w:tc>
        <w:tc>
          <w:tcPr>
            <w:tcW w:w="1275" w:type="dxa"/>
            <w:vAlign w:val="center"/>
          </w:tcPr>
          <w:p w14:paraId="73E9FDCE"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127</w:t>
            </w:r>
          </w:p>
        </w:tc>
      </w:tr>
      <w:tr w:rsidR="00961617" w:rsidRPr="00545C7F" w14:paraId="02638E9D" w14:textId="77777777" w:rsidTr="0020771F">
        <w:trPr>
          <w:trHeight w:val="624"/>
        </w:trPr>
        <w:tc>
          <w:tcPr>
            <w:tcW w:w="5245" w:type="dxa"/>
            <w:shd w:val="clear" w:color="auto" w:fill="E5E5E5" w:themeFill="background1" w:themeFillTint="33"/>
            <w:vAlign w:val="center"/>
          </w:tcPr>
          <w:p w14:paraId="7E54AA85"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Males - other characteristics the same as reference job seeker except  21 to 24 years old</w:t>
            </w:r>
          </w:p>
        </w:tc>
        <w:tc>
          <w:tcPr>
            <w:tcW w:w="1276" w:type="dxa"/>
            <w:shd w:val="clear" w:color="auto" w:fill="E5E5E5" w:themeFill="background1" w:themeFillTint="33"/>
            <w:vAlign w:val="center"/>
          </w:tcPr>
          <w:p w14:paraId="111EB039"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110</w:t>
            </w:r>
          </w:p>
        </w:tc>
        <w:tc>
          <w:tcPr>
            <w:tcW w:w="1275" w:type="dxa"/>
            <w:shd w:val="clear" w:color="auto" w:fill="E5E5E5" w:themeFill="background1" w:themeFillTint="33"/>
            <w:vAlign w:val="center"/>
          </w:tcPr>
          <w:p w14:paraId="615B3094"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131</w:t>
            </w:r>
          </w:p>
        </w:tc>
      </w:tr>
      <w:tr w:rsidR="00961617" w:rsidRPr="00545C7F" w14:paraId="57DD0FD1" w14:textId="77777777" w:rsidTr="0020771F">
        <w:trPr>
          <w:trHeight w:val="624"/>
        </w:trPr>
        <w:tc>
          <w:tcPr>
            <w:tcW w:w="5245" w:type="dxa"/>
            <w:vAlign w:val="center"/>
          </w:tcPr>
          <w:p w14:paraId="4062BF47"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Males - other characteristics the same as reference job seeker except</w:t>
            </w:r>
            <w:r w:rsidRPr="00545C7F">
              <w:rPr>
                <w:rFonts w:eastAsiaTheme="majorEastAsia" w:cstheme="minorHAnsi"/>
                <w:b/>
                <w:sz w:val="20"/>
                <w:szCs w:val="20"/>
              </w:rPr>
              <w:t xml:space="preserve"> </w:t>
            </w:r>
            <w:r w:rsidRPr="00545C7F">
              <w:rPr>
                <w:rFonts w:eastAsiaTheme="majorEastAsia" w:cstheme="minorHAnsi"/>
                <w:sz w:val="20"/>
                <w:szCs w:val="20"/>
              </w:rPr>
              <w:t>35 to 49 years old</w:t>
            </w:r>
          </w:p>
        </w:tc>
        <w:tc>
          <w:tcPr>
            <w:tcW w:w="1276" w:type="dxa"/>
            <w:vAlign w:val="center"/>
          </w:tcPr>
          <w:p w14:paraId="2750E103"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112</w:t>
            </w:r>
          </w:p>
        </w:tc>
        <w:tc>
          <w:tcPr>
            <w:tcW w:w="1275" w:type="dxa"/>
            <w:vAlign w:val="center"/>
          </w:tcPr>
          <w:p w14:paraId="64D4EEE1"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135</w:t>
            </w:r>
          </w:p>
        </w:tc>
      </w:tr>
      <w:tr w:rsidR="00961617" w:rsidRPr="00545C7F" w14:paraId="3F709544" w14:textId="77777777" w:rsidTr="0020771F">
        <w:trPr>
          <w:trHeight w:val="624"/>
        </w:trPr>
        <w:tc>
          <w:tcPr>
            <w:tcW w:w="5245" w:type="dxa"/>
            <w:shd w:val="clear" w:color="auto" w:fill="E5E5E5" w:themeFill="background1" w:themeFillTint="33"/>
            <w:vAlign w:val="center"/>
          </w:tcPr>
          <w:p w14:paraId="56B4BC36"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Males - other characteristics the same as reference job seeker except 50 years or older</w:t>
            </w:r>
          </w:p>
        </w:tc>
        <w:tc>
          <w:tcPr>
            <w:tcW w:w="1276" w:type="dxa"/>
            <w:shd w:val="clear" w:color="auto" w:fill="E5E5E5" w:themeFill="background1" w:themeFillTint="33"/>
            <w:vAlign w:val="center"/>
          </w:tcPr>
          <w:p w14:paraId="6EA5440C"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114</w:t>
            </w:r>
          </w:p>
        </w:tc>
        <w:tc>
          <w:tcPr>
            <w:tcW w:w="1275" w:type="dxa"/>
            <w:shd w:val="clear" w:color="auto" w:fill="E5E5E5" w:themeFill="background1" w:themeFillTint="33"/>
            <w:vAlign w:val="center"/>
          </w:tcPr>
          <w:p w14:paraId="553077CB"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139</w:t>
            </w:r>
          </w:p>
        </w:tc>
      </w:tr>
      <w:tr w:rsidR="00961617" w:rsidRPr="00545C7F" w14:paraId="4211D500" w14:textId="77777777" w:rsidTr="0020771F">
        <w:trPr>
          <w:trHeight w:val="624"/>
        </w:trPr>
        <w:tc>
          <w:tcPr>
            <w:tcW w:w="5245" w:type="dxa"/>
            <w:vAlign w:val="center"/>
          </w:tcPr>
          <w:p w14:paraId="5D1B2878"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Females - other characteristics the same as reference job seeker except under 21 years old</w:t>
            </w:r>
          </w:p>
        </w:tc>
        <w:tc>
          <w:tcPr>
            <w:tcW w:w="1276" w:type="dxa"/>
            <w:vAlign w:val="center"/>
          </w:tcPr>
          <w:p w14:paraId="75EC6A78"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105</w:t>
            </w:r>
          </w:p>
        </w:tc>
        <w:tc>
          <w:tcPr>
            <w:tcW w:w="1275" w:type="dxa"/>
            <w:vAlign w:val="center"/>
          </w:tcPr>
          <w:p w14:paraId="09BD667F"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124</w:t>
            </w:r>
          </w:p>
        </w:tc>
      </w:tr>
      <w:tr w:rsidR="00961617" w:rsidRPr="00545C7F" w14:paraId="6297F2F6" w14:textId="77777777" w:rsidTr="0020771F">
        <w:trPr>
          <w:trHeight w:val="624"/>
        </w:trPr>
        <w:tc>
          <w:tcPr>
            <w:tcW w:w="5245" w:type="dxa"/>
            <w:shd w:val="clear" w:color="auto" w:fill="E5E5E5" w:themeFill="background1" w:themeFillTint="33"/>
            <w:vAlign w:val="center"/>
          </w:tcPr>
          <w:p w14:paraId="41254A0D"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Females - other characteristics the same as reference job seeker except 21 to 24 years old</w:t>
            </w:r>
          </w:p>
        </w:tc>
        <w:tc>
          <w:tcPr>
            <w:tcW w:w="1276" w:type="dxa"/>
            <w:shd w:val="clear" w:color="auto" w:fill="E5E5E5" w:themeFill="background1" w:themeFillTint="33"/>
            <w:vAlign w:val="center"/>
          </w:tcPr>
          <w:p w14:paraId="4E96A186"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102</w:t>
            </w:r>
          </w:p>
        </w:tc>
        <w:tc>
          <w:tcPr>
            <w:tcW w:w="1275" w:type="dxa"/>
            <w:shd w:val="clear" w:color="auto" w:fill="E5E5E5" w:themeFill="background1" w:themeFillTint="33"/>
            <w:vAlign w:val="center"/>
          </w:tcPr>
          <w:p w14:paraId="03BF727E"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121</w:t>
            </w:r>
          </w:p>
        </w:tc>
      </w:tr>
      <w:tr w:rsidR="00961617" w:rsidRPr="00545C7F" w14:paraId="0F17594F" w14:textId="77777777" w:rsidTr="0020771F">
        <w:trPr>
          <w:trHeight w:val="624"/>
        </w:trPr>
        <w:tc>
          <w:tcPr>
            <w:tcW w:w="5245" w:type="dxa"/>
            <w:vAlign w:val="center"/>
          </w:tcPr>
          <w:p w14:paraId="7A50A121"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Females - other characteristics the same as reference job seeker except 25 to 34 years old</w:t>
            </w:r>
          </w:p>
        </w:tc>
        <w:tc>
          <w:tcPr>
            <w:tcW w:w="1276" w:type="dxa"/>
            <w:vAlign w:val="center"/>
          </w:tcPr>
          <w:p w14:paraId="0242600F"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100</w:t>
            </w:r>
          </w:p>
        </w:tc>
        <w:tc>
          <w:tcPr>
            <w:tcW w:w="1275" w:type="dxa"/>
            <w:vAlign w:val="center"/>
          </w:tcPr>
          <w:p w14:paraId="476BD6AC"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119</w:t>
            </w:r>
          </w:p>
        </w:tc>
      </w:tr>
      <w:tr w:rsidR="00961617" w:rsidRPr="00545C7F" w14:paraId="4DA785FC" w14:textId="77777777" w:rsidTr="0020771F">
        <w:trPr>
          <w:trHeight w:val="624"/>
        </w:trPr>
        <w:tc>
          <w:tcPr>
            <w:tcW w:w="5245" w:type="dxa"/>
            <w:shd w:val="clear" w:color="auto" w:fill="E5E5E5" w:themeFill="background1" w:themeFillTint="33"/>
            <w:vAlign w:val="center"/>
          </w:tcPr>
          <w:p w14:paraId="0DC9E77F"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Females - other characteristics the same as reference job seeker except 35 to 49 years old</w:t>
            </w:r>
          </w:p>
        </w:tc>
        <w:tc>
          <w:tcPr>
            <w:tcW w:w="1276" w:type="dxa"/>
            <w:shd w:val="clear" w:color="auto" w:fill="E5E5E5" w:themeFill="background1" w:themeFillTint="33"/>
            <w:vAlign w:val="center"/>
          </w:tcPr>
          <w:p w14:paraId="15C2A4AB"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114</w:t>
            </w:r>
          </w:p>
        </w:tc>
        <w:tc>
          <w:tcPr>
            <w:tcW w:w="1275" w:type="dxa"/>
            <w:shd w:val="clear" w:color="auto" w:fill="E5E5E5" w:themeFill="background1" w:themeFillTint="33"/>
            <w:vAlign w:val="center"/>
          </w:tcPr>
          <w:p w14:paraId="6733EA11"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139</w:t>
            </w:r>
          </w:p>
        </w:tc>
      </w:tr>
      <w:tr w:rsidR="00961617" w:rsidRPr="00545C7F" w14:paraId="1EAA5990" w14:textId="77777777" w:rsidTr="0020771F">
        <w:trPr>
          <w:trHeight w:val="624"/>
        </w:trPr>
        <w:tc>
          <w:tcPr>
            <w:tcW w:w="5245" w:type="dxa"/>
            <w:vAlign w:val="center"/>
          </w:tcPr>
          <w:p w14:paraId="2ECBFF65"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Females - other characteristics the same as reference job seeker except 50 years or older</w:t>
            </w:r>
          </w:p>
        </w:tc>
        <w:tc>
          <w:tcPr>
            <w:tcW w:w="1276" w:type="dxa"/>
            <w:vAlign w:val="center"/>
          </w:tcPr>
          <w:p w14:paraId="6311A047"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119</w:t>
            </w:r>
          </w:p>
        </w:tc>
        <w:tc>
          <w:tcPr>
            <w:tcW w:w="1275" w:type="dxa"/>
            <w:vAlign w:val="center"/>
          </w:tcPr>
          <w:p w14:paraId="363EB4C9"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146</w:t>
            </w:r>
          </w:p>
        </w:tc>
      </w:tr>
      <w:tr w:rsidR="00961617" w:rsidRPr="00545C7F" w14:paraId="3AA19E12" w14:textId="77777777" w:rsidTr="0020771F">
        <w:trPr>
          <w:trHeight w:val="624"/>
        </w:trPr>
        <w:tc>
          <w:tcPr>
            <w:tcW w:w="5245" w:type="dxa"/>
            <w:shd w:val="clear" w:color="auto" w:fill="E5E5E5" w:themeFill="background1" w:themeFillTint="33"/>
            <w:vAlign w:val="center"/>
          </w:tcPr>
          <w:p w14:paraId="083ABB4A"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Single parents  - other characteristics the same as reference job seeker</w:t>
            </w:r>
          </w:p>
        </w:tc>
        <w:tc>
          <w:tcPr>
            <w:tcW w:w="1276" w:type="dxa"/>
            <w:shd w:val="clear" w:color="auto" w:fill="E5E5E5" w:themeFill="background1" w:themeFillTint="33"/>
            <w:vAlign w:val="center"/>
          </w:tcPr>
          <w:p w14:paraId="502FAE6B"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127</w:t>
            </w:r>
          </w:p>
        </w:tc>
        <w:tc>
          <w:tcPr>
            <w:tcW w:w="1275" w:type="dxa"/>
            <w:shd w:val="clear" w:color="auto" w:fill="E5E5E5" w:themeFill="background1" w:themeFillTint="33"/>
            <w:vAlign w:val="center"/>
          </w:tcPr>
          <w:p w14:paraId="504322FA"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160</w:t>
            </w:r>
          </w:p>
        </w:tc>
      </w:tr>
      <w:tr w:rsidR="00961617" w:rsidRPr="00545C7F" w14:paraId="320D4BAE" w14:textId="77777777" w:rsidTr="0020771F">
        <w:trPr>
          <w:trHeight w:val="624"/>
        </w:trPr>
        <w:tc>
          <w:tcPr>
            <w:tcW w:w="5245" w:type="dxa"/>
            <w:vAlign w:val="center"/>
          </w:tcPr>
          <w:p w14:paraId="6539FCCB"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 xml:space="preserve">Geographic location: other characteristics the same as reference job seeker except inner regional </w:t>
            </w:r>
          </w:p>
        </w:tc>
        <w:tc>
          <w:tcPr>
            <w:tcW w:w="1276" w:type="dxa"/>
            <w:vAlign w:val="center"/>
          </w:tcPr>
          <w:p w14:paraId="7CA3D2EE"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 xml:space="preserve">112 </w:t>
            </w:r>
          </w:p>
        </w:tc>
        <w:tc>
          <w:tcPr>
            <w:tcW w:w="1275" w:type="dxa"/>
            <w:vAlign w:val="center"/>
          </w:tcPr>
          <w:p w14:paraId="33DFF6D6"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 xml:space="preserve">134 </w:t>
            </w:r>
          </w:p>
        </w:tc>
      </w:tr>
      <w:tr w:rsidR="00961617" w:rsidRPr="00545C7F" w14:paraId="047FE2AE" w14:textId="77777777" w:rsidTr="0020771F">
        <w:trPr>
          <w:trHeight w:val="624"/>
        </w:trPr>
        <w:tc>
          <w:tcPr>
            <w:tcW w:w="5245" w:type="dxa"/>
            <w:shd w:val="clear" w:color="auto" w:fill="E5E5E5" w:themeFill="background1" w:themeFillTint="33"/>
            <w:vAlign w:val="center"/>
          </w:tcPr>
          <w:p w14:paraId="431D272E"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Geographic location: other characteristics the same as reference job seeker except outer regional</w:t>
            </w:r>
          </w:p>
        </w:tc>
        <w:tc>
          <w:tcPr>
            <w:tcW w:w="1276" w:type="dxa"/>
            <w:shd w:val="clear" w:color="auto" w:fill="E5E5E5" w:themeFill="background1" w:themeFillTint="33"/>
            <w:vAlign w:val="center"/>
          </w:tcPr>
          <w:p w14:paraId="5074E8CD"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 xml:space="preserve">108 </w:t>
            </w:r>
          </w:p>
        </w:tc>
        <w:tc>
          <w:tcPr>
            <w:tcW w:w="1275" w:type="dxa"/>
            <w:shd w:val="clear" w:color="auto" w:fill="E5E5E5" w:themeFill="background1" w:themeFillTint="33"/>
            <w:vAlign w:val="center"/>
          </w:tcPr>
          <w:p w14:paraId="3013D930"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 xml:space="preserve">128 </w:t>
            </w:r>
          </w:p>
        </w:tc>
      </w:tr>
      <w:tr w:rsidR="00961617" w:rsidRPr="00545C7F" w14:paraId="6871E578" w14:textId="77777777" w:rsidTr="0020771F">
        <w:trPr>
          <w:trHeight w:val="624"/>
        </w:trPr>
        <w:tc>
          <w:tcPr>
            <w:tcW w:w="5245" w:type="dxa"/>
            <w:vAlign w:val="center"/>
          </w:tcPr>
          <w:p w14:paraId="3927D154"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Level of education: other characteristics the same as reference job seeker except Year 10/11 education</w:t>
            </w:r>
          </w:p>
        </w:tc>
        <w:tc>
          <w:tcPr>
            <w:tcW w:w="1276" w:type="dxa"/>
            <w:vAlign w:val="center"/>
          </w:tcPr>
          <w:p w14:paraId="47964C1F"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112</w:t>
            </w:r>
          </w:p>
        </w:tc>
        <w:tc>
          <w:tcPr>
            <w:tcW w:w="1275" w:type="dxa"/>
            <w:vAlign w:val="center"/>
          </w:tcPr>
          <w:p w14:paraId="6BF31B79"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134</w:t>
            </w:r>
          </w:p>
        </w:tc>
      </w:tr>
      <w:tr w:rsidR="00961617" w:rsidRPr="00545C7F" w14:paraId="485082A0" w14:textId="77777777" w:rsidTr="0020771F">
        <w:trPr>
          <w:trHeight w:val="624"/>
        </w:trPr>
        <w:tc>
          <w:tcPr>
            <w:tcW w:w="5245" w:type="dxa"/>
            <w:shd w:val="clear" w:color="auto" w:fill="E5E5E5" w:themeFill="background1" w:themeFillTint="33"/>
            <w:vAlign w:val="center"/>
          </w:tcPr>
          <w:p w14:paraId="747D17D0"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Level of education: other characteristics the same as reference job seeker except Year 12 education</w:t>
            </w:r>
          </w:p>
        </w:tc>
        <w:tc>
          <w:tcPr>
            <w:tcW w:w="1276" w:type="dxa"/>
            <w:shd w:val="clear" w:color="auto" w:fill="E5E5E5" w:themeFill="background1" w:themeFillTint="33"/>
            <w:vAlign w:val="center"/>
          </w:tcPr>
          <w:p w14:paraId="7E0783FD"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110</w:t>
            </w:r>
          </w:p>
        </w:tc>
        <w:tc>
          <w:tcPr>
            <w:tcW w:w="1275" w:type="dxa"/>
            <w:shd w:val="clear" w:color="auto" w:fill="E5E5E5" w:themeFill="background1" w:themeFillTint="33"/>
            <w:vAlign w:val="center"/>
          </w:tcPr>
          <w:p w14:paraId="015F83D0"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132</w:t>
            </w:r>
          </w:p>
        </w:tc>
      </w:tr>
      <w:tr w:rsidR="00961617" w:rsidRPr="00545C7F" w14:paraId="01655221" w14:textId="77777777" w:rsidTr="0020771F">
        <w:trPr>
          <w:trHeight w:val="624"/>
        </w:trPr>
        <w:tc>
          <w:tcPr>
            <w:tcW w:w="5245" w:type="dxa"/>
            <w:vAlign w:val="center"/>
          </w:tcPr>
          <w:p w14:paraId="53B01994"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Level of education: other characteristics the same as reference job seeker except degree/post graduate education</w:t>
            </w:r>
          </w:p>
        </w:tc>
        <w:tc>
          <w:tcPr>
            <w:tcW w:w="1276" w:type="dxa"/>
            <w:vAlign w:val="center"/>
          </w:tcPr>
          <w:p w14:paraId="25D225D3"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100</w:t>
            </w:r>
          </w:p>
        </w:tc>
        <w:tc>
          <w:tcPr>
            <w:tcW w:w="1275" w:type="dxa"/>
            <w:vAlign w:val="center"/>
          </w:tcPr>
          <w:p w14:paraId="0A01C814"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118</w:t>
            </w:r>
          </w:p>
        </w:tc>
      </w:tr>
      <w:tr w:rsidR="00961617" w:rsidRPr="00545C7F" w14:paraId="19CE5288" w14:textId="77777777" w:rsidTr="0020771F">
        <w:trPr>
          <w:trHeight w:val="624"/>
        </w:trPr>
        <w:tc>
          <w:tcPr>
            <w:tcW w:w="5245" w:type="dxa"/>
            <w:shd w:val="clear" w:color="auto" w:fill="E5E5E5" w:themeFill="background1" w:themeFillTint="33"/>
            <w:vAlign w:val="center"/>
          </w:tcPr>
          <w:p w14:paraId="270C6B92"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 xml:space="preserve">Has disability - other characteristics the same as reference job  seeker </w:t>
            </w:r>
          </w:p>
        </w:tc>
        <w:tc>
          <w:tcPr>
            <w:tcW w:w="1276" w:type="dxa"/>
            <w:shd w:val="clear" w:color="auto" w:fill="E5E5E5" w:themeFill="background1" w:themeFillTint="33"/>
            <w:vAlign w:val="center"/>
          </w:tcPr>
          <w:p w14:paraId="228780A1"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128</w:t>
            </w:r>
          </w:p>
        </w:tc>
        <w:tc>
          <w:tcPr>
            <w:tcW w:w="1275" w:type="dxa"/>
            <w:shd w:val="clear" w:color="auto" w:fill="E5E5E5" w:themeFill="background1" w:themeFillTint="33"/>
            <w:vAlign w:val="center"/>
          </w:tcPr>
          <w:p w14:paraId="435E757F"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161</w:t>
            </w:r>
          </w:p>
        </w:tc>
      </w:tr>
      <w:tr w:rsidR="00961617" w:rsidRPr="00545C7F" w14:paraId="1756E135" w14:textId="77777777" w:rsidTr="0020771F">
        <w:trPr>
          <w:trHeight w:val="624"/>
        </w:trPr>
        <w:tc>
          <w:tcPr>
            <w:tcW w:w="5245" w:type="dxa"/>
            <w:vAlign w:val="center"/>
          </w:tcPr>
          <w:p w14:paraId="1B40EED8" w14:textId="77777777" w:rsidR="00961617" w:rsidRPr="00545C7F" w:rsidRDefault="00961617" w:rsidP="0020771F">
            <w:pPr>
              <w:rPr>
                <w:rFonts w:eastAsiaTheme="majorEastAsia" w:cstheme="minorHAnsi"/>
                <w:b/>
                <w:i/>
                <w:sz w:val="20"/>
                <w:szCs w:val="20"/>
              </w:rPr>
            </w:pPr>
            <w:r w:rsidRPr="00545C7F">
              <w:rPr>
                <w:rFonts w:eastAsiaTheme="majorEastAsia" w:cstheme="minorHAnsi"/>
                <w:sz w:val="20"/>
                <w:szCs w:val="20"/>
              </w:rPr>
              <w:t>Country of birth: other characteristics the same as reference job seeker except medium disadvantage country of birth</w:t>
            </w:r>
          </w:p>
        </w:tc>
        <w:tc>
          <w:tcPr>
            <w:tcW w:w="1276" w:type="dxa"/>
            <w:vAlign w:val="center"/>
          </w:tcPr>
          <w:p w14:paraId="25179A3B"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117</w:t>
            </w:r>
          </w:p>
        </w:tc>
        <w:tc>
          <w:tcPr>
            <w:tcW w:w="1275" w:type="dxa"/>
            <w:vAlign w:val="center"/>
          </w:tcPr>
          <w:p w14:paraId="15848109" w14:textId="77777777" w:rsidR="00961617" w:rsidRPr="00545C7F" w:rsidRDefault="00961617" w:rsidP="0020771F">
            <w:pPr>
              <w:ind w:left="284"/>
              <w:rPr>
                <w:rFonts w:eastAsiaTheme="majorEastAsia" w:cstheme="minorHAnsi"/>
                <w:sz w:val="20"/>
                <w:szCs w:val="20"/>
              </w:rPr>
            </w:pPr>
            <w:r w:rsidRPr="00545C7F">
              <w:rPr>
                <w:rFonts w:eastAsiaTheme="majorEastAsia" w:cstheme="minorHAnsi"/>
                <w:sz w:val="20"/>
                <w:szCs w:val="20"/>
              </w:rPr>
              <w:t>142</w:t>
            </w:r>
          </w:p>
        </w:tc>
      </w:tr>
      <w:tr w:rsidR="00961617" w:rsidRPr="00545C7F" w14:paraId="3217F470" w14:textId="77777777" w:rsidTr="0020771F">
        <w:trPr>
          <w:trHeight w:val="624"/>
        </w:trPr>
        <w:tc>
          <w:tcPr>
            <w:tcW w:w="5245" w:type="dxa"/>
            <w:shd w:val="clear" w:color="auto" w:fill="E5E5E5" w:themeFill="background1" w:themeFillTint="33"/>
            <w:vAlign w:val="center"/>
          </w:tcPr>
          <w:p w14:paraId="7B0A64CC" w14:textId="77777777" w:rsidR="00961617" w:rsidRPr="00545C7F" w:rsidRDefault="00961617" w:rsidP="0020771F">
            <w:pPr>
              <w:rPr>
                <w:rFonts w:eastAsiaTheme="majorEastAsia" w:cstheme="minorHAnsi"/>
                <w:b/>
                <w:i/>
                <w:sz w:val="20"/>
                <w:szCs w:val="20"/>
              </w:rPr>
            </w:pPr>
            <w:r w:rsidRPr="00545C7F">
              <w:rPr>
                <w:rFonts w:eastAsiaTheme="majorEastAsia" w:cstheme="minorHAnsi"/>
                <w:sz w:val="20"/>
                <w:szCs w:val="20"/>
              </w:rPr>
              <w:t>Country of birth: other characteristics the same as reference job seeker except high disadvantage country of birth</w:t>
            </w:r>
          </w:p>
        </w:tc>
        <w:tc>
          <w:tcPr>
            <w:tcW w:w="1276" w:type="dxa"/>
            <w:shd w:val="clear" w:color="auto" w:fill="E5E5E5" w:themeFill="background1" w:themeFillTint="33"/>
            <w:vAlign w:val="center"/>
          </w:tcPr>
          <w:p w14:paraId="58C9EF4D"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125</w:t>
            </w:r>
          </w:p>
        </w:tc>
        <w:tc>
          <w:tcPr>
            <w:tcW w:w="1275" w:type="dxa"/>
            <w:shd w:val="clear" w:color="auto" w:fill="E5E5E5" w:themeFill="background1" w:themeFillTint="33"/>
            <w:vAlign w:val="center"/>
          </w:tcPr>
          <w:p w14:paraId="55EE4D4A" w14:textId="77777777" w:rsidR="00961617" w:rsidRPr="00545C7F" w:rsidRDefault="00961617" w:rsidP="0020771F">
            <w:pPr>
              <w:ind w:left="284"/>
              <w:rPr>
                <w:rFonts w:eastAsiaTheme="majorEastAsia" w:cstheme="minorHAnsi"/>
                <w:sz w:val="20"/>
                <w:szCs w:val="20"/>
              </w:rPr>
            </w:pPr>
            <w:r w:rsidRPr="00545C7F">
              <w:rPr>
                <w:rFonts w:eastAsiaTheme="majorEastAsia" w:cstheme="minorHAnsi"/>
                <w:sz w:val="20"/>
                <w:szCs w:val="20"/>
              </w:rPr>
              <w:t>155</w:t>
            </w:r>
          </w:p>
        </w:tc>
      </w:tr>
      <w:tr w:rsidR="00961617" w:rsidRPr="00545C7F" w14:paraId="445BDB80" w14:textId="77777777" w:rsidTr="0020771F">
        <w:trPr>
          <w:trHeight w:val="624"/>
        </w:trPr>
        <w:tc>
          <w:tcPr>
            <w:tcW w:w="5245" w:type="dxa"/>
            <w:shd w:val="clear" w:color="auto" w:fill="8EAEDE"/>
            <w:vAlign w:val="center"/>
          </w:tcPr>
          <w:p w14:paraId="5C093D62" w14:textId="77777777" w:rsidR="00961617" w:rsidRPr="00545C7F" w:rsidRDefault="00961617" w:rsidP="0020771F">
            <w:pPr>
              <w:rPr>
                <w:rFonts w:eastAsiaTheme="majorEastAsia" w:cstheme="minorHAnsi"/>
                <w:sz w:val="20"/>
                <w:szCs w:val="20"/>
              </w:rPr>
            </w:pPr>
            <w:r w:rsidRPr="00545C7F">
              <w:rPr>
                <w:rFonts w:eastAsiaTheme="majorEastAsia" w:cstheme="minorHAnsi"/>
                <w:sz w:val="20"/>
                <w:szCs w:val="20"/>
              </w:rPr>
              <w:t>Reference job seeker (males, 25 to 24 years old)</w:t>
            </w:r>
          </w:p>
        </w:tc>
        <w:tc>
          <w:tcPr>
            <w:tcW w:w="1276" w:type="dxa"/>
            <w:shd w:val="clear" w:color="auto" w:fill="8EAEDE"/>
            <w:vAlign w:val="center"/>
          </w:tcPr>
          <w:p w14:paraId="6984CA7E"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109</w:t>
            </w:r>
          </w:p>
        </w:tc>
        <w:tc>
          <w:tcPr>
            <w:tcW w:w="1275" w:type="dxa"/>
            <w:shd w:val="clear" w:color="auto" w:fill="8EAEDE"/>
            <w:vAlign w:val="center"/>
          </w:tcPr>
          <w:p w14:paraId="26592136" w14:textId="77777777" w:rsidR="00961617" w:rsidRPr="00545C7F" w:rsidRDefault="00961617" w:rsidP="0020771F">
            <w:pPr>
              <w:ind w:left="346"/>
              <w:rPr>
                <w:rFonts w:eastAsiaTheme="majorEastAsia" w:cstheme="minorHAnsi"/>
                <w:sz w:val="20"/>
                <w:szCs w:val="20"/>
              </w:rPr>
            </w:pPr>
            <w:r w:rsidRPr="00545C7F">
              <w:rPr>
                <w:rFonts w:eastAsiaTheme="majorEastAsia" w:cstheme="minorHAnsi"/>
                <w:sz w:val="20"/>
                <w:szCs w:val="20"/>
              </w:rPr>
              <w:t>130</w:t>
            </w:r>
          </w:p>
        </w:tc>
      </w:tr>
    </w:tbl>
    <w:p w14:paraId="130090E6" w14:textId="77777777" w:rsidR="00961617" w:rsidRPr="002F5864" w:rsidRDefault="00961617" w:rsidP="00961617">
      <w:pPr>
        <w:pStyle w:val="FootnoteText"/>
        <w:keepNext/>
        <w:rPr>
          <w:rFonts w:eastAsia="Times New Roman" w:cstheme="minorHAnsi"/>
          <w:b/>
          <w:lang w:eastAsia="en-AU"/>
        </w:rPr>
      </w:pPr>
      <w:r w:rsidRPr="002F5864">
        <w:rPr>
          <w:rFonts w:eastAsia="Times New Roman" w:cstheme="minorHAnsi"/>
          <w:b/>
          <w:lang w:eastAsia="en-AU"/>
        </w:rPr>
        <w:t>Notes:</w:t>
      </w:r>
    </w:p>
    <w:p w14:paraId="17C38167" w14:textId="77777777" w:rsidR="00AE501D" w:rsidRDefault="00AE501D" w:rsidP="00AE501D">
      <w:pPr>
        <w:pStyle w:val="Notesnumbered"/>
        <w:numPr>
          <w:ilvl w:val="0"/>
          <w:numId w:val="269"/>
        </w:numPr>
      </w:pPr>
      <w:r w:rsidRPr="002F5864">
        <w:t xml:space="preserve">These results are regressed, controlling for job seeker and labour market characteristics during the two reference periods </w:t>
      </w:r>
    </w:p>
    <w:p w14:paraId="42480896" w14:textId="77777777" w:rsidR="00961617" w:rsidRPr="002F5864" w:rsidRDefault="00961617" w:rsidP="00AE501D">
      <w:pPr>
        <w:pStyle w:val="Notesnumbered"/>
        <w:numPr>
          <w:ilvl w:val="0"/>
          <w:numId w:val="269"/>
        </w:numPr>
      </w:pPr>
      <w:r w:rsidRPr="002F5864">
        <w:t xml:space="preserve">The </w:t>
      </w:r>
      <w:r w:rsidRPr="00AE501D">
        <w:t>reference</w:t>
      </w:r>
      <w:r w:rsidRPr="002F5864">
        <w:t xml:space="preserve"> job seeker is: </w:t>
      </w:r>
    </w:p>
    <w:p w14:paraId="607E36DC" w14:textId="77777777" w:rsidR="00961617" w:rsidRPr="002F5864" w:rsidRDefault="00961617" w:rsidP="00E13B5E">
      <w:pPr>
        <w:pStyle w:val="FootnoteText"/>
        <w:numPr>
          <w:ilvl w:val="0"/>
          <w:numId w:val="25"/>
        </w:numPr>
        <w:ind w:left="814"/>
        <w:rPr>
          <w:rFonts w:cstheme="minorHAnsi"/>
        </w:rPr>
      </w:pPr>
      <w:r w:rsidRPr="002F5864">
        <w:rPr>
          <w:rFonts w:cstheme="minorHAnsi"/>
        </w:rPr>
        <w:t>being serviced under JSA 2009</w:t>
      </w:r>
    </w:p>
    <w:p w14:paraId="650B83FD" w14:textId="77777777" w:rsidR="00961617" w:rsidRPr="002F5864" w:rsidRDefault="00961617" w:rsidP="00E13B5E">
      <w:pPr>
        <w:pStyle w:val="FootnoteText"/>
        <w:numPr>
          <w:ilvl w:val="0"/>
          <w:numId w:val="25"/>
        </w:numPr>
        <w:ind w:left="814"/>
        <w:rPr>
          <w:rFonts w:cstheme="minorHAnsi"/>
        </w:rPr>
      </w:pPr>
      <w:r w:rsidRPr="002F5864">
        <w:rPr>
          <w:rFonts w:cstheme="minorHAnsi"/>
        </w:rPr>
        <w:t>male</w:t>
      </w:r>
    </w:p>
    <w:p w14:paraId="05D37A99" w14:textId="77777777" w:rsidR="00961617" w:rsidRPr="002F5864" w:rsidRDefault="00961617" w:rsidP="00E13B5E">
      <w:pPr>
        <w:pStyle w:val="FootnoteText"/>
        <w:numPr>
          <w:ilvl w:val="0"/>
          <w:numId w:val="25"/>
        </w:numPr>
        <w:ind w:left="814"/>
        <w:rPr>
          <w:rFonts w:cstheme="minorHAnsi"/>
        </w:rPr>
      </w:pPr>
      <w:r w:rsidRPr="002F5864">
        <w:rPr>
          <w:rFonts w:cstheme="minorHAnsi"/>
        </w:rPr>
        <w:t>aged 25 to 34 years of age</w:t>
      </w:r>
    </w:p>
    <w:p w14:paraId="1D12F276" w14:textId="77777777" w:rsidR="00961617" w:rsidRPr="002F5864" w:rsidRDefault="00961617" w:rsidP="00E13B5E">
      <w:pPr>
        <w:pStyle w:val="FootnoteText"/>
        <w:numPr>
          <w:ilvl w:val="0"/>
          <w:numId w:val="25"/>
        </w:numPr>
        <w:ind w:left="814"/>
        <w:rPr>
          <w:rFonts w:cstheme="minorHAnsi"/>
        </w:rPr>
      </w:pPr>
      <w:r w:rsidRPr="002F5864">
        <w:rPr>
          <w:rFonts w:cstheme="minorHAnsi"/>
        </w:rPr>
        <w:t>lives in  a major city</w:t>
      </w:r>
    </w:p>
    <w:p w14:paraId="7AEC5927" w14:textId="77777777" w:rsidR="00961617" w:rsidRPr="002F5864" w:rsidRDefault="00961617" w:rsidP="00E13B5E">
      <w:pPr>
        <w:pStyle w:val="FootnoteText"/>
        <w:numPr>
          <w:ilvl w:val="0"/>
          <w:numId w:val="25"/>
        </w:numPr>
        <w:ind w:left="814"/>
        <w:rPr>
          <w:rFonts w:cstheme="minorHAnsi"/>
        </w:rPr>
      </w:pPr>
      <w:r w:rsidRPr="002F5864">
        <w:rPr>
          <w:rFonts w:cstheme="minorHAnsi"/>
        </w:rPr>
        <w:t>not Indigenous</w:t>
      </w:r>
    </w:p>
    <w:p w14:paraId="58252786" w14:textId="77777777" w:rsidR="00961617" w:rsidRPr="002F5864" w:rsidRDefault="00961617" w:rsidP="00E13B5E">
      <w:pPr>
        <w:pStyle w:val="FootnoteText"/>
        <w:numPr>
          <w:ilvl w:val="0"/>
          <w:numId w:val="24"/>
        </w:numPr>
        <w:ind w:left="814"/>
        <w:rPr>
          <w:rFonts w:cstheme="minorHAnsi"/>
        </w:rPr>
      </w:pPr>
      <w:r w:rsidRPr="002F5864">
        <w:rPr>
          <w:rFonts w:cstheme="minorHAnsi"/>
        </w:rPr>
        <w:t>without disability</w:t>
      </w:r>
    </w:p>
    <w:p w14:paraId="246A3159" w14:textId="77777777" w:rsidR="00961617" w:rsidRPr="002F5864" w:rsidRDefault="00961617" w:rsidP="00E13B5E">
      <w:pPr>
        <w:pStyle w:val="FootnoteText"/>
        <w:numPr>
          <w:ilvl w:val="0"/>
          <w:numId w:val="24"/>
        </w:numPr>
        <w:ind w:left="814"/>
        <w:rPr>
          <w:rFonts w:cstheme="minorHAnsi"/>
        </w:rPr>
      </w:pPr>
      <w:r w:rsidRPr="002F5864">
        <w:rPr>
          <w:rFonts w:cstheme="minorHAnsi"/>
        </w:rPr>
        <w:t>born in a country of very low/low disadvantage</w:t>
      </w:r>
    </w:p>
    <w:p w14:paraId="18F3EBDE" w14:textId="77777777" w:rsidR="00961617" w:rsidRPr="002F5864" w:rsidRDefault="00961617" w:rsidP="00E13B5E">
      <w:pPr>
        <w:pStyle w:val="FootnoteText"/>
        <w:numPr>
          <w:ilvl w:val="0"/>
          <w:numId w:val="24"/>
        </w:numPr>
        <w:ind w:left="814"/>
        <w:rPr>
          <w:rFonts w:cstheme="minorHAnsi"/>
        </w:rPr>
      </w:pPr>
      <w:r w:rsidRPr="002F5864">
        <w:rPr>
          <w:rFonts w:cstheme="minorHAnsi"/>
        </w:rPr>
        <w:t>highest level of education is TAFE/Diploma</w:t>
      </w:r>
    </w:p>
    <w:p w14:paraId="60AC5087" w14:textId="77777777" w:rsidR="00961617" w:rsidRPr="002F5864" w:rsidRDefault="00961617" w:rsidP="00E13B5E">
      <w:pPr>
        <w:pStyle w:val="FootnoteText"/>
        <w:numPr>
          <w:ilvl w:val="0"/>
          <w:numId w:val="24"/>
        </w:numPr>
        <w:ind w:left="814"/>
        <w:rPr>
          <w:rFonts w:cstheme="minorHAnsi"/>
        </w:rPr>
      </w:pPr>
      <w:r w:rsidRPr="002F5864">
        <w:rPr>
          <w:rFonts w:cstheme="minorHAnsi"/>
        </w:rPr>
        <w:t>has useful vocational qualifications</w:t>
      </w:r>
    </w:p>
    <w:p w14:paraId="4D9A43AD" w14:textId="77777777" w:rsidR="00961617" w:rsidRPr="002F5864" w:rsidRDefault="00961617" w:rsidP="00E13B5E">
      <w:pPr>
        <w:pStyle w:val="FootnoteText"/>
        <w:numPr>
          <w:ilvl w:val="0"/>
          <w:numId w:val="24"/>
        </w:numPr>
        <w:ind w:left="814"/>
        <w:rPr>
          <w:rFonts w:cstheme="minorHAnsi"/>
        </w:rPr>
      </w:pPr>
      <w:r w:rsidRPr="002F5864">
        <w:rPr>
          <w:rFonts w:cstheme="minorHAnsi"/>
        </w:rPr>
        <w:t>has access to private transport</w:t>
      </w:r>
    </w:p>
    <w:p w14:paraId="32232E9F" w14:textId="77777777" w:rsidR="00961617" w:rsidRPr="002F5864" w:rsidRDefault="00961617" w:rsidP="00E13B5E">
      <w:pPr>
        <w:pStyle w:val="FootnoteText"/>
        <w:numPr>
          <w:ilvl w:val="0"/>
          <w:numId w:val="24"/>
        </w:numPr>
        <w:ind w:left="814"/>
        <w:rPr>
          <w:rFonts w:cstheme="minorHAnsi"/>
        </w:rPr>
      </w:pPr>
      <w:r w:rsidRPr="002F5864">
        <w:rPr>
          <w:rFonts w:cstheme="minorHAnsi"/>
        </w:rPr>
        <w:t>contactable by telephone</w:t>
      </w:r>
    </w:p>
    <w:p w14:paraId="0AC05D63" w14:textId="77777777" w:rsidR="00961617" w:rsidRPr="002F5864" w:rsidRDefault="00961617" w:rsidP="00E13B5E">
      <w:pPr>
        <w:pStyle w:val="FootnoteText"/>
        <w:numPr>
          <w:ilvl w:val="0"/>
          <w:numId w:val="24"/>
        </w:numPr>
        <w:ind w:left="814"/>
        <w:rPr>
          <w:rFonts w:cstheme="minorHAnsi"/>
        </w:rPr>
      </w:pPr>
      <w:r w:rsidRPr="002F5864">
        <w:rPr>
          <w:rFonts w:cstheme="minorHAnsi"/>
        </w:rPr>
        <w:t>not a single parent</w:t>
      </w:r>
    </w:p>
    <w:p w14:paraId="10CB475B" w14:textId="77777777" w:rsidR="00961617" w:rsidRPr="002F5864" w:rsidRDefault="00961617" w:rsidP="00E13B5E">
      <w:pPr>
        <w:pStyle w:val="FootnoteText"/>
        <w:numPr>
          <w:ilvl w:val="0"/>
          <w:numId w:val="24"/>
        </w:numPr>
        <w:ind w:left="814"/>
        <w:rPr>
          <w:rFonts w:cstheme="minorHAnsi"/>
        </w:rPr>
      </w:pPr>
      <w:r w:rsidRPr="002F5864">
        <w:rPr>
          <w:rFonts w:cstheme="minorHAnsi"/>
        </w:rPr>
        <w:t>previous work experience was full-time or part-time work ( for 8 to 30 hours)</w:t>
      </w:r>
    </w:p>
    <w:p w14:paraId="617D1DDC" w14:textId="77777777" w:rsidR="00961617" w:rsidRPr="002F5864" w:rsidRDefault="00961617" w:rsidP="00E13B5E">
      <w:pPr>
        <w:pStyle w:val="FootnoteText"/>
        <w:numPr>
          <w:ilvl w:val="0"/>
          <w:numId w:val="24"/>
        </w:numPr>
        <w:ind w:left="814"/>
        <w:rPr>
          <w:rFonts w:cstheme="minorHAnsi"/>
        </w:rPr>
      </w:pPr>
      <w:r w:rsidRPr="002F5864">
        <w:rPr>
          <w:rFonts w:cstheme="minorHAnsi"/>
        </w:rPr>
        <w:t>income support history -less than 12 months on income support in the previous ten years</w:t>
      </w:r>
    </w:p>
    <w:p w14:paraId="17EF7CC8" w14:textId="77777777" w:rsidR="00961617" w:rsidRPr="002F5864" w:rsidRDefault="00961617" w:rsidP="00E13B5E">
      <w:pPr>
        <w:pStyle w:val="FootnoteText"/>
        <w:numPr>
          <w:ilvl w:val="0"/>
          <w:numId w:val="24"/>
        </w:numPr>
        <w:ind w:left="814"/>
        <w:rPr>
          <w:rFonts w:cstheme="minorHAnsi"/>
        </w:rPr>
      </w:pPr>
      <w:r w:rsidRPr="002F5864">
        <w:rPr>
          <w:rFonts w:cstheme="minorHAnsi"/>
        </w:rPr>
        <w:t xml:space="preserve">no personal impact issues identified </w:t>
      </w:r>
    </w:p>
    <w:p w14:paraId="5992C1CC" w14:textId="77777777" w:rsidR="00961617" w:rsidRPr="002F5864" w:rsidRDefault="00961617" w:rsidP="00E13B5E">
      <w:pPr>
        <w:pStyle w:val="FootnoteText"/>
        <w:ind w:firstLine="0"/>
        <w:rPr>
          <w:rFonts w:cstheme="minorHAnsi"/>
        </w:rPr>
      </w:pPr>
      <w:r w:rsidRPr="002F5864">
        <w:rPr>
          <w:rFonts w:cstheme="minorHAnsi"/>
        </w:rPr>
        <w:t>These categories were selected as when considered individually they are the most common characteristics that Stream 1 job seekers in both new entrant study populations possessed.</w:t>
      </w:r>
    </w:p>
    <w:p w14:paraId="6E219156" w14:textId="77777777" w:rsidR="00961617" w:rsidRPr="002F5864" w:rsidRDefault="00961617" w:rsidP="00E13B5E">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w:t>
      </w:r>
    </w:p>
    <w:p w14:paraId="18D19578" w14:textId="77777777" w:rsidR="00961617" w:rsidRPr="002F5864" w:rsidRDefault="00864C5E" w:rsidP="00961617">
      <w:pPr>
        <w:spacing w:before="120"/>
        <w:rPr>
          <w:rFonts w:cstheme="minorHAnsi"/>
          <w:sz w:val="18"/>
          <w:szCs w:val="18"/>
        </w:rPr>
      </w:pPr>
      <w:hyperlink w:anchor="Place_A222" w:history="1">
        <w:r w:rsidR="00961617" w:rsidRPr="005F1335">
          <w:rPr>
            <w:rStyle w:val="Hyperlink"/>
            <w:rFonts w:cstheme="minorHAnsi"/>
            <w:sz w:val="18"/>
            <w:szCs w:val="18"/>
          </w:rPr>
          <w:t xml:space="preserve">Return to </w:t>
        </w:r>
        <w:r w:rsidR="003649E1" w:rsidRPr="005F1335">
          <w:rPr>
            <w:rStyle w:val="Hyperlink"/>
            <w:rFonts w:cstheme="minorHAnsi"/>
            <w:sz w:val="18"/>
            <w:szCs w:val="18"/>
          </w:rPr>
          <w:t>s</w:t>
        </w:r>
        <w:r w:rsidR="00961617" w:rsidRPr="005F1335">
          <w:rPr>
            <w:rStyle w:val="Hyperlink"/>
            <w:rFonts w:cstheme="minorHAnsi"/>
            <w:sz w:val="18"/>
            <w:szCs w:val="18"/>
          </w:rPr>
          <w:t>ection 4.2.3</w:t>
        </w:r>
      </w:hyperlink>
      <w:r w:rsidR="00961617" w:rsidRPr="002F5864">
        <w:rPr>
          <w:rFonts w:cstheme="minorHAnsi"/>
          <w:sz w:val="18"/>
          <w:szCs w:val="18"/>
        </w:rPr>
        <w:t xml:space="preserve"> where this data is referenced.</w:t>
      </w:r>
    </w:p>
    <w:p w14:paraId="3B5FCE92" w14:textId="77777777" w:rsidR="00961617" w:rsidRPr="002F5864" w:rsidRDefault="00961617" w:rsidP="00961617">
      <w:pPr>
        <w:rPr>
          <w:rFonts w:cstheme="minorHAnsi"/>
          <w:sz w:val="18"/>
          <w:szCs w:val="20"/>
        </w:rPr>
      </w:pPr>
      <w:r w:rsidRPr="002F5864">
        <w:rPr>
          <w:rFonts w:cstheme="minorHAnsi"/>
        </w:rPr>
        <w:br w:type="page"/>
      </w:r>
    </w:p>
    <w:p w14:paraId="658496CC" w14:textId="77777777" w:rsidR="00961617" w:rsidRPr="002F5864" w:rsidRDefault="00961617" w:rsidP="00961617">
      <w:pPr>
        <w:pStyle w:val="TableheadingforappendixA1"/>
        <w:rPr>
          <w:rFonts w:cstheme="minorHAnsi"/>
        </w:rPr>
      </w:pPr>
      <w:bookmarkStart w:id="675" w:name="_Toc415485707"/>
      <w:bookmarkStart w:id="676" w:name="_Toc435695225"/>
      <w:bookmarkStart w:id="677" w:name="_Toc436142585"/>
      <w:bookmarkStart w:id="678" w:name="_Toc513129916"/>
      <w:r w:rsidRPr="002F5864">
        <w:rPr>
          <w:rFonts w:cstheme="minorHAnsi"/>
        </w:rPr>
        <w:t>Table A2.23: Probability of being off income support 12 months after commencing in service, 2009 and 2012 Stream 1 servicing study populations</w:t>
      </w:r>
      <w:bookmarkEnd w:id="675"/>
      <w:bookmarkEnd w:id="676"/>
      <w:bookmarkEnd w:id="677"/>
      <w:r w:rsidRPr="002F5864">
        <w:rPr>
          <w:rFonts w:cstheme="minorHAnsi"/>
        </w:rPr>
        <w:t xml:space="preserve"> (</w:t>
      </w:r>
      <w:r w:rsidR="00861F6F">
        <w:rPr>
          <w:rFonts w:cstheme="minorHAnsi"/>
        </w:rPr>
        <w:t>probability</w:t>
      </w:r>
      <w:r w:rsidRPr="002F5864">
        <w:rPr>
          <w:rFonts w:cstheme="minorHAnsi"/>
        </w:rPr>
        <w:t xml:space="preserve"> and percentage point)</w:t>
      </w:r>
      <w:bookmarkEnd w:id="678"/>
    </w:p>
    <w:tbl>
      <w:tblPr>
        <w:tblW w:w="8946" w:type="dxa"/>
        <w:tblInd w:w="93" w:type="dxa"/>
        <w:tblLayout w:type="fixed"/>
        <w:tblLook w:val="04A0" w:firstRow="1" w:lastRow="0" w:firstColumn="1" w:lastColumn="0" w:noHBand="0" w:noVBand="1"/>
      </w:tblPr>
      <w:tblGrid>
        <w:gridCol w:w="3701"/>
        <w:gridCol w:w="1276"/>
        <w:gridCol w:w="1417"/>
        <w:gridCol w:w="1276"/>
        <w:gridCol w:w="1276"/>
      </w:tblGrid>
      <w:tr w:rsidR="00961617" w:rsidRPr="00545C7F" w14:paraId="460EB450" w14:textId="77777777" w:rsidTr="0020771F">
        <w:trPr>
          <w:trHeight w:val="636"/>
        </w:trPr>
        <w:tc>
          <w:tcPr>
            <w:tcW w:w="3701" w:type="dxa"/>
            <w:shd w:val="clear" w:color="auto" w:fill="1E3D6B"/>
            <w:noWrap/>
            <w:hideMark/>
          </w:tcPr>
          <w:p w14:paraId="2A99EF32" w14:textId="77777777" w:rsidR="00961617" w:rsidRPr="00545C7F" w:rsidRDefault="00961617" w:rsidP="0020771F">
            <w:pPr>
              <w:spacing w:after="166"/>
              <w:rPr>
                <w:rFonts w:cstheme="minorHAnsi"/>
                <w:b/>
                <w:bCs/>
                <w:color w:val="FFFFFF" w:themeColor="background2"/>
                <w:sz w:val="20"/>
                <w:szCs w:val="20"/>
              </w:rPr>
            </w:pPr>
            <w:r w:rsidRPr="00545C7F">
              <w:rPr>
                <w:rFonts w:cstheme="minorHAnsi"/>
                <w:b/>
                <w:bCs/>
                <w:color w:val="FFFFFF" w:themeColor="background2"/>
                <w:sz w:val="20"/>
                <w:szCs w:val="20"/>
              </w:rPr>
              <w:t> </w:t>
            </w:r>
            <w:bookmarkStart w:id="679" w:name="Title_A223"/>
            <w:bookmarkEnd w:id="679"/>
          </w:p>
        </w:tc>
        <w:tc>
          <w:tcPr>
            <w:tcW w:w="1276" w:type="dxa"/>
            <w:shd w:val="clear" w:color="auto" w:fill="1E3D6B"/>
            <w:hideMark/>
          </w:tcPr>
          <w:p w14:paraId="6E7A17E5" w14:textId="77777777" w:rsidR="00961617" w:rsidRPr="00545C7F" w:rsidRDefault="00961617" w:rsidP="0020771F">
            <w:pPr>
              <w:spacing w:after="166"/>
              <w:jc w:val="center"/>
              <w:rPr>
                <w:rFonts w:cstheme="minorHAnsi"/>
                <w:b/>
                <w:color w:val="FFFFFF" w:themeColor="background2"/>
                <w:sz w:val="20"/>
                <w:szCs w:val="20"/>
              </w:rPr>
            </w:pPr>
            <w:r w:rsidRPr="00545C7F">
              <w:rPr>
                <w:rFonts w:cstheme="minorHAnsi"/>
                <w:b/>
                <w:color w:val="FFFFFF" w:themeColor="background2"/>
                <w:sz w:val="20"/>
                <w:szCs w:val="20"/>
              </w:rPr>
              <w:t xml:space="preserve">JSA 2009 </w:t>
            </w:r>
            <w:r w:rsidRPr="00545C7F">
              <w:rPr>
                <w:rFonts w:cstheme="minorHAnsi"/>
                <w:b/>
                <w:color w:val="FFFFFF" w:themeColor="background2"/>
                <w:sz w:val="20"/>
                <w:szCs w:val="20"/>
              </w:rPr>
              <w:br/>
              <w:t>(Probability)</w:t>
            </w:r>
          </w:p>
        </w:tc>
        <w:tc>
          <w:tcPr>
            <w:tcW w:w="1417" w:type="dxa"/>
            <w:shd w:val="clear" w:color="auto" w:fill="1E3D6B"/>
            <w:hideMark/>
          </w:tcPr>
          <w:p w14:paraId="5CF39803" w14:textId="77777777" w:rsidR="00961617" w:rsidRPr="00545C7F" w:rsidRDefault="00961617" w:rsidP="0020771F">
            <w:pPr>
              <w:spacing w:after="166"/>
              <w:jc w:val="center"/>
              <w:rPr>
                <w:rFonts w:cstheme="minorHAnsi"/>
                <w:b/>
                <w:color w:val="FFFFFF" w:themeColor="background2"/>
                <w:sz w:val="20"/>
                <w:szCs w:val="20"/>
              </w:rPr>
            </w:pPr>
            <w:r w:rsidRPr="00545C7F">
              <w:rPr>
                <w:rFonts w:cstheme="minorHAnsi"/>
                <w:b/>
                <w:color w:val="FFFFFF" w:themeColor="background2"/>
                <w:sz w:val="20"/>
                <w:szCs w:val="20"/>
              </w:rPr>
              <w:t xml:space="preserve">JSA 2012 </w:t>
            </w:r>
            <w:r w:rsidRPr="00545C7F">
              <w:rPr>
                <w:rFonts w:cstheme="minorHAnsi"/>
                <w:b/>
                <w:color w:val="FFFFFF" w:themeColor="background2"/>
                <w:sz w:val="20"/>
                <w:szCs w:val="20"/>
              </w:rPr>
              <w:br/>
              <w:t>(Probability)</w:t>
            </w:r>
          </w:p>
        </w:tc>
        <w:tc>
          <w:tcPr>
            <w:tcW w:w="1276" w:type="dxa"/>
            <w:shd w:val="clear" w:color="auto" w:fill="1E3D6B"/>
            <w:hideMark/>
          </w:tcPr>
          <w:p w14:paraId="081B939E" w14:textId="77777777" w:rsidR="00961617" w:rsidRPr="00545C7F" w:rsidRDefault="00961617" w:rsidP="0020771F">
            <w:pPr>
              <w:spacing w:after="166"/>
              <w:jc w:val="center"/>
              <w:rPr>
                <w:rFonts w:cstheme="minorHAnsi"/>
                <w:b/>
                <w:color w:val="FFFFFF" w:themeColor="background2"/>
                <w:sz w:val="20"/>
                <w:szCs w:val="20"/>
              </w:rPr>
            </w:pPr>
            <w:r w:rsidRPr="00545C7F">
              <w:rPr>
                <w:rFonts w:cstheme="minorHAnsi"/>
                <w:b/>
                <w:color w:val="FFFFFF" w:themeColor="background2"/>
                <w:sz w:val="20"/>
                <w:szCs w:val="20"/>
              </w:rPr>
              <w:t>Marginal effect on probability (ppt)</w:t>
            </w:r>
          </w:p>
        </w:tc>
        <w:tc>
          <w:tcPr>
            <w:tcW w:w="1276" w:type="dxa"/>
            <w:shd w:val="clear" w:color="auto" w:fill="1E3D6B"/>
            <w:hideMark/>
          </w:tcPr>
          <w:p w14:paraId="24FAD6C9" w14:textId="77777777" w:rsidR="00961617" w:rsidRPr="00545C7F" w:rsidRDefault="00961617" w:rsidP="0020771F">
            <w:pPr>
              <w:spacing w:after="166"/>
              <w:jc w:val="center"/>
              <w:rPr>
                <w:rFonts w:cstheme="minorHAnsi"/>
                <w:b/>
                <w:color w:val="FFFFFF" w:themeColor="background2"/>
                <w:sz w:val="20"/>
                <w:szCs w:val="20"/>
              </w:rPr>
            </w:pPr>
            <w:r w:rsidRPr="00545C7F">
              <w:rPr>
                <w:rFonts w:cstheme="minorHAnsi"/>
                <w:b/>
                <w:color w:val="FFFFFF" w:themeColor="background2"/>
                <w:sz w:val="20"/>
                <w:szCs w:val="20"/>
              </w:rPr>
              <w:t>Proportional change in likelihood</w:t>
            </w:r>
            <w:r w:rsidRPr="00545C7F">
              <w:rPr>
                <w:rFonts w:cstheme="minorHAnsi"/>
                <w:b/>
                <w:color w:val="FFFFFF" w:themeColor="background2"/>
                <w:sz w:val="20"/>
                <w:szCs w:val="20"/>
              </w:rPr>
              <w:br/>
              <w:t>(%)</w:t>
            </w:r>
          </w:p>
        </w:tc>
      </w:tr>
      <w:tr w:rsidR="00961617" w:rsidRPr="00545C7F" w14:paraId="6F601E7A" w14:textId="77777777" w:rsidTr="0020771F">
        <w:trPr>
          <w:trHeight w:hRule="exact" w:val="340"/>
        </w:trPr>
        <w:tc>
          <w:tcPr>
            <w:tcW w:w="3701" w:type="dxa"/>
            <w:shd w:val="clear" w:color="auto" w:fill="auto"/>
            <w:noWrap/>
            <w:vAlign w:val="center"/>
            <w:hideMark/>
          </w:tcPr>
          <w:p w14:paraId="3D282BFE" w14:textId="77777777" w:rsidR="00961617" w:rsidRPr="00545C7F" w:rsidRDefault="00961617" w:rsidP="0020771F">
            <w:pPr>
              <w:spacing w:after="0"/>
              <w:rPr>
                <w:rFonts w:cstheme="minorHAnsi"/>
                <w:sz w:val="20"/>
                <w:szCs w:val="20"/>
              </w:rPr>
            </w:pPr>
            <w:r w:rsidRPr="00545C7F">
              <w:rPr>
                <w:rFonts w:cstheme="minorHAnsi"/>
                <w:sz w:val="20"/>
                <w:szCs w:val="20"/>
              </w:rPr>
              <w:t>Females</w:t>
            </w:r>
          </w:p>
        </w:tc>
        <w:tc>
          <w:tcPr>
            <w:tcW w:w="1276" w:type="dxa"/>
            <w:shd w:val="clear" w:color="auto" w:fill="auto"/>
            <w:noWrap/>
            <w:vAlign w:val="center"/>
            <w:hideMark/>
          </w:tcPr>
          <w:p w14:paraId="492C7B53" w14:textId="77777777" w:rsidR="00961617" w:rsidRPr="00545C7F" w:rsidRDefault="00961617" w:rsidP="0020771F">
            <w:pPr>
              <w:spacing w:after="0"/>
              <w:ind w:left="240"/>
              <w:rPr>
                <w:rFonts w:cstheme="minorHAnsi"/>
                <w:sz w:val="20"/>
                <w:szCs w:val="20"/>
              </w:rPr>
            </w:pPr>
            <w:r w:rsidRPr="00545C7F">
              <w:rPr>
                <w:rFonts w:cstheme="minorHAnsi"/>
                <w:sz w:val="20"/>
                <w:szCs w:val="20"/>
              </w:rPr>
              <w:t>0.77</w:t>
            </w:r>
          </w:p>
        </w:tc>
        <w:tc>
          <w:tcPr>
            <w:tcW w:w="1417" w:type="dxa"/>
            <w:shd w:val="clear" w:color="auto" w:fill="auto"/>
            <w:noWrap/>
            <w:vAlign w:val="center"/>
            <w:hideMark/>
          </w:tcPr>
          <w:p w14:paraId="4A840701" w14:textId="77777777" w:rsidR="00961617" w:rsidRPr="00545C7F" w:rsidRDefault="00961617" w:rsidP="0020771F">
            <w:pPr>
              <w:spacing w:after="0"/>
              <w:ind w:left="240"/>
              <w:rPr>
                <w:rFonts w:cstheme="minorHAnsi"/>
                <w:sz w:val="20"/>
                <w:szCs w:val="20"/>
              </w:rPr>
            </w:pPr>
            <w:r w:rsidRPr="00545C7F">
              <w:rPr>
                <w:rFonts w:cstheme="minorHAnsi"/>
                <w:sz w:val="20"/>
                <w:szCs w:val="20"/>
              </w:rPr>
              <w:t>0.68</w:t>
            </w:r>
          </w:p>
        </w:tc>
        <w:tc>
          <w:tcPr>
            <w:tcW w:w="1276" w:type="dxa"/>
            <w:shd w:val="clear" w:color="auto" w:fill="auto"/>
            <w:noWrap/>
            <w:vAlign w:val="center"/>
            <w:hideMark/>
          </w:tcPr>
          <w:p w14:paraId="460D81C3"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auto"/>
            <w:noWrap/>
            <w:vAlign w:val="center"/>
            <w:hideMark/>
          </w:tcPr>
          <w:p w14:paraId="0F37EBDC" w14:textId="77777777" w:rsidR="00961617" w:rsidRPr="00545C7F" w:rsidRDefault="00961617" w:rsidP="0020771F">
            <w:pPr>
              <w:spacing w:after="0"/>
              <w:ind w:left="240"/>
              <w:rPr>
                <w:rFonts w:cstheme="minorHAnsi"/>
                <w:sz w:val="20"/>
                <w:szCs w:val="20"/>
              </w:rPr>
            </w:pPr>
            <w:r w:rsidRPr="00545C7F">
              <w:rPr>
                <w:rFonts w:cstheme="minorHAnsi"/>
                <w:sz w:val="20"/>
                <w:szCs w:val="20"/>
              </w:rPr>
              <w:t>11.3</w:t>
            </w:r>
          </w:p>
        </w:tc>
      </w:tr>
      <w:tr w:rsidR="00961617" w:rsidRPr="00545C7F" w14:paraId="2A9FC457" w14:textId="77777777" w:rsidTr="0020771F">
        <w:trPr>
          <w:trHeight w:hRule="exact" w:val="340"/>
        </w:trPr>
        <w:tc>
          <w:tcPr>
            <w:tcW w:w="3701" w:type="dxa"/>
            <w:shd w:val="clear" w:color="auto" w:fill="E5E5E5" w:themeFill="background1" w:themeFillTint="33"/>
            <w:noWrap/>
            <w:vAlign w:val="center"/>
            <w:hideMark/>
          </w:tcPr>
          <w:p w14:paraId="557E1A11" w14:textId="77777777" w:rsidR="00961617" w:rsidRPr="00545C7F" w:rsidRDefault="00961617" w:rsidP="0020771F">
            <w:pPr>
              <w:spacing w:after="0"/>
              <w:rPr>
                <w:rFonts w:cstheme="minorHAnsi"/>
                <w:sz w:val="20"/>
                <w:szCs w:val="20"/>
              </w:rPr>
            </w:pPr>
            <w:r w:rsidRPr="00545C7F">
              <w:rPr>
                <w:rFonts w:cstheme="minorHAnsi"/>
                <w:sz w:val="20"/>
                <w:szCs w:val="20"/>
              </w:rPr>
              <w:t>Aged under 21 years</w:t>
            </w:r>
          </w:p>
        </w:tc>
        <w:tc>
          <w:tcPr>
            <w:tcW w:w="1276" w:type="dxa"/>
            <w:shd w:val="clear" w:color="auto" w:fill="E5E5E5" w:themeFill="background1" w:themeFillTint="33"/>
            <w:noWrap/>
            <w:vAlign w:val="center"/>
            <w:hideMark/>
          </w:tcPr>
          <w:p w14:paraId="61BADFCE" w14:textId="77777777" w:rsidR="00961617" w:rsidRPr="00545C7F" w:rsidRDefault="00961617" w:rsidP="0020771F">
            <w:pPr>
              <w:spacing w:after="0"/>
              <w:ind w:left="240"/>
              <w:rPr>
                <w:rFonts w:cstheme="minorHAnsi"/>
                <w:sz w:val="20"/>
                <w:szCs w:val="20"/>
              </w:rPr>
            </w:pPr>
            <w:r w:rsidRPr="00545C7F">
              <w:rPr>
                <w:rFonts w:cstheme="minorHAnsi"/>
                <w:sz w:val="20"/>
                <w:szCs w:val="20"/>
              </w:rPr>
              <w:t>0.77</w:t>
            </w:r>
          </w:p>
        </w:tc>
        <w:tc>
          <w:tcPr>
            <w:tcW w:w="1417" w:type="dxa"/>
            <w:shd w:val="clear" w:color="auto" w:fill="E5E5E5" w:themeFill="background1" w:themeFillTint="33"/>
            <w:noWrap/>
            <w:vAlign w:val="center"/>
            <w:hideMark/>
          </w:tcPr>
          <w:p w14:paraId="5928D5AD" w14:textId="77777777" w:rsidR="00961617" w:rsidRPr="00545C7F" w:rsidRDefault="00961617" w:rsidP="0020771F">
            <w:pPr>
              <w:spacing w:after="0"/>
              <w:ind w:left="240"/>
              <w:rPr>
                <w:rFonts w:cstheme="minorHAnsi"/>
                <w:sz w:val="20"/>
                <w:szCs w:val="20"/>
              </w:rPr>
            </w:pPr>
            <w:r w:rsidRPr="00545C7F">
              <w:rPr>
                <w:rFonts w:cstheme="minorHAnsi"/>
                <w:sz w:val="20"/>
                <w:szCs w:val="20"/>
              </w:rPr>
              <w:t>0.68</w:t>
            </w:r>
          </w:p>
        </w:tc>
        <w:tc>
          <w:tcPr>
            <w:tcW w:w="1276" w:type="dxa"/>
            <w:shd w:val="clear" w:color="auto" w:fill="E5E5E5" w:themeFill="background1" w:themeFillTint="33"/>
            <w:noWrap/>
            <w:vAlign w:val="center"/>
            <w:hideMark/>
          </w:tcPr>
          <w:p w14:paraId="0E9A20A6"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E5E5E5" w:themeFill="background1" w:themeFillTint="33"/>
            <w:noWrap/>
            <w:vAlign w:val="center"/>
            <w:hideMark/>
          </w:tcPr>
          <w:p w14:paraId="49E328C4" w14:textId="77777777" w:rsidR="00961617" w:rsidRPr="00545C7F" w:rsidRDefault="00961617" w:rsidP="0020771F">
            <w:pPr>
              <w:spacing w:after="0"/>
              <w:ind w:left="240"/>
              <w:rPr>
                <w:rFonts w:cstheme="minorHAnsi"/>
                <w:sz w:val="20"/>
                <w:szCs w:val="20"/>
              </w:rPr>
            </w:pPr>
            <w:r w:rsidRPr="00545C7F">
              <w:rPr>
                <w:rFonts w:cstheme="minorHAnsi"/>
                <w:sz w:val="20"/>
                <w:szCs w:val="20"/>
              </w:rPr>
              <w:t>11.5</w:t>
            </w:r>
          </w:p>
        </w:tc>
      </w:tr>
      <w:tr w:rsidR="00961617" w:rsidRPr="00545C7F" w14:paraId="588DD91D" w14:textId="77777777" w:rsidTr="0020771F">
        <w:trPr>
          <w:trHeight w:hRule="exact" w:val="340"/>
        </w:trPr>
        <w:tc>
          <w:tcPr>
            <w:tcW w:w="3701" w:type="dxa"/>
            <w:shd w:val="clear" w:color="auto" w:fill="auto"/>
            <w:noWrap/>
            <w:vAlign w:val="center"/>
            <w:hideMark/>
          </w:tcPr>
          <w:p w14:paraId="4E3C0EFA" w14:textId="77777777" w:rsidR="00961617" w:rsidRPr="00545C7F" w:rsidRDefault="00961617" w:rsidP="0020771F">
            <w:pPr>
              <w:spacing w:after="0"/>
              <w:rPr>
                <w:rFonts w:cstheme="minorHAnsi"/>
                <w:sz w:val="20"/>
                <w:szCs w:val="20"/>
              </w:rPr>
            </w:pPr>
            <w:r w:rsidRPr="00545C7F">
              <w:rPr>
                <w:rFonts w:cstheme="minorHAnsi"/>
                <w:sz w:val="20"/>
                <w:szCs w:val="20"/>
              </w:rPr>
              <w:t xml:space="preserve">Aged 21 - 24 years  </w:t>
            </w:r>
          </w:p>
        </w:tc>
        <w:tc>
          <w:tcPr>
            <w:tcW w:w="1276" w:type="dxa"/>
            <w:shd w:val="clear" w:color="auto" w:fill="auto"/>
            <w:noWrap/>
            <w:vAlign w:val="center"/>
            <w:hideMark/>
          </w:tcPr>
          <w:p w14:paraId="711770B2" w14:textId="77777777" w:rsidR="00961617" w:rsidRPr="00545C7F" w:rsidRDefault="00961617" w:rsidP="0020771F">
            <w:pPr>
              <w:spacing w:after="0"/>
              <w:ind w:left="240"/>
              <w:rPr>
                <w:rFonts w:cstheme="minorHAnsi"/>
                <w:sz w:val="20"/>
                <w:szCs w:val="20"/>
              </w:rPr>
            </w:pPr>
            <w:r w:rsidRPr="00545C7F">
              <w:rPr>
                <w:rFonts w:cstheme="minorHAnsi"/>
                <w:sz w:val="20"/>
                <w:szCs w:val="20"/>
              </w:rPr>
              <w:t>0.79</w:t>
            </w:r>
          </w:p>
        </w:tc>
        <w:tc>
          <w:tcPr>
            <w:tcW w:w="1417" w:type="dxa"/>
            <w:shd w:val="clear" w:color="auto" w:fill="auto"/>
            <w:noWrap/>
            <w:vAlign w:val="center"/>
            <w:hideMark/>
          </w:tcPr>
          <w:p w14:paraId="2B4B61BD" w14:textId="77777777" w:rsidR="00961617" w:rsidRPr="00545C7F" w:rsidRDefault="00961617" w:rsidP="0020771F">
            <w:pPr>
              <w:spacing w:after="0"/>
              <w:ind w:left="240"/>
              <w:rPr>
                <w:rFonts w:cstheme="minorHAnsi"/>
                <w:sz w:val="20"/>
                <w:szCs w:val="20"/>
              </w:rPr>
            </w:pPr>
            <w:r w:rsidRPr="00545C7F">
              <w:rPr>
                <w:rFonts w:cstheme="minorHAnsi"/>
                <w:sz w:val="20"/>
                <w:szCs w:val="20"/>
              </w:rPr>
              <w:t>0.71</w:t>
            </w:r>
          </w:p>
        </w:tc>
        <w:tc>
          <w:tcPr>
            <w:tcW w:w="1276" w:type="dxa"/>
            <w:shd w:val="clear" w:color="auto" w:fill="auto"/>
            <w:noWrap/>
            <w:vAlign w:val="center"/>
            <w:hideMark/>
          </w:tcPr>
          <w:p w14:paraId="05F159EB"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auto"/>
            <w:noWrap/>
            <w:vAlign w:val="center"/>
            <w:hideMark/>
          </w:tcPr>
          <w:p w14:paraId="17134013" w14:textId="77777777" w:rsidR="00961617" w:rsidRPr="00545C7F" w:rsidRDefault="00961617" w:rsidP="0020771F">
            <w:pPr>
              <w:spacing w:after="0"/>
              <w:ind w:left="240"/>
              <w:rPr>
                <w:rFonts w:cstheme="minorHAnsi"/>
                <w:sz w:val="20"/>
                <w:szCs w:val="20"/>
              </w:rPr>
            </w:pPr>
            <w:r w:rsidRPr="00545C7F">
              <w:rPr>
                <w:rFonts w:cstheme="minorHAnsi"/>
                <w:sz w:val="20"/>
                <w:szCs w:val="20"/>
              </w:rPr>
              <w:t>10.4</w:t>
            </w:r>
          </w:p>
        </w:tc>
      </w:tr>
      <w:tr w:rsidR="00961617" w:rsidRPr="00545C7F" w14:paraId="3DE767FA" w14:textId="77777777" w:rsidTr="0020771F">
        <w:trPr>
          <w:trHeight w:hRule="exact" w:val="340"/>
        </w:trPr>
        <w:tc>
          <w:tcPr>
            <w:tcW w:w="3701" w:type="dxa"/>
            <w:shd w:val="clear" w:color="auto" w:fill="E5E5E5" w:themeFill="background1" w:themeFillTint="33"/>
            <w:noWrap/>
            <w:vAlign w:val="center"/>
            <w:hideMark/>
          </w:tcPr>
          <w:p w14:paraId="54CF20EC" w14:textId="77777777" w:rsidR="00961617" w:rsidRPr="00545C7F" w:rsidRDefault="00961617" w:rsidP="0020771F">
            <w:pPr>
              <w:spacing w:after="0"/>
              <w:rPr>
                <w:rFonts w:cstheme="minorHAnsi"/>
                <w:sz w:val="20"/>
                <w:szCs w:val="20"/>
              </w:rPr>
            </w:pPr>
            <w:r w:rsidRPr="00545C7F">
              <w:rPr>
                <w:rFonts w:cstheme="minorHAnsi"/>
                <w:sz w:val="20"/>
                <w:szCs w:val="20"/>
              </w:rPr>
              <w:t xml:space="preserve">Aged 35 - 49 years </w:t>
            </w:r>
          </w:p>
        </w:tc>
        <w:tc>
          <w:tcPr>
            <w:tcW w:w="1276" w:type="dxa"/>
            <w:shd w:val="clear" w:color="auto" w:fill="E5E5E5" w:themeFill="background1" w:themeFillTint="33"/>
            <w:noWrap/>
            <w:vAlign w:val="center"/>
            <w:hideMark/>
          </w:tcPr>
          <w:p w14:paraId="292EF373" w14:textId="77777777" w:rsidR="00961617" w:rsidRPr="00545C7F" w:rsidRDefault="00961617" w:rsidP="0020771F">
            <w:pPr>
              <w:spacing w:after="0"/>
              <w:ind w:left="240"/>
              <w:rPr>
                <w:rFonts w:cstheme="minorHAnsi"/>
                <w:sz w:val="20"/>
                <w:szCs w:val="20"/>
              </w:rPr>
            </w:pPr>
            <w:r w:rsidRPr="00545C7F">
              <w:rPr>
                <w:rFonts w:cstheme="minorHAnsi"/>
                <w:sz w:val="20"/>
                <w:szCs w:val="20"/>
              </w:rPr>
              <w:t>0.79</w:t>
            </w:r>
          </w:p>
        </w:tc>
        <w:tc>
          <w:tcPr>
            <w:tcW w:w="1417" w:type="dxa"/>
            <w:shd w:val="clear" w:color="auto" w:fill="E5E5E5" w:themeFill="background1" w:themeFillTint="33"/>
            <w:noWrap/>
            <w:vAlign w:val="center"/>
            <w:hideMark/>
          </w:tcPr>
          <w:p w14:paraId="093E43F8" w14:textId="77777777" w:rsidR="00961617" w:rsidRPr="00545C7F" w:rsidRDefault="00961617" w:rsidP="0020771F">
            <w:pPr>
              <w:spacing w:after="0"/>
              <w:ind w:left="240"/>
              <w:rPr>
                <w:rFonts w:cstheme="minorHAnsi"/>
                <w:sz w:val="20"/>
                <w:szCs w:val="20"/>
              </w:rPr>
            </w:pPr>
            <w:r w:rsidRPr="00545C7F">
              <w:rPr>
                <w:rFonts w:cstheme="minorHAnsi"/>
                <w:sz w:val="20"/>
                <w:szCs w:val="20"/>
              </w:rPr>
              <w:t>0.71</w:t>
            </w:r>
          </w:p>
        </w:tc>
        <w:tc>
          <w:tcPr>
            <w:tcW w:w="1276" w:type="dxa"/>
            <w:shd w:val="clear" w:color="auto" w:fill="E5E5E5" w:themeFill="background1" w:themeFillTint="33"/>
            <w:noWrap/>
            <w:vAlign w:val="center"/>
            <w:hideMark/>
          </w:tcPr>
          <w:p w14:paraId="34C2359F"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E5E5E5" w:themeFill="background1" w:themeFillTint="33"/>
            <w:noWrap/>
            <w:vAlign w:val="center"/>
            <w:hideMark/>
          </w:tcPr>
          <w:p w14:paraId="198FD4E7" w14:textId="77777777" w:rsidR="00961617" w:rsidRPr="00545C7F" w:rsidRDefault="00961617" w:rsidP="0020771F">
            <w:pPr>
              <w:spacing w:after="0"/>
              <w:ind w:left="240"/>
              <w:rPr>
                <w:rFonts w:cstheme="minorHAnsi"/>
                <w:sz w:val="20"/>
                <w:szCs w:val="20"/>
              </w:rPr>
            </w:pPr>
            <w:r w:rsidRPr="00545C7F">
              <w:rPr>
                <w:rFonts w:cstheme="minorHAnsi"/>
                <w:sz w:val="20"/>
                <w:szCs w:val="20"/>
              </w:rPr>
              <w:t>10.4</w:t>
            </w:r>
          </w:p>
        </w:tc>
      </w:tr>
      <w:tr w:rsidR="00961617" w:rsidRPr="00545C7F" w14:paraId="45ABE59E" w14:textId="77777777" w:rsidTr="0020771F">
        <w:trPr>
          <w:trHeight w:hRule="exact" w:val="340"/>
        </w:trPr>
        <w:tc>
          <w:tcPr>
            <w:tcW w:w="3701" w:type="dxa"/>
            <w:shd w:val="clear" w:color="auto" w:fill="auto"/>
            <w:noWrap/>
            <w:vAlign w:val="center"/>
            <w:hideMark/>
          </w:tcPr>
          <w:p w14:paraId="718CB54A" w14:textId="77777777" w:rsidR="00961617" w:rsidRPr="00545C7F" w:rsidRDefault="00961617" w:rsidP="0020771F">
            <w:pPr>
              <w:spacing w:after="0"/>
              <w:rPr>
                <w:rFonts w:cstheme="minorHAnsi"/>
                <w:sz w:val="20"/>
                <w:szCs w:val="20"/>
              </w:rPr>
            </w:pPr>
            <w:r w:rsidRPr="00545C7F">
              <w:rPr>
                <w:rFonts w:cstheme="minorHAnsi"/>
                <w:sz w:val="20"/>
                <w:szCs w:val="20"/>
              </w:rPr>
              <w:t>Aged 50 years or older</w:t>
            </w:r>
          </w:p>
        </w:tc>
        <w:tc>
          <w:tcPr>
            <w:tcW w:w="1276" w:type="dxa"/>
            <w:shd w:val="clear" w:color="auto" w:fill="auto"/>
            <w:noWrap/>
            <w:vAlign w:val="center"/>
            <w:hideMark/>
          </w:tcPr>
          <w:p w14:paraId="3E13BF0F" w14:textId="77777777" w:rsidR="00961617" w:rsidRPr="00545C7F" w:rsidRDefault="00961617" w:rsidP="0020771F">
            <w:pPr>
              <w:spacing w:after="0"/>
              <w:ind w:left="240"/>
              <w:rPr>
                <w:rFonts w:cstheme="minorHAnsi"/>
                <w:sz w:val="20"/>
                <w:szCs w:val="20"/>
              </w:rPr>
            </w:pPr>
            <w:r w:rsidRPr="00545C7F">
              <w:rPr>
                <w:rFonts w:cstheme="minorHAnsi"/>
                <w:sz w:val="20"/>
                <w:szCs w:val="20"/>
              </w:rPr>
              <w:t>0.74</w:t>
            </w:r>
          </w:p>
        </w:tc>
        <w:tc>
          <w:tcPr>
            <w:tcW w:w="1417" w:type="dxa"/>
            <w:shd w:val="clear" w:color="auto" w:fill="auto"/>
            <w:noWrap/>
            <w:vAlign w:val="center"/>
            <w:hideMark/>
          </w:tcPr>
          <w:p w14:paraId="169580F0" w14:textId="77777777" w:rsidR="00961617" w:rsidRPr="00545C7F" w:rsidRDefault="00961617" w:rsidP="0020771F">
            <w:pPr>
              <w:spacing w:after="0"/>
              <w:ind w:left="240"/>
              <w:rPr>
                <w:rFonts w:cstheme="minorHAnsi"/>
                <w:sz w:val="20"/>
                <w:szCs w:val="20"/>
              </w:rPr>
            </w:pPr>
            <w:r w:rsidRPr="00545C7F">
              <w:rPr>
                <w:rFonts w:cstheme="minorHAnsi"/>
                <w:sz w:val="20"/>
                <w:szCs w:val="20"/>
              </w:rPr>
              <w:t>0.65</w:t>
            </w:r>
          </w:p>
        </w:tc>
        <w:tc>
          <w:tcPr>
            <w:tcW w:w="1276" w:type="dxa"/>
            <w:shd w:val="clear" w:color="auto" w:fill="auto"/>
            <w:noWrap/>
            <w:vAlign w:val="center"/>
            <w:hideMark/>
          </w:tcPr>
          <w:p w14:paraId="00802C8A"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auto"/>
            <w:noWrap/>
            <w:vAlign w:val="center"/>
            <w:hideMark/>
          </w:tcPr>
          <w:p w14:paraId="50396A32" w14:textId="77777777" w:rsidR="00961617" w:rsidRPr="00545C7F" w:rsidRDefault="00961617" w:rsidP="0020771F">
            <w:pPr>
              <w:spacing w:after="0"/>
              <w:ind w:left="240"/>
              <w:rPr>
                <w:rFonts w:cstheme="minorHAnsi"/>
                <w:sz w:val="20"/>
                <w:szCs w:val="20"/>
              </w:rPr>
            </w:pPr>
            <w:r w:rsidRPr="00545C7F">
              <w:rPr>
                <w:rFonts w:cstheme="minorHAnsi"/>
                <w:sz w:val="20"/>
                <w:szCs w:val="20"/>
              </w:rPr>
              <w:t>12.6</w:t>
            </w:r>
          </w:p>
        </w:tc>
      </w:tr>
      <w:tr w:rsidR="00961617" w:rsidRPr="00545C7F" w14:paraId="773BC73F" w14:textId="77777777" w:rsidTr="0020771F">
        <w:trPr>
          <w:trHeight w:hRule="exact" w:val="340"/>
        </w:trPr>
        <w:tc>
          <w:tcPr>
            <w:tcW w:w="3701" w:type="dxa"/>
            <w:shd w:val="clear" w:color="auto" w:fill="E5E5E5" w:themeFill="background1" w:themeFillTint="33"/>
            <w:noWrap/>
            <w:vAlign w:val="center"/>
            <w:hideMark/>
          </w:tcPr>
          <w:p w14:paraId="6E94C173" w14:textId="77777777" w:rsidR="00961617" w:rsidRPr="00545C7F" w:rsidRDefault="00961617" w:rsidP="0020771F">
            <w:pPr>
              <w:spacing w:after="0"/>
              <w:rPr>
                <w:rFonts w:cstheme="minorHAnsi"/>
                <w:sz w:val="20"/>
                <w:szCs w:val="20"/>
              </w:rPr>
            </w:pPr>
            <w:r w:rsidRPr="00545C7F">
              <w:rPr>
                <w:rFonts w:cstheme="minorHAnsi"/>
                <w:sz w:val="20"/>
                <w:szCs w:val="20"/>
              </w:rPr>
              <w:t>Indigenous</w:t>
            </w:r>
          </w:p>
        </w:tc>
        <w:tc>
          <w:tcPr>
            <w:tcW w:w="1276" w:type="dxa"/>
            <w:shd w:val="clear" w:color="auto" w:fill="E5E5E5" w:themeFill="background1" w:themeFillTint="33"/>
            <w:noWrap/>
            <w:vAlign w:val="center"/>
            <w:hideMark/>
          </w:tcPr>
          <w:p w14:paraId="5BCE5DEC" w14:textId="77777777" w:rsidR="00961617" w:rsidRPr="00545C7F" w:rsidRDefault="00961617" w:rsidP="0020771F">
            <w:pPr>
              <w:spacing w:after="0"/>
              <w:ind w:left="240"/>
              <w:rPr>
                <w:rFonts w:cstheme="minorHAnsi"/>
                <w:sz w:val="20"/>
                <w:szCs w:val="20"/>
              </w:rPr>
            </w:pPr>
            <w:r w:rsidRPr="00545C7F">
              <w:rPr>
                <w:rFonts w:cstheme="minorHAnsi"/>
                <w:sz w:val="20"/>
                <w:szCs w:val="20"/>
              </w:rPr>
              <w:t>0.79</w:t>
            </w:r>
          </w:p>
        </w:tc>
        <w:tc>
          <w:tcPr>
            <w:tcW w:w="1417" w:type="dxa"/>
            <w:shd w:val="clear" w:color="auto" w:fill="E5E5E5" w:themeFill="background1" w:themeFillTint="33"/>
            <w:noWrap/>
            <w:vAlign w:val="center"/>
            <w:hideMark/>
          </w:tcPr>
          <w:p w14:paraId="16F61E66" w14:textId="77777777" w:rsidR="00961617" w:rsidRPr="00545C7F" w:rsidRDefault="00961617" w:rsidP="0020771F">
            <w:pPr>
              <w:spacing w:after="0"/>
              <w:ind w:left="240"/>
              <w:rPr>
                <w:rFonts w:cstheme="minorHAnsi"/>
                <w:sz w:val="20"/>
                <w:szCs w:val="20"/>
              </w:rPr>
            </w:pPr>
            <w:r w:rsidRPr="00545C7F">
              <w:rPr>
                <w:rFonts w:cstheme="minorHAnsi"/>
                <w:sz w:val="20"/>
                <w:szCs w:val="20"/>
              </w:rPr>
              <w:t>0.71</w:t>
            </w:r>
          </w:p>
        </w:tc>
        <w:tc>
          <w:tcPr>
            <w:tcW w:w="1276" w:type="dxa"/>
            <w:shd w:val="clear" w:color="auto" w:fill="E5E5E5" w:themeFill="background1" w:themeFillTint="33"/>
            <w:noWrap/>
            <w:vAlign w:val="center"/>
            <w:hideMark/>
          </w:tcPr>
          <w:p w14:paraId="7AF8E599"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E5E5E5" w:themeFill="background1" w:themeFillTint="33"/>
            <w:noWrap/>
            <w:vAlign w:val="center"/>
            <w:hideMark/>
          </w:tcPr>
          <w:p w14:paraId="398D27C7" w14:textId="77777777" w:rsidR="00961617" w:rsidRPr="00545C7F" w:rsidRDefault="00961617" w:rsidP="0020771F">
            <w:pPr>
              <w:spacing w:after="0"/>
              <w:ind w:left="240"/>
              <w:rPr>
                <w:rFonts w:cstheme="minorHAnsi"/>
                <w:sz w:val="20"/>
                <w:szCs w:val="20"/>
              </w:rPr>
            </w:pPr>
            <w:r w:rsidRPr="00545C7F">
              <w:rPr>
                <w:rFonts w:cstheme="minorHAnsi"/>
                <w:sz w:val="20"/>
                <w:szCs w:val="20"/>
              </w:rPr>
              <w:t>10.5</w:t>
            </w:r>
          </w:p>
        </w:tc>
      </w:tr>
      <w:tr w:rsidR="00961617" w:rsidRPr="00545C7F" w14:paraId="48C00C57" w14:textId="77777777" w:rsidTr="0020771F">
        <w:trPr>
          <w:trHeight w:hRule="exact" w:val="340"/>
        </w:trPr>
        <w:tc>
          <w:tcPr>
            <w:tcW w:w="3701" w:type="dxa"/>
            <w:shd w:val="clear" w:color="auto" w:fill="auto"/>
            <w:noWrap/>
            <w:vAlign w:val="center"/>
            <w:hideMark/>
          </w:tcPr>
          <w:p w14:paraId="4B57A071" w14:textId="77777777" w:rsidR="00961617" w:rsidRPr="00545C7F" w:rsidRDefault="00961617" w:rsidP="0020771F">
            <w:pPr>
              <w:spacing w:after="0"/>
              <w:rPr>
                <w:rFonts w:cstheme="minorHAnsi"/>
                <w:sz w:val="20"/>
                <w:szCs w:val="20"/>
              </w:rPr>
            </w:pPr>
            <w:r w:rsidRPr="00545C7F">
              <w:rPr>
                <w:rFonts w:cstheme="minorHAnsi"/>
                <w:sz w:val="20"/>
                <w:szCs w:val="20"/>
              </w:rPr>
              <w:t>Inner regional  location</w:t>
            </w:r>
          </w:p>
        </w:tc>
        <w:tc>
          <w:tcPr>
            <w:tcW w:w="1276" w:type="dxa"/>
            <w:shd w:val="clear" w:color="auto" w:fill="auto"/>
            <w:noWrap/>
            <w:vAlign w:val="center"/>
            <w:hideMark/>
          </w:tcPr>
          <w:p w14:paraId="7BB2DFE5" w14:textId="77777777" w:rsidR="00961617" w:rsidRPr="00545C7F" w:rsidRDefault="00961617" w:rsidP="0020771F">
            <w:pPr>
              <w:spacing w:after="0"/>
              <w:ind w:left="240"/>
              <w:rPr>
                <w:rFonts w:cstheme="minorHAnsi"/>
                <w:sz w:val="20"/>
                <w:szCs w:val="20"/>
              </w:rPr>
            </w:pPr>
            <w:r w:rsidRPr="00545C7F">
              <w:rPr>
                <w:rFonts w:cstheme="minorHAnsi"/>
                <w:sz w:val="20"/>
                <w:szCs w:val="20"/>
              </w:rPr>
              <w:t>0.77</w:t>
            </w:r>
          </w:p>
        </w:tc>
        <w:tc>
          <w:tcPr>
            <w:tcW w:w="1417" w:type="dxa"/>
            <w:shd w:val="clear" w:color="auto" w:fill="auto"/>
            <w:noWrap/>
            <w:vAlign w:val="center"/>
            <w:hideMark/>
          </w:tcPr>
          <w:p w14:paraId="18445406" w14:textId="77777777" w:rsidR="00961617" w:rsidRPr="00545C7F" w:rsidRDefault="00961617" w:rsidP="0020771F">
            <w:pPr>
              <w:spacing w:after="0"/>
              <w:ind w:left="240"/>
              <w:rPr>
                <w:rFonts w:cstheme="minorHAnsi"/>
                <w:sz w:val="20"/>
                <w:szCs w:val="20"/>
              </w:rPr>
            </w:pPr>
            <w:r w:rsidRPr="00545C7F">
              <w:rPr>
                <w:rFonts w:cstheme="minorHAnsi"/>
                <w:sz w:val="20"/>
                <w:szCs w:val="20"/>
              </w:rPr>
              <w:t>0.69</w:t>
            </w:r>
          </w:p>
        </w:tc>
        <w:tc>
          <w:tcPr>
            <w:tcW w:w="1276" w:type="dxa"/>
            <w:shd w:val="clear" w:color="auto" w:fill="auto"/>
            <w:noWrap/>
            <w:vAlign w:val="center"/>
            <w:hideMark/>
          </w:tcPr>
          <w:p w14:paraId="1058192A"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auto"/>
            <w:noWrap/>
            <w:vAlign w:val="center"/>
            <w:hideMark/>
          </w:tcPr>
          <w:p w14:paraId="1ECA0F77" w14:textId="77777777" w:rsidR="00961617" w:rsidRPr="00545C7F" w:rsidRDefault="00961617" w:rsidP="0020771F">
            <w:pPr>
              <w:spacing w:after="0"/>
              <w:ind w:left="240"/>
              <w:rPr>
                <w:rFonts w:cstheme="minorHAnsi"/>
                <w:sz w:val="20"/>
                <w:szCs w:val="20"/>
              </w:rPr>
            </w:pPr>
            <w:r w:rsidRPr="00545C7F">
              <w:rPr>
                <w:rFonts w:cstheme="minorHAnsi"/>
                <w:sz w:val="20"/>
                <w:szCs w:val="20"/>
              </w:rPr>
              <w:t>11.2</w:t>
            </w:r>
          </w:p>
        </w:tc>
      </w:tr>
      <w:tr w:rsidR="00961617" w:rsidRPr="00545C7F" w14:paraId="001D4F37" w14:textId="77777777" w:rsidTr="0020771F">
        <w:trPr>
          <w:trHeight w:hRule="exact" w:val="340"/>
        </w:trPr>
        <w:tc>
          <w:tcPr>
            <w:tcW w:w="3701" w:type="dxa"/>
            <w:shd w:val="clear" w:color="auto" w:fill="E5E5E5" w:themeFill="background1" w:themeFillTint="33"/>
            <w:noWrap/>
            <w:vAlign w:val="center"/>
            <w:hideMark/>
          </w:tcPr>
          <w:p w14:paraId="0AA643B8" w14:textId="77777777" w:rsidR="00961617" w:rsidRPr="00545C7F" w:rsidRDefault="00961617" w:rsidP="0020771F">
            <w:pPr>
              <w:spacing w:after="0"/>
              <w:rPr>
                <w:rFonts w:cstheme="minorHAnsi"/>
                <w:sz w:val="20"/>
                <w:szCs w:val="20"/>
              </w:rPr>
            </w:pPr>
            <w:r w:rsidRPr="00545C7F">
              <w:rPr>
                <w:rFonts w:cstheme="minorHAnsi"/>
                <w:sz w:val="20"/>
                <w:szCs w:val="20"/>
              </w:rPr>
              <w:t>Outer regional  location</w:t>
            </w:r>
          </w:p>
        </w:tc>
        <w:tc>
          <w:tcPr>
            <w:tcW w:w="1276" w:type="dxa"/>
            <w:shd w:val="clear" w:color="auto" w:fill="E5E5E5" w:themeFill="background1" w:themeFillTint="33"/>
            <w:noWrap/>
            <w:vAlign w:val="center"/>
            <w:hideMark/>
          </w:tcPr>
          <w:p w14:paraId="2780A2B7" w14:textId="77777777" w:rsidR="00961617" w:rsidRPr="00545C7F" w:rsidRDefault="00961617" w:rsidP="0020771F">
            <w:pPr>
              <w:spacing w:after="0"/>
              <w:ind w:left="240"/>
              <w:rPr>
                <w:rFonts w:cstheme="minorHAnsi"/>
                <w:sz w:val="20"/>
                <w:szCs w:val="20"/>
              </w:rPr>
            </w:pPr>
            <w:r w:rsidRPr="00545C7F">
              <w:rPr>
                <w:rFonts w:cstheme="minorHAnsi"/>
                <w:sz w:val="20"/>
                <w:szCs w:val="20"/>
              </w:rPr>
              <w:t>0.79</w:t>
            </w:r>
          </w:p>
        </w:tc>
        <w:tc>
          <w:tcPr>
            <w:tcW w:w="1417" w:type="dxa"/>
            <w:shd w:val="clear" w:color="auto" w:fill="E5E5E5" w:themeFill="background1" w:themeFillTint="33"/>
            <w:noWrap/>
            <w:vAlign w:val="center"/>
            <w:hideMark/>
          </w:tcPr>
          <w:p w14:paraId="0CEF1B27" w14:textId="77777777" w:rsidR="00961617" w:rsidRPr="00545C7F" w:rsidRDefault="00961617" w:rsidP="0020771F">
            <w:pPr>
              <w:spacing w:after="0"/>
              <w:ind w:left="240"/>
              <w:rPr>
                <w:rFonts w:cstheme="minorHAnsi"/>
                <w:sz w:val="20"/>
                <w:szCs w:val="20"/>
              </w:rPr>
            </w:pPr>
            <w:r w:rsidRPr="00545C7F">
              <w:rPr>
                <w:rFonts w:cstheme="minorHAnsi"/>
                <w:sz w:val="20"/>
                <w:szCs w:val="20"/>
              </w:rPr>
              <w:t>0.71</w:t>
            </w:r>
          </w:p>
        </w:tc>
        <w:tc>
          <w:tcPr>
            <w:tcW w:w="1276" w:type="dxa"/>
            <w:shd w:val="clear" w:color="auto" w:fill="E5E5E5" w:themeFill="background1" w:themeFillTint="33"/>
            <w:noWrap/>
            <w:vAlign w:val="center"/>
            <w:hideMark/>
          </w:tcPr>
          <w:p w14:paraId="4BF16462"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E5E5E5" w:themeFill="background1" w:themeFillTint="33"/>
            <w:noWrap/>
            <w:vAlign w:val="center"/>
            <w:hideMark/>
          </w:tcPr>
          <w:p w14:paraId="06A4ECCE" w14:textId="77777777" w:rsidR="00961617" w:rsidRPr="00545C7F" w:rsidRDefault="00961617" w:rsidP="0020771F">
            <w:pPr>
              <w:spacing w:after="0"/>
              <w:ind w:left="240"/>
              <w:rPr>
                <w:rFonts w:cstheme="minorHAnsi"/>
                <w:sz w:val="20"/>
                <w:szCs w:val="20"/>
              </w:rPr>
            </w:pPr>
            <w:r w:rsidRPr="00545C7F">
              <w:rPr>
                <w:rFonts w:cstheme="minorHAnsi"/>
                <w:sz w:val="20"/>
                <w:szCs w:val="20"/>
              </w:rPr>
              <w:t>10.4</w:t>
            </w:r>
          </w:p>
        </w:tc>
      </w:tr>
      <w:tr w:rsidR="00961617" w:rsidRPr="00545C7F" w14:paraId="2F62270C" w14:textId="77777777" w:rsidTr="0020771F">
        <w:trPr>
          <w:trHeight w:hRule="exact" w:val="340"/>
        </w:trPr>
        <w:tc>
          <w:tcPr>
            <w:tcW w:w="3701" w:type="dxa"/>
            <w:shd w:val="clear" w:color="auto" w:fill="auto"/>
            <w:noWrap/>
            <w:vAlign w:val="center"/>
            <w:hideMark/>
          </w:tcPr>
          <w:p w14:paraId="7F74A32E" w14:textId="77777777" w:rsidR="00961617" w:rsidRPr="00545C7F" w:rsidRDefault="00961617" w:rsidP="0020771F">
            <w:pPr>
              <w:spacing w:after="0"/>
              <w:rPr>
                <w:rFonts w:cstheme="minorHAnsi"/>
                <w:sz w:val="20"/>
                <w:szCs w:val="20"/>
              </w:rPr>
            </w:pPr>
            <w:r w:rsidRPr="00545C7F">
              <w:rPr>
                <w:rFonts w:cstheme="minorHAnsi"/>
                <w:sz w:val="20"/>
                <w:szCs w:val="20"/>
              </w:rPr>
              <w:t xml:space="preserve">Less than Year 10 education  </w:t>
            </w:r>
          </w:p>
        </w:tc>
        <w:tc>
          <w:tcPr>
            <w:tcW w:w="1276" w:type="dxa"/>
            <w:shd w:val="clear" w:color="auto" w:fill="auto"/>
            <w:noWrap/>
            <w:vAlign w:val="center"/>
            <w:hideMark/>
          </w:tcPr>
          <w:p w14:paraId="38A51060" w14:textId="77777777" w:rsidR="00961617" w:rsidRPr="00545C7F" w:rsidRDefault="00961617" w:rsidP="0020771F">
            <w:pPr>
              <w:spacing w:after="0"/>
              <w:ind w:left="240"/>
              <w:rPr>
                <w:rFonts w:cstheme="minorHAnsi"/>
                <w:sz w:val="20"/>
                <w:szCs w:val="20"/>
              </w:rPr>
            </w:pPr>
            <w:r w:rsidRPr="00545C7F">
              <w:rPr>
                <w:rFonts w:cstheme="minorHAnsi"/>
                <w:sz w:val="20"/>
                <w:szCs w:val="20"/>
              </w:rPr>
              <w:t>0.77</w:t>
            </w:r>
          </w:p>
        </w:tc>
        <w:tc>
          <w:tcPr>
            <w:tcW w:w="1417" w:type="dxa"/>
            <w:shd w:val="clear" w:color="auto" w:fill="auto"/>
            <w:noWrap/>
            <w:vAlign w:val="center"/>
            <w:hideMark/>
          </w:tcPr>
          <w:p w14:paraId="2F72140F" w14:textId="77777777" w:rsidR="00961617" w:rsidRPr="00545C7F" w:rsidRDefault="00961617" w:rsidP="0020771F">
            <w:pPr>
              <w:spacing w:after="0"/>
              <w:ind w:left="240"/>
              <w:rPr>
                <w:rFonts w:cstheme="minorHAnsi"/>
                <w:sz w:val="20"/>
                <w:szCs w:val="20"/>
              </w:rPr>
            </w:pPr>
            <w:r w:rsidRPr="00545C7F">
              <w:rPr>
                <w:rFonts w:cstheme="minorHAnsi"/>
                <w:sz w:val="20"/>
                <w:szCs w:val="20"/>
              </w:rPr>
              <w:t>0.68</w:t>
            </w:r>
          </w:p>
        </w:tc>
        <w:tc>
          <w:tcPr>
            <w:tcW w:w="1276" w:type="dxa"/>
            <w:shd w:val="clear" w:color="auto" w:fill="auto"/>
            <w:noWrap/>
            <w:vAlign w:val="center"/>
            <w:hideMark/>
          </w:tcPr>
          <w:p w14:paraId="46784D7A"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auto"/>
            <w:noWrap/>
            <w:vAlign w:val="center"/>
            <w:hideMark/>
          </w:tcPr>
          <w:p w14:paraId="10412CD8" w14:textId="77777777" w:rsidR="00961617" w:rsidRPr="00545C7F" w:rsidRDefault="00961617" w:rsidP="0020771F">
            <w:pPr>
              <w:spacing w:after="0"/>
              <w:ind w:left="240"/>
              <w:rPr>
                <w:rFonts w:cstheme="minorHAnsi"/>
                <w:sz w:val="20"/>
                <w:szCs w:val="20"/>
              </w:rPr>
            </w:pPr>
            <w:r w:rsidRPr="00545C7F">
              <w:rPr>
                <w:rFonts w:cstheme="minorHAnsi"/>
                <w:sz w:val="20"/>
                <w:szCs w:val="20"/>
              </w:rPr>
              <w:t>11.3</w:t>
            </w:r>
          </w:p>
        </w:tc>
      </w:tr>
      <w:tr w:rsidR="00961617" w:rsidRPr="00545C7F" w14:paraId="1E9C78A0" w14:textId="77777777" w:rsidTr="0020771F">
        <w:trPr>
          <w:trHeight w:hRule="exact" w:val="340"/>
        </w:trPr>
        <w:tc>
          <w:tcPr>
            <w:tcW w:w="3701" w:type="dxa"/>
            <w:shd w:val="clear" w:color="auto" w:fill="E5E5E5" w:themeFill="background1" w:themeFillTint="33"/>
            <w:noWrap/>
            <w:vAlign w:val="center"/>
            <w:hideMark/>
          </w:tcPr>
          <w:p w14:paraId="6380C343" w14:textId="77777777" w:rsidR="00961617" w:rsidRPr="00545C7F" w:rsidRDefault="00961617" w:rsidP="0020771F">
            <w:pPr>
              <w:spacing w:after="0"/>
              <w:rPr>
                <w:rFonts w:cstheme="minorHAnsi"/>
                <w:sz w:val="20"/>
                <w:szCs w:val="20"/>
              </w:rPr>
            </w:pPr>
            <w:r w:rsidRPr="00545C7F">
              <w:rPr>
                <w:rFonts w:cstheme="minorHAnsi"/>
                <w:sz w:val="20"/>
                <w:szCs w:val="20"/>
              </w:rPr>
              <w:t xml:space="preserve">Year 10 or 11 education </w:t>
            </w:r>
          </w:p>
        </w:tc>
        <w:tc>
          <w:tcPr>
            <w:tcW w:w="1276" w:type="dxa"/>
            <w:shd w:val="clear" w:color="auto" w:fill="E5E5E5" w:themeFill="background1" w:themeFillTint="33"/>
            <w:noWrap/>
            <w:vAlign w:val="center"/>
            <w:hideMark/>
          </w:tcPr>
          <w:p w14:paraId="5DCFBB41" w14:textId="77777777" w:rsidR="00961617" w:rsidRPr="00545C7F" w:rsidRDefault="00961617" w:rsidP="0020771F">
            <w:pPr>
              <w:spacing w:after="0"/>
              <w:ind w:left="240"/>
              <w:rPr>
                <w:rFonts w:cstheme="minorHAnsi"/>
                <w:sz w:val="20"/>
                <w:szCs w:val="20"/>
              </w:rPr>
            </w:pPr>
            <w:r w:rsidRPr="00545C7F">
              <w:rPr>
                <w:rFonts w:cstheme="minorHAnsi"/>
                <w:sz w:val="20"/>
                <w:szCs w:val="20"/>
              </w:rPr>
              <w:t>0.78</w:t>
            </w:r>
          </w:p>
        </w:tc>
        <w:tc>
          <w:tcPr>
            <w:tcW w:w="1417" w:type="dxa"/>
            <w:shd w:val="clear" w:color="auto" w:fill="E5E5E5" w:themeFill="background1" w:themeFillTint="33"/>
            <w:noWrap/>
            <w:vAlign w:val="center"/>
            <w:hideMark/>
          </w:tcPr>
          <w:p w14:paraId="054F8542" w14:textId="77777777" w:rsidR="00961617" w:rsidRPr="00545C7F" w:rsidRDefault="00961617" w:rsidP="0020771F">
            <w:pPr>
              <w:spacing w:after="0"/>
              <w:ind w:left="240"/>
              <w:rPr>
                <w:rFonts w:cstheme="minorHAnsi"/>
                <w:sz w:val="20"/>
                <w:szCs w:val="20"/>
              </w:rPr>
            </w:pPr>
            <w:r w:rsidRPr="00545C7F">
              <w:rPr>
                <w:rFonts w:cstheme="minorHAnsi"/>
                <w:sz w:val="20"/>
                <w:szCs w:val="20"/>
              </w:rPr>
              <w:t>0.69</w:t>
            </w:r>
          </w:p>
        </w:tc>
        <w:tc>
          <w:tcPr>
            <w:tcW w:w="1276" w:type="dxa"/>
            <w:shd w:val="clear" w:color="auto" w:fill="E5E5E5" w:themeFill="background1" w:themeFillTint="33"/>
            <w:noWrap/>
            <w:vAlign w:val="center"/>
            <w:hideMark/>
          </w:tcPr>
          <w:p w14:paraId="56B7E3E1" w14:textId="77777777" w:rsidR="00961617" w:rsidRPr="00545C7F" w:rsidRDefault="00961617" w:rsidP="0020771F">
            <w:pPr>
              <w:spacing w:after="0"/>
              <w:ind w:left="240"/>
              <w:rPr>
                <w:rFonts w:cstheme="minorHAnsi"/>
                <w:sz w:val="20"/>
                <w:szCs w:val="20"/>
              </w:rPr>
            </w:pPr>
            <w:r w:rsidRPr="00545C7F">
              <w:rPr>
                <w:rFonts w:cstheme="minorHAnsi"/>
                <w:sz w:val="20"/>
                <w:szCs w:val="20"/>
              </w:rPr>
              <w:t>-0.09</w:t>
            </w:r>
          </w:p>
        </w:tc>
        <w:tc>
          <w:tcPr>
            <w:tcW w:w="1276" w:type="dxa"/>
            <w:shd w:val="clear" w:color="auto" w:fill="E5E5E5" w:themeFill="background1" w:themeFillTint="33"/>
            <w:noWrap/>
            <w:vAlign w:val="center"/>
            <w:hideMark/>
          </w:tcPr>
          <w:p w14:paraId="67AE23B3" w14:textId="77777777" w:rsidR="00961617" w:rsidRPr="00545C7F" w:rsidRDefault="00961617" w:rsidP="0020771F">
            <w:pPr>
              <w:spacing w:after="0"/>
              <w:ind w:left="240"/>
              <w:rPr>
                <w:rFonts w:cstheme="minorHAnsi"/>
                <w:sz w:val="20"/>
                <w:szCs w:val="20"/>
              </w:rPr>
            </w:pPr>
            <w:r w:rsidRPr="00545C7F">
              <w:rPr>
                <w:rFonts w:cstheme="minorHAnsi"/>
                <w:sz w:val="20"/>
                <w:szCs w:val="20"/>
              </w:rPr>
              <w:t>11.1</w:t>
            </w:r>
          </w:p>
        </w:tc>
      </w:tr>
      <w:tr w:rsidR="00961617" w:rsidRPr="00545C7F" w14:paraId="26E61E28" w14:textId="77777777" w:rsidTr="0020771F">
        <w:trPr>
          <w:trHeight w:hRule="exact" w:val="340"/>
        </w:trPr>
        <w:tc>
          <w:tcPr>
            <w:tcW w:w="3701" w:type="dxa"/>
            <w:shd w:val="clear" w:color="auto" w:fill="auto"/>
            <w:noWrap/>
            <w:vAlign w:val="center"/>
            <w:hideMark/>
          </w:tcPr>
          <w:p w14:paraId="73CC497F" w14:textId="77777777" w:rsidR="00961617" w:rsidRPr="00545C7F" w:rsidRDefault="00961617" w:rsidP="0020771F">
            <w:pPr>
              <w:spacing w:after="0"/>
              <w:rPr>
                <w:rFonts w:cstheme="minorHAnsi"/>
                <w:sz w:val="20"/>
                <w:szCs w:val="20"/>
              </w:rPr>
            </w:pPr>
            <w:r w:rsidRPr="00545C7F">
              <w:rPr>
                <w:rFonts w:cstheme="minorHAnsi"/>
                <w:sz w:val="20"/>
                <w:szCs w:val="20"/>
              </w:rPr>
              <w:t xml:space="preserve">Year 12 education </w:t>
            </w:r>
          </w:p>
        </w:tc>
        <w:tc>
          <w:tcPr>
            <w:tcW w:w="1276" w:type="dxa"/>
            <w:shd w:val="clear" w:color="auto" w:fill="auto"/>
            <w:noWrap/>
            <w:vAlign w:val="center"/>
            <w:hideMark/>
          </w:tcPr>
          <w:p w14:paraId="7F2C6FE4" w14:textId="77777777" w:rsidR="00961617" w:rsidRPr="00545C7F" w:rsidRDefault="00961617" w:rsidP="0020771F">
            <w:pPr>
              <w:spacing w:after="0"/>
              <w:ind w:left="240"/>
              <w:rPr>
                <w:rFonts w:cstheme="minorHAnsi"/>
                <w:sz w:val="20"/>
                <w:szCs w:val="20"/>
              </w:rPr>
            </w:pPr>
            <w:r w:rsidRPr="00545C7F">
              <w:rPr>
                <w:rFonts w:cstheme="minorHAnsi"/>
                <w:sz w:val="20"/>
                <w:szCs w:val="20"/>
              </w:rPr>
              <w:t>0.78</w:t>
            </w:r>
          </w:p>
        </w:tc>
        <w:tc>
          <w:tcPr>
            <w:tcW w:w="1417" w:type="dxa"/>
            <w:shd w:val="clear" w:color="auto" w:fill="auto"/>
            <w:noWrap/>
            <w:vAlign w:val="center"/>
            <w:hideMark/>
          </w:tcPr>
          <w:p w14:paraId="66CD6740" w14:textId="77777777" w:rsidR="00961617" w:rsidRPr="00545C7F" w:rsidRDefault="00961617" w:rsidP="0020771F">
            <w:pPr>
              <w:spacing w:after="0"/>
              <w:ind w:left="240"/>
              <w:rPr>
                <w:rFonts w:cstheme="minorHAnsi"/>
                <w:sz w:val="20"/>
                <w:szCs w:val="20"/>
              </w:rPr>
            </w:pPr>
            <w:r w:rsidRPr="00545C7F">
              <w:rPr>
                <w:rFonts w:cstheme="minorHAnsi"/>
                <w:sz w:val="20"/>
                <w:szCs w:val="20"/>
              </w:rPr>
              <w:t>0.70</w:t>
            </w:r>
          </w:p>
        </w:tc>
        <w:tc>
          <w:tcPr>
            <w:tcW w:w="1276" w:type="dxa"/>
            <w:shd w:val="clear" w:color="auto" w:fill="auto"/>
            <w:noWrap/>
            <w:vAlign w:val="center"/>
            <w:hideMark/>
          </w:tcPr>
          <w:p w14:paraId="70FEF1F7"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auto"/>
            <w:noWrap/>
            <w:vAlign w:val="center"/>
            <w:hideMark/>
          </w:tcPr>
          <w:p w14:paraId="7F958A43" w14:textId="77777777" w:rsidR="00961617" w:rsidRPr="00545C7F" w:rsidRDefault="00961617" w:rsidP="0020771F">
            <w:pPr>
              <w:spacing w:after="0"/>
              <w:ind w:left="240"/>
              <w:rPr>
                <w:rFonts w:cstheme="minorHAnsi"/>
                <w:sz w:val="20"/>
                <w:szCs w:val="20"/>
              </w:rPr>
            </w:pPr>
            <w:r w:rsidRPr="00545C7F">
              <w:rPr>
                <w:rFonts w:cstheme="minorHAnsi"/>
                <w:sz w:val="20"/>
                <w:szCs w:val="20"/>
              </w:rPr>
              <w:t>10.8</w:t>
            </w:r>
          </w:p>
        </w:tc>
      </w:tr>
      <w:tr w:rsidR="00961617" w:rsidRPr="00545C7F" w14:paraId="5D8B7712" w14:textId="77777777" w:rsidTr="0020771F">
        <w:trPr>
          <w:trHeight w:hRule="exact" w:val="340"/>
        </w:trPr>
        <w:tc>
          <w:tcPr>
            <w:tcW w:w="3701" w:type="dxa"/>
            <w:shd w:val="clear" w:color="auto" w:fill="E5E5E5" w:themeFill="background1" w:themeFillTint="33"/>
            <w:noWrap/>
            <w:vAlign w:val="center"/>
            <w:hideMark/>
          </w:tcPr>
          <w:p w14:paraId="651FBB12" w14:textId="77777777" w:rsidR="00961617" w:rsidRPr="00545C7F" w:rsidRDefault="00961617" w:rsidP="0020771F">
            <w:pPr>
              <w:spacing w:after="0"/>
              <w:rPr>
                <w:rFonts w:cstheme="minorHAnsi"/>
                <w:sz w:val="20"/>
                <w:szCs w:val="20"/>
              </w:rPr>
            </w:pPr>
            <w:r w:rsidRPr="00545C7F">
              <w:rPr>
                <w:rFonts w:cstheme="minorHAnsi"/>
                <w:sz w:val="20"/>
                <w:szCs w:val="20"/>
              </w:rPr>
              <w:t>Has a degree / postgraduate qualification</w:t>
            </w:r>
          </w:p>
        </w:tc>
        <w:tc>
          <w:tcPr>
            <w:tcW w:w="1276" w:type="dxa"/>
            <w:shd w:val="clear" w:color="auto" w:fill="E5E5E5" w:themeFill="background1" w:themeFillTint="33"/>
            <w:noWrap/>
            <w:vAlign w:val="center"/>
            <w:hideMark/>
          </w:tcPr>
          <w:p w14:paraId="0D5899E1" w14:textId="77777777" w:rsidR="00961617" w:rsidRPr="00545C7F" w:rsidRDefault="00961617" w:rsidP="0020771F">
            <w:pPr>
              <w:spacing w:after="0"/>
              <w:ind w:left="240"/>
              <w:rPr>
                <w:rFonts w:cstheme="minorHAnsi"/>
                <w:sz w:val="20"/>
                <w:szCs w:val="20"/>
              </w:rPr>
            </w:pPr>
            <w:r w:rsidRPr="00545C7F">
              <w:rPr>
                <w:rFonts w:cstheme="minorHAnsi"/>
                <w:sz w:val="20"/>
                <w:szCs w:val="20"/>
              </w:rPr>
              <w:t>0.86</w:t>
            </w:r>
          </w:p>
        </w:tc>
        <w:tc>
          <w:tcPr>
            <w:tcW w:w="1417" w:type="dxa"/>
            <w:shd w:val="clear" w:color="auto" w:fill="E5E5E5" w:themeFill="background1" w:themeFillTint="33"/>
            <w:noWrap/>
            <w:vAlign w:val="center"/>
            <w:hideMark/>
          </w:tcPr>
          <w:p w14:paraId="1B13F547" w14:textId="77777777" w:rsidR="00961617" w:rsidRPr="00545C7F" w:rsidRDefault="00961617" w:rsidP="0020771F">
            <w:pPr>
              <w:spacing w:after="0"/>
              <w:ind w:left="240"/>
              <w:rPr>
                <w:rFonts w:cstheme="minorHAnsi"/>
                <w:sz w:val="20"/>
                <w:szCs w:val="20"/>
              </w:rPr>
            </w:pPr>
            <w:r w:rsidRPr="00545C7F">
              <w:rPr>
                <w:rFonts w:cstheme="minorHAnsi"/>
                <w:sz w:val="20"/>
                <w:szCs w:val="20"/>
              </w:rPr>
              <w:t>0.80</w:t>
            </w:r>
          </w:p>
        </w:tc>
        <w:tc>
          <w:tcPr>
            <w:tcW w:w="1276" w:type="dxa"/>
            <w:shd w:val="clear" w:color="auto" w:fill="E5E5E5" w:themeFill="background1" w:themeFillTint="33"/>
            <w:noWrap/>
            <w:vAlign w:val="center"/>
            <w:hideMark/>
          </w:tcPr>
          <w:p w14:paraId="67B56288" w14:textId="77777777" w:rsidR="00961617" w:rsidRPr="00545C7F" w:rsidRDefault="00961617" w:rsidP="0020771F">
            <w:pPr>
              <w:spacing w:after="0"/>
              <w:ind w:left="240"/>
              <w:rPr>
                <w:rFonts w:cstheme="minorHAnsi"/>
                <w:sz w:val="20"/>
                <w:szCs w:val="20"/>
              </w:rPr>
            </w:pPr>
            <w:r w:rsidRPr="00545C7F">
              <w:rPr>
                <w:rFonts w:cstheme="minorHAnsi"/>
                <w:sz w:val="20"/>
                <w:szCs w:val="20"/>
              </w:rPr>
              <w:t>-0.06</w:t>
            </w:r>
          </w:p>
        </w:tc>
        <w:tc>
          <w:tcPr>
            <w:tcW w:w="1276" w:type="dxa"/>
            <w:shd w:val="clear" w:color="auto" w:fill="E5E5E5" w:themeFill="background1" w:themeFillTint="33"/>
            <w:noWrap/>
            <w:vAlign w:val="center"/>
            <w:hideMark/>
          </w:tcPr>
          <w:p w14:paraId="3491EF06" w14:textId="77777777" w:rsidR="00961617" w:rsidRPr="00545C7F" w:rsidRDefault="00961617" w:rsidP="0020771F">
            <w:pPr>
              <w:spacing w:after="0"/>
              <w:ind w:left="240"/>
              <w:rPr>
                <w:rFonts w:cstheme="minorHAnsi"/>
                <w:sz w:val="20"/>
                <w:szCs w:val="20"/>
              </w:rPr>
            </w:pPr>
            <w:r w:rsidRPr="00545C7F">
              <w:rPr>
                <w:rFonts w:cstheme="minorHAnsi"/>
                <w:sz w:val="20"/>
                <w:szCs w:val="20"/>
              </w:rPr>
              <w:t>7.1</w:t>
            </w:r>
          </w:p>
        </w:tc>
      </w:tr>
      <w:tr w:rsidR="00961617" w:rsidRPr="00545C7F" w14:paraId="2C8BE403" w14:textId="77777777" w:rsidTr="0020771F">
        <w:trPr>
          <w:trHeight w:hRule="exact" w:val="340"/>
        </w:trPr>
        <w:tc>
          <w:tcPr>
            <w:tcW w:w="3701" w:type="dxa"/>
            <w:shd w:val="clear" w:color="auto" w:fill="auto"/>
            <w:noWrap/>
            <w:vAlign w:val="center"/>
            <w:hideMark/>
          </w:tcPr>
          <w:p w14:paraId="4A63C8BA" w14:textId="77777777" w:rsidR="00961617" w:rsidRPr="00545C7F" w:rsidRDefault="00961617" w:rsidP="0020771F">
            <w:pPr>
              <w:spacing w:after="0"/>
              <w:rPr>
                <w:rFonts w:cstheme="minorHAnsi"/>
                <w:sz w:val="20"/>
                <w:szCs w:val="20"/>
              </w:rPr>
            </w:pPr>
            <w:r w:rsidRPr="00545C7F">
              <w:rPr>
                <w:rFonts w:cstheme="minorHAnsi"/>
                <w:sz w:val="20"/>
                <w:szCs w:val="20"/>
              </w:rPr>
              <w:t xml:space="preserve">Part-time activity tested  </w:t>
            </w:r>
          </w:p>
        </w:tc>
        <w:tc>
          <w:tcPr>
            <w:tcW w:w="1276" w:type="dxa"/>
            <w:shd w:val="clear" w:color="auto" w:fill="auto"/>
            <w:noWrap/>
            <w:vAlign w:val="center"/>
            <w:hideMark/>
          </w:tcPr>
          <w:p w14:paraId="71186394" w14:textId="77777777" w:rsidR="00961617" w:rsidRPr="00545C7F" w:rsidRDefault="00961617" w:rsidP="0020771F">
            <w:pPr>
              <w:spacing w:after="0"/>
              <w:ind w:left="240"/>
              <w:rPr>
                <w:rFonts w:cstheme="minorHAnsi"/>
                <w:sz w:val="20"/>
                <w:szCs w:val="20"/>
              </w:rPr>
            </w:pPr>
            <w:r w:rsidRPr="00545C7F">
              <w:rPr>
                <w:rFonts w:cstheme="minorHAnsi"/>
                <w:sz w:val="20"/>
                <w:szCs w:val="20"/>
              </w:rPr>
              <w:t>0.72</w:t>
            </w:r>
          </w:p>
        </w:tc>
        <w:tc>
          <w:tcPr>
            <w:tcW w:w="1417" w:type="dxa"/>
            <w:shd w:val="clear" w:color="auto" w:fill="auto"/>
            <w:noWrap/>
            <w:vAlign w:val="center"/>
            <w:hideMark/>
          </w:tcPr>
          <w:p w14:paraId="4FB12711" w14:textId="77777777" w:rsidR="00961617" w:rsidRPr="00545C7F" w:rsidRDefault="00961617" w:rsidP="0020771F">
            <w:pPr>
              <w:spacing w:after="0"/>
              <w:ind w:left="240"/>
              <w:rPr>
                <w:rFonts w:cstheme="minorHAnsi"/>
                <w:sz w:val="20"/>
                <w:szCs w:val="20"/>
              </w:rPr>
            </w:pPr>
            <w:r w:rsidRPr="00545C7F">
              <w:rPr>
                <w:rFonts w:cstheme="minorHAnsi"/>
                <w:sz w:val="20"/>
                <w:szCs w:val="20"/>
              </w:rPr>
              <w:t>0.63</w:t>
            </w:r>
          </w:p>
        </w:tc>
        <w:tc>
          <w:tcPr>
            <w:tcW w:w="1276" w:type="dxa"/>
            <w:shd w:val="clear" w:color="auto" w:fill="auto"/>
            <w:noWrap/>
            <w:vAlign w:val="center"/>
            <w:hideMark/>
          </w:tcPr>
          <w:p w14:paraId="5A348C38" w14:textId="77777777" w:rsidR="00961617" w:rsidRPr="00545C7F" w:rsidRDefault="00961617" w:rsidP="0020771F">
            <w:pPr>
              <w:spacing w:after="0"/>
              <w:ind w:left="240"/>
              <w:rPr>
                <w:rFonts w:cstheme="minorHAnsi"/>
                <w:sz w:val="20"/>
                <w:szCs w:val="20"/>
              </w:rPr>
            </w:pPr>
            <w:r w:rsidRPr="00545C7F">
              <w:rPr>
                <w:rFonts w:cstheme="minorHAnsi"/>
                <w:sz w:val="20"/>
                <w:szCs w:val="20"/>
              </w:rPr>
              <w:t>-0.10</w:t>
            </w:r>
          </w:p>
        </w:tc>
        <w:tc>
          <w:tcPr>
            <w:tcW w:w="1276" w:type="dxa"/>
            <w:shd w:val="clear" w:color="auto" w:fill="auto"/>
            <w:noWrap/>
            <w:vAlign w:val="center"/>
            <w:hideMark/>
          </w:tcPr>
          <w:p w14:paraId="2CF42067" w14:textId="77777777" w:rsidR="00961617" w:rsidRPr="00545C7F" w:rsidRDefault="00961617" w:rsidP="0020771F">
            <w:pPr>
              <w:spacing w:after="0"/>
              <w:ind w:left="240"/>
              <w:rPr>
                <w:rFonts w:cstheme="minorHAnsi"/>
                <w:sz w:val="20"/>
                <w:szCs w:val="20"/>
              </w:rPr>
            </w:pPr>
            <w:r w:rsidRPr="00545C7F">
              <w:rPr>
                <w:rFonts w:cstheme="minorHAnsi"/>
                <w:sz w:val="20"/>
                <w:szCs w:val="20"/>
              </w:rPr>
              <w:t>13.3</w:t>
            </w:r>
          </w:p>
        </w:tc>
      </w:tr>
      <w:tr w:rsidR="00961617" w:rsidRPr="00545C7F" w14:paraId="52A2C4D3" w14:textId="77777777" w:rsidTr="0020771F">
        <w:trPr>
          <w:trHeight w:hRule="exact" w:val="340"/>
        </w:trPr>
        <w:tc>
          <w:tcPr>
            <w:tcW w:w="3701" w:type="dxa"/>
            <w:shd w:val="clear" w:color="auto" w:fill="E5E5E5" w:themeFill="background1" w:themeFillTint="33"/>
            <w:noWrap/>
            <w:vAlign w:val="center"/>
            <w:hideMark/>
          </w:tcPr>
          <w:p w14:paraId="0DB723B4" w14:textId="77777777" w:rsidR="00961617" w:rsidRPr="00545C7F" w:rsidRDefault="00961617" w:rsidP="0020771F">
            <w:pPr>
              <w:spacing w:after="0"/>
              <w:rPr>
                <w:rFonts w:cstheme="minorHAnsi"/>
                <w:sz w:val="20"/>
                <w:szCs w:val="20"/>
              </w:rPr>
            </w:pPr>
            <w:r w:rsidRPr="00545C7F">
              <w:rPr>
                <w:rFonts w:cstheme="minorHAnsi"/>
                <w:sz w:val="20"/>
                <w:szCs w:val="20"/>
              </w:rPr>
              <w:t>Single parents</w:t>
            </w:r>
          </w:p>
        </w:tc>
        <w:tc>
          <w:tcPr>
            <w:tcW w:w="1276" w:type="dxa"/>
            <w:shd w:val="clear" w:color="auto" w:fill="E5E5E5" w:themeFill="background1" w:themeFillTint="33"/>
            <w:noWrap/>
            <w:vAlign w:val="center"/>
            <w:hideMark/>
          </w:tcPr>
          <w:p w14:paraId="45E17759" w14:textId="77777777" w:rsidR="00961617" w:rsidRPr="00545C7F" w:rsidRDefault="00961617" w:rsidP="0020771F">
            <w:pPr>
              <w:spacing w:after="0"/>
              <w:ind w:left="240"/>
              <w:rPr>
                <w:rFonts w:cstheme="minorHAnsi"/>
                <w:sz w:val="20"/>
                <w:szCs w:val="20"/>
              </w:rPr>
            </w:pPr>
            <w:r w:rsidRPr="00545C7F">
              <w:rPr>
                <w:rFonts w:cstheme="minorHAnsi"/>
                <w:sz w:val="20"/>
                <w:szCs w:val="20"/>
              </w:rPr>
              <w:t>0.63</w:t>
            </w:r>
          </w:p>
        </w:tc>
        <w:tc>
          <w:tcPr>
            <w:tcW w:w="1417" w:type="dxa"/>
            <w:shd w:val="clear" w:color="auto" w:fill="E5E5E5" w:themeFill="background1" w:themeFillTint="33"/>
            <w:noWrap/>
            <w:vAlign w:val="center"/>
            <w:hideMark/>
          </w:tcPr>
          <w:p w14:paraId="75AC6BB1" w14:textId="77777777" w:rsidR="00961617" w:rsidRPr="00545C7F" w:rsidRDefault="00961617" w:rsidP="0020771F">
            <w:pPr>
              <w:spacing w:after="0"/>
              <w:ind w:left="240"/>
              <w:rPr>
                <w:rFonts w:cstheme="minorHAnsi"/>
                <w:sz w:val="20"/>
                <w:szCs w:val="20"/>
              </w:rPr>
            </w:pPr>
            <w:r w:rsidRPr="00545C7F">
              <w:rPr>
                <w:rFonts w:cstheme="minorHAnsi"/>
                <w:sz w:val="20"/>
                <w:szCs w:val="20"/>
              </w:rPr>
              <w:t>0.53</w:t>
            </w:r>
          </w:p>
        </w:tc>
        <w:tc>
          <w:tcPr>
            <w:tcW w:w="1276" w:type="dxa"/>
            <w:shd w:val="clear" w:color="auto" w:fill="E5E5E5" w:themeFill="background1" w:themeFillTint="33"/>
            <w:noWrap/>
            <w:vAlign w:val="center"/>
            <w:hideMark/>
          </w:tcPr>
          <w:p w14:paraId="72AC67C0" w14:textId="77777777" w:rsidR="00961617" w:rsidRPr="00545C7F" w:rsidRDefault="00961617" w:rsidP="0020771F">
            <w:pPr>
              <w:spacing w:after="0"/>
              <w:ind w:left="240"/>
              <w:rPr>
                <w:rFonts w:cstheme="minorHAnsi"/>
                <w:sz w:val="20"/>
                <w:szCs w:val="20"/>
              </w:rPr>
            </w:pPr>
            <w:r w:rsidRPr="00545C7F">
              <w:rPr>
                <w:rFonts w:cstheme="minorHAnsi"/>
                <w:sz w:val="20"/>
                <w:szCs w:val="20"/>
              </w:rPr>
              <w:t>-0.11</w:t>
            </w:r>
          </w:p>
        </w:tc>
        <w:tc>
          <w:tcPr>
            <w:tcW w:w="1276" w:type="dxa"/>
            <w:shd w:val="clear" w:color="auto" w:fill="E5E5E5" w:themeFill="background1" w:themeFillTint="33"/>
            <w:noWrap/>
            <w:vAlign w:val="center"/>
            <w:hideMark/>
          </w:tcPr>
          <w:p w14:paraId="5B1513BB" w14:textId="77777777" w:rsidR="00961617" w:rsidRPr="00545C7F" w:rsidRDefault="00961617" w:rsidP="0020771F">
            <w:pPr>
              <w:spacing w:after="0"/>
              <w:ind w:left="240"/>
              <w:rPr>
                <w:rFonts w:cstheme="minorHAnsi"/>
                <w:sz w:val="20"/>
                <w:szCs w:val="20"/>
              </w:rPr>
            </w:pPr>
            <w:r w:rsidRPr="00545C7F">
              <w:rPr>
                <w:rFonts w:cstheme="minorHAnsi"/>
                <w:sz w:val="20"/>
                <w:szCs w:val="20"/>
              </w:rPr>
              <w:t>16.9</w:t>
            </w:r>
          </w:p>
        </w:tc>
      </w:tr>
      <w:tr w:rsidR="00961617" w:rsidRPr="00545C7F" w14:paraId="0BFBCD92" w14:textId="77777777" w:rsidTr="0020771F">
        <w:trPr>
          <w:trHeight w:hRule="exact" w:val="340"/>
        </w:trPr>
        <w:tc>
          <w:tcPr>
            <w:tcW w:w="3701" w:type="dxa"/>
            <w:shd w:val="clear" w:color="auto" w:fill="auto"/>
            <w:noWrap/>
            <w:vAlign w:val="center"/>
            <w:hideMark/>
          </w:tcPr>
          <w:p w14:paraId="4965AEF7" w14:textId="77777777" w:rsidR="00961617" w:rsidRPr="00545C7F" w:rsidRDefault="00961617" w:rsidP="0020771F">
            <w:pPr>
              <w:spacing w:after="0"/>
              <w:rPr>
                <w:rFonts w:cstheme="minorHAnsi"/>
                <w:sz w:val="20"/>
                <w:szCs w:val="20"/>
              </w:rPr>
            </w:pPr>
            <w:r w:rsidRPr="00545C7F">
              <w:rPr>
                <w:rFonts w:cstheme="minorHAnsi"/>
                <w:sz w:val="20"/>
                <w:szCs w:val="20"/>
              </w:rPr>
              <w:t xml:space="preserve">With disability  </w:t>
            </w:r>
          </w:p>
        </w:tc>
        <w:tc>
          <w:tcPr>
            <w:tcW w:w="1276" w:type="dxa"/>
            <w:shd w:val="clear" w:color="auto" w:fill="auto"/>
            <w:noWrap/>
            <w:vAlign w:val="center"/>
            <w:hideMark/>
          </w:tcPr>
          <w:p w14:paraId="5CF60B2D" w14:textId="77777777" w:rsidR="00961617" w:rsidRPr="00545C7F" w:rsidRDefault="00961617" w:rsidP="0020771F">
            <w:pPr>
              <w:spacing w:after="0"/>
              <w:ind w:left="240"/>
              <w:rPr>
                <w:rFonts w:cstheme="minorHAnsi"/>
                <w:sz w:val="20"/>
                <w:szCs w:val="20"/>
              </w:rPr>
            </w:pPr>
            <w:r w:rsidRPr="00545C7F">
              <w:rPr>
                <w:rFonts w:cstheme="minorHAnsi"/>
                <w:sz w:val="20"/>
                <w:szCs w:val="20"/>
              </w:rPr>
              <w:t>0.44</w:t>
            </w:r>
          </w:p>
        </w:tc>
        <w:tc>
          <w:tcPr>
            <w:tcW w:w="1417" w:type="dxa"/>
            <w:shd w:val="clear" w:color="auto" w:fill="auto"/>
            <w:noWrap/>
            <w:vAlign w:val="center"/>
            <w:hideMark/>
          </w:tcPr>
          <w:p w14:paraId="6617A832" w14:textId="77777777" w:rsidR="00961617" w:rsidRPr="00545C7F" w:rsidRDefault="00961617" w:rsidP="0020771F">
            <w:pPr>
              <w:spacing w:after="0"/>
              <w:ind w:left="240"/>
              <w:rPr>
                <w:rFonts w:cstheme="minorHAnsi"/>
                <w:sz w:val="20"/>
                <w:szCs w:val="20"/>
              </w:rPr>
            </w:pPr>
            <w:r w:rsidRPr="00545C7F">
              <w:rPr>
                <w:rFonts w:cstheme="minorHAnsi"/>
                <w:sz w:val="20"/>
                <w:szCs w:val="20"/>
              </w:rPr>
              <w:t>0.34</w:t>
            </w:r>
          </w:p>
        </w:tc>
        <w:tc>
          <w:tcPr>
            <w:tcW w:w="1276" w:type="dxa"/>
            <w:shd w:val="clear" w:color="auto" w:fill="auto"/>
            <w:noWrap/>
            <w:vAlign w:val="center"/>
            <w:hideMark/>
          </w:tcPr>
          <w:p w14:paraId="349C60C1" w14:textId="77777777" w:rsidR="00961617" w:rsidRPr="00545C7F" w:rsidRDefault="00961617" w:rsidP="0020771F">
            <w:pPr>
              <w:spacing w:after="0"/>
              <w:ind w:left="240"/>
              <w:rPr>
                <w:rFonts w:cstheme="minorHAnsi"/>
                <w:sz w:val="20"/>
                <w:szCs w:val="20"/>
              </w:rPr>
            </w:pPr>
            <w:r w:rsidRPr="00545C7F">
              <w:rPr>
                <w:rFonts w:cstheme="minorHAnsi"/>
                <w:sz w:val="20"/>
                <w:szCs w:val="20"/>
              </w:rPr>
              <w:t>-0.10</w:t>
            </w:r>
          </w:p>
        </w:tc>
        <w:tc>
          <w:tcPr>
            <w:tcW w:w="1276" w:type="dxa"/>
            <w:shd w:val="clear" w:color="auto" w:fill="auto"/>
            <w:noWrap/>
            <w:vAlign w:val="center"/>
            <w:hideMark/>
          </w:tcPr>
          <w:p w14:paraId="6E3896BD" w14:textId="77777777" w:rsidR="00961617" w:rsidRPr="00545C7F" w:rsidRDefault="00961617" w:rsidP="0020771F">
            <w:pPr>
              <w:spacing w:after="0"/>
              <w:ind w:left="240"/>
              <w:rPr>
                <w:rFonts w:cstheme="minorHAnsi"/>
                <w:sz w:val="20"/>
                <w:szCs w:val="20"/>
              </w:rPr>
            </w:pPr>
            <w:r w:rsidRPr="00545C7F">
              <w:rPr>
                <w:rFonts w:cstheme="minorHAnsi"/>
                <w:sz w:val="20"/>
                <w:szCs w:val="20"/>
              </w:rPr>
              <w:t>23.7</w:t>
            </w:r>
          </w:p>
        </w:tc>
      </w:tr>
      <w:tr w:rsidR="00961617" w:rsidRPr="00545C7F" w14:paraId="30C439F0" w14:textId="77777777" w:rsidTr="0020771F">
        <w:trPr>
          <w:trHeight w:hRule="exact" w:val="340"/>
        </w:trPr>
        <w:tc>
          <w:tcPr>
            <w:tcW w:w="3701" w:type="dxa"/>
            <w:shd w:val="clear" w:color="auto" w:fill="E5E5E5" w:themeFill="background1" w:themeFillTint="33"/>
            <w:noWrap/>
            <w:vAlign w:val="center"/>
            <w:hideMark/>
          </w:tcPr>
          <w:p w14:paraId="560A05B9" w14:textId="77777777" w:rsidR="00961617" w:rsidRPr="00545C7F" w:rsidRDefault="00961617" w:rsidP="0020771F">
            <w:pPr>
              <w:spacing w:after="0"/>
              <w:rPr>
                <w:rFonts w:cstheme="minorHAnsi"/>
                <w:sz w:val="20"/>
                <w:szCs w:val="20"/>
              </w:rPr>
            </w:pPr>
            <w:r w:rsidRPr="00545C7F">
              <w:rPr>
                <w:rFonts w:cstheme="minorHAnsi"/>
                <w:sz w:val="20"/>
                <w:szCs w:val="20"/>
              </w:rPr>
              <w:t xml:space="preserve">Medium disadvantaged country of birth  </w:t>
            </w:r>
          </w:p>
        </w:tc>
        <w:tc>
          <w:tcPr>
            <w:tcW w:w="1276" w:type="dxa"/>
            <w:shd w:val="clear" w:color="auto" w:fill="E5E5E5" w:themeFill="background1" w:themeFillTint="33"/>
            <w:noWrap/>
            <w:vAlign w:val="center"/>
            <w:hideMark/>
          </w:tcPr>
          <w:p w14:paraId="598A6013" w14:textId="77777777" w:rsidR="00961617" w:rsidRPr="00545C7F" w:rsidRDefault="00961617" w:rsidP="0020771F">
            <w:pPr>
              <w:spacing w:after="0"/>
              <w:ind w:left="240"/>
              <w:rPr>
                <w:rFonts w:cstheme="minorHAnsi"/>
                <w:sz w:val="20"/>
                <w:szCs w:val="20"/>
              </w:rPr>
            </w:pPr>
            <w:r w:rsidRPr="00545C7F">
              <w:rPr>
                <w:rFonts w:cstheme="minorHAnsi"/>
                <w:sz w:val="20"/>
                <w:szCs w:val="20"/>
              </w:rPr>
              <w:t>0.57</w:t>
            </w:r>
          </w:p>
        </w:tc>
        <w:tc>
          <w:tcPr>
            <w:tcW w:w="1417" w:type="dxa"/>
            <w:shd w:val="clear" w:color="auto" w:fill="E5E5E5" w:themeFill="background1" w:themeFillTint="33"/>
            <w:noWrap/>
            <w:vAlign w:val="center"/>
            <w:hideMark/>
          </w:tcPr>
          <w:p w14:paraId="2C9498E3" w14:textId="77777777" w:rsidR="00961617" w:rsidRPr="00545C7F" w:rsidRDefault="00961617" w:rsidP="0020771F">
            <w:pPr>
              <w:spacing w:after="0"/>
              <w:ind w:left="240"/>
              <w:rPr>
                <w:rFonts w:cstheme="minorHAnsi"/>
                <w:sz w:val="20"/>
                <w:szCs w:val="20"/>
              </w:rPr>
            </w:pPr>
            <w:r w:rsidRPr="00545C7F">
              <w:rPr>
                <w:rFonts w:cstheme="minorHAnsi"/>
                <w:sz w:val="20"/>
                <w:szCs w:val="20"/>
              </w:rPr>
              <w:t>0.46</w:t>
            </w:r>
          </w:p>
        </w:tc>
        <w:tc>
          <w:tcPr>
            <w:tcW w:w="1276" w:type="dxa"/>
            <w:shd w:val="clear" w:color="auto" w:fill="E5E5E5" w:themeFill="background1" w:themeFillTint="33"/>
            <w:noWrap/>
            <w:vAlign w:val="center"/>
            <w:hideMark/>
          </w:tcPr>
          <w:p w14:paraId="5BBA0A17" w14:textId="77777777" w:rsidR="00961617" w:rsidRPr="00545C7F" w:rsidRDefault="00961617" w:rsidP="0020771F">
            <w:pPr>
              <w:spacing w:after="0"/>
              <w:ind w:left="240"/>
              <w:rPr>
                <w:rFonts w:cstheme="minorHAnsi"/>
                <w:sz w:val="20"/>
                <w:szCs w:val="20"/>
              </w:rPr>
            </w:pPr>
            <w:r w:rsidRPr="00545C7F">
              <w:rPr>
                <w:rFonts w:cstheme="minorHAnsi"/>
                <w:sz w:val="20"/>
                <w:szCs w:val="20"/>
              </w:rPr>
              <w:t>-0.11</w:t>
            </w:r>
          </w:p>
        </w:tc>
        <w:tc>
          <w:tcPr>
            <w:tcW w:w="1276" w:type="dxa"/>
            <w:shd w:val="clear" w:color="auto" w:fill="E5E5E5" w:themeFill="background1" w:themeFillTint="33"/>
            <w:noWrap/>
            <w:vAlign w:val="center"/>
            <w:hideMark/>
          </w:tcPr>
          <w:p w14:paraId="0B21F517" w14:textId="77777777" w:rsidR="00961617" w:rsidRPr="00545C7F" w:rsidRDefault="00961617" w:rsidP="0020771F">
            <w:pPr>
              <w:spacing w:after="0"/>
              <w:ind w:left="240"/>
              <w:rPr>
                <w:rFonts w:cstheme="minorHAnsi"/>
                <w:sz w:val="20"/>
                <w:szCs w:val="20"/>
              </w:rPr>
            </w:pPr>
            <w:r w:rsidRPr="00545C7F">
              <w:rPr>
                <w:rFonts w:cstheme="minorHAnsi"/>
                <w:sz w:val="20"/>
                <w:szCs w:val="20"/>
              </w:rPr>
              <w:t>19.4</w:t>
            </w:r>
          </w:p>
        </w:tc>
      </w:tr>
      <w:tr w:rsidR="00961617" w:rsidRPr="00545C7F" w14:paraId="50DC4A6F" w14:textId="77777777" w:rsidTr="0020771F">
        <w:trPr>
          <w:trHeight w:hRule="exact" w:val="340"/>
        </w:trPr>
        <w:tc>
          <w:tcPr>
            <w:tcW w:w="3701" w:type="dxa"/>
            <w:shd w:val="clear" w:color="auto" w:fill="auto"/>
            <w:noWrap/>
            <w:vAlign w:val="center"/>
            <w:hideMark/>
          </w:tcPr>
          <w:p w14:paraId="72EF8A12" w14:textId="77777777" w:rsidR="00961617" w:rsidRPr="00545C7F" w:rsidRDefault="00961617" w:rsidP="0020771F">
            <w:pPr>
              <w:spacing w:after="0"/>
              <w:rPr>
                <w:rFonts w:cstheme="minorHAnsi"/>
                <w:sz w:val="20"/>
                <w:szCs w:val="20"/>
              </w:rPr>
            </w:pPr>
            <w:r w:rsidRPr="00545C7F">
              <w:rPr>
                <w:rFonts w:cstheme="minorHAnsi"/>
                <w:sz w:val="20"/>
                <w:szCs w:val="20"/>
              </w:rPr>
              <w:t>High disadvantaged country of birth</w:t>
            </w:r>
          </w:p>
        </w:tc>
        <w:tc>
          <w:tcPr>
            <w:tcW w:w="1276" w:type="dxa"/>
            <w:shd w:val="clear" w:color="auto" w:fill="auto"/>
            <w:noWrap/>
            <w:vAlign w:val="center"/>
            <w:hideMark/>
          </w:tcPr>
          <w:p w14:paraId="6A90C53B" w14:textId="77777777" w:rsidR="00961617" w:rsidRPr="00545C7F" w:rsidRDefault="00961617" w:rsidP="0020771F">
            <w:pPr>
              <w:spacing w:after="0"/>
              <w:ind w:left="240"/>
              <w:rPr>
                <w:rFonts w:cstheme="minorHAnsi"/>
                <w:sz w:val="20"/>
                <w:szCs w:val="20"/>
              </w:rPr>
            </w:pPr>
            <w:r w:rsidRPr="00545C7F">
              <w:rPr>
                <w:rFonts w:cstheme="minorHAnsi"/>
                <w:sz w:val="20"/>
                <w:szCs w:val="20"/>
              </w:rPr>
              <w:t>0.65</w:t>
            </w:r>
          </w:p>
        </w:tc>
        <w:tc>
          <w:tcPr>
            <w:tcW w:w="1417" w:type="dxa"/>
            <w:shd w:val="clear" w:color="auto" w:fill="auto"/>
            <w:noWrap/>
            <w:vAlign w:val="center"/>
            <w:hideMark/>
          </w:tcPr>
          <w:p w14:paraId="4EEB4977" w14:textId="77777777" w:rsidR="00961617" w:rsidRPr="00545C7F" w:rsidRDefault="00961617" w:rsidP="0020771F">
            <w:pPr>
              <w:spacing w:after="0"/>
              <w:ind w:left="240"/>
              <w:rPr>
                <w:rFonts w:cstheme="minorHAnsi"/>
                <w:sz w:val="20"/>
                <w:szCs w:val="20"/>
              </w:rPr>
            </w:pPr>
            <w:r w:rsidRPr="00545C7F">
              <w:rPr>
                <w:rFonts w:cstheme="minorHAnsi"/>
                <w:sz w:val="20"/>
                <w:szCs w:val="20"/>
              </w:rPr>
              <w:t>0.55</w:t>
            </w:r>
          </w:p>
        </w:tc>
        <w:tc>
          <w:tcPr>
            <w:tcW w:w="1276" w:type="dxa"/>
            <w:shd w:val="clear" w:color="auto" w:fill="auto"/>
            <w:noWrap/>
            <w:vAlign w:val="center"/>
            <w:hideMark/>
          </w:tcPr>
          <w:p w14:paraId="336E3CB0" w14:textId="77777777" w:rsidR="00961617" w:rsidRPr="00545C7F" w:rsidRDefault="00961617" w:rsidP="0020771F">
            <w:pPr>
              <w:spacing w:after="0"/>
              <w:ind w:left="240"/>
              <w:rPr>
                <w:rFonts w:cstheme="minorHAnsi"/>
                <w:sz w:val="20"/>
                <w:szCs w:val="20"/>
              </w:rPr>
            </w:pPr>
            <w:r w:rsidRPr="00545C7F">
              <w:rPr>
                <w:rFonts w:cstheme="minorHAnsi"/>
                <w:sz w:val="20"/>
                <w:szCs w:val="20"/>
              </w:rPr>
              <w:t>-0.11</w:t>
            </w:r>
          </w:p>
        </w:tc>
        <w:tc>
          <w:tcPr>
            <w:tcW w:w="1276" w:type="dxa"/>
            <w:shd w:val="clear" w:color="auto" w:fill="auto"/>
            <w:noWrap/>
            <w:vAlign w:val="center"/>
            <w:hideMark/>
          </w:tcPr>
          <w:p w14:paraId="271AF957" w14:textId="77777777" w:rsidR="00961617" w:rsidRPr="00545C7F" w:rsidRDefault="00961617" w:rsidP="0020771F">
            <w:pPr>
              <w:spacing w:after="0"/>
              <w:ind w:left="240"/>
              <w:rPr>
                <w:rFonts w:cstheme="minorHAnsi"/>
                <w:sz w:val="20"/>
                <w:szCs w:val="20"/>
              </w:rPr>
            </w:pPr>
            <w:r w:rsidRPr="00545C7F">
              <w:rPr>
                <w:rFonts w:cstheme="minorHAnsi"/>
                <w:sz w:val="20"/>
                <w:szCs w:val="20"/>
              </w:rPr>
              <w:t>16.3</w:t>
            </w:r>
          </w:p>
        </w:tc>
      </w:tr>
      <w:tr w:rsidR="00961617" w:rsidRPr="00545C7F" w14:paraId="7C45EE91" w14:textId="77777777" w:rsidTr="0020771F">
        <w:trPr>
          <w:trHeight w:hRule="exact" w:val="340"/>
        </w:trPr>
        <w:tc>
          <w:tcPr>
            <w:tcW w:w="3701" w:type="dxa"/>
            <w:shd w:val="clear" w:color="auto" w:fill="8EAEDE"/>
            <w:noWrap/>
            <w:vAlign w:val="center"/>
            <w:hideMark/>
          </w:tcPr>
          <w:p w14:paraId="2E205745" w14:textId="77777777" w:rsidR="00961617" w:rsidRPr="00545C7F" w:rsidRDefault="00961617" w:rsidP="0020771F">
            <w:pPr>
              <w:spacing w:after="0"/>
              <w:rPr>
                <w:rFonts w:cstheme="minorHAnsi"/>
                <w:sz w:val="20"/>
                <w:szCs w:val="20"/>
              </w:rPr>
            </w:pPr>
            <w:r w:rsidRPr="00545C7F">
              <w:rPr>
                <w:rFonts w:cstheme="minorHAnsi"/>
                <w:sz w:val="20"/>
                <w:szCs w:val="20"/>
              </w:rPr>
              <w:t>Reference type job seeker</w:t>
            </w:r>
          </w:p>
        </w:tc>
        <w:tc>
          <w:tcPr>
            <w:tcW w:w="1276" w:type="dxa"/>
            <w:shd w:val="clear" w:color="auto" w:fill="8EAEDE"/>
            <w:noWrap/>
            <w:vAlign w:val="center"/>
            <w:hideMark/>
          </w:tcPr>
          <w:p w14:paraId="29C0CED4" w14:textId="77777777" w:rsidR="00961617" w:rsidRPr="00545C7F" w:rsidRDefault="00961617" w:rsidP="0020771F">
            <w:pPr>
              <w:spacing w:after="0"/>
              <w:ind w:left="240"/>
              <w:rPr>
                <w:rFonts w:cstheme="minorHAnsi"/>
                <w:sz w:val="20"/>
                <w:szCs w:val="20"/>
              </w:rPr>
            </w:pPr>
            <w:r w:rsidRPr="00545C7F">
              <w:rPr>
                <w:rFonts w:cstheme="minorHAnsi"/>
                <w:sz w:val="20"/>
                <w:szCs w:val="20"/>
              </w:rPr>
              <w:t>0.79</w:t>
            </w:r>
          </w:p>
        </w:tc>
        <w:tc>
          <w:tcPr>
            <w:tcW w:w="1417" w:type="dxa"/>
            <w:shd w:val="clear" w:color="auto" w:fill="8EAEDE"/>
            <w:noWrap/>
            <w:vAlign w:val="center"/>
            <w:hideMark/>
          </w:tcPr>
          <w:p w14:paraId="64CB6FE8" w14:textId="77777777" w:rsidR="00961617" w:rsidRPr="00545C7F" w:rsidRDefault="00961617" w:rsidP="0020771F">
            <w:pPr>
              <w:spacing w:after="0"/>
              <w:ind w:left="240"/>
              <w:rPr>
                <w:rFonts w:cstheme="minorHAnsi"/>
                <w:sz w:val="20"/>
                <w:szCs w:val="20"/>
              </w:rPr>
            </w:pPr>
            <w:r w:rsidRPr="00545C7F">
              <w:rPr>
                <w:rFonts w:cstheme="minorHAnsi"/>
                <w:sz w:val="20"/>
                <w:szCs w:val="20"/>
              </w:rPr>
              <w:t>0.71</w:t>
            </w:r>
          </w:p>
        </w:tc>
        <w:tc>
          <w:tcPr>
            <w:tcW w:w="1276" w:type="dxa"/>
            <w:shd w:val="clear" w:color="auto" w:fill="8EAEDE"/>
            <w:noWrap/>
            <w:vAlign w:val="center"/>
            <w:hideMark/>
          </w:tcPr>
          <w:p w14:paraId="6B910FC3" w14:textId="77777777" w:rsidR="00961617" w:rsidRPr="00545C7F" w:rsidRDefault="00961617" w:rsidP="0020771F">
            <w:pPr>
              <w:spacing w:after="0"/>
              <w:ind w:left="240"/>
              <w:rPr>
                <w:rFonts w:cstheme="minorHAnsi"/>
                <w:sz w:val="20"/>
                <w:szCs w:val="20"/>
              </w:rPr>
            </w:pPr>
            <w:r w:rsidRPr="00545C7F">
              <w:rPr>
                <w:rFonts w:cstheme="minorHAnsi"/>
                <w:sz w:val="20"/>
                <w:szCs w:val="20"/>
              </w:rPr>
              <w:t>-0.08</w:t>
            </w:r>
          </w:p>
        </w:tc>
        <w:tc>
          <w:tcPr>
            <w:tcW w:w="1276" w:type="dxa"/>
            <w:shd w:val="clear" w:color="auto" w:fill="8EAEDE"/>
            <w:noWrap/>
            <w:vAlign w:val="center"/>
            <w:hideMark/>
          </w:tcPr>
          <w:p w14:paraId="3716AF0A" w14:textId="77777777" w:rsidR="00961617" w:rsidRPr="00545C7F" w:rsidRDefault="00961617" w:rsidP="0020771F">
            <w:pPr>
              <w:spacing w:after="0"/>
              <w:ind w:left="240"/>
              <w:rPr>
                <w:rFonts w:cstheme="minorHAnsi"/>
                <w:sz w:val="20"/>
                <w:szCs w:val="20"/>
              </w:rPr>
            </w:pPr>
            <w:r w:rsidRPr="00545C7F">
              <w:rPr>
                <w:rFonts w:cstheme="minorHAnsi"/>
                <w:sz w:val="20"/>
                <w:szCs w:val="20"/>
              </w:rPr>
              <w:t>10.5</w:t>
            </w:r>
          </w:p>
        </w:tc>
      </w:tr>
    </w:tbl>
    <w:p w14:paraId="21DE2C03" w14:textId="77777777" w:rsidR="00961617" w:rsidRPr="002F5864" w:rsidRDefault="00961617" w:rsidP="00E13B5E">
      <w:pPr>
        <w:pStyle w:val="Notes"/>
      </w:pPr>
      <w:r w:rsidRPr="00E13B5E">
        <w:rPr>
          <w:b/>
        </w:rPr>
        <w:t>Notes</w:t>
      </w:r>
      <w:r w:rsidRPr="002F5864">
        <w:t>:</w:t>
      </w:r>
      <w:r w:rsidRPr="002F5864">
        <w:tab/>
      </w:r>
    </w:p>
    <w:p w14:paraId="634B21F7" w14:textId="77777777" w:rsidR="00961617" w:rsidRPr="00AE501D" w:rsidRDefault="00961617" w:rsidP="00AE501D">
      <w:pPr>
        <w:pStyle w:val="Notesnumbered"/>
        <w:numPr>
          <w:ilvl w:val="0"/>
          <w:numId w:val="270"/>
        </w:numPr>
      </w:pPr>
      <w:r w:rsidRPr="00AE501D">
        <w:t>These results are regressed, controlling for job seeker and labour market characteristics during the two reference periods.</w:t>
      </w:r>
    </w:p>
    <w:p w14:paraId="5462E762" w14:textId="77777777" w:rsidR="00961617" w:rsidRPr="002F5864" w:rsidRDefault="00961617" w:rsidP="00AE501D">
      <w:pPr>
        <w:pStyle w:val="Notesnumbered"/>
        <w:numPr>
          <w:ilvl w:val="0"/>
          <w:numId w:val="270"/>
        </w:numPr>
      </w:pPr>
      <w:r w:rsidRPr="00AE501D">
        <w:t>The above results show the probability of being off income support for different job seeker characteristics (while holding all other defining variables for the reference job seeker constant). See Attachment A, Table A.2 for further description of the reference job seeker</w:t>
      </w:r>
      <w:r w:rsidRPr="002F5864">
        <w:t xml:space="preserve"> used throughout this report.</w:t>
      </w:r>
    </w:p>
    <w:p w14:paraId="71536E98" w14:textId="77777777" w:rsidR="00961617" w:rsidRPr="002F5864" w:rsidRDefault="00961617" w:rsidP="00E13B5E">
      <w:pPr>
        <w:pStyle w:val="Source"/>
        <w:rPr>
          <w:rFonts w:eastAsia="Times New Roman"/>
          <w:lang w:eastAsia="en-AU"/>
        </w:rPr>
      </w:pPr>
      <w:r w:rsidRPr="002F5864">
        <w:rPr>
          <w:b/>
        </w:rPr>
        <w:t>Source:</w:t>
      </w:r>
      <w:r w:rsidRPr="002F5864">
        <w:rPr>
          <w:b/>
        </w:rPr>
        <w:tab/>
      </w:r>
      <w:r w:rsidRPr="002F5864">
        <w:rPr>
          <w:rFonts w:eastAsia="Times New Roman"/>
          <w:lang w:eastAsia="en-AU"/>
        </w:rPr>
        <w:t>Department of Employment administrative data.</w:t>
      </w:r>
    </w:p>
    <w:p w14:paraId="28C6AED0" w14:textId="77777777" w:rsidR="00961617" w:rsidRPr="002F5864" w:rsidRDefault="00864C5E" w:rsidP="00961617">
      <w:pPr>
        <w:spacing w:before="120"/>
        <w:rPr>
          <w:rFonts w:cstheme="minorHAnsi"/>
          <w:sz w:val="18"/>
          <w:szCs w:val="18"/>
        </w:rPr>
      </w:pPr>
      <w:hyperlink w:anchor="Place_A223" w:history="1">
        <w:r w:rsidR="00961617" w:rsidRPr="005F1335">
          <w:rPr>
            <w:rStyle w:val="Hyperlink"/>
            <w:rFonts w:cstheme="minorHAnsi"/>
            <w:sz w:val="18"/>
            <w:szCs w:val="18"/>
          </w:rPr>
          <w:t>Return to Figure 4.5</w:t>
        </w:r>
      </w:hyperlink>
      <w:r w:rsidR="00961617" w:rsidRPr="002F5864">
        <w:rPr>
          <w:rFonts w:cstheme="minorHAnsi"/>
          <w:sz w:val="18"/>
          <w:szCs w:val="18"/>
        </w:rPr>
        <w:t xml:space="preserve"> where this data is referenced.</w:t>
      </w:r>
    </w:p>
    <w:p w14:paraId="692D231F" w14:textId="77777777" w:rsidR="00961617" w:rsidRPr="002F5864" w:rsidRDefault="00961617" w:rsidP="00961617">
      <w:pPr>
        <w:rPr>
          <w:rFonts w:cstheme="minorHAnsi"/>
        </w:rPr>
        <w:sectPr w:rsidR="00961617" w:rsidRPr="002F5864" w:rsidSect="00861BD8">
          <w:pgSz w:w="11907" w:h="16839" w:code="9"/>
          <w:pgMar w:top="1440" w:right="1440" w:bottom="1440" w:left="1440" w:header="709" w:footer="283" w:gutter="0"/>
          <w:cols w:space="708"/>
          <w:docGrid w:linePitch="360"/>
        </w:sectPr>
      </w:pPr>
    </w:p>
    <w:p w14:paraId="03A959FF" w14:textId="77777777" w:rsidR="00961617" w:rsidRPr="002F5864" w:rsidRDefault="00961617" w:rsidP="00961617">
      <w:pPr>
        <w:pStyle w:val="TableheadingforappendixA1"/>
        <w:rPr>
          <w:rFonts w:cstheme="minorHAnsi"/>
        </w:rPr>
      </w:pPr>
      <w:bookmarkStart w:id="680" w:name="_Toc415485708"/>
      <w:bookmarkStart w:id="681" w:name="_Toc435695226"/>
      <w:bookmarkStart w:id="682" w:name="_Toc436142586"/>
      <w:bookmarkStart w:id="683" w:name="_Toc513129917"/>
      <w:r w:rsidRPr="002F5864">
        <w:rPr>
          <w:rFonts w:cstheme="minorHAnsi"/>
        </w:rPr>
        <w:t>Table A2.24: Cost effectiveness ratios, 2009 and 2012 Stream 1 servicing study populations</w:t>
      </w:r>
      <w:bookmarkEnd w:id="680"/>
      <w:bookmarkEnd w:id="681"/>
      <w:bookmarkEnd w:id="682"/>
      <w:bookmarkEnd w:id="683"/>
      <w:r w:rsidRPr="002F5864">
        <w:rPr>
          <w:rFonts w:cstheme="minorHAnsi"/>
        </w:rPr>
        <w:t xml:space="preserve"> </w:t>
      </w:r>
    </w:p>
    <w:tbl>
      <w:tblPr>
        <w:tblStyle w:val="TableGrid"/>
        <w:tblW w:w="14000" w:type="dxa"/>
        <w:tblLayout w:type="fixed"/>
        <w:tblLook w:val="04A0" w:firstRow="1" w:lastRow="0" w:firstColumn="1" w:lastColumn="0" w:noHBand="0" w:noVBand="1"/>
      </w:tblPr>
      <w:tblGrid>
        <w:gridCol w:w="10740"/>
        <w:gridCol w:w="1559"/>
        <w:gridCol w:w="1701"/>
      </w:tblGrid>
      <w:tr w:rsidR="00961617" w:rsidRPr="00545C7F" w14:paraId="5970E9AC" w14:textId="77777777" w:rsidTr="00D20CB6">
        <w:trPr>
          <w:trHeight w:val="318"/>
          <w:tblHeader/>
        </w:trPr>
        <w:tc>
          <w:tcPr>
            <w:tcW w:w="10740" w:type="dxa"/>
            <w:tcBorders>
              <w:top w:val="nil"/>
              <w:left w:val="nil"/>
              <w:bottom w:val="nil"/>
              <w:right w:val="nil"/>
            </w:tcBorders>
            <w:shd w:val="clear" w:color="auto" w:fill="1E3D6B"/>
          </w:tcPr>
          <w:p w14:paraId="12EE372C" w14:textId="77777777" w:rsidR="00961617" w:rsidRPr="00545C7F" w:rsidRDefault="00961617" w:rsidP="0020771F">
            <w:pPr>
              <w:tabs>
                <w:tab w:val="left" w:pos="254"/>
              </w:tabs>
              <w:ind w:left="281"/>
              <w:jc w:val="center"/>
              <w:rPr>
                <w:rFonts w:eastAsiaTheme="majorEastAsia" w:cstheme="minorHAnsi"/>
                <w:b/>
                <w:color w:val="FFFFFF" w:themeColor="background2"/>
                <w:sz w:val="20"/>
                <w:szCs w:val="20"/>
              </w:rPr>
            </w:pPr>
            <w:bookmarkStart w:id="684" w:name="Title_A224"/>
            <w:bookmarkEnd w:id="684"/>
          </w:p>
        </w:tc>
        <w:tc>
          <w:tcPr>
            <w:tcW w:w="1559" w:type="dxa"/>
            <w:tcBorders>
              <w:top w:val="nil"/>
              <w:left w:val="nil"/>
              <w:bottom w:val="nil"/>
              <w:right w:val="nil"/>
            </w:tcBorders>
            <w:shd w:val="clear" w:color="auto" w:fill="1E3D6B"/>
          </w:tcPr>
          <w:p w14:paraId="57C75AEA" w14:textId="77777777" w:rsidR="00961617" w:rsidRPr="00545C7F" w:rsidRDefault="00961617" w:rsidP="0020771F">
            <w:pPr>
              <w:tabs>
                <w:tab w:val="left" w:pos="0"/>
                <w:tab w:val="left" w:pos="542"/>
              </w:tabs>
              <w:ind w:left="19" w:right="37"/>
              <w:jc w:val="center"/>
              <w:rPr>
                <w:rFonts w:eastAsiaTheme="majorEastAsia" w:cstheme="minorHAnsi"/>
                <w:b/>
                <w:color w:val="FFFFFF" w:themeColor="background2"/>
                <w:sz w:val="20"/>
                <w:szCs w:val="20"/>
              </w:rPr>
            </w:pPr>
            <w:r w:rsidRPr="00545C7F">
              <w:rPr>
                <w:rFonts w:eastAsiaTheme="majorEastAsia" w:cstheme="minorHAnsi"/>
                <w:b/>
                <w:color w:val="FFFFFF" w:themeColor="background2"/>
                <w:sz w:val="20"/>
                <w:szCs w:val="20"/>
              </w:rPr>
              <w:t>JSA costs only</w:t>
            </w:r>
          </w:p>
        </w:tc>
        <w:tc>
          <w:tcPr>
            <w:tcW w:w="1701" w:type="dxa"/>
            <w:tcBorders>
              <w:top w:val="nil"/>
              <w:left w:val="nil"/>
              <w:bottom w:val="nil"/>
              <w:right w:val="nil"/>
            </w:tcBorders>
            <w:shd w:val="clear" w:color="auto" w:fill="1E3D6B"/>
          </w:tcPr>
          <w:p w14:paraId="15F7AB3C" w14:textId="77777777" w:rsidR="00961617" w:rsidRPr="00545C7F" w:rsidRDefault="00961617" w:rsidP="0020771F">
            <w:pPr>
              <w:tabs>
                <w:tab w:val="left" w:pos="0"/>
                <w:tab w:val="left" w:pos="450"/>
              </w:tabs>
              <w:ind w:left="29" w:right="19" w:hanging="29"/>
              <w:jc w:val="center"/>
              <w:rPr>
                <w:rFonts w:eastAsiaTheme="majorEastAsia" w:cstheme="minorHAnsi"/>
                <w:b/>
                <w:color w:val="FFFFFF" w:themeColor="background2"/>
                <w:sz w:val="20"/>
                <w:szCs w:val="20"/>
              </w:rPr>
            </w:pPr>
            <w:r w:rsidRPr="00545C7F">
              <w:rPr>
                <w:rFonts w:eastAsiaTheme="majorEastAsia" w:cstheme="minorHAnsi"/>
                <w:b/>
                <w:color w:val="FFFFFF" w:themeColor="background2"/>
                <w:sz w:val="20"/>
                <w:szCs w:val="20"/>
              </w:rPr>
              <w:t>JSA and income support costs</w:t>
            </w:r>
          </w:p>
        </w:tc>
      </w:tr>
      <w:tr w:rsidR="00961617" w:rsidRPr="00545C7F" w14:paraId="0BF7B3F0" w14:textId="77777777" w:rsidTr="0020771F">
        <w:trPr>
          <w:trHeight w:val="318"/>
        </w:trPr>
        <w:tc>
          <w:tcPr>
            <w:tcW w:w="10740" w:type="dxa"/>
            <w:tcBorders>
              <w:top w:val="nil"/>
              <w:left w:val="nil"/>
              <w:bottom w:val="nil"/>
              <w:right w:val="nil"/>
            </w:tcBorders>
            <w:vAlign w:val="center"/>
          </w:tcPr>
          <w:p w14:paraId="5BC15342"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Males – other characteristics the same as reference job seeker except under 21 years old</w:t>
            </w:r>
          </w:p>
        </w:tc>
        <w:tc>
          <w:tcPr>
            <w:tcW w:w="1559" w:type="dxa"/>
            <w:tcBorders>
              <w:top w:val="nil"/>
              <w:left w:val="nil"/>
              <w:bottom w:val="nil"/>
              <w:right w:val="nil"/>
            </w:tcBorders>
            <w:vAlign w:val="center"/>
          </w:tcPr>
          <w:p w14:paraId="22A3FAC6"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0.6</w:t>
            </w:r>
          </w:p>
        </w:tc>
        <w:tc>
          <w:tcPr>
            <w:tcW w:w="1701" w:type="dxa"/>
            <w:tcBorders>
              <w:top w:val="nil"/>
              <w:left w:val="nil"/>
              <w:bottom w:val="nil"/>
              <w:right w:val="nil"/>
            </w:tcBorders>
            <w:vAlign w:val="center"/>
          </w:tcPr>
          <w:p w14:paraId="07D831B5"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1.1</w:t>
            </w:r>
          </w:p>
        </w:tc>
      </w:tr>
      <w:tr w:rsidR="00961617" w:rsidRPr="00545C7F" w14:paraId="03131DEA"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38BEC718"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Males – other characteristics the same as reference job seeker except 21 to 24 years old</w:t>
            </w:r>
          </w:p>
        </w:tc>
        <w:tc>
          <w:tcPr>
            <w:tcW w:w="1559" w:type="dxa"/>
            <w:tcBorders>
              <w:top w:val="nil"/>
              <w:left w:val="nil"/>
              <w:bottom w:val="nil"/>
              <w:right w:val="nil"/>
            </w:tcBorders>
            <w:shd w:val="clear" w:color="auto" w:fill="E5E5E5" w:themeFill="background1" w:themeFillTint="33"/>
            <w:vAlign w:val="center"/>
          </w:tcPr>
          <w:p w14:paraId="09E8B372"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3F38DA15"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485DDEA8" w14:textId="77777777" w:rsidTr="0020771F">
        <w:trPr>
          <w:trHeight w:val="318"/>
        </w:trPr>
        <w:tc>
          <w:tcPr>
            <w:tcW w:w="10740" w:type="dxa"/>
            <w:tcBorders>
              <w:top w:val="nil"/>
              <w:left w:val="nil"/>
              <w:bottom w:val="nil"/>
              <w:right w:val="nil"/>
            </w:tcBorders>
            <w:vAlign w:val="center"/>
          </w:tcPr>
          <w:p w14:paraId="0F6F5C06"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Males – other characteristics the same as reference job seeker except 35 to 49 years old</w:t>
            </w:r>
          </w:p>
        </w:tc>
        <w:tc>
          <w:tcPr>
            <w:tcW w:w="1559" w:type="dxa"/>
            <w:tcBorders>
              <w:top w:val="nil"/>
              <w:left w:val="nil"/>
              <w:bottom w:val="nil"/>
              <w:right w:val="nil"/>
            </w:tcBorders>
            <w:vAlign w:val="center"/>
          </w:tcPr>
          <w:p w14:paraId="3E2A06A2"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0.8</w:t>
            </w:r>
          </w:p>
        </w:tc>
        <w:tc>
          <w:tcPr>
            <w:tcW w:w="1701" w:type="dxa"/>
            <w:tcBorders>
              <w:top w:val="nil"/>
              <w:left w:val="nil"/>
              <w:bottom w:val="nil"/>
              <w:right w:val="nil"/>
            </w:tcBorders>
            <w:vAlign w:val="center"/>
          </w:tcPr>
          <w:p w14:paraId="6D4D4506"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48CA6424"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5433A706"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Males – other characteristics the same as reference job seeker except 50 years or older</w:t>
            </w:r>
          </w:p>
        </w:tc>
        <w:tc>
          <w:tcPr>
            <w:tcW w:w="1559" w:type="dxa"/>
            <w:tcBorders>
              <w:top w:val="nil"/>
              <w:left w:val="nil"/>
              <w:bottom w:val="nil"/>
              <w:right w:val="nil"/>
            </w:tcBorders>
            <w:shd w:val="clear" w:color="auto" w:fill="E5E5E5" w:themeFill="background1" w:themeFillTint="33"/>
            <w:vAlign w:val="center"/>
          </w:tcPr>
          <w:p w14:paraId="5C9B82C5"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0.8</w:t>
            </w:r>
          </w:p>
        </w:tc>
        <w:tc>
          <w:tcPr>
            <w:tcW w:w="1701" w:type="dxa"/>
            <w:tcBorders>
              <w:top w:val="nil"/>
              <w:left w:val="nil"/>
              <w:bottom w:val="nil"/>
              <w:right w:val="nil"/>
            </w:tcBorders>
            <w:shd w:val="clear" w:color="auto" w:fill="E5E5E5" w:themeFill="background1" w:themeFillTint="33"/>
            <w:vAlign w:val="center"/>
          </w:tcPr>
          <w:p w14:paraId="54F4A77E"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7C3F7CB2" w14:textId="77777777" w:rsidTr="0020771F">
        <w:trPr>
          <w:trHeight w:val="318"/>
        </w:trPr>
        <w:tc>
          <w:tcPr>
            <w:tcW w:w="10740" w:type="dxa"/>
            <w:tcBorders>
              <w:top w:val="nil"/>
              <w:left w:val="nil"/>
              <w:bottom w:val="nil"/>
              <w:right w:val="nil"/>
            </w:tcBorders>
            <w:vAlign w:val="center"/>
          </w:tcPr>
          <w:p w14:paraId="17708AFA"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Females – other characteristics the same as reference job seeker except under 21 years old</w:t>
            </w:r>
          </w:p>
        </w:tc>
        <w:tc>
          <w:tcPr>
            <w:tcW w:w="1559" w:type="dxa"/>
            <w:tcBorders>
              <w:top w:val="nil"/>
              <w:left w:val="nil"/>
              <w:bottom w:val="nil"/>
              <w:right w:val="nil"/>
            </w:tcBorders>
            <w:vAlign w:val="center"/>
          </w:tcPr>
          <w:p w14:paraId="539060C0"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0.5</w:t>
            </w:r>
          </w:p>
        </w:tc>
        <w:tc>
          <w:tcPr>
            <w:tcW w:w="1701" w:type="dxa"/>
            <w:tcBorders>
              <w:top w:val="nil"/>
              <w:left w:val="nil"/>
              <w:bottom w:val="nil"/>
              <w:right w:val="nil"/>
            </w:tcBorders>
            <w:vAlign w:val="center"/>
          </w:tcPr>
          <w:p w14:paraId="64DC8DF9"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1.0</w:t>
            </w:r>
          </w:p>
        </w:tc>
      </w:tr>
      <w:tr w:rsidR="00961617" w:rsidRPr="00545C7F" w14:paraId="75CB8FB9"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2A9FA071"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 xml:space="preserve">Females – other characteristics the same as reference job seeker except  21 to 24 years old </w:t>
            </w:r>
          </w:p>
        </w:tc>
        <w:tc>
          <w:tcPr>
            <w:tcW w:w="1559" w:type="dxa"/>
            <w:tcBorders>
              <w:top w:val="nil"/>
              <w:left w:val="nil"/>
              <w:bottom w:val="nil"/>
              <w:right w:val="nil"/>
            </w:tcBorders>
            <w:shd w:val="clear" w:color="auto" w:fill="E5E5E5" w:themeFill="background1" w:themeFillTint="33"/>
            <w:vAlign w:val="center"/>
          </w:tcPr>
          <w:p w14:paraId="48DAD88E"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0EB2A0B2"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2.0</w:t>
            </w:r>
          </w:p>
        </w:tc>
      </w:tr>
      <w:tr w:rsidR="00961617" w:rsidRPr="00545C7F" w14:paraId="61C238C5" w14:textId="77777777" w:rsidTr="0020771F">
        <w:trPr>
          <w:trHeight w:val="318"/>
        </w:trPr>
        <w:tc>
          <w:tcPr>
            <w:tcW w:w="10740" w:type="dxa"/>
            <w:tcBorders>
              <w:top w:val="nil"/>
              <w:left w:val="nil"/>
              <w:bottom w:val="nil"/>
              <w:right w:val="nil"/>
            </w:tcBorders>
            <w:vAlign w:val="center"/>
          </w:tcPr>
          <w:p w14:paraId="1D559BDA"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 xml:space="preserve">Females – other characteristics the same as reference job seeker </w:t>
            </w:r>
          </w:p>
        </w:tc>
        <w:tc>
          <w:tcPr>
            <w:tcW w:w="1559" w:type="dxa"/>
            <w:tcBorders>
              <w:top w:val="nil"/>
              <w:left w:val="nil"/>
              <w:bottom w:val="nil"/>
              <w:right w:val="nil"/>
            </w:tcBorders>
            <w:vAlign w:val="center"/>
          </w:tcPr>
          <w:p w14:paraId="7848C68B"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1AF5C639"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2.0</w:t>
            </w:r>
          </w:p>
        </w:tc>
      </w:tr>
      <w:tr w:rsidR="00961617" w:rsidRPr="00545C7F" w14:paraId="6E917FEE"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7308C304"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Females – other characteristics the same as reference job seeker 35 to 49 years old</w:t>
            </w:r>
          </w:p>
        </w:tc>
        <w:tc>
          <w:tcPr>
            <w:tcW w:w="1559" w:type="dxa"/>
            <w:tcBorders>
              <w:top w:val="nil"/>
              <w:left w:val="nil"/>
              <w:bottom w:val="nil"/>
              <w:right w:val="nil"/>
            </w:tcBorders>
            <w:shd w:val="clear" w:color="auto" w:fill="E5E5E5" w:themeFill="background1" w:themeFillTint="33"/>
            <w:vAlign w:val="center"/>
          </w:tcPr>
          <w:p w14:paraId="322E6E69"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3A4E72A9"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7F6AB0D0" w14:textId="77777777" w:rsidTr="0020771F">
        <w:trPr>
          <w:trHeight w:val="318"/>
        </w:trPr>
        <w:tc>
          <w:tcPr>
            <w:tcW w:w="10740" w:type="dxa"/>
            <w:tcBorders>
              <w:top w:val="nil"/>
              <w:left w:val="nil"/>
              <w:bottom w:val="nil"/>
              <w:right w:val="nil"/>
            </w:tcBorders>
            <w:vAlign w:val="center"/>
          </w:tcPr>
          <w:p w14:paraId="5EE5B2B0"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Females – other characteristics the same as reference job seeker except  50 years or older</w:t>
            </w:r>
          </w:p>
        </w:tc>
        <w:tc>
          <w:tcPr>
            <w:tcW w:w="1559" w:type="dxa"/>
            <w:tcBorders>
              <w:top w:val="nil"/>
              <w:left w:val="nil"/>
              <w:bottom w:val="nil"/>
              <w:right w:val="nil"/>
            </w:tcBorders>
            <w:vAlign w:val="center"/>
          </w:tcPr>
          <w:p w14:paraId="2D04F310"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31ED8095"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094B1631"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3B0E0FDA" w14:textId="77777777" w:rsidR="00961617" w:rsidRPr="00545C7F" w:rsidRDefault="00961617" w:rsidP="0020771F">
            <w:pPr>
              <w:tabs>
                <w:tab w:val="left" w:pos="102"/>
              </w:tabs>
              <w:ind w:left="171" w:right="296"/>
              <w:rPr>
                <w:rFonts w:eastAsiaTheme="majorEastAsia" w:cstheme="minorHAnsi"/>
                <w:sz w:val="20"/>
                <w:szCs w:val="20"/>
              </w:rPr>
            </w:pPr>
            <w:r w:rsidRPr="00545C7F">
              <w:rPr>
                <w:rFonts w:eastAsiaTheme="majorEastAsia" w:cstheme="minorHAnsi"/>
                <w:sz w:val="20"/>
                <w:szCs w:val="20"/>
              </w:rPr>
              <w:t>Single parents - other characteristics the same as reference job seeker</w:t>
            </w:r>
          </w:p>
        </w:tc>
        <w:tc>
          <w:tcPr>
            <w:tcW w:w="1559" w:type="dxa"/>
            <w:tcBorders>
              <w:top w:val="nil"/>
              <w:left w:val="nil"/>
              <w:bottom w:val="nil"/>
              <w:right w:val="nil"/>
            </w:tcBorders>
            <w:shd w:val="clear" w:color="auto" w:fill="E5E5E5" w:themeFill="background1" w:themeFillTint="33"/>
            <w:vAlign w:val="center"/>
          </w:tcPr>
          <w:p w14:paraId="2582F471" w14:textId="77777777" w:rsidR="00961617" w:rsidRPr="00545C7F" w:rsidRDefault="00961617" w:rsidP="0020771F">
            <w:pPr>
              <w:tabs>
                <w:tab w:val="left" w:pos="0"/>
                <w:tab w:val="left" w:pos="102"/>
                <w:tab w:val="left" w:pos="841"/>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2BE84927" w14:textId="77777777" w:rsidR="00961617" w:rsidRPr="00545C7F" w:rsidRDefault="00961617" w:rsidP="0020771F">
            <w:pPr>
              <w:tabs>
                <w:tab w:val="left" w:pos="0"/>
                <w:tab w:val="left" w:pos="1088"/>
              </w:tabs>
              <w:ind w:left="281" w:right="405"/>
              <w:jc w:val="right"/>
              <w:rPr>
                <w:rFonts w:eastAsiaTheme="majorEastAsia" w:cstheme="minorHAnsi"/>
                <w:sz w:val="20"/>
                <w:szCs w:val="20"/>
              </w:rPr>
            </w:pPr>
            <w:r w:rsidRPr="00545C7F">
              <w:rPr>
                <w:rFonts w:eastAsiaTheme="majorEastAsia" w:cstheme="minorHAnsi"/>
                <w:sz w:val="20"/>
                <w:szCs w:val="20"/>
              </w:rPr>
              <w:t>2.2</w:t>
            </w:r>
          </w:p>
        </w:tc>
      </w:tr>
      <w:tr w:rsidR="00961617" w:rsidRPr="00545C7F" w14:paraId="33ED89B6" w14:textId="77777777" w:rsidTr="0020771F">
        <w:trPr>
          <w:trHeight w:val="318"/>
        </w:trPr>
        <w:tc>
          <w:tcPr>
            <w:tcW w:w="10740" w:type="dxa"/>
            <w:tcBorders>
              <w:top w:val="nil"/>
              <w:left w:val="nil"/>
              <w:bottom w:val="nil"/>
              <w:right w:val="nil"/>
            </w:tcBorders>
            <w:vAlign w:val="center"/>
          </w:tcPr>
          <w:p w14:paraId="209F120C" w14:textId="77777777" w:rsidR="00961617" w:rsidRPr="00545C7F" w:rsidRDefault="00961617" w:rsidP="0020771F">
            <w:pPr>
              <w:tabs>
                <w:tab w:val="left" w:pos="102"/>
              </w:tabs>
              <w:ind w:left="171" w:right="296"/>
              <w:rPr>
                <w:rFonts w:eastAsiaTheme="majorEastAsia" w:cstheme="minorHAnsi"/>
                <w:sz w:val="20"/>
                <w:szCs w:val="20"/>
              </w:rPr>
            </w:pPr>
            <w:r w:rsidRPr="00545C7F">
              <w:rPr>
                <w:rFonts w:eastAsiaTheme="majorEastAsia" w:cstheme="minorHAnsi"/>
                <w:sz w:val="20"/>
                <w:szCs w:val="20"/>
              </w:rPr>
              <w:t xml:space="preserve">Location: - other characteristics the same as reference job seeker except inner regional  </w:t>
            </w:r>
          </w:p>
        </w:tc>
        <w:tc>
          <w:tcPr>
            <w:tcW w:w="1559" w:type="dxa"/>
            <w:tcBorders>
              <w:top w:val="nil"/>
              <w:left w:val="nil"/>
              <w:bottom w:val="nil"/>
              <w:right w:val="nil"/>
            </w:tcBorders>
            <w:vAlign w:val="center"/>
          </w:tcPr>
          <w:p w14:paraId="11840B56" w14:textId="77777777" w:rsidR="00961617" w:rsidRPr="00545C7F" w:rsidRDefault="00961617" w:rsidP="0020771F">
            <w:pPr>
              <w:tabs>
                <w:tab w:val="left" w:pos="0"/>
                <w:tab w:val="left" w:pos="102"/>
                <w:tab w:val="left" w:pos="841"/>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11B3A5D5" w14:textId="77777777" w:rsidR="00961617" w:rsidRPr="00545C7F" w:rsidRDefault="00961617" w:rsidP="0020771F">
            <w:pPr>
              <w:tabs>
                <w:tab w:val="left" w:pos="0"/>
                <w:tab w:val="left" w:pos="1088"/>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6B82E13B"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3AC8E0D6" w14:textId="77777777" w:rsidR="00961617" w:rsidRPr="00545C7F" w:rsidRDefault="00961617" w:rsidP="0020771F">
            <w:pPr>
              <w:tabs>
                <w:tab w:val="left" w:pos="102"/>
              </w:tabs>
              <w:ind w:left="171" w:right="296"/>
              <w:rPr>
                <w:rFonts w:eastAsiaTheme="majorEastAsia" w:cstheme="minorHAnsi"/>
                <w:sz w:val="20"/>
                <w:szCs w:val="20"/>
              </w:rPr>
            </w:pPr>
            <w:r w:rsidRPr="00545C7F">
              <w:rPr>
                <w:rFonts w:eastAsiaTheme="majorEastAsia" w:cstheme="minorHAnsi"/>
                <w:sz w:val="20"/>
                <w:szCs w:val="20"/>
              </w:rPr>
              <w:t>Location: - other characteristics the same as reference job seeker except outer regional</w:t>
            </w:r>
          </w:p>
        </w:tc>
        <w:tc>
          <w:tcPr>
            <w:tcW w:w="1559" w:type="dxa"/>
            <w:tcBorders>
              <w:top w:val="nil"/>
              <w:left w:val="nil"/>
              <w:bottom w:val="nil"/>
              <w:right w:val="nil"/>
            </w:tcBorders>
            <w:shd w:val="clear" w:color="auto" w:fill="E5E5E5" w:themeFill="background1" w:themeFillTint="33"/>
            <w:vAlign w:val="center"/>
          </w:tcPr>
          <w:p w14:paraId="476643CA" w14:textId="77777777" w:rsidR="00961617" w:rsidRPr="00545C7F" w:rsidRDefault="00961617" w:rsidP="0020771F">
            <w:pPr>
              <w:tabs>
                <w:tab w:val="left" w:pos="0"/>
                <w:tab w:val="left" w:pos="102"/>
                <w:tab w:val="left" w:pos="841"/>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39437240" w14:textId="77777777" w:rsidR="00961617" w:rsidRPr="00545C7F" w:rsidRDefault="00961617" w:rsidP="0020771F">
            <w:pPr>
              <w:tabs>
                <w:tab w:val="left" w:pos="0"/>
                <w:tab w:val="left" w:pos="1088"/>
              </w:tabs>
              <w:ind w:left="281" w:right="405"/>
              <w:jc w:val="right"/>
              <w:rPr>
                <w:rFonts w:eastAsiaTheme="majorEastAsia" w:cstheme="minorHAnsi"/>
                <w:sz w:val="20"/>
                <w:szCs w:val="20"/>
              </w:rPr>
            </w:pPr>
            <w:r w:rsidRPr="00545C7F">
              <w:rPr>
                <w:rFonts w:eastAsiaTheme="majorEastAsia" w:cstheme="minorHAnsi"/>
                <w:sz w:val="20"/>
                <w:szCs w:val="20"/>
              </w:rPr>
              <w:t>1.9</w:t>
            </w:r>
          </w:p>
        </w:tc>
      </w:tr>
      <w:tr w:rsidR="00961617" w:rsidRPr="00545C7F" w14:paraId="423469BC" w14:textId="77777777" w:rsidTr="0020771F">
        <w:trPr>
          <w:trHeight w:val="318"/>
        </w:trPr>
        <w:tc>
          <w:tcPr>
            <w:tcW w:w="10740" w:type="dxa"/>
            <w:tcBorders>
              <w:top w:val="nil"/>
              <w:left w:val="nil"/>
              <w:bottom w:val="nil"/>
              <w:right w:val="nil"/>
            </w:tcBorders>
            <w:vAlign w:val="center"/>
          </w:tcPr>
          <w:p w14:paraId="1707886D"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Level of education –other characteristics the same as reference job seeker except Year 10/11 education</w:t>
            </w:r>
          </w:p>
        </w:tc>
        <w:tc>
          <w:tcPr>
            <w:tcW w:w="1559" w:type="dxa"/>
            <w:tcBorders>
              <w:top w:val="nil"/>
              <w:left w:val="nil"/>
              <w:bottom w:val="nil"/>
              <w:right w:val="nil"/>
            </w:tcBorders>
            <w:vAlign w:val="center"/>
          </w:tcPr>
          <w:p w14:paraId="170977F8"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0.8</w:t>
            </w:r>
          </w:p>
        </w:tc>
        <w:tc>
          <w:tcPr>
            <w:tcW w:w="1701" w:type="dxa"/>
            <w:tcBorders>
              <w:top w:val="nil"/>
              <w:left w:val="nil"/>
              <w:bottom w:val="nil"/>
              <w:right w:val="nil"/>
            </w:tcBorders>
            <w:vAlign w:val="center"/>
          </w:tcPr>
          <w:p w14:paraId="614C2BAD"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2.2</w:t>
            </w:r>
          </w:p>
        </w:tc>
      </w:tr>
      <w:tr w:rsidR="00961617" w:rsidRPr="00545C7F" w14:paraId="35F5712F"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6FC91BA0"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Level of education – other characteristics the same as reference job seeker except Year 12 education</w:t>
            </w:r>
          </w:p>
        </w:tc>
        <w:tc>
          <w:tcPr>
            <w:tcW w:w="1559" w:type="dxa"/>
            <w:tcBorders>
              <w:top w:val="nil"/>
              <w:left w:val="nil"/>
              <w:bottom w:val="nil"/>
              <w:right w:val="nil"/>
            </w:tcBorders>
            <w:shd w:val="clear" w:color="auto" w:fill="E5E5E5" w:themeFill="background1" w:themeFillTint="33"/>
            <w:vAlign w:val="center"/>
          </w:tcPr>
          <w:p w14:paraId="1135AA29"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E5E5E5" w:themeFill="background1" w:themeFillTint="33"/>
            <w:vAlign w:val="center"/>
          </w:tcPr>
          <w:p w14:paraId="52CDA310"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2.2</w:t>
            </w:r>
          </w:p>
        </w:tc>
      </w:tr>
      <w:tr w:rsidR="00961617" w:rsidRPr="00545C7F" w14:paraId="5CF9F419" w14:textId="77777777" w:rsidTr="0020771F">
        <w:trPr>
          <w:trHeight w:val="318"/>
        </w:trPr>
        <w:tc>
          <w:tcPr>
            <w:tcW w:w="10740" w:type="dxa"/>
            <w:tcBorders>
              <w:top w:val="nil"/>
              <w:left w:val="nil"/>
              <w:bottom w:val="nil"/>
              <w:right w:val="nil"/>
            </w:tcBorders>
            <w:vAlign w:val="center"/>
          </w:tcPr>
          <w:p w14:paraId="2403DFC8"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Level of education – other characteristics the same as reference job seeker except degree/post graduate education</w:t>
            </w:r>
          </w:p>
        </w:tc>
        <w:tc>
          <w:tcPr>
            <w:tcW w:w="1559" w:type="dxa"/>
            <w:tcBorders>
              <w:top w:val="nil"/>
              <w:left w:val="nil"/>
              <w:bottom w:val="nil"/>
              <w:right w:val="nil"/>
            </w:tcBorders>
            <w:vAlign w:val="center"/>
          </w:tcPr>
          <w:p w14:paraId="43ACCEFA"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578D260F"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2.0</w:t>
            </w:r>
          </w:p>
        </w:tc>
      </w:tr>
      <w:tr w:rsidR="00961617" w:rsidRPr="00545C7F" w14:paraId="0018C437"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7C165D70" w14:textId="77777777" w:rsidR="00961617" w:rsidRPr="00545C7F" w:rsidRDefault="00961617" w:rsidP="0020771F">
            <w:pPr>
              <w:tabs>
                <w:tab w:val="left" w:pos="102"/>
              </w:tabs>
              <w:ind w:left="171" w:right="296"/>
              <w:rPr>
                <w:rFonts w:eastAsiaTheme="majorEastAsia" w:cstheme="minorHAnsi"/>
                <w:sz w:val="20"/>
                <w:szCs w:val="20"/>
              </w:rPr>
            </w:pPr>
            <w:r w:rsidRPr="00545C7F">
              <w:rPr>
                <w:rFonts w:eastAsiaTheme="majorEastAsia" w:cstheme="minorHAnsi"/>
                <w:sz w:val="20"/>
                <w:szCs w:val="20"/>
              </w:rPr>
              <w:t xml:space="preserve">Disability – has disability – other characteristics the same as reference job seeker </w:t>
            </w:r>
          </w:p>
        </w:tc>
        <w:tc>
          <w:tcPr>
            <w:tcW w:w="1559" w:type="dxa"/>
            <w:tcBorders>
              <w:top w:val="nil"/>
              <w:left w:val="nil"/>
              <w:bottom w:val="nil"/>
              <w:right w:val="nil"/>
            </w:tcBorders>
            <w:shd w:val="clear" w:color="auto" w:fill="E5E5E5" w:themeFill="background1" w:themeFillTint="33"/>
            <w:vAlign w:val="center"/>
          </w:tcPr>
          <w:p w14:paraId="010B8348" w14:textId="77777777" w:rsidR="00961617" w:rsidRPr="00545C7F" w:rsidRDefault="00961617" w:rsidP="0020771F">
            <w:pPr>
              <w:tabs>
                <w:tab w:val="left" w:pos="0"/>
                <w:tab w:val="left" w:pos="102"/>
                <w:tab w:val="left" w:pos="822"/>
                <w:tab w:val="left" w:pos="841"/>
              </w:tabs>
              <w:ind w:left="171" w:right="296"/>
              <w:jc w:val="right"/>
              <w:rPr>
                <w:rFonts w:eastAsiaTheme="majorEastAsia" w:cstheme="minorHAnsi"/>
                <w:sz w:val="20"/>
                <w:szCs w:val="20"/>
              </w:rPr>
            </w:pPr>
            <w:r w:rsidRPr="00545C7F">
              <w:rPr>
                <w:rFonts w:eastAsiaTheme="majorEastAsia" w:cstheme="minorHAnsi"/>
                <w:sz w:val="20"/>
                <w:szCs w:val="20"/>
              </w:rPr>
              <w:t>0.8</w:t>
            </w:r>
          </w:p>
        </w:tc>
        <w:tc>
          <w:tcPr>
            <w:tcW w:w="1701" w:type="dxa"/>
            <w:tcBorders>
              <w:top w:val="nil"/>
              <w:left w:val="nil"/>
              <w:bottom w:val="nil"/>
              <w:right w:val="nil"/>
            </w:tcBorders>
            <w:shd w:val="clear" w:color="auto" w:fill="E5E5E5" w:themeFill="background1" w:themeFillTint="33"/>
            <w:vAlign w:val="center"/>
          </w:tcPr>
          <w:p w14:paraId="31B822B8" w14:textId="77777777" w:rsidR="00961617" w:rsidRPr="00545C7F" w:rsidRDefault="00961617" w:rsidP="0020771F">
            <w:pPr>
              <w:tabs>
                <w:tab w:val="left" w:pos="0"/>
                <w:tab w:val="left" w:pos="923"/>
              </w:tabs>
              <w:ind w:left="281" w:right="405"/>
              <w:jc w:val="right"/>
              <w:rPr>
                <w:rFonts w:eastAsiaTheme="majorEastAsia" w:cstheme="minorHAnsi"/>
                <w:sz w:val="20"/>
                <w:szCs w:val="20"/>
              </w:rPr>
            </w:pPr>
            <w:r w:rsidRPr="00545C7F">
              <w:rPr>
                <w:rFonts w:eastAsiaTheme="majorEastAsia" w:cstheme="minorHAnsi"/>
                <w:sz w:val="20"/>
                <w:szCs w:val="20"/>
              </w:rPr>
              <w:t>2.4</w:t>
            </w:r>
          </w:p>
        </w:tc>
      </w:tr>
      <w:tr w:rsidR="00961617" w:rsidRPr="00545C7F" w14:paraId="2371D8EB" w14:textId="77777777" w:rsidTr="0020771F">
        <w:trPr>
          <w:trHeight w:val="318"/>
        </w:trPr>
        <w:tc>
          <w:tcPr>
            <w:tcW w:w="10740" w:type="dxa"/>
            <w:tcBorders>
              <w:top w:val="nil"/>
              <w:left w:val="nil"/>
              <w:bottom w:val="nil"/>
              <w:right w:val="nil"/>
            </w:tcBorders>
            <w:vAlign w:val="center"/>
          </w:tcPr>
          <w:p w14:paraId="512C2904" w14:textId="77777777" w:rsidR="00961617" w:rsidRPr="00545C7F" w:rsidRDefault="00961617" w:rsidP="0020771F">
            <w:pPr>
              <w:tabs>
                <w:tab w:val="left" w:pos="102"/>
              </w:tabs>
              <w:ind w:left="171" w:right="296"/>
              <w:rPr>
                <w:rFonts w:eastAsiaTheme="majorEastAsia" w:cstheme="minorHAnsi"/>
                <w:b/>
                <w:i/>
                <w:sz w:val="20"/>
                <w:szCs w:val="20"/>
              </w:rPr>
            </w:pPr>
            <w:r w:rsidRPr="00545C7F">
              <w:rPr>
                <w:rFonts w:eastAsiaTheme="majorEastAsia" w:cstheme="minorHAnsi"/>
                <w:sz w:val="20"/>
                <w:szCs w:val="20"/>
              </w:rPr>
              <w:t>Country of birth – other characteristics the same as reference job seeker except medium disadvantage country of birth</w:t>
            </w:r>
          </w:p>
        </w:tc>
        <w:tc>
          <w:tcPr>
            <w:tcW w:w="1559" w:type="dxa"/>
            <w:tcBorders>
              <w:top w:val="nil"/>
              <w:left w:val="nil"/>
              <w:bottom w:val="nil"/>
              <w:right w:val="nil"/>
            </w:tcBorders>
            <w:vAlign w:val="center"/>
          </w:tcPr>
          <w:p w14:paraId="262E5509" w14:textId="77777777" w:rsidR="00961617" w:rsidRPr="00545C7F" w:rsidRDefault="00961617" w:rsidP="0020771F">
            <w:pPr>
              <w:tabs>
                <w:tab w:val="left" w:pos="0"/>
                <w:tab w:val="left" w:pos="102"/>
                <w:tab w:val="left" w:pos="822"/>
                <w:tab w:val="left" w:pos="841"/>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5A810A37" w14:textId="77777777" w:rsidR="00961617" w:rsidRPr="00545C7F" w:rsidRDefault="00961617" w:rsidP="0020771F">
            <w:pPr>
              <w:tabs>
                <w:tab w:val="left" w:pos="0"/>
                <w:tab w:val="left" w:pos="923"/>
              </w:tabs>
              <w:ind w:left="281" w:right="405"/>
              <w:jc w:val="right"/>
              <w:rPr>
                <w:rFonts w:eastAsiaTheme="majorEastAsia" w:cstheme="minorHAnsi"/>
                <w:sz w:val="20"/>
                <w:szCs w:val="20"/>
              </w:rPr>
            </w:pPr>
            <w:r w:rsidRPr="00545C7F">
              <w:rPr>
                <w:rFonts w:eastAsiaTheme="majorEastAsia" w:cstheme="minorHAnsi"/>
                <w:sz w:val="20"/>
                <w:szCs w:val="20"/>
              </w:rPr>
              <w:t>2.1</w:t>
            </w:r>
          </w:p>
        </w:tc>
      </w:tr>
      <w:tr w:rsidR="00961617" w:rsidRPr="00545C7F" w14:paraId="63EDA346" w14:textId="77777777" w:rsidTr="0020771F">
        <w:trPr>
          <w:trHeight w:val="318"/>
        </w:trPr>
        <w:tc>
          <w:tcPr>
            <w:tcW w:w="10740" w:type="dxa"/>
            <w:tcBorders>
              <w:top w:val="nil"/>
              <w:left w:val="nil"/>
              <w:bottom w:val="nil"/>
              <w:right w:val="nil"/>
            </w:tcBorders>
            <w:shd w:val="clear" w:color="auto" w:fill="E5E5E5" w:themeFill="background1" w:themeFillTint="33"/>
            <w:vAlign w:val="center"/>
          </w:tcPr>
          <w:p w14:paraId="619B694A" w14:textId="77777777" w:rsidR="00961617" w:rsidRPr="00545C7F" w:rsidRDefault="00961617" w:rsidP="0020771F">
            <w:pPr>
              <w:tabs>
                <w:tab w:val="left" w:pos="102"/>
              </w:tabs>
              <w:ind w:left="171" w:right="296"/>
              <w:rPr>
                <w:rFonts w:eastAsiaTheme="majorEastAsia" w:cstheme="minorHAnsi"/>
                <w:b/>
                <w:i/>
                <w:sz w:val="20"/>
                <w:szCs w:val="20"/>
              </w:rPr>
            </w:pPr>
            <w:r w:rsidRPr="00545C7F">
              <w:rPr>
                <w:rFonts w:eastAsiaTheme="majorEastAsia" w:cstheme="minorHAnsi"/>
                <w:sz w:val="20"/>
                <w:szCs w:val="20"/>
              </w:rPr>
              <w:t>Country of birth</w:t>
            </w:r>
            <w:r w:rsidRPr="00545C7F">
              <w:rPr>
                <w:rFonts w:eastAsiaTheme="majorEastAsia" w:cstheme="minorHAnsi"/>
                <w:b/>
                <w:sz w:val="20"/>
                <w:szCs w:val="20"/>
              </w:rPr>
              <w:t xml:space="preserve"> </w:t>
            </w:r>
            <w:r w:rsidRPr="00545C7F">
              <w:rPr>
                <w:rFonts w:eastAsiaTheme="majorEastAsia" w:cstheme="minorHAnsi"/>
                <w:sz w:val="20"/>
                <w:szCs w:val="20"/>
              </w:rPr>
              <w:t>– other characteristics the same as reference job seeker except high disadvantage country of birth</w:t>
            </w:r>
          </w:p>
        </w:tc>
        <w:tc>
          <w:tcPr>
            <w:tcW w:w="1559" w:type="dxa"/>
            <w:tcBorders>
              <w:top w:val="nil"/>
              <w:left w:val="nil"/>
              <w:bottom w:val="nil"/>
              <w:right w:val="nil"/>
            </w:tcBorders>
            <w:shd w:val="clear" w:color="auto" w:fill="E5E5E5" w:themeFill="background1" w:themeFillTint="33"/>
            <w:vAlign w:val="center"/>
          </w:tcPr>
          <w:p w14:paraId="22232562" w14:textId="77777777" w:rsidR="00961617" w:rsidRPr="00545C7F" w:rsidRDefault="00961617" w:rsidP="0020771F">
            <w:pPr>
              <w:tabs>
                <w:tab w:val="left" w:pos="0"/>
                <w:tab w:val="left" w:pos="102"/>
                <w:tab w:val="left" w:pos="822"/>
                <w:tab w:val="left" w:pos="841"/>
              </w:tabs>
              <w:ind w:left="171" w:right="296"/>
              <w:jc w:val="right"/>
              <w:rPr>
                <w:rFonts w:eastAsiaTheme="majorEastAsia" w:cstheme="minorHAnsi"/>
                <w:sz w:val="20"/>
                <w:szCs w:val="20"/>
              </w:rPr>
            </w:pPr>
            <w:r w:rsidRPr="00545C7F">
              <w:rPr>
                <w:rFonts w:eastAsiaTheme="majorEastAsia" w:cstheme="minorHAnsi"/>
                <w:sz w:val="20"/>
                <w:szCs w:val="20"/>
              </w:rPr>
              <w:t>0.8</w:t>
            </w:r>
          </w:p>
        </w:tc>
        <w:tc>
          <w:tcPr>
            <w:tcW w:w="1701" w:type="dxa"/>
            <w:tcBorders>
              <w:top w:val="nil"/>
              <w:left w:val="nil"/>
              <w:bottom w:val="nil"/>
              <w:right w:val="nil"/>
            </w:tcBorders>
            <w:shd w:val="clear" w:color="auto" w:fill="E5E5E5" w:themeFill="background1" w:themeFillTint="33"/>
            <w:vAlign w:val="center"/>
          </w:tcPr>
          <w:p w14:paraId="395DF0DA" w14:textId="77777777" w:rsidR="00961617" w:rsidRPr="00545C7F" w:rsidRDefault="00961617" w:rsidP="0020771F">
            <w:pPr>
              <w:tabs>
                <w:tab w:val="left" w:pos="0"/>
                <w:tab w:val="left" w:pos="923"/>
              </w:tabs>
              <w:ind w:left="281" w:right="405"/>
              <w:jc w:val="right"/>
              <w:rPr>
                <w:rFonts w:eastAsiaTheme="majorEastAsia" w:cstheme="minorHAnsi"/>
                <w:sz w:val="20"/>
                <w:szCs w:val="20"/>
              </w:rPr>
            </w:pPr>
            <w:r w:rsidRPr="00545C7F">
              <w:rPr>
                <w:rFonts w:eastAsiaTheme="majorEastAsia" w:cstheme="minorHAnsi"/>
                <w:sz w:val="20"/>
                <w:szCs w:val="20"/>
              </w:rPr>
              <w:t>2.5</w:t>
            </w:r>
          </w:p>
        </w:tc>
      </w:tr>
      <w:tr w:rsidR="00961617" w:rsidRPr="00545C7F" w14:paraId="33F457AB" w14:textId="77777777" w:rsidTr="0020771F">
        <w:trPr>
          <w:trHeight w:val="318"/>
        </w:trPr>
        <w:tc>
          <w:tcPr>
            <w:tcW w:w="10740" w:type="dxa"/>
            <w:tcBorders>
              <w:top w:val="nil"/>
              <w:left w:val="nil"/>
              <w:bottom w:val="nil"/>
              <w:right w:val="nil"/>
            </w:tcBorders>
            <w:vAlign w:val="center"/>
          </w:tcPr>
          <w:p w14:paraId="2E9DAA98" w14:textId="77777777" w:rsidR="00961617" w:rsidRPr="00545C7F" w:rsidRDefault="00961617" w:rsidP="0020771F">
            <w:pPr>
              <w:tabs>
                <w:tab w:val="left" w:pos="102"/>
              </w:tabs>
              <w:ind w:left="171" w:right="296"/>
              <w:rPr>
                <w:rFonts w:eastAsiaTheme="majorEastAsia" w:cstheme="minorHAnsi"/>
                <w:sz w:val="20"/>
                <w:szCs w:val="20"/>
              </w:rPr>
            </w:pPr>
            <w:r w:rsidRPr="00545C7F">
              <w:rPr>
                <w:rFonts w:eastAsiaTheme="majorEastAsia" w:cstheme="minorHAnsi"/>
                <w:sz w:val="20"/>
                <w:szCs w:val="20"/>
              </w:rPr>
              <w:t xml:space="preserve">Indigenous –other characteristics the same as reference job seeker </w:t>
            </w:r>
          </w:p>
        </w:tc>
        <w:tc>
          <w:tcPr>
            <w:tcW w:w="1559" w:type="dxa"/>
            <w:tcBorders>
              <w:top w:val="nil"/>
              <w:left w:val="nil"/>
              <w:bottom w:val="nil"/>
              <w:right w:val="nil"/>
            </w:tcBorders>
            <w:vAlign w:val="center"/>
          </w:tcPr>
          <w:p w14:paraId="71A64DDA" w14:textId="77777777" w:rsidR="00961617" w:rsidRPr="00545C7F" w:rsidRDefault="00961617" w:rsidP="0020771F">
            <w:pPr>
              <w:tabs>
                <w:tab w:val="left" w:pos="0"/>
                <w:tab w:val="left" w:pos="102"/>
                <w:tab w:val="left" w:pos="82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vAlign w:val="center"/>
          </w:tcPr>
          <w:p w14:paraId="14058CB9" w14:textId="77777777" w:rsidR="00961617" w:rsidRPr="00545C7F" w:rsidRDefault="00961617" w:rsidP="0020771F">
            <w:pPr>
              <w:tabs>
                <w:tab w:val="left" w:pos="0"/>
              </w:tabs>
              <w:ind w:left="281" w:right="405"/>
              <w:jc w:val="right"/>
              <w:rPr>
                <w:rFonts w:eastAsiaTheme="majorEastAsia" w:cstheme="minorHAnsi"/>
                <w:sz w:val="20"/>
                <w:szCs w:val="20"/>
              </w:rPr>
            </w:pPr>
            <w:r w:rsidRPr="00545C7F">
              <w:rPr>
                <w:rFonts w:eastAsiaTheme="majorEastAsia" w:cstheme="minorHAnsi"/>
                <w:sz w:val="20"/>
                <w:szCs w:val="20"/>
              </w:rPr>
              <w:t>2.0</w:t>
            </w:r>
          </w:p>
        </w:tc>
      </w:tr>
      <w:tr w:rsidR="00961617" w:rsidRPr="00545C7F" w14:paraId="570A505E" w14:textId="77777777" w:rsidTr="0020771F">
        <w:trPr>
          <w:trHeight w:val="318"/>
        </w:trPr>
        <w:tc>
          <w:tcPr>
            <w:tcW w:w="10740" w:type="dxa"/>
            <w:tcBorders>
              <w:top w:val="nil"/>
              <w:left w:val="nil"/>
              <w:bottom w:val="nil"/>
              <w:right w:val="nil"/>
            </w:tcBorders>
            <w:shd w:val="clear" w:color="auto" w:fill="8EAEDE"/>
            <w:vAlign w:val="center"/>
          </w:tcPr>
          <w:p w14:paraId="3FD41962" w14:textId="77777777" w:rsidR="00961617" w:rsidRPr="00545C7F" w:rsidRDefault="00961617" w:rsidP="0020771F">
            <w:pPr>
              <w:tabs>
                <w:tab w:val="left" w:pos="171"/>
              </w:tabs>
              <w:ind w:left="171"/>
              <w:rPr>
                <w:rFonts w:eastAsiaTheme="majorEastAsia" w:cstheme="minorHAnsi"/>
                <w:sz w:val="20"/>
                <w:szCs w:val="20"/>
              </w:rPr>
            </w:pPr>
            <w:r w:rsidRPr="00545C7F">
              <w:rPr>
                <w:rFonts w:eastAsiaTheme="majorEastAsia" w:cstheme="minorHAnsi"/>
                <w:sz w:val="20"/>
                <w:szCs w:val="20"/>
              </w:rPr>
              <w:t>Reference job seeker</w:t>
            </w:r>
            <w:r w:rsidRPr="00545C7F">
              <w:rPr>
                <w:rFonts w:eastAsiaTheme="majorEastAsia" w:cstheme="minorHAnsi"/>
                <w:sz w:val="20"/>
                <w:szCs w:val="20"/>
                <w:vertAlign w:val="superscript"/>
              </w:rPr>
              <w:t xml:space="preserve">1 </w:t>
            </w:r>
            <w:r w:rsidRPr="00545C7F">
              <w:rPr>
                <w:rFonts w:eastAsiaTheme="majorEastAsia" w:cstheme="minorHAnsi"/>
                <w:sz w:val="20"/>
                <w:szCs w:val="20"/>
              </w:rPr>
              <w:t>(males, 25 to 34 years)</w:t>
            </w:r>
          </w:p>
        </w:tc>
        <w:tc>
          <w:tcPr>
            <w:tcW w:w="1559" w:type="dxa"/>
            <w:tcBorders>
              <w:top w:val="nil"/>
              <w:left w:val="nil"/>
              <w:bottom w:val="nil"/>
              <w:right w:val="nil"/>
            </w:tcBorders>
            <w:shd w:val="clear" w:color="auto" w:fill="8EAEDE"/>
            <w:vAlign w:val="center"/>
          </w:tcPr>
          <w:p w14:paraId="46DE8B69" w14:textId="77777777" w:rsidR="00961617" w:rsidRPr="00545C7F" w:rsidRDefault="00961617" w:rsidP="0020771F">
            <w:pPr>
              <w:tabs>
                <w:tab w:val="left" w:pos="0"/>
                <w:tab w:val="left" w:pos="102"/>
              </w:tabs>
              <w:ind w:left="171" w:right="296"/>
              <w:jc w:val="right"/>
              <w:rPr>
                <w:rFonts w:eastAsiaTheme="majorEastAsia" w:cstheme="minorHAnsi"/>
                <w:sz w:val="20"/>
                <w:szCs w:val="20"/>
              </w:rPr>
            </w:pPr>
            <w:r w:rsidRPr="00545C7F">
              <w:rPr>
                <w:rFonts w:eastAsiaTheme="majorEastAsia" w:cstheme="minorHAnsi"/>
                <w:sz w:val="20"/>
                <w:szCs w:val="20"/>
              </w:rPr>
              <w:t>0.7</w:t>
            </w:r>
          </w:p>
        </w:tc>
        <w:tc>
          <w:tcPr>
            <w:tcW w:w="1701" w:type="dxa"/>
            <w:tcBorders>
              <w:top w:val="nil"/>
              <w:left w:val="nil"/>
              <w:bottom w:val="nil"/>
              <w:right w:val="nil"/>
            </w:tcBorders>
            <w:shd w:val="clear" w:color="auto" w:fill="8EAEDE"/>
            <w:vAlign w:val="center"/>
          </w:tcPr>
          <w:p w14:paraId="62970792" w14:textId="77777777" w:rsidR="00961617" w:rsidRPr="00545C7F" w:rsidRDefault="00961617" w:rsidP="0020771F">
            <w:pPr>
              <w:tabs>
                <w:tab w:val="left" w:pos="0"/>
                <w:tab w:val="left" w:pos="102"/>
                <w:tab w:val="left" w:pos="841"/>
              </w:tabs>
              <w:ind w:left="281" w:right="405"/>
              <w:jc w:val="right"/>
              <w:rPr>
                <w:rFonts w:eastAsiaTheme="majorEastAsia" w:cstheme="minorHAnsi"/>
                <w:sz w:val="20"/>
                <w:szCs w:val="20"/>
              </w:rPr>
            </w:pPr>
            <w:r w:rsidRPr="00545C7F">
              <w:rPr>
                <w:rFonts w:eastAsiaTheme="majorEastAsia" w:cstheme="minorHAnsi"/>
                <w:sz w:val="20"/>
                <w:szCs w:val="20"/>
              </w:rPr>
              <w:t>2.1</w:t>
            </w:r>
          </w:p>
        </w:tc>
      </w:tr>
    </w:tbl>
    <w:p w14:paraId="41BA084E" w14:textId="77777777" w:rsidR="00961617" w:rsidRPr="002F5864" w:rsidRDefault="00961617" w:rsidP="00E13B5E">
      <w:pPr>
        <w:pStyle w:val="Notes"/>
        <w:rPr>
          <w:lang w:eastAsia="en-AU"/>
        </w:rPr>
      </w:pPr>
      <w:r w:rsidRPr="00E13B5E">
        <w:rPr>
          <w:b/>
          <w:lang w:eastAsia="en-AU"/>
        </w:rPr>
        <w:t>Notes</w:t>
      </w:r>
      <w:r w:rsidRPr="002F5864">
        <w:rPr>
          <w:lang w:eastAsia="en-AU"/>
        </w:rPr>
        <w:t>:</w:t>
      </w:r>
    </w:p>
    <w:p w14:paraId="18DD703B" w14:textId="77777777" w:rsidR="00961617" w:rsidRPr="00AE501D" w:rsidRDefault="00961617" w:rsidP="00AE501D">
      <w:pPr>
        <w:pStyle w:val="Notesnumbered"/>
        <w:numPr>
          <w:ilvl w:val="0"/>
          <w:numId w:val="271"/>
        </w:numPr>
      </w:pPr>
      <w:r w:rsidRPr="00AE501D">
        <w:t>See Table A2.22 for the definition of a reference job seeker.</w:t>
      </w:r>
    </w:p>
    <w:p w14:paraId="02273D63" w14:textId="77777777" w:rsidR="00961617" w:rsidRPr="00AE501D" w:rsidRDefault="00961617" w:rsidP="00AE501D">
      <w:pPr>
        <w:pStyle w:val="Notesnumbered"/>
        <w:numPr>
          <w:ilvl w:val="0"/>
          <w:numId w:val="271"/>
        </w:numPr>
      </w:pPr>
      <w:r w:rsidRPr="00AE501D">
        <w:t>The cost effectiveness ratio used includes the average cost of servicing a job seeker for the first 12 calendar months after commencing in service and the estimated additional income support daily entitlements incurred as a result of longer median times in service for the different types of job seekers.</w:t>
      </w:r>
    </w:p>
    <w:p w14:paraId="366AAA0D" w14:textId="77777777" w:rsidR="00961617" w:rsidRPr="00AE501D" w:rsidRDefault="00961617" w:rsidP="00AE501D">
      <w:pPr>
        <w:pStyle w:val="Notesnumbered"/>
        <w:numPr>
          <w:ilvl w:val="0"/>
          <w:numId w:val="271"/>
        </w:numPr>
      </w:pPr>
      <w:r w:rsidRPr="00AE501D">
        <w:t>These results are regressed, controlling for job seeker and labour market characteristics during the two reference periods.</w:t>
      </w:r>
    </w:p>
    <w:p w14:paraId="350A7936" w14:textId="77777777" w:rsidR="00961617" w:rsidRDefault="00961617" w:rsidP="00E13B5E">
      <w:pPr>
        <w:pStyle w:val="Source"/>
        <w:rPr>
          <w:rFonts w:eastAsia="Times New Roman"/>
          <w:lang w:eastAsia="en-AU"/>
        </w:rPr>
      </w:pPr>
      <w:r w:rsidRPr="002F5864">
        <w:rPr>
          <w:b/>
        </w:rPr>
        <w:t>Source:</w:t>
      </w:r>
      <w:r w:rsidRPr="002F5864">
        <w:rPr>
          <w:rFonts w:eastAsia="Times New Roman"/>
          <w:lang w:eastAsia="en-AU"/>
        </w:rPr>
        <w:t xml:space="preserve"> </w:t>
      </w:r>
      <w:r w:rsidRPr="002F5864">
        <w:rPr>
          <w:rFonts w:eastAsia="Times New Roman"/>
          <w:lang w:eastAsia="en-AU"/>
        </w:rPr>
        <w:tab/>
        <w:t>Department of Employment administrative data.</w:t>
      </w:r>
    </w:p>
    <w:p w14:paraId="6DD8D7D8" w14:textId="77777777" w:rsidR="00940332" w:rsidRPr="002F5864" w:rsidRDefault="00864C5E" w:rsidP="00E13B5E">
      <w:pPr>
        <w:pStyle w:val="Source"/>
        <w:rPr>
          <w:rFonts w:eastAsia="Times New Roman"/>
          <w:lang w:eastAsia="en-AU"/>
        </w:rPr>
        <w:sectPr w:rsidR="00940332" w:rsidRPr="002F5864" w:rsidSect="00861BD8">
          <w:pgSz w:w="16839" w:h="11907" w:orient="landscape" w:code="9"/>
          <w:pgMar w:top="1440" w:right="1440" w:bottom="1440" w:left="1440" w:header="709" w:footer="284" w:gutter="0"/>
          <w:cols w:space="708"/>
          <w:docGrid w:linePitch="360"/>
        </w:sectPr>
      </w:pPr>
      <w:hyperlink w:anchor="Place_A224" w:history="1">
        <w:r w:rsidR="00940332" w:rsidRPr="005F1335">
          <w:rPr>
            <w:rStyle w:val="Hyperlink"/>
            <w:rFonts w:eastAsia="Times New Roman"/>
            <w:lang w:eastAsia="en-AU"/>
          </w:rPr>
          <w:t xml:space="preserve">Return to </w:t>
        </w:r>
        <w:r w:rsidR="003649E1" w:rsidRPr="005F1335">
          <w:rPr>
            <w:rStyle w:val="Hyperlink"/>
            <w:rFonts w:eastAsia="Times New Roman"/>
            <w:lang w:eastAsia="en-AU"/>
          </w:rPr>
          <w:t>s</w:t>
        </w:r>
        <w:r w:rsidR="00940332" w:rsidRPr="005F1335">
          <w:rPr>
            <w:rStyle w:val="Hyperlink"/>
            <w:rFonts w:eastAsia="Times New Roman"/>
            <w:lang w:eastAsia="en-AU"/>
          </w:rPr>
          <w:t>ection 4.2.5</w:t>
        </w:r>
      </w:hyperlink>
      <w:r w:rsidR="00940332">
        <w:rPr>
          <w:rFonts w:eastAsia="Times New Roman"/>
          <w:lang w:eastAsia="en-AU"/>
        </w:rPr>
        <w:t xml:space="preserve"> where this data is referenced.</w:t>
      </w:r>
    </w:p>
    <w:p w14:paraId="32DD6165" w14:textId="765BAA29" w:rsidR="00961617" w:rsidRPr="002F5864" w:rsidRDefault="00961617" w:rsidP="00961617">
      <w:pPr>
        <w:pStyle w:val="TableheadingforappendixA1"/>
        <w:rPr>
          <w:rFonts w:cstheme="minorHAnsi"/>
        </w:rPr>
      </w:pPr>
      <w:bookmarkStart w:id="685" w:name="_Toc513129918"/>
      <w:r w:rsidRPr="002F5864">
        <w:rPr>
          <w:rFonts w:cstheme="minorHAnsi"/>
        </w:rPr>
        <w:t>Table A2.25: Number of days from registration to the conduct of a Stream Service</w:t>
      </w:r>
      <w:r w:rsidR="000B2F4D">
        <w:rPr>
          <w:rFonts w:cstheme="minorHAnsi"/>
        </w:rPr>
        <w:t>s</w:t>
      </w:r>
      <w:r w:rsidRPr="002F5864">
        <w:rPr>
          <w:rFonts w:cstheme="minorHAnsi"/>
        </w:rPr>
        <w:t xml:space="preserve"> </w:t>
      </w:r>
      <w:r>
        <w:rPr>
          <w:rFonts w:cstheme="minorHAnsi"/>
        </w:rPr>
        <w:t>R</w:t>
      </w:r>
      <w:r w:rsidRPr="002F5864">
        <w:rPr>
          <w:rFonts w:cstheme="minorHAnsi"/>
        </w:rPr>
        <w:t>eview (per cent)</w:t>
      </w:r>
      <w:bookmarkEnd w:id="685"/>
      <w:r w:rsidRPr="002F5864">
        <w:rPr>
          <w:rFonts w:cstheme="minorHAnsi"/>
        </w:rPr>
        <w:t xml:space="preserve"> </w:t>
      </w:r>
    </w:p>
    <w:tbl>
      <w:tblPr>
        <w:tblW w:w="7528" w:type="dxa"/>
        <w:tblInd w:w="93" w:type="dxa"/>
        <w:tblLook w:val="04A0" w:firstRow="1" w:lastRow="0" w:firstColumn="1" w:lastColumn="0" w:noHBand="0" w:noVBand="1"/>
      </w:tblPr>
      <w:tblGrid>
        <w:gridCol w:w="1709"/>
        <w:gridCol w:w="1567"/>
        <w:gridCol w:w="1559"/>
        <w:gridCol w:w="1417"/>
        <w:gridCol w:w="1276"/>
      </w:tblGrid>
      <w:tr w:rsidR="00961617" w:rsidRPr="00545C7F" w14:paraId="656D1B0D" w14:textId="77777777" w:rsidTr="0020771F">
        <w:trPr>
          <w:trHeight w:val="576"/>
          <w:tblHeader/>
        </w:trPr>
        <w:tc>
          <w:tcPr>
            <w:tcW w:w="1709" w:type="dxa"/>
            <w:tcBorders>
              <w:top w:val="nil"/>
            </w:tcBorders>
            <w:shd w:val="clear" w:color="auto" w:fill="1E3D6B"/>
            <w:vAlign w:val="center"/>
            <w:hideMark/>
          </w:tcPr>
          <w:p w14:paraId="71EE3721"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bookmarkStart w:id="686" w:name="Title_A225"/>
            <w:bookmarkEnd w:id="686"/>
            <w:r w:rsidRPr="00545C7F">
              <w:rPr>
                <w:rFonts w:eastAsia="Times New Roman" w:cstheme="minorHAnsi"/>
                <w:b/>
                <w:color w:val="FFFFFF" w:themeColor="background2"/>
                <w:sz w:val="20"/>
                <w:szCs w:val="20"/>
                <w:lang w:eastAsia="en-AU"/>
              </w:rPr>
              <w:t>Days in service</w:t>
            </w:r>
          </w:p>
        </w:tc>
        <w:tc>
          <w:tcPr>
            <w:tcW w:w="1567" w:type="dxa"/>
            <w:tcBorders>
              <w:top w:val="nil"/>
            </w:tcBorders>
            <w:shd w:val="clear" w:color="auto" w:fill="1E3D6B"/>
            <w:noWrap/>
            <w:vAlign w:val="center"/>
            <w:hideMark/>
          </w:tcPr>
          <w:p w14:paraId="5AC5EC37"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Stream 1</w:t>
            </w:r>
          </w:p>
        </w:tc>
        <w:tc>
          <w:tcPr>
            <w:tcW w:w="1559" w:type="dxa"/>
            <w:tcBorders>
              <w:top w:val="nil"/>
            </w:tcBorders>
            <w:shd w:val="clear" w:color="auto" w:fill="1E3D6B"/>
            <w:noWrap/>
            <w:vAlign w:val="center"/>
            <w:hideMark/>
          </w:tcPr>
          <w:p w14:paraId="7603E44D"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Stream 2</w:t>
            </w:r>
          </w:p>
        </w:tc>
        <w:tc>
          <w:tcPr>
            <w:tcW w:w="1417" w:type="dxa"/>
            <w:tcBorders>
              <w:top w:val="nil"/>
            </w:tcBorders>
            <w:shd w:val="clear" w:color="auto" w:fill="1E3D6B"/>
            <w:noWrap/>
            <w:vAlign w:val="center"/>
            <w:hideMark/>
          </w:tcPr>
          <w:p w14:paraId="0E5A5483"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Stream 3</w:t>
            </w:r>
          </w:p>
        </w:tc>
        <w:tc>
          <w:tcPr>
            <w:tcW w:w="1276" w:type="dxa"/>
            <w:tcBorders>
              <w:top w:val="nil"/>
            </w:tcBorders>
            <w:shd w:val="clear" w:color="auto" w:fill="1E3D6B"/>
            <w:noWrap/>
            <w:vAlign w:val="center"/>
            <w:hideMark/>
          </w:tcPr>
          <w:p w14:paraId="3A68E6DA" w14:textId="77777777" w:rsidR="00961617" w:rsidRPr="00545C7F" w:rsidRDefault="00961617" w:rsidP="0020771F">
            <w:pPr>
              <w:spacing w:after="0" w:line="240" w:lineRule="auto"/>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Stream 4</w:t>
            </w:r>
          </w:p>
        </w:tc>
      </w:tr>
      <w:tr w:rsidR="00961617" w:rsidRPr="00545C7F" w14:paraId="2290EE8B" w14:textId="77777777" w:rsidTr="0020771F">
        <w:trPr>
          <w:trHeight w:val="288"/>
        </w:trPr>
        <w:tc>
          <w:tcPr>
            <w:tcW w:w="1709" w:type="dxa"/>
            <w:shd w:val="clear" w:color="auto" w:fill="auto"/>
            <w:noWrap/>
            <w:vAlign w:val="bottom"/>
            <w:hideMark/>
          </w:tcPr>
          <w:p w14:paraId="25B3A4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1567" w:type="dxa"/>
            <w:shd w:val="clear" w:color="auto" w:fill="auto"/>
            <w:noWrap/>
            <w:vAlign w:val="bottom"/>
            <w:hideMark/>
          </w:tcPr>
          <w:p w14:paraId="77AB663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shd w:val="clear" w:color="auto" w:fill="auto"/>
            <w:noWrap/>
            <w:vAlign w:val="bottom"/>
            <w:hideMark/>
          </w:tcPr>
          <w:p w14:paraId="057E28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shd w:val="clear" w:color="auto" w:fill="auto"/>
            <w:noWrap/>
            <w:vAlign w:val="bottom"/>
            <w:hideMark/>
          </w:tcPr>
          <w:p w14:paraId="53E37C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shd w:val="clear" w:color="auto" w:fill="auto"/>
            <w:noWrap/>
            <w:vAlign w:val="bottom"/>
            <w:hideMark/>
          </w:tcPr>
          <w:p w14:paraId="593007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0A6A9B22" w14:textId="77777777" w:rsidTr="0020771F">
        <w:trPr>
          <w:trHeight w:val="288"/>
        </w:trPr>
        <w:tc>
          <w:tcPr>
            <w:tcW w:w="1709" w:type="dxa"/>
            <w:tcBorders>
              <w:top w:val="nil"/>
            </w:tcBorders>
            <w:shd w:val="clear" w:color="auto" w:fill="E5E5E5" w:themeFill="background1" w:themeFillTint="33"/>
            <w:noWrap/>
            <w:vAlign w:val="bottom"/>
            <w:hideMark/>
          </w:tcPr>
          <w:p w14:paraId="2D1C1B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1567" w:type="dxa"/>
            <w:tcBorders>
              <w:top w:val="nil"/>
            </w:tcBorders>
            <w:shd w:val="clear" w:color="auto" w:fill="E5E5E5" w:themeFill="background1" w:themeFillTint="33"/>
            <w:noWrap/>
            <w:vAlign w:val="bottom"/>
            <w:hideMark/>
          </w:tcPr>
          <w:p w14:paraId="2A4938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5615B1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tcBorders>
              <w:top w:val="nil"/>
            </w:tcBorders>
            <w:shd w:val="clear" w:color="auto" w:fill="E5E5E5" w:themeFill="background1" w:themeFillTint="33"/>
            <w:noWrap/>
            <w:vAlign w:val="bottom"/>
            <w:hideMark/>
          </w:tcPr>
          <w:p w14:paraId="195498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276" w:type="dxa"/>
            <w:tcBorders>
              <w:top w:val="nil"/>
            </w:tcBorders>
            <w:shd w:val="clear" w:color="auto" w:fill="E5E5E5" w:themeFill="background1" w:themeFillTint="33"/>
            <w:noWrap/>
            <w:vAlign w:val="bottom"/>
            <w:hideMark/>
          </w:tcPr>
          <w:p w14:paraId="5D6518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425043C2" w14:textId="77777777" w:rsidTr="0020771F">
        <w:trPr>
          <w:trHeight w:val="288"/>
        </w:trPr>
        <w:tc>
          <w:tcPr>
            <w:tcW w:w="1709" w:type="dxa"/>
            <w:tcBorders>
              <w:top w:val="nil"/>
            </w:tcBorders>
            <w:shd w:val="clear" w:color="auto" w:fill="auto"/>
            <w:noWrap/>
            <w:vAlign w:val="bottom"/>
            <w:hideMark/>
          </w:tcPr>
          <w:p w14:paraId="36CE21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1567" w:type="dxa"/>
            <w:tcBorders>
              <w:top w:val="nil"/>
            </w:tcBorders>
            <w:shd w:val="clear" w:color="auto" w:fill="auto"/>
            <w:noWrap/>
            <w:vAlign w:val="bottom"/>
            <w:hideMark/>
          </w:tcPr>
          <w:p w14:paraId="1CED9C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62A9C56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tcBorders>
              <w:top w:val="nil"/>
            </w:tcBorders>
            <w:shd w:val="clear" w:color="auto" w:fill="auto"/>
            <w:noWrap/>
            <w:vAlign w:val="bottom"/>
            <w:hideMark/>
          </w:tcPr>
          <w:p w14:paraId="2605E4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tcBorders>
              <w:top w:val="nil"/>
            </w:tcBorders>
            <w:shd w:val="clear" w:color="auto" w:fill="auto"/>
            <w:noWrap/>
            <w:vAlign w:val="bottom"/>
            <w:hideMark/>
          </w:tcPr>
          <w:p w14:paraId="4B1010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544F8B84" w14:textId="77777777" w:rsidTr="0020771F">
        <w:trPr>
          <w:trHeight w:val="288"/>
        </w:trPr>
        <w:tc>
          <w:tcPr>
            <w:tcW w:w="1709" w:type="dxa"/>
            <w:tcBorders>
              <w:top w:val="nil"/>
            </w:tcBorders>
            <w:shd w:val="clear" w:color="auto" w:fill="E5E5E5" w:themeFill="background1" w:themeFillTint="33"/>
            <w:noWrap/>
            <w:vAlign w:val="bottom"/>
            <w:hideMark/>
          </w:tcPr>
          <w:p w14:paraId="1C4435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1567" w:type="dxa"/>
            <w:tcBorders>
              <w:top w:val="nil"/>
            </w:tcBorders>
            <w:shd w:val="clear" w:color="auto" w:fill="E5E5E5" w:themeFill="background1" w:themeFillTint="33"/>
            <w:noWrap/>
            <w:vAlign w:val="bottom"/>
            <w:hideMark/>
          </w:tcPr>
          <w:p w14:paraId="7FB244C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750633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tcBorders>
              <w:top w:val="nil"/>
            </w:tcBorders>
            <w:shd w:val="clear" w:color="auto" w:fill="E5E5E5" w:themeFill="background1" w:themeFillTint="33"/>
            <w:noWrap/>
            <w:vAlign w:val="bottom"/>
            <w:hideMark/>
          </w:tcPr>
          <w:p w14:paraId="09ECFD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tcBorders>
              <w:top w:val="nil"/>
            </w:tcBorders>
            <w:shd w:val="clear" w:color="auto" w:fill="E5E5E5" w:themeFill="background1" w:themeFillTint="33"/>
            <w:noWrap/>
            <w:vAlign w:val="bottom"/>
            <w:hideMark/>
          </w:tcPr>
          <w:p w14:paraId="63C9EB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1737D7D1" w14:textId="77777777" w:rsidTr="0020771F">
        <w:trPr>
          <w:trHeight w:val="288"/>
        </w:trPr>
        <w:tc>
          <w:tcPr>
            <w:tcW w:w="1709" w:type="dxa"/>
            <w:tcBorders>
              <w:top w:val="nil"/>
            </w:tcBorders>
            <w:shd w:val="clear" w:color="auto" w:fill="auto"/>
            <w:noWrap/>
            <w:vAlign w:val="bottom"/>
            <w:hideMark/>
          </w:tcPr>
          <w:p w14:paraId="0AA817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1567" w:type="dxa"/>
            <w:tcBorders>
              <w:top w:val="nil"/>
            </w:tcBorders>
            <w:shd w:val="clear" w:color="auto" w:fill="auto"/>
            <w:noWrap/>
            <w:vAlign w:val="bottom"/>
            <w:hideMark/>
          </w:tcPr>
          <w:p w14:paraId="6DABAC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6E0C5C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tcBorders>
              <w:top w:val="nil"/>
            </w:tcBorders>
            <w:shd w:val="clear" w:color="auto" w:fill="auto"/>
            <w:noWrap/>
            <w:vAlign w:val="bottom"/>
            <w:hideMark/>
          </w:tcPr>
          <w:p w14:paraId="6B387F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tcBorders>
              <w:top w:val="nil"/>
            </w:tcBorders>
            <w:shd w:val="clear" w:color="auto" w:fill="auto"/>
            <w:noWrap/>
            <w:vAlign w:val="bottom"/>
            <w:hideMark/>
          </w:tcPr>
          <w:p w14:paraId="71885BD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0A168C0A" w14:textId="77777777" w:rsidTr="0020771F">
        <w:trPr>
          <w:trHeight w:val="288"/>
        </w:trPr>
        <w:tc>
          <w:tcPr>
            <w:tcW w:w="1709" w:type="dxa"/>
            <w:tcBorders>
              <w:top w:val="nil"/>
            </w:tcBorders>
            <w:shd w:val="clear" w:color="auto" w:fill="E5E5E5" w:themeFill="background1" w:themeFillTint="33"/>
            <w:noWrap/>
            <w:vAlign w:val="bottom"/>
            <w:hideMark/>
          </w:tcPr>
          <w:p w14:paraId="545F33E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1567" w:type="dxa"/>
            <w:tcBorders>
              <w:top w:val="nil"/>
            </w:tcBorders>
            <w:shd w:val="clear" w:color="auto" w:fill="E5E5E5" w:themeFill="background1" w:themeFillTint="33"/>
            <w:noWrap/>
            <w:vAlign w:val="bottom"/>
            <w:hideMark/>
          </w:tcPr>
          <w:p w14:paraId="63563F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7ECD94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417" w:type="dxa"/>
            <w:tcBorders>
              <w:top w:val="nil"/>
            </w:tcBorders>
            <w:shd w:val="clear" w:color="auto" w:fill="E5E5E5" w:themeFill="background1" w:themeFillTint="33"/>
            <w:noWrap/>
            <w:vAlign w:val="bottom"/>
            <w:hideMark/>
          </w:tcPr>
          <w:p w14:paraId="2FBFCA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276" w:type="dxa"/>
            <w:tcBorders>
              <w:top w:val="nil"/>
            </w:tcBorders>
            <w:shd w:val="clear" w:color="auto" w:fill="E5E5E5" w:themeFill="background1" w:themeFillTint="33"/>
            <w:noWrap/>
            <w:vAlign w:val="bottom"/>
            <w:hideMark/>
          </w:tcPr>
          <w:p w14:paraId="6BC1EF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420DD39D" w14:textId="77777777" w:rsidTr="0020771F">
        <w:trPr>
          <w:trHeight w:val="288"/>
        </w:trPr>
        <w:tc>
          <w:tcPr>
            <w:tcW w:w="1709" w:type="dxa"/>
            <w:tcBorders>
              <w:top w:val="nil"/>
            </w:tcBorders>
            <w:shd w:val="clear" w:color="auto" w:fill="auto"/>
            <w:noWrap/>
            <w:vAlign w:val="bottom"/>
            <w:hideMark/>
          </w:tcPr>
          <w:p w14:paraId="1E070A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1567" w:type="dxa"/>
            <w:tcBorders>
              <w:top w:val="nil"/>
            </w:tcBorders>
            <w:shd w:val="clear" w:color="auto" w:fill="auto"/>
            <w:noWrap/>
            <w:vAlign w:val="bottom"/>
            <w:hideMark/>
          </w:tcPr>
          <w:p w14:paraId="0F2EFE9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18EA446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417" w:type="dxa"/>
            <w:tcBorders>
              <w:top w:val="nil"/>
            </w:tcBorders>
            <w:shd w:val="clear" w:color="auto" w:fill="auto"/>
            <w:noWrap/>
            <w:vAlign w:val="bottom"/>
            <w:hideMark/>
          </w:tcPr>
          <w:p w14:paraId="6E4F9A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276" w:type="dxa"/>
            <w:tcBorders>
              <w:top w:val="nil"/>
            </w:tcBorders>
            <w:shd w:val="clear" w:color="auto" w:fill="auto"/>
            <w:noWrap/>
            <w:vAlign w:val="bottom"/>
            <w:hideMark/>
          </w:tcPr>
          <w:p w14:paraId="7EF96E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14B24A6D" w14:textId="77777777" w:rsidTr="0020771F">
        <w:trPr>
          <w:trHeight w:val="288"/>
        </w:trPr>
        <w:tc>
          <w:tcPr>
            <w:tcW w:w="1709" w:type="dxa"/>
            <w:tcBorders>
              <w:top w:val="nil"/>
            </w:tcBorders>
            <w:shd w:val="clear" w:color="auto" w:fill="E5E5E5" w:themeFill="background1" w:themeFillTint="33"/>
            <w:noWrap/>
            <w:vAlign w:val="bottom"/>
            <w:hideMark/>
          </w:tcPr>
          <w:p w14:paraId="277C18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c>
          <w:tcPr>
            <w:tcW w:w="1567" w:type="dxa"/>
            <w:tcBorders>
              <w:top w:val="nil"/>
            </w:tcBorders>
            <w:shd w:val="clear" w:color="auto" w:fill="E5E5E5" w:themeFill="background1" w:themeFillTint="33"/>
            <w:noWrap/>
            <w:vAlign w:val="bottom"/>
            <w:hideMark/>
          </w:tcPr>
          <w:p w14:paraId="5ECAD1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25C3C3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417" w:type="dxa"/>
            <w:tcBorders>
              <w:top w:val="nil"/>
            </w:tcBorders>
            <w:shd w:val="clear" w:color="auto" w:fill="E5E5E5" w:themeFill="background1" w:themeFillTint="33"/>
            <w:noWrap/>
            <w:vAlign w:val="bottom"/>
            <w:hideMark/>
          </w:tcPr>
          <w:p w14:paraId="622690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276" w:type="dxa"/>
            <w:tcBorders>
              <w:top w:val="nil"/>
            </w:tcBorders>
            <w:shd w:val="clear" w:color="auto" w:fill="E5E5E5" w:themeFill="background1" w:themeFillTint="33"/>
            <w:noWrap/>
            <w:vAlign w:val="bottom"/>
            <w:hideMark/>
          </w:tcPr>
          <w:p w14:paraId="7C7E4F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34EB439C" w14:textId="77777777" w:rsidTr="0020771F">
        <w:trPr>
          <w:trHeight w:val="288"/>
        </w:trPr>
        <w:tc>
          <w:tcPr>
            <w:tcW w:w="1709" w:type="dxa"/>
            <w:tcBorders>
              <w:top w:val="nil"/>
            </w:tcBorders>
            <w:shd w:val="clear" w:color="auto" w:fill="auto"/>
            <w:noWrap/>
            <w:vAlign w:val="bottom"/>
            <w:hideMark/>
          </w:tcPr>
          <w:p w14:paraId="16DDEF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c>
          <w:tcPr>
            <w:tcW w:w="1567" w:type="dxa"/>
            <w:tcBorders>
              <w:top w:val="nil"/>
            </w:tcBorders>
            <w:shd w:val="clear" w:color="auto" w:fill="auto"/>
            <w:noWrap/>
            <w:vAlign w:val="bottom"/>
            <w:hideMark/>
          </w:tcPr>
          <w:p w14:paraId="5B4801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74669E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w:t>
            </w:r>
          </w:p>
        </w:tc>
        <w:tc>
          <w:tcPr>
            <w:tcW w:w="1417" w:type="dxa"/>
            <w:tcBorders>
              <w:top w:val="nil"/>
            </w:tcBorders>
            <w:shd w:val="clear" w:color="auto" w:fill="auto"/>
            <w:noWrap/>
            <w:vAlign w:val="bottom"/>
            <w:hideMark/>
          </w:tcPr>
          <w:p w14:paraId="1FE6B7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276" w:type="dxa"/>
            <w:tcBorders>
              <w:top w:val="nil"/>
            </w:tcBorders>
            <w:shd w:val="clear" w:color="auto" w:fill="auto"/>
            <w:noWrap/>
            <w:vAlign w:val="bottom"/>
            <w:hideMark/>
          </w:tcPr>
          <w:p w14:paraId="712BB5D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34B5E037" w14:textId="77777777" w:rsidTr="0020771F">
        <w:trPr>
          <w:trHeight w:val="288"/>
        </w:trPr>
        <w:tc>
          <w:tcPr>
            <w:tcW w:w="1709" w:type="dxa"/>
            <w:tcBorders>
              <w:top w:val="nil"/>
            </w:tcBorders>
            <w:shd w:val="clear" w:color="auto" w:fill="E5E5E5" w:themeFill="background1" w:themeFillTint="33"/>
            <w:noWrap/>
            <w:vAlign w:val="bottom"/>
            <w:hideMark/>
          </w:tcPr>
          <w:p w14:paraId="408D77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1567" w:type="dxa"/>
            <w:tcBorders>
              <w:top w:val="nil"/>
            </w:tcBorders>
            <w:shd w:val="clear" w:color="auto" w:fill="E5E5E5" w:themeFill="background1" w:themeFillTint="33"/>
            <w:noWrap/>
            <w:vAlign w:val="bottom"/>
            <w:hideMark/>
          </w:tcPr>
          <w:p w14:paraId="0E204D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0854EA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0.05</w:t>
            </w:r>
          </w:p>
        </w:tc>
        <w:tc>
          <w:tcPr>
            <w:tcW w:w="1417" w:type="dxa"/>
            <w:tcBorders>
              <w:top w:val="nil"/>
            </w:tcBorders>
            <w:shd w:val="clear" w:color="auto" w:fill="E5E5E5" w:themeFill="background1" w:themeFillTint="33"/>
            <w:noWrap/>
            <w:vAlign w:val="bottom"/>
            <w:hideMark/>
          </w:tcPr>
          <w:p w14:paraId="3CAA23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c>
          <w:tcPr>
            <w:tcW w:w="1276" w:type="dxa"/>
            <w:tcBorders>
              <w:top w:val="nil"/>
            </w:tcBorders>
            <w:shd w:val="clear" w:color="auto" w:fill="E5E5E5" w:themeFill="background1" w:themeFillTint="33"/>
            <w:noWrap/>
            <w:vAlign w:val="bottom"/>
            <w:hideMark/>
          </w:tcPr>
          <w:p w14:paraId="662BAD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2B19545A" w14:textId="77777777" w:rsidTr="0020771F">
        <w:trPr>
          <w:trHeight w:val="288"/>
        </w:trPr>
        <w:tc>
          <w:tcPr>
            <w:tcW w:w="1709" w:type="dxa"/>
            <w:tcBorders>
              <w:top w:val="nil"/>
            </w:tcBorders>
            <w:shd w:val="clear" w:color="auto" w:fill="auto"/>
            <w:noWrap/>
            <w:vAlign w:val="bottom"/>
            <w:hideMark/>
          </w:tcPr>
          <w:p w14:paraId="406777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c>
          <w:tcPr>
            <w:tcW w:w="1567" w:type="dxa"/>
            <w:tcBorders>
              <w:top w:val="nil"/>
            </w:tcBorders>
            <w:shd w:val="clear" w:color="auto" w:fill="auto"/>
            <w:noWrap/>
            <w:vAlign w:val="bottom"/>
            <w:hideMark/>
          </w:tcPr>
          <w:p w14:paraId="5C66C5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6DA8D6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417" w:type="dxa"/>
            <w:tcBorders>
              <w:top w:val="nil"/>
            </w:tcBorders>
            <w:shd w:val="clear" w:color="auto" w:fill="auto"/>
            <w:noWrap/>
            <w:vAlign w:val="bottom"/>
            <w:hideMark/>
          </w:tcPr>
          <w:p w14:paraId="014C02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tcBorders>
              <w:top w:val="nil"/>
            </w:tcBorders>
            <w:shd w:val="clear" w:color="auto" w:fill="auto"/>
            <w:noWrap/>
            <w:vAlign w:val="bottom"/>
            <w:hideMark/>
          </w:tcPr>
          <w:p w14:paraId="5C00F0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225CCE9A" w14:textId="77777777" w:rsidTr="0020771F">
        <w:trPr>
          <w:trHeight w:val="288"/>
        </w:trPr>
        <w:tc>
          <w:tcPr>
            <w:tcW w:w="1709" w:type="dxa"/>
            <w:tcBorders>
              <w:top w:val="nil"/>
            </w:tcBorders>
            <w:shd w:val="clear" w:color="auto" w:fill="E5E5E5" w:themeFill="background1" w:themeFillTint="33"/>
            <w:noWrap/>
            <w:vAlign w:val="bottom"/>
            <w:hideMark/>
          </w:tcPr>
          <w:p w14:paraId="05C5BA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w:t>
            </w:r>
          </w:p>
        </w:tc>
        <w:tc>
          <w:tcPr>
            <w:tcW w:w="1567" w:type="dxa"/>
            <w:tcBorders>
              <w:top w:val="nil"/>
            </w:tcBorders>
            <w:shd w:val="clear" w:color="auto" w:fill="E5E5E5" w:themeFill="background1" w:themeFillTint="33"/>
            <w:noWrap/>
            <w:vAlign w:val="bottom"/>
            <w:hideMark/>
          </w:tcPr>
          <w:p w14:paraId="0D97E2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16D57B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417" w:type="dxa"/>
            <w:tcBorders>
              <w:top w:val="nil"/>
            </w:tcBorders>
            <w:shd w:val="clear" w:color="auto" w:fill="E5E5E5" w:themeFill="background1" w:themeFillTint="33"/>
            <w:noWrap/>
            <w:vAlign w:val="bottom"/>
            <w:hideMark/>
          </w:tcPr>
          <w:p w14:paraId="16FF62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tcBorders>
              <w:top w:val="nil"/>
            </w:tcBorders>
            <w:shd w:val="clear" w:color="auto" w:fill="E5E5E5" w:themeFill="background1" w:themeFillTint="33"/>
            <w:noWrap/>
            <w:vAlign w:val="bottom"/>
            <w:hideMark/>
          </w:tcPr>
          <w:p w14:paraId="5E634B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609B9818" w14:textId="77777777" w:rsidTr="0020771F">
        <w:trPr>
          <w:trHeight w:val="288"/>
        </w:trPr>
        <w:tc>
          <w:tcPr>
            <w:tcW w:w="1709" w:type="dxa"/>
            <w:tcBorders>
              <w:top w:val="nil"/>
            </w:tcBorders>
            <w:shd w:val="clear" w:color="auto" w:fill="auto"/>
            <w:noWrap/>
            <w:vAlign w:val="bottom"/>
            <w:hideMark/>
          </w:tcPr>
          <w:p w14:paraId="5D6EAD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w:t>
            </w:r>
          </w:p>
        </w:tc>
        <w:tc>
          <w:tcPr>
            <w:tcW w:w="1567" w:type="dxa"/>
            <w:tcBorders>
              <w:top w:val="nil"/>
            </w:tcBorders>
            <w:shd w:val="clear" w:color="auto" w:fill="auto"/>
            <w:noWrap/>
            <w:vAlign w:val="bottom"/>
            <w:hideMark/>
          </w:tcPr>
          <w:p w14:paraId="7A154D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1E444C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0.07</w:t>
            </w:r>
          </w:p>
        </w:tc>
        <w:tc>
          <w:tcPr>
            <w:tcW w:w="1417" w:type="dxa"/>
            <w:tcBorders>
              <w:top w:val="nil"/>
            </w:tcBorders>
            <w:shd w:val="clear" w:color="auto" w:fill="auto"/>
            <w:noWrap/>
            <w:vAlign w:val="bottom"/>
            <w:hideMark/>
          </w:tcPr>
          <w:p w14:paraId="3D37EB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276" w:type="dxa"/>
            <w:tcBorders>
              <w:top w:val="nil"/>
            </w:tcBorders>
            <w:shd w:val="clear" w:color="auto" w:fill="auto"/>
            <w:noWrap/>
            <w:vAlign w:val="bottom"/>
            <w:hideMark/>
          </w:tcPr>
          <w:p w14:paraId="2558F4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28DA8EF9" w14:textId="77777777" w:rsidTr="0020771F">
        <w:trPr>
          <w:trHeight w:val="288"/>
        </w:trPr>
        <w:tc>
          <w:tcPr>
            <w:tcW w:w="1709" w:type="dxa"/>
            <w:tcBorders>
              <w:top w:val="nil"/>
            </w:tcBorders>
            <w:shd w:val="clear" w:color="auto" w:fill="E5E5E5" w:themeFill="background1" w:themeFillTint="33"/>
            <w:noWrap/>
            <w:vAlign w:val="bottom"/>
            <w:hideMark/>
          </w:tcPr>
          <w:p w14:paraId="4C26AA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w:t>
            </w:r>
          </w:p>
        </w:tc>
        <w:tc>
          <w:tcPr>
            <w:tcW w:w="1567" w:type="dxa"/>
            <w:tcBorders>
              <w:top w:val="nil"/>
            </w:tcBorders>
            <w:shd w:val="clear" w:color="auto" w:fill="E5E5E5" w:themeFill="background1" w:themeFillTint="33"/>
            <w:noWrap/>
            <w:vAlign w:val="bottom"/>
            <w:hideMark/>
          </w:tcPr>
          <w:p w14:paraId="026162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6CF9CC7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417" w:type="dxa"/>
            <w:tcBorders>
              <w:top w:val="nil"/>
            </w:tcBorders>
            <w:shd w:val="clear" w:color="auto" w:fill="E5E5E5" w:themeFill="background1" w:themeFillTint="33"/>
            <w:noWrap/>
            <w:vAlign w:val="bottom"/>
            <w:hideMark/>
          </w:tcPr>
          <w:p w14:paraId="462657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c>
          <w:tcPr>
            <w:tcW w:w="1276" w:type="dxa"/>
            <w:tcBorders>
              <w:top w:val="nil"/>
            </w:tcBorders>
            <w:shd w:val="clear" w:color="auto" w:fill="E5E5E5" w:themeFill="background1" w:themeFillTint="33"/>
            <w:noWrap/>
            <w:vAlign w:val="bottom"/>
            <w:hideMark/>
          </w:tcPr>
          <w:p w14:paraId="4802A7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73B2D275" w14:textId="77777777" w:rsidTr="0020771F">
        <w:trPr>
          <w:trHeight w:val="288"/>
        </w:trPr>
        <w:tc>
          <w:tcPr>
            <w:tcW w:w="1709" w:type="dxa"/>
            <w:tcBorders>
              <w:top w:val="nil"/>
            </w:tcBorders>
            <w:shd w:val="clear" w:color="auto" w:fill="auto"/>
            <w:noWrap/>
            <w:vAlign w:val="bottom"/>
            <w:hideMark/>
          </w:tcPr>
          <w:p w14:paraId="63AB9C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c>
          <w:tcPr>
            <w:tcW w:w="1567" w:type="dxa"/>
            <w:tcBorders>
              <w:top w:val="nil"/>
            </w:tcBorders>
            <w:shd w:val="clear" w:color="auto" w:fill="auto"/>
            <w:noWrap/>
            <w:vAlign w:val="bottom"/>
            <w:hideMark/>
          </w:tcPr>
          <w:p w14:paraId="4993739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auto"/>
            <w:noWrap/>
            <w:vAlign w:val="bottom"/>
            <w:hideMark/>
          </w:tcPr>
          <w:p w14:paraId="38C745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c>
          <w:tcPr>
            <w:tcW w:w="1417" w:type="dxa"/>
            <w:tcBorders>
              <w:top w:val="nil"/>
            </w:tcBorders>
            <w:shd w:val="clear" w:color="auto" w:fill="auto"/>
            <w:noWrap/>
            <w:vAlign w:val="bottom"/>
            <w:hideMark/>
          </w:tcPr>
          <w:p w14:paraId="4FB85B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c>
          <w:tcPr>
            <w:tcW w:w="1276" w:type="dxa"/>
            <w:tcBorders>
              <w:top w:val="nil"/>
            </w:tcBorders>
            <w:shd w:val="clear" w:color="auto" w:fill="auto"/>
            <w:noWrap/>
            <w:vAlign w:val="bottom"/>
            <w:hideMark/>
          </w:tcPr>
          <w:p w14:paraId="6E9560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r>
      <w:tr w:rsidR="00961617" w:rsidRPr="00545C7F" w14:paraId="14DBBEC9" w14:textId="77777777" w:rsidTr="0020771F">
        <w:trPr>
          <w:trHeight w:val="288"/>
        </w:trPr>
        <w:tc>
          <w:tcPr>
            <w:tcW w:w="1709" w:type="dxa"/>
            <w:tcBorders>
              <w:top w:val="nil"/>
            </w:tcBorders>
            <w:shd w:val="clear" w:color="auto" w:fill="E5E5E5" w:themeFill="background1" w:themeFillTint="33"/>
            <w:noWrap/>
            <w:vAlign w:val="bottom"/>
            <w:hideMark/>
          </w:tcPr>
          <w:p w14:paraId="2E40C5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112</w:t>
            </w:r>
          </w:p>
        </w:tc>
        <w:tc>
          <w:tcPr>
            <w:tcW w:w="1567" w:type="dxa"/>
            <w:tcBorders>
              <w:top w:val="nil"/>
            </w:tcBorders>
            <w:shd w:val="clear" w:color="auto" w:fill="E5E5E5" w:themeFill="background1" w:themeFillTint="33"/>
            <w:noWrap/>
            <w:vAlign w:val="bottom"/>
            <w:hideMark/>
          </w:tcPr>
          <w:p w14:paraId="05DAD2C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0.00</w:t>
            </w:r>
          </w:p>
        </w:tc>
        <w:tc>
          <w:tcPr>
            <w:tcW w:w="1559" w:type="dxa"/>
            <w:tcBorders>
              <w:top w:val="nil"/>
            </w:tcBorders>
            <w:shd w:val="clear" w:color="auto" w:fill="E5E5E5" w:themeFill="background1" w:themeFillTint="33"/>
            <w:noWrap/>
            <w:vAlign w:val="bottom"/>
            <w:hideMark/>
          </w:tcPr>
          <w:p w14:paraId="36D5098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c>
          <w:tcPr>
            <w:tcW w:w="1417" w:type="dxa"/>
            <w:tcBorders>
              <w:top w:val="nil"/>
            </w:tcBorders>
            <w:shd w:val="clear" w:color="auto" w:fill="E5E5E5" w:themeFill="background1" w:themeFillTint="33"/>
            <w:noWrap/>
            <w:vAlign w:val="bottom"/>
            <w:hideMark/>
          </w:tcPr>
          <w:p w14:paraId="25DBC6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0.19</w:t>
            </w:r>
          </w:p>
        </w:tc>
        <w:tc>
          <w:tcPr>
            <w:tcW w:w="1276" w:type="dxa"/>
            <w:tcBorders>
              <w:top w:val="nil"/>
            </w:tcBorders>
            <w:shd w:val="clear" w:color="auto" w:fill="E5E5E5" w:themeFill="background1" w:themeFillTint="33"/>
            <w:noWrap/>
            <w:vAlign w:val="bottom"/>
            <w:hideMark/>
          </w:tcPr>
          <w:p w14:paraId="7B5C09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r>
      <w:tr w:rsidR="00961617" w:rsidRPr="00545C7F" w14:paraId="34FAD551" w14:textId="77777777" w:rsidTr="0020771F">
        <w:trPr>
          <w:trHeight w:val="288"/>
        </w:trPr>
        <w:tc>
          <w:tcPr>
            <w:tcW w:w="1709" w:type="dxa"/>
            <w:tcBorders>
              <w:top w:val="nil"/>
            </w:tcBorders>
            <w:shd w:val="clear" w:color="auto" w:fill="auto"/>
            <w:noWrap/>
            <w:vAlign w:val="bottom"/>
            <w:hideMark/>
          </w:tcPr>
          <w:p w14:paraId="4D32D3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119</w:t>
            </w:r>
          </w:p>
        </w:tc>
        <w:tc>
          <w:tcPr>
            <w:tcW w:w="1567" w:type="dxa"/>
            <w:tcBorders>
              <w:top w:val="nil"/>
            </w:tcBorders>
            <w:shd w:val="clear" w:color="auto" w:fill="auto"/>
            <w:noWrap/>
            <w:vAlign w:val="bottom"/>
            <w:hideMark/>
          </w:tcPr>
          <w:p w14:paraId="31D95B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0.01</w:t>
            </w:r>
          </w:p>
        </w:tc>
        <w:tc>
          <w:tcPr>
            <w:tcW w:w="1559" w:type="dxa"/>
            <w:tcBorders>
              <w:top w:val="nil"/>
            </w:tcBorders>
            <w:shd w:val="clear" w:color="auto" w:fill="auto"/>
            <w:noWrap/>
            <w:vAlign w:val="bottom"/>
            <w:hideMark/>
          </w:tcPr>
          <w:p w14:paraId="7A8983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0.20</w:t>
            </w:r>
          </w:p>
        </w:tc>
        <w:tc>
          <w:tcPr>
            <w:tcW w:w="1417" w:type="dxa"/>
            <w:tcBorders>
              <w:top w:val="nil"/>
            </w:tcBorders>
            <w:shd w:val="clear" w:color="auto" w:fill="auto"/>
            <w:noWrap/>
            <w:vAlign w:val="bottom"/>
            <w:hideMark/>
          </w:tcPr>
          <w:p w14:paraId="08851F7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276" w:type="dxa"/>
            <w:tcBorders>
              <w:top w:val="nil"/>
            </w:tcBorders>
            <w:shd w:val="clear" w:color="auto" w:fill="auto"/>
            <w:noWrap/>
            <w:vAlign w:val="bottom"/>
            <w:hideMark/>
          </w:tcPr>
          <w:p w14:paraId="761594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552741C0" w14:textId="77777777" w:rsidTr="0020771F">
        <w:trPr>
          <w:trHeight w:val="288"/>
        </w:trPr>
        <w:tc>
          <w:tcPr>
            <w:tcW w:w="1709" w:type="dxa"/>
            <w:tcBorders>
              <w:top w:val="nil"/>
            </w:tcBorders>
            <w:shd w:val="clear" w:color="auto" w:fill="E5E5E5" w:themeFill="background1" w:themeFillTint="33"/>
            <w:noWrap/>
            <w:vAlign w:val="bottom"/>
            <w:hideMark/>
          </w:tcPr>
          <w:p w14:paraId="15D651A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126</w:t>
            </w:r>
          </w:p>
        </w:tc>
        <w:tc>
          <w:tcPr>
            <w:tcW w:w="1567" w:type="dxa"/>
            <w:tcBorders>
              <w:top w:val="nil"/>
            </w:tcBorders>
            <w:shd w:val="clear" w:color="auto" w:fill="E5E5E5" w:themeFill="background1" w:themeFillTint="33"/>
            <w:noWrap/>
            <w:vAlign w:val="bottom"/>
            <w:hideMark/>
          </w:tcPr>
          <w:p w14:paraId="5A083E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w:t>
            </w:r>
          </w:p>
        </w:tc>
        <w:tc>
          <w:tcPr>
            <w:tcW w:w="1559" w:type="dxa"/>
            <w:tcBorders>
              <w:top w:val="nil"/>
            </w:tcBorders>
            <w:shd w:val="clear" w:color="auto" w:fill="E5E5E5" w:themeFill="background1" w:themeFillTint="33"/>
            <w:noWrap/>
            <w:vAlign w:val="bottom"/>
            <w:hideMark/>
          </w:tcPr>
          <w:p w14:paraId="094346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0.24</w:t>
            </w:r>
          </w:p>
        </w:tc>
        <w:tc>
          <w:tcPr>
            <w:tcW w:w="1417" w:type="dxa"/>
            <w:tcBorders>
              <w:top w:val="nil"/>
            </w:tcBorders>
            <w:shd w:val="clear" w:color="auto" w:fill="E5E5E5" w:themeFill="background1" w:themeFillTint="33"/>
            <w:noWrap/>
            <w:vAlign w:val="bottom"/>
            <w:hideMark/>
          </w:tcPr>
          <w:p w14:paraId="74F990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276" w:type="dxa"/>
            <w:tcBorders>
              <w:top w:val="nil"/>
            </w:tcBorders>
            <w:shd w:val="clear" w:color="auto" w:fill="E5E5E5" w:themeFill="background1" w:themeFillTint="33"/>
            <w:noWrap/>
            <w:vAlign w:val="bottom"/>
            <w:hideMark/>
          </w:tcPr>
          <w:p w14:paraId="25374A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5786A209" w14:textId="77777777" w:rsidTr="0020771F">
        <w:trPr>
          <w:trHeight w:val="288"/>
        </w:trPr>
        <w:tc>
          <w:tcPr>
            <w:tcW w:w="1709" w:type="dxa"/>
            <w:tcBorders>
              <w:top w:val="nil"/>
            </w:tcBorders>
            <w:shd w:val="clear" w:color="auto" w:fill="auto"/>
            <w:noWrap/>
            <w:vAlign w:val="bottom"/>
            <w:hideMark/>
          </w:tcPr>
          <w:p w14:paraId="5E1242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1567" w:type="dxa"/>
            <w:tcBorders>
              <w:top w:val="nil"/>
            </w:tcBorders>
            <w:shd w:val="clear" w:color="auto" w:fill="auto"/>
            <w:noWrap/>
            <w:vAlign w:val="bottom"/>
            <w:hideMark/>
          </w:tcPr>
          <w:p w14:paraId="7D99D3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0.02</w:t>
            </w:r>
          </w:p>
        </w:tc>
        <w:tc>
          <w:tcPr>
            <w:tcW w:w="1559" w:type="dxa"/>
            <w:tcBorders>
              <w:top w:val="nil"/>
            </w:tcBorders>
            <w:shd w:val="clear" w:color="auto" w:fill="auto"/>
            <w:noWrap/>
            <w:vAlign w:val="bottom"/>
            <w:hideMark/>
          </w:tcPr>
          <w:p w14:paraId="115EEF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417" w:type="dxa"/>
            <w:tcBorders>
              <w:top w:val="nil"/>
            </w:tcBorders>
            <w:shd w:val="clear" w:color="auto" w:fill="auto"/>
            <w:noWrap/>
            <w:vAlign w:val="bottom"/>
            <w:hideMark/>
          </w:tcPr>
          <w:p w14:paraId="021163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276" w:type="dxa"/>
            <w:tcBorders>
              <w:top w:val="nil"/>
            </w:tcBorders>
            <w:shd w:val="clear" w:color="auto" w:fill="auto"/>
            <w:noWrap/>
            <w:vAlign w:val="bottom"/>
            <w:hideMark/>
          </w:tcPr>
          <w:p w14:paraId="701E5A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0849B3CA" w14:textId="77777777" w:rsidTr="0020771F">
        <w:trPr>
          <w:trHeight w:val="288"/>
        </w:trPr>
        <w:tc>
          <w:tcPr>
            <w:tcW w:w="1709" w:type="dxa"/>
            <w:tcBorders>
              <w:top w:val="nil"/>
            </w:tcBorders>
            <w:shd w:val="clear" w:color="auto" w:fill="E5E5E5" w:themeFill="background1" w:themeFillTint="33"/>
            <w:noWrap/>
            <w:vAlign w:val="bottom"/>
            <w:hideMark/>
          </w:tcPr>
          <w:p w14:paraId="630306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140</w:t>
            </w:r>
          </w:p>
        </w:tc>
        <w:tc>
          <w:tcPr>
            <w:tcW w:w="1567" w:type="dxa"/>
            <w:tcBorders>
              <w:top w:val="nil"/>
            </w:tcBorders>
            <w:shd w:val="clear" w:color="auto" w:fill="E5E5E5" w:themeFill="background1" w:themeFillTint="33"/>
            <w:noWrap/>
            <w:vAlign w:val="bottom"/>
            <w:hideMark/>
          </w:tcPr>
          <w:p w14:paraId="062947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0.03</w:t>
            </w:r>
          </w:p>
        </w:tc>
        <w:tc>
          <w:tcPr>
            <w:tcW w:w="1559" w:type="dxa"/>
            <w:tcBorders>
              <w:top w:val="nil"/>
            </w:tcBorders>
            <w:shd w:val="clear" w:color="auto" w:fill="E5E5E5" w:themeFill="background1" w:themeFillTint="33"/>
            <w:noWrap/>
            <w:vAlign w:val="bottom"/>
            <w:hideMark/>
          </w:tcPr>
          <w:p w14:paraId="78B0C5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0.30</w:t>
            </w:r>
          </w:p>
        </w:tc>
        <w:tc>
          <w:tcPr>
            <w:tcW w:w="1417" w:type="dxa"/>
            <w:tcBorders>
              <w:top w:val="nil"/>
            </w:tcBorders>
            <w:shd w:val="clear" w:color="auto" w:fill="E5E5E5" w:themeFill="background1" w:themeFillTint="33"/>
            <w:noWrap/>
            <w:vAlign w:val="bottom"/>
            <w:hideMark/>
          </w:tcPr>
          <w:p w14:paraId="30840C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0.39</w:t>
            </w:r>
          </w:p>
        </w:tc>
        <w:tc>
          <w:tcPr>
            <w:tcW w:w="1276" w:type="dxa"/>
            <w:tcBorders>
              <w:top w:val="nil"/>
            </w:tcBorders>
            <w:shd w:val="clear" w:color="auto" w:fill="E5E5E5" w:themeFill="background1" w:themeFillTint="33"/>
            <w:noWrap/>
            <w:vAlign w:val="bottom"/>
            <w:hideMark/>
          </w:tcPr>
          <w:p w14:paraId="54D19B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24D75DC0" w14:textId="77777777" w:rsidTr="0020771F">
        <w:trPr>
          <w:trHeight w:val="288"/>
        </w:trPr>
        <w:tc>
          <w:tcPr>
            <w:tcW w:w="1709" w:type="dxa"/>
            <w:tcBorders>
              <w:top w:val="nil"/>
            </w:tcBorders>
            <w:shd w:val="clear" w:color="auto" w:fill="auto"/>
            <w:noWrap/>
            <w:vAlign w:val="bottom"/>
            <w:hideMark/>
          </w:tcPr>
          <w:p w14:paraId="0E8303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147</w:t>
            </w:r>
          </w:p>
        </w:tc>
        <w:tc>
          <w:tcPr>
            <w:tcW w:w="1567" w:type="dxa"/>
            <w:tcBorders>
              <w:top w:val="nil"/>
            </w:tcBorders>
            <w:shd w:val="clear" w:color="auto" w:fill="auto"/>
            <w:noWrap/>
            <w:vAlign w:val="bottom"/>
            <w:hideMark/>
          </w:tcPr>
          <w:p w14:paraId="531727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0.04</w:t>
            </w:r>
          </w:p>
        </w:tc>
        <w:tc>
          <w:tcPr>
            <w:tcW w:w="1559" w:type="dxa"/>
            <w:tcBorders>
              <w:top w:val="nil"/>
            </w:tcBorders>
            <w:shd w:val="clear" w:color="auto" w:fill="auto"/>
            <w:noWrap/>
            <w:vAlign w:val="bottom"/>
            <w:hideMark/>
          </w:tcPr>
          <w:p w14:paraId="3A463C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c>
          <w:tcPr>
            <w:tcW w:w="1417" w:type="dxa"/>
            <w:tcBorders>
              <w:top w:val="nil"/>
            </w:tcBorders>
            <w:shd w:val="clear" w:color="auto" w:fill="auto"/>
            <w:noWrap/>
            <w:vAlign w:val="bottom"/>
            <w:hideMark/>
          </w:tcPr>
          <w:p w14:paraId="337943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276" w:type="dxa"/>
            <w:tcBorders>
              <w:top w:val="nil"/>
            </w:tcBorders>
            <w:shd w:val="clear" w:color="auto" w:fill="auto"/>
            <w:noWrap/>
            <w:vAlign w:val="bottom"/>
            <w:hideMark/>
          </w:tcPr>
          <w:p w14:paraId="4E1C0AC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619A43C4" w14:textId="77777777" w:rsidTr="0020771F">
        <w:trPr>
          <w:trHeight w:val="288"/>
        </w:trPr>
        <w:tc>
          <w:tcPr>
            <w:tcW w:w="1709" w:type="dxa"/>
            <w:tcBorders>
              <w:top w:val="nil"/>
            </w:tcBorders>
            <w:shd w:val="clear" w:color="auto" w:fill="E5E5E5" w:themeFill="background1" w:themeFillTint="33"/>
            <w:noWrap/>
            <w:vAlign w:val="bottom"/>
            <w:hideMark/>
          </w:tcPr>
          <w:p w14:paraId="75344B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154</w:t>
            </w:r>
          </w:p>
        </w:tc>
        <w:tc>
          <w:tcPr>
            <w:tcW w:w="1567" w:type="dxa"/>
            <w:tcBorders>
              <w:top w:val="nil"/>
            </w:tcBorders>
            <w:shd w:val="clear" w:color="auto" w:fill="E5E5E5" w:themeFill="background1" w:themeFillTint="33"/>
            <w:noWrap/>
            <w:vAlign w:val="bottom"/>
            <w:hideMark/>
          </w:tcPr>
          <w:p w14:paraId="72366D3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559" w:type="dxa"/>
            <w:tcBorders>
              <w:top w:val="nil"/>
            </w:tcBorders>
            <w:shd w:val="clear" w:color="auto" w:fill="E5E5E5" w:themeFill="background1" w:themeFillTint="33"/>
            <w:noWrap/>
            <w:vAlign w:val="bottom"/>
            <w:hideMark/>
          </w:tcPr>
          <w:p w14:paraId="2D0901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0.46</w:t>
            </w:r>
          </w:p>
        </w:tc>
        <w:tc>
          <w:tcPr>
            <w:tcW w:w="1417" w:type="dxa"/>
            <w:tcBorders>
              <w:top w:val="nil"/>
            </w:tcBorders>
            <w:shd w:val="clear" w:color="auto" w:fill="E5E5E5" w:themeFill="background1" w:themeFillTint="33"/>
            <w:noWrap/>
            <w:vAlign w:val="bottom"/>
            <w:hideMark/>
          </w:tcPr>
          <w:p w14:paraId="4D892EE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276" w:type="dxa"/>
            <w:tcBorders>
              <w:top w:val="nil"/>
            </w:tcBorders>
            <w:shd w:val="clear" w:color="auto" w:fill="E5E5E5" w:themeFill="background1" w:themeFillTint="33"/>
            <w:noWrap/>
            <w:vAlign w:val="bottom"/>
            <w:hideMark/>
          </w:tcPr>
          <w:p w14:paraId="22D85D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2065C080" w14:textId="77777777" w:rsidTr="0020771F">
        <w:trPr>
          <w:trHeight w:val="288"/>
        </w:trPr>
        <w:tc>
          <w:tcPr>
            <w:tcW w:w="1709" w:type="dxa"/>
            <w:tcBorders>
              <w:top w:val="nil"/>
            </w:tcBorders>
            <w:shd w:val="clear" w:color="auto" w:fill="auto"/>
            <w:noWrap/>
            <w:vAlign w:val="bottom"/>
            <w:hideMark/>
          </w:tcPr>
          <w:p w14:paraId="7626B1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161</w:t>
            </w:r>
          </w:p>
        </w:tc>
        <w:tc>
          <w:tcPr>
            <w:tcW w:w="1567" w:type="dxa"/>
            <w:tcBorders>
              <w:top w:val="nil"/>
            </w:tcBorders>
            <w:shd w:val="clear" w:color="auto" w:fill="auto"/>
            <w:noWrap/>
            <w:vAlign w:val="bottom"/>
            <w:hideMark/>
          </w:tcPr>
          <w:p w14:paraId="456FEE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0.06</w:t>
            </w:r>
          </w:p>
        </w:tc>
        <w:tc>
          <w:tcPr>
            <w:tcW w:w="1559" w:type="dxa"/>
            <w:tcBorders>
              <w:top w:val="nil"/>
            </w:tcBorders>
            <w:shd w:val="clear" w:color="auto" w:fill="auto"/>
            <w:noWrap/>
            <w:vAlign w:val="bottom"/>
            <w:hideMark/>
          </w:tcPr>
          <w:p w14:paraId="720ED5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0.53</w:t>
            </w:r>
          </w:p>
        </w:tc>
        <w:tc>
          <w:tcPr>
            <w:tcW w:w="1417" w:type="dxa"/>
            <w:tcBorders>
              <w:top w:val="nil"/>
            </w:tcBorders>
            <w:shd w:val="clear" w:color="auto" w:fill="auto"/>
            <w:noWrap/>
            <w:vAlign w:val="bottom"/>
            <w:hideMark/>
          </w:tcPr>
          <w:p w14:paraId="3E31ED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0.51</w:t>
            </w:r>
          </w:p>
        </w:tc>
        <w:tc>
          <w:tcPr>
            <w:tcW w:w="1276" w:type="dxa"/>
            <w:tcBorders>
              <w:top w:val="nil"/>
            </w:tcBorders>
            <w:shd w:val="clear" w:color="auto" w:fill="auto"/>
            <w:noWrap/>
            <w:vAlign w:val="bottom"/>
            <w:hideMark/>
          </w:tcPr>
          <w:p w14:paraId="1C811DE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3AF6FEBF" w14:textId="77777777" w:rsidTr="0020771F">
        <w:trPr>
          <w:trHeight w:val="288"/>
        </w:trPr>
        <w:tc>
          <w:tcPr>
            <w:tcW w:w="1709" w:type="dxa"/>
            <w:tcBorders>
              <w:top w:val="nil"/>
            </w:tcBorders>
            <w:shd w:val="clear" w:color="auto" w:fill="E5E5E5" w:themeFill="background1" w:themeFillTint="33"/>
            <w:noWrap/>
            <w:vAlign w:val="bottom"/>
            <w:hideMark/>
          </w:tcPr>
          <w:p w14:paraId="7A96B9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168</w:t>
            </w:r>
          </w:p>
        </w:tc>
        <w:tc>
          <w:tcPr>
            <w:tcW w:w="1567" w:type="dxa"/>
            <w:tcBorders>
              <w:top w:val="nil"/>
            </w:tcBorders>
            <w:shd w:val="clear" w:color="auto" w:fill="E5E5E5" w:themeFill="background1" w:themeFillTint="33"/>
            <w:noWrap/>
            <w:vAlign w:val="bottom"/>
            <w:hideMark/>
          </w:tcPr>
          <w:p w14:paraId="034BDD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0.08</w:t>
            </w:r>
          </w:p>
        </w:tc>
        <w:tc>
          <w:tcPr>
            <w:tcW w:w="1559" w:type="dxa"/>
            <w:tcBorders>
              <w:top w:val="nil"/>
            </w:tcBorders>
            <w:shd w:val="clear" w:color="auto" w:fill="E5E5E5" w:themeFill="background1" w:themeFillTint="33"/>
            <w:noWrap/>
            <w:vAlign w:val="bottom"/>
            <w:hideMark/>
          </w:tcPr>
          <w:p w14:paraId="107986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0.57</w:t>
            </w:r>
          </w:p>
        </w:tc>
        <w:tc>
          <w:tcPr>
            <w:tcW w:w="1417" w:type="dxa"/>
            <w:tcBorders>
              <w:top w:val="nil"/>
            </w:tcBorders>
            <w:shd w:val="clear" w:color="auto" w:fill="E5E5E5" w:themeFill="background1" w:themeFillTint="33"/>
            <w:noWrap/>
            <w:vAlign w:val="bottom"/>
            <w:hideMark/>
          </w:tcPr>
          <w:p w14:paraId="2120D4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0.59</w:t>
            </w:r>
          </w:p>
        </w:tc>
        <w:tc>
          <w:tcPr>
            <w:tcW w:w="1276" w:type="dxa"/>
            <w:tcBorders>
              <w:top w:val="nil"/>
            </w:tcBorders>
            <w:shd w:val="clear" w:color="auto" w:fill="E5E5E5" w:themeFill="background1" w:themeFillTint="33"/>
            <w:noWrap/>
            <w:vAlign w:val="bottom"/>
            <w:hideMark/>
          </w:tcPr>
          <w:p w14:paraId="037F05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2F14823B" w14:textId="77777777" w:rsidTr="0020771F">
        <w:trPr>
          <w:trHeight w:val="288"/>
        </w:trPr>
        <w:tc>
          <w:tcPr>
            <w:tcW w:w="1709" w:type="dxa"/>
            <w:tcBorders>
              <w:top w:val="nil"/>
            </w:tcBorders>
            <w:shd w:val="clear" w:color="auto" w:fill="auto"/>
            <w:noWrap/>
            <w:vAlign w:val="bottom"/>
            <w:hideMark/>
          </w:tcPr>
          <w:p w14:paraId="3097A5F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175</w:t>
            </w:r>
          </w:p>
        </w:tc>
        <w:tc>
          <w:tcPr>
            <w:tcW w:w="1567" w:type="dxa"/>
            <w:tcBorders>
              <w:top w:val="nil"/>
            </w:tcBorders>
            <w:shd w:val="clear" w:color="auto" w:fill="auto"/>
            <w:noWrap/>
            <w:vAlign w:val="bottom"/>
            <w:hideMark/>
          </w:tcPr>
          <w:p w14:paraId="44C731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0.09</w:t>
            </w:r>
          </w:p>
        </w:tc>
        <w:tc>
          <w:tcPr>
            <w:tcW w:w="1559" w:type="dxa"/>
            <w:tcBorders>
              <w:top w:val="nil"/>
            </w:tcBorders>
            <w:shd w:val="clear" w:color="auto" w:fill="auto"/>
            <w:noWrap/>
            <w:vAlign w:val="bottom"/>
            <w:hideMark/>
          </w:tcPr>
          <w:p w14:paraId="28BC1E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0.64</w:t>
            </w:r>
          </w:p>
        </w:tc>
        <w:tc>
          <w:tcPr>
            <w:tcW w:w="1417" w:type="dxa"/>
            <w:tcBorders>
              <w:top w:val="nil"/>
            </w:tcBorders>
            <w:shd w:val="clear" w:color="auto" w:fill="auto"/>
            <w:noWrap/>
            <w:vAlign w:val="bottom"/>
            <w:hideMark/>
          </w:tcPr>
          <w:p w14:paraId="53E1B36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0.67</w:t>
            </w:r>
          </w:p>
        </w:tc>
        <w:tc>
          <w:tcPr>
            <w:tcW w:w="1276" w:type="dxa"/>
            <w:tcBorders>
              <w:top w:val="nil"/>
            </w:tcBorders>
            <w:shd w:val="clear" w:color="auto" w:fill="auto"/>
            <w:noWrap/>
            <w:vAlign w:val="bottom"/>
            <w:hideMark/>
          </w:tcPr>
          <w:p w14:paraId="14AC3F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1F51B8B0" w14:textId="77777777" w:rsidTr="0020771F">
        <w:trPr>
          <w:trHeight w:val="288"/>
        </w:trPr>
        <w:tc>
          <w:tcPr>
            <w:tcW w:w="1709" w:type="dxa"/>
            <w:tcBorders>
              <w:top w:val="nil"/>
            </w:tcBorders>
            <w:shd w:val="clear" w:color="auto" w:fill="E5E5E5" w:themeFill="background1" w:themeFillTint="33"/>
            <w:noWrap/>
            <w:vAlign w:val="bottom"/>
            <w:hideMark/>
          </w:tcPr>
          <w:p w14:paraId="40D4E0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182</w:t>
            </w:r>
          </w:p>
        </w:tc>
        <w:tc>
          <w:tcPr>
            <w:tcW w:w="1567" w:type="dxa"/>
            <w:tcBorders>
              <w:top w:val="nil"/>
            </w:tcBorders>
            <w:shd w:val="clear" w:color="auto" w:fill="E5E5E5" w:themeFill="background1" w:themeFillTint="33"/>
            <w:noWrap/>
            <w:vAlign w:val="bottom"/>
            <w:hideMark/>
          </w:tcPr>
          <w:p w14:paraId="41C320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c>
          <w:tcPr>
            <w:tcW w:w="1559" w:type="dxa"/>
            <w:tcBorders>
              <w:top w:val="nil"/>
            </w:tcBorders>
            <w:shd w:val="clear" w:color="auto" w:fill="E5E5E5" w:themeFill="background1" w:themeFillTint="33"/>
            <w:noWrap/>
            <w:vAlign w:val="bottom"/>
            <w:hideMark/>
          </w:tcPr>
          <w:p w14:paraId="75B276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w:t>
            </w:r>
          </w:p>
        </w:tc>
        <w:tc>
          <w:tcPr>
            <w:tcW w:w="1417" w:type="dxa"/>
            <w:tcBorders>
              <w:top w:val="nil"/>
            </w:tcBorders>
            <w:shd w:val="clear" w:color="auto" w:fill="E5E5E5" w:themeFill="background1" w:themeFillTint="33"/>
            <w:noWrap/>
            <w:vAlign w:val="bottom"/>
            <w:hideMark/>
          </w:tcPr>
          <w:p w14:paraId="5A66F7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0.79</w:t>
            </w:r>
          </w:p>
        </w:tc>
        <w:tc>
          <w:tcPr>
            <w:tcW w:w="1276" w:type="dxa"/>
            <w:tcBorders>
              <w:top w:val="nil"/>
            </w:tcBorders>
            <w:shd w:val="clear" w:color="auto" w:fill="E5E5E5" w:themeFill="background1" w:themeFillTint="33"/>
            <w:noWrap/>
            <w:vAlign w:val="bottom"/>
            <w:hideMark/>
          </w:tcPr>
          <w:p w14:paraId="3B3C9C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24B9B60E" w14:textId="77777777" w:rsidTr="0020771F">
        <w:trPr>
          <w:trHeight w:val="288"/>
        </w:trPr>
        <w:tc>
          <w:tcPr>
            <w:tcW w:w="1709" w:type="dxa"/>
            <w:tcBorders>
              <w:top w:val="nil"/>
            </w:tcBorders>
            <w:shd w:val="clear" w:color="auto" w:fill="auto"/>
            <w:noWrap/>
            <w:vAlign w:val="bottom"/>
            <w:hideMark/>
          </w:tcPr>
          <w:p w14:paraId="1D26F6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189</w:t>
            </w:r>
          </w:p>
        </w:tc>
        <w:tc>
          <w:tcPr>
            <w:tcW w:w="1567" w:type="dxa"/>
            <w:tcBorders>
              <w:top w:val="nil"/>
            </w:tcBorders>
            <w:shd w:val="clear" w:color="auto" w:fill="auto"/>
            <w:noWrap/>
            <w:vAlign w:val="bottom"/>
            <w:hideMark/>
          </w:tcPr>
          <w:p w14:paraId="7ACB80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0.12</w:t>
            </w:r>
          </w:p>
        </w:tc>
        <w:tc>
          <w:tcPr>
            <w:tcW w:w="1559" w:type="dxa"/>
            <w:tcBorders>
              <w:top w:val="nil"/>
            </w:tcBorders>
            <w:shd w:val="clear" w:color="auto" w:fill="auto"/>
            <w:noWrap/>
            <w:vAlign w:val="bottom"/>
            <w:hideMark/>
          </w:tcPr>
          <w:p w14:paraId="6BFBDCE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w:t>
            </w:r>
          </w:p>
        </w:tc>
        <w:tc>
          <w:tcPr>
            <w:tcW w:w="1417" w:type="dxa"/>
            <w:tcBorders>
              <w:top w:val="nil"/>
            </w:tcBorders>
            <w:shd w:val="clear" w:color="auto" w:fill="auto"/>
            <w:noWrap/>
            <w:vAlign w:val="bottom"/>
            <w:hideMark/>
          </w:tcPr>
          <w:p w14:paraId="385702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0.92</w:t>
            </w:r>
          </w:p>
        </w:tc>
        <w:tc>
          <w:tcPr>
            <w:tcW w:w="1276" w:type="dxa"/>
            <w:tcBorders>
              <w:top w:val="nil"/>
            </w:tcBorders>
            <w:shd w:val="clear" w:color="auto" w:fill="auto"/>
            <w:noWrap/>
            <w:vAlign w:val="bottom"/>
            <w:hideMark/>
          </w:tcPr>
          <w:p w14:paraId="7D1188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r>
      <w:tr w:rsidR="00961617" w:rsidRPr="00545C7F" w14:paraId="2A15AD59" w14:textId="77777777" w:rsidTr="0020771F">
        <w:trPr>
          <w:trHeight w:val="288"/>
        </w:trPr>
        <w:tc>
          <w:tcPr>
            <w:tcW w:w="1709" w:type="dxa"/>
            <w:tcBorders>
              <w:top w:val="nil"/>
            </w:tcBorders>
            <w:shd w:val="clear" w:color="auto" w:fill="E5E5E5" w:themeFill="background1" w:themeFillTint="33"/>
            <w:noWrap/>
            <w:vAlign w:val="bottom"/>
            <w:hideMark/>
          </w:tcPr>
          <w:p w14:paraId="0389F6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c>
          <w:tcPr>
            <w:tcW w:w="1567" w:type="dxa"/>
            <w:tcBorders>
              <w:top w:val="nil"/>
            </w:tcBorders>
            <w:shd w:val="clear" w:color="auto" w:fill="E5E5E5" w:themeFill="background1" w:themeFillTint="33"/>
            <w:noWrap/>
            <w:vAlign w:val="bottom"/>
            <w:hideMark/>
          </w:tcPr>
          <w:p w14:paraId="5EC453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0.15</w:t>
            </w:r>
          </w:p>
        </w:tc>
        <w:tc>
          <w:tcPr>
            <w:tcW w:w="1559" w:type="dxa"/>
            <w:tcBorders>
              <w:top w:val="nil"/>
            </w:tcBorders>
            <w:shd w:val="clear" w:color="auto" w:fill="E5E5E5" w:themeFill="background1" w:themeFillTint="33"/>
            <w:noWrap/>
            <w:vAlign w:val="bottom"/>
            <w:hideMark/>
          </w:tcPr>
          <w:p w14:paraId="2CBC36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c>
          <w:tcPr>
            <w:tcW w:w="1417" w:type="dxa"/>
            <w:tcBorders>
              <w:top w:val="nil"/>
            </w:tcBorders>
            <w:shd w:val="clear" w:color="auto" w:fill="E5E5E5" w:themeFill="background1" w:themeFillTint="33"/>
            <w:noWrap/>
            <w:vAlign w:val="bottom"/>
            <w:hideMark/>
          </w:tcPr>
          <w:p w14:paraId="4B8170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c>
          <w:tcPr>
            <w:tcW w:w="1276" w:type="dxa"/>
            <w:tcBorders>
              <w:top w:val="nil"/>
            </w:tcBorders>
            <w:shd w:val="clear" w:color="auto" w:fill="E5E5E5" w:themeFill="background1" w:themeFillTint="33"/>
            <w:noWrap/>
            <w:vAlign w:val="bottom"/>
            <w:hideMark/>
          </w:tcPr>
          <w:p w14:paraId="3FD359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0.50</w:t>
            </w:r>
          </w:p>
        </w:tc>
      </w:tr>
      <w:tr w:rsidR="00961617" w:rsidRPr="00545C7F" w14:paraId="110AA6D2" w14:textId="77777777" w:rsidTr="0020771F">
        <w:trPr>
          <w:trHeight w:val="288"/>
        </w:trPr>
        <w:tc>
          <w:tcPr>
            <w:tcW w:w="1709" w:type="dxa"/>
            <w:tcBorders>
              <w:top w:val="nil"/>
            </w:tcBorders>
            <w:shd w:val="clear" w:color="auto" w:fill="auto"/>
            <w:noWrap/>
            <w:vAlign w:val="bottom"/>
            <w:hideMark/>
          </w:tcPr>
          <w:p w14:paraId="1CA809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203</w:t>
            </w:r>
          </w:p>
        </w:tc>
        <w:tc>
          <w:tcPr>
            <w:tcW w:w="1567" w:type="dxa"/>
            <w:tcBorders>
              <w:top w:val="nil"/>
            </w:tcBorders>
            <w:shd w:val="clear" w:color="auto" w:fill="auto"/>
            <w:noWrap/>
            <w:vAlign w:val="bottom"/>
            <w:hideMark/>
          </w:tcPr>
          <w:p w14:paraId="756EEE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c>
          <w:tcPr>
            <w:tcW w:w="1559" w:type="dxa"/>
            <w:tcBorders>
              <w:top w:val="nil"/>
            </w:tcBorders>
            <w:shd w:val="clear" w:color="auto" w:fill="auto"/>
            <w:noWrap/>
            <w:vAlign w:val="bottom"/>
            <w:hideMark/>
          </w:tcPr>
          <w:p w14:paraId="3BD068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0.97</w:t>
            </w:r>
          </w:p>
        </w:tc>
        <w:tc>
          <w:tcPr>
            <w:tcW w:w="1417" w:type="dxa"/>
            <w:tcBorders>
              <w:top w:val="nil"/>
            </w:tcBorders>
            <w:shd w:val="clear" w:color="auto" w:fill="auto"/>
            <w:noWrap/>
            <w:vAlign w:val="bottom"/>
            <w:hideMark/>
          </w:tcPr>
          <w:p w14:paraId="454B292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1.08</w:t>
            </w:r>
          </w:p>
        </w:tc>
        <w:tc>
          <w:tcPr>
            <w:tcW w:w="1276" w:type="dxa"/>
            <w:tcBorders>
              <w:top w:val="nil"/>
            </w:tcBorders>
            <w:shd w:val="clear" w:color="auto" w:fill="auto"/>
            <w:noWrap/>
            <w:vAlign w:val="bottom"/>
            <w:hideMark/>
          </w:tcPr>
          <w:p w14:paraId="6F75B0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0.50</w:t>
            </w:r>
          </w:p>
        </w:tc>
      </w:tr>
      <w:tr w:rsidR="00961617" w:rsidRPr="00545C7F" w14:paraId="2B7FB0C8" w14:textId="77777777" w:rsidTr="0020771F">
        <w:trPr>
          <w:trHeight w:val="288"/>
        </w:trPr>
        <w:tc>
          <w:tcPr>
            <w:tcW w:w="1709" w:type="dxa"/>
            <w:tcBorders>
              <w:top w:val="nil"/>
            </w:tcBorders>
            <w:shd w:val="clear" w:color="auto" w:fill="E5E5E5" w:themeFill="background1" w:themeFillTint="33"/>
            <w:noWrap/>
            <w:vAlign w:val="bottom"/>
            <w:hideMark/>
          </w:tcPr>
          <w:p w14:paraId="60AE7D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210</w:t>
            </w:r>
          </w:p>
        </w:tc>
        <w:tc>
          <w:tcPr>
            <w:tcW w:w="1567" w:type="dxa"/>
            <w:tcBorders>
              <w:top w:val="nil"/>
            </w:tcBorders>
            <w:shd w:val="clear" w:color="auto" w:fill="E5E5E5" w:themeFill="background1" w:themeFillTint="33"/>
            <w:noWrap/>
            <w:vAlign w:val="bottom"/>
            <w:hideMark/>
          </w:tcPr>
          <w:p w14:paraId="2111DF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0.16</w:t>
            </w:r>
          </w:p>
        </w:tc>
        <w:tc>
          <w:tcPr>
            <w:tcW w:w="1559" w:type="dxa"/>
            <w:tcBorders>
              <w:top w:val="nil"/>
            </w:tcBorders>
            <w:shd w:val="clear" w:color="auto" w:fill="E5E5E5" w:themeFill="background1" w:themeFillTint="33"/>
            <w:noWrap/>
            <w:vAlign w:val="bottom"/>
            <w:hideMark/>
          </w:tcPr>
          <w:p w14:paraId="45B48A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1.08</w:t>
            </w:r>
          </w:p>
        </w:tc>
        <w:tc>
          <w:tcPr>
            <w:tcW w:w="1417" w:type="dxa"/>
            <w:tcBorders>
              <w:top w:val="nil"/>
            </w:tcBorders>
            <w:shd w:val="clear" w:color="auto" w:fill="E5E5E5" w:themeFill="background1" w:themeFillTint="33"/>
            <w:noWrap/>
            <w:vAlign w:val="bottom"/>
            <w:hideMark/>
          </w:tcPr>
          <w:p w14:paraId="3A2A66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1.16</w:t>
            </w:r>
          </w:p>
        </w:tc>
        <w:tc>
          <w:tcPr>
            <w:tcW w:w="1276" w:type="dxa"/>
            <w:tcBorders>
              <w:top w:val="nil"/>
            </w:tcBorders>
            <w:shd w:val="clear" w:color="auto" w:fill="E5E5E5" w:themeFill="background1" w:themeFillTint="33"/>
            <w:noWrap/>
            <w:vAlign w:val="bottom"/>
            <w:hideMark/>
          </w:tcPr>
          <w:p w14:paraId="07ADA4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0.63</w:t>
            </w:r>
          </w:p>
        </w:tc>
      </w:tr>
      <w:tr w:rsidR="00961617" w:rsidRPr="00545C7F" w14:paraId="69AE1A8A" w14:textId="77777777" w:rsidTr="0020771F">
        <w:trPr>
          <w:trHeight w:val="288"/>
        </w:trPr>
        <w:tc>
          <w:tcPr>
            <w:tcW w:w="1709" w:type="dxa"/>
            <w:tcBorders>
              <w:top w:val="nil"/>
            </w:tcBorders>
            <w:shd w:val="clear" w:color="auto" w:fill="auto"/>
            <w:noWrap/>
            <w:vAlign w:val="bottom"/>
            <w:hideMark/>
          </w:tcPr>
          <w:p w14:paraId="5CADB41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217</w:t>
            </w:r>
          </w:p>
        </w:tc>
        <w:tc>
          <w:tcPr>
            <w:tcW w:w="1567" w:type="dxa"/>
            <w:tcBorders>
              <w:top w:val="nil"/>
            </w:tcBorders>
            <w:shd w:val="clear" w:color="auto" w:fill="auto"/>
            <w:noWrap/>
            <w:vAlign w:val="bottom"/>
            <w:hideMark/>
          </w:tcPr>
          <w:p w14:paraId="0EE36C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0.21</w:t>
            </w:r>
          </w:p>
        </w:tc>
        <w:tc>
          <w:tcPr>
            <w:tcW w:w="1559" w:type="dxa"/>
            <w:tcBorders>
              <w:top w:val="nil"/>
            </w:tcBorders>
            <w:shd w:val="clear" w:color="auto" w:fill="auto"/>
            <w:noWrap/>
            <w:vAlign w:val="bottom"/>
            <w:hideMark/>
          </w:tcPr>
          <w:p w14:paraId="45CB9A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c>
          <w:tcPr>
            <w:tcW w:w="1417" w:type="dxa"/>
            <w:tcBorders>
              <w:top w:val="nil"/>
            </w:tcBorders>
            <w:shd w:val="clear" w:color="auto" w:fill="auto"/>
            <w:noWrap/>
            <w:vAlign w:val="bottom"/>
            <w:hideMark/>
          </w:tcPr>
          <w:p w14:paraId="2EF619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1.25</w:t>
            </w:r>
          </w:p>
        </w:tc>
        <w:tc>
          <w:tcPr>
            <w:tcW w:w="1276" w:type="dxa"/>
            <w:tcBorders>
              <w:top w:val="nil"/>
            </w:tcBorders>
            <w:shd w:val="clear" w:color="auto" w:fill="auto"/>
            <w:noWrap/>
            <w:vAlign w:val="bottom"/>
            <w:hideMark/>
          </w:tcPr>
          <w:p w14:paraId="322FAA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w:t>
            </w:r>
          </w:p>
        </w:tc>
      </w:tr>
      <w:tr w:rsidR="00961617" w:rsidRPr="00545C7F" w14:paraId="1E006FCB" w14:textId="77777777" w:rsidTr="0020771F">
        <w:trPr>
          <w:trHeight w:val="288"/>
        </w:trPr>
        <w:tc>
          <w:tcPr>
            <w:tcW w:w="1709" w:type="dxa"/>
            <w:tcBorders>
              <w:top w:val="nil"/>
            </w:tcBorders>
            <w:shd w:val="clear" w:color="auto" w:fill="E5E5E5" w:themeFill="background1" w:themeFillTint="33"/>
            <w:noWrap/>
            <w:vAlign w:val="bottom"/>
            <w:hideMark/>
          </w:tcPr>
          <w:p w14:paraId="573D18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224</w:t>
            </w:r>
          </w:p>
        </w:tc>
        <w:tc>
          <w:tcPr>
            <w:tcW w:w="1567" w:type="dxa"/>
            <w:tcBorders>
              <w:top w:val="nil"/>
            </w:tcBorders>
            <w:shd w:val="clear" w:color="auto" w:fill="E5E5E5" w:themeFill="background1" w:themeFillTint="33"/>
            <w:noWrap/>
            <w:vAlign w:val="bottom"/>
            <w:hideMark/>
          </w:tcPr>
          <w:p w14:paraId="5DF4A1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0.23</w:t>
            </w:r>
          </w:p>
        </w:tc>
        <w:tc>
          <w:tcPr>
            <w:tcW w:w="1559" w:type="dxa"/>
            <w:tcBorders>
              <w:top w:val="nil"/>
            </w:tcBorders>
            <w:shd w:val="clear" w:color="auto" w:fill="E5E5E5" w:themeFill="background1" w:themeFillTint="33"/>
            <w:noWrap/>
            <w:vAlign w:val="bottom"/>
            <w:hideMark/>
          </w:tcPr>
          <w:p w14:paraId="0CE7E5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1.25</w:t>
            </w:r>
          </w:p>
        </w:tc>
        <w:tc>
          <w:tcPr>
            <w:tcW w:w="1417" w:type="dxa"/>
            <w:tcBorders>
              <w:top w:val="nil"/>
            </w:tcBorders>
            <w:shd w:val="clear" w:color="auto" w:fill="E5E5E5" w:themeFill="background1" w:themeFillTint="33"/>
            <w:noWrap/>
            <w:vAlign w:val="bottom"/>
            <w:hideMark/>
          </w:tcPr>
          <w:p w14:paraId="374D59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1.29</w:t>
            </w:r>
          </w:p>
        </w:tc>
        <w:tc>
          <w:tcPr>
            <w:tcW w:w="1276" w:type="dxa"/>
            <w:tcBorders>
              <w:top w:val="nil"/>
            </w:tcBorders>
            <w:shd w:val="clear" w:color="auto" w:fill="E5E5E5" w:themeFill="background1" w:themeFillTint="33"/>
            <w:noWrap/>
            <w:vAlign w:val="bottom"/>
            <w:hideMark/>
          </w:tcPr>
          <w:p w14:paraId="2D6BDC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w:t>
            </w:r>
          </w:p>
        </w:tc>
      </w:tr>
      <w:tr w:rsidR="00961617" w:rsidRPr="00545C7F" w14:paraId="05ABE0B1" w14:textId="77777777" w:rsidTr="0020771F">
        <w:trPr>
          <w:trHeight w:val="288"/>
        </w:trPr>
        <w:tc>
          <w:tcPr>
            <w:tcW w:w="1709" w:type="dxa"/>
            <w:tcBorders>
              <w:top w:val="nil"/>
            </w:tcBorders>
            <w:shd w:val="clear" w:color="auto" w:fill="auto"/>
            <w:noWrap/>
            <w:vAlign w:val="bottom"/>
            <w:hideMark/>
          </w:tcPr>
          <w:p w14:paraId="11CD818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231</w:t>
            </w:r>
          </w:p>
        </w:tc>
        <w:tc>
          <w:tcPr>
            <w:tcW w:w="1567" w:type="dxa"/>
            <w:tcBorders>
              <w:top w:val="nil"/>
            </w:tcBorders>
            <w:shd w:val="clear" w:color="auto" w:fill="auto"/>
            <w:noWrap/>
            <w:vAlign w:val="bottom"/>
            <w:hideMark/>
          </w:tcPr>
          <w:p w14:paraId="13EE2C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c>
          <w:tcPr>
            <w:tcW w:w="1559" w:type="dxa"/>
            <w:tcBorders>
              <w:top w:val="nil"/>
            </w:tcBorders>
            <w:shd w:val="clear" w:color="auto" w:fill="auto"/>
            <w:noWrap/>
            <w:vAlign w:val="bottom"/>
            <w:hideMark/>
          </w:tcPr>
          <w:p w14:paraId="331AB2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1.32</w:t>
            </w:r>
          </w:p>
        </w:tc>
        <w:tc>
          <w:tcPr>
            <w:tcW w:w="1417" w:type="dxa"/>
            <w:tcBorders>
              <w:top w:val="nil"/>
            </w:tcBorders>
            <w:shd w:val="clear" w:color="auto" w:fill="auto"/>
            <w:noWrap/>
            <w:vAlign w:val="bottom"/>
            <w:hideMark/>
          </w:tcPr>
          <w:p w14:paraId="2237E81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1276" w:type="dxa"/>
            <w:tcBorders>
              <w:top w:val="nil"/>
            </w:tcBorders>
            <w:shd w:val="clear" w:color="auto" w:fill="auto"/>
            <w:noWrap/>
            <w:vAlign w:val="bottom"/>
            <w:hideMark/>
          </w:tcPr>
          <w:p w14:paraId="55CF1D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r>
      <w:tr w:rsidR="00961617" w:rsidRPr="00545C7F" w14:paraId="1CBA8D0E" w14:textId="77777777" w:rsidTr="0020771F">
        <w:trPr>
          <w:trHeight w:val="288"/>
        </w:trPr>
        <w:tc>
          <w:tcPr>
            <w:tcW w:w="1709" w:type="dxa"/>
            <w:tcBorders>
              <w:top w:val="nil"/>
            </w:tcBorders>
            <w:shd w:val="clear" w:color="auto" w:fill="E5E5E5" w:themeFill="background1" w:themeFillTint="33"/>
            <w:noWrap/>
            <w:vAlign w:val="bottom"/>
            <w:hideMark/>
          </w:tcPr>
          <w:p w14:paraId="2DD79F5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238</w:t>
            </w:r>
          </w:p>
        </w:tc>
        <w:tc>
          <w:tcPr>
            <w:tcW w:w="1567" w:type="dxa"/>
            <w:tcBorders>
              <w:top w:val="nil"/>
            </w:tcBorders>
            <w:shd w:val="clear" w:color="auto" w:fill="E5E5E5" w:themeFill="background1" w:themeFillTint="33"/>
            <w:noWrap/>
            <w:vAlign w:val="bottom"/>
            <w:hideMark/>
          </w:tcPr>
          <w:p w14:paraId="4407EF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0.29</w:t>
            </w:r>
          </w:p>
        </w:tc>
        <w:tc>
          <w:tcPr>
            <w:tcW w:w="1559" w:type="dxa"/>
            <w:tcBorders>
              <w:top w:val="nil"/>
            </w:tcBorders>
            <w:shd w:val="clear" w:color="auto" w:fill="E5E5E5" w:themeFill="background1" w:themeFillTint="33"/>
            <w:noWrap/>
            <w:vAlign w:val="bottom"/>
            <w:hideMark/>
          </w:tcPr>
          <w:p w14:paraId="7F77D1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w:t>
            </w:r>
          </w:p>
        </w:tc>
        <w:tc>
          <w:tcPr>
            <w:tcW w:w="1417" w:type="dxa"/>
            <w:tcBorders>
              <w:top w:val="nil"/>
            </w:tcBorders>
            <w:shd w:val="clear" w:color="auto" w:fill="E5E5E5" w:themeFill="background1" w:themeFillTint="33"/>
            <w:noWrap/>
            <w:vAlign w:val="bottom"/>
            <w:hideMark/>
          </w:tcPr>
          <w:p w14:paraId="329AE3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1.50</w:t>
            </w:r>
          </w:p>
        </w:tc>
        <w:tc>
          <w:tcPr>
            <w:tcW w:w="1276" w:type="dxa"/>
            <w:tcBorders>
              <w:top w:val="nil"/>
            </w:tcBorders>
            <w:shd w:val="clear" w:color="auto" w:fill="E5E5E5" w:themeFill="background1" w:themeFillTint="33"/>
            <w:noWrap/>
            <w:vAlign w:val="bottom"/>
            <w:hideMark/>
          </w:tcPr>
          <w:p w14:paraId="7B162C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r>
      <w:tr w:rsidR="00961617" w:rsidRPr="00545C7F" w14:paraId="5BC7433F" w14:textId="77777777" w:rsidTr="0020771F">
        <w:trPr>
          <w:trHeight w:val="288"/>
        </w:trPr>
        <w:tc>
          <w:tcPr>
            <w:tcW w:w="1709" w:type="dxa"/>
            <w:tcBorders>
              <w:top w:val="nil"/>
            </w:tcBorders>
            <w:shd w:val="clear" w:color="auto" w:fill="auto"/>
            <w:noWrap/>
            <w:vAlign w:val="bottom"/>
            <w:hideMark/>
          </w:tcPr>
          <w:p w14:paraId="3BC21C0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245</w:t>
            </w:r>
          </w:p>
        </w:tc>
        <w:tc>
          <w:tcPr>
            <w:tcW w:w="1567" w:type="dxa"/>
            <w:tcBorders>
              <w:top w:val="nil"/>
            </w:tcBorders>
            <w:shd w:val="clear" w:color="auto" w:fill="auto"/>
            <w:noWrap/>
            <w:vAlign w:val="bottom"/>
            <w:hideMark/>
          </w:tcPr>
          <w:p w14:paraId="20BA90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0.31</w:t>
            </w:r>
          </w:p>
        </w:tc>
        <w:tc>
          <w:tcPr>
            <w:tcW w:w="1559" w:type="dxa"/>
            <w:tcBorders>
              <w:top w:val="nil"/>
            </w:tcBorders>
            <w:shd w:val="clear" w:color="auto" w:fill="auto"/>
            <w:noWrap/>
            <w:vAlign w:val="bottom"/>
            <w:hideMark/>
          </w:tcPr>
          <w:p w14:paraId="303A52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1.52</w:t>
            </w:r>
          </w:p>
        </w:tc>
        <w:tc>
          <w:tcPr>
            <w:tcW w:w="1417" w:type="dxa"/>
            <w:tcBorders>
              <w:top w:val="nil"/>
            </w:tcBorders>
            <w:shd w:val="clear" w:color="auto" w:fill="auto"/>
            <w:noWrap/>
            <w:vAlign w:val="bottom"/>
            <w:hideMark/>
          </w:tcPr>
          <w:p w14:paraId="486DD43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1.67</w:t>
            </w:r>
          </w:p>
        </w:tc>
        <w:tc>
          <w:tcPr>
            <w:tcW w:w="1276" w:type="dxa"/>
            <w:tcBorders>
              <w:top w:val="nil"/>
            </w:tcBorders>
            <w:shd w:val="clear" w:color="auto" w:fill="auto"/>
            <w:noWrap/>
            <w:vAlign w:val="bottom"/>
            <w:hideMark/>
          </w:tcPr>
          <w:p w14:paraId="38742B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r>
      <w:tr w:rsidR="00961617" w:rsidRPr="00545C7F" w14:paraId="68A3063B" w14:textId="77777777" w:rsidTr="0020771F">
        <w:trPr>
          <w:trHeight w:val="288"/>
        </w:trPr>
        <w:tc>
          <w:tcPr>
            <w:tcW w:w="1709" w:type="dxa"/>
            <w:tcBorders>
              <w:top w:val="nil"/>
            </w:tcBorders>
            <w:shd w:val="clear" w:color="auto" w:fill="E5E5E5" w:themeFill="background1" w:themeFillTint="33"/>
            <w:noWrap/>
            <w:vAlign w:val="bottom"/>
            <w:hideMark/>
          </w:tcPr>
          <w:p w14:paraId="066BC1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252</w:t>
            </w:r>
          </w:p>
        </w:tc>
        <w:tc>
          <w:tcPr>
            <w:tcW w:w="1567" w:type="dxa"/>
            <w:tcBorders>
              <w:top w:val="nil"/>
            </w:tcBorders>
            <w:shd w:val="clear" w:color="auto" w:fill="E5E5E5" w:themeFill="background1" w:themeFillTint="33"/>
            <w:noWrap/>
            <w:vAlign w:val="bottom"/>
            <w:hideMark/>
          </w:tcPr>
          <w:p w14:paraId="6EF0B7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0.32</w:t>
            </w:r>
          </w:p>
        </w:tc>
        <w:tc>
          <w:tcPr>
            <w:tcW w:w="1559" w:type="dxa"/>
            <w:tcBorders>
              <w:top w:val="nil"/>
            </w:tcBorders>
            <w:shd w:val="clear" w:color="auto" w:fill="E5E5E5" w:themeFill="background1" w:themeFillTint="33"/>
            <w:noWrap/>
            <w:vAlign w:val="bottom"/>
            <w:hideMark/>
          </w:tcPr>
          <w:p w14:paraId="23AF0F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1.72</w:t>
            </w:r>
          </w:p>
        </w:tc>
        <w:tc>
          <w:tcPr>
            <w:tcW w:w="1417" w:type="dxa"/>
            <w:tcBorders>
              <w:top w:val="nil"/>
            </w:tcBorders>
            <w:shd w:val="clear" w:color="auto" w:fill="E5E5E5" w:themeFill="background1" w:themeFillTint="33"/>
            <w:noWrap/>
            <w:vAlign w:val="bottom"/>
            <w:hideMark/>
          </w:tcPr>
          <w:p w14:paraId="0DEC2A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1.75</w:t>
            </w:r>
          </w:p>
        </w:tc>
        <w:tc>
          <w:tcPr>
            <w:tcW w:w="1276" w:type="dxa"/>
            <w:tcBorders>
              <w:top w:val="nil"/>
            </w:tcBorders>
            <w:shd w:val="clear" w:color="auto" w:fill="E5E5E5" w:themeFill="background1" w:themeFillTint="33"/>
            <w:noWrap/>
            <w:vAlign w:val="bottom"/>
            <w:hideMark/>
          </w:tcPr>
          <w:p w14:paraId="382E70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r>
      <w:tr w:rsidR="00961617" w:rsidRPr="00545C7F" w14:paraId="60531830" w14:textId="77777777" w:rsidTr="0020771F">
        <w:trPr>
          <w:trHeight w:val="288"/>
        </w:trPr>
        <w:tc>
          <w:tcPr>
            <w:tcW w:w="1709" w:type="dxa"/>
            <w:tcBorders>
              <w:top w:val="nil"/>
            </w:tcBorders>
            <w:shd w:val="clear" w:color="auto" w:fill="FFFFFF" w:themeFill="background2"/>
            <w:noWrap/>
            <w:vAlign w:val="bottom"/>
            <w:hideMark/>
          </w:tcPr>
          <w:p w14:paraId="513305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259</w:t>
            </w:r>
          </w:p>
        </w:tc>
        <w:tc>
          <w:tcPr>
            <w:tcW w:w="1567" w:type="dxa"/>
            <w:tcBorders>
              <w:top w:val="nil"/>
            </w:tcBorders>
            <w:shd w:val="clear" w:color="auto" w:fill="FFFFFF" w:themeFill="background2"/>
            <w:noWrap/>
            <w:vAlign w:val="bottom"/>
            <w:hideMark/>
          </w:tcPr>
          <w:p w14:paraId="2D6370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0.33</w:t>
            </w:r>
          </w:p>
        </w:tc>
        <w:tc>
          <w:tcPr>
            <w:tcW w:w="1559" w:type="dxa"/>
            <w:tcBorders>
              <w:top w:val="nil"/>
            </w:tcBorders>
            <w:shd w:val="clear" w:color="auto" w:fill="FFFFFF" w:themeFill="background2"/>
            <w:noWrap/>
            <w:vAlign w:val="bottom"/>
            <w:hideMark/>
          </w:tcPr>
          <w:p w14:paraId="5AD713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1.85</w:t>
            </w:r>
          </w:p>
        </w:tc>
        <w:tc>
          <w:tcPr>
            <w:tcW w:w="1417" w:type="dxa"/>
            <w:tcBorders>
              <w:top w:val="nil"/>
            </w:tcBorders>
            <w:shd w:val="clear" w:color="auto" w:fill="FFFFFF" w:themeFill="background2"/>
            <w:noWrap/>
            <w:vAlign w:val="bottom"/>
            <w:hideMark/>
          </w:tcPr>
          <w:p w14:paraId="0807BF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1.88</w:t>
            </w:r>
          </w:p>
        </w:tc>
        <w:tc>
          <w:tcPr>
            <w:tcW w:w="1276" w:type="dxa"/>
            <w:tcBorders>
              <w:top w:val="nil"/>
            </w:tcBorders>
            <w:shd w:val="clear" w:color="auto" w:fill="FFFFFF" w:themeFill="background2"/>
            <w:noWrap/>
            <w:vAlign w:val="bottom"/>
            <w:hideMark/>
          </w:tcPr>
          <w:p w14:paraId="2C3DF7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r>
      <w:tr w:rsidR="00961617" w:rsidRPr="00545C7F" w14:paraId="1EF5293D" w14:textId="77777777" w:rsidTr="0020771F">
        <w:trPr>
          <w:trHeight w:val="288"/>
        </w:trPr>
        <w:tc>
          <w:tcPr>
            <w:tcW w:w="1709" w:type="dxa"/>
            <w:tcBorders>
              <w:top w:val="nil"/>
            </w:tcBorders>
            <w:shd w:val="clear" w:color="auto" w:fill="E5E5E5" w:themeFill="background1" w:themeFillTint="33"/>
            <w:noWrap/>
            <w:vAlign w:val="bottom"/>
            <w:hideMark/>
          </w:tcPr>
          <w:p w14:paraId="6ED3C4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266</w:t>
            </w:r>
          </w:p>
        </w:tc>
        <w:tc>
          <w:tcPr>
            <w:tcW w:w="1567" w:type="dxa"/>
            <w:tcBorders>
              <w:top w:val="nil"/>
            </w:tcBorders>
            <w:shd w:val="clear" w:color="auto" w:fill="E5E5E5" w:themeFill="background1" w:themeFillTint="33"/>
            <w:noWrap/>
            <w:vAlign w:val="bottom"/>
            <w:hideMark/>
          </w:tcPr>
          <w:p w14:paraId="4D2DEA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0.34</w:t>
            </w:r>
          </w:p>
        </w:tc>
        <w:tc>
          <w:tcPr>
            <w:tcW w:w="1559" w:type="dxa"/>
            <w:tcBorders>
              <w:top w:val="nil"/>
            </w:tcBorders>
            <w:shd w:val="clear" w:color="auto" w:fill="E5E5E5" w:themeFill="background1" w:themeFillTint="33"/>
            <w:noWrap/>
            <w:vAlign w:val="bottom"/>
            <w:hideMark/>
          </w:tcPr>
          <w:p w14:paraId="757726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1.95</w:t>
            </w:r>
          </w:p>
        </w:tc>
        <w:tc>
          <w:tcPr>
            <w:tcW w:w="1417" w:type="dxa"/>
            <w:tcBorders>
              <w:top w:val="nil"/>
            </w:tcBorders>
            <w:shd w:val="clear" w:color="auto" w:fill="E5E5E5" w:themeFill="background1" w:themeFillTint="33"/>
            <w:noWrap/>
            <w:vAlign w:val="bottom"/>
            <w:hideMark/>
          </w:tcPr>
          <w:p w14:paraId="771157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1.93</w:t>
            </w:r>
          </w:p>
        </w:tc>
        <w:tc>
          <w:tcPr>
            <w:tcW w:w="1276" w:type="dxa"/>
            <w:tcBorders>
              <w:top w:val="nil"/>
            </w:tcBorders>
            <w:shd w:val="clear" w:color="auto" w:fill="E5E5E5" w:themeFill="background1" w:themeFillTint="33"/>
            <w:noWrap/>
            <w:vAlign w:val="bottom"/>
            <w:hideMark/>
          </w:tcPr>
          <w:p w14:paraId="6F5EB29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1.15</w:t>
            </w:r>
          </w:p>
        </w:tc>
      </w:tr>
      <w:tr w:rsidR="00961617" w:rsidRPr="00545C7F" w14:paraId="5C867A2D" w14:textId="77777777" w:rsidTr="0020771F">
        <w:trPr>
          <w:trHeight w:val="288"/>
        </w:trPr>
        <w:tc>
          <w:tcPr>
            <w:tcW w:w="1709" w:type="dxa"/>
            <w:tcBorders>
              <w:top w:val="nil"/>
            </w:tcBorders>
            <w:shd w:val="clear" w:color="auto" w:fill="auto"/>
            <w:noWrap/>
            <w:vAlign w:val="bottom"/>
            <w:hideMark/>
          </w:tcPr>
          <w:p w14:paraId="3E3BC4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273</w:t>
            </w:r>
          </w:p>
        </w:tc>
        <w:tc>
          <w:tcPr>
            <w:tcW w:w="1567" w:type="dxa"/>
            <w:tcBorders>
              <w:top w:val="nil"/>
            </w:tcBorders>
            <w:shd w:val="clear" w:color="auto" w:fill="auto"/>
            <w:noWrap/>
            <w:vAlign w:val="bottom"/>
            <w:hideMark/>
          </w:tcPr>
          <w:p w14:paraId="15EB7D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0.37</w:t>
            </w:r>
          </w:p>
        </w:tc>
        <w:tc>
          <w:tcPr>
            <w:tcW w:w="1559" w:type="dxa"/>
            <w:tcBorders>
              <w:top w:val="nil"/>
            </w:tcBorders>
            <w:shd w:val="clear" w:color="auto" w:fill="auto"/>
            <w:noWrap/>
            <w:vAlign w:val="bottom"/>
            <w:hideMark/>
          </w:tcPr>
          <w:p w14:paraId="063804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2.06</w:t>
            </w:r>
          </w:p>
        </w:tc>
        <w:tc>
          <w:tcPr>
            <w:tcW w:w="1417" w:type="dxa"/>
            <w:tcBorders>
              <w:top w:val="nil"/>
            </w:tcBorders>
            <w:shd w:val="clear" w:color="auto" w:fill="auto"/>
            <w:noWrap/>
            <w:vAlign w:val="bottom"/>
            <w:hideMark/>
          </w:tcPr>
          <w:p w14:paraId="2E10D7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2.14</w:t>
            </w:r>
          </w:p>
        </w:tc>
        <w:tc>
          <w:tcPr>
            <w:tcW w:w="1276" w:type="dxa"/>
            <w:tcBorders>
              <w:top w:val="nil"/>
            </w:tcBorders>
            <w:shd w:val="clear" w:color="auto" w:fill="auto"/>
            <w:noWrap/>
            <w:vAlign w:val="bottom"/>
            <w:hideMark/>
          </w:tcPr>
          <w:p w14:paraId="573663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w:t>
            </w:r>
          </w:p>
        </w:tc>
      </w:tr>
      <w:tr w:rsidR="00961617" w:rsidRPr="00545C7F" w14:paraId="06AC08FC" w14:textId="77777777" w:rsidTr="0020771F">
        <w:trPr>
          <w:trHeight w:val="288"/>
        </w:trPr>
        <w:tc>
          <w:tcPr>
            <w:tcW w:w="1709" w:type="dxa"/>
            <w:tcBorders>
              <w:top w:val="nil"/>
            </w:tcBorders>
            <w:shd w:val="clear" w:color="auto" w:fill="E5E5E5" w:themeFill="background1" w:themeFillTint="33"/>
            <w:noWrap/>
            <w:vAlign w:val="bottom"/>
            <w:hideMark/>
          </w:tcPr>
          <w:p w14:paraId="2E09F4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280</w:t>
            </w:r>
          </w:p>
        </w:tc>
        <w:tc>
          <w:tcPr>
            <w:tcW w:w="1567" w:type="dxa"/>
            <w:tcBorders>
              <w:top w:val="nil"/>
            </w:tcBorders>
            <w:shd w:val="clear" w:color="auto" w:fill="E5E5E5" w:themeFill="background1" w:themeFillTint="33"/>
            <w:noWrap/>
            <w:vAlign w:val="bottom"/>
            <w:hideMark/>
          </w:tcPr>
          <w:p w14:paraId="4EEB33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0.39</w:t>
            </w:r>
          </w:p>
        </w:tc>
        <w:tc>
          <w:tcPr>
            <w:tcW w:w="1559" w:type="dxa"/>
            <w:tcBorders>
              <w:top w:val="nil"/>
            </w:tcBorders>
            <w:shd w:val="clear" w:color="auto" w:fill="E5E5E5" w:themeFill="background1" w:themeFillTint="33"/>
            <w:noWrap/>
            <w:vAlign w:val="bottom"/>
            <w:hideMark/>
          </w:tcPr>
          <w:p w14:paraId="302E49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2.25</w:t>
            </w:r>
          </w:p>
        </w:tc>
        <w:tc>
          <w:tcPr>
            <w:tcW w:w="1417" w:type="dxa"/>
            <w:tcBorders>
              <w:top w:val="nil"/>
            </w:tcBorders>
            <w:shd w:val="clear" w:color="auto" w:fill="E5E5E5" w:themeFill="background1" w:themeFillTint="33"/>
            <w:noWrap/>
            <w:vAlign w:val="bottom"/>
            <w:hideMark/>
          </w:tcPr>
          <w:p w14:paraId="7AD649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2.14</w:t>
            </w:r>
          </w:p>
        </w:tc>
        <w:tc>
          <w:tcPr>
            <w:tcW w:w="1276" w:type="dxa"/>
            <w:tcBorders>
              <w:top w:val="nil"/>
            </w:tcBorders>
            <w:shd w:val="clear" w:color="auto" w:fill="E5E5E5" w:themeFill="background1" w:themeFillTint="33"/>
            <w:noWrap/>
            <w:vAlign w:val="bottom"/>
            <w:hideMark/>
          </w:tcPr>
          <w:p w14:paraId="09D68B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w:t>
            </w:r>
          </w:p>
        </w:tc>
      </w:tr>
      <w:tr w:rsidR="00961617" w:rsidRPr="00545C7F" w14:paraId="51170CF5" w14:textId="77777777" w:rsidTr="0020771F">
        <w:trPr>
          <w:trHeight w:val="288"/>
        </w:trPr>
        <w:tc>
          <w:tcPr>
            <w:tcW w:w="1709" w:type="dxa"/>
            <w:tcBorders>
              <w:top w:val="nil"/>
            </w:tcBorders>
            <w:shd w:val="clear" w:color="auto" w:fill="auto"/>
            <w:noWrap/>
            <w:vAlign w:val="bottom"/>
            <w:hideMark/>
          </w:tcPr>
          <w:p w14:paraId="10E15B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287</w:t>
            </w:r>
          </w:p>
        </w:tc>
        <w:tc>
          <w:tcPr>
            <w:tcW w:w="1567" w:type="dxa"/>
            <w:tcBorders>
              <w:top w:val="nil"/>
            </w:tcBorders>
            <w:shd w:val="clear" w:color="auto" w:fill="auto"/>
            <w:noWrap/>
            <w:vAlign w:val="bottom"/>
            <w:hideMark/>
          </w:tcPr>
          <w:p w14:paraId="308020E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0.41</w:t>
            </w:r>
          </w:p>
        </w:tc>
        <w:tc>
          <w:tcPr>
            <w:tcW w:w="1559" w:type="dxa"/>
            <w:tcBorders>
              <w:top w:val="nil"/>
            </w:tcBorders>
            <w:shd w:val="clear" w:color="auto" w:fill="auto"/>
            <w:noWrap/>
            <w:vAlign w:val="bottom"/>
            <w:hideMark/>
          </w:tcPr>
          <w:p w14:paraId="3E7C25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2.35</w:t>
            </w:r>
          </w:p>
        </w:tc>
        <w:tc>
          <w:tcPr>
            <w:tcW w:w="1417" w:type="dxa"/>
            <w:tcBorders>
              <w:top w:val="nil"/>
            </w:tcBorders>
            <w:shd w:val="clear" w:color="auto" w:fill="auto"/>
            <w:noWrap/>
            <w:vAlign w:val="bottom"/>
            <w:hideMark/>
          </w:tcPr>
          <w:p w14:paraId="3BC00D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2.23</w:t>
            </w:r>
          </w:p>
        </w:tc>
        <w:tc>
          <w:tcPr>
            <w:tcW w:w="1276" w:type="dxa"/>
            <w:tcBorders>
              <w:top w:val="nil"/>
            </w:tcBorders>
            <w:shd w:val="clear" w:color="auto" w:fill="auto"/>
            <w:noWrap/>
            <w:vAlign w:val="bottom"/>
            <w:hideMark/>
          </w:tcPr>
          <w:p w14:paraId="51C6C2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1.42</w:t>
            </w:r>
          </w:p>
        </w:tc>
      </w:tr>
      <w:tr w:rsidR="00961617" w:rsidRPr="00545C7F" w14:paraId="6F3E8D45" w14:textId="77777777" w:rsidTr="0020771F">
        <w:trPr>
          <w:trHeight w:val="288"/>
        </w:trPr>
        <w:tc>
          <w:tcPr>
            <w:tcW w:w="1709" w:type="dxa"/>
            <w:tcBorders>
              <w:top w:val="nil"/>
            </w:tcBorders>
            <w:shd w:val="clear" w:color="auto" w:fill="E5E5E5" w:themeFill="background1" w:themeFillTint="33"/>
            <w:noWrap/>
            <w:vAlign w:val="bottom"/>
            <w:hideMark/>
          </w:tcPr>
          <w:p w14:paraId="7C58E8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294</w:t>
            </w:r>
          </w:p>
        </w:tc>
        <w:tc>
          <w:tcPr>
            <w:tcW w:w="1567" w:type="dxa"/>
            <w:tcBorders>
              <w:top w:val="nil"/>
            </w:tcBorders>
            <w:shd w:val="clear" w:color="auto" w:fill="E5E5E5" w:themeFill="background1" w:themeFillTint="33"/>
            <w:noWrap/>
            <w:vAlign w:val="bottom"/>
            <w:hideMark/>
          </w:tcPr>
          <w:p w14:paraId="79DF13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0.42</w:t>
            </w:r>
          </w:p>
        </w:tc>
        <w:tc>
          <w:tcPr>
            <w:tcW w:w="1559" w:type="dxa"/>
            <w:tcBorders>
              <w:top w:val="nil"/>
            </w:tcBorders>
            <w:shd w:val="clear" w:color="auto" w:fill="E5E5E5" w:themeFill="background1" w:themeFillTint="33"/>
            <w:noWrap/>
            <w:vAlign w:val="bottom"/>
            <w:hideMark/>
          </w:tcPr>
          <w:p w14:paraId="7DFC66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2.52</w:t>
            </w:r>
          </w:p>
        </w:tc>
        <w:tc>
          <w:tcPr>
            <w:tcW w:w="1417" w:type="dxa"/>
            <w:tcBorders>
              <w:top w:val="nil"/>
            </w:tcBorders>
            <w:shd w:val="clear" w:color="auto" w:fill="E5E5E5" w:themeFill="background1" w:themeFillTint="33"/>
            <w:noWrap/>
            <w:vAlign w:val="bottom"/>
            <w:hideMark/>
          </w:tcPr>
          <w:p w14:paraId="56FFA0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2.36</w:t>
            </w:r>
          </w:p>
        </w:tc>
        <w:tc>
          <w:tcPr>
            <w:tcW w:w="1276" w:type="dxa"/>
            <w:tcBorders>
              <w:top w:val="nil"/>
            </w:tcBorders>
            <w:shd w:val="clear" w:color="auto" w:fill="E5E5E5" w:themeFill="background1" w:themeFillTint="33"/>
            <w:noWrap/>
            <w:vAlign w:val="bottom"/>
            <w:hideMark/>
          </w:tcPr>
          <w:p w14:paraId="27B1E8D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1.55</w:t>
            </w:r>
          </w:p>
        </w:tc>
      </w:tr>
      <w:tr w:rsidR="00961617" w:rsidRPr="00545C7F" w14:paraId="21DF720D" w14:textId="77777777" w:rsidTr="0020771F">
        <w:trPr>
          <w:trHeight w:val="288"/>
        </w:trPr>
        <w:tc>
          <w:tcPr>
            <w:tcW w:w="1709" w:type="dxa"/>
            <w:tcBorders>
              <w:top w:val="nil"/>
            </w:tcBorders>
            <w:shd w:val="clear" w:color="auto" w:fill="auto"/>
            <w:noWrap/>
            <w:vAlign w:val="bottom"/>
            <w:hideMark/>
          </w:tcPr>
          <w:p w14:paraId="4DBE71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301</w:t>
            </w:r>
          </w:p>
        </w:tc>
        <w:tc>
          <w:tcPr>
            <w:tcW w:w="1567" w:type="dxa"/>
            <w:tcBorders>
              <w:top w:val="nil"/>
            </w:tcBorders>
            <w:shd w:val="clear" w:color="auto" w:fill="auto"/>
            <w:noWrap/>
            <w:vAlign w:val="bottom"/>
            <w:hideMark/>
          </w:tcPr>
          <w:p w14:paraId="1E282D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0.43</w:t>
            </w:r>
          </w:p>
        </w:tc>
        <w:tc>
          <w:tcPr>
            <w:tcW w:w="1559" w:type="dxa"/>
            <w:tcBorders>
              <w:top w:val="nil"/>
            </w:tcBorders>
            <w:shd w:val="clear" w:color="auto" w:fill="auto"/>
            <w:noWrap/>
            <w:vAlign w:val="bottom"/>
            <w:hideMark/>
          </w:tcPr>
          <w:p w14:paraId="065588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2.71</w:t>
            </w:r>
          </w:p>
        </w:tc>
        <w:tc>
          <w:tcPr>
            <w:tcW w:w="1417" w:type="dxa"/>
            <w:tcBorders>
              <w:top w:val="nil"/>
            </w:tcBorders>
            <w:shd w:val="clear" w:color="auto" w:fill="auto"/>
            <w:noWrap/>
            <w:vAlign w:val="bottom"/>
            <w:hideMark/>
          </w:tcPr>
          <w:p w14:paraId="1A52CC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2.67</w:t>
            </w:r>
          </w:p>
        </w:tc>
        <w:tc>
          <w:tcPr>
            <w:tcW w:w="1276" w:type="dxa"/>
            <w:tcBorders>
              <w:top w:val="nil"/>
            </w:tcBorders>
            <w:shd w:val="clear" w:color="auto" w:fill="auto"/>
            <w:noWrap/>
            <w:vAlign w:val="bottom"/>
            <w:hideMark/>
          </w:tcPr>
          <w:p w14:paraId="758C49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1.55</w:t>
            </w:r>
          </w:p>
        </w:tc>
      </w:tr>
      <w:tr w:rsidR="00961617" w:rsidRPr="00545C7F" w14:paraId="27A0C410" w14:textId="77777777" w:rsidTr="0020771F">
        <w:trPr>
          <w:trHeight w:val="288"/>
        </w:trPr>
        <w:tc>
          <w:tcPr>
            <w:tcW w:w="1709" w:type="dxa"/>
            <w:tcBorders>
              <w:top w:val="nil"/>
            </w:tcBorders>
            <w:shd w:val="clear" w:color="auto" w:fill="E5E5E5" w:themeFill="background1" w:themeFillTint="33"/>
            <w:noWrap/>
            <w:vAlign w:val="bottom"/>
            <w:hideMark/>
          </w:tcPr>
          <w:p w14:paraId="142733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308</w:t>
            </w:r>
          </w:p>
        </w:tc>
        <w:tc>
          <w:tcPr>
            <w:tcW w:w="1567" w:type="dxa"/>
            <w:tcBorders>
              <w:top w:val="nil"/>
            </w:tcBorders>
            <w:shd w:val="clear" w:color="auto" w:fill="E5E5E5" w:themeFill="background1" w:themeFillTint="33"/>
            <w:noWrap/>
            <w:vAlign w:val="bottom"/>
            <w:hideMark/>
          </w:tcPr>
          <w:p w14:paraId="3EF209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0.47</w:t>
            </w:r>
          </w:p>
        </w:tc>
        <w:tc>
          <w:tcPr>
            <w:tcW w:w="1559" w:type="dxa"/>
            <w:tcBorders>
              <w:top w:val="nil"/>
            </w:tcBorders>
            <w:shd w:val="clear" w:color="auto" w:fill="E5E5E5" w:themeFill="background1" w:themeFillTint="33"/>
            <w:noWrap/>
            <w:vAlign w:val="bottom"/>
            <w:hideMark/>
          </w:tcPr>
          <w:p w14:paraId="665628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3.01</w:t>
            </w:r>
          </w:p>
        </w:tc>
        <w:tc>
          <w:tcPr>
            <w:tcW w:w="1417" w:type="dxa"/>
            <w:tcBorders>
              <w:top w:val="nil"/>
            </w:tcBorders>
            <w:shd w:val="clear" w:color="auto" w:fill="E5E5E5" w:themeFill="background1" w:themeFillTint="33"/>
            <w:noWrap/>
            <w:vAlign w:val="bottom"/>
            <w:hideMark/>
          </w:tcPr>
          <w:p w14:paraId="125544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2.97</w:t>
            </w:r>
          </w:p>
        </w:tc>
        <w:tc>
          <w:tcPr>
            <w:tcW w:w="1276" w:type="dxa"/>
            <w:tcBorders>
              <w:top w:val="nil"/>
            </w:tcBorders>
            <w:shd w:val="clear" w:color="auto" w:fill="E5E5E5" w:themeFill="background1" w:themeFillTint="33"/>
            <w:noWrap/>
            <w:vAlign w:val="bottom"/>
            <w:hideMark/>
          </w:tcPr>
          <w:p w14:paraId="6C2A23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1.55</w:t>
            </w:r>
          </w:p>
        </w:tc>
      </w:tr>
      <w:tr w:rsidR="00961617" w:rsidRPr="00545C7F" w14:paraId="3D173749" w14:textId="77777777" w:rsidTr="0020771F">
        <w:trPr>
          <w:trHeight w:val="288"/>
        </w:trPr>
        <w:tc>
          <w:tcPr>
            <w:tcW w:w="1709" w:type="dxa"/>
            <w:tcBorders>
              <w:top w:val="nil"/>
            </w:tcBorders>
            <w:shd w:val="clear" w:color="auto" w:fill="auto"/>
            <w:noWrap/>
            <w:vAlign w:val="bottom"/>
            <w:hideMark/>
          </w:tcPr>
          <w:p w14:paraId="5D8E56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315</w:t>
            </w:r>
          </w:p>
        </w:tc>
        <w:tc>
          <w:tcPr>
            <w:tcW w:w="1567" w:type="dxa"/>
            <w:tcBorders>
              <w:top w:val="nil"/>
            </w:tcBorders>
            <w:shd w:val="clear" w:color="auto" w:fill="auto"/>
            <w:noWrap/>
            <w:vAlign w:val="bottom"/>
            <w:hideMark/>
          </w:tcPr>
          <w:p w14:paraId="3890D2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0.51</w:t>
            </w:r>
          </w:p>
        </w:tc>
        <w:tc>
          <w:tcPr>
            <w:tcW w:w="1559" w:type="dxa"/>
            <w:tcBorders>
              <w:top w:val="nil"/>
            </w:tcBorders>
            <w:shd w:val="clear" w:color="auto" w:fill="auto"/>
            <w:noWrap/>
            <w:vAlign w:val="bottom"/>
            <w:hideMark/>
          </w:tcPr>
          <w:p w14:paraId="26D680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3.28</w:t>
            </w:r>
          </w:p>
        </w:tc>
        <w:tc>
          <w:tcPr>
            <w:tcW w:w="1417" w:type="dxa"/>
            <w:tcBorders>
              <w:top w:val="nil"/>
            </w:tcBorders>
            <w:shd w:val="clear" w:color="auto" w:fill="auto"/>
            <w:noWrap/>
            <w:vAlign w:val="bottom"/>
            <w:hideMark/>
          </w:tcPr>
          <w:p w14:paraId="0E1A26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3.46</w:t>
            </w:r>
          </w:p>
        </w:tc>
        <w:tc>
          <w:tcPr>
            <w:tcW w:w="1276" w:type="dxa"/>
            <w:tcBorders>
              <w:top w:val="nil"/>
            </w:tcBorders>
            <w:shd w:val="clear" w:color="auto" w:fill="auto"/>
            <w:noWrap/>
            <w:vAlign w:val="bottom"/>
            <w:hideMark/>
          </w:tcPr>
          <w:p w14:paraId="1C3F22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r>
      <w:tr w:rsidR="00961617" w:rsidRPr="00545C7F" w14:paraId="7143FB31" w14:textId="77777777" w:rsidTr="0020771F">
        <w:trPr>
          <w:trHeight w:val="288"/>
        </w:trPr>
        <w:tc>
          <w:tcPr>
            <w:tcW w:w="1709" w:type="dxa"/>
            <w:tcBorders>
              <w:top w:val="nil"/>
            </w:tcBorders>
            <w:shd w:val="clear" w:color="auto" w:fill="E5E5E5" w:themeFill="background1" w:themeFillTint="33"/>
            <w:noWrap/>
            <w:vAlign w:val="bottom"/>
            <w:hideMark/>
          </w:tcPr>
          <w:p w14:paraId="3EB0C7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322</w:t>
            </w:r>
          </w:p>
        </w:tc>
        <w:tc>
          <w:tcPr>
            <w:tcW w:w="1567" w:type="dxa"/>
            <w:tcBorders>
              <w:top w:val="nil"/>
            </w:tcBorders>
            <w:shd w:val="clear" w:color="auto" w:fill="E5E5E5" w:themeFill="background1" w:themeFillTint="33"/>
            <w:noWrap/>
            <w:vAlign w:val="bottom"/>
            <w:hideMark/>
          </w:tcPr>
          <w:p w14:paraId="1ECF694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0.53</w:t>
            </w:r>
          </w:p>
        </w:tc>
        <w:tc>
          <w:tcPr>
            <w:tcW w:w="1559" w:type="dxa"/>
            <w:tcBorders>
              <w:top w:val="nil"/>
            </w:tcBorders>
            <w:shd w:val="clear" w:color="auto" w:fill="E5E5E5" w:themeFill="background1" w:themeFillTint="33"/>
            <w:noWrap/>
            <w:vAlign w:val="bottom"/>
            <w:hideMark/>
          </w:tcPr>
          <w:p w14:paraId="160587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3.62</w:t>
            </w:r>
          </w:p>
        </w:tc>
        <w:tc>
          <w:tcPr>
            <w:tcW w:w="1417" w:type="dxa"/>
            <w:tcBorders>
              <w:top w:val="nil"/>
            </w:tcBorders>
            <w:shd w:val="clear" w:color="auto" w:fill="E5E5E5" w:themeFill="background1" w:themeFillTint="33"/>
            <w:noWrap/>
            <w:vAlign w:val="bottom"/>
            <w:hideMark/>
          </w:tcPr>
          <w:p w14:paraId="6D33DA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3.78</w:t>
            </w:r>
          </w:p>
        </w:tc>
        <w:tc>
          <w:tcPr>
            <w:tcW w:w="1276" w:type="dxa"/>
            <w:tcBorders>
              <w:top w:val="nil"/>
            </w:tcBorders>
            <w:shd w:val="clear" w:color="auto" w:fill="E5E5E5" w:themeFill="background1" w:themeFillTint="33"/>
            <w:noWrap/>
            <w:vAlign w:val="bottom"/>
            <w:hideMark/>
          </w:tcPr>
          <w:p w14:paraId="795FF4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r>
      <w:tr w:rsidR="00961617" w:rsidRPr="00545C7F" w14:paraId="4875C50F" w14:textId="77777777" w:rsidTr="0020771F">
        <w:trPr>
          <w:trHeight w:val="288"/>
        </w:trPr>
        <w:tc>
          <w:tcPr>
            <w:tcW w:w="1709" w:type="dxa"/>
            <w:tcBorders>
              <w:top w:val="nil"/>
            </w:tcBorders>
            <w:shd w:val="clear" w:color="auto" w:fill="auto"/>
            <w:noWrap/>
            <w:vAlign w:val="bottom"/>
            <w:hideMark/>
          </w:tcPr>
          <w:p w14:paraId="580871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329</w:t>
            </w:r>
          </w:p>
        </w:tc>
        <w:tc>
          <w:tcPr>
            <w:tcW w:w="1567" w:type="dxa"/>
            <w:tcBorders>
              <w:top w:val="nil"/>
            </w:tcBorders>
            <w:shd w:val="clear" w:color="auto" w:fill="auto"/>
            <w:noWrap/>
            <w:vAlign w:val="bottom"/>
            <w:hideMark/>
          </w:tcPr>
          <w:p w14:paraId="56F9E8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0.58</w:t>
            </w:r>
          </w:p>
        </w:tc>
        <w:tc>
          <w:tcPr>
            <w:tcW w:w="1559" w:type="dxa"/>
            <w:tcBorders>
              <w:top w:val="nil"/>
            </w:tcBorders>
            <w:shd w:val="clear" w:color="auto" w:fill="auto"/>
            <w:noWrap/>
            <w:vAlign w:val="bottom"/>
            <w:hideMark/>
          </w:tcPr>
          <w:p w14:paraId="4C49DC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3.93</w:t>
            </w:r>
          </w:p>
        </w:tc>
        <w:tc>
          <w:tcPr>
            <w:tcW w:w="1417" w:type="dxa"/>
            <w:tcBorders>
              <w:top w:val="nil"/>
            </w:tcBorders>
            <w:shd w:val="clear" w:color="auto" w:fill="auto"/>
            <w:noWrap/>
            <w:vAlign w:val="bottom"/>
            <w:hideMark/>
          </w:tcPr>
          <w:p w14:paraId="48A876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4.27</w:t>
            </w:r>
          </w:p>
        </w:tc>
        <w:tc>
          <w:tcPr>
            <w:tcW w:w="1276" w:type="dxa"/>
            <w:tcBorders>
              <w:top w:val="nil"/>
            </w:tcBorders>
            <w:shd w:val="clear" w:color="auto" w:fill="auto"/>
            <w:noWrap/>
            <w:vAlign w:val="bottom"/>
            <w:hideMark/>
          </w:tcPr>
          <w:p w14:paraId="01D7A2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2.10</w:t>
            </w:r>
          </w:p>
        </w:tc>
      </w:tr>
      <w:tr w:rsidR="00961617" w:rsidRPr="00545C7F" w14:paraId="5FD109EF" w14:textId="77777777" w:rsidTr="0020771F">
        <w:trPr>
          <w:trHeight w:val="288"/>
        </w:trPr>
        <w:tc>
          <w:tcPr>
            <w:tcW w:w="1709" w:type="dxa"/>
            <w:tcBorders>
              <w:top w:val="nil"/>
            </w:tcBorders>
            <w:shd w:val="clear" w:color="auto" w:fill="E5E5E5" w:themeFill="background1" w:themeFillTint="33"/>
            <w:noWrap/>
            <w:vAlign w:val="bottom"/>
            <w:hideMark/>
          </w:tcPr>
          <w:p w14:paraId="69159E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336</w:t>
            </w:r>
          </w:p>
        </w:tc>
        <w:tc>
          <w:tcPr>
            <w:tcW w:w="1567" w:type="dxa"/>
            <w:tcBorders>
              <w:top w:val="nil"/>
            </w:tcBorders>
            <w:shd w:val="clear" w:color="auto" w:fill="E5E5E5" w:themeFill="background1" w:themeFillTint="33"/>
            <w:noWrap/>
            <w:vAlign w:val="bottom"/>
            <w:hideMark/>
          </w:tcPr>
          <w:p w14:paraId="7D5E36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0.62</w:t>
            </w:r>
          </w:p>
        </w:tc>
        <w:tc>
          <w:tcPr>
            <w:tcW w:w="1559" w:type="dxa"/>
            <w:tcBorders>
              <w:top w:val="nil"/>
            </w:tcBorders>
            <w:shd w:val="clear" w:color="auto" w:fill="E5E5E5" w:themeFill="background1" w:themeFillTint="33"/>
            <w:noWrap/>
            <w:vAlign w:val="bottom"/>
            <w:hideMark/>
          </w:tcPr>
          <w:p w14:paraId="2262EF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4.45</w:t>
            </w:r>
          </w:p>
        </w:tc>
        <w:tc>
          <w:tcPr>
            <w:tcW w:w="1417" w:type="dxa"/>
            <w:tcBorders>
              <w:top w:val="nil"/>
            </w:tcBorders>
            <w:shd w:val="clear" w:color="auto" w:fill="E5E5E5" w:themeFill="background1" w:themeFillTint="33"/>
            <w:noWrap/>
            <w:vAlign w:val="bottom"/>
            <w:hideMark/>
          </w:tcPr>
          <w:p w14:paraId="487B4A8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4.86</w:t>
            </w:r>
          </w:p>
        </w:tc>
        <w:tc>
          <w:tcPr>
            <w:tcW w:w="1276" w:type="dxa"/>
            <w:tcBorders>
              <w:top w:val="nil"/>
            </w:tcBorders>
            <w:shd w:val="clear" w:color="auto" w:fill="E5E5E5" w:themeFill="background1" w:themeFillTint="33"/>
            <w:noWrap/>
            <w:vAlign w:val="bottom"/>
            <w:hideMark/>
          </w:tcPr>
          <w:p w14:paraId="3CE608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2.38</w:t>
            </w:r>
          </w:p>
        </w:tc>
      </w:tr>
      <w:tr w:rsidR="00961617" w:rsidRPr="00545C7F" w14:paraId="3F7F241C" w14:textId="77777777" w:rsidTr="0020771F">
        <w:trPr>
          <w:trHeight w:val="288"/>
        </w:trPr>
        <w:tc>
          <w:tcPr>
            <w:tcW w:w="1709" w:type="dxa"/>
            <w:tcBorders>
              <w:top w:val="nil"/>
            </w:tcBorders>
            <w:shd w:val="clear" w:color="auto" w:fill="auto"/>
            <w:noWrap/>
            <w:vAlign w:val="bottom"/>
            <w:hideMark/>
          </w:tcPr>
          <w:p w14:paraId="7176FC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343</w:t>
            </w:r>
          </w:p>
        </w:tc>
        <w:tc>
          <w:tcPr>
            <w:tcW w:w="1567" w:type="dxa"/>
            <w:tcBorders>
              <w:top w:val="nil"/>
            </w:tcBorders>
            <w:shd w:val="clear" w:color="auto" w:fill="auto"/>
            <w:noWrap/>
            <w:vAlign w:val="bottom"/>
            <w:hideMark/>
          </w:tcPr>
          <w:p w14:paraId="7CCC27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0.66</w:t>
            </w:r>
          </w:p>
        </w:tc>
        <w:tc>
          <w:tcPr>
            <w:tcW w:w="1559" w:type="dxa"/>
            <w:tcBorders>
              <w:top w:val="nil"/>
            </w:tcBorders>
            <w:shd w:val="clear" w:color="auto" w:fill="auto"/>
            <w:noWrap/>
            <w:vAlign w:val="bottom"/>
            <w:hideMark/>
          </w:tcPr>
          <w:p w14:paraId="3F1F9E4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5.33</w:t>
            </w:r>
          </w:p>
        </w:tc>
        <w:tc>
          <w:tcPr>
            <w:tcW w:w="1417" w:type="dxa"/>
            <w:tcBorders>
              <w:top w:val="nil"/>
            </w:tcBorders>
            <w:shd w:val="clear" w:color="auto" w:fill="auto"/>
            <w:noWrap/>
            <w:vAlign w:val="bottom"/>
            <w:hideMark/>
          </w:tcPr>
          <w:p w14:paraId="3B086D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6.04</w:t>
            </w:r>
          </w:p>
        </w:tc>
        <w:tc>
          <w:tcPr>
            <w:tcW w:w="1276" w:type="dxa"/>
            <w:tcBorders>
              <w:top w:val="nil"/>
            </w:tcBorders>
            <w:shd w:val="clear" w:color="auto" w:fill="auto"/>
            <w:noWrap/>
            <w:vAlign w:val="bottom"/>
            <w:hideMark/>
          </w:tcPr>
          <w:p w14:paraId="4D57E1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2.53</w:t>
            </w:r>
          </w:p>
        </w:tc>
      </w:tr>
      <w:tr w:rsidR="00961617" w:rsidRPr="00545C7F" w14:paraId="62605D96" w14:textId="77777777" w:rsidTr="0020771F">
        <w:trPr>
          <w:trHeight w:val="288"/>
        </w:trPr>
        <w:tc>
          <w:tcPr>
            <w:tcW w:w="1709" w:type="dxa"/>
            <w:tcBorders>
              <w:top w:val="nil"/>
            </w:tcBorders>
            <w:shd w:val="clear" w:color="auto" w:fill="E5E5E5" w:themeFill="background1" w:themeFillTint="33"/>
            <w:noWrap/>
            <w:vAlign w:val="bottom"/>
            <w:hideMark/>
          </w:tcPr>
          <w:p w14:paraId="0B9912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350</w:t>
            </w:r>
          </w:p>
        </w:tc>
        <w:tc>
          <w:tcPr>
            <w:tcW w:w="1567" w:type="dxa"/>
            <w:tcBorders>
              <w:top w:val="nil"/>
            </w:tcBorders>
            <w:shd w:val="clear" w:color="auto" w:fill="E5E5E5" w:themeFill="background1" w:themeFillTint="33"/>
            <w:noWrap/>
            <w:vAlign w:val="bottom"/>
            <w:hideMark/>
          </w:tcPr>
          <w:p w14:paraId="0A659C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c>
          <w:tcPr>
            <w:tcW w:w="1559" w:type="dxa"/>
            <w:tcBorders>
              <w:top w:val="nil"/>
            </w:tcBorders>
            <w:shd w:val="clear" w:color="auto" w:fill="E5E5E5" w:themeFill="background1" w:themeFillTint="33"/>
            <w:noWrap/>
            <w:vAlign w:val="bottom"/>
            <w:hideMark/>
          </w:tcPr>
          <w:p w14:paraId="7725080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7.18</w:t>
            </w:r>
          </w:p>
        </w:tc>
        <w:tc>
          <w:tcPr>
            <w:tcW w:w="1417" w:type="dxa"/>
            <w:tcBorders>
              <w:top w:val="nil"/>
            </w:tcBorders>
            <w:shd w:val="clear" w:color="auto" w:fill="E5E5E5" w:themeFill="background1" w:themeFillTint="33"/>
            <w:noWrap/>
            <w:vAlign w:val="bottom"/>
            <w:hideMark/>
          </w:tcPr>
          <w:p w14:paraId="62B17EF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7.46</w:t>
            </w:r>
          </w:p>
        </w:tc>
        <w:tc>
          <w:tcPr>
            <w:tcW w:w="1276" w:type="dxa"/>
            <w:tcBorders>
              <w:top w:val="nil"/>
            </w:tcBorders>
            <w:shd w:val="clear" w:color="auto" w:fill="E5E5E5" w:themeFill="background1" w:themeFillTint="33"/>
            <w:noWrap/>
            <w:vAlign w:val="bottom"/>
            <w:hideMark/>
          </w:tcPr>
          <w:p w14:paraId="4E6060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4.12</w:t>
            </w:r>
          </w:p>
        </w:tc>
      </w:tr>
      <w:tr w:rsidR="00961617" w:rsidRPr="00545C7F" w14:paraId="7CC0D52B" w14:textId="77777777" w:rsidTr="0020771F">
        <w:trPr>
          <w:trHeight w:val="288"/>
        </w:trPr>
        <w:tc>
          <w:tcPr>
            <w:tcW w:w="1709" w:type="dxa"/>
            <w:tcBorders>
              <w:top w:val="nil"/>
            </w:tcBorders>
            <w:shd w:val="clear" w:color="auto" w:fill="auto"/>
            <w:noWrap/>
            <w:vAlign w:val="bottom"/>
            <w:hideMark/>
          </w:tcPr>
          <w:p w14:paraId="25F3267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357</w:t>
            </w:r>
          </w:p>
        </w:tc>
        <w:tc>
          <w:tcPr>
            <w:tcW w:w="1567" w:type="dxa"/>
            <w:tcBorders>
              <w:top w:val="nil"/>
            </w:tcBorders>
            <w:shd w:val="clear" w:color="auto" w:fill="auto"/>
            <w:noWrap/>
            <w:vAlign w:val="bottom"/>
            <w:hideMark/>
          </w:tcPr>
          <w:p w14:paraId="7C17C7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10.54</w:t>
            </w:r>
          </w:p>
        </w:tc>
        <w:tc>
          <w:tcPr>
            <w:tcW w:w="1559" w:type="dxa"/>
            <w:tcBorders>
              <w:top w:val="nil"/>
            </w:tcBorders>
            <w:shd w:val="clear" w:color="auto" w:fill="auto"/>
            <w:noWrap/>
            <w:vAlign w:val="bottom"/>
            <w:hideMark/>
          </w:tcPr>
          <w:p w14:paraId="3757CC4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11.33</w:t>
            </w:r>
          </w:p>
        </w:tc>
        <w:tc>
          <w:tcPr>
            <w:tcW w:w="1417" w:type="dxa"/>
            <w:tcBorders>
              <w:top w:val="nil"/>
            </w:tcBorders>
            <w:shd w:val="clear" w:color="auto" w:fill="auto"/>
            <w:noWrap/>
            <w:vAlign w:val="bottom"/>
            <w:hideMark/>
          </w:tcPr>
          <w:p w14:paraId="3E446F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12.11</w:t>
            </w:r>
          </w:p>
        </w:tc>
        <w:tc>
          <w:tcPr>
            <w:tcW w:w="1276" w:type="dxa"/>
            <w:tcBorders>
              <w:top w:val="nil"/>
            </w:tcBorders>
            <w:shd w:val="clear" w:color="auto" w:fill="auto"/>
            <w:noWrap/>
            <w:vAlign w:val="bottom"/>
            <w:hideMark/>
          </w:tcPr>
          <w:p w14:paraId="6265F6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6.60</w:t>
            </w:r>
          </w:p>
        </w:tc>
      </w:tr>
      <w:tr w:rsidR="00961617" w:rsidRPr="00545C7F" w14:paraId="72043623" w14:textId="77777777" w:rsidTr="0020771F">
        <w:trPr>
          <w:trHeight w:val="288"/>
        </w:trPr>
        <w:tc>
          <w:tcPr>
            <w:tcW w:w="1709" w:type="dxa"/>
            <w:tcBorders>
              <w:top w:val="nil"/>
            </w:tcBorders>
            <w:shd w:val="clear" w:color="auto" w:fill="E5E5E5" w:themeFill="background1" w:themeFillTint="33"/>
            <w:noWrap/>
            <w:vAlign w:val="bottom"/>
            <w:hideMark/>
          </w:tcPr>
          <w:p w14:paraId="0CBED8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364</w:t>
            </w:r>
          </w:p>
        </w:tc>
        <w:tc>
          <w:tcPr>
            <w:tcW w:w="1567" w:type="dxa"/>
            <w:tcBorders>
              <w:top w:val="nil"/>
            </w:tcBorders>
            <w:shd w:val="clear" w:color="auto" w:fill="E5E5E5" w:themeFill="background1" w:themeFillTint="33"/>
            <w:noWrap/>
            <w:vAlign w:val="bottom"/>
            <w:hideMark/>
          </w:tcPr>
          <w:p w14:paraId="108810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18.60</w:t>
            </w:r>
          </w:p>
        </w:tc>
        <w:tc>
          <w:tcPr>
            <w:tcW w:w="1559" w:type="dxa"/>
            <w:tcBorders>
              <w:top w:val="nil"/>
            </w:tcBorders>
            <w:shd w:val="clear" w:color="auto" w:fill="E5E5E5" w:themeFill="background1" w:themeFillTint="33"/>
            <w:noWrap/>
            <w:vAlign w:val="bottom"/>
            <w:hideMark/>
          </w:tcPr>
          <w:p w14:paraId="4EE8B5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16.42</w:t>
            </w:r>
          </w:p>
        </w:tc>
        <w:tc>
          <w:tcPr>
            <w:tcW w:w="1417" w:type="dxa"/>
            <w:tcBorders>
              <w:top w:val="nil"/>
            </w:tcBorders>
            <w:shd w:val="clear" w:color="auto" w:fill="E5E5E5" w:themeFill="background1" w:themeFillTint="33"/>
            <w:noWrap/>
            <w:vAlign w:val="bottom"/>
            <w:hideMark/>
          </w:tcPr>
          <w:p w14:paraId="507951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16.61</w:t>
            </w:r>
          </w:p>
        </w:tc>
        <w:tc>
          <w:tcPr>
            <w:tcW w:w="1276" w:type="dxa"/>
            <w:tcBorders>
              <w:top w:val="nil"/>
            </w:tcBorders>
            <w:shd w:val="clear" w:color="auto" w:fill="E5E5E5" w:themeFill="background1" w:themeFillTint="33"/>
            <w:noWrap/>
            <w:vAlign w:val="bottom"/>
            <w:hideMark/>
          </w:tcPr>
          <w:p w14:paraId="593219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w:t>
            </w:r>
          </w:p>
        </w:tc>
      </w:tr>
      <w:tr w:rsidR="00961617" w:rsidRPr="00545C7F" w14:paraId="38242905" w14:textId="77777777" w:rsidTr="0020771F">
        <w:trPr>
          <w:trHeight w:val="288"/>
        </w:trPr>
        <w:tc>
          <w:tcPr>
            <w:tcW w:w="1709" w:type="dxa"/>
            <w:tcBorders>
              <w:top w:val="nil"/>
            </w:tcBorders>
            <w:shd w:val="clear" w:color="auto" w:fill="auto"/>
            <w:noWrap/>
            <w:vAlign w:val="bottom"/>
            <w:hideMark/>
          </w:tcPr>
          <w:p w14:paraId="269DDA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371</w:t>
            </w:r>
          </w:p>
        </w:tc>
        <w:tc>
          <w:tcPr>
            <w:tcW w:w="1567" w:type="dxa"/>
            <w:tcBorders>
              <w:top w:val="nil"/>
            </w:tcBorders>
            <w:shd w:val="clear" w:color="auto" w:fill="auto"/>
            <w:noWrap/>
            <w:vAlign w:val="bottom"/>
            <w:hideMark/>
          </w:tcPr>
          <w:p w14:paraId="10DD98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24.73</w:t>
            </w:r>
          </w:p>
        </w:tc>
        <w:tc>
          <w:tcPr>
            <w:tcW w:w="1559" w:type="dxa"/>
            <w:tcBorders>
              <w:top w:val="nil"/>
            </w:tcBorders>
            <w:shd w:val="clear" w:color="auto" w:fill="auto"/>
            <w:noWrap/>
            <w:vAlign w:val="bottom"/>
            <w:hideMark/>
          </w:tcPr>
          <w:p w14:paraId="204141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21.25</w:t>
            </w:r>
          </w:p>
        </w:tc>
        <w:tc>
          <w:tcPr>
            <w:tcW w:w="1417" w:type="dxa"/>
            <w:tcBorders>
              <w:top w:val="nil"/>
            </w:tcBorders>
            <w:shd w:val="clear" w:color="auto" w:fill="auto"/>
            <w:noWrap/>
            <w:vAlign w:val="bottom"/>
            <w:hideMark/>
          </w:tcPr>
          <w:p w14:paraId="0272E2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20.81</w:t>
            </w:r>
          </w:p>
        </w:tc>
        <w:tc>
          <w:tcPr>
            <w:tcW w:w="1276" w:type="dxa"/>
            <w:tcBorders>
              <w:top w:val="nil"/>
            </w:tcBorders>
            <w:shd w:val="clear" w:color="auto" w:fill="auto"/>
            <w:noWrap/>
            <w:vAlign w:val="bottom"/>
            <w:hideMark/>
          </w:tcPr>
          <w:p w14:paraId="0C5872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12.52</w:t>
            </w:r>
          </w:p>
        </w:tc>
      </w:tr>
      <w:tr w:rsidR="00961617" w:rsidRPr="00545C7F" w14:paraId="7BAEE146" w14:textId="77777777" w:rsidTr="0020771F">
        <w:trPr>
          <w:trHeight w:val="288"/>
        </w:trPr>
        <w:tc>
          <w:tcPr>
            <w:tcW w:w="1709" w:type="dxa"/>
            <w:tcBorders>
              <w:top w:val="nil"/>
            </w:tcBorders>
            <w:shd w:val="clear" w:color="auto" w:fill="E5E5E5" w:themeFill="background1" w:themeFillTint="33"/>
            <w:noWrap/>
            <w:vAlign w:val="bottom"/>
            <w:hideMark/>
          </w:tcPr>
          <w:p w14:paraId="5E4663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378</w:t>
            </w:r>
          </w:p>
        </w:tc>
        <w:tc>
          <w:tcPr>
            <w:tcW w:w="1567" w:type="dxa"/>
            <w:tcBorders>
              <w:top w:val="nil"/>
            </w:tcBorders>
            <w:shd w:val="clear" w:color="auto" w:fill="E5E5E5" w:themeFill="background1" w:themeFillTint="33"/>
            <w:noWrap/>
            <w:vAlign w:val="bottom"/>
            <w:hideMark/>
          </w:tcPr>
          <w:p w14:paraId="4D64D7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30.92</w:t>
            </w:r>
          </w:p>
        </w:tc>
        <w:tc>
          <w:tcPr>
            <w:tcW w:w="1559" w:type="dxa"/>
            <w:tcBorders>
              <w:top w:val="nil"/>
            </w:tcBorders>
            <w:shd w:val="clear" w:color="auto" w:fill="E5E5E5" w:themeFill="background1" w:themeFillTint="33"/>
            <w:noWrap/>
            <w:vAlign w:val="bottom"/>
            <w:hideMark/>
          </w:tcPr>
          <w:p w14:paraId="30AC69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25.70</w:t>
            </w:r>
          </w:p>
        </w:tc>
        <w:tc>
          <w:tcPr>
            <w:tcW w:w="1417" w:type="dxa"/>
            <w:tcBorders>
              <w:top w:val="nil"/>
            </w:tcBorders>
            <w:shd w:val="clear" w:color="auto" w:fill="E5E5E5" w:themeFill="background1" w:themeFillTint="33"/>
            <w:noWrap/>
            <w:vAlign w:val="bottom"/>
            <w:hideMark/>
          </w:tcPr>
          <w:p w14:paraId="614B99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26.22</w:t>
            </w:r>
          </w:p>
        </w:tc>
        <w:tc>
          <w:tcPr>
            <w:tcW w:w="1276" w:type="dxa"/>
            <w:tcBorders>
              <w:top w:val="nil"/>
            </w:tcBorders>
            <w:shd w:val="clear" w:color="auto" w:fill="E5E5E5" w:themeFill="background1" w:themeFillTint="33"/>
            <w:noWrap/>
            <w:vAlign w:val="bottom"/>
            <w:hideMark/>
          </w:tcPr>
          <w:p w14:paraId="2C5609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16.30</w:t>
            </w:r>
          </w:p>
        </w:tc>
      </w:tr>
      <w:tr w:rsidR="00961617" w:rsidRPr="00545C7F" w14:paraId="2245D0D0" w14:textId="77777777" w:rsidTr="0020771F">
        <w:trPr>
          <w:trHeight w:val="288"/>
        </w:trPr>
        <w:tc>
          <w:tcPr>
            <w:tcW w:w="1709" w:type="dxa"/>
            <w:tcBorders>
              <w:top w:val="nil"/>
            </w:tcBorders>
            <w:shd w:val="clear" w:color="auto" w:fill="auto"/>
            <w:noWrap/>
            <w:vAlign w:val="bottom"/>
            <w:hideMark/>
          </w:tcPr>
          <w:p w14:paraId="7F053D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385</w:t>
            </w:r>
          </w:p>
        </w:tc>
        <w:tc>
          <w:tcPr>
            <w:tcW w:w="1567" w:type="dxa"/>
            <w:tcBorders>
              <w:top w:val="nil"/>
            </w:tcBorders>
            <w:shd w:val="clear" w:color="auto" w:fill="auto"/>
            <w:noWrap/>
            <w:vAlign w:val="bottom"/>
            <w:hideMark/>
          </w:tcPr>
          <w:p w14:paraId="071A25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38.98</w:t>
            </w:r>
          </w:p>
        </w:tc>
        <w:tc>
          <w:tcPr>
            <w:tcW w:w="1559" w:type="dxa"/>
            <w:tcBorders>
              <w:top w:val="nil"/>
            </w:tcBorders>
            <w:shd w:val="clear" w:color="auto" w:fill="auto"/>
            <w:noWrap/>
            <w:vAlign w:val="bottom"/>
            <w:hideMark/>
          </w:tcPr>
          <w:p w14:paraId="111A9B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32.43</w:t>
            </w:r>
          </w:p>
        </w:tc>
        <w:tc>
          <w:tcPr>
            <w:tcW w:w="1417" w:type="dxa"/>
            <w:tcBorders>
              <w:top w:val="nil"/>
            </w:tcBorders>
            <w:shd w:val="clear" w:color="auto" w:fill="auto"/>
            <w:noWrap/>
            <w:vAlign w:val="bottom"/>
            <w:hideMark/>
          </w:tcPr>
          <w:p w14:paraId="44D1C2A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33.94</w:t>
            </w:r>
          </w:p>
        </w:tc>
        <w:tc>
          <w:tcPr>
            <w:tcW w:w="1276" w:type="dxa"/>
            <w:tcBorders>
              <w:top w:val="nil"/>
            </w:tcBorders>
            <w:shd w:val="clear" w:color="auto" w:fill="auto"/>
            <w:noWrap/>
            <w:vAlign w:val="bottom"/>
            <w:hideMark/>
          </w:tcPr>
          <w:p w14:paraId="3E24BBC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20.88</w:t>
            </w:r>
          </w:p>
        </w:tc>
      </w:tr>
      <w:tr w:rsidR="00961617" w:rsidRPr="00545C7F" w14:paraId="0FD6AD59" w14:textId="77777777" w:rsidTr="0020771F">
        <w:trPr>
          <w:trHeight w:val="288"/>
        </w:trPr>
        <w:tc>
          <w:tcPr>
            <w:tcW w:w="1709" w:type="dxa"/>
            <w:tcBorders>
              <w:top w:val="nil"/>
            </w:tcBorders>
            <w:shd w:val="clear" w:color="auto" w:fill="E5E5E5" w:themeFill="background1" w:themeFillTint="33"/>
            <w:noWrap/>
            <w:vAlign w:val="bottom"/>
            <w:hideMark/>
          </w:tcPr>
          <w:p w14:paraId="6B6882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392</w:t>
            </w:r>
          </w:p>
        </w:tc>
        <w:tc>
          <w:tcPr>
            <w:tcW w:w="1567" w:type="dxa"/>
            <w:tcBorders>
              <w:top w:val="nil"/>
            </w:tcBorders>
            <w:shd w:val="clear" w:color="auto" w:fill="E5E5E5" w:themeFill="background1" w:themeFillTint="33"/>
            <w:noWrap/>
            <w:vAlign w:val="bottom"/>
            <w:hideMark/>
          </w:tcPr>
          <w:p w14:paraId="236402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44.79</w:t>
            </w:r>
          </w:p>
        </w:tc>
        <w:tc>
          <w:tcPr>
            <w:tcW w:w="1559" w:type="dxa"/>
            <w:tcBorders>
              <w:top w:val="nil"/>
            </w:tcBorders>
            <w:shd w:val="clear" w:color="auto" w:fill="E5E5E5" w:themeFill="background1" w:themeFillTint="33"/>
            <w:noWrap/>
            <w:vAlign w:val="bottom"/>
            <w:hideMark/>
          </w:tcPr>
          <w:p w14:paraId="4EC7A97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39.05</w:t>
            </w:r>
          </w:p>
        </w:tc>
        <w:tc>
          <w:tcPr>
            <w:tcW w:w="1417" w:type="dxa"/>
            <w:tcBorders>
              <w:top w:val="nil"/>
            </w:tcBorders>
            <w:shd w:val="clear" w:color="auto" w:fill="E5E5E5" w:themeFill="background1" w:themeFillTint="33"/>
            <w:noWrap/>
            <w:vAlign w:val="bottom"/>
            <w:hideMark/>
          </w:tcPr>
          <w:p w14:paraId="5CBC6B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41.69</w:t>
            </w:r>
          </w:p>
        </w:tc>
        <w:tc>
          <w:tcPr>
            <w:tcW w:w="1276" w:type="dxa"/>
            <w:tcBorders>
              <w:top w:val="nil"/>
            </w:tcBorders>
            <w:shd w:val="clear" w:color="auto" w:fill="E5E5E5" w:themeFill="background1" w:themeFillTint="33"/>
            <w:noWrap/>
            <w:vAlign w:val="bottom"/>
            <w:hideMark/>
          </w:tcPr>
          <w:p w14:paraId="436B8B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25.97</w:t>
            </w:r>
          </w:p>
        </w:tc>
      </w:tr>
      <w:tr w:rsidR="00961617" w:rsidRPr="00545C7F" w14:paraId="08932D3E" w14:textId="77777777" w:rsidTr="0020771F">
        <w:trPr>
          <w:trHeight w:val="288"/>
        </w:trPr>
        <w:tc>
          <w:tcPr>
            <w:tcW w:w="1709" w:type="dxa"/>
            <w:tcBorders>
              <w:top w:val="nil"/>
            </w:tcBorders>
            <w:shd w:val="clear" w:color="auto" w:fill="auto"/>
            <w:noWrap/>
            <w:vAlign w:val="bottom"/>
            <w:hideMark/>
          </w:tcPr>
          <w:p w14:paraId="39C4D71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399</w:t>
            </w:r>
          </w:p>
        </w:tc>
        <w:tc>
          <w:tcPr>
            <w:tcW w:w="1567" w:type="dxa"/>
            <w:tcBorders>
              <w:top w:val="nil"/>
            </w:tcBorders>
            <w:shd w:val="clear" w:color="auto" w:fill="auto"/>
            <w:noWrap/>
            <w:vAlign w:val="bottom"/>
            <w:hideMark/>
          </w:tcPr>
          <w:p w14:paraId="4F7D85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48.95</w:t>
            </w:r>
          </w:p>
        </w:tc>
        <w:tc>
          <w:tcPr>
            <w:tcW w:w="1559" w:type="dxa"/>
            <w:tcBorders>
              <w:top w:val="nil"/>
            </w:tcBorders>
            <w:shd w:val="clear" w:color="auto" w:fill="auto"/>
            <w:noWrap/>
            <w:vAlign w:val="bottom"/>
            <w:hideMark/>
          </w:tcPr>
          <w:p w14:paraId="1D65ED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43.79</w:t>
            </w:r>
          </w:p>
        </w:tc>
        <w:tc>
          <w:tcPr>
            <w:tcW w:w="1417" w:type="dxa"/>
            <w:tcBorders>
              <w:top w:val="nil"/>
            </w:tcBorders>
            <w:shd w:val="clear" w:color="auto" w:fill="auto"/>
            <w:noWrap/>
            <w:vAlign w:val="bottom"/>
            <w:hideMark/>
          </w:tcPr>
          <w:p w14:paraId="6A53820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47.30</w:t>
            </w:r>
          </w:p>
        </w:tc>
        <w:tc>
          <w:tcPr>
            <w:tcW w:w="1276" w:type="dxa"/>
            <w:tcBorders>
              <w:top w:val="nil"/>
            </w:tcBorders>
            <w:shd w:val="clear" w:color="auto" w:fill="auto"/>
            <w:noWrap/>
            <w:vAlign w:val="bottom"/>
            <w:hideMark/>
          </w:tcPr>
          <w:p w14:paraId="20AF85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31.91</w:t>
            </w:r>
          </w:p>
        </w:tc>
      </w:tr>
      <w:tr w:rsidR="00961617" w:rsidRPr="00545C7F" w14:paraId="3E873A84" w14:textId="77777777" w:rsidTr="0020771F">
        <w:trPr>
          <w:trHeight w:val="288"/>
        </w:trPr>
        <w:tc>
          <w:tcPr>
            <w:tcW w:w="1709" w:type="dxa"/>
            <w:tcBorders>
              <w:top w:val="nil"/>
            </w:tcBorders>
            <w:shd w:val="clear" w:color="auto" w:fill="E5E5E5" w:themeFill="background1" w:themeFillTint="33"/>
            <w:noWrap/>
            <w:vAlign w:val="bottom"/>
            <w:hideMark/>
          </w:tcPr>
          <w:p w14:paraId="113B46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406</w:t>
            </w:r>
          </w:p>
        </w:tc>
        <w:tc>
          <w:tcPr>
            <w:tcW w:w="1567" w:type="dxa"/>
            <w:tcBorders>
              <w:top w:val="nil"/>
            </w:tcBorders>
            <w:shd w:val="clear" w:color="auto" w:fill="E5E5E5" w:themeFill="background1" w:themeFillTint="33"/>
            <w:noWrap/>
            <w:vAlign w:val="bottom"/>
            <w:hideMark/>
          </w:tcPr>
          <w:p w14:paraId="2A0749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52.20</w:t>
            </w:r>
          </w:p>
        </w:tc>
        <w:tc>
          <w:tcPr>
            <w:tcW w:w="1559" w:type="dxa"/>
            <w:tcBorders>
              <w:top w:val="nil"/>
            </w:tcBorders>
            <w:shd w:val="clear" w:color="auto" w:fill="E5E5E5" w:themeFill="background1" w:themeFillTint="33"/>
            <w:noWrap/>
            <w:vAlign w:val="bottom"/>
            <w:hideMark/>
          </w:tcPr>
          <w:p w14:paraId="7497082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48.30</w:t>
            </w:r>
          </w:p>
        </w:tc>
        <w:tc>
          <w:tcPr>
            <w:tcW w:w="1417" w:type="dxa"/>
            <w:tcBorders>
              <w:top w:val="nil"/>
            </w:tcBorders>
            <w:shd w:val="clear" w:color="auto" w:fill="E5E5E5" w:themeFill="background1" w:themeFillTint="33"/>
            <w:noWrap/>
            <w:vAlign w:val="bottom"/>
            <w:hideMark/>
          </w:tcPr>
          <w:p w14:paraId="6120619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51.32</w:t>
            </w:r>
          </w:p>
        </w:tc>
        <w:tc>
          <w:tcPr>
            <w:tcW w:w="1276" w:type="dxa"/>
            <w:tcBorders>
              <w:top w:val="nil"/>
            </w:tcBorders>
            <w:shd w:val="clear" w:color="auto" w:fill="E5E5E5" w:themeFill="background1" w:themeFillTint="33"/>
            <w:noWrap/>
            <w:vAlign w:val="bottom"/>
            <w:hideMark/>
          </w:tcPr>
          <w:p w14:paraId="324C91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36.78</w:t>
            </w:r>
          </w:p>
        </w:tc>
      </w:tr>
      <w:tr w:rsidR="00961617" w:rsidRPr="00545C7F" w14:paraId="3E80FA97" w14:textId="77777777" w:rsidTr="0020771F">
        <w:trPr>
          <w:trHeight w:val="288"/>
        </w:trPr>
        <w:tc>
          <w:tcPr>
            <w:tcW w:w="1709" w:type="dxa"/>
            <w:tcBorders>
              <w:top w:val="nil"/>
            </w:tcBorders>
            <w:shd w:val="clear" w:color="auto" w:fill="auto"/>
            <w:noWrap/>
            <w:vAlign w:val="bottom"/>
            <w:hideMark/>
          </w:tcPr>
          <w:p w14:paraId="64DCB8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413</w:t>
            </w:r>
          </w:p>
        </w:tc>
        <w:tc>
          <w:tcPr>
            <w:tcW w:w="1567" w:type="dxa"/>
            <w:tcBorders>
              <w:top w:val="nil"/>
            </w:tcBorders>
            <w:shd w:val="clear" w:color="auto" w:fill="auto"/>
            <w:noWrap/>
            <w:vAlign w:val="bottom"/>
            <w:hideMark/>
          </w:tcPr>
          <w:p w14:paraId="02A7FB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54.45</w:t>
            </w:r>
          </w:p>
        </w:tc>
        <w:tc>
          <w:tcPr>
            <w:tcW w:w="1559" w:type="dxa"/>
            <w:tcBorders>
              <w:top w:val="nil"/>
            </w:tcBorders>
            <w:shd w:val="clear" w:color="auto" w:fill="auto"/>
            <w:noWrap/>
            <w:vAlign w:val="bottom"/>
            <w:hideMark/>
          </w:tcPr>
          <w:p w14:paraId="0176E3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51.62</w:t>
            </w:r>
          </w:p>
        </w:tc>
        <w:tc>
          <w:tcPr>
            <w:tcW w:w="1417" w:type="dxa"/>
            <w:tcBorders>
              <w:top w:val="nil"/>
            </w:tcBorders>
            <w:shd w:val="clear" w:color="auto" w:fill="auto"/>
            <w:noWrap/>
            <w:vAlign w:val="bottom"/>
            <w:hideMark/>
          </w:tcPr>
          <w:p w14:paraId="48F103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55.25</w:t>
            </w:r>
          </w:p>
        </w:tc>
        <w:tc>
          <w:tcPr>
            <w:tcW w:w="1276" w:type="dxa"/>
            <w:tcBorders>
              <w:top w:val="nil"/>
            </w:tcBorders>
            <w:shd w:val="clear" w:color="auto" w:fill="auto"/>
            <w:noWrap/>
            <w:vAlign w:val="bottom"/>
            <w:hideMark/>
          </w:tcPr>
          <w:p w14:paraId="613161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39.94</w:t>
            </w:r>
          </w:p>
        </w:tc>
      </w:tr>
      <w:tr w:rsidR="00961617" w:rsidRPr="00545C7F" w14:paraId="46FAF109" w14:textId="77777777" w:rsidTr="0020771F">
        <w:trPr>
          <w:trHeight w:val="288"/>
        </w:trPr>
        <w:tc>
          <w:tcPr>
            <w:tcW w:w="1709" w:type="dxa"/>
            <w:tcBorders>
              <w:top w:val="nil"/>
            </w:tcBorders>
            <w:shd w:val="clear" w:color="auto" w:fill="E5E5E5" w:themeFill="background1" w:themeFillTint="33"/>
            <w:noWrap/>
            <w:vAlign w:val="bottom"/>
            <w:hideMark/>
          </w:tcPr>
          <w:p w14:paraId="751A50E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420</w:t>
            </w:r>
          </w:p>
        </w:tc>
        <w:tc>
          <w:tcPr>
            <w:tcW w:w="1567" w:type="dxa"/>
            <w:tcBorders>
              <w:top w:val="nil"/>
            </w:tcBorders>
            <w:shd w:val="clear" w:color="auto" w:fill="E5E5E5" w:themeFill="background1" w:themeFillTint="33"/>
            <w:noWrap/>
            <w:vAlign w:val="bottom"/>
            <w:hideMark/>
          </w:tcPr>
          <w:p w14:paraId="0D9E131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56.47</w:t>
            </w:r>
          </w:p>
        </w:tc>
        <w:tc>
          <w:tcPr>
            <w:tcW w:w="1559" w:type="dxa"/>
            <w:tcBorders>
              <w:top w:val="nil"/>
            </w:tcBorders>
            <w:shd w:val="clear" w:color="auto" w:fill="E5E5E5" w:themeFill="background1" w:themeFillTint="33"/>
            <w:noWrap/>
            <w:vAlign w:val="bottom"/>
            <w:hideMark/>
          </w:tcPr>
          <w:p w14:paraId="044F58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54.31</w:t>
            </w:r>
          </w:p>
        </w:tc>
        <w:tc>
          <w:tcPr>
            <w:tcW w:w="1417" w:type="dxa"/>
            <w:tcBorders>
              <w:top w:val="nil"/>
            </w:tcBorders>
            <w:shd w:val="clear" w:color="auto" w:fill="E5E5E5" w:themeFill="background1" w:themeFillTint="33"/>
            <w:noWrap/>
            <w:vAlign w:val="bottom"/>
            <w:hideMark/>
          </w:tcPr>
          <w:p w14:paraId="730916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58.22</w:t>
            </w:r>
          </w:p>
        </w:tc>
        <w:tc>
          <w:tcPr>
            <w:tcW w:w="1276" w:type="dxa"/>
            <w:tcBorders>
              <w:top w:val="nil"/>
            </w:tcBorders>
            <w:shd w:val="clear" w:color="auto" w:fill="E5E5E5" w:themeFill="background1" w:themeFillTint="33"/>
            <w:noWrap/>
            <w:vAlign w:val="bottom"/>
            <w:hideMark/>
          </w:tcPr>
          <w:p w14:paraId="3EA47A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45.37</w:t>
            </w:r>
          </w:p>
        </w:tc>
      </w:tr>
      <w:tr w:rsidR="00961617" w:rsidRPr="00545C7F" w14:paraId="0E3621F4" w14:textId="77777777" w:rsidTr="0020771F">
        <w:trPr>
          <w:trHeight w:val="288"/>
        </w:trPr>
        <w:tc>
          <w:tcPr>
            <w:tcW w:w="1709" w:type="dxa"/>
            <w:tcBorders>
              <w:top w:val="nil"/>
            </w:tcBorders>
            <w:shd w:val="clear" w:color="auto" w:fill="auto"/>
            <w:noWrap/>
            <w:vAlign w:val="bottom"/>
            <w:hideMark/>
          </w:tcPr>
          <w:p w14:paraId="23FDBC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427</w:t>
            </w:r>
          </w:p>
        </w:tc>
        <w:tc>
          <w:tcPr>
            <w:tcW w:w="1567" w:type="dxa"/>
            <w:tcBorders>
              <w:top w:val="nil"/>
            </w:tcBorders>
            <w:shd w:val="clear" w:color="auto" w:fill="auto"/>
            <w:noWrap/>
            <w:vAlign w:val="bottom"/>
            <w:hideMark/>
          </w:tcPr>
          <w:p w14:paraId="584429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58.15</w:t>
            </w:r>
          </w:p>
        </w:tc>
        <w:tc>
          <w:tcPr>
            <w:tcW w:w="1559" w:type="dxa"/>
            <w:tcBorders>
              <w:top w:val="nil"/>
            </w:tcBorders>
            <w:shd w:val="clear" w:color="auto" w:fill="auto"/>
            <w:noWrap/>
            <w:vAlign w:val="bottom"/>
            <w:hideMark/>
          </w:tcPr>
          <w:p w14:paraId="49F545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57.00</w:t>
            </w:r>
          </w:p>
        </w:tc>
        <w:tc>
          <w:tcPr>
            <w:tcW w:w="1417" w:type="dxa"/>
            <w:tcBorders>
              <w:top w:val="nil"/>
            </w:tcBorders>
            <w:shd w:val="clear" w:color="auto" w:fill="auto"/>
            <w:noWrap/>
            <w:vAlign w:val="bottom"/>
            <w:hideMark/>
          </w:tcPr>
          <w:p w14:paraId="617A636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61.78</w:t>
            </w:r>
          </w:p>
        </w:tc>
        <w:tc>
          <w:tcPr>
            <w:tcW w:w="1276" w:type="dxa"/>
            <w:tcBorders>
              <w:top w:val="nil"/>
            </w:tcBorders>
            <w:shd w:val="clear" w:color="auto" w:fill="auto"/>
            <w:noWrap/>
            <w:vAlign w:val="bottom"/>
            <w:hideMark/>
          </w:tcPr>
          <w:p w14:paraId="2F453C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48.12</w:t>
            </w:r>
          </w:p>
        </w:tc>
      </w:tr>
      <w:tr w:rsidR="00961617" w:rsidRPr="00545C7F" w14:paraId="4EA882E8" w14:textId="77777777" w:rsidTr="0020771F">
        <w:trPr>
          <w:trHeight w:val="288"/>
        </w:trPr>
        <w:tc>
          <w:tcPr>
            <w:tcW w:w="1709" w:type="dxa"/>
            <w:tcBorders>
              <w:top w:val="nil"/>
            </w:tcBorders>
            <w:shd w:val="clear" w:color="auto" w:fill="E5E5E5" w:themeFill="background1" w:themeFillTint="33"/>
            <w:noWrap/>
            <w:vAlign w:val="bottom"/>
            <w:hideMark/>
          </w:tcPr>
          <w:p w14:paraId="4DC144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434</w:t>
            </w:r>
          </w:p>
        </w:tc>
        <w:tc>
          <w:tcPr>
            <w:tcW w:w="1567" w:type="dxa"/>
            <w:tcBorders>
              <w:top w:val="nil"/>
            </w:tcBorders>
            <w:shd w:val="clear" w:color="auto" w:fill="E5E5E5" w:themeFill="background1" w:themeFillTint="33"/>
            <w:noWrap/>
            <w:vAlign w:val="bottom"/>
            <w:hideMark/>
          </w:tcPr>
          <w:p w14:paraId="0A6788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59.84</w:t>
            </w:r>
          </w:p>
        </w:tc>
        <w:tc>
          <w:tcPr>
            <w:tcW w:w="1559" w:type="dxa"/>
            <w:tcBorders>
              <w:top w:val="nil"/>
            </w:tcBorders>
            <w:shd w:val="clear" w:color="auto" w:fill="E5E5E5" w:themeFill="background1" w:themeFillTint="33"/>
            <w:noWrap/>
            <w:vAlign w:val="bottom"/>
            <w:hideMark/>
          </w:tcPr>
          <w:p w14:paraId="40D99C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59.46</w:t>
            </w:r>
          </w:p>
        </w:tc>
        <w:tc>
          <w:tcPr>
            <w:tcW w:w="1417" w:type="dxa"/>
            <w:tcBorders>
              <w:top w:val="nil"/>
            </w:tcBorders>
            <w:shd w:val="clear" w:color="auto" w:fill="E5E5E5" w:themeFill="background1" w:themeFillTint="33"/>
            <w:noWrap/>
            <w:vAlign w:val="bottom"/>
            <w:hideMark/>
          </w:tcPr>
          <w:p w14:paraId="775E69E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63.86</w:t>
            </w:r>
          </w:p>
        </w:tc>
        <w:tc>
          <w:tcPr>
            <w:tcW w:w="1276" w:type="dxa"/>
            <w:tcBorders>
              <w:top w:val="nil"/>
            </w:tcBorders>
            <w:shd w:val="clear" w:color="auto" w:fill="E5E5E5" w:themeFill="background1" w:themeFillTint="33"/>
            <w:noWrap/>
            <w:vAlign w:val="bottom"/>
            <w:hideMark/>
          </w:tcPr>
          <w:p w14:paraId="7C11B7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51.38</w:t>
            </w:r>
          </w:p>
        </w:tc>
      </w:tr>
      <w:tr w:rsidR="00961617" w:rsidRPr="00545C7F" w14:paraId="12CFC28C" w14:textId="77777777" w:rsidTr="0020771F">
        <w:trPr>
          <w:trHeight w:val="288"/>
        </w:trPr>
        <w:tc>
          <w:tcPr>
            <w:tcW w:w="1709" w:type="dxa"/>
            <w:tcBorders>
              <w:top w:val="nil"/>
            </w:tcBorders>
            <w:shd w:val="clear" w:color="auto" w:fill="auto"/>
            <w:noWrap/>
            <w:vAlign w:val="bottom"/>
            <w:hideMark/>
          </w:tcPr>
          <w:p w14:paraId="31B2CAA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441</w:t>
            </w:r>
          </w:p>
        </w:tc>
        <w:tc>
          <w:tcPr>
            <w:tcW w:w="1567" w:type="dxa"/>
            <w:tcBorders>
              <w:top w:val="nil"/>
            </w:tcBorders>
            <w:shd w:val="clear" w:color="auto" w:fill="auto"/>
            <w:noWrap/>
            <w:vAlign w:val="bottom"/>
            <w:hideMark/>
          </w:tcPr>
          <w:p w14:paraId="331486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61.16</w:t>
            </w:r>
          </w:p>
        </w:tc>
        <w:tc>
          <w:tcPr>
            <w:tcW w:w="1559" w:type="dxa"/>
            <w:tcBorders>
              <w:top w:val="nil"/>
            </w:tcBorders>
            <w:shd w:val="clear" w:color="auto" w:fill="auto"/>
            <w:noWrap/>
            <w:vAlign w:val="bottom"/>
            <w:hideMark/>
          </w:tcPr>
          <w:p w14:paraId="356DAB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61.25</w:t>
            </w:r>
          </w:p>
        </w:tc>
        <w:tc>
          <w:tcPr>
            <w:tcW w:w="1417" w:type="dxa"/>
            <w:tcBorders>
              <w:top w:val="nil"/>
            </w:tcBorders>
            <w:shd w:val="clear" w:color="auto" w:fill="auto"/>
            <w:noWrap/>
            <w:vAlign w:val="bottom"/>
            <w:hideMark/>
          </w:tcPr>
          <w:p w14:paraId="4B6847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66.05</w:t>
            </w:r>
          </w:p>
        </w:tc>
        <w:tc>
          <w:tcPr>
            <w:tcW w:w="1276" w:type="dxa"/>
            <w:tcBorders>
              <w:top w:val="nil"/>
            </w:tcBorders>
            <w:shd w:val="clear" w:color="auto" w:fill="auto"/>
            <w:noWrap/>
            <w:vAlign w:val="bottom"/>
            <w:hideMark/>
          </w:tcPr>
          <w:p w14:paraId="7A93CA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54.53</w:t>
            </w:r>
          </w:p>
        </w:tc>
      </w:tr>
      <w:tr w:rsidR="00961617" w:rsidRPr="00545C7F" w14:paraId="2B6CC58A" w14:textId="77777777" w:rsidTr="0020771F">
        <w:trPr>
          <w:trHeight w:val="288"/>
        </w:trPr>
        <w:tc>
          <w:tcPr>
            <w:tcW w:w="1709" w:type="dxa"/>
            <w:tcBorders>
              <w:top w:val="nil"/>
            </w:tcBorders>
            <w:shd w:val="clear" w:color="auto" w:fill="E5E5E5" w:themeFill="background1" w:themeFillTint="33"/>
            <w:noWrap/>
            <w:vAlign w:val="bottom"/>
            <w:hideMark/>
          </w:tcPr>
          <w:p w14:paraId="476737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448</w:t>
            </w:r>
          </w:p>
        </w:tc>
        <w:tc>
          <w:tcPr>
            <w:tcW w:w="1567" w:type="dxa"/>
            <w:tcBorders>
              <w:top w:val="nil"/>
            </w:tcBorders>
            <w:shd w:val="clear" w:color="auto" w:fill="E5E5E5" w:themeFill="background1" w:themeFillTint="33"/>
            <w:noWrap/>
            <w:vAlign w:val="bottom"/>
            <w:hideMark/>
          </w:tcPr>
          <w:p w14:paraId="5DCDA2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62.29</w:t>
            </w:r>
          </w:p>
        </w:tc>
        <w:tc>
          <w:tcPr>
            <w:tcW w:w="1559" w:type="dxa"/>
            <w:tcBorders>
              <w:top w:val="nil"/>
            </w:tcBorders>
            <w:shd w:val="clear" w:color="auto" w:fill="E5E5E5" w:themeFill="background1" w:themeFillTint="33"/>
            <w:noWrap/>
            <w:vAlign w:val="bottom"/>
            <w:hideMark/>
          </w:tcPr>
          <w:p w14:paraId="34E118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62.81</w:t>
            </w:r>
          </w:p>
        </w:tc>
        <w:tc>
          <w:tcPr>
            <w:tcW w:w="1417" w:type="dxa"/>
            <w:tcBorders>
              <w:top w:val="nil"/>
            </w:tcBorders>
            <w:shd w:val="clear" w:color="auto" w:fill="E5E5E5" w:themeFill="background1" w:themeFillTint="33"/>
            <w:noWrap/>
            <w:vAlign w:val="bottom"/>
            <w:hideMark/>
          </w:tcPr>
          <w:p w14:paraId="3A661EA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68.00</w:t>
            </w:r>
          </w:p>
        </w:tc>
        <w:tc>
          <w:tcPr>
            <w:tcW w:w="1276" w:type="dxa"/>
            <w:tcBorders>
              <w:top w:val="nil"/>
            </w:tcBorders>
            <w:shd w:val="clear" w:color="auto" w:fill="E5E5E5" w:themeFill="background1" w:themeFillTint="33"/>
            <w:noWrap/>
            <w:vAlign w:val="bottom"/>
            <w:hideMark/>
          </w:tcPr>
          <w:p w14:paraId="7AB276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57.22</w:t>
            </w:r>
          </w:p>
        </w:tc>
      </w:tr>
      <w:tr w:rsidR="00961617" w:rsidRPr="00545C7F" w14:paraId="6804FC50" w14:textId="77777777" w:rsidTr="0020771F">
        <w:trPr>
          <w:trHeight w:val="288"/>
        </w:trPr>
        <w:tc>
          <w:tcPr>
            <w:tcW w:w="1709" w:type="dxa"/>
            <w:tcBorders>
              <w:top w:val="nil"/>
            </w:tcBorders>
            <w:shd w:val="clear" w:color="auto" w:fill="auto"/>
            <w:noWrap/>
            <w:vAlign w:val="bottom"/>
            <w:hideMark/>
          </w:tcPr>
          <w:p w14:paraId="06E2F84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455</w:t>
            </w:r>
          </w:p>
        </w:tc>
        <w:tc>
          <w:tcPr>
            <w:tcW w:w="1567" w:type="dxa"/>
            <w:tcBorders>
              <w:top w:val="nil"/>
            </w:tcBorders>
            <w:shd w:val="clear" w:color="auto" w:fill="auto"/>
            <w:noWrap/>
            <w:vAlign w:val="bottom"/>
            <w:hideMark/>
          </w:tcPr>
          <w:p w14:paraId="4C5C928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63.45</w:t>
            </w:r>
          </w:p>
        </w:tc>
        <w:tc>
          <w:tcPr>
            <w:tcW w:w="1559" w:type="dxa"/>
            <w:tcBorders>
              <w:top w:val="nil"/>
            </w:tcBorders>
            <w:shd w:val="clear" w:color="auto" w:fill="auto"/>
            <w:noWrap/>
            <w:vAlign w:val="bottom"/>
            <w:hideMark/>
          </w:tcPr>
          <w:p w14:paraId="166DA5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64.35</w:t>
            </w:r>
          </w:p>
        </w:tc>
        <w:tc>
          <w:tcPr>
            <w:tcW w:w="1417" w:type="dxa"/>
            <w:tcBorders>
              <w:top w:val="nil"/>
            </w:tcBorders>
            <w:shd w:val="clear" w:color="auto" w:fill="auto"/>
            <w:noWrap/>
            <w:vAlign w:val="bottom"/>
            <w:hideMark/>
          </w:tcPr>
          <w:p w14:paraId="0761A81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69.93</w:t>
            </w:r>
          </w:p>
        </w:tc>
        <w:tc>
          <w:tcPr>
            <w:tcW w:w="1276" w:type="dxa"/>
            <w:tcBorders>
              <w:top w:val="nil"/>
            </w:tcBorders>
            <w:shd w:val="clear" w:color="auto" w:fill="auto"/>
            <w:noWrap/>
            <w:vAlign w:val="bottom"/>
            <w:hideMark/>
          </w:tcPr>
          <w:p w14:paraId="487914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60.11</w:t>
            </w:r>
          </w:p>
        </w:tc>
      </w:tr>
      <w:tr w:rsidR="00961617" w:rsidRPr="00545C7F" w14:paraId="115EDC03" w14:textId="77777777" w:rsidTr="0020771F">
        <w:trPr>
          <w:trHeight w:val="288"/>
        </w:trPr>
        <w:tc>
          <w:tcPr>
            <w:tcW w:w="1709" w:type="dxa"/>
            <w:tcBorders>
              <w:top w:val="nil"/>
            </w:tcBorders>
            <w:shd w:val="clear" w:color="auto" w:fill="E5E5E5" w:themeFill="background1" w:themeFillTint="33"/>
            <w:noWrap/>
            <w:vAlign w:val="bottom"/>
            <w:hideMark/>
          </w:tcPr>
          <w:p w14:paraId="225085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462</w:t>
            </w:r>
          </w:p>
        </w:tc>
        <w:tc>
          <w:tcPr>
            <w:tcW w:w="1567" w:type="dxa"/>
            <w:tcBorders>
              <w:top w:val="nil"/>
            </w:tcBorders>
            <w:shd w:val="clear" w:color="auto" w:fill="E5E5E5" w:themeFill="background1" w:themeFillTint="33"/>
            <w:noWrap/>
            <w:vAlign w:val="bottom"/>
            <w:hideMark/>
          </w:tcPr>
          <w:p w14:paraId="06138E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64.56</w:t>
            </w:r>
          </w:p>
        </w:tc>
        <w:tc>
          <w:tcPr>
            <w:tcW w:w="1559" w:type="dxa"/>
            <w:tcBorders>
              <w:top w:val="nil"/>
            </w:tcBorders>
            <w:shd w:val="clear" w:color="auto" w:fill="E5E5E5" w:themeFill="background1" w:themeFillTint="33"/>
            <w:noWrap/>
            <w:vAlign w:val="bottom"/>
            <w:hideMark/>
          </w:tcPr>
          <w:p w14:paraId="374931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65.78</w:t>
            </w:r>
          </w:p>
        </w:tc>
        <w:tc>
          <w:tcPr>
            <w:tcW w:w="1417" w:type="dxa"/>
            <w:tcBorders>
              <w:top w:val="nil"/>
            </w:tcBorders>
            <w:shd w:val="clear" w:color="auto" w:fill="E5E5E5" w:themeFill="background1" w:themeFillTint="33"/>
            <w:noWrap/>
            <w:vAlign w:val="bottom"/>
            <w:hideMark/>
          </w:tcPr>
          <w:p w14:paraId="0DF01E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71.57</w:t>
            </w:r>
          </w:p>
        </w:tc>
        <w:tc>
          <w:tcPr>
            <w:tcW w:w="1276" w:type="dxa"/>
            <w:tcBorders>
              <w:top w:val="nil"/>
            </w:tcBorders>
            <w:shd w:val="clear" w:color="auto" w:fill="E5E5E5" w:themeFill="background1" w:themeFillTint="33"/>
            <w:noWrap/>
            <w:vAlign w:val="bottom"/>
            <w:hideMark/>
          </w:tcPr>
          <w:p w14:paraId="4FE14D4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62.88</w:t>
            </w:r>
          </w:p>
        </w:tc>
      </w:tr>
      <w:tr w:rsidR="00961617" w:rsidRPr="00545C7F" w14:paraId="5FDE6F73" w14:textId="77777777" w:rsidTr="0020771F">
        <w:trPr>
          <w:trHeight w:val="288"/>
        </w:trPr>
        <w:tc>
          <w:tcPr>
            <w:tcW w:w="1709" w:type="dxa"/>
            <w:tcBorders>
              <w:top w:val="nil"/>
            </w:tcBorders>
            <w:shd w:val="clear" w:color="auto" w:fill="auto"/>
            <w:noWrap/>
            <w:vAlign w:val="bottom"/>
            <w:hideMark/>
          </w:tcPr>
          <w:p w14:paraId="7F2B27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469</w:t>
            </w:r>
          </w:p>
        </w:tc>
        <w:tc>
          <w:tcPr>
            <w:tcW w:w="1567" w:type="dxa"/>
            <w:tcBorders>
              <w:top w:val="nil"/>
            </w:tcBorders>
            <w:shd w:val="clear" w:color="auto" w:fill="auto"/>
            <w:noWrap/>
            <w:vAlign w:val="bottom"/>
            <w:hideMark/>
          </w:tcPr>
          <w:p w14:paraId="3598F22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65.67</w:t>
            </w:r>
          </w:p>
        </w:tc>
        <w:tc>
          <w:tcPr>
            <w:tcW w:w="1559" w:type="dxa"/>
            <w:tcBorders>
              <w:top w:val="nil"/>
            </w:tcBorders>
            <w:shd w:val="clear" w:color="auto" w:fill="auto"/>
            <w:noWrap/>
            <w:vAlign w:val="bottom"/>
            <w:hideMark/>
          </w:tcPr>
          <w:p w14:paraId="478DFF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67.26</w:t>
            </w:r>
          </w:p>
        </w:tc>
        <w:tc>
          <w:tcPr>
            <w:tcW w:w="1417" w:type="dxa"/>
            <w:tcBorders>
              <w:top w:val="nil"/>
            </w:tcBorders>
            <w:shd w:val="clear" w:color="auto" w:fill="auto"/>
            <w:noWrap/>
            <w:vAlign w:val="bottom"/>
            <w:hideMark/>
          </w:tcPr>
          <w:p w14:paraId="2D8658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72.70</w:t>
            </w:r>
          </w:p>
        </w:tc>
        <w:tc>
          <w:tcPr>
            <w:tcW w:w="1276" w:type="dxa"/>
            <w:tcBorders>
              <w:top w:val="nil"/>
            </w:tcBorders>
            <w:shd w:val="clear" w:color="auto" w:fill="auto"/>
            <w:noWrap/>
            <w:vAlign w:val="bottom"/>
            <w:hideMark/>
          </w:tcPr>
          <w:p w14:paraId="160F31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64.63</w:t>
            </w:r>
          </w:p>
        </w:tc>
      </w:tr>
      <w:tr w:rsidR="00961617" w:rsidRPr="00545C7F" w14:paraId="71655F7F" w14:textId="77777777" w:rsidTr="0020771F">
        <w:trPr>
          <w:trHeight w:val="288"/>
        </w:trPr>
        <w:tc>
          <w:tcPr>
            <w:tcW w:w="1709" w:type="dxa"/>
            <w:tcBorders>
              <w:top w:val="nil"/>
            </w:tcBorders>
            <w:shd w:val="clear" w:color="auto" w:fill="E5E5E5" w:themeFill="background1" w:themeFillTint="33"/>
            <w:noWrap/>
            <w:vAlign w:val="bottom"/>
            <w:hideMark/>
          </w:tcPr>
          <w:p w14:paraId="736682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476</w:t>
            </w:r>
          </w:p>
        </w:tc>
        <w:tc>
          <w:tcPr>
            <w:tcW w:w="1567" w:type="dxa"/>
            <w:tcBorders>
              <w:top w:val="nil"/>
            </w:tcBorders>
            <w:shd w:val="clear" w:color="auto" w:fill="E5E5E5" w:themeFill="background1" w:themeFillTint="33"/>
            <w:noWrap/>
            <w:vAlign w:val="bottom"/>
            <w:hideMark/>
          </w:tcPr>
          <w:p w14:paraId="3EA51A9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66.63</w:t>
            </w:r>
          </w:p>
        </w:tc>
        <w:tc>
          <w:tcPr>
            <w:tcW w:w="1559" w:type="dxa"/>
            <w:tcBorders>
              <w:top w:val="nil"/>
            </w:tcBorders>
            <w:shd w:val="clear" w:color="auto" w:fill="E5E5E5" w:themeFill="background1" w:themeFillTint="33"/>
            <w:noWrap/>
            <w:vAlign w:val="bottom"/>
            <w:hideMark/>
          </w:tcPr>
          <w:p w14:paraId="5EF9A1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68.51</w:t>
            </w:r>
          </w:p>
        </w:tc>
        <w:tc>
          <w:tcPr>
            <w:tcW w:w="1417" w:type="dxa"/>
            <w:tcBorders>
              <w:top w:val="nil"/>
            </w:tcBorders>
            <w:shd w:val="clear" w:color="auto" w:fill="E5E5E5" w:themeFill="background1" w:themeFillTint="33"/>
            <w:noWrap/>
            <w:vAlign w:val="bottom"/>
            <w:hideMark/>
          </w:tcPr>
          <w:p w14:paraId="29B43C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74.22</w:t>
            </w:r>
          </w:p>
        </w:tc>
        <w:tc>
          <w:tcPr>
            <w:tcW w:w="1276" w:type="dxa"/>
            <w:tcBorders>
              <w:top w:val="nil"/>
            </w:tcBorders>
            <w:shd w:val="clear" w:color="auto" w:fill="E5E5E5" w:themeFill="background1" w:themeFillTint="33"/>
            <w:noWrap/>
            <w:vAlign w:val="bottom"/>
            <w:hideMark/>
          </w:tcPr>
          <w:p w14:paraId="0275846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66.59</w:t>
            </w:r>
          </w:p>
        </w:tc>
      </w:tr>
      <w:tr w:rsidR="00961617" w:rsidRPr="00545C7F" w14:paraId="16B2F0B6" w14:textId="77777777" w:rsidTr="0020771F">
        <w:trPr>
          <w:trHeight w:val="288"/>
        </w:trPr>
        <w:tc>
          <w:tcPr>
            <w:tcW w:w="1709" w:type="dxa"/>
            <w:tcBorders>
              <w:top w:val="nil"/>
            </w:tcBorders>
            <w:shd w:val="clear" w:color="auto" w:fill="auto"/>
            <w:noWrap/>
            <w:vAlign w:val="bottom"/>
            <w:hideMark/>
          </w:tcPr>
          <w:p w14:paraId="590D838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w:t>
            </w:r>
          </w:p>
        </w:tc>
        <w:tc>
          <w:tcPr>
            <w:tcW w:w="1567" w:type="dxa"/>
            <w:tcBorders>
              <w:top w:val="nil"/>
            </w:tcBorders>
            <w:shd w:val="clear" w:color="auto" w:fill="auto"/>
            <w:noWrap/>
            <w:vAlign w:val="bottom"/>
            <w:hideMark/>
          </w:tcPr>
          <w:p w14:paraId="767C7E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67.64</w:t>
            </w:r>
          </w:p>
        </w:tc>
        <w:tc>
          <w:tcPr>
            <w:tcW w:w="1559" w:type="dxa"/>
            <w:tcBorders>
              <w:top w:val="nil"/>
            </w:tcBorders>
            <w:shd w:val="clear" w:color="auto" w:fill="auto"/>
            <w:noWrap/>
            <w:vAlign w:val="bottom"/>
            <w:hideMark/>
          </w:tcPr>
          <w:p w14:paraId="2116A2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69.52</w:t>
            </w:r>
          </w:p>
        </w:tc>
        <w:tc>
          <w:tcPr>
            <w:tcW w:w="1417" w:type="dxa"/>
            <w:tcBorders>
              <w:top w:val="nil"/>
            </w:tcBorders>
            <w:shd w:val="clear" w:color="auto" w:fill="auto"/>
            <w:noWrap/>
            <w:vAlign w:val="bottom"/>
            <w:hideMark/>
          </w:tcPr>
          <w:p w14:paraId="7C7253A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75.38</w:t>
            </w:r>
          </w:p>
        </w:tc>
        <w:tc>
          <w:tcPr>
            <w:tcW w:w="1276" w:type="dxa"/>
            <w:tcBorders>
              <w:top w:val="nil"/>
            </w:tcBorders>
            <w:shd w:val="clear" w:color="auto" w:fill="auto"/>
            <w:noWrap/>
            <w:vAlign w:val="bottom"/>
            <w:hideMark/>
          </w:tcPr>
          <w:p w14:paraId="48FFC1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68.58</w:t>
            </w:r>
          </w:p>
        </w:tc>
      </w:tr>
      <w:tr w:rsidR="00961617" w:rsidRPr="00545C7F" w14:paraId="524D0FFE" w14:textId="77777777" w:rsidTr="0020771F">
        <w:trPr>
          <w:trHeight w:val="288"/>
        </w:trPr>
        <w:tc>
          <w:tcPr>
            <w:tcW w:w="1709" w:type="dxa"/>
            <w:tcBorders>
              <w:top w:val="nil"/>
            </w:tcBorders>
            <w:shd w:val="clear" w:color="auto" w:fill="E5E5E5" w:themeFill="background1" w:themeFillTint="33"/>
            <w:noWrap/>
            <w:vAlign w:val="bottom"/>
            <w:hideMark/>
          </w:tcPr>
          <w:p w14:paraId="69C93F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490</w:t>
            </w:r>
          </w:p>
        </w:tc>
        <w:tc>
          <w:tcPr>
            <w:tcW w:w="1567" w:type="dxa"/>
            <w:tcBorders>
              <w:top w:val="nil"/>
            </w:tcBorders>
            <w:shd w:val="clear" w:color="auto" w:fill="E5E5E5" w:themeFill="background1" w:themeFillTint="33"/>
            <w:noWrap/>
            <w:vAlign w:val="bottom"/>
            <w:hideMark/>
          </w:tcPr>
          <w:p w14:paraId="689D77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68.64</w:t>
            </w:r>
          </w:p>
        </w:tc>
        <w:tc>
          <w:tcPr>
            <w:tcW w:w="1559" w:type="dxa"/>
            <w:tcBorders>
              <w:top w:val="nil"/>
            </w:tcBorders>
            <w:shd w:val="clear" w:color="auto" w:fill="E5E5E5" w:themeFill="background1" w:themeFillTint="33"/>
            <w:noWrap/>
            <w:vAlign w:val="bottom"/>
            <w:hideMark/>
          </w:tcPr>
          <w:p w14:paraId="7C0772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70.45</w:t>
            </w:r>
          </w:p>
        </w:tc>
        <w:tc>
          <w:tcPr>
            <w:tcW w:w="1417" w:type="dxa"/>
            <w:tcBorders>
              <w:top w:val="nil"/>
            </w:tcBorders>
            <w:shd w:val="clear" w:color="auto" w:fill="E5E5E5" w:themeFill="background1" w:themeFillTint="33"/>
            <w:noWrap/>
            <w:vAlign w:val="bottom"/>
            <w:hideMark/>
          </w:tcPr>
          <w:p w14:paraId="44D2376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76.78</w:t>
            </w:r>
          </w:p>
        </w:tc>
        <w:tc>
          <w:tcPr>
            <w:tcW w:w="1276" w:type="dxa"/>
            <w:tcBorders>
              <w:top w:val="nil"/>
            </w:tcBorders>
            <w:shd w:val="clear" w:color="auto" w:fill="E5E5E5" w:themeFill="background1" w:themeFillTint="33"/>
            <w:noWrap/>
            <w:vAlign w:val="bottom"/>
            <w:hideMark/>
          </w:tcPr>
          <w:p w14:paraId="4FA399B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70.43</w:t>
            </w:r>
          </w:p>
        </w:tc>
      </w:tr>
      <w:tr w:rsidR="00961617" w:rsidRPr="00545C7F" w14:paraId="6F1CBFD6" w14:textId="77777777" w:rsidTr="0020771F">
        <w:trPr>
          <w:trHeight w:val="288"/>
        </w:trPr>
        <w:tc>
          <w:tcPr>
            <w:tcW w:w="1709" w:type="dxa"/>
            <w:tcBorders>
              <w:top w:val="nil"/>
            </w:tcBorders>
            <w:shd w:val="clear" w:color="auto" w:fill="auto"/>
            <w:noWrap/>
            <w:vAlign w:val="bottom"/>
            <w:hideMark/>
          </w:tcPr>
          <w:p w14:paraId="716B6F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497</w:t>
            </w:r>
          </w:p>
        </w:tc>
        <w:tc>
          <w:tcPr>
            <w:tcW w:w="1567" w:type="dxa"/>
            <w:tcBorders>
              <w:top w:val="nil"/>
            </w:tcBorders>
            <w:shd w:val="clear" w:color="auto" w:fill="auto"/>
            <w:noWrap/>
            <w:vAlign w:val="bottom"/>
            <w:hideMark/>
          </w:tcPr>
          <w:p w14:paraId="41A313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69.57</w:t>
            </w:r>
          </w:p>
        </w:tc>
        <w:tc>
          <w:tcPr>
            <w:tcW w:w="1559" w:type="dxa"/>
            <w:tcBorders>
              <w:top w:val="nil"/>
            </w:tcBorders>
            <w:shd w:val="clear" w:color="auto" w:fill="auto"/>
            <w:noWrap/>
            <w:vAlign w:val="bottom"/>
            <w:hideMark/>
          </w:tcPr>
          <w:p w14:paraId="282BD2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71.37</w:t>
            </w:r>
          </w:p>
        </w:tc>
        <w:tc>
          <w:tcPr>
            <w:tcW w:w="1417" w:type="dxa"/>
            <w:tcBorders>
              <w:top w:val="nil"/>
            </w:tcBorders>
            <w:shd w:val="clear" w:color="auto" w:fill="auto"/>
            <w:noWrap/>
            <w:vAlign w:val="bottom"/>
            <w:hideMark/>
          </w:tcPr>
          <w:p w14:paraId="3440C7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77.98</w:t>
            </w:r>
          </w:p>
        </w:tc>
        <w:tc>
          <w:tcPr>
            <w:tcW w:w="1276" w:type="dxa"/>
            <w:tcBorders>
              <w:top w:val="nil"/>
            </w:tcBorders>
            <w:shd w:val="clear" w:color="auto" w:fill="auto"/>
            <w:noWrap/>
            <w:vAlign w:val="bottom"/>
            <w:hideMark/>
          </w:tcPr>
          <w:p w14:paraId="3420F3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71.19</w:t>
            </w:r>
          </w:p>
        </w:tc>
      </w:tr>
      <w:tr w:rsidR="00961617" w:rsidRPr="00545C7F" w14:paraId="35CB1AF6" w14:textId="77777777" w:rsidTr="0020771F">
        <w:trPr>
          <w:trHeight w:val="288"/>
        </w:trPr>
        <w:tc>
          <w:tcPr>
            <w:tcW w:w="1709" w:type="dxa"/>
            <w:tcBorders>
              <w:top w:val="nil"/>
            </w:tcBorders>
            <w:shd w:val="clear" w:color="auto" w:fill="E5E5E5" w:themeFill="background1" w:themeFillTint="33"/>
            <w:noWrap/>
            <w:vAlign w:val="bottom"/>
            <w:hideMark/>
          </w:tcPr>
          <w:p w14:paraId="3CF856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504</w:t>
            </w:r>
          </w:p>
        </w:tc>
        <w:tc>
          <w:tcPr>
            <w:tcW w:w="1567" w:type="dxa"/>
            <w:tcBorders>
              <w:top w:val="nil"/>
            </w:tcBorders>
            <w:shd w:val="clear" w:color="auto" w:fill="E5E5E5" w:themeFill="background1" w:themeFillTint="33"/>
            <w:noWrap/>
            <w:vAlign w:val="bottom"/>
            <w:hideMark/>
          </w:tcPr>
          <w:p w14:paraId="1E0AEE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70.47</w:t>
            </w:r>
          </w:p>
        </w:tc>
        <w:tc>
          <w:tcPr>
            <w:tcW w:w="1559" w:type="dxa"/>
            <w:tcBorders>
              <w:top w:val="nil"/>
            </w:tcBorders>
            <w:shd w:val="clear" w:color="auto" w:fill="E5E5E5" w:themeFill="background1" w:themeFillTint="33"/>
            <w:noWrap/>
            <w:vAlign w:val="bottom"/>
            <w:hideMark/>
          </w:tcPr>
          <w:p w14:paraId="247D7D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72.01</w:t>
            </w:r>
          </w:p>
        </w:tc>
        <w:tc>
          <w:tcPr>
            <w:tcW w:w="1417" w:type="dxa"/>
            <w:tcBorders>
              <w:top w:val="nil"/>
            </w:tcBorders>
            <w:shd w:val="clear" w:color="auto" w:fill="E5E5E5" w:themeFill="background1" w:themeFillTint="33"/>
            <w:noWrap/>
            <w:vAlign w:val="bottom"/>
            <w:hideMark/>
          </w:tcPr>
          <w:p w14:paraId="7D4FEAA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78.96</w:t>
            </w:r>
          </w:p>
        </w:tc>
        <w:tc>
          <w:tcPr>
            <w:tcW w:w="1276" w:type="dxa"/>
            <w:tcBorders>
              <w:top w:val="nil"/>
            </w:tcBorders>
            <w:shd w:val="clear" w:color="auto" w:fill="E5E5E5" w:themeFill="background1" w:themeFillTint="33"/>
            <w:noWrap/>
            <w:vAlign w:val="bottom"/>
            <w:hideMark/>
          </w:tcPr>
          <w:p w14:paraId="7DEADA7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72.16</w:t>
            </w:r>
          </w:p>
        </w:tc>
      </w:tr>
      <w:tr w:rsidR="00961617" w:rsidRPr="00545C7F" w14:paraId="5E50B76A" w14:textId="77777777" w:rsidTr="0020771F">
        <w:trPr>
          <w:trHeight w:val="288"/>
        </w:trPr>
        <w:tc>
          <w:tcPr>
            <w:tcW w:w="1709" w:type="dxa"/>
            <w:tcBorders>
              <w:top w:val="nil"/>
            </w:tcBorders>
            <w:shd w:val="clear" w:color="auto" w:fill="auto"/>
            <w:noWrap/>
            <w:vAlign w:val="bottom"/>
            <w:hideMark/>
          </w:tcPr>
          <w:p w14:paraId="4BD617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511</w:t>
            </w:r>
          </w:p>
        </w:tc>
        <w:tc>
          <w:tcPr>
            <w:tcW w:w="1567" w:type="dxa"/>
            <w:tcBorders>
              <w:top w:val="nil"/>
            </w:tcBorders>
            <w:shd w:val="clear" w:color="auto" w:fill="auto"/>
            <w:noWrap/>
            <w:vAlign w:val="bottom"/>
            <w:hideMark/>
          </w:tcPr>
          <w:p w14:paraId="6F45C6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71.29</w:t>
            </w:r>
          </w:p>
        </w:tc>
        <w:tc>
          <w:tcPr>
            <w:tcW w:w="1559" w:type="dxa"/>
            <w:tcBorders>
              <w:top w:val="nil"/>
            </w:tcBorders>
            <w:shd w:val="clear" w:color="auto" w:fill="auto"/>
            <w:noWrap/>
            <w:vAlign w:val="bottom"/>
            <w:hideMark/>
          </w:tcPr>
          <w:p w14:paraId="62EEC2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72.78</w:t>
            </w:r>
          </w:p>
        </w:tc>
        <w:tc>
          <w:tcPr>
            <w:tcW w:w="1417" w:type="dxa"/>
            <w:tcBorders>
              <w:top w:val="nil"/>
            </w:tcBorders>
            <w:shd w:val="clear" w:color="auto" w:fill="auto"/>
            <w:noWrap/>
            <w:vAlign w:val="bottom"/>
            <w:hideMark/>
          </w:tcPr>
          <w:p w14:paraId="7CB141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80.02</w:t>
            </w:r>
          </w:p>
        </w:tc>
        <w:tc>
          <w:tcPr>
            <w:tcW w:w="1276" w:type="dxa"/>
            <w:tcBorders>
              <w:top w:val="nil"/>
            </w:tcBorders>
            <w:shd w:val="clear" w:color="auto" w:fill="auto"/>
            <w:noWrap/>
            <w:vAlign w:val="bottom"/>
            <w:hideMark/>
          </w:tcPr>
          <w:p w14:paraId="37193D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73.55</w:t>
            </w:r>
          </w:p>
        </w:tc>
      </w:tr>
      <w:tr w:rsidR="00961617" w:rsidRPr="00545C7F" w14:paraId="456927AB" w14:textId="77777777" w:rsidTr="0020771F">
        <w:trPr>
          <w:trHeight w:val="288"/>
        </w:trPr>
        <w:tc>
          <w:tcPr>
            <w:tcW w:w="1709" w:type="dxa"/>
            <w:tcBorders>
              <w:top w:val="nil"/>
            </w:tcBorders>
            <w:shd w:val="clear" w:color="auto" w:fill="E5E5E5" w:themeFill="background1" w:themeFillTint="33"/>
            <w:noWrap/>
            <w:vAlign w:val="bottom"/>
            <w:hideMark/>
          </w:tcPr>
          <w:p w14:paraId="599949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518</w:t>
            </w:r>
          </w:p>
        </w:tc>
        <w:tc>
          <w:tcPr>
            <w:tcW w:w="1567" w:type="dxa"/>
            <w:tcBorders>
              <w:top w:val="nil"/>
            </w:tcBorders>
            <w:shd w:val="clear" w:color="auto" w:fill="E5E5E5" w:themeFill="background1" w:themeFillTint="33"/>
            <w:noWrap/>
            <w:vAlign w:val="bottom"/>
            <w:hideMark/>
          </w:tcPr>
          <w:p w14:paraId="68A7A3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72.10</w:t>
            </w:r>
          </w:p>
        </w:tc>
        <w:tc>
          <w:tcPr>
            <w:tcW w:w="1559" w:type="dxa"/>
            <w:tcBorders>
              <w:top w:val="nil"/>
            </w:tcBorders>
            <w:shd w:val="clear" w:color="auto" w:fill="E5E5E5" w:themeFill="background1" w:themeFillTint="33"/>
            <w:noWrap/>
            <w:vAlign w:val="bottom"/>
            <w:hideMark/>
          </w:tcPr>
          <w:p w14:paraId="023B3A3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73.56</w:t>
            </w:r>
          </w:p>
        </w:tc>
        <w:tc>
          <w:tcPr>
            <w:tcW w:w="1417" w:type="dxa"/>
            <w:tcBorders>
              <w:top w:val="nil"/>
            </w:tcBorders>
            <w:shd w:val="clear" w:color="auto" w:fill="E5E5E5" w:themeFill="background1" w:themeFillTint="33"/>
            <w:noWrap/>
            <w:vAlign w:val="bottom"/>
            <w:hideMark/>
          </w:tcPr>
          <w:p w14:paraId="3533F9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80.76</w:t>
            </w:r>
          </w:p>
        </w:tc>
        <w:tc>
          <w:tcPr>
            <w:tcW w:w="1276" w:type="dxa"/>
            <w:tcBorders>
              <w:top w:val="nil"/>
            </w:tcBorders>
            <w:shd w:val="clear" w:color="auto" w:fill="E5E5E5" w:themeFill="background1" w:themeFillTint="33"/>
            <w:noWrap/>
            <w:vAlign w:val="bottom"/>
            <w:hideMark/>
          </w:tcPr>
          <w:p w14:paraId="25FBBC0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74.35</w:t>
            </w:r>
          </w:p>
        </w:tc>
      </w:tr>
      <w:tr w:rsidR="00961617" w:rsidRPr="00545C7F" w14:paraId="76F3DE22" w14:textId="77777777" w:rsidTr="0020771F">
        <w:trPr>
          <w:trHeight w:val="288"/>
        </w:trPr>
        <w:tc>
          <w:tcPr>
            <w:tcW w:w="1709" w:type="dxa"/>
            <w:tcBorders>
              <w:top w:val="nil"/>
            </w:tcBorders>
            <w:shd w:val="clear" w:color="auto" w:fill="auto"/>
            <w:noWrap/>
            <w:vAlign w:val="bottom"/>
            <w:hideMark/>
          </w:tcPr>
          <w:p w14:paraId="6E239D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525</w:t>
            </w:r>
          </w:p>
        </w:tc>
        <w:tc>
          <w:tcPr>
            <w:tcW w:w="1567" w:type="dxa"/>
            <w:tcBorders>
              <w:top w:val="nil"/>
            </w:tcBorders>
            <w:shd w:val="clear" w:color="auto" w:fill="auto"/>
            <w:noWrap/>
            <w:vAlign w:val="bottom"/>
            <w:hideMark/>
          </w:tcPr>
          <w:p w14:paraId="67684F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72.92</w:t>
            </w:r>
          </w:p>
        </w:tc>
        <w:tc>
          <w:tcPr>
            <w:tcW w:w="1559" w:type="dxa"/>
            <w:tcBorders>
              <w:top w:val="nil"/>
            </w:tcBorders>
            <w:shd w:val="clear" w:color="auto" w:fill="auto"/>
            <w:noWrap/>
            <w:vAlign w:val="bottom"/>
            <w:hideMark/>
          </w:tcPr>
          <w:p w14:paraId="27BCFA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74.22</w:t>
            </w:r>
          </w:p>
        </w:tc>
        <w:tc>
          <w:tcPr>
            <w:tcW w:w="1417" w:type="dxa"/>
            <w:tcBorders>
              <w:top w:val="nil"/>
            </w:tcBorders>
            <w:shd w:val="clear" w:color="auto" w:fill="auto"/>
            <w:noWrap/>
            <w:vAlign w:val="bottom"/>
            <w:hideMark/>
          </w:tcPr>
          <w:p w14:paraId="17E950A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81.65</w:t>
            </w:r>
          </w:p>
        </w:tc>
        <w:tc>
          <w:tcPr>
            <w:tcW w:w="1276" w:type="dxa"/>
            <w:tcBorders>
              <w:top w:val="nil"/>
            </w:tcBorders>
            <w:shd w:val="clear" w:color="auto" w:fill="auto"/>
            <w:noWrap/>
            <w:vAlign w:val="bottom"/>
            <w:hideMark/>
          </w:tcPr>
          <w:p w14:paraId="6CC905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75.16</w:t>
            </w:r>
          </w:p>
        </w:tc>
      </w:tr>
      <w:tr w:rsidR="00961617" w:rsidRPr="00545C7F" w14:paraId="07DE7EC5" w14:textId="77777777" w:rsidTr="0020771F">
        <w:trPr>
          <w:trHeight w:val="288"/>
        </w:trPr>
        <w:tc>
          <w:tcPr>
            <w:tcW w:w="1709" w:type="dxa"/>
            <w:tcBorders>
              <w:top w:val="nil"/>
            </w:tcBorders>
            <w:shd w:val="clear" w:color="auto" w:fill="E5E5E5" w:themeFill="background1" w:themeFillTint="33"/>
            <w:noWrap/>
            <w:vAlign w:val="bottom"/>
            <w:hideMark/>
          </w:tcPr>
          <w:p w14:paraId="049DA4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532</w:t>
            </w:r>
          </w:p>
        </w:tc>
        <w:tc>
          <w:tcPr>
            <w:tcW w:w="1567" w:type="dxa"/>
            <w:tcBorders>
              <w:top w:val="nil"/>
            </w:tcBorders>
            <w:shd w:val="clear" w:color="auto" w:fill="E5E5E5" w:themeFill="background1" w:themeFillTint="33"/>
            <w:noWrap/>
            <w:vAlign w:val="bottom"/>
            <w:hideMark/>
          </w:tcPr>
          <w:p w14:paraId="2EB04CD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73.65</w:t>
            </w:r>
          </w:p>
        </w:tc>
        <w:tc>
          <w:tcPr>
            <w:tcW w:w="1559" w:type="dxa"/>
            <w:tcBorders>
              <w:top w:val="nil"/>
            </w:tcBorders>
            <w:shd w:val="clear" w:color="auto" w:fill="E5E5E5" w:themeFill="background1" w:themeFillTint="33"/>
            <w:noWrap/>
            <w:vAlign w:val="bottom"/>
            <w:hideMark/>
          </w:tcPr>
          <w:p w14:paraId="3C8146B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74.94</w:t>
            </w:r>
          </w:p>
        </w:tc>
        <w:tc>
          <w:tcPr>
            <w:tcW w:w="1417" w:type="dxa"/>
            <w:tcBorders>
              <w:top w:val="nil"/>
            </w:tcBorders>
            <w:shd w:val="clear" w:color="auto" w:fill="E5E5E5" w:themeFill="background1" w:themeFillTint="33"/>
            <w:noWrap/>
            <w:vAlign w:val="bottom"/>
            <w:hideMark/>
          </w:tcPr>
          <w:p w14:paraId="468306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82.29</w:t>
            </w:r>
          </w:p>
        </w:tc>
        <w:tc>
          <w:tcPr>
            <w:tcW w:w="1276" w:type="dxa"/>
            <w:tcBorders>
              <w:top w:val="nil"/>
            </w:tcBorders>
            <w:shd w:val="clear" w:color="auto" w:fill="E5E5E5" w:themeFill="background1" w:themeFillTint="33"/>
            <w:noWrap/>
            <w:vAlign w:val="bottom"/>
            <w:hideMark/>
          </w:tcPr>
          <w:p w14:paraId="2BAC30F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75.79</w:t>
            </w:r>
          </w:p>
        </w:tc>
      </w:tr>
      <w:tr w:rsidR="00961617" w:rsidRPr="00545C7F" w14:paraId="1016E168" w14:textId="77777777" w:rsidTr="0020771F">
        <w:trPr>
          <w:trHeight w:val="288"/>
        </w:trPr>
        <w:tc>
          <w:tcPr>
            <w:tcW w:w="1709" w:type="dxa"/>
            <w:tcBorders>
              <w:top w:val="nil"/>
            </w:tcBorders>
            <w:shd w:val="clear" w:color="auto" w:fill="auto"/>
            <w:noWrap/>
            <w:vAlign w:val="bottom"/>
            <w:hideMark/>
          </w:tcPr>
          <w:p w14:paraId="7DB210A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539</w:t>
            </w:r>
          </w:p>
        </w:tc>
        <w:tc>
          <w:tcPr>
            <w:tcW w:w="1567" w:type="dxa"/>
            <w:tcBorders>
              <w:top w:val="nil"/>
            </w:tcBorders>
            <w:shd w:val="clear" w:color="auto" w:fill="auto"/>
            <w:noWrap/>
            <w:vAlign w:val="bottom"/>
            <w:hideMark/>
          </w:tcPr>
          <w:p w14:paraId="33359C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74.47</w:t>
            </w:r>
          </w:p>
        </w:tc>
        <w:tc>
          <w:tcPr>
            <w:tcW w:w="1559" w:type="dxa"/>
            <w:tcBorders>
              <w:top w:val="nil"/>
            </w:tcBorders>
            <w:shd w:val="clear" w:color="auto" w:fill="auto"/>
            <w:noWrap/>
            <w:vAlign w:val="bottom"/>
            <w:hideMark/>
          </w:tcPr>
          <w:p w14:paraId="2AB91F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75.74</w:t>
            </w:r>
          </w:p>
        </w:tc>
        <w:tc>
          <w:tcPr>
            <w:tcW w:w="1417" w:type="dxa"/>
            <w:tcBorders>
              <w:top w:val="nil"/>
            </w:tcBorders>
            <w:shd w:val="clear" w:color="auto" w:fill="auto"/>
            <w:noWrap/>
            <w:vAlign w:val="bottom"/>
            <w:hideMark/>
          </w:tcPr>
          <w:p w14:paraId="1B094E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83.28</w:t>
            </w:r>
          </w:p>
        </w:tc>
        <w:tc>
          <w:tcPr>
            <w:tcW w:w="1276" w:type="dxa"/>
            <w:tcBorders>
              <w:top w:val="nil"/>
            </w:tcBorders>
            <w:shd w:val="clear" w:color="auto" w:fill="auto"/>
            <w:noWrap/>
            <w:vAlign w:val="bottom"/>
            <w:hideMark/>
          </w:tcPr>
          <w:p w14:paraId="4F0F11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76.65</w:t>
            </w:r>
          </w:p>
        </w:tc>
      </w:tr>
      <w:tr w:rsidR="00961617" w:rsidRPr="00545C7F" w14:paraId="5B1819FA" w14:textId="77777777" w:rsidTr="0020771F">
        <w:trPr>
          <w:trHeight w:val="288"/>
        </w:trPr>
        <w:tc>
          <w:tcPr>
            <w:tcW w:w="1709" w:type="dxa"/>
            <w:tcBorders>
              <w:top w:val="nil"/>
            </w:tcBorders>
            <w:shd w:val="clear" w:color="auto" w:fill="E5E5E5" w:themeFill="background1" w:themeFillTint="33"/>
            <w:noWrap/>
            <w:vAlign w:val="bottom"/>
            <w:hideMark/>
          </w:tcPr>
          <w:p w14:paraId="58D21B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546</w:t>
            </w:r>
          </w:p>
        </w:tc>
        <w:tc>
          <w:tcPr>
            <w:tcW w:w="1567" w:type="dxa"/>
            <w:tcBorders>
              <w:top w:val="nil"/>
            </w:tcBorders>
            <w:shd w:val="clear" w:color="auto" w:fill="E5E5E5" w:themeFill="background1" w:themeFillTint="33"/>
            <w:noWrap/>
            <w:vAlign w:val="bottom"/>
            <w:hideMark/>
          </w:tcPr>
          <w:p w14:paraId="0F887E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75.17</w:t>
            </w:r>
          </w:p>
        </w:tc>
        <w:tc>
          <w:tcPr>
            <w:tcW w:w="1559" w:type="dxa"/>
            <w:tcBorders>
              <w:top w:val="nil"/>
            </w:tcBorders>
            <w:shd w:val="clear" w:color="auto" w:fill="E5E5E5" w:themeFill="background1" w:themeFillTint="33"/>
            <w:noWrap/>
            <w:vAlign w:val="bottom"/>
            <w:hideMark/>
          </w:tcPr>
          <w:p w14:paraId="025C24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76.73</w:t>
            </w:r>
          </w:p>
        </w:tc>
        <w:tc>
          <w:tcPr>
            <w:tcW w:w="1417" w:type="dxa"/>
            <w:tcBorders>
              <w:top w:val="nil"/>
            </w:tcBorders>
            <w:shd w:val="clear" w:color="auto" w:fill="E5E5E5" w:themeFill="background1" w:themeFillTint="33"/>
            <w:noWrap/>
            <w:vAlign w:val="bottom"/>
            <w:hideMark/>
          </w:tcPr>
          <w:p w14:paraId="2403C5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83.89</w:t>
            </w:r>
          </w:p>
        </w:tc>
        <w:tc>
          <w:tcPr>
            <w:tcW w:w="1276" w:type="dxa"/>
            <w:tcBorders>
              <w:top w:val="nil"/>
            </w:tcBorders>
            <w:shd w:val="clear" w:color="auto" w:fill="E5E5E5" w:themeFill="background1" w:themeFillTint="33"/>
            <w:noWrap/>
            <w:vAlign w:val="bottom"/>
            <w:hideMark/>
          </w:tcPr>
          <w:p w14:paraId="3FC3F1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76.87</w:t>
            </w:r>
          </w:p>
        </w:tc>
      </w:tr>
      <w:tr w:rsidR="00961617" w:rsidRPr="00545C7F" w14:paraId="3EAD8E77" w14:textId="77777777" w:rsidTr="0020771F">
        <w:trPr>
          <w:trHeight w:val="288"/>
        </w:trPr>
        <w:tc>
          <w:tcPr>
            <w:tcW w:w="1709" w:type="dxa"/>
            <w:tcBorders>
              <w:top w:val="nil"/>
            </w:tcBorders>
            <w:shd w:val="clear" w:color="auto" w:fill="auto"/>
            <w:noWrap/>
            <w:vAlign w:val="bottom"/>
            <w:hideMark/>
          </w:tcPr>
          <w:p w14:paraId="46A969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553</w:t>
            </w:r>
          </w:p>
        </w:tc>
        <w:tc>
          <w:tcPr>
            <w:tcW w:w="1567" w:type="dxa"/>
            <w:tcBorders>
              <w:top w:val="nil"/>
            </w:tcBorders>
            <w:shd w:val="clear" w:color="auto" w:fill="auto"/>
            <w:noWrap/>
            <w:vAlign w:val="bottom"/>
            <w:hideMark/>
          </w:tcPr>
          <w:p w14:paraId="6C4BEEF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75.96</w:t>
            </w:r>
          </w:p>
        </w:tc>
        <w:tc>
          <w:tcPr>
            <w:tcW w:w="1559" w:type="dxa"/>
            <w:tcBorders>
              <w:top w:val="nil"/>
            </w:tcBorders>
            <w:shd w:val="clear" w:color="auto" w:fill="auto"/>
            <w:noWrap/>
            <w:vAlign w:val="bottom"/>
            <w:hideMark/>
          </w:tcPr>
          <w:p w14:paraId="381AE38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77.41</w:t>
            </w:r>
          </w:p>
        </w:tc>
        <w:tc>
          <w:tcPr>
            <w:tcW w:w="1417" w:type="dxa"/>
            <w:tcBorders>
              <w:top w:val="nil"/>
            </w:tcBorders>
            <w:shd w:val="clear" w:color="auto" w:fill="auto"/>
            <w:noWrap/>
            <w:vAlign w:val="bottom"/>
            <w:hideMark/>
          </w:tcPr>
          <w:p w14:paraId="7A987B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84.60</w:t>
            </w:r>
          </w:p>
        </w:tc>
        <w:tc>
          <w:tcPr>
            <w:tcW w:w="1276" w:type="dxa"/>
            <w:tcBorders>
              <w:top w:val="nil"/>
            </w:tcBorders>
            <w:shd w:val="clear" w:color="auto" w:fill="auto"/>
            <w:noWrap/>
            <w:vAlign w:val="bottom"/>
            <w:hideMark/>
          </w:tcPr>
          <w:p w14:paraId="46B591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77.56</w:t>
            </w:r>
          </w:p>
        </w:tc>
      </w:tr>
      <w:tr w:rsidR="00961617" w:rsidRPr="00545C7F" w14:paraId="216D388A" w14:textId="77777777" w:rsidTr="0020771F">
        <w:trPr>
          <w:trHeight w:val="288"/>
        </w:trPr>
        <w:tc>
          <w:tcPr>
            <w:tcW w:w="1709" w:type="dxa"/>
            <w:tcBorders>
              <w:top w:val="nil"/>
            </w:tcBorders>
            <w:shd w:val="clear" w:color="auto" w:fill="E5E5E5" w:themeFill="background1" w:themeFillTint="33"/>
            <w:noWrap/>
            <w:vAlign w:val="bottom"/>
            <w:hideMark/>
          </w:tcPr>
          <w:p w14:paraId="233F4D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560</w:t>
            </w:r>
          </w:p>
        </w:tc>
        <w:tc>
          <w:tcPr>
            <w:tcW w:w="1567" w:type="dxa"/>
            <w:tcBorders>
              <w:top w:val="nil"/>
            </w:tcBorders>
            <w:shd w:val="clear" w:color="auto" w:fill="E5E5E5" w:themeFill="background1" w:themeFillTint="33"/>
            <w:noWrap/>
            <w:vAlign w:val="bottom"/>
            <w:hideMark/>
          </w:tcPr>
          <w:p w14:paraId="4E9FA5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76.65</w:t>
            </w:r>
          </w:p>
        </w:tc>
        <w:tc>
          <w:tcPr>
            <w:tcW w:w="1559" w:type="dxa"/>
            <w:tcBorders>
              <w:top w:val="nil"/>
            </w:tcBorders>
            <w:shd w:val="clear" w:color="auto" w:fill="E5E5E5" w:themeFill="background1" w:themeFillTint="33"/>
            <w:noWrap/>
            <w:vAlign w:val="bottom"/>
            <w:hideMark/>
          </w:tcPr>
          <w:p w14:paraId="5DA94AF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78.07</w:t>
            </w:r>
          </w:p>
        </w:tc>
        <w:tc>
          <w:tcPr>
            <w:tcW w:w="1417" w:type="dxa"/>
            <w:tcBorders>
              <w:top w:val="nil"/>
            </w:tcBorders>
            <w:shd w:val="clear" w:color="auto" w:fill="E5E5E5" w:themeFill="background1" w:themeFillTint="33"/>
            <w:noWrap/>
            <w:vAlign w:val="bottom"/>
            <w:hideMark/>
          </w:tcPr>
          <w:p w14:paraId="42AEED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85.19</w:t>
            </w:r>
          </w:p>
        </w:tc>
        <w:tc>
          <w:tcPr>
            <w:tcW w:w="1276" w:type="dxa"/>
            <w:tcBorders>
              <w:top w:val="nil"/>
            </w:tcBorders>
            <w:shd w:val="clear" w:color="auto" w:fill="E5E5E5" w:themeFill="background1" w:themeFillTint="33"/>
            <w:noWrap/>
            <w:vAlign w:val="bottom"/>
            <w:hideMark/>
          </w:tcPr>
          <w:p w14:paraId="4BCA0D4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79.19</w:t>
            </w:r>
          </w:p>
        </w:tc>
      </w:tr>
      <w:tr w:rsidR="00961617" w:rsidRPr="00545C7F" w14:paraId="3643A1A7" w14:textId="77777777" w:rsidTr="0020771F">
        <w:trPr>
          <w:trHeight w:val="288"/>
        </w:trPr>
        <w:tc>
          <w:tcPr>
            <w:tcW w:w="1709" w:type="dxa"/>
            <w:tcBorders>
              <w:top w:val="nil"/>
            </w:tcBorders>
            <w:shd w:val="clear" w:color="auto" w:fill="auto"/>
            <w:noWrap/>
            <w:vAlign w:val="bottom"/>
            <w:hideMark/>
          </w:tcPr>
          <w:p w14:paraId="761EB96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567</w:t>
            </w:r>
          </w:p>
        </w:tc>
        <w:tc>
          <w:tcPr>
            <w:tcW w:w="1567" w:type="dxa"/>
            <w:tcBorders>
              <w:top w:val="nil"/>
            </w:tcBorders>
            <w:shd w:val="clear" w:color="auto" w:fill="auto"/>
            <w:noWrap/>
            <w:vAlign w:val="bottom"/>
            <w:hideMark/>
          </w:tcPr>
          <w:p w14:paraId="13BAC7B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77.32</w:t>
            </w:r>
          </w:p>
        </w:tc>
        <w:tc>
          <w:tcPr>
            <w:tcW w:w="1559" w:type="dxa"/>
            <w:tcBorders>
              <w:top w:val="nil"/>
            </w:tcBorders>
            <w:shd w:val="clear" w:color="auto" w:fill="auto"/>
            <w:noWrap/>
            <w:vAlign w:val="bottom"/>
            <w:hideMark/>
          </w:tcPr>
          <w:p w14:paraId="7F8D36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78.80</w:t>
            </w:r>
          </w:p>
        </w:tc>
        <w:tc>
          <w:tcPr>
            <w:tcW w:w="1417" w:type="dxa"/>
            <w:tcBorders>
              <w:top w:val="nil"/>
            </w:tcBorders>
            <w:shd w:val="clear" w:color="auto" w:fill="auto"/>
            <w:noWrap/>
            <w:vAlign w:val="bottom"/>
            <w:hideMark/>
          </w:tcPr>
          <w:p w14:paraId="677AAAE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85.58</w:t>
            </w:r>
          </w:p>
        </w:tc>
        <w:tc>
          <w:tcPr>
            <w:tcW w:w="1276" w:type="dxa"/>
            <w:tcBorders>
              <w:top w:val="nil"/>
            </w:tcBorders>
            <w:shd w:val="clear" w:color="auto" w:fill="auto"/>
            <w:noWrap/>
            <w:vAlign w:val="bottom"/>
            <w:hideMark/>
          </w:tcPr>
          <w:p w14:paraId="67FB7EF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80.18</w:t>
            </w:r>
          </w:p>
        </w:tc>
      </w:tr>
      <w:tr w:rsidR="00961617" w:rsidRPr="00545C7F" w14:paraId="47F2ED58" w14:textId="77777777" w:rsidTr="0020771F">
        <w:trPr>
          <w:trHeight w:val="288"/>
        </w:trPr>
        <w:tc>
          <w:tcPr>
            <w:tcW w:w="1709" w:type="dxa"/>
            <w:tcBorders>
              <w:top w:val="nil"/>
            </w:tcBorders>
            <w:shd w:val="clear" w:color="auto" w:fill="E5E5E5" w:themeFill="background1" w:themeFillTint="33"/>
            <w:noWrap/>
            <w:vAlign w:val="bottom"/>
            <w:hideMark/>
          </w:tcPr>
          <w:p w14:paraId="5B9D53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574</w:t>
            </w:r>
          </w:p>
        </w:tc>
        <w:tc>
          <w:tcPr>
            <w:tcW w:w="1567" w:type="dxa"/>
            <w:tcBorders>
              <w:top w:val="nil"/>
            </w:tcBorders>
            <w:shd w:val="clear" w:color="auto" w:fill="E5E5E5" w:themeFill="background1" w:themeFillTint="33"/>
            <w:noWrap/>
            <w:vAlign w:val="bottom"/>
            <w:hideMark/>
          </w:tcPr>
          <w:p w14:paraId="3D8C67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77.97</w:t>
            </w:r>
          </w:p>
        </w:tc>
        <w:tc>
          <w:tcPr>
            <w:tcW w:w="1559" w:type="dxa"/>
            <w:tcBorders>
              <w:top w:val="nil"/>
            </w:tcBorders>
            <w:shd w:val="clear" w:color="auto" w:fill="E5E5E5" w:themeFill="background1" w:themeFillTint="33"/>
            <w:noWrap/>
            <w:vAlign w:val="bottom"/>
            <w:hideMark/>
          </w:tcPr>
          <w:p w14:paraId="4E74DD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79.58</w:t>
            </w:r>
          </w:p>
        </w:tc>
        <w:tc>
          <w:tcPr>
            <w:tcW w:w="1417" w:type="dxa"/>
            <w:tcBorders>
              <w:top w:val="nil"/>
            </w:tcBorders>
            <w:shd w:val="clear" w:color="auto" w:fill="E5E5E5" w:themeFill="background1" w:themeFillTint="33"/>
            <w:noWrap/>
            <w:vAlign w:val="bottom"/>
            <w:hideMark/>
          </w:tcPr>
          <w:p w14:paraId="7450632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86.32</w:t>
            </w:r>
          </w:p>
        </w:tc>
        <w:tc>
          <w:tcPr>
            <w:tcW w:w="1276" w:type="dxa"/>
            <w:tcBorders>
              <w:top w:val="nil"/>
            </w:tcBorders>
            <w:shd w:val="clear" w:color="auto" w:fill="E5E5E5" w:themeFill="background1" w:themeFillTint="33"/>
            <w:noWrap/>
            <w:vAlign w:val="bottom"/>
            <w:hideMark/>
          </w:tcPr>
          <w:p w14:paraId="4AF8DA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80.44</w:t>
            </w:r>
          </w:p>
        </w:tc>
      </w:tr>
      <w:tr w:rsidR="00961617" w:rsidRPr="00545C7F" w14:paraId="2DE9FB2A" w14:textId="77777777" w:rsidTr="0020771F">
        <w:trPr>
          <w:trHeight w:val="288"/>
        </w:trPr>
        <w:tc>
          <w:tcPr>
            <w:tcW w:w="1709" w:type="dxa"/>
            <w:tcBorders>
              <w:top w:val="nil"/>
            </w:tcBorders>
            <w:shd w:val="clear" w:color="auto" w:fill="auto"/>
            <w:noWrap/>
            <w:vAlign w:val="bottom"/>
            <w:hideMark/>
          </w:tcPr>
          <w:p w14:paraId="4D8814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581</w:t>
            </w:r>
          </w:p>
        </w:tc>
        <w:tc>
          <w:tcPr>
            <w:tcW w:w="1567" w:type="dxa"/>
            <w:tcBorders>
              <w:top w:val="nil"/>
            </w:tcBorders>
            <w:shd w:val="clear" w:color="auto" w:fill="auto"/>
            <w:noWrap/>
            <w:vAlign w:val="bottom"/>
            <w:hideMark/>
          </w:tcPr>
          <w:p w14:paraId="788729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78.46</w:t>
            </w:r>
          </w:p>
        </w:tc>
        <w:tc>
          <w:tcPr>
            <w:tcW w:w="1559" w:type="dxa"/>
            <w:tcBorders>
              <w:top w:val="nil"/>
            </w:tcBorders>
            <w:shd w:val="clear" w:color="auto" w:fill="auto"/>
            <w:noWrap/>
            <w:vAlign w:val="bottom"/>
            <w:hideMark/>
          </w:tcPr>
          <w:p w14:paraId="7452B34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80.28</w:t>
            </w:r>
          </w:p>
        </w:tc>
        <w:tc>
          <w:tcPr>
            <w:tcW w:w="1417" w:type="dxa"/>
            <w:tcBorders>
              <w:top w:val="nil"/>
            </w:tcBorders>
            <w:shd w:val="clear" w:color="auto" w:fill="auto"/>
            <w:noWrap/>
            <w:vAlign w:val="bottom"/>
            <w:hideMark/>
          </w:tcPr>
          <w:p w14:paraId="23B4CB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86.85</w:t>
            </w:r>
          </w:p>
        </w:tc>
        <w:tc>
          <w:tcPr>
            <w:tcW w:w="1276" w:type="dxa"/>
            <w:tcBorders>
              <w:top w:val="nil"/>
            </w:tcBorders>
            <w:shd w:val="clear" w:color="auto" w:fill="auto"/>
            <w:noWrap/>
            <w:vAlign w:val="bottom"/>
            <w:hideMark/>
          </w:tcPr>
          <w:p w14:paraId="69DF130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81.53</w:t>
            </w:r>
          </w:p>
        </w:tc>
      </w:tr>
      <w:tr w:rsidR="00961617" w:rsidRPr="00545C7F" w14:paraId="2CF85531" w14:textId="77777777" w:rsidTr="0020771F">
        <w:trPr>
          <w:trHeight w:val="288"/>
        </w:trPr>
        <w:tc>
          <w:tcPr>
            <w:tcW w:w="1709" w:type="dxa"/>
            <w:tcBorders>
              <w:top w:val="nil"/>
            </w:tcBorders>
            <w:shd w:val="clear" w:color="auto" w:fill="E5E5E5" w:themeFill="background1" w:themeFillTint="33"/>
            <w:noWrap/>
            <w:vAlign w:val="bottom"/>
            <w:hideMark/>
          </w:tcPr>
          <w:p w14:paraId="04554B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588</w:t>
            </w:r>
          </w:p>
        </w:tc>
        <w:tc>
          <w:tcPr>
            <w:tcW w:w="1567" w:type="dxa"/>
            <w:tcBorders>
              <w:top w:val="nil"/>
            </w:tcBorders>
            <w:shd w:val="clear" w:color="auto" w:fill="E5E5E5" w:themeFill="background1" w:themeFillTint="33"/>
            <w:noWrap/>
            <w:vAlign w:val="bottom"/>
            <w:hideMark/>
          </w:tcPr>
          <w:p w14:paraId="5734E40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78.92</w:t>
            </w:r>
          </w:p>
        </w:tc>
        <w:tc>
          <w:tcPr>
            <w:tcW w:w="1559" w:type="dxa"/>
            <w:tcBorders>
              <w:top w:val="nil"/>
            </w:tcBorders>
            <w:shd w:val="clear" w:color="auto" w:fill="E5E5E5" w:themeFill="background1" w:themeFillTint="33"/>
            <w:noWrap/>
            <w:vAlign w:val="bottom"/>
            <w:hideMark/>
          </w:tcPr>
          <w:p w14:paraId="231C3A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80.79</w:t>
            </w:r>
          </w:p>
        </w:tc>
        <w:tc>
          <w:tcPr>
            <w:tcW w:w="1417" w:type="dxa"/>
            <w:tcBorders>
              <w:top w:val="nil"/>
            </w:tcBorders>
            <w:shd w:val="clear" w:color="auto" w:fill="E5E5E5" w:themeFill="background1" w:themeFillTint="33"/>
            <w:noWrap/>
            <w:vAlign w:val="bottom"/>
            <w:hideMark/>
          </w:tcPr>
          <w:p w14:paraId="0CF9702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86.94</w:t>
            </w:r>
          </w:p>
        </w:tc>
        <w:tc>
          <w:tcPr>
            <w:tcW w:w="1276" w:type="dxa"/>
            <w:tcBorders>
              <w:top w:val="nil"/>
            </w:tcBorders>
            <w:shd w:val="clear" w:color="auto" w:fill="E5E5E5" w:themeFill="background1" w:themeFillTint="33"/>
            <w:noWrap/>
            <w:vAlign w:val="bottom"/>
            <w:hideMark/>
          </w:tcPr>
          <w:p w14:paraId="5850C09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81.53</w:t>
            </w:r>
          </w:p>
        </w:tc>
      </w:tr>
      <w:tr w:rsidR="00961617" w:rsidRPr="00545C7F" w14:paraId="2F53B46B" w14:textId="77777777" w:rsidTr="0020771F">
        <w:trPr>
          <w:trHeight w:val="288"/>
        </w:trPr>
        <w:tc>
          <w:tcPr>
            <w:tcW w:w="1709" w:type="dxa"/>
            <w:tcBorders>
              <w:top w:val="nil"/>
            </w:tcBorders>
            <w:shd w:val="clear" w:color="auto" w:fill="auto"/>
            <w:noWrap/>
            <w:vAlign w:val="bottom"/>
            <w:hideMark/>
          </w:tcPr>
          <w:p w14:paraId="4DE8FC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595</w:t>
            </w:r>
          </w:p>
        </w:tc>
        <w:tc>
          <w:tcPr>
            <w:tcW w:w="1567" w:type="dxa"/>
            <w:tcBorders>
              <w:top w:val="nil"/>
            </w:tcBorders>
            <w:shd w:val="clear" w:color="auto" w:fill="auto"/>
            <w:noWrap/>
            <w:vAlign w:val="bottom"/>
            <w:hideMark/>
          </w:tcPr>
          <w:p w14:paraId="7E2A15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79.53</w:t>
            </w:r>
          </w:p>
        </w:tc>
        <w:tc>
          <w:tcPr>
            <w:tcW w:w="1559" w:type="dxa"/>
            <w:tcBorders>
              <w:top w:val="nil"/>
            </w:tcBorders>
            <w:shd w:val="clear" w:color="auto" w:fill="auto"/>
            <w:noWrap/>
            <w:vAlign w:val="bottom"/>
            <w:hideMark/>
          </w:tcPr>
          <w:p w14:paraId="2F88D4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81.78</w:t>
            </w:r>
          </w:p>
        </w:tc>
        <w:tc>
          <w:tcPr>
            <w:tcW w:w="1417" w:type="dxa"/>
            <w:tcBorders>
              <w:top w:val="nil"/>
            </w:tcBorders>
            <w:shd w:val="clear" w:color="auto" w:fill="auto"/>
            <w:noWrap/>
            <w:vAlign w:val="bottom"/>
            <w:hideMark/>
          </w:tcPr>
          <w:p w14:paraId="2F39FC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87.34</w:t>
            </w:r>
          </w:p>
        </w:tc>
        <w:tc>
          <w:tcPr>
            <w:tcW w:w="1276" w:type="dxa"/>
            <w:tcBorders>
              <w:top w:val="nil"/>
            </w:tcBorders>
            <w:shd w:val="clear" w:color="auto" w:fill="auto"/>
            <w:noWrap/>
            <w:vAlign w:val="bottom"/>
            <w:hideMark/>
          </w:tcPr>
          <w:p w14:paraId="5EA65D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82.41</w:t>
            </w:r>
          </w:p>
        </w:tc>
      </w:tr>
      <w:tr w:rsidR="00961617" w:rsidRPr="00545C7F" w14:paraId="03975118" w14:textId="77777777" w:rsidTr="0020771F">
        <w:trPr>
          <w:trHeight w:val="288"/>
        </w:trPr>
        <w:tc>
          <w:tcPr>
            <w:tcW w:w="1709" w:type="dxa"/>
            <w:tcBorders>
              <w:top w:val="nil"/>
            </w:tcBorders>
            <w:shd w:val="clear" w:color="auto" w:fill="E5E5E5" w:themeFill="background1" w:themeFillTint="33"/>
            <w:noWrap/>
            <w:vAlign w:val="bottom"/>
            <w:hideMark/>
          </w:tcPr>
          <w:p w14:paraId="393D3CB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602</w:t>
            </w:r>
          </w:p>
        </w:tc>
        <w:tc>
          <w:tcPr>
            <w:tcW w:w="1567" w:type="dxa"/>
            <w:tcBorders>
              <w:top w:val="nil"/>
            </w:tcBorders>
            <w:shd w:val="clear" w:color="auto" w:fill="E5E5E5" w:themeFill="background1" w:themeFillTint="33"/>
            <w:noWrap/>
            <w:vAlign w:val="bottom"/>
            <w:hideMark/>
          </w:tcPr>
          <w:p w14:paraId="7D5036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80.05</w:t>
            </w:r>
          </w:p>
        </w:tc>
        <w:tc>
          <w:tcPr>
            <w:tcW w:w="1559" w:type="dxa"/>
            <w:tcBorders>
              <w:top w:val="nil"/>
            </w:tcBorders>
            <w:shd w:val="clear" w:color="auto" w:fill="E5E5E5" w:themeFill="background1" w:themeFillTint="33"/>
            <w:noWrap/>
            <w:vAlign w:val="bottom"/>
            <w:hideMark/>
          </w:tcPr>
          <w:p w14:paraId="095A6C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82.39</w:t>
            </w:r>
          </w:p>
        </w:tc>
        <w:tc>
          <w:tcPr>
            <w:tcW w:w="1417" w:type="dxa"/>
            <w:tcBorders>
              <w:top w:val="nil"/>
            </w:tcBorders>
            <w:shd w:val="clear" w:color="auto" w:fill="E5E5E5" w:themeFill="background1" w:themeFillTint="33"/>
            <w:noWrap/>
            <w:vAlign w:val="bottom"/>
            <w:hideMark/>
          </w:tcPr>
          <w:p w14:paraId="6CFA22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87.76</w:t>
            </w:r>
          </w:p>
        </w:tc>
        <w:tc>
          <w:tcPr>
            <w:tcW w:w="1276" w:type="dxa"/>
            <w:tcBorders>
              <w:top w:val="nil"/>
            </w:tcBorders>
            <w:shd w:val="clear" w:color="auto" w:fill="E5E5E5" w:themeFill="background1" w:themeFillTint="33"/>
            <w:noWrap/>
            <w:vAlign w:val="bottom"/>
            <w:hideMark/>
          </w:tcPr>
          <w:p w14:paraId="52FE5F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83.72</w:t>
            </w:r>
          </w:p>
        </w:tc>
      </w:tr>
      <w:tr w:rsidR="00961617" w:rsidRPr="00545C7F" w14:paraId="62C32EC4" w14:textId="77777777" w:rsidTr="0020771F">
        <w:trPr>
          <w:trHeight w:val="288"/>
        </w:trPr>
        <w:tc>
          <w:tcPr>
            <w:tcW w:w="1709" w:type="dxa"/>
            <w:tcBorders>
              <w:top w:val="nil"/>
            </w:tcBorders>
            <w:shd w:val="clear" w:color="auto" w:fill="auto"/>
            <w:noWrap/>
            <w:vAlign w:val="bottom"/>
            <w:hideMark/>
          </w:tcPr>
          <w:p w14:paraId="5F0EBB3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609</w:t>
            </w:r>
          </w:p>
        </w:tc>
        <w:tc>
          <w:tcPr>
            <w:tcW w:w="1567" w:type="dxa"/>
            <w:tcBorders>
              <w:top w:val="nil"/>
            </w:tcBorders>
            <w:shd w:val="clear" w:color="auto" w:fill="auto"/>
            <w:noWrap/>
            <w:vAlign w:val="bottom"/>
            <w:hideMark/>
          </w:tcPr>
          <w:p w14:paraId="533121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80.70</w:t>
            </w:r>
          </w:p>
        </w:tc>
        <w:tc>
          <w:tcPr>
            <w:tcW w:w="1559" w:type="dxa"/>
            <w:tcBorders>
              <w:top w:val="nil"/>
            </w:tcBorders>
            <w:shd w:val="clear" w:color="auto" w:fill="auto"/>
            <w:noWrap/>
            <w:vAlign w:val="bottom"/>
            <w:hideMark/>
          </w:tcPr>
          <w:p w14:paraId="1ED90A2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82.97</w:t>
            </w:r>
          </w:p>
        </w:tc>
        <w:tc>
          <w:tcPr>
            <w:tcW w:w="1417" w:type="dxa"/>
            <w:tcBorders>
              <w:top w:val="nil"/>
            </w:tcBorders>
            <w:shd w:val="clear" w:color="auto" w:fill="auto"/>
            <w:noWrap/>
            <w:vAlign w:val="bottom"/>
            <w:hideMark/>
          </w:tcPr>
          <w:p w14:paraId="07685F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88.09</w:t>
            </w:r>
          </w:p>
        </w:tc>
        <w:tc>
          <w:tcPr>
            <w:tcW w:w="1276" w:type="dxa"/>
            <w:tcBorders>
              <w:top w:val="nil"/>
            </w:tcBorders>
            <w:shd w:val="clear" w:color="auto" w:fill="auto"/>
            <w:noWrap/>
            <w:vAlign w:val="bottom"/>
            <w:hideMark/>
          </w:tcPr>
          <w:p w14:paraId="4A1355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84.46</w:t>
            </w:r>
          </w:p>
        </w:tc>
      </w:tr>
      <w:tr w:rsidR="00961617" w:rsidRPr="00545C7F" w14:paraId="6835D158" w14:textId="77777777" w:rsidTr="0020771F">
        <w:trPr>
          <w:trHeight w:val="288"/>
        </w:trPr>
        <w:tc>
          <w:tcPr>
            <w:tcW w:w="1709" w:type="dxa"/>
            <w:tcBorders>
              <w:top w:val="nil"/>
            </w:tcBorders>
            <w:shd w:val="clear" w:color="auto" w:fill="E5E5E5" w:themeFill="background1" w:themeFillTint="33"/>
            <w:noWrap/>
            <w:vAlign w:val="bottom"/>
            <w:hideMark/>
          </w:tcPr>
          <w:p w14:paraId="74E602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616</w:t>
            </w:r>
          </w:p>
        </w:tc>
        <w:tc>
          <w:tcPr>
            <w:tcW w:w="1567" w:type="dxa"/>
            <w:tcBorders>
              <w:top w:val="nil"/>
            </w:tcBorders>
            <w:shd w:val="clear" w:color="auto" w:fill="E5E5E5" w:themeFill="background1" w:themeFillTint="33"/>
            <w:noWrap/>
            <w:vAlign w:val="bottom"/>
            <w:hideMark/>
          </w:tcPr>
          <w:p w14:paraId="36F309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81.30</w:t>
            </w:r>
          </w:p>
        </w:tc>
        <w:tc>
          <w:tcPr>
            <w:tcW w:w="1559" w:type="dxa"/>
            <w:tcBorders>
              <w:top w:val="nil"/>
            </w:tcBorders>
            <w:shd w:val="clear" w:color="auto" w:fill="E5E5E5" w:themeFill="background1" w:themeFillTint="33"/>
            <w:noWrap/>
            <w:vAlign w:val="bottom"/>
            <w:hideMark/>
          </w:tcPr>
          <w:p w14:paraId="24BDA97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83.65</w:t>
            </w:r>
          </w:p>
        </w:tc>
        <w:tc>
          <w:tcPr>
            <w:tcW w:w="1417" w:type="dxa"/>
            <w:tcBorders>
              <w:top w:val="nil"/>
            </w:tcBorders>
            <w:shd w:val="clear" w:color="auto" w:fill="E5E5E5" w:themeFill="background1" w:themeFillTint="33"/>
            <w:noWrap/>
            <w:vAlign w:val="bottom"/>
            <w:hideMark/>
          </w:tcPr>
          <w:p w14:paraId="1B1BE2C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88.58</w:t>
            </w:r>
          </w:p>
        </w:tc>
        <w:tc>
          <w:tcPr>
            <w:tcW w:w="1276" w:type="dxa"/>
            <w:tcBorders>
              <w:top w:val="nil"/>
            </w:tcBorders>
            <w:shd w:val="clear" w:color="auto" w:fill="E5E5E5" w:themeFill="background1" w:themeFillTint="33"/>
            <w:noWrap/>
            <w:vAlign w:val="bottom"/>
            <w:hideMark/>
          </w:tcPr>
          <w:p w14:paraId="17D8836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84.88</w:t>
            </w:r>
          </w:p>
        </w:tc>
      </w:tr>
      <w:tr w:rsidR="00961617" w:rsidRPr="00545C7F" w14:paraId="130CD05D" w14:textId="77777777" w:rsidTr="0020771F">
        <w:trPr>
          <w:trHeight w:val="288"/>
        </w:trPr>
        <w:tc>
          <w:tcPr>
            <w:tcW w:w="1709" w:type="dxa"/>
            <w:tcBorders>
              <w:top w:val="nil"/>
            </w:tcBorders>
            <w:shd w:val="clear" w:color="auto" w:fill="auto"/>
            <w:noWrap/>
            <w:vAlign w:val="bottom"/>
            <w:hideMark/>
          </w:tcPr>
          <w:p w14:paraId="73AD0F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623</w:t>
            </w:r>
          </w:p>
        </w:tc>
        <w:tc>
          <w:tcPr>
            <w:tcW w:w="1567" w:type="dxa"/>
            <w:tcBorders>
              <w:top w:val="nil"/>
            </w:tcBorders>
            <w:shd w:val="clear" w:color="auto" w:fill="auto"/>
            <w:noWrap/>
            <w:vAlign w:val="bottom"/>
            <w:hideMark/>
          </w:tcPr>
          <w:p w14:paraId="51340A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81.79</w:t>
            </w:r>
          </w:p>
        </w:tc>
        <w:tc>
          <w:tcPr>
            <w:tcW w:w="1559" w:type="dxa"/>
            <w:tcBorders>
              <w:top w:val="nil"/>
            </w:tcBorders>
            <w:shd w:val="clear" w:color="auto" w:fill="auto"/>
            <w:noWrap/>
            <w:vAlign w:val="bottom"/>
            <w:hideMark/>
          </w:tcPr>
          <w:p w14:paraId="5481D4B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84.19</w:t>
            </w:r>
          </w:p>
        </w:tc>
        <w:tc>
          <w:tcPr>
            <w:tcW w:w="1417" w:type="dxa"/>
            <w:tcBorders>
              <w:top w:val="nil"/>
            </w:tcBorders>
            <w:shd w:val="clear" w:color="auto" w:fill="auto"/>
            <w:noWrap/>
            <w:vAlign w:val="bottom"/>
            <w:hideMark/>
          </w:tcPr>
          <w:p w14:paraId="13C947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88.84</w:t>
            </w:r>
          </w:p>
        </w:tc>
        <w:tc>
          <w:tcPr>
            <w:tcW w:w="1276" w:type="dxa"/>
            <w:tcBorders>
              <w:top w:val="nil"/>
            </w:tcBorders>
            <w:shd w:val="clear" w:color="auto" w:fill="auto"/>
            <w:noWrap/>
            <w:vAlign w:val="bottom"/>
            <w:hideMark/>
          </w:tcPr>
          <w:p w14:paraId="2BD7DB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86.27</w:t>
            </w:r>
          </w:p>
        </w:tc>
      </w:tr>
      <w:tr w:rsidR="00961617" w:rsidRPr="00545C7F" w14:paraId="21F1CDFD" w14:textId="77777777" w:rsidTr="0020771F">
        <w:trPr>
          <w:trHeight w:val="288"/>
        </w:trPr>
        <w:tc>
          <w:tcPr>
            <w:tcW w:w="1709" w:type="dxa"/>
            <w:tcBorders>
              <w:top w:val="nil"/>
            </w:tcBorders>
            <w:shd w:val="clear" w:color="auto" w:fill="E5E5E5" w:themeFill="background1" w:themeFillTint="33"/>
            <w:noWrap/>
            <w:vAlign w:val="bottom"/>
            <w:hideMark/>
          </w:tcPr>
          <w:p w14:paraId="6DA233D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630</w:t>
            </w:r>
          </w:p>
        </w:tc>
        <w:tc>
          <w:tcPr>
            <w:tcW w:w="1567" w:type="dxa"/>
            <w:tcBorders>
              <w:top w:val="nil"/>
            </w:tcBorders>
            <w:shd w:val="clear" w:color="auto" w:fill="E5E5E5" w:themeFill="background1" w:themeFillTint="33"/>
            <w:noWrap/>
            <w:vAlign w:val="bottom"/>
            <w:hideMark/>
          </w:tcPr>
          <w:p w14:paraId="02AC61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82.34</w:t>
            </w:r>
          </w:p>
        </w:tc>
        <w:tc>
          <w:tcPr>
            <w:tcW w:w="1559" w:type="dxa"/>
            <w:tcBorders>
              <w:top w:val="nil"/>
            </w:tcBorders>
            <w:shd w:val="clear" w:color="auto" w:fill="E5E5E5" w:themeFill="background1" w:themeFillTint="33"/>
            <w:noWrap/>
            <w:vAlign w:val="bottom"/>
            <w:hideMark/>
          </w:tcPr>
          <w:p w14:paraId="2A3792C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85.10</w:t>
            </w:r>
          </w:p>
        </w:tc>
        <w:tc>
          <w:tcPr>
            <w:tcW w:w="1417" w:type="dxa"/>
            <w:tcBorders>
              <w:top w:val="nil"/>
            </w:tcBorders>
            <w:shd w:val="clear" w:color="auto" w:fill="E5E5E5" w:themeFill="background1" w:themeFillTint="33"/>
            <w:noWrap/>
            <w:vAlign w:val="bottom"/>
            <w:hideMark/>
          </w:tcPr>
          <w:p w14:paraId="3105D54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89.12</w:t>
            </w:r>
          </w:p>
        </w:tc>
        <w:tc>
          <w:tcPr>
            <w:tcW w:w="1276" w:type="dxa"/>
            <w:tcBorders>
              <w:top w:val="nil"/>
            </w:tcBorders>
            <w:shd w:val="clear" w:color="auto" w:fill="E5E5E5" w:themeFill="background1" w:themeFillTint="33"/>
            <w:noWrap/>
            <w:vAlign w:val="bottom"/>
            <w:hideMark/>
          </w:tcPr>
          <w:p w14:paraId="47D3C3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87.31</w:t>
            </w:r>
          </w:p>
        </w:tc>
      </w:tr>
      <w:tr w:rsidR="00961617" w:rsidRPr="00545C7F" w14:paraId="478C87EA" w14:textId="77777777" w:rsidTr="0020771F">
        <w:trPr>
          <w:trHeight w:val="288"/>
        </w:trPr>
        <w:tc>
          <w:tcPr>
            <w:tcW w:w="1709" w:type="dxa"/>
            <w:tcBorders>
              <w:top w:val="nil"/>
            </w:tcBorders>
            <w:shd w:val="clear" w:color="auto" w:fill="auto"/>
            <w:noWrap/>
            <w:vAlign w:val="bottom"/>
            <w:hideMark/>
          </w:tcPr>
          <w:p w14:paraId="547826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637</w:t>
            </w:r>
          </w:p>
        </w:tc>
        <w:tc>
          <w:tcPr>
            <w:tcW w:w="1567" w:type="dxa"/>
            <w:tcBorders>
              <w:top w:val="nil"/>
            </w:tcBorders>
            <w:shd w:val="clear" w:color="auto" w:fill="auto"/>
            <w:noWrap/>
            <w:vAlign w:val="bottom"/>
            <w:hideMark/>
          </w:tcPr>
          <w:p w14:paraId="205E2A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83.02</w:t>
            </w:r>
          </w:p>
        </w:tc>
        <w:tc>
          <w:tcPr>
            <w:tcW w:w="1559" w:type="dxa"/>
            <w:tcBorders>
              <w:top w:val="nil"/>
            </w:tcBorders>
            <w:shd w:val="clear" w:color="auto" w:fill="auto"/>
            <w:noWrap/>
            <w:vAlign w:val="bottom"/>
            <w:hideMark/>
          </w:tcPr>
          <w:p w14:paraId="578B7E8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85.89</w:t>
            </w:r>
          </w:p>
        </w:tc>
        <w:tc>
          <w:tcPr>
            <w:tcW w:w="1417" w:type="dxa"/>
            <w:tcBorders>
              <w:top w:val="nil"/>
            </w:tcBorders>
            <w:shd w:val="clear" w:color="auto" w:fill="auto"/>
            <w:noWrap/>
            <w:vAlign w:val="bottom"/>
            <w:hideMark/>
          </w:tcPr>
          <w:p w14:paraId="1D821E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89.69</w:t>
            </w:r>
          </w:p>
        </w:tc>
        <w:tc>
          <w:tcPr>
            <w:tcW w:w="1276" w:type="dxa"/>
            <w:tcBorders>
              <w:top w:val="nil"/>
            </w:tcBorders>
            <w:shd w:val="clear" w:color="auto" w:fill="auto"/>
            <w:noWrap/>
            <w:vAlign w:val="bottom"/>
            <w:hideMark/>
          </w:tcPr>
          <w:p w14:paraId="23D1ED6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87.31</w:t>
            </w:r>
          </w:p>
        </w:tc>
      </w:tr>
      <w:tr w:rsidR="00961617" w:rsidRPr="00545C7F" w14:paraId="2DDA4ECF" w14:textId="77777777" w:rsidTr="0020771F">
        <w:trPr>
          <w:trHeight w:val="288"/>
        </w:trPr>
        <w:tc>
          <w:tcPr>
            <w:tcW w:w="1709" w:type="dxa"/>
            <w:tcBorders>
              <w:top w:val="nil"/>
            </w:tcBorders>
            <w:shd w:val="clear" w:color="auto" w:fill="E5E5E5" w:themeFill="background1" w:themeFillTint="33"/>
            <w:noWrap/>
            <w:vAlign w:val="bottom"/>
            <w:hideMark/>
          </w:tcPr>
          <w:p w14:paraId="754708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644</w:t>
            </w:r>
          </w:p>
        </w:tc>
        <w:tc>
          <w:tcPr>
            <w:tcW w:w="1567" w:type="dxa"/>
            <w:tcBorders>
              <w:top w:val="nil"/>
            </w:tcBorders>
            <w:shd w:val="clear" w:color="auto" w:fill="E5E5E5" w:themeFill="background1" w:themeFillTint="33"/>
            <w:noWrap/>
            <w:vAlign w:val="bottom"/>
            <w:hideMark/>
          </w:tcPr>
          <w:p w14:paraId="411E174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83.71</w:t>
            </w:r>
          </w:p>
        </w:tc>
        <w:tc>
          <w:tcPr>
            <w:tcW w:w="1559" w:type="dxa"/>
            <w:tcBorders>
              <w:top w:val="nil"/>
            </w:tcBorders>
            <w:shd w:val="clear" w:color="auto" w:fill="E5E5E5" w:themeFill="background1" w:themeFillTint="33"/>
            <w:noWrap/>
            <w:vAlign w:val="bottom"/>
            <w:hideMark/>
          </w:tcPr>
          <w:p w14:paraId="3A70C8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86.37</w:t>
            </w:r>
          </w:p>
        </w:tc>
        <w:tc>
          <w:tcPr>
            <w:tcW w:w="1417" w:type="dxa"/>
            <w:tcBorders>
              <w:top w:val="nil"/>
            </w:tcBorders>
            <w:shd w:val="clear" w:color="auto" w:fill="E5E5E5" w:themeFill="background1" w:themeFillTint="33"/>
            <w:noWrap/>
            <w:vAlign w:val="bottom"/>
            <w:hideMark/>
          </w:tcPr>
          <w:p w14:paraId="13B973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90.15</w:t>
            </w:r>
          </w:p>
        </w:tc>
        <w:tc>
          <w:tcPr>
            <w:tcW w:w="1276" w:type="dxa"/>
            <w:tcBorders>
              <w:top w:val="nil"/>
            </w:tcBorders>
            <w:shd w:val="clear" w:color="auto" w:fill="E5E5E5" w:themeFill="background1" w:themeFillTint="33"/>
            <w:noWrap/>
            <w:vAlign w:val="bottom"/>
            <w:hideMark/>
          </w:tcPr>
          <w:p w14:paraId="4C8538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88.05</w:t>
            </w:r>
          </w:p>
        </w:tc>
      </w:tr>
      <w:tr w:rsidR="00961617" w:rsidRPr="00545C7F" w14:paraId="25DE0B31" w14:textId="77777777" w:rsidTr="0020771F">
        <w:trPr>
          <w:trHeight w:val="288"/>
        </w:trPr>
        <w:tc>
          <w:tcPr>
            <w:tcW w:w="1709" w:type="dxa"/>
            <w:tcBorders>
              <w:top w:val="nil"/>
            </w:tcBorders>
            <w:shd w:val="clear" w:color="auto" w:fill="auto"/>
            <w:noWrap/>
            <w:vAlign w:val="bottom"/>
            <w:hideMark/>
          </w:tcPr>
          <w:p w14:paraId="2B0E18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651</w:t>
            </w:r>
          </w:p>
        </w:tc>
        <w:tc>
          <w:tcPr>
            <w:tcW w:w="1567" w:type="dxa"/>
            <w:tcBorders>
              <w:top w:val="nil"/>
            </w:tcBorders>
            <w:shd w:val="clear" w:color="auto" w:fill="auto"/>
            <w:noWrap/>
            <w:vAlign w:val="bottom"/>
            <w:hideMark/>
          </w:tcPr>
          <w:p w14:paraId="56C5C3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84.23</w:t>
            </w:r>
          </w:p>
        </w:tc>
        <w:tc>
          <w:tcPr>
            <w:tcW w:w="1559" w:type="dxa"/>
            <w:tcBorders>
              <w:top w:val="nil"/>
            </w:tcBorders>
            <w:shd w:val="clear" w:color="auto" w:fill="auto"/>
            <w:noWrap/>
            <w:vAlign w:val="bottom"/>
            <w:hideMark/>
          </w:tcPr>
          <w:p w14:paraId="7BFBBD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87.15</w:t>
            </w:r>
          </w:p>
        </w:tc>
        <w:tc>
          <w:tcPr>
            <w:tcW w:w="1417" w:type="dxa"/>
            <w:tcBorders>
              <w:top w:val="nil"/>
            </w:tcBorders>
            <w:shd w:val="clear" w:color="auto" w:fill="auto"/>
            <w:noWrap/>
            <w:vAlign w:val="bottom"/>
            <w:hideMark/>
          </w:tcPr>
          <w:p w14:paraId="03A9C6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90.68</w:t>
            </w:r>
          </w:p>
        </w:tc>
        <w:tc>
          <w:tcPr>
            <w:tcW w:w="1276" w:type="dxa"/>
            <w:tcBorders>
              <w:top w:val="nil"/>
            </w:tcBorders>
            <w:shd w:val="clear" w:color="auto" w:fill="auto"/>
            <w:noWrap/>
            <w:vAlign w:val="bottom"/>
            <w:hideMark/>
          </w:tcPr>
          <w:p w14:paraId="234194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88.05</w:t>
            </w:r>
          </w:p>
        </w:tc>
      </w:tr>
      <w:tr w:rsidR="00961617" w:rsidRPr="00545C7F" w14:paraId="73C1A1F6" w14:textId="77777777" w:rsidTr="0020771F">
        <w:trPr>
          <w:trHeight w:val="288"/>
        </w:trPr>
        <w:tc>
          <w:tcPr>
            <w:tcW w:w="1709" w:type="dxa"/>
            <w:tcBorders>
              <w:top w:val="nil"/>
            </w:tcBorders>
            <w:shd w:val="clear" w:color="auto" w:fill="E5E5E5" w:themeFill="background1" w:themeFillTint="33"/>
            <w:noWrap/>
            <w:vAlign w:val="bottom"/>
            <w:hideMark/>
          </w:tcPr>
          <w:p w14:paraId="52601A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658</w:t>
            </w:r>
          </w:p>
        </w:tc>
        <w:tc>
          <w:tcPr>
            <w:tcW w:w="1567" w:type="dxa"/>
            <w:tcBorders>
              <w:top w:val="nil"/>
            </w:tcBorders>
            <w:shd w:val="clear" w:color="auto" w:fill="E5E5E5" w:themeFill="background1" w:themeFillTint="33"/>
            <w:noWrap/>
            <w:vAlign w:val="bottom"/>
            <w:hideMark/>
          </w:tcPr>
          <w:p w14:paraId="4BF53A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84.74</w:t>
            </w:r>
          </w:p>
        </w:tc>
        <w:tc>
          <w:tcPr>
            <w:tcW w:w="1559" w:type="dxa"/>
            <w:tcBorders>
              <w:top w:val="nil"/>
            </w:tcBorders>
            <w:shd w:val="clear" w:color="auto" w:fill="E5E5E5" w:themeFill="background1" w:themeFillTint="33"/>
            <w:noWrap/>
            <w:vAlign w:val="bottom"/>
            <w:hideMark/>
          </w:tcPr>
          <w:p w14:paraId="19DBDD5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87.54</w:t>
            </w:r>
          </w:p>
        </w:tc>
        <w:tc>
          <w:tcPr>
            <w:tcW w:w="1417" w:type="dxa"/>
            <w:tcBorders>
              <w:top w:val="nil"/>
            </w:tcBorders>
            <w:shd w:val="clear" w:color="auto" w:fill="E5E5E5" w:themeFill="background1" w:themeFillTint="33"/>
            <w:noWrap/>
            <w:vAlign w:val="bottom"/>
            <w:hideMark/>
          </w:tcPr>
          <w:p w14:paraId="22C7740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90.89</w:t>
            </w:r>
          </w:p>
        </w:tc>
        <w:tc>
          <w:tcPr>
            <w:tcW w:w="1276" w:type="dxa"/>
            <w:tcBorders>
              <w:top w:val="nil"/>
            </w:tcBorders>
            <w:shd w:val="clear" w:color="auto" w:fill="E5E5E5" w:themeFill="background1" w:themeFillTint="33"/>
            <w:noWrap/>
            <w:vAlign w:val="bottom"/>
            <w:hideMark/>
          </w:tcPr>
          <w:p w14:paraId="58BA07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88.05</w:t>
            </w:r>
          </w:p>
        </w:tc>
      </w:tr>
      <w:tr w:rsidR="00961617" w:rsidRPr="00545C7F" w14:paraId="059E006B" w14:textId="77777777" w:rsidTr="0020771F">
        <w:trPr>
          <w:trHeight w:val="288"/>
        </w:trPr>
        <w:tc>
          <w:tcPr>
            <w:tcW w:w="1709" w:type="dxa"/>
            <w:tcBorders>
              <w:top w:val="nil"/>
            </w:tcBorders>
            <w:shd w:val="clear" w:color="auto" w:fill="auto"/>
            <w:noWrap/>
            <w:vAlign w:val="bottom"/>
            <w:hideMark/>
          </w:tcPr>
          <w:p w14:paraId="666F5B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665</w:t>
            </w:r>
          </w:p>
        </w:tc>
        <w:tc>
          <w:tcPr>
            <w:tcW w:w="1567" w:type="dxa"/>
            <w:tcBorders>
              <w:top w:val="nil"/>
            </w:tcBorders>
            <w:shd w:val="clear" w:color="auto" w:fill="auto"/>
            <w:noWrap/>
            <w:vAlign w:val="bottom"/>
            <w:hideMark/>
          </w:tcPr>
          <w:p w14:paraId="5914E3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85.43</w:t>
            </w:r>
          </w:p>
        </w:tc>
        <w:tc>
          <w:tcPr>
            <w:tcW w:w="1559" w:type="dxa"/>
            <w:tcBorders>
              <w:top w:val="nil"/>
            </w:tcBorders>
            <w:shd w:val="clear" w:color="auto" w:fill="auto"/>
            <w:noWrap/>
            <w:vAlign w:val="bottom"/>
            <w:hideMark/>
          </w:tcPr>
          <w:p w14:paraId="115E4A1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88.06</w:t>
            </w:r>
          </w:p>
        </w:tc>
        <w:tc>
          <w:tcPr>
            <w:tcW w:w="1417" w:type="dxa"/>
            <w:tcBorders>
              <w:top w:val="nil"/>
            </w:tcBorders>
            <w:shd w:val="clear" w:color="auto" w:fill="auto"/>
            <w:noWrap/>
            <w:vAlign w:val="bottom"/>
            <w:hideMark/>
          </w:tcPr>
          <w:p w14:paraId="694C3CC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91.13</w:t>
            </w:r>
          </w:p>
        </w:tc>
        <w:tc>
          <w:tcPr>
            <w:tcW w:w="1276" w:type="dxa"/>
            <w:tcBorders>
              <w:top w:val="nil"/>
            </w:tcBorders>
            <w:shd w:val="clear" w:color="auto" w:fill="auto"/>
            <w:noWrap/>
            <w:vAlign w:val="bottom"/>
            <w:hideMark/>
          </w:tcPr>
          <w:p w14:paraId="2CC466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88.05</w:t>
            </w:r>
          </w:p>
        </w:tc>
      </w:tr>
      <w:tr w:rsidR="00961617" w:rsidRPr="00545C7F" w14:paraId="42BCC944" w14:textId="77777777" w:rsidTr="0020771F">
        <w:trPr>
          <w:trHeight w:val="288"/>
        </w:trPr>
        <w:tc>
          <w:tcPr>
            <w:tcW w:w="1709" w:type="dxa"/>
            <w:tcBorders>
              <w:top w:val="nil"/>
            </w:tcBorders>
            <w:shd w:val="clear" w:color="auto" w:fill="E5E5E5" w:themeFill="background1" w:themeFillTint="33"/>
            <w:noWrap/>
            <w:vAlign w:val="bottom"/>
            <w:hideMark/>
          </w:tcPr>
          <w:p w14:paraId="1982C5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672</w:t>
            </w:r>
          </w:p>
        </w:tc>
        <w:tc>
          <w:tcPr>
            <w:tcW w:w="1567" w:type="dxa"/>
            <w:tcBorders>
              <w:top w:val="nil"/>
            </w:tcBorders>
            <w:shd w:val="clear" w:color="auto" w:fill="E5E5E5" w:themeFill="background1" w:themeFillTint="33"/>
            <w:noWrap/>
            <w:vAlign w:val="bottom"/>
            <w:hideMark/>
          </w:tcPr>
          <w:p w14:paraId="48D6849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85.80</w:t>
            </w:r>
          </w:p>
        </w:tc>
        <w:tc>
          <w:tcPr>
            <w:tcW w:w="1559" w:type="dxa"/>
            <w:tcBorders>
              <w:top w:val="nil"/>
            </w:tcBorders>
            <w:shd w:val="clear" w:color="auto" w:fill="E5E5E5" w:themeFill="background1" w:themeFillTint="33"/>
            <w:noWrap/>
            <w:vAlign w:val="bottom"/>
            <w:hideMark/>
          </w:tcPr>
          <w:p w14:paraId="68AA5CB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88.52</w:t>
            </w:r>
          </w:p>
        </w:tc>
        <w:tc>
          <w:tcPr>
            <w:tcW w:w="1417" w:type="dxa"/>
            <w:tcBorders>
              <w:top w:val="nil"/>
            </w:tcBorders>
            <w:shd w:val="clear" w:color="auto" w:fill="E5E5E5" w:themeFill="background1" w:themeFillTint="33"/>
            <w:noWrap/>
            <w:vAlign w:val="bottom"/>
            <w:hideMark/>
          </w:tcPr>
          <w:p w14:paraId="6AB4B9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91.68</w:t>
            </w:r>
          </w:p>
        </w:tc>
        <w:tc>
          <w:tcPr>
            <w:tcW w:w="1276" w:type="dxa"/>
            <w:tcBorders>
              <w:top w:val="nil"/>
            </w:tcBorders>
            <w:shd w:val="clear" w:color="auto" w:fill="E5E5E5" w:themeFill="background1" w:themeFillTint="33"/>
            <w:noWrap/>
            <w:vAlign w:val="bottom"/>
            <w:hideMark/>
          </w:tcPr>
          <w:p w14:paraId="323BFF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91.17</w:t>
            </w:r>
          </w:p>
        </w:tc>
      </w:tr>
      <w:tr w:rsidR="00961617" w:rsidRPr="00545C7F" w14:paraId="4E75A3F8" w14:textId="77777777" w:rsidTr="0020771F">
        <w:trPr>
          <w:trHeight w:val="288"/>
        </w:trPr>
        <w:tc>
          <w:tcPr>
            <w:tcW w:w="1709" w:type="dxa"/>
            <w:tcBorders>
              <w:top w:val="nil"/>
            </w:tcBorders>
            <w:shd w:val="clear" w:color="auto" w:fill="auto"/>
            <w:noWrap/>
            <w:vAlign w:val="bottom"/>
            <w:hideMark/>
          </w:tcPr>
          <w:p w14:paraId="5F820F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679</w:t>
            </w:r>
          </w:p>
        </w:tc>
        <w:tc>
          <w:tcPr>
            <w:tcW w:w="1567" w:type="dxa"/>
            <w:tcBorders>
              <w:top w:val="nil"/>
            </w:tcBorders>
            <w:shd w:val="clear" w:color="auto" w:fill="auto"/>
            <w:noWrap/>
            <w:vAlign w:val="bottom"/>
            <w:hideMark/>
          </w:tcPr>
          <w:p w14:paraId="1B9279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86.37</w:t>
            </w:r>
          </w:p>
        </w:tc>
        <w:tc>
          <w:tcPr>
            <w:tcW w:w="1559" w:type="dxa"/>
            <w:tcBorders>
              <w:top w:val="nil"/>
            </w:tcBorders>
            <w:shd w:val="clear" w:color="auto" w:fill="auto"/>
            <w:noWrap/>
            <w:vAlign w:val="bottom"/>
            <w:hideMark/>
          </w:tcPr>
          <w:p w14:paraId="5D4E22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88.71</w:t>
            </w:r>
          </w:p>
        </w:tc>
        <w:tc>
          <w:tcPr>
            <w:tcW w:w="1417" w:type="dxa"/>
            <w:tcBorders>
              <w:top w:val="nil"/>
            </w:tcBorders>
            <w:shd w:val="clear" w:color="auto" w:fill="auto"/>
            <w:noWrap/>
            <w:vAlign w:val="bottom"/>
            <w:hideMark/>
          </w:tcPr>
          <w:p w14:paraId="198830B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91.68</w:t>
            </w:r>
          </w:p>
        </w:tc>
        <w:tc>
          <w:tcPr>
            <w:tcW w:w="1276" w:type="dxa"/>
            <w:tcBorders>
              <w:top w:val="nil"/>
            </w:tcBorders>
            <w:shd w:val="clear" w:color="auto" w:fill="auto"/>
            <w:noWrap/>
            <w:vAlign w:val="bottom"/>
            <w:hideMark/>
          </w:tcPr>
          <w:p w14:paraId="18C166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91.17</w:t>
            </w:r>
          </w:p>
        </w:tc>
      </w:tr>
      <w:tr w:rsidR="00961617" w:rsidRPr="00545C7F" w14:paraId="6D82FF7C" w14:textId="77777777" w:rsidTr="0020771F">
        <w:trPr>
          <w:trHeight w:val="288"/>
        </w:trPr>
        <w:tc>
          <w:tcPr>
            <w:tcW w:w="1709" w:type="dxa"/>
            <w:tcBorders>
              <w:top w:val="nil"/>
            </w:tcBorders>
            <w:shd w:val="clear" w:color="auto" w:fill="E5E5E5" w:themeFill="background1" w:themeFillTint="33"/>
            <w:noWrap/>
            <w:vAlign w:val="bottom"/>
            <w:hideMark/>
          </w:tcPr>
          <w:p w14:paraId="12203C5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686</w:t>
            </w:r>
          </w:p>
        </w:tc>
        <w:tc>
          <w:tcPr>
            <w:tcW w:w="1567" w:type="dxa"/>
            <w:tcBorders>
              <w:top w:val="nil"/>
            </w:tcBorders>
            <w:shd w:val="clear" w:color="auto" w:fill="E5E5E5" w:themeFill="background1" w:themeFillTint="33"/>
            <w:noWrap/>
            <w:vAlign w:val="bottom"/>
            <w:hideMark/>
          </w:tcPr>
          <w:p w14:paraId="79B8520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86.70</w:t>
            </w:r>
          </w:p>
        </w:tc>
        <w:tc>
          <w:tcPr>
            <w:tcW w:w="1559" w:type="dxa"/>
            <w:tcBorders>
              <w:top w:val="nil"/>
            </w:tcBorders>
            <w:shd w:val="clear" w:color="auto" w:fill="E5E5E5" w:themeFill="background1" w:themeFillTint="33"/>
            <w:noWrap/>
            <w:vAlign w:val="bottom"/>
            <w:hideMark/>
          </w:tcPr>
          <w:p w14:paraId="2F30217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89.39</w:t>
            </w:r>
          </w:p>
        </w:tc>
        <w:tc>
          <w:tcPr>
            <w:tcW w:w="1417" w:type="dxa"/>
            <w:tcBorders>
              <w:top w:val="nil"/>
            </w:tcBorders>
            <w:shd w:val="clear" w:color="auto" w:fill="E5E5E5" w:themeFill="background1" w:themeFillTint="33"/>
            <w:noWrap/>
            <w:vAlign w:val="bottom"/>
            <w:hideMark/>
          </w:tcPr>
          <w:p w14:paraId="64800E1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91.68</w:t>
            </w:r>
          </w:p>
        </w:tc>
        <w:tc>
          <w:tcPr>
            <w:tcW w:w="1276" w:type="dxa"/>
            <w:tcBorders>
              <w:top w:val="nil"/>
            </w:tcBorders>
            <w:shd w:val="clear" w:color="auto" w:fill="E5E5E5" w:themeFill="background1" w:themeFillTint="33"/>
            <w:noWrap/>
            <w:vAlign w:val="bottom"/>
            <w:hideMark/>
          </w:tcPr>
          <w:p w14:paraId="1FAA90D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r w:rsidR="00961617" w:rsidRPr="00545C7F" w14:paraId="1773EDED" w14:textId="77777777" w:rsidTr="0020771F">
        <w:trPr>
          <w:trHeight w:val="288"/>
        </w:trPr>
        <w:tc>
          <w:tcPr>
            <w:tcW w:w="1709" w:type="dxa"/>
            <w:tcBorders>
              <w:top w:val="nil"/>
            </w:tcBorders>
            <w:shd w:val="clear" w:color="auto" w:fill="auto"/>
            <w:noWrap/>
            <w:vAlign w:val="bottom"/>
            <w:hideMark/>
          </w:tcPr>
          <w:p w14:paraId="55903C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693</w:t>
            </w:r>
          </w:p>
        </w:tc>
        <w:tc>
          <w:tcPr>
            <w:tcW w:w="1567" w:type="dxa"/>
            <w:tcBorders>
              <w:top w:val="nil"/>
            </w:tcBorders>
            <w:shd w:val="clear" w:color="auto" w:fill="auto"/>
            <w:noWrap/>
            <w:vAlign w:val="bottom"/>
            <w:hideMark/>
          </w:tcPr>
          <w:p w14:paraId="196E99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87.35</w:t>
            </w:r>
          </w:p>
        </w:tc>
        <w:tc>
          <w:tcPr>
            <w:tcW w:w="1559" w:type="dxa"/>
            <w:tcBorders>
              <w:top w:val="nil"/>
            </w:tcBorders>
            <w:shd w:val="clear" w:color="auto" w:fill="auto"/>
            <w:noWrap/>
            <w:vAlign w:val="bottom"/>
            <w:hideMark/>
          </w:tcPr>
          <w:p w14:paraId="43058AE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90.00</w:t>
            </w:r>
          </w:p>
        </w:tc>
        <w:tc>
          <w:tcPr>
            <w:tcW w:w="1417" w:type="dxa"/>
            <w:tcBorders>
              <w:top w:val="nil"/>
            </w:tcBorders>
            <w:shd w:val="clear" w:color="auto" w:fill="auto"/>
            <w:noWrap/>
            <w:vAlign w:val="bottom"/>
            <w:hideMark/>
          </w:tcPr>
          <w:p w14:paraId="46AE30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91.68</w:t>
            </w:r>
          </w:p>
        </w:tc>
        <w:tc>
          <w:tcPr>
            <w:tcW w:w="1276" w:type="dxa"/>
            <w:tcBorders>
              <w:top w:val="nil"/>
            </w:tcBorders>
            <w:shd w:val="clear" w:color="auto" w:fill="auto"/>
            <w:noWrap/>
            <w:vAlign w:val="bottom"/>
            <w:hideMark/>
          </w:tcPr>
          <w:p w14:paraId="2383EE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r w:rsidR="00961617" w:rsidRPr="00545C7F" w14:paraId="57D10FD5" w14:textId="77777777" w:rsidTr="0020771F">
        <w:trPr>
          <w:trHeight w:val="288"/>
        </w:trPr>
        <w:tc>
          <w:tcPr>
            <w:tcW w:w="1709" w:type="dxa"/>
            <w:tcBorders>
              <w:top w:val="nil"/>
            </w:tcBorders>
            <w:shd w:val="clear" w:color="auto" w:fill="E5E5E5" w:themeFill="background1" w:themeFillTint="33"/>
            <w:noWrap/>
            <w:vAlign w:val="bottom"/>
            <w:hideMark/>
          </w:tcPr>
          <w:p w14:paraId="557B4F4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700</w:t>
            </w:r>
          </w:p>
        </w:tc>
        <w:tc>
          <w:tcPr>
            <w:tcW w:w="1567" w:type="dxa"/>
            <w:tcBorders>
              <w:top w:val="nil"/>
            </w:tcBorders>
            <w:shd w:val="clear" w:color="auto" w:fill="E5E5E5" w:themeFill="background1" w:themeFillTint="33"/>
            <w:noWrap/>
            <w:vAlign w:val="bottom"/>
            <w:hideMark/>
          </w:tcPr>
          <w:p w14:paraId="769E0B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88.15</w:t>
            </w:r>
          </w:p>
        </w:tc>
        <w:tc>
          <w:tcPr>
            <w:tcW w:w="1559" w:type="dxa"/>
            <w:tcBorders>
              <w:top w:val="nil"/>
            </w:tcBorders>
            <w:shd w:val="clear" w:color="auto" w:fill="E5E5E5" w:themeFill="background1" w:themeFillTint="33"/>
            <w:noWrap/>
            <w:vAlign w:val="bottom"/>
            <w:hideMark/>
          </w:tcPr>
          <w:p w14:paraId="28234F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90.20</w:t>
            </w:r>
          </w:p>
        </w:tc>
        <w:tc>
          <w:tcPr>
            <w:tcW w:w="1417" w:type="dxa"/>
            <w:tcBorders>
              <w:top w:val="nil"/>
            </w:tcBorders>
            <w:shd w:val="clear" w:color="auto" w:fill="E5E5E5" w:themeFill="background1" w:themeFillTint="33"/>
            <w:noWrap/>
            <w:vAlign w:val="bottom"/>
            <w:hideMark/>
          </w:tcPr>
          <w:p w14:paraId="6DA053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91.68</w:t>
            </w:r>
          </w:p>
        </w:tc>
        <w:tc>
          <w:tcPr>
            <w:tcW w:w="1276" w:type="dxa"/>
            <w:tcBorders>
              <w:top w:val="nil"/>
            </w:tcBorders>
            <w:shd w:val="clear" w:color="auto" w:fill="E5E5E5" w:themeFill="background1" w:themeFillTint="33"/>
            <w:noWrap/>
            <w:vAlign w:val="bottom"/>
            <w:hideMark/>
          </w:tcPr>
          <w:p w14:paraId="3A9DEE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r w:rsidR="00961617" w:rsidRPr="00545C7F" w14:paraId="2FEAEB76" w14:textId="77777777" w:rsidTr="0020771F">
        <w:trPr>
          <w:trHeight w:val="288"/>
        </w:trPr>
        <w:tc>
          <w:tcPr>
            <w:tcW w:w="1709" w:type="dxa"/>
            <w:tcBorders>
              <w:top w:val="nil"/>
            </w:tcBorders>
            <w:shd w:val="clear" w:color="auto" w:fill="auto"/>
            <w:noWrap/>
            <w:vAlign w:val="bottom"/>
            <w:hideMark/>
          </w:tcPr>
          <w:p w14:paraId="0A5953B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707</w:t>
            </w:r>
          </w:p>
        </w:tc>
        <w:tc>
          <w:tcPr>
            <w:tcW w:w="1567" w:type="dxa"/>
            <w:tcBorders>
              <w:top w:val="nil"/>
            </w:tcBorders>
            <w:shd w:val="clear" w:color="auto" w:fill="auto"/>
            <w:noWrap/>
            <w:vAlign w:val="bottom"/>
            <w:hideMark/>
          </w:tcPr>
          <w:p w14:paraId="1FED7E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88.71</w:t>
            </w:r>
          </w:p>
        </w:tc>
        <w:tc>
          <w:tcPr>
            <w:tcW w:w="1559" w:type="dxa"/>
            <w:tcBorders>
              <w:top w:val="nil"/>
            </w:tcBorders>
            <w:shd w:val="clear" w:color="auto" w:fill="auto"/>
            <w:noWrap/>
            <w:vAlign w:val="bottom"/>
            <w:hideMark/>
          </w:tcPr>
          <w:p w14:paraId="751CD6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90.65</w:t>
            </w:r>
          </w:p>
        </w:tc>
        <w:tc>
          <w:tcPr>
            <w:tcW w:w="1417" w:type="dxa"/>
            <w:tcBorders>
              <w:top w:val="nil"/>
            </w:tcBorders>
            <w:shd w:val="clear" w:color="auto" w:fill="auto"/>
            <w:noWrap/>
            <w:vAlign w:val="bottom"/>
            <w:hideMark/>
          </w:tcPr>
          <w:p w14:paraId="6E660F1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92.25</w:t>
            </w:r>
          </w:p>
        </w:tc>
        <w:tc>
          <w:tcPr>
            <w:tcW w:w="1276" w:type="dxa"/>
            <w:tcBorders>
              <w:top w:val="nil"/>
            </w:tcBorders>
            <w:shd w:val="clear" w:color="auto" w:fill="auto"/>
            <w:noWrap/>
            <w:vAlign w:val="bottom"/>
            <w:hideMark/>
          </w:tcPr>
          <w:p w14:paraId="5C5E7C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r w:rsidR="00961617" w:rsidRPr="00545C7F" w14:paraId="58C07309" w14:textId="77777777" w:rsidTr="0020771F">
        <w:trPr>
          <w:trHeight w:val="288"/>
        </w:trPr>
        <w:tc>
          <w:tcPr>
            <w:tcW w:w="1709" w:type="dxa"/>
            <w:tcBorders>
              <w:top w:val="nil"/>
            </w:tcBorders>
            <w:shd w:val="clear" w:color="auto" w:fill="E5E5E5" w:themeFill="background1" w:themeFillTint="33"/>
            <w:noWrap/>
            <w:vAlign w:val="bottom"/>
            <w:hideMark/>
          </w:tcPr>
          <w:p w14:paraId="6257C8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714</w:t>
            </w:r>
          </w:p>
        </w:tc>
        <w:tc>
          <w:tcPr>
            <w:tcW w:w="1567" w:type="dxa"/>
            <w:tcBorders>
              <w:top w:val="nil"/>
            </w:tcBorders>
            <w:shd w:val="clear" w:color="auto" w:fill="E5E5E5" w:themeFill="background1" w:themeFillTint="33"/>
            <w:noWrap/>
            <w:vAlign w:val="bottom"/>
            <w:hideMark/>
          </w:tcPr>
          <w:p w14:paraId="5CA6B2D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89.00</w:t>
            </w:r>
          </w:p>
        </w:tc>
        <w:tc>
          <w:tcPr>
            <w:tcW w:w="1559" w:type="dxa"/>
            <w:tcBorders>
              <w:top w:val="nil"/>
            </w:tcBorders>
            <w:shd w:val="clear" w:color="auto" w:fill="E5E5E5" w:themeFill="background1" w:themeFillTint="33"/>
            <w:noWrap/>
            <w:vAlign w:val="bottom"/>
            <w:hideMark/>
          </w:tcPr>
          <w:p w14:paraId="0228F70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91.62</w:t>
            </w:r>
          </w:p>
        </w:tc>
        <w:tc>
          <w:tcPr>
            <w:tcW w:w="1417" w:type="dxa"/>
            <w:tcBorders>
              <w:top w:val="nil"/>
            </w:tcBorders>
            <w:shd w:val="clear" w:color="auto" w:fill="E5E5E5" w:themeFill="background1" w:themeFillTint="33"/>
            <w:noWrap/>
            <w:vAlign w:val="bottom"/>
            <w:hideMark/>
          </w:tcPr>
          <w:p w14:paraId="789944C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92.25</w:t>
            </w:r>
          </w:p>
        </w:tc>
        <w:tc>
          <w:tcPr>
            <w:tcW w:w="1276" w:type="dxa"/>
            <w:tcBorders>
              <w:top w:val="nil"/>
            </w:tcBorders>
            <w:shd w:val="clear" w:color="auto" w:fill="E5E5E5" w:themeFill="background1" w:themeFillTint="33"/>
            <w:noWrap/>
            <w:vAlign w:val="bottom"/>
            <w:hideMark/>
          </w:tcPr>
          <w:p w14:paraId="2AF01E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r w:rsidR="00961617" w:rsidRPr="00545C7F" w14:paraId="5457A483" w14:textId="77777777" w:rsidTr="0020771F">
        <w:trPr>
          <w:trHeight w:val="288"/>
        </w:trPr>
        <w:tc>
          <w:tcPr>
            <w:tcW w:w="1709" w:type="dxa"/>
            <w:tcBorders>
              <w:top w:val="nil"/>
              <w:bottom w:val="single" w:sz="4" w:space="0" w:color="auto"/>
            </w:tcBorders>
            <w:shd w:val="clear" w:color="auto" w:fill="auto"/>
            <w:noWrap/>
            <w:vAlign w:val="bottom"/>
            <w:hideMark/>
          </w:tcPr>
          <w:p w14:paraId="6A0A10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721</w:t>
            </w:r>
          </w:p>
        </w:tc>
        <w:tc>
          <w:tcPr>
            <w:tcW w:w="1567" w:type="dxa"/>
            <w:tcBorders>
              <w:top w:val="nil"/>
              <w:bottom w:val="single" w:sz="4" w:space="0" w:color="auto"/>
            </w:tcBorders>
            <w:shd w:val="clear" w:color="auto" w:fill="auto"/>
            <w:noWrap/>
            <w:vAlign w:val="bottom"/>
            <w:hideMark/>
          </w:tcPr>
          <w:p w14:paraId="1F170F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89.80</w:t>
            </w:r>
          </w:p>
        </w:tc>
        <w:tc>
          <w:tcPr>
            <w:tcW w:w="1559" w:type="dxa"/>
            <w:tcBorders>
              <w:top w:val="nil"/>
              <w:bottom w:val="single" w:sz="4" w:space="0" w:color="auto"/>
            </w:tcBorders>
            <w:shd w:val="clear" w:color="auto" w:fill="auto"/>
            <w:noWrap/>
            <w:vAlign w:val="bottom"/>
            <w:hideMark/>
          </w:tcPr>
          <w:p w14:paraId="52CBCAD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93.10</w:t>
            </w:r>
          </w:p>
        </w:tc>
        <w:tc>
          <w:tcPr>
            <w:tcW w:w="1417" w:type="dxa"/>
            <w:tcBorders>
              <w:top w:val="nil"/>
              <w:bottom w:val="single" w:sz="4" w:space="0" w:color="auto"/>
            </w:tcBorders>
            <w:shd w:val="clear" w:color="auto" w:fill="auto"/>
            <w:noWrap/>
            <w:vAlign w:val="bottom"/>
            <w:hideMark/>
          </w:tcPr>
          <w:p w14:paraId="6F30C98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92.25</w:t>
            </w:r>
          </w:p>
        </w:tc>
        <w:tc>
          <w:tcPr>
            <w:tcW w:w="1276" w:type="dxa"/>
            <w:tcBorders>
              <w:top w:val="nil"/>
              <w:bottom w:val="single" w:sz="4" w:space="0" w:color="auto"/>
            </w:tcBorders>
            <w:shd w:val="clear" w:color="auto" w:fill="auto"/>
            <w:noWrap/>
            <w:vAlign w:val="bottom"/>
            <w:hideMark/>
          </w:tcPr>
          <w:p w14:paraId="3DB142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92.64</w:t>
            </w:r>
          </w:p>
        </w:tc>
      </w:tr>
    </w:tbl>
    <w:p w14:paraId="414F223C" w14:textId="77777777" w:rsidR="00961617" w:rsidRPr="002F5864" w:rsidRDefault="00961617" w:rsidP="00E13B5E">
      <w:pPr>
        <w:pStyle w:val="Notes"/>
        <w:rPr>
          <w:b/>
        </w:rPr>
      </w:pPr>
      <w:r w:rsidRPr="002F5864">
        <w:rPr>
          <w:b/>
        </w:rPr>
        <w:t xml:space="preserve">Note: </w:t>
      </w:r>
      <w:r w:rsidRPr="002F5864">
        <w:rPr>
          <w:b/>
        </w:rPr>
        <w:tab/>
      </w:r>
      <w:r w:rsidRPr="002F5864">
        <w:t>Elapsed days.</w:t>
      </w:r>
    </w:p>
    <w:p w14:paraId="13E1402D" w14:textId="77777777" w:rsidR="00961617" w:rsidRPr="002F5864" w:rsidRDefault="00961617" w:rsidP="00961617">
      <w:pPr>
        <w:pStyle w:val="FootnoteText"/>
        <w:ind w:left="0" w:firstLine="0"/>
        <w:rPr>
          <w:rFonts w:eastAsia="Times New Roman" w:cstheme="minorHAnsi"/>
          <w:lang w:eastAsia="en-AU"/>
        </w:rPr>
      </w:pPr>
      <w:r w:rsidRPr="002F5864">
        <w:rPr>
          <w:rFonts w:cstheme="minorHAnsi"/>
          <w:b/>
        </w:rPr>
        <w:t>Source:</w:t>
      </w:r>
      <w:r w:rsidRPr="002F5864">
        <w:rPr>
          <w:rFonts w:cstheme="minorHAnsi"/>
          <w:b/>
        </w:rPr>
        <w:tab/>
      </w:r>
      <w:r w:rsidRPr="002F5864">
        <w:rPr>
          <w:rFonts w:eastAsia="Times New Roman" w:cstheme="minorHAnsi"/>
          <w:lang w:eastAsia="en-AU"/>
        </w:rPr>
        <w:t>Department of Employment administrative data.</w:t>
      </w:r>
    </w:p>
    <w:p w14:paraId="4367B2CC" w14:textId="77777777" w:rsidR="00961617" w:rsidRPr="002F5864" w:rsidRDefault="00864C5E" w:rsidP="00961617">
      <w:pPr>
        <w:spacing w:before="120"/>
        <w:rPr>
          <w:rFonts w:cstheme="minorHAnsi"/>
          <w:sz w:val="18"/>
          <w:szCs w:val="18"/>
        </w:rPr>
      </w:pPr>
      <w:hyperlink w:anchor="Place_A225" w:history="1">
        <w:r w:rsidR="00961617" w:rsidRPr="00DD4BF4">
          <w:rPr>
            <w:rStyle w:val="Hyperlink"/>
            <w:rFonts w:cstheme="minorHAnsi"/>
            <w:sz w:val="18"/>
            <w:szCs w:val="18"/>
          </w:rPr>
          <w:t>Return to Table 5.2</w:t>
        </w:r>
      </w:hyperlink>
      <w:r w:rsidR="00961617" w:rsidRPr="002F5864">
        <w:rPr>
          <w:rFonts w:cstheme="minorHAnsi"/>
          <w:sz w:val="18"/>
          <w:szCs w:val="18"/>
        </w:rPr>
        <w:t xml:space="preserve"> where this data is referenced.</w:t>
      </w:r>
    </w:p>
    <w:p w14:paraId="7C431BA4" w14:textId="77777777" w:rsidR="00961617" w:rsidRDefault="00961617" w:rsidP="00961617">
      <w:pPr>
        <w:rPr>
          <w:rFonts w:eastAsia="Times New Roman" w:cstheme="minorHAnsi"/>
          <w:lang w:eastAsia="en-AU"/>
        </w:rPr>
      </w:pPr>
      <w:r w:rsidRPr="002F5864">
        <w:rPr>
          <w:rFonts w:eastAsia="Times New Roman" w:cstheme="minorHAnsi"/>
          <w:lang w:eastAsia="en-AU"/>
        </w:rPr>
        <w:br w:type="page"/>
      </w:r>
    </w:p>
    <w:p w14:paraId="3588531F" w14:textId="77777777" w:rsidR="00961617" w:rsidRPr="002F5864" w:rsidRDefault="00961617" w:rsidP="00961617">
      <w:pPr>
        <w:pStyle w:val="TableheadingforappendixA1"/>
        <w:rPr>
          <w:rFonts w:eastAsiaTheme="majorEastAsia" w:cstheme="minorHAnsi"/>
        </w:rPr>
      </w:pPr>
      <w:bookmarkStart w:id="687" w:name="_Toc513129919"/>
      <w:r>
        <w:rPr>
          <w:rFonts w:eastAsiaTheme="majorEastAsia" w:cstheme="minorHAnsi"/>
        </w:rPr>
        <w:t xml:space="preserve">Table A2.26: </w:t>
      </w:r>
      <w:r w:rsidRPr="002F5864">
        <w:rPr>
          <w:rFonts w:eastAsiaTheme="majorEastAsia" w:cstheme="minorHAnsi"/>
        </w:rPr>
        <w:t>Time in service to the first assessment that recommended the job seeker move to a higher stream or to DES by commencement stream (days</w:t>
      </w:r>
      <w:r>
        <w:rPr>
          <w:rFonts w:eastAsiaTheme="majorEastAsia" w:cstheme="minorHAnsi"/>
        </w:rPr>
        <w:t xml:space="preserve"> and ppt</w:t>
      </w:r>
      <w:r w:rsidRPr="002F5864">
        <w:rPr>
          <w:rFonts w:eastAsiaTheme="majorEastAsia" w:cstheme="minorHAnsi"/>
        </w:rPr>
        <w:t>)</w:t>
      </w:r>
      <w:bookmarkEnd w:id="687"/>
    </w:p>
    <w:tbl>
      <w:tblPr>
        <w:tblW w:w="8224" w:type="dxa"/>
        <w:tblInd w:w="93" w:type="dxa"/>
        <w:tblLook w:val="04A0" w:firstRow="1" w:lastRow="0" w:firstColumn="1" w:lastColumn="0" w:noHBand="0" w:noVBand="1"/>
      </w:tblPr>
      <w:tblGrid>
        <w:gridCol w:w="3559"/>
        <w:gridCol w:w="263"/>
        <w:gridCol w:w="905"/>
        <w:gridCol w:w="151"/>
        <w:gridCol w:w="904"/>
        <w:gridCol w:w="174"/>
        <w:gridCol w:w="960"/>
        <w:gridCol w:w="174"/>
        <w:gridCol w:w="960"/>
        <w:gridCol w:w="174"/>
      </w:tblGrid>
      <w:tr w:rsidR="00961617" w:rsidRPr="00545C7F" w14:paraId="7D2AD34E" w14:textId="77777777" w:rsidTr="0020771F">
        <w:trPr>
          <w:trHeight w:val="288"/>
          <w:tblHeader/>
        </w:trPr>
        <w:tc>
          <w:tcPr>
            <w:tcW w:w="3822" w:type="dxa"/>
            <w:gridSpan w:val="2"/>
            <w:shd w:val="clear" w:color="auto" w:fill="1E3D6B"/>
            <w:noWrap/>
            <w:hideMark/>
          </w:tcPr>
          <w:p w14:paraId="49E99F82" w14:textId="77777777" w:rsidR="00961617" w:rsidRPr="00545C7F" w:rsidRDefault="00961617" w:rsidP="0020771F">
            <w:pPr>
              <w:keepNext/>
              <w:keepLines/>
              <w:spacing w:after="0" w:line="240" w:lineRule="auto"/>
              <w:ind w:left="-89"/>
              <w:rPr>
                <w:rFonts w:eastAsia="Times New Roman" w:cstheme="minorHAnsi"/>
                <w:b/>
                <w:color w:val="FFFFFF" w:themeColor="background2"/>
                <w:sz w:val="20"/>
                <w:szCs w:val="20"/>
                <w:lang w:eastAsia="en-AU"/>
              </w:rPr>
            </w:pPr>
            <w:bookmarkStart w:id="688" w:name="Title_A226"/>
            <w:bookmarkEnd w:id="688"/>
            <w:r w:rsidRPr="00545C7F">
              <w:rPr>
                <w:rFonts w:eastAsia="Times New Roman" w:cstheme="minorHAnsi"/>
                <w:b/>
                <w:color w:val="FFFFFF" w:themeColor="background2"/>
                <w:sz w:val="20"/>
                <w:szCs w:val="20"/>
                <w:lang w:eastAsia="en-AU"/>
              </w:rPr>
              <w:t>Stream and model</w:t>
            </w:r>
          </w:p>
        </w:tc>
        <w:tc>
          <w:tcPr>
            <w:tcW w:w="1056" w:type="dxa"/>
            <w:gridSpan w:val="2"/>
            <w:shd w:val="clear" w:color="auto" w:fill="1E3D6B"/>
            <w:noWrap/>
            <w:hideMark/>
          </w:tcPr>
          <w:p w14:paraId="22991080" w14:textId="77777777" w:rsidR="00961617" w:rsidRPr="00545C7F" w:rsidRDefault="00961617" w:rsidP="0020771F">
            <w:pPr>
              <w:keepNext/>
              <w:keepLines/>
              <w:spacing w:after="0"/>
              <w:jc w:val="center"/>
              <w:outlineLvl w:val="3"/>
              <w:rPr>
                <w:rFonts w:eastAsia="Times New Roman" w:cstheme="minorHAnsi"/>
                <w:b/>
                <w:bCs/>
                <w:iCs/>
                <w:sz w:val="20"/>
                <w:szCs w:val="20"/>
                <w:lang w:eastAsia="en-AU"/>
              </w:rPr>
            </w:pPr>
            <w:r w:rsidRPr="00545C7F">
              <w:rPr>
                <w:rFonts w:eastAsia="Times New Roman" w:cstheme="minorHAnsi"/>
                <w:b/>
                <w:bCs/>
                <w:iCs/>
                <w:sz w:val="20"/>
                <w:szCs w:val="20"/>
                <w:lang w:eastAsia="en-AU"/>
              </w:rPr>
              <w:t>25</w:t>
            </w:r>
            <w:r w:rsidRPr="00545C7F">
              <w:rPr>
                <w:rFonts w:eastAsia="Times New Roman" w:cstheme="minorHAnsi"/>
                <w:b/>
                <w:bCs/>
                <w:iCs/>
                <w:sz w:val="20"/>
                <w:szCs w:val="20"/>
                <w:vertAlign w:val="superscript"/>
                <w:lang w:eastAsia="en-AU"/>
              </w:rPr>
              <w:t xml:space="preserve">th </w:t>
            </w:r>
            <w:r w:rsidRPr="00545C7F">
              <w:rPr>
                <w:rFonts w:eastAsia="Times New Roman" w:cstheme="minorHAnsi"/>
                <w:b/>
                <w:bCs/>
                <w:iCs/>
                <w:sz w:val="20"/>
                <w:szCs w:val="20"/>
                <w:lang w:eastAsia="en-AU"/>
              </w:rPr>
              <w:t>percentile</w:t>
            </w:r>
          </w:p>
        </w:tc>
        <w:tc>
          <w:tcPr>
            <w:tcW w:w="1078" w:type="dxa"/>
            <w:gridSpan w:val="2"/>
            <w:shd w:val="clear" w:color="auto" w:fill="1E3D6B"/>
            <w:noWrap/>
            <w:hideMark/>
          </w:tcPr>
          <w:p w14:paraId="651AC2E8" w14:textId="77777777" w:rsidR="00961617" w:rsidRPr="00545C7F" w:rsidRDefault="00961617" w:rsidP="0020771F">
            <w:pPr>
              <w:keepNext/>
              <w:keepLines/>
              <w:spacing w:after="0"/>
              <w:jc w:val="center"/>
              <w:outlineLvl w:val="3"/>
              <w:rPr>
                <w:rFonts w:eastAsia="Times New Roman" w:cstheme="minorHAnsi"/>
                <w:b/>
                <w:bCs/>
                <w:iCs/>
                <w:sz w:val="20"/>
                <w:szCs w:val="20"/>
                <w:lang w:eastAsia="en-AU"/>
              </w:rPr>
            </w:pPr>
            <w:r w:rsidRPr="00545C7F">
              <w:rPr>
                <w:rFonts w:eastAsia="Times New Roman" w:cstheme="minorHAnsi"/>
                <w:b/>
                <w:bCs/>
                <w:iCs/>
                <w:sz w:val="20"/>
                <w:szCs w:val="20"/>
                <w:lang w:eastAsia="en-AU"/>
              </w:rPr>
              <w:t>50</w:t>
            </w:r>
            <w:r w:rsidRPr="00545C7F">
              <w:rPr>
                <w:rFonts w:eastAsia="Times New Roman" w:cstheme="minorHAnsi"/>
                <w:b/>
                <w:bCs/>
                <w:iCs/>
                <w:sz w:val="20"/>
                <w:szCs w:val="20"/>
                <w:vertAlign w:val="superscript"/>
                <w:lang w:eastAsia="en-AU"/>
              </w:rPr>
              <w:t xml:space="preserve">th </w:t>
            </w:r>
            <w:r w:rsidRPr="00545C7F">
              <w:rPr>
                <w:rFonts w:eastAsia="Times New Roman" w:cstheme="minorHAnsi"/>
                <w:b/>
                <w:bCs/>
                <w:iCs/>
                <w:sz w:val="20"/>
                <w:szCs w:val="20"/>
                <w:lang w:eastAsia="en-AU"/>
              </w:rPr>
              <w:t>percentile</w:t>
            </w:r>
          </w:p>
        </w:tc>
        <w:tc>
          <w:tcPr>
            <w:tcW w:w="1134" w:type="dxa"/>
            <w:gridSpan w:val="2"/>
            <w:shd w:val="clear" w:color="auto" w:fill="1E3D6B"/>
            <w:noWrap/>
            <w:hideMark/>
          </w:tcPr>
          <w:p w14:paraId="4EB43844" w14:textId="77777777" w:rsidR="00961617" w:rsidRPr="00545C7F" w:rsidRDefault="00961617" w:rsidP="0020771F">
            <w:pPr>
              <w:keepNext/>
              <w:keepLines/>
              <w:spacing w:after="0"/>
              <w:jc w:val="center"/>
              <w:outlineLvl w:val="3"/>
              <w:rPr>
                <w:rFonts w:eastAsia="Times New Roman" w:cstheme="minorHAnsi"/>
                <w:b/>
                <w:bCs/>
                <w:iCs/>
                <w:sz w:val="20"/>
                <w:szCs w:val="20"/>
                <w:lang w:eastAsia="en-AU"/>
              </w:rPr>
            </w:pPr>
            <w:r w:rsidRPr="00545C7F">
              <w:rPr>
                <w:rFonts w:eastAsia="Times New Roman" w:cstheme="minorHAnsi"/>
                <w:b/>
                <w:bCs/>
                <w:iCs/>
                <w:sz w:val="20"/>
                <w:szCs w:val="20"/>
                <w:lang w:eastAsia="en-AU"/>
              </w:rPr>
              <w:t>75</w:t>
            </w:r>
            <w:r w:rsidRPr="00545C7F">
              <w:rPr>
                <w:rFonts w:eastAsia="Times New Roman" w:cstheme="minorHAnsi"/>
                <w:b/>
                <w:bCs/>
                <w:iCs/>
                <w:sz w:val="20"/>
                <w:szCs w:val="20"/>
                <w:vertAlign w:val="superscript"/>
                <w:lang w:eastAsia="en-AU"/>
              </w:rPr>
              <w:t>th</w:t>
            </w:r>
            <w:r w:rsidRPr="00545C7F">
              <w:rPr>
                <w:rFonts w:eastAsia="Times New Roman" w:cstheme="minorHAnsi"/>
                <w:b/>
                <w:bCs/>
                <w:iCs/>
                <w:sz w:val="20"/>
                <w:szCs w:val="20"/>
                <w:lang w:eastAsia="en-AU"/>
              </w:rPr>
              <w:t xml:space="preserve"> percentile</w:t>
            </w:r>
          </w:p>
        </w:tc>
        <w:tc>
          <w:tcPr>
            <w:tcW w:w="1134" w:type="dxa"/>
            <w:gridSpan w:val="2"/>
            <w:shd w:val="clear" w:color="auto" w:fill="1E3D6B"/>
            <w:noWrap/>
            <w:hideMark/>
          </w:tcPr>
          <w:p w14:paraId="72DF5773" w14:textId="77777777" w:rsidR="00961617" w:rsidRPr="00545C7F" w:rsidRDefault="00961617" w:rsidP="0020771F">
            <w:pPr>
              <w:keepNext/>
              <w:keepLines/>
              <w:spacing w:after="0"/>
              <w:jc w:val="center"/>
              <w:outlineLvl w:val="3"/>
              <w:rPr>
                <w:rFonts w:eastAsia="Times New Roman" w:cstheme="minorHAnsi"/>
                <w:b/>
                <w:bCs/>
                <w:iCs/>
                <w:sz w:val="20"/>
                <w:szCs w:val="20"/>
                <w:lang w:eastAsia="en-AU"/>
              </w:rPr>
            </w:pPr>
            <w:r w:rsidRPr="00545C7F">
              <w:rPr>
                <w:rFonts w:eastAsia="Times New Roman" w:cstheme="minorHAnsi"/>
                <w:b/>
                <w:bCs/>
                <w:iCs/>
                <w:sz w:val="20"/>
                <w:szCs w:val="20"/>
                <w:lang w:eastAsia="en-AU"/>
              </w:rPr>
              <w:t>90</w:t>
            </w:r>
            <w:r w:rsidRPr="00545C7F">
              <w:rPr>
                <w:rFonts w:eastAsia="Times New Roman" w:cstheme="minorHAnsi"/>
                <w:b/>
                <w:bCs/>
                <w:iCs/>
                <w:sz w:val="20"/>
                <w:szCs w:val="20"/>
                <w:vertAlign w:val="superscript"/>
                <w:lang w:eastAsia="en-AU"/>
              </w:rPr>
              <w:t xml:space="preserve">th </w:t>
            </w:r>
            <w:r w:rsidRPr="00545C7F">
              <w:rPr>
                <w:rFonts w:eastAsia="Times New Roman" w:cstheme="minorHAnsi"/>
                <w:b/>
                <w:bCs/>
                <w:iCs/>
                <w:sz w:val="20"/>
                <w:szCs w:val="20"/>
                <w:lang w:eastAsia="en-AU"/>
              </w:rPr>
              <w:t>percentile</w:t>
            </w:r>
          </w:p>
        </w:tc>
      </w:tr>
      <w:tr w:rsidR="00961617" w:rsidRPr="00545C7F" w14:paraId="621F2655" w14:textId="77777777" w:rsidTr="0020771F">
        <w:trPr>
          <w:gridAfter w:val="1"/>
          <w:wAfter w:w="174" w:type="dxa"/>
          <w:trHeight w:hRule="exact" w:val="340"/>
          <w:tblHeader/>
        </w:trPr>
        <w:tc>
          <w:tcPr>
            <w:tcW w:w="3559" w:type="dxa"/>
            <w:shd w:val="clear" w:color="000000" w:fill="FFFFFF"/>
            <w:noWrap/>
            <w:vAlign w:val="center"/>
            <w:hideMark/>
          </w:tcPr>
          <w:p w14:paraId="6EF95357"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2009 Stream 1 (days)</w:t>
            </w:r>
          </w:p>
        </w:tc>
        <w:tc>
          <w:tcPr>
            <w:tcW w:w="1168" w:type="dxa"/>
            <w:gridSpan w:val="2"/>
            <w:shd w:val="clear" w:color="auto" w:fill="auto"/>
            <w:noWrap/>
            <w:vAlign w:val="center"/>
            <w:hideMark/>
          </w:tcPr>
          <w:p w14:paraId="6DFF221F"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w:t>
            </w:r>
          </w:p>
        </w:tc>
        <w:tc>
          <w:tcPr>
            <w:tcW w:w="1055" w:type="dxa"/>
            <w:gridSpan w:val="2"/>
            <w:shd w:val="clear" w:color="auto" w:fill="auto"/>
            <w:noWrap/>
            <w:vAlign w:val="center"/>
            <w:hideMark/>
          </w:tcPr>
          <w:p w14:paraId="6FCCE04B"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162</w:t>
            </w:r>
          </w:p>
        </w:tc>
        <w:tc>
          <w:tcPr>
            <w:tcW w:w="1134" w:type="dxa"/>
            <w:gridSpan w:val="2"/>
            <w:shd w:val="clear" w:color="auto" w:fill="auto"/>
            <w:noWrap/>
            <w:vAlign w:val="center"/>
            <w:hideMark/>
          </w:tcPr>
          <w:p w14:paraId="21C57FC7"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335</w:t>
            </w:r>
          </w:p>
        </w:tc>
        <w:tc>
          <w:tcPr>
            <w:tcW w:w="1134" w:type="dxa"/>
            <w:gridSpan w:val="2"/>
            <w:shd w:val="clear" w:color="auto" w:fill="auto"/>
            <w:noWrap/>
            <w:vAlign w:val="center"/>
            <w:hideMark/>
          </w:tcPr>
          <w:p w14:paraId="30C3C9BD"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402</w:t>
            </w:r>
          </w:p>
        </w:tc>
      </w:tr>
      <w:tr w:rsidR="00961617" w:rsidRPr="00545C7F" w14:paraId="2D831232" w14:textId="77777777" w:rsidTr="0020771F">
        <w:trPr>
          <w:gridAfter w:val="1"/>
          <w:wAfter w:w="174" w:type="dxa"/>
          <w:trHeight w:hRule="exact" w:val="340"/>
          <w:tblHeader/>
        </w:trPr>
        <w:tc>
          <w:tcPr>
            <w:tcW w:w="3559" w:type="dxa"/>
            <w:shd w:val="clear" w:color="auto" w:fill="E5E5E5" w:themeFill="background1" w:themeFillTint="33"/>
            <w:noWrap/>
            <w:vAlign w:val="center"/>
            <w:hideMark/>
          </w:tcPr>
          <w:p w14:paraId="600E8071"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2009 Stream 2 (days)</w:t>
            </w:r>
          </w:p>
        </w:tc>
        <w:tc>
          <w:tcPr>
            <w:tcW w:w="1168" w:type="dxa"/>
            <w:gridSpan w:val="2"/>
            <w:shd w:val="clear" w:color="auto" w:fill="E5E5E5" w:themeFill="background1" w:themeFillTint="33"/>
            <w:noWrap/>
            <w:vAlign w:val="center"/>
            <w:hideMark/>
          </w:tcPr>
          <w:p w14:paraId="276248AB"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60</w:t>
            </w:r>
          </w:p>
        </w:tc>
        <w:tc>
          <w:tcPr>
            <w:tcW w:w="1055" w:type="dxa"/>
            <w:gridSpan w:val="2"/>
            <w:shd w:val="clear" w:color="auto" w:fill="E5E5E5" w:themeFill="background1" w:themeFillTint="33"/>
            <w:noWrap/>
            <w:vAlign w:val="center"/>
            <w:hideMark/>
          </w:tcPr>
          <w:p w14:paraId="008A84E4"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182</w:t>
            </w:r>
          </w:p>
        </w:tc>
        <w:tc>
          <w:tcPr>
            <w:tcW w:w="1134" w:type="dxa"/>
            <w:gridSpan w:val="2"/>
            <w:shd w:val="clear" w:color="auto" w:fill="E5E5E5" w:themeFill="background1" w:themeFillTint="33"/>
            <w:noWrap/>
            <w:vAlign w:val="center"/>
            <w:hideMark/>
          </w:tcPr>
          <w:p w14:paraId="5D18DE37"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345</w:t>
            </w:r>
          </w:p>
        </w:tc>
        <w:tc>
          <w:tcPr>
            <w:tcW w:w="1134" w:type="dxa"/>
            <w:gridSpan w:val="2"/>
            <w:shd w:val="clear" w:color="auto" w:fill="E5E5E5" w:themeFill="background1" w:themeFillTint="33"/>
            <w:noWrap/>
            <w:vAlign w:val="center"/>
            <w:hideMark/>
          </w:tcPr>
          <w:p w14:paraId="1E11D773"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414</w:t>
            </w:r>
          </w:p>
        </w:tc>
      </w:tr>
      <w:tr w:rsidR="00961617" w:rsidRPr="00545C7F" w14:paraId="2C5348D6" w14:textId="77777777" w:rsidTr="0020771F">
        <w:trPr>
          <w:gridAfter w:val="1"/>
          <w:wAfter w:w="174" w:type="dxa"/>
          <w:trHeight w:hRule="exact" w:val="340"/>
          <w:tblHeader/>
        </w:trPr>
        <w:tc>
          <w:tcPr>
            <w:tcW w:w="3559" w:type="dxa"/>
            <w:shd w:val="clear" w:color="000000" w:fill="FFFFFF"/>
            <w:noWrap/>
            <w:vAlign w:val="center"/>
            <w:hideMark/>
          </w:tcPr>
          <w:p w14:paraId="185DE394"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2009 Stream 3 (days)</w:t>
            </w:r>
          </w:p>
        </w:tc>
        <w:tc>
          <w:tcPr>
            <w:tcW w:w="1168" w:type="dxa"/>
            <w:gridSpan w:val="2"/>
            <w:shd w:val="clear" w:color="auto" w:fill="auto"/>
            <w:noWrap/>
            <w:vAlign w:val="center"/>
            <w:hideMark/>
          </w:tcPr>
          <w:p w14:paraId="64F06F51"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57</w:t>
            </w:r>
          </w:p>
        </w:tc>
        <w:tc>
          <w:tcPr>
            <w:tcW w:w="1055" w:type="dxa"/>
            <w:gridSpan w:val="2"/>
            <w:shd w:val="clear" w:color="auto" w:fill="auto"/>
            <w:noWrap/>
            <w:vAlign w:val="center"/>
            <w:hideMark/>
          </w:tcPr>
          <w:p w14:paraId="76EB6C5C"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152</w:t>
            </w:r>
          </w:p>
        </w:tc>
        <w:tc>
          <w:tcPr>
            <w:tcW w:w="1134" w:type="dxa"/>
            <w:gridSpan w:val="2"/>
            <w:shd w:val="clear" w:color="auto" w:fill="auto"/>
            <w:noWrap/>
            <w:vAlign w:val="center"/>
            <w:hideMark/>
          </w:tcPr>
          <w:p w14:paraId="40A901E1"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293</w:t>
            </w:r>
          </w:p>
        </w:tc>
        <w:tc>
          <w:tcPr>
            <w:tcW w:w="1134" w:type="dxa"/>
            <w:gridSpan w:val="2"/>
            <w:shd w:val="clear" w:color="auto" w:fill="auto"/>
            <w:noWrap/>
            <w:vAlign w:val="center"/>
            <w:hideMark/>
          </w:tcPr>
          <w:p w14:paraId="2EB9E357"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395</w:t>
            </w:r>
          </w:p>
        </w:tc>
      </w:tr>
      <w:tr w:rsidR="00961617" w:rsidRPr="00545C7F" w14:paraId="12A11929" w14:textId="77777777" w:rsidTr="0020771F">
        <w:trPr>
          <w:gridAfter w:val="1"/>
          <w:wAfter w:w="174" w:type="dxa"/>
          <w:trHeight w:hRule="exact" w:val="340"/>
          <w:tblHeader/>
        </w:trPr>
        <w:tc>
          <w:tcPr>
            <w:tcW w:w="3559" w:type="dxa"/>
            <w:shd w:val="clear" w:color="auto" w:fill="E5E5E5" w:themeFill="background1" w:themeFillTint="33"/>
            <w:noWrap/>
            <w:vAlign w:val="center"/>
            <w:hideMark/>
          </w:tcPr>
          <w:p w14:paraId="121E177B"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2012 Stream 1 (days)</w:t>
            </w:r>
          </w:p>
        </w:tc>
        <w:tc>
          <w:tcPr>
            <w:tcW w:w="1168" w:type="dxa"/>
            <w:gridSpan w:val="2"/>
            <w:shd w:val="clear" w:color="auto" w:fill="E5E5E5" w:themeFill="background1" w:themeFillTint="33"/>
            <w:noWrap/>
            <w:vAlign w:val="center"/>
            <w:hideMark/>
          </w:tcPr>
          <w:p w14:paraId="27778614"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95</w:t>
            </w:r>
          </w:p>
        </w:tc>
        <w:tc>
          <w:tcPr>
            <w:tcW w:w="1055" w:type="dxa"/>
            <w:gridSpan w:val="2"/>
            <w:shd w:val="clear" w:color="auto" w:fill="E5E5E5" w:themeFill="background1" w:themeFillTint="33"/>
            <w:noWrap/>
            <w:vAlign w:val="center"/>
            <w:hideMark/>
          </w:tcPr>
          <w:p w14:paraId="2F5F702E"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c>
          <w:tcPr>
            <w:tcW w:w="1134" w:type="dxa"/>
            <w:gridSpan w:val="2"/>
            <w:shd w:val="clear" w:color="auto" w:fill="E5E5E5" w:themeFill="background1" w:themeFillTint="33"/>
            <w:noWrap/>
            <w:vAlign w:val="center"/>
            <w:hideMark/>
          </w:tcPr>
          <w:p w14:paraId="7B5F500D"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366</w:t>
            </w:r>
          </w:p>
        </w:tc>
        <w:tc>
          <w:tcPr>
            <w:tcW w:w="1134" w:type="dxa"/>
            <w:gridSpan w:val="2"/>
            <w:shd w:val="clear" w:color="auto" w:fill="E5E5E5" w:themeFill="background1" w:themeFillTint="33"/>
            <w:noWrap/>
            <w:vAlign w:val="center"/>
            <w:hideMark/>
          </w:tcPr>
          <w:p w14:paraId="128EFD89"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449</w:t>
            </w:r>
          </w:p>
        </w:tc>
      </w:tr>
      <w:tr w:rsidR="00961617" w:rsidRPr="00545C7F" w14:paraId="4BBEAB8A" w14:textId="77777777" w:rsidTr="0020771F">
        <w:trPr>
          <w:gridAfter w:val="1"/>
          <w:wAfter w:w="174" w:type="dxa"/>
          <w:trHeight w:hRule="exact" w:val="340"/>
          <w:tblHeader/>
        </w:trPr>
        <w:tc>
          <w:tcPr>
            <w:tcW w:w="3559" w:type="dxa"/>
            <w:shd w:val="clear" w:color="000000" w:fill="FFFFFF"/>
            <w:noWrap/>
            <w:vAlign w:val="center"/>
            <w:hideMark/>
          </w:tcPr>
          <w:p w14:paraId="494EE9B3"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2012 Stream 2 (days)</w:t>
            </w:r>
          </w:p>
        </w:tc>
        <w:tc>
          <w:tcPr>
            <w:tcW w:w="1168" w:type="dxa"/>
            <w:gridSpan w:val="2"/>
            <w:shd w:val="clear" w:color="auto" w:fill="auto"/>
            <w:noWrap/>
            <w:vAlign w:val="center"/>
            <w:hideMark/>
          </w:tcPr>
          <w:p w14:paraId="73684D85"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67</w:t>
            </w:r>
          </w:p>
        </w:tc>
        <w:tc>
          <w:tcPr>
            <w:tcW w:w="1055" w:type="dxa"/>
            <w:gridSpan w:val="2"/>
            <w:shd w:val="clear" w:color="auto" w:fill="auto"/>
            <w:noWrap/>
            <w:vAlign w:val="center"/>
            <w:hideMark/>
          </w:tcPr>
          <w:p w14:paraId="0372CAD3"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167</w:t>
            </w:r>
          </w:p>
        </w:tc>
        <w:tc>
          <w:tcPr>
            <w:tcW w:w="1134" w:type="dxa"/>
            <w:gridSpan w:val="2"/>
            <w:shd w:val="clear" w:color="auto" w:fill="auto"/>
            <w:noWrap/>
            <w:vAlign w:val="center"/>
            <w:hideMark/>
          </w:tcPr>
          <w:p w14:paraId="65DBBC85"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330</w:t>
            </w:r>
          </w:p>
        </w:tc>
        <w:tc>
          <w:tcPr>
            <w:tcW w:w="1134" w:type="dxa"/>
            <w:gridSpan w:val="2"/>
            <w:shd w:val="clear" w:color="auto" w:fill="auto"/>
            <w:noWrap/>
            <w:vAlign w:val="center"/>
            <w:hideMark/>
          </w:tcPr>
          <w:p w14:paraId="39DC192D"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441</w:t>
            </w:r>
          </w:p>
        </w:tc>
      </w:tr>
      <w:tr w:rsidR="00961617" w:rsidRPr="00545C7F" w14:paraId="27A27E7B" w14:textId="77777777" w:rsidTr="0020771F">
        <w:trPr>
          <w:gridAfter w:val="1"/>
          <w:wAfter w:w="174" w:type="dxa"/>
          <w:trHeight w:hRule="exact" w:val="340"/>
          <w:tblHeader/>
        </w:trPr>
        <w:tc>
          <w:tcPr>
            <w:tcW w:w="3559" w:type="dxa"/>
            <w:shd w:val="clear" w:color="auto" w:fill="E5E5E5" w:themeFill="background1" w:themeFillTint="33"/>
            <w:noWrap/>
            <w:vAlign w:val="center"/>
            <w:hideMark/>
          </w:tcPr>
          <w:p w14:paraId="6CC79EF4"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JSA 2012 Stream 3 (days)</w:t>
            </w:r>
          </w:p>
        </w:tc>
        <w:tc>
          <w:tcPr>
            <w:tcW w:w="1168" w:type="dxa"/>
            <w:gridSpan w:val="2"/>
            <w:shd w:val="clear" w:color="auto" w:fill="E5E5E5" w:themeFill="background1" w:themeFillTint="33"/>
            <w:noWrap/>
            <w:vAlign w:val="center"/>
            <w:hideMark/>
          </w:tcPr>
          <w:p w14:paraId="4129DDF8"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74</w:t>
            </w:r>
          </w:p>
        </w:tc>
        <w:tc>
          <w:tcPr>
            <w:tcW w:w="1055" w:type="dxa"/>
            <w:gridSpan w:val="2"/>
            <w:shd w:val="clear" w:color="auto" w:fill="E5E5E5" w:themeFill="background1" w:themeFillTint="33"/>
            <w:noWrap/>
            <w:vAlign w:val="center"/>
            <w:hideMark/>
          </w:tcPr>
          <w:p w14:paraId="7E353926"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173</w:t>
            </w:r>
          </w:p>
        </w:tc>
        <w:tc>
          <w:tcPr>
            <w:tcW w:w="1134" w:type="dxa"/>
            <w:gridSpan w:val="2"/>
            <w:shd w:val="clear" w:color="auto" w:fill="E5E5E5" w:themeFill="background1" w:themeFillTint="33"/>
            <w:noWrap/>
            <w:vAlign w:val="center"/>
            <w:hideMark/>
          </w:tcPr>
          <w:p w14:paraId="5ADE60A3"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310</w:t>
            </w:r>
          </w:p>
        </w:tc>
        <w:tc>
          <w:tcPr>
            <w:tcW w:w="1134" w:type="dxa"/>
            <w:gridSpan w:val="2"/>
            <w:shd w:val="clear" w:color="auto" w:fill="E5E5E5" w:themeFill="background1" w:themeFillTint="33"/>
            <w:noWrap/>
            <w:vAlign w:val="center"/>
            <w:hideMark/>
          </w:tcPr>
          <w:p w14:paraId="202E348B"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417</w:t>
            </w:r>
          </w:p>
        </w:tc>
      </w:tr>
      <w:tr w:rsidR="00961617" w:rsidRPr="00545C7F" w14:paraId="47CC49B6" w14:textId="77777777" w:rsidTr="0020771F">
        <w:trPr>
          <w:gridAfter w:val="1"/>
          <w:wAfter w:w="174" w:type="dxa"/>
          <w:trHeight w:hRule="exact" w:val="340"/>
          <w:tblHeader/>
        </w:trPr>
        <w:tc>
          <w:tcPr>
            <w:tcW w:w="3559" w:type="dxa"/>
            <w:shd w:val="clear" w:color="000000" w:fill="FFFFFF"/>
            <w:noWrap/>
            <w:vAlign w:val="center"/>
            <w:hideMark/>
          </w:tcPr>
          <w:p w14:paraId="1FDB0130"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Proportional difference Stream 1 (ppt)</w:t>
            </w:r>
          </w:p>
        </w:tc>
        <w:tc>
          <w:tcPr>
            <w:tcW w:w="1168" w:type="dxa"/>
            <w:gridSpan w:val="2"/>
            <w:shd w:val="clear" w:color="auto" w:fill="auto"/>
            <w:noWrap/>
            <w:vAlign w:val="center"/>
            <w:hideMark/>
          </w:tcPr>
          <w:p w14:paraId="2FC9535F"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w:t>
            </w:r>
          </w:p>
        </w:tc>
        <w:tc>
          <w:tcPr>
            <w:tcW w:w="1055" w:type="dxa"/>
            <w:gridSpan w:val="2"/>
            <w:shd w:val="clear" w:color="auto" w:fill="auto"/>
            <w:noWrap/>
            <w:vAlign w:val="center"/>
            <w:hideMark/>
          </w:tcPr>
          <w:p w14:paraId="5990418C"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21.0</w:t>
            </w:r>
          </w:p>
        </w:tc>
        <w:tc>
          <w:tcPr>
            <w:tcW w:w="1134" w:type="dxa"/>
            <w:gridSpan w:val="2"/>
            <w:shd w:val="clear" w:color="auto" w:fill="auto"/>
            <w:noWrap/>
            <w:vAlign w:val="center"/>
            <w:hideMark/>
          </w:tcPr>
          <w:p w14:paraId="0E2F7021"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9.3</w:t>
            </w:r>
          </w:p>
        </w:tc>
        <w:tc>
          <w:tcPr>
            <w:tcW w:w="1134" w:type="dxa"/>
            <w:gridSpan w:val="2"/>
            <w:shd w:val="clear" w:color="auto" w:fill="auto"/>
            <w:noWrap/>
            <w:vAlign w:val="center"/>
            <w:hideMark/>
          </w:tcPr>
          <w:p w14:paraId="4CED546A"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11.7</w:t>
            </w:r>
          </w:p>
        </w:tc>
      </w:tr>
      <w:tr w:rsidR="00961617" w:rsidRPr="00545C7F" w14:paraId="54DD70AD" w14:textId="77777777" w:rsidTr="0020771F">
        <w:trPr>
          <w:gridAfter w:val="1"/>
          <w:wAfter w:w="174" w:type="dxa"/>
          <w:trHeight w:hRule="exact" w:val="340"/>
          <w:tblHeader/>
        </w:trPr>
        <w:tc>
          <w:tcPr>
            <w:tcW w:w="3559" w:type="dxa"/>
            <w:shd w:val="clear" w:color="auto" w:fill="E5E5E5" w:themeFill="background1" w:themeFillTint="33"/>
            <w:noWrap/>
            <w:vAlign w:val="center"/>
            <w:hideMark/>
          </w:tcPr>
          <w:p w14:paraId="0334B7D8"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Proportional difference Stream 2 (ppt)</w:t>
            </w:r>
          </w:p>
        </w:tc>
        <w:tc>
          <w:tcPr>
            <w:tcW w:w="1168" w:type="dxa"/>
            <w:gridSpan w:val="2"/>
            <w:shd w:val="clear" w:color="auto" w:fill="E5E5E5" w:themeFill="background1" w:themeFillTint="33"/>
            <w:noWrap/>
            <w:vAlign w:val="center"/>
            <w:hideMark/>
          </w:tcPr>
          <w:p w14:paraId="187D7C17"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11.7</w:t>
            </w:r>
          </w:p>
        </w:tc>
        <w:tc>
          <w:tcPr>
            <w:tcW w:w="1055" w:type="dxa"/>
            <w:gridSpan w:val="2"/>
            <w:shd w:val="clear" w:color="auto" w:fill="E5E5E5" w:themeFill="background1" w:themeFillTint="33"/>
            <w:noWrap/>
            <w:vAlign w:val="center"/>
            <w:hideMark/>
          </w:tcPr>
          <w:p w14:paraId="210E2EB0"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-8.2</w:t>
            </w:r>
          </w:p>
        </w:tc>
        <w:tc>
          <w:tcPr>
            <w:tcW w:w="1134" w:type="dxa"/>
            <w:gridSpan w:val="2"/>
            <w:shd w:val="clear" w:color="auto" w:fill="E5E5E5" w:themeFill="background1" w:themeFillTint="33"/>
            <w:noWrap/>
            <w:vAlign w:val="center"/>
            <w:hideMark/>
          </w:tcPr>
          <w:p w14:paraId="3821E67C"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w:t>
            </w:r>
          </w:p>
        </w:tc>
        <w:tc>
          <w:tcPr>
            <w:tcW w:w="1134" w:type="dxa"/>
            <w:gridSpan w:val="2"/>
            <w:shd w:val="clear" w:color="auto" w:fill="E5E5E5" w:themeFill="background1" w:themeFillTint="33"/>
            <w:noWrap/>
            <w:vAlign w:val="center"/>
            <w:hideMark/>
          </w:tcPr>
          <w:p w14:paraId="07940701"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6.5</w:t>
            </w:r>
          </w:p>
        </w:tc>
      </w:tr>
      <w:tr w:rsidR="00961617" w:rsidRPr="00545C7F" w14:paraId="05E229A6" w14:textId="77777777" w:rsidTr="0020771F">
        <w:trPr>
          <w:gridAfter w:val="1"/>
          <w:wAfter w:w="174" w:type="dxa"/>
          <w:trHeight w:hRule="exact" w:val="340"/>
          <w:tblHeader/>
        </w:trPr>
        <w:tc>
          <w:tcPr>
            <w:tcW w:w="3559" w:type="dxa"/>
            <w:tcBorders>
              <w:bottom w:val="single" w:sz="4" w:space="0" w:color="auto"/>
            </w:tcBorders>
            <w:shd w:val="clear" w:color="000000" w:fill="FFFFFF"/>
            <w:noWrap/>
            <w:vAlign w:val="center"/>
            <w:hideMark/>
          </w:tcPr>
          <w:p w14:paraId="4E388958" w14:textId="77777777" w:rsidR="00961617" w:rsidRPr="00545C7F" w:rsidRDefault="00961617" w:rsidP="0020771F">
            <w:pPr>
              <w:keepNext/>
              <w:keepLines/>
              <w:spacing w:after="0" w:line="240" w:lineRule="auto"/>
              <w:ind w:left="-89"/>
              <w:rPr>
                <w:rFonts w:eastAsia="Times New Roman" w:cstheme="minorHAnsi"/>
                <w:bCs/>
                <w:color w:val="000000"/>
                <w:sz w:val="20"/>
                <w:szCs w:val="20"/>
                <w:lang w:eastAsia="en-AU"/>
              </w:rPr>
            </w:pPr>
            <w:r w:rsidRPr="00545C7F">
              <w:rPr>
                <w:rFonts w:eastAsia="Times New Roman" w:cstheme="minorHAnsi"/>
                <w:bCs/>
                <w:color w:val="000000"/>
                <w:sz w:val="20"/>
                <w:szCs w:val="20"/>
                <w:lang w:eastAsia="en-AU"/>
              </w:rPr>
              <w:t>Proportional difference Stream 3 (ppt)</w:t>
            </w:r>
          </w:p>
        </w:tc>
        <w:tc>
          <w:tcPr>
            <w:tcW w:w="1168" w:type="dxa"/>
            <w:gridSpan w:val="2"/>
            <w:tcBorders>
              <w:bottom w:val="single" w:sz="4" w:space="0" w:color="auto"/>
            </w:tcBorders>
            <w:shd w:val="clear" w:color="auto" w:fill="auto"/>
            <w:noWrap/>
            <w:vAlign w:val="center"/>
            <w:hideMark/>
          </w:tcPr>
          <w:p w14:paraId="69F9CF68" w14:textId="77777777" w:rsidR="00961617" w:rsidRPr="00545C7F" w:rsidRDefault="00961617" w:rsidP="0020771F">
            <w:pPr>
              <w:keepNext/>
              <w:keepLines/>
              <w:tabs>
                <w:tab w:val="left" w:pos="245"/>
              </w:tabs>
              <w:spacing w:after="0" w:line="240" w:lineRule="auto"/>
              <w:ind w:left="-89" w:right="1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29.8</w:t>
            </w:r>
          </w:p>
        </w:tc>
        <w:tc>
          <w:tcPr>
            <w:tcW w:w="1055" w:type="dxa"/>
            <w:gridSpan w:val="2"/>
            <w:tcBorders>
              <w:bottom w:val="single" w:sz="4" w:space="0" w:color="auto"/>
            </w:tcBorders>
            <w:shd w:val="clear" w:color="auto" w:fill="auto"/>
            <w:noWrap/>
            <w:vAlign w:val="center"/>
            <w:hideMark/>
          </w:tcPr>
          <w:p w14:paraId="2F96ABD6"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13.8</w:t>
            </w:r>
          </w:p>
        </w:tc>
        <w:tc>
          <w:tcPr>
            <w:tcW w:w="1134" w:type="dxa"/>
            <w:gridSpan w:val="2"/>
            <w:tcBorders>
              <w:bottom w:val="single" w:sz="4" w:space="0" w:color="auto"/>
            </w:tcBorders>
            <w:shd w:val="clear" w:color="auto" w:fill="auto"/>
            <w:noWrap/>
            <w:vAlign w:val="center"/>
            <w:hideMark/>
          </w:tcPr>
          <w:p w14:paraId="424B0F87"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5.8</w:t>
            </w:r>
          </w:p>
        </w:tc>
        <w:tc>
          <w:tcPr>
            <w:tcW w:w="1134" w:type="dxa"/>
            <w:gridSpan w:val="2"/>
            <w:tcBorders>
              <w:bottom w:val="single" w:sz="4" w:space="0" w:color="auto"/>
            </w:tcBorders>
            <w:shd w:val="clear" w:color="auto" w:fill="auto"/>
            <w:noWrap/>
            <w:vAlign w:val="center"/>
            <w:hideMark/>
          </w:tcPr>
          <w:p w14:paraId="549F7F44" w14:textId="77777777" w:rsidR="00961617" w:rsidRPr="00545C7F" w:rsidRDefault="00961617" w:rsidP="0020771F">
            <w:pPr>
              <w:keepNext/>
              <w:keepLines/>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r>
    </w:tbl>
    <w:p w14:paraId="506485E4" w14:textId="77777777" w:rsidR="00961617" w:rsidRPr="002F5864" w:rsidRDefault="00961617" w:rsidP="00E13B5E">
      <w:pPr>
        <w:pStyle w:val="Notes"/>
      </w:pPr>
      <w:r w:rsidRPr="002F5864">
        <w:rPr>
          <w:b/>
        </w:rPr>
        <w:t xml:space="preserve">Note: </w:t>
      </w:r>
      <w:r w:rsidRPr="002F5864">
        <w:rPr>
          <w:b/>
        </w:rPr>
        <w:tab/>
      </w:r>
      <w:r w:rsidRPr="002F5864">
        <w:t>Proportional difference expressed as a percentage of JSA 2012 results.</w:t>
      </w:r>
    </w:p>
    <w:p w14:paraId="3B716BB2" w14:textId="77777777" w:rsidR="00961617" w:rsidRPr="002F5864" w:rsidRDefault="00961617" w:rsidP="0033478B">
      <w:pPr>
        <w:pStyle w:val="Source"/>
      </w:pPr>
      <w:r w:rsidRPr="002F5864">
        <w:rPr>
          <w:b/>
        </w:rPr>
        <w:t>Source:</w:t>
      </w:r>
      <w:r w:rsidRPr="002F5864">
        <w:t xml:space="preserve"> </w:t>
      </w:r>
      <w:r w:rsidRPr="002F5864">
        <w:tab/>
        <w:t>Department of Employment administrative data.</w:t>
      </w:r>
    </w:p>
    <w:p w14:paraId="093D6CC6" w14:textId="77777777" w:rsidR="00961617" w:rsidRPr="002F5864" w:rsidRDefault="00864C5E" w:rsidP="00961617">
      <w:pPr>
        <w:spacing w:before="120"/>
        <w:rPr>
          <w:rFonts w:cstheme="minorHAnsi"/>
          <w:sz w:val="18"/>
          <w:szCs w:val="18"/>
        </w:rPr>
      </w:pPr>
      <w:hyperlink w:anchor="Place_A226" w:history="1">
        <w:r w:rsidR="00961617" w:rsidRPr="00DD4BF4">
          <w:rPr>
            <w:rStyle w:val="Hyperlink"/>
            <w:rFonts w:cstheme="minorHAnsi"/>
            <w:sz w:val="18"/>
            <w:szCs w:val="18"/>
          </w:rPr>
          <w:t xml:space="preserve">Return to </w:t>
        </w:r>
        <w:r w:rsidR="003649E1" w:rsidRPr="00DD4BF4">
          <w:rPr>
            <w:rStyle w:val="Hyperlink"/>
            <w:rFonts w:cstheme="minorHAnsi"/>
            <w:sz w:val="18"/>
            <w:szCs w:val="18"/>
          </w:rPr>
          <w:t>s</w:t>
        </w:r>
        <w:r w:rsidR="00961617" w:rsidRPr="00DD4BF4">
          <w:rPr>
            <w:rStyle w:val="Hyperlink"/>
            <w:rFonts w:cstheme="minorHAnsi"/>
            <w:sz w:val="18"/>
            <w:szCs w:val="18"/>
          </w:rPr>
          <w:t>ection 5.2.3</w:t>
        </w:r>
      </w:hyperlink>
      <w:r w:rsidR="00961617" w:rsidRPr="002F5864">
        <w:rPr>
          <w:rFonts w:cstheme="minorHAnsi"/>
          <w:sz w:val="18"/>
          <w:szCs w:val="18"/>
        </w:rPr>
        <w:t xml:space="preserve"> where this data is referenced.</w:t>
      </w:r>
    </w:p>
    <w:p w14:paraId="1482AAFE" w14:textId="77777777" w:rsidR="00961617" w:rsidRDefault="00961617" w:rsidP="00961617">
      <w:pPr>
        <w:rPr>
          <w:rFonts w:eastAsia="Times New Roman" w:cstheme="minorHAnsi"/>
          <w:sz w:val="18"/>
          <w:szCs w:val="20"/>
          <w:lang w:eastAsia="en-AU"/>
        </w:rPr>
      </w:pPr>
      <w:r>
        <w:rPr>
          <w:rFonts w:eastAsia="Times New Roman" w:cstheme="minorHAnsi"/>
          <w:sz w:val="18"/>
          <w:szCs w:val="20"/>
          <w:lang w:eastAsia="en-AU"/>
        </w:rPr>
        <w:br w:type="page"/>
      </w:r>
    </w:p>
    <w:p w14:paraId="73E69B8D" w14:textId="77777777" w:rsidR="00961617" w:rsidRPr="002F5864" w:rsidRDefault="00961617" w:rsidP="00961617">
      <w:pPr>
        <w:pStyle w:val="TableheadingforappendixA1"/>
        <w:rPr>
          <w:rFonts w:cstheme="minorHAnsi"/>
        </w:rPr>
      </w:pPr>
      <w:bookmarkStart w:id="689" w:name="_Toc513129920"/>
      <w:r w:rsidRPr="002F5864">
        <w:rPr>
          <w:rFonts w:cstheme="minorHAnsi"/>
        </w:rPr>
        <w:t>Table A2.2</w:t>
      </w:r>
      <w:r>
        <w:rPr>
          <w:rFonts w:cstheme="minorHAnsi"/>
        </w:rPr>
        <w:t>7</w:t>
      </w:r>
      <w:r w:rsidRPr="002F5864">
        <w:rPr>
          <w:rFonts w:cstheme="minorHAnsi"/>
        </w:rPr>
        <w:t xml:space="preserve">: </w:t>
      </w:r>
      <w:r w:rsidR="001416AD">
        <w:rPr>
          <w:rFonts w:cstheme="minorHAnsi"/>
        </w:rPr>
        <w:t>Number of days in</w:t>
      </w:r>
      <w:r w:rsidRPr="002F5864">
        <w:rPr>
          <w:rFonts w:cstheme="minorHAnsi"/>
        </w:rPr>
        <w:t xml:space="preserve"> service from commencement in Stream 1 to the first assessment that recommended higher servicing (</w:t>
      </w:r>
      <w:r>
        <w:rPr>
          <w:rFonts w:cstheme="minorHAnsi"/>
        </w:rPr>
        <w:t>per cent</w:t>
      </w:r>
      <w:r w:rsidRPr="002F5864">
        <w:rPr>
          <w:rFonts w:cstheme="minorHAnsi"/>
        </w:rPr>
        <w:t>)</w:t>
      </w:r>
      <w:bookmarkEnd w:id="689"/>
      <w:r w:rsidRPr="002F5864">
        <w:rPr>
          <w:rFonts w:cstheme="minorHAnsi"/>
        </w:rPr>
        <w:t xml:space="preserve"> </w:t>
      </w:r>
    </w:p>
    <w:tbl>
      <w:tblPr>
        <w:tblW w:w="5260" w:type="dxa"/>
        <w:tblInd w:w="93" w:type="dxa"/>
        <w:tblLook w:val="04A0" w:firstRow="1" w:lastRow="0" w:firstColumn="1" w:lastColumn="0" w:noHBand="0" w:noVBand="1"/>
      </w:tblPr>
      <w:tblGrid>
        <w:gridCol w:w="1149"/>
        <w:gridCol w:w="2268"/>
        <w:gridCol w:w="1417"/>
        <w:gridCol w:w="426"/>
      </w:tblGrid>
      <w:tr w:rsidR="00961617" w:rsidRPr="00545C7F" w14:paraId="0E75DAAA" w14:textId="77777777" w:rsidTr="0020771F">
        <w:trPr>
          <w:trHeight w:val="288"/>
          <w:tblHeader/>
        </w:trPr>
        <w:tc>
          <w:tcPr>
            <w:tcW w:w="1149" w:type="dxa"/>
            <w:shd w:val="clear" w:color="auto" w:fill="1E3D6B"/>
            <w:noWrap/>
            <w:vAlign w:val="bottom"/>
            <w:hideMark/>
          </w:tcPr>
          <w:p w14:paraId="70EA62C9" w14:textId="77777777" w:rsidR="00961617" w:rsidRPr="00545C7F" w:rsidRDefault="00961617" w:rsidP="0020771F">
            <w:pPr>
              <w:spacing w:after="0" w:line="240" w:lineRule="auto"/>
              <w:rPr>
                <w:rFonts w:eastAsia="Times New Roman" w:cstheme="minorHAnsi"/>
                <w:b/>
                <w:color w:val="FFFFFF" w:themeColor="background2"/>
                <w:sz w:val="20"/>
                <w:szCs w:val="20"/>
                <w:lang w:eastAsia="en-AU"/>
              </w:rPr>
            </w:pPr>
            <w:bookmarkStart w:id="690" w:name="Title_A227"/>
            <w:bookmarkEnd w:id="690"/>
            <w:r w:rsidRPr="00545C7F">
              <w:rPr>
                <w:rFonts w:eastAsia="Times New Roman" w:cstheme="minorHAnsi"/>
                <w:b/>
                <w:color w:val="FFFFFF" w:themeColor="background2"/>
                <w:sz w:val="20"/>
                <w:szCs w:val="20"/>
                <w:lang w:eastAsia="en-AU"/>
              </w:rPr>
              <w:t>Days</w:t>
            </w:r>
          </w:p>
        </w:tc>
        <w:tc>
          <w:tcPr>
            <w:tcW w:w="2268" w:type="dxa"/>
            <w:shd w:val="clear" w:color="auto" w:fill="1E3D6B"/>
            <w:noWrap/>
            <w:vAlign w:val="bottom"/>
            <w:hideMark/>
          </w:tcPr>
          <w:p w14:paraId="6ADCAEE1" w14:textId="77777777" w:rsidR="00961617" w:rsidRPr="00545C7F" w:rsidRDefault="00961617" w:rsidP="0020771F">
            <w:pPr>
              <w:tabs>
                <w:tab w:val="left" w:pos="1087"/>
              </w:tabs>
              <w:spacing w:after="0" w:line="240" w:lineRule="auto"/>
              <w:ind w:left="263" w:right="380"/>
              <w:jc w:val="right"/>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2009</w:t>
            </w:r>
          </w:p>
        </w:tc>
        <w:tc>
          <w:tcPr>
            <w:tcW w:w="1843" w:type="dxa"/>
            <w:gridSpan w:val="2"/>
            <w:shd w:val="clear" w:color="auto" w:fill="1E3D6B"/>
            <w:noWrap/>
            <w:vAlign w:val="bottom"/>
            <w:hideMark/>
          </w:tcPr>
          <w:p w14:paraId="2F2DE34D" w14:textId="77777777" w:rsidR="00961617" w:rsidRPr="00545C7F" w:rsidRDefault="00961617" w:rsidP="0020771F">
            <w:pPr>
              <w:spacing w:after="0" w:line="240" w:lineRule="auto"/>
              <w:jc w:val="center"/>
              <w:rPr>
                <w:rFonts w:eastAsia="Times New Roman" w:cstheme="minorHAnsi"/>
                <w:b/>
                <w:color w:val="FFFFFF" w:themeColor="background2"/>
                <w:sz w:val="20"/>
                <w:szCs w:val="20"/>
                <w:lang w:eastAsia="en-AU"/>
              </w:rPr>
            </w:pPr>
            <w:r w:rsidRPr="00545C7F">
              <w:rPr>
                <w:rFonts w:eastAsia="Times New Roman" w:cstheme="minorHAnsi"/>
                <w:b/>
                <w:color w:val="FFFFFF" w:themeColor="background2"/>
                <w:sz w:val="20"/>
                <w:szCs w:val="20"/>
                <w:lang w:eastAsia="en-AU"/>
              </w:rPr>
              <w:t>JSA 2012</w:t>
            </w:r>
          </w:p>
        </w:tc>
      </w:tr>
      <w:tr w:rsidR="00961617" w:rsidRPr="00545C7F" w14:paraId="0E53F3C7" w14:textId="77777777" w:rsidTr="0020771F">
        <w:trPr>
          <w:gridAfter w:val="1"/>
          <w:wAfter w:w="426" w:type="dxa"/>
          <w:trHeight w:val="288"/>
        </w:trPr>
        <w:tc>
          <w:tcPr>
            <w:tcW w:w="1149" w:type="dxa"/>
            <w:shd w:val="clear" w:color="auto" w:fill="auto"/>
            <w:noWrap/>
            <w:vAlign w:val="bottom"/>
            <w:hideMark/>
          </w:tcPr>
          <w:p w14:paraId="5A526F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w:t>
            </w:r>
          </w:p>
        </w:tc>
        <w:tc>
          <w:tcPr>
            <w:tcW w:w="2268" w:type="dxa"/>
            <w:shd w:val="clear" w:color="auto" w:fill="auto"/>
            <w:noWrap/>
            <w:vAlign w:val="bottom"/>
            <w:hideMark/>
          </w:tcPr>
          <w:p w14:paraId="278C166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5.40</w:t>
            </w:r>
          </w:p>
        </w:tc>
        <w:tc>
          <w:tcPr>
            <w:tcW w:w="1417" w:type="dxa"/>
            <w:shd w:val="clear" w:color="auto" w:fill="auto"/>
            <w:noWrap/>
            <w:vAlign w:val="bottom"/>
            <w:hideMark/>
          </w:tcPr>
          <w:p w14:paraId="444461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3.17</w:t>
            </w:r>
          </w:p>
        </w:tc>
      </w:tr>
      <w:tr w:rsidR="00961617" w:rsidRPr="00545C7F" w14:paraId="085F15A5" w14:textId="77777777" w:rsidTr="0020771F">
        <w:trPr>
          <w:gridAfter w:val="1"/>
          <w:wAfter w:w="426" w:type="dxa"/>
          <w:trHeight w:val="288"/>
        </w:trPr>
        <w:tc>
          <w:tcPr>
            <w:tcW w:w="1149" w:type="dxa"/>
            <w:shd w:val="clear" w:color="auto" w:fill="E5E5E5" w:themeFill="background1" w:themeFillTint="33"/>
            <w:noWrap/>
            <w:vAlign w:val="bottom"/>
            <w:hideMark/>
          </w:tcPr>
          <w:p w14:paraId="45BBC1C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w:t>
            </w:r>
          </w:p>
        </w:tc>
        <w:tc>
          <w:tcPr>
            <w:tcW w:w="2268" w:type="dxa"/>
            <w:shd w:val="clear" w:color="auto" w:fill="E5E5E5" w:themeFill="background1" w:themeFillTint="33"/>
            <w:noWrap/>
            <w:vAlign w:val="bottom"/>
            <w:hideMark/>
          </w:tcPr>
          <w:p w14:paraId="4F04E64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4.95</w:t>
            </w:r>
          </w:p>
        </w:tc>
        <w:tc>
          <w:tcPr>
            <w:tcW w:w="1417" w:type="dxa"/>
            <w:shd w:val="clear" w:color="auto" w:fill="E5E5E5" w:themeFill="background1" w:themeFillTint="33"/>
            <w:noWrap/>
            <w:vAlign w:val="bottom"/>
            <w:hideMark/>
          </w:tcPr>
          <w:p w14:paraId="0A01F6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2.91</w:t>
            </w:r>
          </w:p>
        </w:tc>
      </w:tr>
      <w:tr w:rsidR="00961617" w:rsidRPr="00545C7F" w14:paraId="5C087905" w14:textId="77777777" w:rsidTr="0020771F">
        <w:trPr>
          <w:gridAfter w:val="1"/>
          <w:wAfter w:w="426" w:type="dxa"/>
          <w:trHeight w:val="288"/>
        </w:trPr>
        <w:tc>
          <w:tcPr>
            <w:tcW w:w="1149" w:type="dxa"/>
            <w:shd w:val="clear" w:color="auto" w:fill="auto"/>
            <w:noWrap/>
            <w:vAlign w:val="bottom"/>
            <w:hideMark/>
          </w:tcPr>
          <w:p w14:paraId="42CE13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w:t>
            </w:r>
          </w:p>
        </w:tc>
        <w:tc>
          <w:tcPr>
            <w:tcW w:w="2268" w:type="dxa"/>
            <w:shd w:val="clear" w:color="auto" w:fill="auto"/>
            <w:noWrap/>
            <w:vAlign w:val="bottom"/>
            <w:hideMark/>
          </w:tcPr>
          <w:p w14:paraId="76C6C82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2.42</w:t>
            </w:r>
          </w:p>
        </w:tc>
        <w:tc>
          <w:tcPr>
            <w:tcW w:w="1417" w:type="dxa"/>
            <w:shd w:val="clear" w:color="auto" w:fill="auto"/>
            <w:noWrap/>
            <w:vAlign w:val="bottom"/>
            <w:hideMark/>
          </w:tcPr>
          <w:p w14:paraId="42F8C0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2.36</w:t>
            </w:r>
          </w:p>
        </w:tc>
      </w:tr>
      <w:tr w:rsidR="00961617" w:rsidRPr="00545C7F" w14:paraId="6006F7EC" w14:textId="77777777" w:rsidTr="0020771F">
        <w:trPr>
          <w:gridAfter w:val="1"/>
          <w:wAfter w:w="426" w:type="dxa"/>
          <w:trHeight w:val="288"/>
        </w:trPr>
        <w:tc>
          <w:tcPr>
            <w:tcW w:w="1149" w:type="dxa"/>
            <w:shd w:val="clear" w:color="auto" w:fill="E5E5E5" w:themeFill="background1" w:themeFillTint="33"/>
            <w:noWrap/>
            <w:vAlign w:val="bottom"/>
            <w:hideMark/>
          </w:tcPr>
          <w:p w14:paraId="4C178F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w:t>
            </w:r>
          </w:p>
        </w:tc>
        <w:tc>
          <w:tcPr>
            <w:tcW w:w="2268" w:type="dxa"/>
            <w:shd w:val="clear" w:color="auto" w:fill="E5E5E5" w:themeFill="background1" w:themeFillTint="33"/>
            <w:noWrap/>
            <w:vAlign w:val="bottom"/>
            <w:hideMark/>
          </w:tcPr>
          <w:p w14:paraId="3EF3B2C3"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1.73</w:t>
            </w:r>
          </w:p>
        </w:tc>
        <w:tc>
          <w:tcPr>
            <w:tcW w:w="1417" w:type="dxa"/>
            <w:shd w:val="clear" w:color="auto" w:fill="E5E5E5" w:themeFill="background1" w:themeFillTint="33"/>
            <w:noWrap/>
            <w:vAlign w:val="bottom"/>
            <w:hideMark/>
          </w:tcPr>
          <w:p w14:paraId="261DCB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2.06</w:t>
            </w:r>
          </w:p>
        </w:tc>
      </w:tr>
      <w:tr w:rsidR="00961617" w:rsidRPr="00545C7F" w14:paraId="7ECFDB08" w14:textId="77777777" w:rsidTr="0020771F">
        <w:trPr>
          <w:gridAfter w:val="1"/>
          <w:wAfter w:w="426" w:type="dxa"/>
          <w:trHeight w:val="288"/>
        </w:trPr>
        <w:tc>
          <w:tcPr>
            <w:tcW w:w="1149" w:type="dxa"/>
            <w:shd w:val="clear" w:color="auto" w:fill="auto"/>
            <w:noWrap/>
            <w:vAlign w:val="bottom"/>
            <w:hideMark/>
          </w:tcPr>
          <w:p w14:paraId="0661FC6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w:t>
            </w:r>
          </w:p>
        </w:tc>
        <w:tc>
          <w:tcPr>
            <w:tcW w:w="2268" w:type="dxa"/>
            <w:shd w:val="clear" w:color="auto" w:fill="auto"/>
            <w:noWrap/>
            <w:vAlign w:val="bottom"/>
            <w:hideMark/>
          </w:tcPr>
          <w:p w14:paraId="781C522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1.44</w:t>
            </w:r>
          </w:p>
        </w:tc>
        <w:tc>
          <w:tcPr>
            <w:tcW w:w="1417" w:type="dxa"/>
            <w:shd w:val="clear" w:color="auto" w:fill="auto"/>
            <w:noWrap/>
            <w:vAlign w:val="bottom"/>
            <w:hideMark/>
          </w:tcPr>
          <w:p w14:paraId="7187B8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1.76</w:t>
            </w:r>
          </w:p>
        </w:tc>
      </w:tr>
      <w:tr w:rsidR="00961617" w:rsidRPr="00545C7F" w14:paraId="48ECA7A2" w14:textId="77777777" w:rsidTr="0020771F">
        <w:trPr>
          <w:gridAfter w:val="1"/>
          <w:wAfter w:w="426" w:type="dxa"/>
          <w:trHeight w:val="288"/>
        </w:trPr>
        <w:tc>
          <w:tcPr>
            <w:tcW w:w="1149" w:type="dxa"/>
            <w:shd w:val="clear" w:color="auto" w:fill="E5E5E5" w:themeFill="background1" w:themeFillTint="33"/>
            <w:noWrap/>
            <w:vAlign w:val="bottom"/>
            <w:hideMark/>
          </w:tcPr>
          <w:p w14:paraId="0712B32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w:t>
            </w:r>
          </w:p>
        </w:tc>
        <w:tc>
          <w:tcPr>
            <w:tcW w:w="2268" w:type="dxa"/>
            <w:shd w:val="clear" w:color="auto" w:fill="E5E5E5" w:themeFill="background1" w:themeFillTint="33"/>
            <w:noWrap/>
            <w:vAlign w:val="bottom"/>
            <w:hideMark/>
          </w:tcPr>
          <w:p w14:paraId="736E97C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0.92</w:t>
            </w:r>
          </w:p>
        </w:tc>
        <w:tc>
          <w:tcPr>
            <w:tcW w:w="1417" w:type="dxa"/>
            <w:shd w:val="clear" w:color="auto" w:fill="E5E5E5" w:themeFill="background1" w:themeFillTint="33"/>
            <w:noWrap/>
            <w:vAlign w:val="bottom"/>
            <w:hideMark/>
          </w:tcPr>
          <w:p w14:paraId="74C1C69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1.87</w:t>
            </w:r>
          </w:p>
        </w:tc>
      </w:tr>
      <w:tr w:rsidR="00961617" w:rsidRPr="00545C7F" w14:paraId="29C4642E" w14:textId="77777777" w:rsidTr="0020771F">
        <w:trPr>
          <w:gridAfter w:val="1"/>
          <w:wAfter w:w="426" w:type="dxa"/>
          <w:trHeight w:val="288"/>
        </w:trPr>
        <w:tc>
          <w:tcPr>
            <w:tcW w:w="1149" w:type="dxa"/>
            <w:shd w:val="clear" w:color="auto" w:fill="auto"/>
            <w:noWrap/>
            <w:vAlign w:val="bottom"/>
            <w:hideMark/>
          </w:tcPr>
          <w:p w14:paraId="39E7D9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w:t>
            </w:r>
          </w:p>
        </w:tc>
        <w:tc>
          <w:tcPr>
            <w:tcW w:w="2268" w:type="dxa"/>
            <w:shd w:val="clear" w:color="auto" w:fill="auto"/>
            <w:noWrap/>
            <w:vAlign w:val="bottom"/>
            <w:hideMark/>
          </w:tcPr>
          <w:p w14:paraId="0E9A7EAA"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c>
          <w:tcPr>
            <w:tcW w:w="1417" w:type="dxa"/>
            <w:shd w:val="clear" w:color="auto" w:fill="auto"/>
            <w:noWrap/>
            <w:vAlign w:val="bottom"/>
            <w:hideMark/>
          </w:tcPr>
          <w:p w14:paraId="57F9EB4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1.43</w:t>
            </w:r>
          </w:p>
        </w:tc>
      </w:tr>
      <w:tr w:rsidR="00961617" w:rsidRPr="00545C7F" w14:paraId="72D83F35" w14:textId="77777777" w:rsidTr="0020771F">
        <w:trPr>
          <w:gridAfter w:val="1"/>
          <w:wAfter w:w="426" w:type="dxa"/>
          <w:trHeight w:val="288"/>
        </w:trPr>
        <w:tc>
          <w:tcPr>
            <w:tcW w:w="1149" w:type="dxa"/>
            <w:shd w:val="clear" w:color="auto" w:fill="E5E5E5" w:themeFill="background1" w:themeFillTint="33"/>
            <w:noWrap/>
            <w:vAlign w:val="bottom"/>
            <w:hideMark/>
          </w:tcPr>
          <w:p w14:paraId="6E43FA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56</w:t>
            </w:r>
          </w:p>
        </w:tc>
        <w:tc>
          <w:tcPr>
            <w:tcW w:w="2268" w:type="dxa"/>
            <w:shd w:val="clear" w:color="auto" w:fill="E5E5E5" w:themeFill="background1" w:themeFillTint="33"/>
            <w:noWrap/>
            <w:vAlign w:val="bottom"/>
            <w:hideMark/>
          </w:tcPr>
          <w:p w14:paraId="40F0A647"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c>
          <w:tcPr>
            <w:tcW w:w="1417" w:type="dxa"/>
            <w:shd w:val="clear" w:color="auto" w:fill="E5E5E5" w:themeFill="background1" w:themeFillTint="33"/>
            <w:noWrap/>
            <w:vAlign w:val="bottom"/>
            <w:hideMark/>
          </w:tcPr>
          <w:p w14:paraId="6B27D9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1.25</w:t>
            </w:r>
          </w:p>
        </w:tc>
      </w:tr>
      <w:tr w:rsidR="00961617" w:rsidRPr="00545C7F" w14:paraId="74D57E8E" w14:textId="77777777" w:rsidTr="0020771F">
        <w:trPr>
          <w:gridAfter w:val="1"/>
          <w:wAfter w:w="426" w:type="dxa"/>
          <w:trHeight w:val="288"/>
        </w:trPr>
        <w:tc>
          <w:tcPr>
            <w:tcW w:w="1149" w:type="dxa"/>
            <w:shd w:val="clear" w:color="auto" w:fill="auto"/>
            <w:noWrap/>
            <w:vAlign w:val="bottom"/>
            <w:hideMark/>
          </w:tcPr>
          <w:p w14:paraId="6CFDCCA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63</w:t>
            </w:r>
          </w:p>
        </w:tc>
        <w:tc>
          <w:tcPr>
            <w:tcW w:w="2268" w:type="dxa"/>
            <w:shd w:val="clear" w:color="auto" w:fill="auto"/>
            <w:noWrap/>
            <w:vAlign w:val="bottom"/>
            <w:hideMark/>
          </w:tcPr>
          <w:p w14:paraId="5FA16BB3"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c>
          <w:tcPr>
            <w:tcW w:w="1417" w:type="dxa"/>
            <w:shd w:val="clear" w:color="auto" w:fill="auto"/>
            <w:noWrap/>
            <w:vAlign w:val="bottom"/>
            <w:hideMark/>
          </w:tcPr>
          <w:p w14:paraId="4EAD99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1.32</w:t>
            </w:r>
          </w:p>
        </w:tc>
      </w:tr>
      <w:tr w:rsidR="00961617" w:rsidRPr="00545C7F" w14:paraId="4A35E2F4" w14:textId="77777777" w:rsidTr="0020771F">
        <w:trPr>
          <w:gridAfter w:val="1"/>
          <w:wAfter w:w="426" w:type="dxa"/>
          <w:trHeight w:val="288"/>
        </w:trPr>
        <w:tc>
          <w:tcPr>
            <w:tcW w:w="1149" w:type="dxa"/>
            <w:shd w:val="clear" w:color="auto" w:fill="E5E5E5" w:themeFill="background1" w:themeFillTint="33"/>
            <w:noWrap/>
            <w:vAlign w:val="bottom"/>
            <w:hideMark/>
          </w:tcPr>
          <w:p w14:paraId="3D6510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70</w:t>
            </w:r>
          </w:p>
        </w:tc>
        <w:tc>
          <w:tcPr>
            <w:tcW w:w="2268" w:type="dxa"/>
            <w:shd w:val="clear" w:color="auto" w:fill="E5E5E5" w:themeFill="background1" w:themeFillTint="33"/>
            <w:noWrap/>
            <w:vAlign w:val="bottom"/>
            <w:hideMark/>
          </w:tcPr>
          <w:p w14:paraId="69478AB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1.06</w:t>
            </w:r>
          </w:p>
        </w:tc>
        <w:tc>
          <w:tcPr>
            <w:tcW w:w="1417" w:type="dxa"/>
            <w:shd w:val="clear" w:color="auto" w:fill="E5E5E5" w:themeFill="background1" w:themeFillTint="33"/>
            <w:noWrap/>
            <w:vAlign w:val="bottom"/>
            <w:hideMark/>
          </w:tcPr>
          <w:p w14:paraId="78A0C1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1.29</w:t>
            </w:r>
          </w:p>
        </w:tc>
      </w:tr>
      <w:tr w:rsidR="00961617" w:rsidRPr="00545C7F" w14:paraId="206F142E" w14:textId="77777777" w:rsidTr="0020771F">
        <w:trPr>
          <w:gridAfter w:val="1"/>
          <w:wAfter w:w="426" w:type="dxa"/>
          <w:trHeight w:val="288"/>
        </w:trPr>
        <w:tc>
          <w:tcPr>
            <w:tcW w:w="1149" w:type="dxa"/>
            <w:shd w:val="clear" w:color="auto" w:fill="auto"/>
            <w:noWrap/>
            <w:vAlign w:val="bottom"/>
            <w:hideMark/>
          </w:tcPr>
          <w:p w14:paraId="10507C6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77</w:t>
            </w:r>
          </w:p>
        </w:tc>
        <w:tc>
          <w:tcPr>
            <w:tcW w:w="2268" w:type="dxa"/>
            <w:shd w:val="clear" w:color="auto" w:fill="auto"/>
            <w:noWrap/>
            <w:vAlign w:val="bottom"/>
            <w:hideMark/>
          </w:tcPr>
          <w:p w14:paraId="7AC0C25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1417" w:type="dxa"/>
            <w:shd w:val="clear" w:color="auto" w:fill="auto"/>
            <w:noWrap/>
            <w:vAlign w:val="bottom"/>
            <w:hideMark/>
          </w:tcPr>
          <w:p w14:paraId="4FEBB44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1.23</w:t>
            </w:r>
          </w:p>
        </w:tc>
      </w:tr>
      <w:tr w:rsidR="00961617" w:rsidRPr="00545C7F" w14:paraId="55F0E42B" w14:textId="77777777" w:rsidTr="0020771F">
        <w:trPr>
          <w:gridAfter w:val="1"/>
          <w:wAfter w:w="426" w:type="dxa"/>
          <w:trHeight w:val="288"/>
        </w:trPr>
        <w:tc>
          <w:tcPr>
            <w:tcW w:w="1149" w:type="dxa"/>
            <w:shd w:val="clear" w:color="auto" w:fill="E5E5E5" w:themeFill="background1" w:themeFillTint="33"/>
            <w:noWrap/>
            <w:vAlign w:val="bottom"/>
            <w:hideMark/>
          </w:tcPr>
          <w:p w14:paraId="6065F82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84</w:t>
            </w:r>
          </w:p>
        </w:tc>
        <w:tc>
          <w:tcPr>
            <w:tcW w:w="2268" w:type="dxa"/>
            <w:shd w:val="clear" w:color="auto" w:fill="E5E5E5" w:themeFill="background1" w:themeFillTint="33"/>
            <w:noWrap/>
            <w:vAlign w:val="bottom"/>
            <w:hideMark/>
          </w:tcPr>
          <w:p w14:paraId="42ED1EDF"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1.27</w:t>
            </w:r>
          </w:p>
        </w:tc>
        <w:tc>
          <w:tcPr>
            <w:tcW w:w="1417" w:type="dxa"/>
            <w:shd w:val="clear" w:color="auto" w:fill="E5E5E5" w:themeFill="background1" w:themeFillTint="33"/>
            <w:noWrap/>
            <w:vAlign w:val="bottom"/>
            <w:hideMark/>
          </w:tcPr>
          <w:p w14:paraId="1DC627C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1.28</w:t>
            </w:r>
          </w:p>
        </w:tc>
      </w:tr>
      <w:tr w:rsidR="00961617" w:rsidRPr="00545C7F" w14:paraId="571501A9" w14:textId="77777777" w:rsidTr="0020771F">
        <w:trPr>
          <w:gridAfter w:val="1"/>
          <w:wAfter w:w="426" w:type="dxa"/>
          <w:trHeight w:val="288"/>
        </w:trPr>
        <w:tc>
          <w:tcPr>
            <w:tcW w:w="1149" w:type="dxa"/>
            <w:shd w:val="clear" w:color="auto" w:fill="auto"/>
            <w:noWrap/>
            <w:vAlign w:val="bottom"/>
            <w:hideMark/>
          </w:tcPr>
          <w:p w14:paraId="156E2E8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91</w:t>
            </w:r>
          </w:p>
        </w:tc>
        <w:tc>
          <w:tcPr>
            <w:tcW w:w="2268" w:type="dxa"/>
            <w:shd w:val="clear" w:color="auto" w:fill="auto"/>
            <w:noWrap/>
            <w:vAlign w:val="bottom"/>
            <w:hideMark/>
          </w:tcPr>
          <w:p w14:paraId="3EFB898B"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2.34</w:t>
            </w:r>
          </w:p>
        </w:tc>
        <w:tc>
          <w:tcPr>
            <w:tcW w:w="1417" w:type="dxa"/>
            <w:shd w:val="clear" w:color="auto" w:fill="auto"/>
            <w:noWrap/>
            <w:vAlign w:val="bottom"/>
            <w:hideMark/>
          </w:tcPr>
          <w:p w14:paraId="52D882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1.90</w:t>
            </w:r>
          </w:p>
        </w:tc>
      </w:tr>
      <w:tr w:rsidR="00961617" w:rsidRPr="00545C7F" w14:paraId="27FCF1A2" w14:textId="77777777" w:rsidTr="0020771F">
        <w:trPr>
          <w:gridAfter w:val="1"/>
          <w:wAfter w:w="426" w:type="dxa"/>
          <w:trHeight w:val="288"/>
        </w:trPr>
        <w:tc>
          <w:tcPr>
            <w:tcW w:w="1149" w:type="dxa"/>
            <w:shd w:val="clear" w:color="auto" w:fill="E5E5E5" w:themeFill="background1" w:themeFillTint="33"/>
            <w:noWrap/>
            <w:vAlign w:val="bottom"/>
            <w:hideMark/>
          </w:tcPr>
          <w:p w14:paraId="5BED913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98</w:t>
            </w:r>
          </w:p>
        </w:tc>
        <w:tc>
          <w:tcPr>
            <w:tcW w:w="2268" w:type="dxa"/>
            <w:shd w:val="clear" w:color="auto" w:fill="E5E5E5" w:themeFill="background1" w:themeFillTint="33"/>
            <w:noWrap/>
            <w:vAlign w:val="bottom"/>
            <w:hideMark/>
          </w:tcPr>
          <w:p w14:paraId="43E8457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3.67</w:t>
            </w:r>
          </w:p>
        </w:tc>
        <w:tc>
          <w:tcPr>
            <w:tcW w:w="1417" w:type="dxa"/>
            <w:shd w:val="clear" w:color="auto" w:fill="E5E5E5" w:themeFill="background1" w:themeFillTint="33"/>
            <w:noWrap/>
            <w:vAlign w:val="bottom"/>
            <w:hideMark/>
          </w:tcPr>
          <w:p w14:paraId="40BCD9D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2.57</w:t>
            </w:r>
          </w:p>
        </w:tc>
      </w:tr>
      <w:tr w:rsidR="00961617" w:rsidRPr="00545C7F" w14:paraId="30C6DA2D" w14:textId="77777777" w:rsidTr="0020771F">
        <w:trPr>
          <w:gridAfter w:val="1"/>
          <w:wAfter w:w="426" w:type="dxa"/>
          <w:trHeight w:val="288"/>
        </w:trPr>
        <w:tc>
          <w:tcPr>
            <w:tcW w:w="1149" w:type="dxa"/>
            <w:shd w:val="clear" w:color="auto" w:fill="auto"/>
            <w:noWrap/>
            <w:vAlign w:val="bottom"/>
            <w:hideMark/>
          </w:tcPr>
          <w:p w14:paraId="2DCE8B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105</w:t>
            </w:r>
          </w:p>
        </w:tc>
        <w:tc>
          <w:tcPr>
            <w:tcW w:w="2268" w:type="dxa"/>
            <w:shd w:val="clear" w:color="auto" w:fill="auto"/>
            <w:noWrap/>
            <w:vAlign w:val="bottom"/>
            <w:hideMark/>
          </w:tcPr>
          <w:p w14:paraId="67B74CD9"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3.39</w:t>
            </w:r>
          </w:p>
        </w:tc>
        <w:tc>
          <w:tcPr>
            <w:tcW w:w="1417" w:type="dxa"/>
            <w:shd w:val="clear" w:color="auto" w:fill="auto"/>
            <w:noWrap/>
            <w:vAlign w:val="bottom"/>
            <w:hideMark/>
          </w:tcPr>
          <w:p w14:paraId="7E0C167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2.20</w:t>
            </w:r>
          </w:p>
        </w:tc>
      </w:tr>
      <w:tr w:rsidR="00961617" w:rsidRPr="00545C7F" w14:paraId="56F09CBB" w14:textId="77777777" w:rsidTr="0020771F">
        <w:trPr>
          <w:gridAfter w:val="1"/>
          <w:wAfter w:w="426" w:type="dxa"/>
          <w:trHeight w:val="288"/>
        </w:trPr>
        <w:tc>
          <w:tcPr>
            <w:tcW w:w="1149" w:type="dxa"/>
            <w:shd w:val="clear" w:color="auto" w:fill="E5E5E5" w:themeFill="background1" w:themeFillTint="33"/>
            <w:noWrap/>
            <w:vAlign w:val="bottom"/>
            <w:hideMark/>
          </w:tcPr>
          <w:p w14:paraId="57ACCF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112</w:t>
            </w:r>
          </w:p>
        </w:tc>
        <w:tc>
          <w:tcPr>
            <w:tcW w:w="2268" w:type="dxa"/>
            <w:shd w:val="clear" w:color="auto" w:fill="E5E5E5" w:themeFill="background1" w:themeFillTint="33"/>
            <w:noWrap/>
            <w:vAlign w:val="bottom"/>
            <w:hideMark/>
          </w:tcPr>
          <w:p w14:paraId="1B9E9C0F"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2.69</w:t>
            </w:r>
          </w:p>
        </w:tc>
        <w:tc>
          <w:tcPr>
            <w:tcW w:w="1417" w:type="dxa"/>
            <w:shd w:val="clear" w:color="auto" w:fill="E5E5E5" w:themeFill="background1" w:themeFillTint="33"/>
            <w:noWrap/>
            <w:vAlign w:val="bottom"/>
            <w:hideMark/>
          </w:tcPr>
          <w:p w14:paraId="2ED5B0E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2.02</w:t>
            </w:r>
          </w:p>
        </w:tc>
      </w:tr>
      <w:tr w:rsidR="00961617" w:rsidRPr="00545C7F" w14:paraId="2BCADBF6" w14:textId="77777777" w:rsidTr="0020771F">
        <w:trPr>
          <w:gridAfter w:val="1"/>
          <w:wAfter w:w="426" w:type="dxa"/>
          <w:trHeight w:val="288"/>
        </w:trPr>
        <w:tc>
          <w:tcPr>
            <w:tcW w:w="1149" w:type="dxa"/>
            <w:shd w:val="clear" w:color="auto" w:fill="auto"/>
            <w:noWrap/>
            <w:vAlign w:val="bottom"/>
            <w:hideMark/>
          </w:tcPr>
          <w:p w14:paraId="67B993B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119</w:t>
            </w:r>
          </w:p>
        </w:tc>
        <w:tc>
          <w:tcPr>
            <w:tcW w:w="2268" w:type="dxa"/>
            <w:shd w:val="clear" w:color="auto" w:fill="auto"/>
            <w:noWrap/>
            <w:vAlign w:val="bottom"/>
            <w:hideMark/>
          </w:tcPr>
          <w:p w14:paraId="5564AEE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2.75</w:t>
            </w:r>
          </w:p>
        </w:tc>
        <w:tc>
          <w:tcPr>
            <w:tcW w:w="1417" w:type="dxa"/>
            <w:shd w:val="clear" w:color="auto" w:fill="auto"/>
            <w:noWrap/>
            <w:vAlign w:val="bottom"/>
            <w:hideMark/>
          </w:tcPr>
          <w:p w14:paraId="129651C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1.84</w:t>
            </w:r>
          </w:p>
        </w:tc>
      </w:tr>
      <w:tr w:rsidR="00961617" w:rsidRPr="00545C7F" w14:paraId="4BC8587F" w14:textId="77777777" w:rsidTr="0020771F">
        <w:trPr>
          <w:gridAfter w:val="1"/>
          <w:wAfter w:w="426" w:type="dxa"/>
          <w:trHeight w:val="288"/>
        </w:trPr>
        <w:tc>
          <w:tcPr>
            <w:tcW w:w="1149" w:type="dxa"/>
            <w:shd w:val="clear" w:color="auto" w:fill="E5E5E5" w:themeFill="background1" w:themeFillTint="33"/>
            <w:noWrap/>
            <w:vAlign w:val="bottom"/>
            <w:hideMark/>
          </w:tcPr>
          <w:p w14:paraId="2065427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126</w:t>
            </w:r>
          </w:p>
        </w:tc>
        <w:tc>
          <w:tcPr>
            <w:tcW w:w="2268" w:type="dxa"/>
            <w:shd w:val="clear" w:color="auto" w:fill="E5E5E5" w:themeFill="background1" w:themeFillTint="33"/>
            <w:noWrap/>
            <w:vAlign w:val="bottom"/>
            <w:hideMark/>
          </w:tcPr>
          <w:p w14:paraId="67B3776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2.48</w:t>
            </w:r>
          </w:p>
        </w:tc>
        <w:tc>
          <w:tcPr>
            <w:tcW w:w="1417" w:type="dxa"/>
            <w:shd w:val="clear" w:color="auto" w:fill="E5E5E5" w:themeFill="background1" w:themeFillTint="33"/>
            <w:noWrap/>
            <w:vAlign w:val="bottom"/>
            <w:hideMark/>
          </w:tcPr>
          <w:p w14:paraId="6AF81E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1.83</w:t>
            </w:r>
          </w:p>
        </w:tc>
      </w:tr>
      <w:tr w:rsidR="00961617" w:rsidRPr="00545C7F" w14:paraId="37F22501" w14:textId="77777777" w:rsidTr="0020771F">
        <w:trPr>
          <w:gridAfter w:val="1"/>
          <w:wAfter w:w="426" w:type="dxa"/>
          <w:trHeight w:val="288"/>
        </w:trPr>
        <w:tc>
          <w:tcPr>
            <w:tcW w:w="1149" w:type="dxa"/>
            <w:shd w:val="clear" w:color="auto" w:fill="auto"/>
            <w:noWrap/>
            <w:vAlign w:val="bottom"/>
            <w:hideMark/>
          </w:tcPr>
          <w:p w14:paraId="5FF7E2A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133</w:t>
            </w:r>
          </w:p>
        </w:tc>
        <w:tc>
          <w:tcPr>
            <w:tcW w:w="2268" w:type="dxa"/>
            <w:shd w:val="clear" w:color="auto" w:fill="auto"/>
            <w:noWrap/>
            <w:vAlign w:val="bottom"/>
            <w:hideMark/>
          </w:tcPr>
          <w:p w14:paraId="43BF8E7E"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2.09</w:t>
            </w:r>
          </w:p>
        </w:tc>
        <w:tc>
          <w:tcPr>
            <w:tcW w:w="1417" w:type="dxa"/>
            <w:shd w:val="clear" w:color="auto" w:fill="auto"/>
            <w:noWrap/>
            <w:vAlign w:val="bottom"/>
            <w:hideMark/>
          </w:tcPr>
          <w:p w14:paraId="26CA3F7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1.75</w:t>
            </w:r>
          </w:p>
        </w:tc>
      </w:tr>
      <w:tr w:rsidR="00961617" w:rsidRPr="00545C7F" w14:paraId="3FA38FFE" w14:textId="77777777" w:rsidTr="0020771F">
        <w:trPr>
          <w:gridAfter w:val="1"/>
          <w:wAfter w:w="426" w:type="dxa"/>
          <w:trHeight w:val="288"/>
        </w:trPr>
        <w:tc>
          <w:tcPr>
            <w:tcW w:w="1149" w:type="dxa"/>
            <w:shd w:val="clear" w:color="auto" w:fill="E5E5E5" w:themeFill="background1" w:themeFillTint="33"/>
            <w:noWrap/>
            <w:vAlign w:val="bottom"/>
            <w:hideMark/>
          </w:tcPr>
          <w:p w14:paraId="5F82709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140</w:t>
            </w:r>
          </w:p>
        </w:tc>
        <w:tc>
          <w:tcPr>
            <w:tcW w:w="2268" w:type="dxa"/>
            <w:shd w:val="clear" w:color="auto" w:fill="E5E5E5" w:themeFill="background1" w:themeFillTint="33"/>
            <w:noWrap/>
            <w:vAlign w:val="bottom"/>
            <w:hideMark/>
          </w:tcPr>
          <w:p w14:paraId="2A26AA99"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2.05</w:t>
            </w:r>
          </w:p>
        </w:tc>
        <w:tc>
          <w:tcPr>
            <w:tcW w:w="1417" w:type="dxa"/>
            <w:shd w:val="clear" w:color="auto" w:fill="E5E5E5" w:themeFill="background1" w:themeFillTint="33"/>
            <w:noWrap/>
            <w:vAlign w:val="bottom"/>
            <w:hideMark/>
          </w:tcPr>
          <w:p w14:paraId="286B83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1.59</w:t>
            </w:r>
          </w:p>
        </w:tc>
      </w:tr>
      <w:tr w:rsidR="00961617" w:rsidRPr="00545C7F" w14:paraId="061526E8" w14:textId="77777777" w:rsidTr="0020771F">
        <w:trPr>
          <w:gridAfter w:val="1"/>
          <w:wAfter w:w="426" w:type="dxa"/>
          <w:trHeight w:val="288"/>
        </w:trPr>
        <w:tc>
          <w:tcPr>
            <w:tcW w:w="1149" w:type="dxa"/>
            <w:shd w:val="clear" w:color="auto" w:fill="auto"/>
            <w:noWrap/>
            <w:vAlign w:val="bottom"/>
            <w:hideMark/>
          </w:tcPr>
          <w:p w14:paraId="00D7EB3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147</w:t>
            </w:r>
          </w:p>
        </w:tc>
        <w:tc>
          <w:tcPr>
            <w:tcW w:w="2268" w:type="dxa"/>
            <w:shd w:val="clear" w:color="auto" w:fill="auto"/>
            <w:noWrap/>
            <w:vAlign w:val="bottom"/>
            <w:hideMark/>
          </w:tcPr>
          <w:p w14:paraId="7666DAE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1.70</w:t>
            </w:r>
          </w:p>
        </w:tc>
        <w:tc>
          <w:tcPr>
            <w:tcW w:w="1417" w:type="dxa"/>
            <w:shd w:val="clear" w:color="auto" w:fill="auto"/>
            <w:noWrap/>
            <w:vAlign w:val="bottom"/>
            <w:hideMark/>
          </w:tcPr>
          <w:p w14:paraId="62E8551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1.56</w:t>
            </w:r>
          </w:p>
        </w:tc>
      </w:tr>
      <w:tr w:rsidR="00961617" w:rsidRPr="00545C7F" w14:paraId="5F498764" w14:textId="77777777" w:rsidTr="0020771F">
        <w:trPr>
          <w:gridAfter w:val="1"/>
          <w:wAfter w:w="426" w:type="dxa"/>
          <w:trHeight w:val="288"/>
        </w:trPr>
        <w:tc>
          <w:tcPr>
            <w:tcW w:w="1149" w:type="dxa"/>
            <w:shd w:val="clear" w:color="auto" w:fill="E5E5E5" w:themeFill="background1" w:themeFillTint="33"/>
            <w:noWrap/>
            <w:vAlign w:val="bottom"/>
            <w:hideMark/>
          </w:tcPr>
          <w:p w14:paraId="748233B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154</w:t>
            </w:r>
          </w:p>
        </w:tc>
        <w:tc>
          <w:tcPr>
            <w:tcW w:w="2268" w:type="dxa"/>
            <w:shd w:val="clear" w:color="auto" w:fill="E5E5E5" w:themeFill="background1" w:themeFillTint="33"/>
            <w:noWrap/>
            <w:vAlign w:val="bottom"/>
            <w:hideMark/>
          </w:tcPr>
          <w:p w14:paraId="4206345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1.74</w:t>
            </w:r>
          </w:p>
        </w:tc>
        <w:tc>
          <w:tcPr>
            <w:tcW w:w="1417" w:type="dxa"/>
            <w:shd w:val="clear" w:color="auto" w:fill="E5E5E5" w:themeFill="background1" w:themeFillTint="33"/>
            <w:noWrap/>
            <w:vAlign w:val="bottom"/>
            <w:hideMark/>
          </w:tcPr>
          <w:p w14:paraId="0311DC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1.65</w:t>
            </w:r>
          </w:p>
        </w:tc>
      </w:tr>
      <w:tr w:rsidR="00961617" w:rsidRPr="00545C7F" w14:paraId="6C3C3931" w14:textId="77777777" w:rsidTr="0020771F">
        <w:trPr>
          <w:gridAfter w:val="1"/>
          <w:wAfter w:w="426" w:type="dxa"/>
          <w:trHeight w:val="288"/>
        </w:trPr>
        <w:tc>
          <w:tcPr>
            <w:tcW w:w="1149" w:type="dxa"/>
            <w:shd w:val="clear" w:color="auto" w:fill="auto"/>
            <w:noWrap/>
            <w:vAlign w:val="bottom"/>
            <w:hideMark/>
          </w:tcPr>
          <w:p w14:paraId="22DBFA0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161</w:t>
            </w:r>
          </w:p>
        </w:tc>
        <w:tc>
          <w:tcPr>
            <w:tcW w:w="2268" w:type="dxa"/>
            <w:shd w:val="clear" w:color="auto" w:fill="auto"/>
            <w:noWrap/>
            <w:vAlign w:val="bottom"/>
            <w:hideMark/>
          </w:tcPr>
          <w:p w14:paraId="6C146C5B"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1.61</w:t>
            </w:r>
          </w:p>
        </w:tc>
        <w:tc>
          <w:tcPr>
            <w:tcW w:w="1417" w:type="dxa"/>
            <w:shd w:val="clear" w:color="auto" w:fill="auto"/>
            <w:noWrap/>
            <w:vAlign w:val="bottom"/>
            <w:hideMark/>
          </w:tcPr>
          <w:p w14:paraId="668DE2A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1.49</w:t>
            </w:r>
          </w:p>
        </w:tc>
      </w:tr>
      <w:tr w:rsidR="00961617" w:rsidRPr="00545C7F" w14:paraId="57B9709A" w14:textId="77777777" w:rsidTr="0020771F">
        <w:trPr>
          <w:gridAfter w:val="1"/>
          <w:wAfter w:w="426" w:type="dxa"/>
          <w:trHeight w:val="288"/>
        </w:trPr>
        <w:tc>
          <w:tcPr>
            <w:tcW w:w="1149" w:type="dxa"/>
            <w:shd w:val="clear" w:color="auto" w:fill="E5E5E5" w:themeFill="background1" w:themeFillTint="33"/>
            <w:noWrap/>
            <w:vAlign w:val="bottom"/>
            <w:hideMark/>
          </w:tcPr>
          <w:p w14:paraId="5D6AEC8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168</w:t>
            </w:r>
          </w:p>
        </w:tc>
        <w:tc>
          <w:tcPr>
            <w:tcW w:w="2268" w:type="dxa"/>
            <w:shd w:val="clear" w:color="auto" w:fill="E5E5E5" w:themeFill="background1" w:themeFillTint="33"/>
            <w:noWrap/>
            <w:vAlign w:val="bottom"/>
            <w:hideMark/>
          </w:tcPr>
          <w:p w14:paraId="6A02092E"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1.68</w:t>
            </w:r>
          </w:p>
        </w:tc>
        <w:tc>
          <w:tcPr>
            <w:tcW w:w="1417" w:type="dxa"/>
            <w:shd w:val="clear" w:color="auto" w:fill="E5E5E5" w:themeFill="background1" w:themeFillTint="33"/>
            <w:noWrap/>
            <w:vAlign w:val="bottom"/>
            <w:hideMark/>
          </w:tcPr>
          <w:p w14:paraId="6B2724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1.49</w:t>
            </w:r>
          </w:p>
        </w:tc>
      </w:tr>
      <w:tr w:rsidR="00961617" w:rsidRPr="00545C7F" w14:paraId="3A2DF0AF" w14:textId="77777777" w:rsidTr="0020771F">
        <w:trPr>
          <w:gridAfter w:val="1"/>
          <w:wAfter w:w="426" w:type="dxa"/>
          <w:trHeight w:val="288"/>
        </w:trPr>
        <w:tc>
          <w:tcPr>
            <w:tcW w:w="1149" w:type="dxa"/>
            <w:shd w:val="clear" w:color="auto" w:fill="auto"/>
            <w:noWrap/>
            <w:vAlign w:val="bottom"/>
            <w:hideMark/>
          </w:tcPr>
          <w:p w14:paraId="0021AD3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175</w:t>
            </w:r>
          </w:p>
        </w:tc>
        <w:tc>
          <w:tcPr>
            <w:tcW w:w="2268" w:type="dxa"/>
            <w:shd w:val="clear" w:color="auto" w:fill="auto"/>
            <w:noWrap/>
            <w:vAlign w:val="bottom"/>
            <w:hideMark/>
          </w:tcPr>
          <w:p w14:paraId="26FF1F0D"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1.50</w:t>
            </w:r>
          </w:p>
        </w:tc>
        <w:tc>
          <w:tcPr>
            <w:tcW w:w="1417" w:type="dxa"/>
            <w:shd w:val="clear" w:color="auto" w:fill="auto"/>
            <w:noWrap/>
            <w:vAlign w:val="bottom"/>
            <w:hideMark/>
          </w:tcPr>
          <w:p w14:paraId="24570A2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1.29</w:t>
            </w:r>
          </w:p>
        </w:tc>
      </w:tr>
      <w:tr w:rsidR="00961617" w:rsidRPr="00545C7F" w14:paraId="3121D2FA" w14:textId="77777777" w:rsidTr="0020771F">
        <w:trPr>
          <w:gridAfter w:val="1"/>
          <w:wAfter w:w="426" w:type="dxa"/>
          <w:trHeight w:val="288"/>
        </w:trPr>
        <w:tc>
          <w:tcPr>
            <w:tcW w:w="1149" w:type="dxa"/>
            <w:shd w:val="clear" w:color="auto" w:fill="E5E5E5" w:themeFill="background1" w:themeFillTint="33"/>
            <w:noWrap/>
            <w:vAlign w:val="bottom"/>
            <w:hideMark/>
          </w:tcPr>
          <w:p w14:paraId="0F7733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182</w:t>
            </w:r>
          </w:p>
        </w:tc>
        <w:tc>
          <w:tcPr>
            <w:tcW w:w="2268" w:type="dxa"/>
            <w:shd w:val="clear" w:color="auto" w:fill="E5E5E5" w:themeFill="background1" w:themeFillTint="33"/>
            <w:noWrap/>
            <w:vAlign w:val="bottom"/>
            <w:hideMark/>
          </w:tcPr>
          <w:p w14:paraId="6B11E5D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1.53</w:t>
            </w:r>
          </w:p>
        </w:tc>
        <w:tc>
          <w:tcPr>
            <w:tcW w:w="1417" w:type="dxa"/>
            <w:shd w:val="clear" w:color="auto" w:fill="E5E5E5" w:themeFill="background1" w:themeFillTint="33"/>
            <w:noWrap/>
            <w:vAlign w:val="bottom"/>
            <w:hideMark/>
          </w:tcPr>
          <w:p w14:paraId="28AA87A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1.58</w:t>
            </w:r>
          </w:p>
        </w:tc>
      </w:tr>
      <w:tr w:rsidR="00961617" w:rsidRPr="00545C7F" w14:paraId="3B8CFC2F" w14:textId="77777777" w:rsidTr="0020771F">
        <w:trPr>
          <w:gridAfter w:val="1"/>
          <w:wAfter w:w="426" w:type="dxa"/>
          <w:trHeight w:val="288"/>
        </w:trPr>
        <w:tc>
          <w:tcPr>
            <w:tcW w:w="1149" w:type="dxa"/>
            <w:shd w:val="clear" w:color="auto" w:fill="auto"/>
            <w:noWrap/>
            <w:vAlign w:val="bottom"/>
            <w:hideMark/>
          </w:tcPr>
          <w:p w14:paraId="79A7901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189</w:t>
            </w:r>
          </w:p>
        </w:tc>
        <w:tc>
          <w:tcPr>
            <w:tcW w:w="2268" w:type="dxa"/>
            <w:shd w:val="clear" w:color="auto" w:fill="auto"/>
            <w:noWrap/>
            <w:vAlign w:val="bottom"/>
            <w:hideMark/>
          </w:tcPr>
          <w:p w14:paraId="2C4FC94E"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1.43</w:t>
            </w:r>
          </w:p>
        </w:tc>
        <w:tc>
          <w:tcPr>
            <w:tcW w:w="1417" w:type="dxa"/>
            <w:shd w:val="clear" w:color="auto" w:fill="auto"/>
            <w:noWrap/>
            <w:vAlign w:val="bottom"/>
            <w:hideMark/>
          </w:tcPr>
          <w:p w14:paraId="0BEA6E0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1.92</w:t>
            </w:r>
          </w:p>
        </w:tc>
      </w:tr>
      <w:tr w:rsidR="00961617" w:rsidRPr="00545C7F" w14:paraId="63AE0904" w14:textId="77777777" w:rsidTr="0020771F">
        <w:trPr>
          <w:gridAfter w:val="1"/>
          <w:wAfter w:w="426" w:type="dxa"/>
          <w:trHeight w:val="288"/>
        </w:trPr>
        <w:tc>
          <w:tcPr>
            <w:tcW w:w="1149" w:type="dxa"/>
            <w:shd w:val="clear" w:color="auto" w:fill="E5E5E5" w:themeFill="background1" w:themeFillTint="33"/>
            <w:noWrap/>
            <w:vAlign w:val="bottom"/>
            <w:hideMark/>
          </w:tcPr>
          <w:p w14:paraId="2AB35C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196</w:t>
            </w:r>
          </w:p>
        </w:tc>
        <w:tc>
          <w:tcPr>
            <w:tcW w:w="2268" w:type="dxa"/>
            <w:shd w:val="clear" w:color="auto" w:fill="E5E5E5" w:themeFill="background1" w:themeFillTint="33"/>
            <w:noWrap/>
            <w:vAlign w:val="bottom"/>
            <w:hideMark/>
          </w:tcPr>
          <w:p w14:paraId="3DF1B5DB"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w:t>
            </w:r>
          </w:p>
        </w:tc>
        <w:tc>
          <w:tcPr>
            <w:tcW w:w="1417" w:type="dxa"/>
            <w:shd w:val="clear" w:color="auto" w:fill="E5E5E5" w:themeFill="background1" w:themeFillTint="33"/>
            <w:noWrap/>
            <w:vAlign w:val="bottom"/>
            <w:hideMark/>
          </w:tcPr>
          <w:p w14:paraId="7CDA745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1.78</w:t>
            </w:r>
          </w:p>
        </w:tc>
      </w:tr>
      <w:tr w:rsidR="00961617" w:rsidRPr="00545C7F" w14:paraId="68D8EB84" w14:textId="77777777" w:rsidTr="0020771F">
        <w:trPr>
          <w:gridAfter w:val="1"/>
          <w:wAfter w:w="426" w:type="dxa"/>
          <w:trHeight w:val="288"/>
        </w:trPr>
        <w:tc>
          <w:tcPr>
            <w:tcW w:w="1149" w:type="dxa"/>
            <w:shd w:val="clear" w:color="auto" w:fill="auto"/>
            <w:noWrap/>
            <w:vAlign w:val="bottom"/>
            <w:hideMark/>
          </w:tcPr>
          <w:p w14:paraId="269CCF5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203</w:t>
            </w:r>
          </w:p>
        </w:tc>
        <w:tc>
          <w:tcPr>
            <w:tcW w:w="2268" w:type="dxa"/>
            <w:shd w:val="clear" w:color="auto" w:fill="auto"/>
            <w:noWrap/>
            <w:vAlign w:val="bottom"/>
            <w:hideMark/>
          </w:tcPr>
          <w:p w14:paraId="68CC3F1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1.28</w:t>
            </w:r>
          </w:p>
        </w:tc>
        <w:tc>
          <w:tcPr>
            <w:tcW w:w="1417" w:type="dxa"/>
            <w:shd w:val="clear" w:color="auto" w:fill="auto"/>
            <w:noWrap/>
            <w:vAlign w:val="bottom"/>
            <w:hideMark/>
          </w:tcPr>
          <w:p w14:paraId="7E9D051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1.38</w:t>
            </w:r>
          </w:p>
        </w:tc>
      </w:tr>
      <w:tr w:rsidR="00961617" w:rsidRPr="00545C7F" w14:paraId="59067CDF" w14:textId="77777777" w:rsidTr="0020771F">
        <w:trPr>
          <w:gridAfter w:val="1"/>
          <w:wAfter w:w="426" w:type="dxa"/>
          <w:trHeight w:val="288"/>
        </w:trPr>
        <w:tc>
          <w:tcPr>
            <w:tcW w:w="1149" w:type="dxa"/>
            <w:shd w:val="clear" w:color="auto" w:fill="E5E5E5" w:themeFill="background1" w:themeFillTint="33"/>
            <w:noWrap/>
            <w:vAlign w:val="bottom"/>
            <w:hideMark/>
          </w:tcPr>
          <w:p w14:paraId="64D00E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210</w:t>
            </w:r>
          </w:p>
        </w:tc>
        <w:tc>
          <w:tcPr>
            <w:tcW w:w="2268" w:type="dxa"/>
            <w:shd w:val="clear" w:color="auto" w:fill="E5E5E5" w:themeFill="background1" w:themeFillTint="33"/>
            <w:noWrap/>
            <w:vAlign w:val="bottom"/>
            <w:hideMark/>
          </w:tcPr>
          <w:p w14:paraId="1CCC25A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1.34</w:t>
            </w:r>
          </w:p>
        </w:tc>
        <w:tc>
          <w:tcPr>
            <w:tcW w:w="1417" w:type="dxa"/>
            <w:shd w:val="clear" w:color="auto" w:fill="E5E5E5" w:themeFill="background1" w:themeFillTint="33"/>
            <w:noWrap/>
            <w:vAlign w:val="bottom"/>
            <w:hideMark/>
          </w:tcPr>
          <w:p w14:paraId="5ECC27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1.52</w:t>
            </w:r>
          </w:p>
        </w:tc>
      </w:tr>
      <w:tr w:rsidR="00961617" w:rsidRPr="00545C7F" w14:paraId="2B032CE9" w14:textId="77777777" w:rsidTr="0020771F">
        <w:trPr>
          <w:gridAfter w:val="1"/>
          <w:wAfter w:w="426" w:type="dxa"/>
          <w:trHeight w:val="288"/>
        </w:trPr>
        <w:tc>
          <w:tcPr>
            <w:tcW w:w="1149" w:type="dxa"/>
            <w:shd w:val="clear" w:color="auto" w:fill="auto"/>
            <w:noWrap/>
            <w:vAlign w:val="bottom"/>
            <w:hideMark/>
          </w:tcPr>
          <w:p w14:paraId="68F16D5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217</w:t>
            </w:r>
          </w:p>
        </w:tc>
        <w:tc>
          <w:tcPr>
            <w:tcW w:w="2268" w:type="dxa"/>
            <w:shd w:val="clear" w:color="auto" w:fill="auto"/>
            <w:noWrap/>
            <w:vAlign w:val="bottom"/>
            <w:hideMark/>
          </w:tcPr>
          <w:p w14:paraId="10FBDBBA"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1417" w:type="dxa"/>
            <w:shd w:val="clear" w:color="auto" w:fill="auto"/>
            <w:noWrap/>
            <w:vAlign w:val="bottom"/>
            <w:hideMark/>
          </w:tcPr>
          <w:p w14:paraId="292928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1.27</w:t>
            </w:r>
          </w:p>
        </w:tc>
      </w:tr>
      <w:tr w:rsidR="00961617" w:rsidRPr="00545C7F" w14:paraId="2FF3C412" w14:textId="77777777" w:rsidTr="0020771F">
        <w:trPr>
          <w:gridAfter w:val="1"/>
          <w:wAfter w:w="426" w:type="dxa"/>
          <w:trHeight w:val="288"/>
        </w:trPr>
        <w:tc>
          <w:tcPr>
            <w:tcW w:w="1149" w:type="dxa"/>
            <w:shd w:val="clear" w:color="auto" w:fill="E5E5E5" w:themeFill="background1" w:themeFillTint="33"/>
            <w:noWrap/>
            <w:vAlign w:val="bottom"/>
            <w:hideMark/>
          </w:tcPr>
          <w:p w14:paraId="33DEB6E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224</w:t>
            </w:r>
          </w:p>
        </w:tc>
        <w:tc>
          <w:tcPr>
            <w:tcW w:w="2268" w:type="dxa"/>
            <w:shd w:val="clear" w:color="auto" w:fill="E5E5E5" w:themeFill="background1" w:themeFillTint="33"/>
            <w:noWrap/>
            <w:vAlign w:val="bottom"/>
            <w:hideMark/>
          </w:tcPr>
          <w:p w14:paraId="021B3747"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1.14</w:t>
            </w:r>
          </w:p>
        </w:tc>
        <w:tc>
          <w:tcPr>
            <w:tcW w:w="1417" w:type="dxa"/>
            <w:shd w:val="clear" w:color="auto" w:fill="E5E5E5" w:themeFill="background1" w:themeFillTint="33"/>
            <w:noWrap/>
            <w:vAlign w:val="bottom"/>
            <w:hideMark/>
          </w:tcPr>
          <w:p w14:paraId="6924483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1.16</w:t>
            </w:r>
          </w:p>
        </w:tc>
      </w:tr>
      <w:tr w:rsidR="00961617" w:rsidRPr="00545C7F" w14:paraId="5F49F3AB" w14:textId="77777777" w:rsidTr="0020771F">
        <w:trPr>
          <w:gridAfter w:val="1"/>
          <w:wAfter w:w="426" w:type="dxa"/>
          <w:trHeight w:val="288"/>
        </w:trPr>
        <w:tc>
          <w:tcPr>
            <w:tcW w:w="1149" w:type="dxa"/>
            <w:shd w:val="clear" w:color="auto" w:fill="auto"/>
            <w:noWrap/>
            <w:vAlign w:val="bottom"/>
            <w:hideMark/>
          </w:tcPr>
          <w:p w14:paraId="35B5BFB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231</w:t>
            </w:r>
          </w:p>
        </w:tc>
        <w:tc>
          <w:tcPr>
            <w:tcW w:w="2268" w:type="dxa"/>
            <w:shd w:val="clear" w:color="auto" w:fill="auto"/>
            <w:noWrap/>
            <w:vAlign w:val="bottom"/>
            <w:hideMark/>
          </w:tcPr>
          <w:p w14:paraId="18883C1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1.19</w:t>
            </w:r>
          </w:p>
        </w:tc>
        <w:tc>
          <w:tcPr>
            <w:tcW w:w="1417" w:type="dxa"/>
            <w:shd w:val="clear" w:color="auto" w:fill="auto"/>
            <w:noWrap/>
            <w:vAlign w:val="bottom"/>
            <w:hideMark/>
          </w:tcPr>
          <w:p w14:paraId="3D757D0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1.22</w:t>
            </w:r>
          </w:p>
        </w:tc>
      </w:tr>
      <w:tr w:rsidR="00961617" w:rsidRPr="00545C7F" w14:paraId="6E29D00D" w14:textId="77777777" w:rsidTr="0020771F">
        <w:trPr>
          <w:gridAfter w:val="1"/>
          <w:wAfter w:w="426" w:type="dxa"/>
          <w:trHeight w:val="288"/>
        </w:trPr>
        <w:tc>
          <w:tcPr>
            <w:tcW w:w="1149" w:type="dxa"/>
            <w:shd w:val="clear" w:color="auto" w:fill="E5E5E5" w:themeFill="background1" w:themeFillTint="33"/>
            <w:noWrap/>
            <w:vAlign w:val="bottom"/>
            <w:hideMark/>
          </w:tcPr>
          <w:p w14:paraId="3315D29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238</w:t>
            </w:r>
          </w:p>
        </w:tc>
        <w:tc>
          <w:tcPr>
            <w:tcW w:w="2268" w:type="dxa"/>
            <w:shd w:val="clear" w:color="auto" w:fill="E5E5E5" w:themeFill="background1" w:themeFillTint="33"/>
            <w:noWrap/>
            <w:vAlign w:val="bottom"/>
            <w:hideMark/>
          </w:tcPr>
          <w:p w14:paraId="673BF0A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1.09</w:t>
            </w:r>
          </w:p>
        </w:tc>
        <w:tc>
          <w:tcPr>
            <w:tcW w:w="1417" w:type="dxa"/>
            <w:shd w:val="clear" w:color="auto" w:fill="E5E5E5" w:themeFill="background1" w:themeFillTint="33"/>
            <w:noWrap/>
            <w:vAlign w:val="bottom"/>
            <w:hideMark/>
          </w:tcPr>
          <w:p w14:paraId="018BE05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1.25</w:t>
            </w:r>
          </w:p>
        </w:tc>
      </w:tr>
      <w:tr w:rsidR="00961617" w:rsidRPr="00545C7F" w14:paraId="60045BAD" w14:textId="77777777" w:rsidTr="0020771F">
        <w:trPr>
          <w:gridAfter w:val="1"/>
          <w:wAfter w:w="426" w:type="dxa"/>
          <w:trHeight w:val="288"/>
        </w:trPr>
        <w:tc>
          <w:tcPr>
            <w:tcW w:w="1149" w:type="dxa"/>
            <w:shd w:val="clear" w:color="auto" w:fill="auto"/>
            <w:noWrap/>
            <w:vAlign w:val="bottom"/>
            <w:hideMark/>
          </w:tcPr>
          <w:p w14:paraId="551F853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245</w:t>
            </w:r>
          </w:p>
        </w:tc>
        <w:tc>
          <w:tcPr>
            <w:tcW w:w="2268" w:type="dxa"/>
            <w:shd w:val="clear" w:color="auto" w:fill="auto"/>
            <w:noWrap/>
            <w:vAlign w:val="bottom"/>
            <w:hideMark/>
          </w:tcPr>
          <w:p w14:paraId="3547B74D"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0.93</w:t>
            </w:r>
          </w:p>
        </w:tc>
        <w:tc>
          <w:tcPr>
            <w:tcW w:w="1417" w:type="dxa"/>
            <w:shd w:val="clear" w:color="auto" w:fill="auto"/>
            <w:noWrap/>
            <w:vAlign w:val="bottom"/>
            <w:hideMark/>
          </w:tcPr>
          <w:p w14:paraId="1B4FD0A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1.10</w:t>
            </w:r>
          </w:p>
        </w:tc>
      </w:tr>
      <w:tr w:rsidR="00961617" w:rsidRPr="00545C7F" w14:paraId="1BCE9641" w14:textId="77777777" w:rsidTr="0020771F">
        <w:trPr>
          <w:gridAfter w:val="1"/>
          <w:wAfter w:w="426" w:type="dxa"/>
          <w:trHeight w:val="288"/>
        </w:trPr>
        <w:tc>
          <w:tcPr>
            <w:tcW w:w="1149" w:type="dxa"/>
            <w:shd w:val="clear" w:color="auto" w:fill="E5E5E5" w:themeFill="background1" w:themeFillTint="33"/>
            <w:noWrap/>
            <w:vAlign w:val="bottom"/>
            <w:hideMark/>
          </w:tcPr>
          <w:p w14:paraId="223DE0D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252</w:t>
            </w:r>
          </w:p>
        </w:tc>
        <w:tc>
          <w:tcPr>
            <w:tcW w:w="2268" w:type="dxa"/>
            <w:shd w:val="clear" w:color="auto" w:fill="E5E5E5" w:themeFill="background1" w:themeFillTint="33"/>
            <w:noWrap/>
            <w:vAlign w:val="bottom"/>
            <w:hideMark/>
          </w:tcPr>
          <w:p w14:paraId="3AE7DF57"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c>
          <w:tcPr>
            <w:tcW w:w="1417" w:type="dxa"/>
            <w:shd w:val="clear" w:color="auto" w:fill="E5E5E5" w:themeFill="background1" w:themeFillTint="33"/>
            <w:noWrap/>
            <w:vAlign w:val="bottom"/>
            <w:hideMark/>
          </w:tcPr>
          <w:p w14:paraId="6C6FE5C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r>
      <w:tr w:rsidR="00961617" w:rsidRPr="00545C7F" w14:paraId="795FFA96" w14:textId="77777777" w:rsidTr="0020771F">
        <w:trPr>
          <w:gridAfter w:val="1"/>
          <w:wAfter w:w="426" w:type="dxa"/>
          <w:trHeight w:val="288"/>
        </w:trPr>
        <w:tc>
          <w:tcPr>
            <w:tcW w:w="1149" w:type="dxa"/>
            <w:shd w:val="clear" w:color="auto" w:fill="FFFFFF" w:themeFill="background2"/>
            <w:noWrap/>
            <w:vAlign w:val="bottom"/>
            <w:hideMark/>
          </w:tcPr>
          <w:p w14:paraId="5F66ED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259</w:t>
            </w:r>
          </w:p>
        </w:tc>
        <w:tc>
          <w:tcPr>
            <w:tcW w:w="2268" w:type="dxa"/>
            <w:shd w:val="clear" w:color="auto" w:fill="FFFFFF" w:themeFill="background2"/>
            <w:noWrap/>
            <w:vAlign w:val="bottom"/>
            <w:hideMark/>
          </w:tcPr>
          <w:p w14:paraId="0AAFD9E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c>
          <w:tcPr>
            <w:tcW w:w="1417" w:type="dxa"/>
            <w:shd w:val="clear" w:color="auto" w:fill="FFFFFF" w:themeFill="background2"/>
            <w:noWrap/>
            <w:vAlign w:val="bottom"/>
            <w:hideMark/>
          </w:tcPr>
          <w:p w14:paraId="1746275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0.96</w:t>
            </w:r>
          </w:p>
        </w:tc>
      </w:tr>
      <w:tr w:rsidR="00961617" w:rsidRPr="00545C7F" w14:paraId="269A50BF" w14:textId="77777777" w:rsidTr="0020771F">
        <w:trPr>
          <w:gridAfter w:val="1"/>
          <w:wAfter w:w="426" w:type="dxa"/>
          <w:trHeight w:val="288"/>
        </w:trPr>
        <w:tc>
          <w:tcPr>
            <w:tcW w:w="1149" w:type="dxa"/>
            <w:shd w:val="clear" w:color="auto" w:fill="E5E5E5" w:themeFill="background1" w:themeFillTint="33"/>
            <w:noWrap/>
            <w:vAlign w:val="bottom"/>
            <w:hideMark/>
          </w:tcPr>
          <w:p w14:paraId="721D3F5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266</w:t>
            </w:r>
          </w:p>
        </w:tc>
        <w:tc>
          <w:tcPr>
            <w:tcW w:w="2268" w:type="dxa"/>
            <w:shd w:val="clear" w:color="auto" w:fill="E5E5E5" w:themeFill="background1" w:themeFillTint="33"/>
            <w:noWrap/>
            <w:vAlign w:val="bottom"/>
            <w:hideMark/>
          </w:tcPr>
          <w:p w14:paraId="6714716E"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0.95</w:t>
            </w:r>
          </w:p>
        </w:tc>
        <w:tc>
          <w:tcPr>
            <w:tcW w:w="1417" w:type="dxa"/>
            <w:shd w:val="clear" w:color="auto" w:fill="E5E5E5" w:themeFill="background1" w:themeFillTint="33"/>
            <w:noWrap/>
            <w:vAlign w:val="bottom"/>
            <w:hideMark/>
          </w:tcPr>
          <w:p w14:paraId="16506E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0.97</w:t>
            </w:r>
          </w:p>
        </w:tc>
      </w:tr>
      <w:tr w:rsidR="00961617" w:rsidRPr="00545C7F" w14:paraId="2E972CC2" w14:textId="77777777" w:rsidTr="0020771F">
        <w:trPr>
          <w:gridAfter w:val="1"/>
          <w:wAfter w:w="426" w:type="dxa"/>
          <w:trHeight w:val="288"/>
        </w:trPr>
        <w:tc>
          <w:tcPr>
            <w:tcW w:w="1149" w:type="dxa"/>
            <w:shd w:val="clear" w:color="auto" w:fill="auto"/>
            <w:noWrap/>
            <w:vAlign w:val="bottom"/>
            <w:hideMark/>
          </w:tcPr>
          <w:p w14:paraId="0918846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273</w:t>
            </w:r>
          </w:p>
        </w:tc>
        <w:tc>
          <w:tcPr>
            <w:tcW w:w="2268" w:type="dxa"/>
            <w:shd w:val="clear" w:color="auto" w:fill="auto"/>
            <w:noWrap/>
            <w:vAlign w:val="bottom"/>
            <w:hideMark/>
          </w:tcPr>
          <w:p w14:paraId="0C9D5006"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w:t>
            </w:r>
          </w:p>
        </w:tc>
        <w:tc>
          <w:tcPr>
            <w:tcW w:w="1417" w:type="dxa"/>
            <w:shd w:val="clear" w:color="auto" w:fill="auto"/>
            <w:noWrap/>
            <w:vAlign w:val="bottom"/>
            <w:hideMark/>
          </w:tcPr>
          <w:p w14:paraId="0A13A46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0.81</w:t>
            </w:r>
          </w:p>
        </w:tc>
      </w:tr>
      <w:tr w:rsidR="00961617" w:rsidRPr="00545C7F" w14:paraId="4E66D9D3" w14:textId="77777777" w:rsidTr="0020771F">
        <w:trPr>
          <w:gridAfter w:val="1"/>
          <w:wAfter w:w="426" w:type="dxa"/>
          <w:trHeight w:val="288"/>
        </w:trPr>
        <w:tc>
          <w:tcPr>
            <w:tcW w:w="1149" w:type="dxa"/>
            <w:shd w:val="clear" w:color="auto" w:fill="E5E5E5" w:themeFill="background1" w:themeFillTint="33"/>
            <w:noWrap/>
            <w:vAlign w:val="bottom"/>
            <w:hideMark/>
          </w:tcPr>
          <w:p w14:paraId="789CD56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280</w:t>
            </w:r>
          </w:p>
        </w:tc>
        <w:tc>
          <w:tcPr>
            <w:tcW w:w="2268" w:type="dxa"/>
            <w:shd w:val="clear" w:color="auto" w:fill="E5E5E5" w:themeFill="background1" w:themeFillTint="33"/>
            <w:noWrap/>
            <w:vAlign w:val="bottom"/>
            <w:hideMark/>
          </w:tcPr>
          <w:p w14:paraId="33B4DDB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0.80</w:t>
            </w:r>
          </w:p>
        </w:tc>
        <w:tc>
          <w:tcPr>
            <w:tcW w:w="1417" w:type="dxa"/>
            <w:shd w:val="clear" w:color="auto" w:fill="E5E5E5" w:themeFill="background1" w:themeFillTint="33"/>
            <w:noWrap/>
            <w:vAlign w:val="bottom"/>
            <w:hideMark/>
          </w:tcPr>
          <w:p w14:paraId="3CA9852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w:t>
            </w:r>
          </w:p>
        </w:tc>
      </w:tr>
      <w:tr w:rsidR="00961617" w:rsidRPr="00545C7F" w14:paraId="795E8850" w14:textId="77777777" w:rsidTr="0020771F">
        <w:trPr>
          <w:gridAfter w:val="1"/>
          <w:wAfter w:w="426" w:type="dxa"/>
          <w:trHeight w:val="288"/>
        </w:trPr>
        <w:tc>
          <w:tcPr>
            <w:tcW w:w="1149" w:type="dxa"/>
            <w:shd w:val="clear" w:color="auto" w:fill="auto"/>
            <w:noWrap/>
            <w:vAlign w:val="bottom"/>
            <w:hideMark/>
          </w:tcPr>
          <w:p w14:paraId="5ABF629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287</w:t>
            </w:r>
          </w:p>
        </w:tc>
        <w:tc>
          <w:tcPr>
            <w:tcW w:w="2268" w:type="dxa"/>
            <w:shd w:val="clear" w:color="auto" w:fill="auto"/>
            <w:noWrap/>
            <w:vAlign w:val="bottom"/>
            <w:hideMark/>
          </w:tcPr>
          <w:p w14:paraId="7B3747F9"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0.75</w:t>
            </w:r>
          </w:p>
        </w:tc>
        <w:tc>
          <w:tcPr>
            <w:tcW w:w="1417" w:type="dxa"/>
            <w:shd w:val="clear" w:color="auto" w:fill="auto"/>
            <w:noWrap/>
            <w:vAlign w:val="bottom"/>
            <w:hideMark/>
          </w:tcPr>
          <w:p w14:paraId="12D10FF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0.70</w:t>
            </w:r>
          </w:p>
        </w:tc>
      </w:tr>
      <w:tr w:rsidR="00961617" w:rsidRPr="00545C7F" w14:paraId="53FD9235" w14:textId="77777777" w:rsidTr="0020771F">
        <w:trPr>
          <w:gridAfter w:val="1"/>
          <w:wAfter w:w="426" w:type="dxa"/>
          <w:trHeight w:val="288"/>
        </w:trPr>
        <w:tc>
          <w:tcPr>
            <w:tcW w:w="1149" w:type="dxa"/>
            <w:shd w:val="clear" w:color="auto" w:fill="E5E5E5" w:themeFill="background1" w:themeFillTint="33"/>
            <w:noWrap/>
            <w:vAlign w:val="bottom"/>
            <w:hideMark/>
          </w:tcPr>
          <w:p w14:paraId="3AA0627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294</w:t>
            </w:r>
          </w:p>
        </w:tc>
        <w:tc>
          <w:tcPr>
            <w:tcW w:w="2268" w:type="dxa"/>
            <w:shd w:val="clear" w:color="auto" w:fill="E5E5E5" w:themeFill="background1" w:themeFillTint="33"/>
            <w:noWrap/>
            <w:vAlign w:val="bottom"/>
            <w:hideMark/>
          </w:tcPr>
          <w:p w14:paraId="35EF585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0.71</w:t>
            </w:r>
          </w:p>
        </w:tc>
        <w:tc>
          <w:tcPr>
            <w:tcW w:w="1417" w:type="dxa"/>
            <w:shd w:val="clear" w:color="auto" w:fill="E5E5E5" w:themeFill="background1" w:themeFillTint="33"/>
            <w:noWrap/>
            <w:vAlign w:val="bottom"/>
            <w:hideMark/>
          </w:tcPr>
          <w:p w14:paraId="3A1BB5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0.76</w:t>
            </w:r>
          </w:p>
        </w:tc>
      </w:tr>
      <w:tr w:rsidR="00961617" w:rsidRPr="00545C7F" w14:paraId="4B3DFA23" w14:textId="77777777" w:rsidTr="0020771F">
        <w:trPr>
          <w:gridAfter w:val="1"/>
          <w:wAfter w:w="426" w:type="dxa"/>
          <w:trHeight w:val="288"/>
        </w:trPr>
        <w:tc>
          <w:tcPr>
            <w:tcW w:w="1149" w:type="dxa"/>
            <w:shd w:val="clear" w:color="auto" w:fill="auto"/>
            <w:noWrap/>
            <w:vAlign w:val="bottom"/>
            <w:hideMark/>
          </w:tcPr>
          <w:p w14:paraId="41DED6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301</w:t>
            </w:r>
          </w:p>
        </w:tc>
        <w:tc>
          <w:tcPr>
            <w:tcW w:w="2268" w:type="dxa"/>
            <w:shd w:val="clear" w:color="auto" w:fill="auto"/>
            <w:noWrap/>
            <w:vAlign w:val="bottom"/>
            <w:hideMark/>
          </w:tcPr>
          <w:p w14:paraId="1CE9A829"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0.73</w:t>
            </w:r>
          </w:p>
        </w:tc>
        <w:tc>
          <w:tcPr>
            <w:tcW w:w="1417" w:type="dxa"/>
            <w:shd w:val="clear" w:color="auto" w:fill="auto"/>
            <w:noWrap/>
            <w:vAlign w:val="bottom"/>
            <w:hideMark/>
          </w:tcPr>
          <w:p w14:paraId="4AE4EBF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w:t>
            </w:r>
          </w:p>
        </w:tc>
      </w:tr>
      <w:tr w:rsidR="00961617" w:rsidRPr="00545C7F" w14:paraId="3D81F39A" w14:textId="77777777" w:rsidTr="0020771F">
        <w:trPr>
          <w:gridAfter w:val="1"/>
          <w:wAfter w:w="426" w:type="dxa"/>
          <w:trHeight w:val="288"/>
        </w:trPr>
        <w:tc>
          <w:tcPr>
            <w:tcW w:w="1149" w:type="dxa"/>
            <w:shd w:val="clear" w:color="auto" w:fill="E5E5E5" w:themeFill="background1" w:themeFillTint="33"/>
            <w:noWrap/>
            <w:vAlign w:val="bottom"/>
            <w:hideMark/>
          </w:tcPr>
          <w:p w14:paraId="23B1F78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308</w:t>
            </w:r>
          </w:p>
        </w:tc>
        <w:tc>
          <w:tcPr>
            <w:tcW w:w="2268" w:type="dxa"/>
            <w:shd w:val="clear" w:color="auto" w:fill="E5E5E5" w:themeFill="background1" w:themeFillTint="33"/>
            <w:noWrap/>
            <w:vAlign w:val="bottom"/>
            <w:hideMark/>
          </w:tcPr>
          <w:p w14:paraId="7D7164E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0.67</w:t>
            </w:r>
          </w:p>
        </w:tc>
        <w:tc>
          <w:tcPr>
            <w:tcW w:w="1417" w:type="dxa"/>
            <w:shd w:val="clear" w:color="auto" w:fill="E5E5E5" w:themeFill="background1" w:themeFillTint="33"/>
            <w:noWrap/>
            <w:vAlign w:val="bottom"/>
            <w:hideMark/>
          </w:tcPr>
          <w:p w14:paraId="02381B7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w:t>
            </w:r>
          </w:p>
        </w:tc>
      </w:tr>
      <w:tr w:rsidR="00961617" w:rsidRPr="00545C7F" w14:paraId="3934C3EC" w14:textId="77777777" w:rsidTr="0020771F">
        <w:trPr>
          <w:gridAfter w:val="1"/>
          <w:wAfter w:w="426" w:type="dxa"/>
          <w:trHeight w:val="288"/>
        </w:trPr>
        <w:tc>
          <w:tcPr>
            <w:tcW w:w="1149" w:type="dxa"/>
            <w:shd w:val="clear" w:color="auto" w:fill="auto"/>
            <w:noWrap/>
            <w:vAlign w:val="bottom"/>
            <w:hideMark/>
          </w:tcPr>
          <w:p w14:paraId="3D6B393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315</w:t>
            </w:r>
          </w:p>
        </w:tc>
        <w:tc>
          <w:tcPr>
            <w:tcW w:w="2268" w:type="dxa"/>
            <w:shd w:val="clear" w:color="auto" w:fill="auto"/>
            <w:noWrap/>
            <w:vAlign w:val="bottom"/>
            <w:hideMark/>
          </w:tcPr>
          <w:p w14:paraId="557E841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0.61</w:t>
            </w:r>
          </w:p>
        </w:tc>
        <w:tc>
          <w:tcPr>
            <w:tcW w:w="1417" w:type="dxa"/>
            <w:shd w:val="clear" w:color="auto" w:fill="auto"/>
            <w:noWrap/>
            <w:vAlign w:val="bottom"/>
            <w:hideMark/>
          </w:tcPr>
          <w:p w14:paraId="719D438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0.70</w:t>
            </w:r>
          </w:p>
        </w:tc>
      </w:tr>
      <w:tr w:rsidR="00961617" w:rsidRPr="00545C7F" w14:paraId="7B9D732E" w14:textId="77777777" w:rsidTr="0020771F">
        <w:trPr>
          <w:gridAfter w:val="1"/>
          <w:wAfter w:w="426" w:type="dxa"/>
          <w:trHeight w:val="288"/>
        </w:trPr>
        <w:tc>
          <w:tcPr>
            <w:tcW w:w="1149" w:type="dxa"/>
            <w:shd w:val="clear" w:color="auto" w:fill="E5E5E5" w:themeFill="background1" w:themeFillTint="33"/>
            <w:noWrap/>
            <w:vAlign w:val="bottom"/>
            <w:hideMark/>
          </w:tcPr>
          <w:p w14:paraId="384D16F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322</w:t>
            </w:r>
          </w:p>
        </w:tc>
        <w:tc>
          <w:tcPr>
            <w:tcW w:w="2268" w:type="dxa"/>
            <w:shd w:val="clear" w:color="auto" w:fill="E5E5E5" w:themeFill="background1" w:themeFillTint="33"/>
            <w:noWrap/>
            <w:vAlign w:val="bottom"/>
            <w:hideMark/>
          </w:tcPr>
          <w:p w14:paraId="0076E09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0.64</w:t>
            </w:r>
          </w:p>
        </w:tc>
        <w:tc>
          <w:tcPr>
            <w:tcW w:w="1417" w:type="dxa"/>
            <w:shd w:val="clear" w:color="auto" w:fill="E5E5E5" w:themeFill="background1" w:themeFillTint="33"/>
            <w:noWrap/>
            <w:vAlign w:val="bottom"/>
            <w:hideMark/>
          </w:tcPr>
          <w:p w14:paraId="6B92D90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0.73</w:t>
            </w:r>
          </w:p>
        </w:tc>
      </w:tr>
      <w:tr w:rsidR="00961617" w:rsidRPr="00545C7F" w14:paraId="554C0CF8" w14:textId="77777777" w:rsidTr="0020771F">
        <w:trPr>
          <w:gridAfter w:val="1"/>
          <w:wAfter w:w="426" w:type="dxa"/>
          <w:trHeight w:val="288"/>
        </w:trPr>
        <w:tc>
          <w:tcPr>
            <w:tcW w:w="1149" w:type="dxa"/>
            <w:shd w:val="clear" w:color="auto" w:fill="auto"/>
            <w:noWrap/>
            <w:vAlign w:val="bottom"/>
            <w:hideMark/>
          </w:tcPr>
          <w:p w14:paraId="62589E9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329</w:t>
            </w:r>
          </w:p>
        </w:tc>
        <w:tc>
          <w:tcPr>
            <w:tcW w:w="2268" w:type="dxa"/>
            <w:shd w:val="clear" w:color="auto" w:fill="auto"/>
            <w:noWrap/>
            <w:vAlign w:val="bottom"/>
            <w:hideMark/>
          </w:tcPr>
          <w:p w14:paraId="7CC858C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0.56</w:t>
            </w:r>
          </w:p>
        </w:tc>
        <w:tc>
          <w:tcPr>
            <w:tcW w:w="1417" w:type="dxa"/>
            <w:shd w:val="clear" w:color="auto" w:fill="auto"/>
            <w:noWrap/>
            <w:vAlign w:val="bottom"/>
            <w:hideMark/>
          </w:tcPr>
          <w:p w14:paraId="2D0288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0.67</w:t>
            </w:r>
          </w:p>
        </w:tc>
      </w:tr>
      <w:tr w:rsidR="00961617" w:rsidRPr="00545C7F" w14:paraId="01720173" w14:textId="77777777" w:rsidTr="0020771F">
        <w:trPr>
          <w:gridAfter w:val="1"/>
          <w:wAfter w:w="426" w:type="dxa"/>
          <w:trHeight w:val="288"/>
        </w:trPr>
        <w:tc>
          <w:tcPr>
            <w:tcW w:w="1149" w:type="dxa"/>
            <w:shd w:val="clear" w:color="auto" w:fill="E5E5E5" w:themeFill="background1" w:themeFillTint="33"/>
            <w:noWrap/>
            <w:vAlign w:val="bottom"/>
            <w:hideMark/>
          </w:tcPr>
          <w:p w14:paraId="619A5F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336</w:t>
            </w:r>
          </w:p>
        </w:tc>
        <w:tc>
          <w:tcPr>
            <w:tcW w:w="2268" w:type="dxa"/>
            <w:shd w:val="clear" w:color="auto" w:fill="E5E5E5" w:themeFill="background1" w:themeFillTint="33"/>
            <w:noWrap/>
            <w:vAlign w:val="bottom"/>
            <w:hideMark/>
          </w:tcPr>
          <w:p w14:paraId="7A4546A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0.58</w:t>
            </w:r>
          </w:p>
        </w:tc>
        <w:tc>
          <w:tcPr>
            <w:tcW w:w="1417" w:type="dxa"/>
            <w:shd w:val="clear" w:color="auto" w:fill="E5E5E5" w:themeFill="background1" w:themeFillTint="33"/>
            <w:noWrap/>
            <w:vAlign w:val="bottom"/>
            <w:hideMark/>
          </w:tcPr>
          <w:p w14:paraId="4EB4998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0.79</w:t>
            </w:r>
          </w:p>
        </w:tc>
      </w:tr>
      <w:tr w:rsidR="00961617" w:rsidRPr="00545C7F" w14:paraId="1BE0F4E4" w14:textId="77777777" w:rsidTr="0020771F">
        <w:trPr>
          <w:gridAfter w:val="1"/>
          <w:wAfter w:w="426" w:type="dxa"/>
          <w:trHeight w:val="288"/>
        </w:trPr>
        <w:tc>
          <w:tcPr>
            <w:tcW w:w="1149" w:type="dxa"/>
            <w:shd w:val="clear" w:color="auto" w:fill="auto"/>
            <w:noWrap/>
            <w:vAlign w:val="bottom"/>
            <w:hideMark/>
          </w:tcPr>
          <w:p w14:paraId="0DAE378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343</w:t>
            </w:r>
          </w:p>
        </w:tc>
        <w:tc>
          <w:tcPr>
            <w:tcW w:w="2268" w:type="dxa"/>
            <w:shd w:val="clear" w:color="auto" w:fill="auto"/>
            <w:noWrap/>
            <w:vAlign w:val="bottom"/>
            <w:hideMark/>
          </w:tcPr>
          <w:p w14:paraId="6F93EF1B"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c>
          <w:tcPr>
            <w:tcW w:w="1417" w:type="dxa"/>
            <w:shd w:val="clear" w:color="auto" w:fill="auto"/>
            <w:noWrap/>
            <w:vAlign w:val="bottom"/>
            <w:hideMark/>
          </w:tcPr>
          <w:p w14:paraId="1948E0B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1.02</w:t>
            </w:r>
          </w:p>
        </w:tc>
      </w:tr>
      <w:tr w:rsidR="00961617" w:rsidRPr="00545C7F" w14:paraId="00EFEBDE" w14:textId="77777777" w:rsidTr="0020771F">
        <w:trPr>
          <w:gridAfter w:val="1"/>
          <w:wAfter w:w="426" w:type="dxa"/>
          <w:trHeight w:val="288"/>
        </w:trPr>
        <w:tc>
          <w:tcPr>
            <w:tcW w:w="1149" w:type="dxa"/>
            <w:shd w:val="clear" w:color="auto" w:fill="E5E5E5" w:themeFill="background1" w:themeFillTint="33"/>
            <w:noWrap/>
            <w:vAlign w:val="bottom"/>
            <w:hideMark/>
          </w:tcPr>
          <w:p w14:paraId="201F9B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350</w:t>
            </w:r>
          </w:p>
        </w:tc>
        <w:tc>
          <w:tcPr>
            <w:tcW w:w="2268" w:type="dxa"/>
            <w:shd w:val="clear" w:color="auto" w:fill="E5E5E5" w:themeFill="background1" w:themeFillTint="33"/>
            <w:noWrap/>
            <w:vAlign w:val="bottom"/>
            <w:hideMark/>
          </w:tcPr>
          <w:p w14:paraId="77A5302A"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1.27</w:t>
            </w:r>
          </w:p>
        </w:tc>
        <w:tc>
          <w:tcPr>
            <w:tcW w:w="1417" w:type="dxa"/>
            <w:shd w:val="clear" w:color="auto" w:fill="E5E5E5" w:themeFill="background1" w:themeFillTint="33"/>
            <w:noWrap/>
            <w:vAlign w:val="bottom"/>
            <w:hideMark/>
          </w:tcPr>
          <w:p w14:paraId="1735AB0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1.07</w:t>
            </w:r>
          </w:p>
        </w:tc>
      </w:tr>
      <w:tr w:rsidR="00961617" w:rsidRPr="00545C7F" w14:paraId="423728EC" w14:textId="77777777" w:rsidTr="0020771F">
        <w:trPr>
          <w:gridAfter w:val="1"/>
          <w:wAfter w:w="426" w:type="dxa"/>
          <w:trHeight w:val="288"/>
        </w:trPr>
        <w:tc>
          <w:tcPr>
            <w:tcW w:w="1149" w:type="dxa"/>
            <w:shd w:val="clear" w:color="auto" w:fill="auto"/>
            <w:noWrap/>
            <w:vAlign w:val="bottom"/>
            <w:hideMark/>
          </w:tcPr>
          <w:p w14:paraId="0F38447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357</w:t>
            </w:r>
          </w:p>
        </w:tc>
        <w:tc>
          <w:tcPr>
            <w:tcW w:w="2268" w:type="dxa"/>
            <w:shd w:val="clear" w:color="auto" w:fill="auto"/>
            <w:noWrap/>
            <w:vAlign w:val="bottom"/>
            <w:hideMark/>
          </w:tcPr>
          <w:p w14:paraId="7CA7787F"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1.30</w:t>
            </w:r>
          </w:p>
        </w:tc>
        <w:tc>
          <w:tcPr>
            <w:tcW w:w="1417" w:type="dxa"/>
            <w:shd w:val="clear" w:color="auto" w:fill="auto"/>
            <w:noWrap/>
            <w:vAlign w:val="bottom"/>
            <w:hideMark/>
          </w:tcPr>
          <w:p w14:paraId="3FC6A1B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1.37</w:t>
            </w:r>
          </w:p>
        </w:tc>
      </w:tr>
      <w:tr w:rsidR="00961617" w:rsidRPr="00545C7F" w14:paraId="16D48B01" w14:textId="77777777" w:rsidTr="0020771F">
        <w:trPr>
          <w:gridAfter w:val="1"/>
          <w:wAfter w:w="426" w:type="dxa"/>
          <w:trHeight w:val="288"/>
        </w:trPr>
        <w:tc>
          <w:tcPr>
            <w:tcW w:w="1149" w:type="dxa"/>
            <w:shd w:val="clear" w:color="auto" w:fill="E5E5E5" w:themeFill="background1" w:themeFillTint="33"/>
            <w:noWrap/>
            <w:vAlign w:val="bottom"/>
            <w:hideMark/>
          </w:tcPr>
          <w:p w14:paraId="5929C31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364</w:t>
            </w:r>
          </w:p>
        </w:tc>
        <w:tc>
          <w:tcPr>
            <w:tcW w:w="2268" w:type="dxa"/>
            <w:shd w:val="clear" w:color="auto" w:fill="E5E5E5" w:themeFill="background1" w:themeFillTint="33"/>
            <w:noWrap/>
            <w:vAlign w:val="bottom"/>
            <w:hideMark/>
          </w:tcPr>
          <w:p w14:paraId="322E55FF"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1.64</w:t>
            </w:r>
          </w:p>
        </w:tc>
        <w:tc>
          <w:tcPr>
            <w:tcW w:w="1417" w:type="dxa"/>
            <w:shd w:val="clear" w:color="auto" w:fill="E5E5E5" w:themeFill="background1" w:themeFillTint="33"/>
            <w:noWrap/>
            <w:vAlign w:val="bottom"/>
            <w:hideMark/>
          </w:tcPr>
          <w:p w14:paraId="36A5EF2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1.59</w:t>
            </w:r>
          </w:p>
        </w:tc>
      </w:tr>
      <w:tr w:rsidR="00961617" w:rsidRPr="00545C7F" w14:paraId="28DEE0B9" w14:textId="77777777" w:rsidTr="0020771F">
        <w:trPr>
          <w:gridAfter w:val="1"/>
          <w:wAfter w:w="426" w:type="dxa"/>
          <w:trHeight w:val="288"/>
        </w:trPr>
        <w:tc>
          <w:tcPr>
            <w:tcW w:w="1149" w:type="dxa"/>
            <w:shd w:val="clear" w:color="auto" w:fill="auto"/>
            <w:noWrap/>
            <w:vAlign w:val="bottom"/>
            <w:hideMark/>
          </w:tcPr>
          <w:p w14:paraId="72E5650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371</w:t>
            </w:r>
          </w:p>
        </w:tc>
        <w:tc>
          <w:tcPr>
            <w:tcW w:w="2268" w:type="dxa"/>
            <w:shd w:val="clear" w:color="auto" w:fill="auto"/>
            <w:noWrap/>
            <w:vAlign w:val="bottom"/>
            <w:hideMark/>
          </w:tcPr>
          <w:p w14:paraId="65628CB2"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2.29</w:t>
            </w:r>
          </w:p>
        </w:tc>
        <w:tc>
          <w:tcPr>
            <w:tcW w:w="1417" w:type="dxa"/>
            <w:shd w:val="clear" w:color="auto" w:fill="auto"/>
            <w:noWrap/>
            <w:vAlign w:val="bottom"/>
            <w:hideMark/>
          </w:tcPr>
          <w:p w14:paraId="10BC74F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1.66</w:t>
            </w:r>
          </w:p>
        </w:tc>
      </w:tr>
      <w:tr w:rsidR="00961617" w:rsidRPr="00545C7F" w14:paraId="7B0C2D69" w14:textId="77777777" w:rsidTr="0020771F">
        <w:trPr>
          <w:gridAfter w:val="1"/>
          <w:wAfter w:w="426" w:type="dxa"/>
          <w:trHeight w:val="288"/>
        </w:trPr>
        <w:tc>
          <w:tcPr>
            <w:tcW w:w="1149" w:type="dxa"/>
            <w:shd w:val="clear" w:color="auto" w:fill="E5E5E5" w:themeFill="background1" w:themeFillTint="33"/>
            <w:noWrap/>
            <w:vAlign w:val="bottom"/>
            <w:hideMark/>
          </w:tcPr>
          <w:p w14:paraId="095FE24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378</w:t>
            </w:r>
          </w:p>
        </w:tc>
        <w:tc>
          <w:tcPr>
            <w:tcW w:w="2268" w:type="dxa"/>
            <w:shd w:val="clear" w:color="auto" w:fill="E5E5E5" w:themeFill="background1" w:themeFillTint="33"/>
            <w:noWrap/>
            <w:vAlign w:val="bottom"/>
            <w:hideMark/>
          </w:tcPr>
          <w:p w14:paraId="3E78020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2.16</w:t>
            </w:r>
          </w:p>
        </w:tc>
        <w:tc>
          <w:tcPr>
            <w:tcW w:w="1417" w:type="dxa"/>
            <w:shd w:val="clear" w:color="auto" w:fill="E5E5E5" w:themeFill="background1" w:themeFillTint="33"/>
            <w:noWrap/>
            <w:vAlign w:val="bottom"/>
            <w:hideMark/>
          </w:tcPr>
          <w:p w14:paraId="1CF195C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1.75</w:t>
            </w:r>
          </w:p>
        </w:tc>
      </w:tr>
      <w:tr w:rsidR="00961617" w:rsidRPr="00545C7F" w14:paraId="6D5EEC81" w14:textId="77777777" w:rsidTr="0020771F">
        <w:trPr>
          <w:gridAfter w:val="1"/>
          <w:wAfter w:w="426" w:type="dxa"/>
          <w:trHeight w:val="288"/>
        </w:trPr>
        <w:tc>
          <w:tcPr>
            <w:tcW w:w="1149" w:type="dxa"/>
            <w:shd w:val="clear" w:color="auto" w:fill="auto"/>
            <w:noWrap/>
            <w:vAlign w:val="bottom"/>
            <w:hideMark/>
          </w:tcPr>
          <w:p w14:paraId="1D371CD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385</w:t>
            </w:r>
          </w:p>
        </w:tc>
        <w:tc>
          <w:tcPr>
            <w:tcW w:w="2268" w:type="dxa"/>
            <w:shd w:val="clear" w:color="auto" w:fill="auto"/>
            <w:noWrap/>
            <w:vAlign w:val="bottom"/>
            <w:hideMark/>
          </w:tcPr>
          <w:p w14:paraId="665A3C2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1.79</w:t>
            </w:r>
          </w:p>
        </w:tc>
        <w:tc>
          <w:tcPr>
            <w:tcW w:w="1417" w:type="dxa"/>
            <w:shd w:val="clear" w:color="auto" w:fill="auto"/>
            <w:noWrap/>
            <w:vAlign w:val="bottom"/>
            <w:hideMark/>
          </w:tcPr>
          <w:p w14:paraId="2EC241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1.56</w:t>
            </w:r>
          </w:p>
        </w:tc>
      </w:tr>
      <w:tr w:rsidR="00961617" w:rsidRPr="00545C7F" w14:paraId="79C2910A" w14:textId="77777777" w:rsidTr="0020771F">
        <w:trPr>
          <w:gridAfter w:val="1"/>
          <w:wAfter w:w="426" w:type="dxa"/>
          <w:trHeight w:val="288"/>
        </w:trPr>
        <w:tc>
          <w:tcPr>
            <w:tcW w:w="1149" w:type="dxa"/>
            <w:shd w:val="clear" w:color="auto" w:fill="E5E5E5" w:themeFill="background1" w:themeFillTint="33"/>
            <w:noWrap/>
            <w:vAlign w:val="bottom"/>
            <w:hideMark/>
          </w:tcPr>
          <w:p w14:paraId="6DA3FC7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392</w:t>
            </w:r>
          </w:p>
        </w:tc>
        <w:tc>
          <w:tcPr>
            <w:tcW w:w="2268" w:type="dxa"/>
            <w:shd w:val="clear" w:color="auto" w:fill="E5E5E5" w:themeFill="background1" w:themeFillTint="33"/>
            <w:noWrap/>
            <w:vAlign w:val="bottom"/>
            <w:hideMark/>
          </w:tcPr>
          <w:p w14:paraId="47190E6A"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1.57</w:t>
            </w:r>
          </w:p>
        </w:tc>
        <w:tc>
          <w:tcPr>
            <w:tcW w:w="1417" w:type="dxa"/>
            <w:shd w:val="clear" w:color="auto" w:fill="E5E5E5" w:themeFill="background1" w:themeFillTint="33"/>
            <w:noWrap/>
            <w:vAlign w:val="bottom"/>
            <w:hideMark/>
          </w:tcPr>
          <w:p w14:paraId="274AC05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1.37</w:t>
            </w:r>
          </w:p>
        </w:tc>
      </w:tr>
      <w:tr w:rsidR="00961617" w:rsidRPr="00545C7F" w14:paraId="4FFFBDBF" w14:textId="77777777" w:rsidTr="0020771F">
        <w:trPr>
          <w:gridAfter w:val="1"/>
          <w:wAfter w:w="426" w:type="dxa"/>
          <w:trHeight w:val="288"/>
        </w:trPr>
        <w:tc>
          <w:tcPr>
            <w:tcW w:w="1149" w:type="dxa"/>
            <w:shd w:val="clear" w:color="auto" w:fill="auto"/>
            <w:noWrap/>
            <w:vAlign w:val="bottom"/>
            <w:hideMark/>
          </w:tcPr>
          <w:p w14:paraId="384323F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399</w:t>
            </w:r>
          </w:p>
        </w:tc>
        <w:tc>
          <w:tcPr>
            <w:tcW w:w="2268" w:type="dxa"/>
            <w:shd w:val="clear" w:color="auto" w:fill="auto"/>
            <w:noWrap/>
            <w:vAlign w:val="bottom"/>
            <w:hideMark/>
          </w:tcPr>
          <w:p w14:paraId="02C8AEC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1.26</w:t>
            </w:r>
          </w:p>
        </w:tc>
        <w:tc>
          <w:tcPr>
            <w:tcW w:w="1417" w:type="dxa"/>
            <w:shd w:val="clear" w:color="auto" w:fill="auto"/>
            <w:noWrap/>
            <w:vAlign w:val="bottom"/>
            <w:hideMark/>
          </w:tcPr>
          <w:p w14:paraId="67E4CFA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1.35</w:t>
            </w:r>
          </w:p>
        </w:tc>
      </w:tr>
      <w:tr w:rsidR="00961617" w:rsidRPr="00545C7F" w14:paraId="39A81E70" w14:textId="77777777" w:rsidTr="0020771F">
        <w:trPr>
          <w:gridAfter w:val="1"/>
          <w:wAfter w:w="426" w:type="dxa"/>
          <w:trHeight w:val="288"/>
        </w:trPr>
        <w:tc>
          <w:tcPr>
            <w:tcW w:w="1149" w:type="dxa"/>
            <w:shd w:val="clear" w:color="auto" w:fill="E5E5E5" w:themeFill="background1" w:themeFillTint="33"/>
            <w:noWrap/>
            <w:vAlign w:val="bottom"/>
            <w:hideMark/>
          </w:tcPr>
          <w:p w14:paraId="211F25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406</w:t>
            </w:r>
          </w:p>
        </w:tc>
        <w:tc>
          <w:tcPr>
            <w:tcW w:w="2268" w:type="dxa"/>
            <w:shd w:val="clear" w:color="auto" w:fill="E5E5E5" w:themeFill="background1" w:themeFillTint="33"/>
            <w:noWrap/>
            <w:vAlign w:val="bottom"/>
            <w:hideMark/>
          </w:tcPr>
          <w:p w14:paraId="42DE17D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1.19</w:t>
            </w:r>
          </w:p>
        </w:tc>
        <w:tc>
          <w:tcPr>
            <w:tcW w:w="1417" w:type="dxa"/>
            <w:shd w:val="clear" w:color="auto" w:fill="E5E5E5" w:themeFill="background1" w:themeFillTint="33"/>
            <w:noWrap/>
            <w:vAlign w:val="bottom"/>
            <w:hideMark/>
          </w:tcPr>
          <w:p w14:paraId="5D44F64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1.16</w:t>
            </w:r>
          </w:p>
        </w:tc>
      </w:tr>
      <w:tr w:rsidR="00961617" w:rsidRPr="00545C7F" w14:paraId="386198BE" w14:textId="77777777" w:rsidTr="0020771F">
        <w:trPr>
          <w:gridAfter w:val="1"/>
          <w:wAfter w:w="426" w:type="dxa"/>
          <w:trHeight w:val="288"/>
        </w:trPr>
        <w:tc>
          <w:tcPr>
            <w:tcW w:w="1149" w:type="dxa"/>
            <w:shd w:val="clear" w:color="auto" w:fill="auto"/>
            <w:noWrap/>
            <w:vAlign w:val="bottom"/>
            <w:hideMark/>
          </w:tcPr>
          <w:p w14:paraId="01A48E1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413</w:t>
            </w:r>
          </w:p>
        </w:tc>
        <w:tc>
          <w:tcPr>
            <w:tcW w:w="2268" w:type="dxa"/>
            <w:shd w:val="clear" w:color="auto" w:fill="auto"/>
            <w:noWrap/>
            <w:vAlign w:val="bottom"/>
            <w:hideMark/>
          </w:tcPr>
          <w:p w14:paraId="20EB2B26"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c>
          <w:tcPr>
            <w:tcW w:w="1417" w:type="dxa"/>
            <w:shd w:val="clear" w:color="auto" w:fill="auto"/>
            <w:noWrap/>
            <w:vAlign w:val="bottom"/>
            <w:hideMark/>
          </w:tcPr>
          <w:p w14:paraId="78E305C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1.26</w:t>
            </w:r>
          </w:p>
        </w:tc>
      </w:tr>
      <w:tr w:rsidR="00961617" w:rsidRPr="00545C7F" w14:paraId="12B05109" w14:textId="77777777" w:rsidTr="0020771F">
        <w:trPr>
          <w:gridAfter w:val="1"/>
          <w:wAfter w:w="426" w:type="dxa"/>
          <w:trHeight w:val="288"/>
        </w:trPr>
        <w:tc>
          <w:tcPr>
            <w:tcW w:w="1149" w:type="dxa"/>
            <w:shd w:val="clear" w:color="auto" w:fill="E5E5E5" w:themeFill="background1" w:themeFillTint="33"/>
            <w:noWrap/>
            <w:vAlign w:val="bottom"/>
            <w:hideMark/>
          </w:tcPr>
          <w:p w14:paraId="132D936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420</w:t>
            </w:r>
          </w:p>
        </w:tc>
        <w:tc>
          <w:tcPr>
            <w:tcW w:w="2268" w:type="dxa"/>
            <w:shd w:val="clear" w:color="auto" w:fill="E5E5E5" w:themeFill="background1" w:themeFillTint="33"/>
            <w:noWrap/>
            <w:vAlign w:val="bottom"/>
            <w:hideMark/>
          </w:tcPr>
          <w:p w14:paraId="567CC336"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0.97</w:t>
            </w:r>
          </w:p>
        </w:tc>
        <w:tc>
          <w:tcPr>
            <w:tcW w:w="1417" w:type="dxa"/>
            <w:shd w:val="clear" w:color="auto" w:fill="E5E5E5" w:themeFill="background1" w:themeFillTint="33"/>
            <w:noWrap/>
            <w:vAlign w:val="bottom"/>
            <w:hideMark/>
          </w:tcPr>
          <w:p w14:paraId="0B59E4E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1.22</w:t>
            </w:r>
          </w:p>
        </w:tc>
      </w:tr>
      <w:tr w:rsidR="00961617" w:rsidRPr="00545C7F" w14:paraId="3B01C5C5" w14:textId="77777777" w:rsidTr="0020771F">
        <w:trPr>
          <w:gridAfter w:val="1"/>
          <w:wAfter w:w="426" w:type="dxa"/>
          <w:trHeight w:val="288"/>
        </w:trPr>
        <w:tc>
          <w:tcPr>
            <w:tcW w:w="1149" w:type="dxa"/>
            <w:shd w:val="clear" w:color="auto" w:fill="auto"/>
            <w:noWrap/>
            <w:vAlign w:val="bottom"/>
            <w:hideMark/>
          </w:tcPr>
          <w:p w14:paraId="1121803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427</w:t>
            </w:r>
          </w:p>
        </w:tc>
        <w:tc>
          <w:tcPr>
            <w:tcW w:w="2268" w:type="dxa"/>
            <w:shd w:val="clear" w:color="auto" w:fill="auto"/>
            <w:noWrap/>
            <w:vAlign w:val="bottom"/>
            <w:hideMark/>
          </w:tcPr>
          <w:p w14:paraId="4D3F9AF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0.78</w:t>
            </w:r>
          </w:p>
        </w:tc>
        <w:tc>
          <w:tcPr>
            <w:tcW w:w="1417" w:type="dxa"/>
            <w:shd w:val="clear" w:color="auto" w:fill="auto"/>
            <w:noWrap/>
            <w:vAlign w:val="bottom"/>
            <w:hideMark/>
          </w:tcPr>
          <w:p w14:paraId="1C27B97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1.00</w:t>
            </w:r>
          </w:p>
        </w:tc>
      </w:tr>
      <w:tr w:rsidR="00961617" w:rsidRPr="00545C7F" w14:paraId="44053276" w14:textId="77777777" w:rsidTr="0020771F">
        <w:trPr>
          <w:gridAfter w:val="1"/>
          <w:wAfter w:w="426" w:type="dxa"/>
          <w:trHeight w:val="288"/>
        </w:trPr>
        <w:tc>
          <w:tcPr>
            <w:tcW w:w="1149" w:type="dxa"/>
            <w:shd w:val="clear" w:color="auto" w:fill="E5E5E5" w:themeFill="background1" w:themeFillTint="33"/>
            <w:noWrap/>
            <w:vAlign w:val="bottom"/>
            <w:hideMark/>
          </w:tcPr>
          <w:p w14:paraId="4E0CE6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434</w:t>
            </w:r>
          </w:p>
        </w:tc>
        <w:tc>
          <w:tcPr>
            <w:tcW w:w="2268" w:type="dxa"/>
            <w:shd w:val="clear" w:color="auto" w:fill="E5E5E5" w:themeFill="background1" w:themeFillTint="33"/>
            <w:noWrap/>
            <w:vAlign w:val="bottom"/>
            <w:hideMark/>
          </w:tcPr>
          <w:p w14:paraId="5FEE68C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0.74</w:t>
            </w:r>
          </w:p>
        </w:tc>
        <w:tc>
          <w:tcPr>
            <w:tcW w:w="1417" w:type="dxa"/>
            <w:shd w:val="clear" w:color="auto" w:fill="E5E5E5" w:themeFill="background1" w:themeFillTint="33"/>
            <w:noWrap/>
            <w:vAlign w:val="bottom"/>
            <w:hideMark/>
          </w:tcPr>
          <w:p w14:paraId="5836A92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1.04</w:t>
            </w:r>
          </w:p>
        </w:tc>
      </w:tr>
      <w:tr w:rsidR="00961617" w:rsidRPr="00545C7F" w14:paraId="50FB7A3E" w14:textId="77777777" w:rsidTr="0020771F">
        <w:trPr>
          <w:gridAfter w:val="1"/>
          <w:wAfter w:w="426" w:type="dxa"/>
          <w:trHeight w:val="288"/>
        </w:trPr>
        <w:tc>
          <w:tcPr>
            <w:tcW w:w="1149" w:type="dxa"/>
            <w:shd w:val="clear" w:color="auto" w:fill="auto"/>
            <w:noWrap/>
            <w:vAlign w:val="bottom"/>
            <w:hideMark/>
          </w:tcPr>
          <w:p w14:paraId="166DB02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441</w:t>
            </w:r>
          </w:p>
        </w:tc>
        <w:tc>
          <w:tcPr>
            <w:tcW w:w="2268" w:type="dxa"/>
            <w:shd w:val="clear" w:color="auto" w:fill="auto"/>
            <w:noWrap/>
            <w:vAlign w:val="bottom"/>
            <w:hideMark/>
          </w:tcPr>
          <w:p w14:paraId="090BDFD4"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0.71</w:t>
            </w:r>
          </w:p>
        </w:tc>
        <w:tc>
          <w:tcPr>
            <w:tcW w:w="1417" w:type="dxa"/>
            <w:shd w:val="clear" w:color="auto" w:fill="auto"/>
            <w:noWrap/>
            <w:vAlign w:val="bottom"/>
            <w:hideMark/>
          </w:tcPr>
          <w:p w14:paraId="27966DB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0.98</w:t>
            </w:r>
          </w:p>
        </w:tc>
      </w:tr>
      <w:tr w:rsidR="00961617" w:rsidRPr="00545C7F" w14:paraId="6A80B9F1" w14:textId="77777777" w:rsidTr="0020771F">
        <w:trPr>
          <w:gridAfter w:val="1"/>
          <w:wAfter w:w="426" w:type="dxa"/>
          <w:trHeight w:val="288"/>
        </w:trPr>
        <w:tc>
          <w:tcPr>
            <w:tcW w:w="1149" w:type="dxa"/>
            <w:shd w:val="clear" w:color="auto" w:fill="E5E5E5" w:themeFill="background1" w:themeFillTint="33"/>
            <w:noWrap/>
            <w:vAlign w:val="bottom"/>
            <w:hideMark/>
          </w:tcPr>
          <w:p w14:paraId="5A8D6C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448</w:t>
            </w:r>
          </w:p>
        </w:tc>
        <w:tc>
          <w:tcPr>
            <w:tcW w:w="2268" w:type="dxa"/>
            <w:shd w:val="clear" w:color="auto" w:fill="E5E5E5" w:themeFill="background1" w:themeFillTint="33"/>
            <w:noWrap/>
            <w:vAlign w:val="bottom"/>
            <w:hideMark/>
          </w:tcPr>
          <w:p w14:paraId="7E986FC0"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0.55</w:t>
            </w:r>
          </w:p>
        </w:tc>
        <w:tc>
          <w:tcPr>
            <w:tcW w:w="1417" w:type="dxa"/>
            <w:shd w:val="clear" w:color="auto" w:fill="E5E5E5" w:themeFill="background1" w:themeFillTint="33"/>
            <w:noWrap/>
            <w:vAlign w:val="bottom"/>
            <w:hideMark/>
          </w:tcPr>
          <w:p w14:paraId="390406A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0.89</w:t>
            </w:r>
          </w:p>
        </w:tc>
      </w:tr>
      <w:tr w:rsidR="00961617" w:rsidRPr="00545C7F" w14:paraId="177B5118" w14:textId="77777777" w:rsidTr="0020771F">
        <w:trPr>
          <w:gridAfter w:val="1"/>
          <w:wAfter w:w="426" w:type="dxa"/>
          <w:trHeight w:val="288"/>
        </w:trPr>
        <w:tc>
          <w:tcPr>
            <w:tcW w:w="1149" w:type="dxa"/>
            <w:shd w:val="clear" w:color="auto" w:fill="auto"/>
            <w:noWrap/>
            <w:vAlign w:val="bottom"/>
            <w:hideMark/>
          </w:tcPr>
          <w:p w14:paraId="676A3B0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455</w:t>
            </w:r>
          </w:p>
        </w:tc>
        <w:tc>
          <w:tcPr>
            <w:tcW w:w="2268" w:type="dxa"/>
            <w:shd w:val="clear" w:color="auto" w:fill="auto"/>
            <w:noWrap/>
            <w:vAlign w:val="bottom"/>
            <w:hideMark/>
          </w:tcPr>
          <w:p w14:paraId="716650C7"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0.46</w:t>
            </w:r>
          </w:p>
        </w:tc>
        <w:tc>
          <w:tcPr>
            <w:tcW w:w="1417" w:type="dxa"/>
            <w:shd w:val="clear" w:color="auto" w:fill="auto"/>
            <w:noWrap/>
            <w:vAlign w:val="bottom"/>
            <w:hideMark/>
          </w:tcPr>
          <w:p w14:paraId="7D35E41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0.92</w:t>
            </w:r>
          </w:p>
        </w:tc>
      </w:tr>
      <w:tr w:rsidR="00961617" w:rsidRPr="00545C7F" w14:paraId="7F9B758E" w14:textId="77777777" w:rsidTr="0020771F">
        <w:trPr>
          <w:gridAfter w:val="1"/>
          <w:wAfter w:w="426" w:type="dxa"/>
          <w:trHeight w:val="288"/>
        </w:trPr>
        <w:tc>
          <w:tcPr>
            <w:tcW w:w="1149" w:type="dxa"/>
            <w:shd w:val="clear" w:color="auto" w:fill="E5E5E5" w:themeFill="background1" w:themeFillTint="33"/>
            <w:noWrap/>
            <w:vAlign w:val="bottom"/>
            <w:hideMark/>
          </w:tcPr>
          <w:p w14:paraId="70E2D55D"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462</w:t>
            </w:r>
          </w:p>
        </w:tc>
        <w:tc>
          <w:tcPr>
            <w:tcW w:w="2268" w:type="dxa"/>
            <w:shd w:val="clear" w:color="auto" w:fill="E5E5E5" w:themeFill="background1" w:themeFillTint="33"/>
            <w:noWrap/>
            <w:vAlign w:val="bottom"/>
            <w:hideMark/>
          </w:tcPr>
          <w:p w14:paraId="49205436"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0.51</w:t>
            </w:r>
          </w:p>
        </w:tc>
        <w:tc>
          <w:tcPr>
            <w:tcW w:w="1417" w:type="dxa"/>
            <w:shd w:val="clear" w:color="auto" w:fill="E5E5E5" w:themeFill="background1" w:themeFillTint="33"/>
            <w:noWrap/>
            <w:vAlign w:val="bottom"/>
            <w:hideMark/>
          </w:tcPr>
          <w:p w14:paraId="784B662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0.97</w:t>
            </w:r>
          </w:p>
        </w:tc>
      </w:tr>
      <w:tr w:rsidR="00961617" w:rsidRPr="00545C7F" w14:paraId="736157B3" w14:textId="77777777" w:rsidTr="0020771F">
        <w:trPr>
          <w:gridAfter w:val="1"/>
          <w:wAfter w:w="426" w:type="dxa"/>
          <w:trHeight w:val="288"/>
        </w:trPr>
        <w:tc>
          <w:tcPr>
            <w:tcW w:w="1149" w:type="dxa"/>
            <w:shd w:val="clear" w:color="auto" w:fill="auto"/>
            <w:noWrap/>
            <w:vAlign w:val="bottom"/>
            <w:hideMark/>
          </w:tcPr>
          <w:p w14:paraId="09F9C532"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469</w:t>
            </w:r>
          </w:p>
        </w:tc>
        <w:tc>
          <w:tcPr>
            <w:tcW w:w="2268" w:type="dxa"/>
            <w:shd w:val="clear" w:color="auto" w:fill="auto"/>
            <w:noWrap/>
            <w:vAlign w:val="bottom"/>
            <w:hideMark/>
          </w:tcPr>
          <w:p w14:paraId="4E0EC556"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0.46</w:t>
            </w:r>
          </w:p>
        </w:tc>
        <w:tc>
          <w:tcPr>
            <w:tcW w:w="1417" w:type="dxa"/>
            <w:shd w:val="clear" w:color="auto" w:fill="auto"/>
            <w:noWrap/>
            <w:vAlign w:val="bottom"/>
            <w:hideMark/>
          </w:tcPr>
          <w:p w14:paraId="27B55A99"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1.03</w:t>
            </w:r>
          </w:p>
        </w:tc>
      </w:tr>
      <w:tr w:rsidR="00961617" w:rsidRPr="00545C7F" w14:paraId="678B2FB1" w14:textId="77777777" w:rsidTr="0020771F">
        <w:trPr>
          <w:gridAfter w:val="1"/>
          <w:wAfter w:w="426" w:type="dxa"/>
          <w:trHeight w:val="288"/>
        </w:trPr>
        <w:tc>
          <w:tcPr>
            <w:tcW w:w="1149" w:type="dxa"/>
            <w:shd w:val="clear" w:color="auto" w:fill="E5E5E5" w:themeFill="background1" w:themeFillTint="33"/>
            <w:noWrap/>
            <w:vAlign w:val="bottom"/>
            <w:hideMark/>
          </w:tcPr>
          <w:p w14:paraId="786E701A"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476</w:t>
            </w:r>
          </w:p>
        </w:tc>
        <w:tc>
          <w:tcPr>
            <w:tcW w:w="2268" w:type="dxa"/>
            <w:shd w:val="clear" w:color="auto" w:fill="E5E5E5" w:themeFill="background1" w:themeFillTint="33"/>
            <w:noWrap/>
            <w:vAlign w:val="bottom"/>
            <w:hideMark/>
          </w:tcPr>
          <w:p w14:paraId="3FCF7BDF"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0.48</w:t>
            </w:r>
          </w:p>
        </w:tc>
        <w:tc>
          <w:tcPr>
            <w:tcW w:w="1417" w:type="dxa"/>
            <w:shd w:val="clear" w:color="auto" w:fill="E5E5E5" w:themeFill="background1" w:themeFillTint="33"/>
            <w:noWrap/>
            <w:vAlign w:val="bottom"/>
            <w:hideMark/>
          </w:tcPr>
          <w:p w14:paraId="15CFFF8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0.96</w:t>
            </w:r>
          </w:p>
        </w:tc>
      </w:tr>
      <w:tr w:rsidR="00961617" w:rsidRPr="00545C7F" w14:paraId="7C71934D" w14:textId="77777777" w:rsidTr="0020771F">
        <w:trPr>
          <w:gridAfter w:val="1"/>
          <w:wAfter w:w="426" w:type="dxa"/>
          <w:trHeight w:val="288"/>
        </w:trPr>
        <w:tc>
          <w:tcPr>
            <w:tcW w:w="1149" w:type="dxa"/>
            <w:shd w:val="clear" w:color="auto" w:fill="auto"/>
            <w:noWrap/>
            <w:vAlign w:val="bottom"/>
            <w:hideMark/>
          </w:tcPr>
          <w:p w14:paraId="61B17BF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483</w:t>
            </w:r>
          </w:p>
        </w:tc>
        <w:tc>
          <w:tcPr>
            <w:tcW w:w="2268" w:type="dxa"/>
            <w:shd w:val="clear" w:color="auto" w:fill="auto"/>
            <w:noWrap/>
            <w:vAlign w:val="bottom"/>
            <w:hideMark/>
          </w:tcPr>
          <w:p w14:paraId="70EE2E7D"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0.40</w:t>
            </w:r>
          </w:p>
        </w:tc>
        <w:tc>
          <w:tcPr>
            <w:tcW w:w="1417" w:type="dxa"/>
            <w:shd w:val="clear" w:color="auto" w:fill="auto"/>
            <w:noWrap/>
            <w:vAlign w:val="bottom"/>
            <w:hideMark/>
          </w:tcPr>
          <w:p w14:paraId="7C7A573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0.91</w:t>
            </w:r>
          </w:p>
        </w:tc>
      </w:tr>
      <w:tr w:rsidR="00961617" w:rsidRPr="00545C7F" w14:paraId="077401C0" w14:textId="77777777" w:rsidTr="0020771F">
        <w:trPr>
          <w:gridAfter w:val="1"/>
          <w:wAfter w:w="426" w:type="dxa"/>
          <w:trHeight w:val="288"/>
        </w:trPr>
        <w:tc>
          <w:tcPr>
            <w:tcW w:w="1149" w:type="dxa"/>
            <w:shd w:val="clear" w:color="auto" w:fill="E5E5E5" w:themeFill="background1" w:themeFillTint="33"/>
            <w:noWrap/>
            <w:vAlign w:val="bottom"/>
            <w:hideMark/>
          </w:tcPr>
          <w:p w14:paraId="2C2CF09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490</w:t>
            </w:r>
          </w:p>
        </w:tc>
        <w:tc>
          <w:tcPr>
            <w:tcW w:w="2268" w:type="dxa"/>
            <w:shd w:val="clear" w:color="auto" w:fill="E5E5E5" w:themeFill="background1" w:themeFillTint="33"/>
            <w:noWrap/>
            <w:vAlign w:val="bottom"/>
            <w:hideMark/>
          </w:tcPr>
          <w:p w14:paraId="53161E2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0.36</w:t>
            </w:r>
          </w:p>
        </w:tc>
        <w:tc>
          <w:tcPr>
            <w:tcW w:w="1417" w:type="dxa"/>
            <w:shd w:val="clear" w:color="auto" w:fill="E5E5E5" w:themeFill="background1" w:themeFillTint="33"/>
            <w:noWrap/>
            <w:vAlign w:val="bottom"/>
            <w:hideMark/>
          </w:tcPr>
          <w:p w14:paraId="128EB2F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0.88</w:t>
            </w:r>
          </w:p>
        </w:tc>
      </w:tr>
      <w:tr w:rsidR="00961617" w:rsidRPr="00545C7F" w14:paraId="462431DE" w14:textId="77777777" w:rsidTr="0020771F">
        <w:trPr>
          <w:gridAfter w:val="1"/>
          <w:wAfter w:w="426" w:type="dxa"/>
          <w:trHeight w:val="288"/>
        </w:trPr>
        <w:tc>
          <w:tcPr>
            <w:tcW w:w="1149" w:type="dxa"/>
            <w:shd w:val="clear" w:color="auto" w:fill="auto"/>
            <w:noWrap/>
            <w:vAlign w:val="bottom"/>
            <w:hideMark/>
          </w:tcPr>
          <w:p w14:paraId="0873E4B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497</w:t>
            </w:r>
          </w:p>
        </w:tc>
        <w:tc>
          <w:tcPr>
            <w:tcW w:w="2268" w:type="dxa"/>
            <w:shd w:val="clear" w:color="auto" w:fill="auto"/>
            <w:noWrap/>
            <w:vAlign w:val="bottom"/>
            <w:hideMark/>
          </w:tcPr>
          <w:p w14:paraId="611907C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0.29</w:t>
            </w:r>
          </w:p>
        </w:tc>
        <w:tc>
          <w:tcPr>
            <w:tcW w:w="1417" w:type="dxa"/>
            <w:shd w:val="clear" w:color="auto" w:fill="auto"/>
            <w:noWrap/>
            <w:vAlign w:val="bottom"/>
            <w:hideMark/>
          </w:tcPr>
          <w:p w14:paraId="184C675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0.72</w:t>
            </w:r>
          </w:p>
        </w:tc>
      </w:tr>
      <w:tr w:rsidR="00961617" w:rsidRPr="00545C7F" w14:paraId="4860E431" w14:textId="77777777" w:rsidTr="0020771F">
        <w:trPr>
          <w:gridAfter w:val="1"/>
          <w:wAfter w:w="426" w:type="dxa"/>
          <w:trHeight w:val="288"/>
        </w:trPr>
        <w:tc>
          <w:tcPr>
            <w:tcW w:w="1149" w:type="dxa"/>
            <w:shd w:val="clear" w:color="auto" w:fill="E5E5E5" w:themeFill="background1" w:themeFillTint="33"/>
            <w:noWrap/>
            <w:vAlign w:val="bottom"/>
            <w:hideMark/>
          </w:tcPr>
          <w:p w14:paraId="7599E8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504</w:t>
            </w:r>
          </w:p>
        </w:tc>
        <w:tc>
          <w:tcPr>
            <w:tcW w:w="2268" w:type="dxa"/>
            <w:shd w:val="clear" w:color="auto" w:fill="E5E5E5" w:themeFill="background1" w:themeFillTint="33"/>
            <w:noWrap/>
            <w:vAlign w:val="bottom"/>
            <w:hideMark/>
          </w:tcPr>
          <w:p w14:paraId="2C7051A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0.28</w:t>
            </w:r>
          </w:p>
        </w:tc>
        <w:tc>
          <w:tcPr>
            <w:tcW w:w="1417" w:type="dxa"/>
            <w:shd w:val="clear" w:color="auto" w:fill="E5E5E5" w:themeFill="background1" w:themeFillTint="33"/>
            <w:noWrap/>
            <w:vAlign w:val="bottom"/>
            <w:hideMark/>
          </w:tcPr>
          <w:p w14:paraId="6BF8F1CB"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0.70</w:t>
            </w:r>
          </w:p>
        </w:tc>
      </w:tr>
      <w:tr w:rsidR="00961617" w:rsidRPr="00545C7F" w14:paraId="7618E95A" w14:textId="77777777" w:rsidTr="0020771F">
        <w:trPr>
          <w:gridAfter w:val="1"/>
          <w:wAfter w:w="426" w:type="dxa"/>
          <w:trHeight w:val="288"/>
        </w:trPr>
        <w:tc>
          <w:tcPr>
            <w:tcW w:w="1149" w:type="dxa"/>
            <w:shd w:val="clear" w:color="auto" w:fill="auto"/>
            <w:noWrap/>
            <w:vAlign w:val="bottom"/>
            <w:hideMark/>
          </w:tcPr>
          <w:p w14:paraId="481F17EC"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511</w:t>
            </w:r>
          </w:p>
        </w:tc>
        <w:tc>
          <w:tcPr>
            <w:tcW w:w="2268" w:type="dxa"/>
            <w:shd w:val="clear" w:color="auto" w:fill="auto"/>
            <w:noWrap/>
            <w:vAlign w:val="bottom"/>
            <w:hideMark/>
          </w:tcPr>
          <w:p w14:paraId="6BE596B1"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0.27</w:t>
            </w:r>
          </w:p>
        </w:tc>
        <w:tc>
          <w:tcPr>
            <w:tcW w:w="1417" w:type="dxa"/>
            <w:shd w:val="clear" w:color="auto" w:fill="auto"/>
            <w:noWrap/>
            <w:vAlign w:val="bottom"/>
            <w:hideMark/>
          </w:tcPr>
          <w:p w14:paraId="61D2FBF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0.58</w:t>
            </w:r>
          </w:p>
        </w:tc>
      </w:tr>
      <w:tr w:rsidR="00961617" w:rsidRPr="00545C7F" w14:paraId="7ECAE876" w14:textId="77777777" w:rsidTr="0020771F">
        <w:trPr>
          <w:gridAfter w:val="1"/>
          <w:wAfter w:w="426" w:type="dxa"/>
          <w:trHeight w:val="288"/>
        </w:trPr>
        <w:tc>
          <w:tcPr>
            <w:tcW w:w="1149" w:type="dxa"/>
            <w:shd w:val="clear" w:color="auto" w:fill="E5E5E5" w:themeFill="background1" w:themeFillTint="33"/>
            <w:noWrap/>
            <w:vAlign w:val="bottom"/>
            <w:hideMark/>
          </w:tcPr>
          <w:p w14:paraId="34BD0B7F"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518</w:t>
            </w:r>
          </w:p>
        </w:tc>
        <w:tc>
          <w:tcPr>
            <w:tcW w:w="2268" w:type="dxa"/>
            <w:shd w:val="clear" w:color="auto" w:fill="E5E5E5" w:themeFill="background1" w:themeFillTint="33"/>
            <w:noWrap/>
            <w:vAlign w:val="bottom"/>
            <w:hideMark/>
          </w:tcPr>
          <w:p w14:paraId="536ECCE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0.28</w:t>
            </w:r>
          </w:p>
        </w:tc>
        <w:tc>
          <w:tcPr>
            <w:tcW w:w="1417" w:type="dxa"/>
            <w:shd w:val="clear" w:color="auto" w:fill="E5E5E5" w:themeFill="background1" w:themeFillTint="33"/>
            <w:noWrap/>
            <w:vAlign w:val="bottom"/>
            <w:hideMark/>
          </w:tcPr>
          <w:p w14:paraId="5CB74B26"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0.60</w:t>
            </w:r>
          </w:p>
        </w:tc>
      </w:tr>
      <w:tr w:rsidR="00961617" w:rsidRPr="00545C7F" w14:paraId="289AF76B" w14:textId="77777777" w:rsidTr="0020771F">
        <w:trPr>
          <w:gridAfter w:val="1"/>
          <w:wAfter w:w="426" w:type="dxa"/>
          <w:trHeight w:val="288"/>
        </w:trPr>
        <w:tc>
          <w:tcPr>
            <w:tcW w:w="1149" w:type="dxa"/>
            <w:shd w:val="clear" w:color="auto" w:fill="auto"/>
            <w:noWrap/>
            <w:vAlign w:val="bottom"/>
            <w:hideMark/>
          </w:tcPr>
          <w:p w14:paraId="4944FA24"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525</w:t>
            </w:r>
          </w:p>
        </w:tc>
        <w:tc>
          <w:tcPr>
            <w:tcW w:w="2268" w:type="dxa"/>
            <w:shd w:val="clear" w:color="auto" w:fill="auto"/>
            <w:noWrap/>
            <w:vAlign w:val="bottom"/>
            <w:hideMark/>
          </w:tcPr>
          <w:p w14:paraId="763D19E8"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0.23</w:t>
            </w:r>
          </w:p>
        </w:tc>
        <w:tc>
          <w:tcPr>
            <w:tcW w:w="1417" w:type="dxa"/>
            <w:shd w:val="clear" w:color="auto" w:fill="auto"/>
            <w:noWrap/>
            <w:vAlign w:val="bottom"/>
            <w:hideMark/>
          </w:tcPr>
          <w:p w14:paraId="2117C987"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0.47</w:t>
            </w:r>
          </w:p>
        </w:tc>
      </w:tr>
      <w:tr w:rsidR="00961617" w:rsidRPr="00545C7F" w14:paraId="229B6078" w14:textId="77777777" w:rsidTr="0020771F">
        <w:trPr>
          <w:gridAfter w:val="1"/>
          <w:wAfter w:w="426" w:type="dxa"/>
          <w:trHeight w:val="288"/>
        </w:trPr>
        <w:tc>
          <w:tcPr>
            <w:tcW w:w="1149" w:type="dxa"/>
            <w:shd w:val="clear" w:color="auto" w:fill="E5E5E5" w:themeFill="background1" w:themeFillTint="33"/>
            <w:noWrap/>
            <w:vAlign w:val="bottom"/>
            <w:hideMark/>
          </w:tcPr>
          <w:p w14:paraId="5C128043"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532</w:t>
            </w:r>
          </w:p>
        </w:tc>
        <w:tc>
          <w:tcPr>
            <w:tcW w:w="2268" w:type="dxa"/>
            <w:shd w:val="clear" w:color="auto" w:fill="E5E5E5" w:themeFill="background1" w:themeFillTint="33"/>
            <w:noWrap/>
            <w:vAlign w:val="bottom"/>
            <w:hideMark/>
          </w:tcPr>
          <w:p w14:paraId="4CCF739D"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0.24</w:t>
            </w:r>
          </w:p>
        </w:tc>
        <w:tc>
          <w:tcPr>
            <w:tcW w:w="1417" w:type="dxa"/>
            <w:shd w:val="clear" w:color="auto" w:fill="E5E5E5" w:themeFill="background1" w:themeFillTint="33"/>
            <w:noWrap/>
            <w:vAlign w:val="bottom"/>
            <w:hideMark/>
          </w:tcPr>
          <w:p w14:paraId="4D932FBE"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0.65</w:t>
            </w:r>
          </w:p>
        </w:tc>
      </w:tr>
      <w:tr w:rsidR="00961617" w:rsidRPr="00545C7F" w14:paraId="6C11D08E" w14:textId="77777777" w:rsidTr="0020771F">
        <w:trPr>
          <w:gridAfter w:val="1"/>
          <w:wAfter w:w="426" w:type="dxa"/>
          <w:trHeight w:val="288"/>
        </w:trPr>
        <w:tc>
          <w:tcPr>
            <w:tcW w:w="1149" w:type="dxa"/>
            <w:shd w:val="clear" w:color="auto" w:fill="auto"/>
            <w:noWrap/>
            <w:vAlign w:val="bottom"/>
            <w:hideMark/>
          </w:tcPr>
          <w:p w14:paraId="3DD0AA45"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539</w:t>
            </w:r>
          </w:p>
        </w:tc>
        <w:tc>
          <w:tcPr>
            <w:tcW w:w="2268" w:type="dxa"/>
            <w:shd w:val="clear" w:color="auto" w:fill="auto"/>
            <w:noWrap/>
            <w:vAlign w:val="bottom"/>
            <w:hideMark/>
          </w:tcPr>
          <w:p w14:paraId="0920E845"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0.25</w:t>
            </w:r>
          </w:p>
        </w:tc>
        <w:tc>
          <w:tcPr>
            <w:tcW w:w="1417" w:type="dxa"/>
            <w:shd w:val="clear" w:color="auto" w:fill="auto"/>
            <w:noWrap/>
            <w:vAlign w:val="bottom"/>
            <w:hideMark/>
          </w:tcPr>
          <w:p w14:paraId="4E7B5251"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0.44</w:t>
            </w:r>
          </w:p>
        </w:tc>
      </w:tr>
      <w:tr w:rsidR="00961617" w:rsidRPr="00545C7F" w14:paraId="7EF995C0" w14:textId="77777777" w:rsidTr="0020771F">
        <w:trPr>
          <w:gridAfter w:val="1"/>
          <w:wAfter w:w="426" w:type="dxa"/>
          <w:trHeight w:val="288"/>
        </w:trPr>
        <w:tc>
          <w:tcPr>
            <w:tcW w:w="1149" w:type="dxa"/>
            <w:tcBorders>
              <w:bottom w:val="single" w:sz="4" w:space="0" w:color="auto"/>
            </w:tcBorders>
            <w:shd w:val="clear" w:color="auto" w:fill="E5E5E5" w:themeFill="background1" w:themeFillTint="33"/>
            <w:noWrap/>
            <w:vAlign w:val="bottom"/>
            <w:hideMark/>
          </w:tcPr>
          <w:p w14:paraId="027ABD58"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546</w:t>
            </w:r>
          </w:p>
        </w:tc>
        <w:tc>
          <w:tcPr>
            <w:tcW w:w="2268" w:type="dxa"/>
            <w:tcBorders>
              <w:bottom w:val="single" w:sz="4" w:space="0" w:color="auto"/>
            </w:tcBorders>
            <w:shd w:val="clear" w:color="auto" w:fill="E5E5E5" w:themeFill="background1" w:themeFillTint="33"/>
            <w:noWrap/>
            <w:vAlign w:val="bottom"/>
            <w:hideMark/>
          </w:tcPr>
          <w:p w14:paraId="39BE7FDB" w14:textId="77777777" w:rsidR="00961617" w:rsidRPr="00545C7F" w:rsidRDefault="00961617" w:rsidP="0020771F">
            <w:pPr>
              <w:tabs>
                <w:tab w:val="left" w:pos="1087"/>
              </w:tabs>
              <w:spacing w:after="0" w:line="240" w:lineRule="auto"/>
              <w:ind w:left="263" w:right="498"/>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0.14</w:t>
            </w:r>
          </w:p>
        </w:tc>
        <w:tc>
          <w:tcPr>
            <w:tcW w:w="1417" w:type="dxa"/>
            <w:tcBorders>
              <w:bottom w:val="single" w:sz="4" w:space="0" w:color="auto"/>
            </w:tcBorders>
            <w:shd w:val="clear" w:color="auto" w:fill="E5E5E5" w:themeFill="background1" w:themeFillTint="33"/>
            <w:noWrap/>
            <w:vAlign w:val="bottom"/>
            <w:hideMark/>
          </w:tcPr>
          <w:p w14:paraId="5C3BD8D0" w14:textId="77777777" w:rsidR="00961617" w:rsidRPr="00545C7F" w:rsidRDefault="00961617" w:rsidP="0020771F">
            <w:pPr>
              <w:spacing w:after="0" w:line="240" w:lineRule="auto"/>
              <w:jc w:val="right"/>
              <w:rPr>
                <w:rFonts w:eastAsia="Times New Roman" w:cstheme="minorHAnsi"/>
                <w:color w:val="000000"/>
                <w:sz w:val="20"/>
                <w:szCs w:val="20"/>
                <w:lang w:eastAsia="en-AU"/>
              </w:rPr>
            </w:pPr>
            <w:r w:rsidRPr="00545C7F">
              <w:rPr>
                <w:rFonts w:eastAsia="Times New Roman" w:cstheme="minorHAnsi"/>
                <w:color w:val="000000"/>
                <w:sz w:val="20"/>
                <w:szCs w:val="20"/>
                <w:lang w:eastAsia="en-AU"/>
              </w:rPr>
              <w:t>0.24</w:t>
            </w:r>
          </w:p>
        </w:tc>
      </w:tr>
    </w:tbl>
    <w:p w14:paraId="47F2E00F" w14:textId="77777777" w:rsidR="00961617" w:rsidRPr="002F5864" w:rsidRDefault="00961617" w:rsidP="00961617">
      <w:pPr>
        <w:pStyle w:val="FootnoteText"/>
        <w:ind w:left="0" w:firstLine="0"/>
        <w:rPr>
          <w:rFonts w:eastAsia="Times New Roman" w:cstheme="minorHAnsi"/>
          <w:lang w:eastAsia="en-AU"/>
        </w:rPr>
      </w:pPr>
      <w:r w:rsidRPr="002F5864">
        <w:rPr>
          <w:rFonts w:cstheme="minorHAnsi"/>
          <w:b/>
        </w:rPr>
        <w:t>Source:</w:t>
      </w:r>
      <w:r w:rsidRPr="002F5864">
        <w:rPr>
          <w:rFonts w:cstheme="minorHAnsi"/>
          <w:b/>
        </w:rPr>
        <w:tab/>
      </w:r>
      <w:r w:rsidRPr="002F5864">
        <w:rPr>
          <w:rFonts w:eastAsia="Times New Roman" w:cstheme="minorHAnsi"/>
          <w:lang w:eastAsia="en-AU"/>
        </w:rPr>
        <w:t>Department of Employment administrative data.</w:t>
      </w:r>
    </w:p>
    <w:p w14:paraId="4B8A7C49" w14:textId="77777777" w:rsidR="00961617" w:rsidRPr="002F5864" w:rsidRDefault="00864C5E" w:rsidP="00961617">
      <w:pPr>
        <w:spacing w:before="120"/>
        <w:rPr>
          <w:rFonts w:eastAsia="Times New Roman" w:cstheme="minorHAnsi"/>
          <w:sz w:val="18"/>
          <w:szCs w:val="20"/>
          <w:lang w:eastAsia="en-AU"/>
        </w:rPr>
      </w:pPr>
      <w:hyperlink w:anchor="Place_A227" w:history="1">
        <w:r w:rsidR="00961617" w:rsidRPr="00DD4BF4">
          <w:rPr>
            <w:rStyle w:val="Hyperlink"/>
            <w:rFonts w:cstheme="minorHAnsi"/>
            <w:sz w:val="18"/>
            <w:szCs w:val="18"/>
          </w:rPr>
          <w:t>Return to Figure 5.1</w:t>
        </w:r>
      </w:hyperlink>
      <w:r w:rsidR="00961617" w:rsidRPr="002F5864">
        <w:rPr>
          <w:rFonts w:cstheme="minorHAnsi"/>
          <w:sz w:val="18"/>
          <w:szCs w:val="18"/>
        </w:rPr>
        <w:t xml:space="preserve"> where this data is referenced.</w:t>
      </w:r>
      <w:r w:rsidR="00961617" w:rsidRPr="002F5864">
        <w:rPr>
          <w:rFonts w:eastAsia="Times New Roman" w:cstheme="minorHAnsi"/>
          <w:lang w:eastAsia="en-AU"/>
        </w:rPr>
        <w:br w:type="page"/>
      </w:r>
    </w:p>
    <w:p w14:paraId="1ACED862" w14:textId="77777777" w:rsidR="00961617" w:rsidRDefault="00961617" w:rsidP="00961617">
      <w:pPr>
        <w:pStyle w:val="TableheadingforappendixA1"/>
        <w:rPr>
          <w:rFonts w:cstheme="minorHAnsi"/>
        </w:rPr>
      </w:pPr>
      <w:bookmarkStart w:id="691" w:name="_Toc513129921"/>
      <w:r w:rsidRPr="00297D99">
        <w:rPr>
          <w:rFonts w:cstheme="minorHAnsi"/>
        </w:rPr>
        <w:t>Table A2.2</w:t>
      </w:r>
      <w:r>
        <w:rPr>
          <w:rFonts w:cstheme="minorHAnsi"/>
        </w:rPr>
        <w:t>8</w:t>
      </w:r>
      <w:r w:rsidRPr="00297D99">
        <w:rPr>
          <w:rFonts w:cstheme="minorHAnsi"/>
        </w:rPr>
        <w:t xml:space="preserve">: </w:t>
      </w:r>
      <w:r>
        <w:rPr>
          <w:rFonts w:cstheme="minorHAnsi"/>
        </w:rPr>
        <w:t>Number of days from registration to transition</w:t>
      </w:r>
      <w:r w:rsidRPr="00297D99">
        <w:rPr>
          <w:rFonts w:cstheme="minorHAnsi"/>
        </w:rPr>
        <w:t xml:space="preserve"> to the Work Experience Phase (per cent)</w:t>
      </w:r>
      <w:bookmarkEnd w:id="691"/>
      <w:r>
        <w:rPr>
          <w:rFonts w:cstheme="minorHAnsi"/>
        </w:rPr>
        <w:t xml:space="preserve"> </w:t>
      </w:r>
    </w:p>
    <w:p w14:paraId="0C4FF59B" w14:textId="77777777" w:rsidR="00961617" w:rsidRPr="002F5864" w:rsidRDefault="00961617" w:rsidP="00961617">
      <w:pPr>
        <w:spacing w:before="120" w:after="0"/>
        <w:rPr>
          <w:rFonts w:cstheme="minorHAnsi"/>
          <w:b/>
        </w:rPr>
      </w:pPr>
      <w:r w:rsidRPr="002F5864">
        <w:rPr>
          <w:b/>
        </w:rPr>
        <w:t>JSA 2009</w:t>
      </w:r>
    </w:p>
    <w:tbl>
      <w:tblPr>
        <w:tblW w:w="7921" w:type="dxa"/>
        <w:tblInd w:w="93" w:type="dxa"/>
        <w:tblLayout w:type="fixed"/>
        <w:tblLook w:val="04A0" w:firstRow="1" w:lastRow="0" w:firstColumn="1" w:lastColumn="0" w:noHBand="0" w:noVBand="1"/>
      </w:tblPr>
      <w:tblGrid>
        <w:gridCol w:w="713"/>
        <w:gridCol w:w="1204"/>
        <w:gridCol w:w="1201"/>
        <w:gridCol w:w="1201"/>
        <w:gridCol w:w="1201"/>
        <w:gridCol w:w="1201"/>
        <w:gridCol w:w="1200"/>
      </w:tblGrid>
      <w:tr w:rsidR="00961617" w:rsidRPr="0076418A" w14:paraId="1BEC7358" w14:textId="77777777" w:rsidTr="0020771F">
        <w:trPr>
          <w:trHeight w:val="458"/>
          <w:tblHeader/>
        </w:trPr>
        <w:tc>
          <w:tcPr>
            <w:tcW w:w="713" w:type="dxa"/>
            <w:tcBorders>
              <w:top w:val="nil"/>
              <w:left w:val="nil"/>
              <w:bottom w:val="nil"/>
              <w:right w:val="nil"/>
            </w:tcBorders>
            <w:shd w:val="clear" w:color="auto" w:fill="1E3D6B"/>
            <w:noWrap/>
            <w:vAlign w:val="center"/>
            <w:hideMark/>
          </w:tcPr>
          <w:p w14:paraId="728DF227" w14:textId="77777777" w:rsidR="00961617" w:rsidRPr="0076418A" w:rsidRDefault="00961617" w:rsidP="0020771F">
            <w:pPr>
              <w:spacing w:after="0" w:line="240" w:lineRule="auto"/>
              <w:rPr>
                <w:rFonts w:eastAsia="Times New Roman" w:cstheme="minorHAnsi"/>
                <w:b/>
                <w:bCs/>
                <w:color w:val="FFFFFF" w:themeColor="background2"/>
                <w:sz w:val="20"/>
                <w:szCs w:val="20"/>
                <w:lang w:eastAsia="en-AU"/>
              </w:rPr>
            </w:pPr>
            <w:bookmarkStart w:id="692" w:name="Title_A228"/>
            <w:bookmarkEnd w:id="692"/>
            <w:r w:rsidRPr="0076418A">
              <w:rPr>
                <w:rFonts w:eastAsia="Times New Roman" w:cstheme="minorHAnsi"/>
                <w:b/>
                <w:bCs/>
                <w:color w:val="FFFFFF" w:themeColor="background2"/>
                <w:sz w:val="20"/>
                <w:szCs w:val="20"/>
                <w:lang w:eastAsia="en-AU"/>
              </w:rPr>
              <w:t>Days</w:t>
            </w:r>
          </w:p>
        </w:tc>
        <w:tc>
          <w:tcPr>
            <w:tcW w:w="1204" w:type="dxa"/>
            <w:tcBorders>
              <w:top w:val="nil"/>
              <w:left w:val="nil"/>
              <w:bottom w:val="nil"/>
              <w:right w:val="nil"/>
            </w:tcBorders>
            <w:shd w:val="clear" w:color="auto" w:fill="1E3D6B"/>
            <w:noWrap/>
            <w:vAlign w:val="center"/>
            <w:hideMark/>
          </w:tcPr>
          <w:p w14:paraId="4A8FC0DF" w14:textId="77777777" w:rsidR="00961617" w:rsidRPr="0076418A" w:rsidRDefault="00961617" w:rsidP="0020771F">
            <w:pPr>
              <w:spacing w:after="0" w:line="240" w:lineRule="auto"/>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1</w:t>
            </w:r>
          </w:p>
        </w:tc>
        <w:tc>
          <w:tcPr>
            <w:tcW w:w="1201" w:type="dxa"/>
            <w:tcBorders>
              <w:top w:val="nil"/>
              <w:left w:val="nil"/>
              <w:bottom w:val="nil"/>
              <w:right w:val="nil"/>
            </w:tcBorders>
            <w:shd w:val="clear" w:color="auto" w:fill="1E3D6B"/>
            <w:noWrap/>
            <w:vAlign w:val="center"/>
            <w:hideMark/>
          </w:tcPr>
          <w:p w14:paraId="07E70AD9" w14:textId="77777777" w:rsidR="00961617" w:rsidRPr="0076418A" w:rsidRDefault="00961617" w:rsidP="0020771F">
            <w:pPr>
              <w:spacing w:after="0" w:line="240" w:lineRule="auto"/>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2</w:t>
            </w:r>
          </w:p>
        </w:tc>
        <w:tc>
          <w:tcPr>
            <w:tcW w:w="1201" w:type="dxa"/>
            <w:tcBorders>
              <w:top w:val="nil"/>
              <w:left w:val="nil"/>
              <w:bottom w:val="nil"/>
              <w:right w:val="nil"/>
            </w:tcBorders>
            <w:shd w:val="clear" w:color="auto" w:fill="1E3D6B"/>
            <w:noWrap/>
            <w:vAlign w:val="center"/>
            <w:hideMark/>
          </w:tcPr>
          <w:p w14:paraId="4597E685" w14:textId="77777777" w:rsidR="00961617" w:rsidRPr="0076418A" w:rsidRDefault="00961617" w:rsidP="0020771F">
            <w:pPr>
              <w:spacing w:after="0" w:line="240" w:lineRule="auto"/>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3</w:t>
            </w:r>
          </w:p>
        </w:tc>
        <w:tc>
          <w:tcPr>
            <w:tcW w:w="1201" w:type="dxa"/>
            <w:tcBorders>
              <w:top w:val="nil"/>
              <w:left w:val="nil"/>
              <w:bottom w:val="nil"/>
              <w:right w:val="nil"/>
            </w:tcBorders>
            <w:shd w:val="clear" w:color="auto" w:fill="1E3D6B"/>
            <w:noWrap/>
            <w:vAlign w:val="center"/>
            <w:hideMark/>
          </w:tcPr>
          <w:p w14:paraId="6F73654A" w14:textId="77777777" w:rsidR="00961617" w:rsidRPr="0076418A" w:rsidRDefault="00961617" w:rsidP="0020771F">
            <w:pPr>
              <w:spacing w:after="0" w:line="240" w:lineRule="auto"/>
              <w:ind w:right="-110"/>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1- 3</w:t>
            </w:r>
          </w:p>
        </w:tc>
        <w:tc>
          <w:tcPr>
            <w:tcW w:w="1201" w:type="dxa"/>
            <w:tcBorders>
              <w:top w:val="nil"/>
              <w:left w:val="nil"/>
              <w:bottom w:val="nil"/>
              <w:right w:val="nil"/>
            </w:tcBorders>
            <w:shd w:val="clear" w:color="auto" w:fill="1E3D6B"/>
            <w:noWrap/>
            <w:vAlign w:val="center"/>
            <w:hideMark/>
          </w:tcPr>
          <w:p w14:paraId="3901B414" w14:textId="77777777" w:rsidR="00961617" w:rsidRPr="0076418A" w:rsidRDefault="00961617" w:rsidP="0020771F">
            <w:pPr>
              <w:spacing w:after="0" w:line="240" w:lineRule="auto"/>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4</w:t>
            </w:r>
          </w:p>
        </w:tc>
        <w:tc>
          <w:tcPr>
            <w:tcW w:w="1200" w:type="dxa"/>
            <w:tcBorders>
              <w:top w:val="nil"/>
              <w:left w:val="nil"/>
              <w:bottom w:val="nil"/>
              <w:right w:val="nil"/>
            </w:tcBorders>
            <w:shd w:val="clear" w:color="auto" w:fill="1E3D6B"/>
            <w:noWrap/>
            <w:vAlign w:val="center"/>
            <w:hideMark/>
          </w:tcPr>
          <w:p w14:paraId="11664832" w14:textId="77777777" w:rsidR="00961617" w:rsidRPr="0076418A" w:rsidRDefault="00961617" w:rsidP="0020771F">
            <w:pPr>
              <w:spacing w:after="0" w:line="240" w:lineRule="auto"/>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Total</w:t>
            </w:r>
          </w:p>
        </w:tc>
      </w:tr>
      <w:tr w:rsidR="00961617" w:rsidRPr="0076418A" w14:paraId="13CD6939" w14:textId="77777777" w:rsidTr="0020771F">
        <w:trPr>
          <w:trHeight w:val="288"/>
        </w:trPr>
        <w:tc>
          <w:tcPr>
            <w:tcW w:w="713" w:type="dxa"/>
            <w:tcBorders>
              <w:top w:val="nil"/>
              <w:left w:val="nil"/>
              <w:bottom w:val="nil"/>
              <w:right w:val="nil"/>
            </w:tcBorders>
            <w:shd w:val="clear" w:color="auto" w:fill="auto"/>
            <w:noWrap/>
            <w:vAlign w:val="center"/>
            <w:hideMark/>
          </w:tcPr>
          <w:p w14:paraId="5911ADE4"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200</w:t>
            </w:r>
          </w:p>
        </w:tc>
        <w:tc>
          <w:tcPr>
            <w:tcW w:w="1204" w:type="dxa"/>
            <w:tcBorders>
              <w:top w:val="nil"/>
              <w:left w:val="nil"/>
              <w:bottom w:val="nil"/>
              <w:right w:val="nil"/>
            </w:tcBorders>
            <w:shd w:val="clear" w:color="auto" w:fill="auto"/>
            <w:noWrap/>
            <w:vAlign w:val="center"/>
            <w:hideMark/>
          </w:tcPr>
          <w:p w14:paraId="1648E32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0.06</w:t>
            </w:r>
          </w:p>
        </w:tc>
        <w:tc>
          <w:tcPr>
            <w:tcW w:w="1201" w:type="dxa"/>
            <w:tcBorders>
              <w:top w:val="nil"/>
              <w:left w:val="nil"/>
              <w:bottom w:val="nil"/>
              <w:right w:val="nil"/>
            </w:tcBorders>
            <w:shd w:val="clear" w:color="auto" w:fill="auto"/>
            <w:noWrap/>
            <w:vAlign w:val="center"/>
            <w:hideMark/>
          </w:tcPr>
          <w:p w14:paraId="053E915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0.36</w:t>
            </w:r>
          </w:p>
        </w:tc>
        <w:tc>
          <w:tcPr>
            <w:tcW w:w="1201" w:type="dxa"/>
            <w:tcBorders>
              <w:top w:val="nil"/>
              <w:left w:val="nil"/>
              <w:bottom w:val="nil"/>
              <w:right w:val="nil"/>
            </w:tcBorders>
            <w:shd w:val="clear" w:color="auto" w:fill="auto"/>
            <w:noWrap/>
            <w:vAlign w:val="center"/>
            <w:hideMark/>
          </w:tcPr>
          <w:p w14:paraId="4C5B092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0.51</w:t>
            </w:r>
          </w:p>
        </w:tc>
        <w:tc>
          <w:tcPr>
            <w:tcW w:w="1201" w:type="dxa"/>
            <w:tcBorders>
              <w:top w:val="nil"/>
              <w:left w:val="nil"/>
              <w:bottom w:val="nil"/>
              <w:right w:val="nil"/>
            </w:tcBorders>
            <w:shd w:val="clear" w:color="auto" w:fill="auto"/>
            <w:noWrap/>
            <w:vAlign w:val="center"/>
            <w:hideMark/>
          </w:tcPr>
          <w:p w14:paraId="5B7B06B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0.18</w:t>
            </w:r>
          </w:p>
        </w:tc>
        <w:tc>
          <w:tcPr>
            <w:tcW w:w="1201" w:type="dxa"/>
            <w:tcBorders>
              <w:top w:val="nil"/>
              <w:left w:val="nil"/>
              <w:bottom w:val="nil"/>
              <w:right w:val="nil"/>
            </w:tcBorders>
            <w:shd w:val="clear" w:color="auto" w:fill="auto"/>
            <w:noWrap/>
            <w:vAlign w:val="center"/>
            <w:hideMark/>
          </w:tcPr>
          <w:p w14:paraId="19BE7E3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0.00</w:t>
            </w:r>
          </w:p>
        </w:tc>
        <w:tc>
          <w:tcPr>
            <w:tcW w:w="1200" w:type="dxa"/>
            <w:tcBorders>
              <w:top w:val="nil"/>
              <w:left w:val="nil"/>
              <w:bottom w:val="nil"/>
              <w:right w:val="nil"/>
            </w:tcBorders>
            <w:shd w:val="clear" w:color="auto" w:fill="auto"/>
            <w:noWrap/>
            <w:vAlign w:val="center"/>
            <w:hideMark/>
          </w:tcPr>
          <w:p w14:paraId="3BFDD47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0.18</w:t>
            </w:r>
          </w:p>
        </w:tc>
      </w:tr>
      <w:tr w:rsidR="00961617" w:rsidRPr="0076418A" w14:paraId="624AC144"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4A4A70D2"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225</w:t>
            </w:r>
          </w:p>
        </w:tc>
        <w:tc>
          <w:tcPr>
            <w:tcW w:w="1204" w:type="dxa"/>
            <w:tcBorders>
              <w:top w:val="nil"/>
              <w:left w:val="nil"/>
              <w:bottom w:val="nil"/>
              <w:right w:val="nil"/>
            </w:tcBorders>
            <w:shd w:val="clear" w:color="auto" w:fill="E5E5E5" w:themeFill="background1" w:themeFillTint="33"/>
            <w:noWrap/>
            <w:vAlign w:val="center"/>
            <w:hideMark/>
          </w:tcPr>
          <w:p w14:paraId="24D6FC3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1" w:type="dxa"/>
            <w:tcBorders>
              <w:top w:val="nil"/>
              <w:left w:val="nil"/>
              <w:bottom w:val="nil"/>
              <w:right w:val="nil"/>
            </w:tcBorders>
            <w:shd w:val="clear" w:color="auto" w:fill="E5E5E5" w:themeFill="background1" w:themeFillTint="33"/>
            <w:noWrap/>
            <w:vAlign w:val="center"/>
            <w:hideMark/>
          </w:tcPr>
          <w:p w14:paraId="669667E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0.50</w:t>
            </w:r>
          </w:p>
        </w:tc>
        <w:tc>
          <w:tcPr>
            <w:tcW w:w="1201" w:type="dxa"/>
            <w:tcBorders>
              <w:top w:val="nil"/>
              <w:left w:val="nil"/>
              <w:bottom w:val="nil"/>
              <w:right w:val="nil"/>
            </w:tcBorders>
            <w:shd w:val="clear" w:color="auto" w:fill="E5E5E5" w:themeFill="background1" w:themeFillTint="33"/>
            <w:noWrap/>
            <w:vAlign w:val="center"/>
            <w:hideMark/>
          </w:tcPr>
          <w:p w14:paraId="331BE86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0.68</w:t>
            </w:r>
          </w:p>
        </w:tc>
        <w:tc>
          <w:tcPr>
            <w:tcW w:w="1201" w:type="dxa"/>
            <w:tcBorders>
              <w:top w:val="nil"/>
              <w:left w:val="nil"/>
              <w:bottom w:val="nil"/>
              <w:right w:val="nil"/>
            </w:tcBorders>
            <w:shd w:val="clear" w:color="auto" w:fill="E5E5E5" w:themeFill="background1" w:themeFillTint="33"/>
            <w:noWrap/>
            <w:vAlign w:val="center"/>
            <w:hideMark/>
          </w:tcPr>
          <w:p w14:paraId="50B04E3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0.27</w:t>
            </w:r>
          </w:p>
        </w:tc>
        <w:tc>
          <w:tcPr>
            <w:tcW w:w="1201" w:type="dxa"/>
            <w:tcBorders>
              <w:top w:val="nil"/>
              <w:left w:val="nil"/>
              <w:bottom w:val="nil"/>
              <w:right w:val="nil"/>
            </w:tcBorders>
            <w:shd w:val="clear" w:color="auto" w:fill="E5E5E5" w:themeFill="background1" w:themeFillTint="33"/>
            <w:noWrap/>
            <w:vAlign w:val="center"/>
            <w:hideMark/>
          </w:tcPr>
          <w:p w14:paraId="16B5DC7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0" w:type="dxa"/>
            <w:tcBorders>
              <w:top w:val="nil"/>
              <w:left w:val="nil"/>
              <w:bottom w:val="nil"/>
              <w:right w:val="nil"/>
            </w:tcBorders>
            <w:shd w:val="clear" w:color="auto" w:fill="E5E5E5" w:themeFill="background1" w:themeFillTint="33"/>
            <w:noWrap/>
            <w:vAlign w:val="center"/>
            <w:hideMark/>
          </w:tcPr>
          <w:p w14:paraId="59D883F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0.26</w:t>
            </w:r>
          </w:p>
        </w:tc>
      </w:tr>
      <w:tr w:rsidR="00961617" w:rsidRPr="0076418A" w14:paraId="623C321D" w14:textId="77777777" w:rsidTr="0020771F">
        <w:trPr>
          <w:trHeight w:val="288"/>
        </w:trPr>
        <w:tc>
          <w:tcPr>
            <w:tcW w:w="713" w:type="dxa"/>
            <w:tcBorders>
              <w:top w:val="nil"/>
              <w:left w:val="nil"/>
              <w:bottom w:val="nil"/>
              <w:right w:val="nil"/>
            </w:tcBorders>
            <w:shd w:val="clear" w:color="auto" w:fill="auto"/>
            <w:noWrap/>
            <w:vAlign w:val="center"/>
            <w:hideMark/>
          </w:tcPr>
          <w:p w14:paraId="68E52C2F"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250</w:t>
            </w:r>
          </w:p>
        </w:tc>
        <w:tc>
          <w:tcPr>
            <w:tcW w:w="1204" w:type="dxa"/>
            <w:tcBorders>
              <w:top w:val="nil"/>
              <w:left w:val="nil"/>
              <w:bottom w:val="nil"/>
              <w:right w:val="nil"/>
            </w:tcBorders>
            <w:shd w:val="clear" w:color="auto" w:fill="auto"/>
            <w:noWrap/>
            <w:vAlign w:val="center"/>
            <w:hideMark/>
          </w:tcPr>
          <w:p w14:paraId="3ADD092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0.19</w:t>
            </w:r>
          </w:p>
        </w:tc>
        <w:tc>
          <w:tcPr>
            <w:tcW w:w="1201" w:type="dxa"/>
            <w:tcBorders>
              <w:top w:val="nil"/>
              <w:left w:val="nil"/>
              <w:bottom w:val="nil"/>
              <w:right w:val="nil"/>
            </w:tcBorders>
            <w:shd w:val="clear" w:color="auto" w:fill="auto"/>
            <w:noWrap/>
            <w:vAlign w:val="center"/>
            <w:hideMark/>
          </w:tcPr>
          <w:p w14:paraId="4CB4DD3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0.71</w:t>
            </w:r>
          </w:p>
        </w:tc>
        <w:tc>
          <w:tcPr>
            <w:tcW w:w="1201" w:type="dxa"/>
            <w:tcBorders>
              <w:top w:val="nil"/>
              <w:left w:val="nil"/>
              <w:bottom w:val="nil"/>
              <w:right w:val="nil"/>
            </w:tcBorders>
            <w:shd w:val="clear" w:color="auto" w:fill="auto"/>
            <w:noWrap/>
            <w:vAlign w:val="center"/>
            <w:hideMark/>
          </w:tcPr>
          <w:p w14:paraId="519805E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0.86</w:t>
            </w:r>
          </w:p>
        </w:tc>
        <w:tc>
          <w:tcPr>
            <w:tcW w:w="1201" w:type="dxa"/>
            <w:tcBorders>
              <w:top w:val="nil"/>
              <w:left w:val="nil"/>
              <w:bottom w:val="nil"/>
              <w:right w:val="nil"/>
            </w:tcBorders>
            <w:shd w:val="clear" w:color="auto" w:fill="auto"/>
            <w:noWrap/>
            <w:vAlign w:val="center"/>
            <w:hideMark/>
          </w:tcPr>
          <w:p w14:paraId="5026AD0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0.39</w:t>
            </w:r>
          </w:p>
        </w:tc>
        <w:tc>
          <w:tcPr>
            <w:tcW w:w="1201" w:type="dxa"/>
            <w:tcBorders>
              <w:top w:val="nil"/>
              <w:left w:val="nil"/>
              <w:bottom w:val="nil"/>
              <w:right w:val="nil"/>
            </w:tcBorders>
            <w:shd w:val="clear" w:color="auto" w:fill="auto"/>
            <w:noWrap/>
            <w:vAlign w:val="center"/>
            <w:hideMark/>
          </w:tcPr>
          <w:p w14:paraId="76C9D8E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0" w:type="dxa"/>
            <w:tcBorders>
              <w:top w:val="nil"/>
              <w:left w:val="nil"/>
              <w:bottom w:val="nil"/>
              <w:right w:val="nil"/>
            </w:tcBorders>
            <w:shd w:val="clear" w:color="auto" w:fill="auto"/>
            <w:noWrap/>
            <w:vAlign w:val="center"/>
            <w:hideMark/>
          </w:tcPr>
          <w:p w14:paraId="38925E6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0.38</w:t>
            </w:r>
          </w:p>
        </w:tc>
      </w:tr>
      <w:tr w:rsidR="00961617" w:rsidRPr="0076418A" w14:paraId="37C1F1E8"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3A5B722E"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275</w:t>
            </w:r>
          </w:p>
        </w:tc>
        <w:tc>
          <w:tcPr>
            <w:tcW w:w="1204" w:type="dxa"/>
            <w:tcBorders>
              <w:top w:val="nil"/>
              <w:left w:val="nil"/>
              <w:bottom w:val="nil"/>
              <w:right w:val="nil"/>
            </w:tcBorders>
            <w:shd w:val="clear" w:color="auto" w:fill="E5E5E5" w:themeFill="background1" w:themeFillTint="33"/>
            <w:noWrap/>
            <w:vAlign w:val="center"/>
            <w:hideMark/>
          </w:tcPr>
          <w:p w14:paraId="61381AE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0.23</w:t>
            </w:r>
          </w:p>
        </w:tc>
        <w:tc>
          <w:tcPr>
            <w:tcW w:w="1201" w:type="dxa"/>
            <w:tcBorders>
              <w:top w:val="nil"/>
              <w:left w:val="nil"/>
              <w:bottom w:val="nil"/>
              <w:right w:val="nil"/>
            </w:tcBorders>
            <w:shd w:val="clear" w:color="auto" w:fill="E5E5E5" w:themeFill="background1" w:themeFillTint="33"/>
            <w:noWrap/>
            <w:vAlign w:val="center"/>
            <w:hideMark/>
          </w:tcPr>
          <w:p w14:paraId="406D526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0.92</w:t>
            </w:r>
          </w:p>
        </w:tc>
        <w:tc>
          <w:tcPr>
            <w:tcW w:w="1201" w:type="dxa"/>
            <w:tcBorders>
              <w:top w:val="nil"/>
              <w:left w:val="nil"/>
              <w:bottom w:val="nil"/>
              <w:right w:val="nil"/>
            </w:tcBorders>
            <w:shd w:val="clear" w:color="auto" w:fill="E5E5E5" w:themeFill="background1" w:themeFillTint="33"/>
            <w:noWrap/>
            <w:vAlign w:val="center"/>
            <w:hideMark/>
          </w:tcPr>
          <w:p w14:paraId="3D00347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1.25</w:t>
            </w:r>
          </w:p>
        </w:tc>
        <w:tc>
          <w:tcPr>
            <w:tcW w:w="1201" w:type="dxa"/>
            <w:tcBorders>
              <w:top w:val="nil"/>
              <w:left w:val="nil"/>
              <w:bottom w:val="nil"/>
              <w:right w:val="nil"/>
            </w:tcBorders>
            <w:shd w:val="clear" w:color="auto" w:fill="E5E5E5" w:themeFill="background1" w:themeFillTint="33"/>
            <w:noWrap/>
            <w:vAlign w:val="center"/>
            <w:hideMark/>
          </w:tcPr>
          <w:p w14:paraId="4BEA297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0.50</w:t>
            </w:r>
          </w:p>
        </w:tc>
        <w:tc>
          <w:tcPr>
            <w:tcW w:w="1201" w:type="dxa"/>
            <w:tcBorders>
              <w:top w:val="nil"/>
              <w:left w:val="nil"/>
              <w:bottom w:val="nil"/>
              <w:right w:val="nil"/>
            </w:tcBorders>
            <w:shd w:val="clear" w:color="auto" w:fill="E5E5E5" w:themeFill="background1" w:themeFillTint="33"/>
            <w:noWrap/>
            <w:vAlign w:val="center"/>
            <w:hideMark/>
          </w:tcPr>
          <w:p w14:paraId="714507A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0" w:type="dxa"/>
            <w:tcBorders>
              <w:top w:val="nil"/>
              <w:left w:val="nil"/>
              <w:bottom w:val="nil"/>
              <w:right w:val="nil"/>
            </w:tcBorders>
            <w:shd w:val="clear" w:color="auto" w:fill="E5E5E5" w:themeFill="background1" w:themeFillTint="33"/>
            <w:noWrap/>
            <w:vAlign w:val="center"/>
            <w:hideMark/>
          </w:tcPr>
          <w:p w14:paraId="00437A9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0.49</w:t>
            </w:r>
          </w:p>
        </w:tc>
      </w:tr>
      <w:tr w:rsidR="00961617" w:rsidRPr="0076418A" w14:paraId="0018AC5F" w14:textId="77777777" w:rsidTr="0020771F">
        <w:trPr>
          <w:trHeight w:val="288"/>
        </w:trPr>
        <w:tc>
          <w:tcPr>
            <w:tcW w:w="713" w:type="dxa"/>
            <w:tcBorders>
              <w:top w:val="nil"/>
              <w:left w:val="nil"/>
              <w:bottom w:val="nil"/>
              <w:right w:val="nil"/>
            </w:tcBorders>
            <w:shd w:val="clear" w:color="auto" w:fill="auto"/>
            <w:noWrap/>
            <w:vAlign w:val="center"/>
            <w:hideMark/>
          </w:tcPr>
          <w:p w14:paraId="266A13F9"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300</w:t>
            </w:r>
          </w:p>
        </w:tc>
        <w:tc>
          <w:tcPr>
            <w:tcW w:w="1204" w:type="dxa"/>
            <w:tcBorders>
              <w:top w:val="nil"/>
              <w:left w:val="nil"/>
              <w:bottom w:val="nil"/>
              <w:right w:val="nil"/>
            </w:tcBorders>
            <w:shd w:val="clear" w:color="auto" w:fill="auto"/>
            <w:noWrap/>
            <w:vAlign w:val="center"/>
            <w:hideMark/>
          </w:tcPr>
          <w:p w14:paraId="4E8CEC4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0.28</w:t>
            </w:r>
          </w:p>
        </w:tc>
        <w:tc>
          <w:tcPr>
            <w:tcW w:w="1201" w:type="dxa"/>
            <w:tcBorders>
              <w:top w:val="nil"/>
              <w:left w:val="nil"/>
              <w:bottom w:val="nil"/>
              <w:right w:val="nil"/>
            </w:tcBorders>
            <w:shd w:val="clear" w:color="auto" w:fill="auto"/>
            <w:noWrap/>
            <w:vAlign w:val="center"/>
            <w:hideMark/>
          </w:tcPr>
          <w:p w14:paraId="0F51622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1.26</w:t>
            </w:r>
          </w:p>
        </w:tc>
        <w:tc>
          <w:tcPr>
            <w:tcW w:w="1201" w:type="dxa"/>
            <w:tcBorders>
              <w:top w:val="nil"/>
              <w:left w:val="nil"/>
              <w:bottom w:val="nil"/>
              <w:right w:val="nil"/>
            </w:tcBorders>
            <w:shd w:val="clear" w:color="auto" w:fill="auto"/>
            <w:noWrap/>
            <w:vAlign w:val="center"/>
            <w:hideMark/>
          </w:tcPr>
          <w:p w14:paraId="402FE78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1.60</w:t>
            </w:r>
          </w:p>
        </w:tc>
        <w:tc>
          <w:tcPr>
            <w:tcW w:w="1201" w:type="dxa"/>
            <w:tcBorders>
              <w:top w:val="nil"/>
              <w:left w:val="nil"/>
              <w:bottom w:val="nil"/>
              <w:right w:val="nil"/>
            </w:tcBorders>
            <w:shd w:val="clear" w:color="auto" w:fill="auto"/>
            <w:noWrap/>
            <w:vAlign w:val="center"/>
            <w:hideMark/>
          </w:tcPr>
          <w:p w14:paraId="08D32DE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0.66</w:t>
            </w:r>
          </w:p>
        </w:tc>
        <w:tc>
          <w:tcPr>
            <w:tcW w:w="1201" w:type="dxa"/>
            <w:tcBorders>
              <w:top w:val="nil"/>
              <w:left w:val="nil"/>
              <w:bottom w:val="nil"/>
              <w:right w:val="nil"/>
            </w:tcBorders>
            <w:shd w:val="clear" w:color="auto" w:fill="auto"/>
            <w:noWrap/>
            <w:vAlign w:val="center"/>
            <w:hideMark/>
          </w:tcPr>
          <w:p w14:paraId="2895697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0" w:type="dxa"/>
            <w:tcBorders>
              <w:top w:val="nil"/>
              <w:left w:val="nil"/>
              <w:bottom w:val="nil"/>
              <w:right w:val="nil"/>
            </w:tcBorders>
            <w:shd w:val="clear" w:color="auto" w:fill="auto"/>
            <w:noWrap/>
            <w:vAlign w:val="center"/>
            <w:hideMark/>
          </w:tcPr>
          <w:p w14:paraId="06FBAC9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0.64</w:t>
            </w:r>
          </w:p>
        </w:tc>
      </w:tr>
      <w:tr w:rsidR="00961617" w:rsidRPr="0076418A" w14:paraId="707F4AE5"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4D995CA0"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325</w:t>
            </w:r>
          </w:p>
        </w:tc>
        <w:tc>
          <w:tcPr>
            <w:tcW w:w="1204" w:type="dxa"/>
            <w:tcBorders>
              <w:top w:val="nil"/>
              <w:left w:val="nil"/>
              <w:bottom w:val="nil"/>
              <w:right w:val="nil"/>
            </w:tcBorders>
            <w:shd w:val="clear" w:color="auto" w:fill="E5E5E5" w:themeFill="background1" w:themeFillTint="33"/>
            <w:noWrap/>
            <w:vAlign w:val="center"/>
            <w:hideMark/>
          </w:tcPr>
          <w:p w14:paraId="0F83551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0.39</w:t>
            </w:r>
          </w:p>
        </w:tc>
        <w:tc>
          <w:tcPr>
            <w:tcW w:w="1201" w:type="dxa"/>
            <w:tcBorders>
              <w:top w:val="nil"/>
              <w:left w:val="nil"/>
              <w:bottom w:val="nil"/>
              <w:right w:val="nil"/>
            </w:tcBorders>
            <w:shd w:val="clear" w:color="auto" w:fill="E5E5E5" w:themeFill="background1" w:themeFillTint="33"/>
            <w:noWrap/>
            <w:vAlign w:val="center"/>
            <w:hideMark/>
          </w:tcPr>
          <w:p w14:paraId="3C64619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1.89</w:t>
            </w:r>
          </w:p>
        </w:tc>
        <w:tc>
          <w:tcPr>
            <w:tcW w:w="1201" w:type="dxa"/>
            <w:tcBorders>
              <w:top w:val="nil"/>
              <w:left w:val="nil"/>
              <w:bottom w:val="nil"/>
              <w:right w:val="nil"/>
            </w:tcBorders>
            <w:shd w:val="clear" w:color="auto" w:fill="E5E5E5" w:themeFill="background1" w:themeFillTint="33"/>
            <w:noWrap/>
            <w:vAlign w:val="center"/>
            <w:hideMark/>
          </w:tcPr>
          <w:p w14:paraId="71FFEE6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2.57</w:t>
            </w:r>
          </w:p>
        </w:tc>
        <w:tc>
          <w:tcPr>
            <w:tcW w:w="1201" w:type="dxa"/>
            <w:tcBorders>
              <w:top w:val="nil"/>
              <w:left w:val="nil"/>
              <w:bottom w:val="nil"/>
              <w:right w:val="nil"/>
            </w:tcBorders>
            <w:shd w:val="clear" w:color="auto" w:fill="E5E5E5" w:themeFill="background1" w:themeFillTint="33"/>
            <w:noWrap/>
            <w:vAlign w:val="center"/>
            <w:hideMark/>
          </w:tcPr>
          <w:p w14:paraId="026B14B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0.98</w:t>
            </w:r>
          </w:p>
        </w:tc>
        <w:tc>
          <w:tcPr>
            <w:tcW w:w="1201" w:type="dxa"/>
            <w:tcBorders>
              <w:top w:val="nil"/>
              <w:left w:val="nil"/>
              <w:bottom w:val="nil"/>
              <w:right w:val="nil"/>
            </w:tcBorders>
            <w:shd w:val="clear" w:color="auto" w:fill="E5E5E5" w:themeFill="background1" w:themeFillTint="33"/>
            <w:noWrap/>
            <w:vAlign w:val="center"/>
            <w:hideMark/>
          </w:tcPr>
          <w:p w14:paraId="61062B4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c>
          <w:tcPr>
            <w:tcW w:w="1200" w:type="dxa"/>
            <w:tcBorders>
              <w:top w:val="nil"/>
              <w:left w:val="nil"/>
              <w:bottom w:val="nil"/>
              <w:right w:val="nil"/>
            </w:tcBorders>
            <w:shd w:val="clear" w:color="auto" w:fill="E5E5E5" w:themeFill="background1" w:themeFillTint="33"/>
            <w:noWrap/>
            <w:vAlign w:val="center"/>
            <w:hideMark/>
          </w:tcPr>
          <w:p w14:paraId="44B8617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0.95</w:t>
            </w:r>
          </w:p>
        </w:tc>
      </w:tr>
      <w:tr w:rsidR="00961617" w:rsidRPr="0076418A" w14:paraId="247554EC" w14:textId="77777777" w:rsidTr="0020771F">
        <w:trPr>
          <w:trHeight w:val="288"/>
        </w:trPr>
        <w:tc>
          <w:tcPr>
            <w:tcW w:w="713" w:type="dxa"/>
            <w:tcBorders>
              <w:top w:val="nil"/>
              <w:left w:val="nil"/>
              <w:bottom w:val="nil"/>
              <w:right w:val="nil"/>
            </w:tcBorders>
            <w:shd w:val="clear" w:color="auto" w:fill="auto"/>
            <w:noWrap/>
            <w:vAlign w:val="center"/>
            <w:hideMark/>
          </w:tcPr>
          <w:p w14:paraId="5E693664"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350</w:t>
            </w:r>
          </w:p>
        </w:tc>
        <w:tc>
          <w:tcPr>
            <w:tcW w:w="1204" w:type="dxa"/>
            <w:tcBorders>
              <w:top w:val="nil"/>
              <w:left w:val="nil"/>
              <w:bottom w:val="nil"/>
              <w:right w:val="nil"/>
            </w:tcBorders>
            <w:shd w:val="clear" w:color="auto" w:fill="auto"/>
            <w:noWrap/>
            <w:vAlign w:val="center"/>
            <w:hideMark/>
          </w:tcPr>
          <w:p w14:paraId="0558764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1.19</w:t>
            </w:r>
          </w:p>
        </w:tc>
        <w:tc>
          <w:tcPr>
            <w:tcW w:w="1201" w:type="dxa"/>
            <w:tcBorders>
              <w:top w:val="nil"/>
              <w:left w:val="nil"/>
              <w:bottom w:val="nil"/>
              <w:right w:val="nil"/>
            </w:tcBorders>
            <w:shd w:val="clear" w:color="auto" w:fill="auto"/>
            <w:noWrap/>
            <w:vAlign w:val="center"/>
            <w:hideMark/>
          </w:tcPr>
          <w:p w14:paraId="2DBDE3A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3.48</w:t>
            </w:r>
          </w:p>
        </w:tc>
        <w:tc>
          <w:tcPr>
            <w:tcW w:w="1201" w:type="dxa"/>
            <w:tcBorders>
              <w:top w:val="nil"/>
              <w:left w:val="nil"/>
              <w:bottom w:val="nil"/>
              <w:right w:val="nil"/>
            </w:tcBorders>
            <w:shd w:val="clear" w:color="auto" w:fill="auto"/>
            <w:noWrap/>
            <w:vAlign w:val="center"/>
            <w:hideMark/>
          </w:tcPr>
          <w:p w14:paraId="68D4169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4.73</w:t>
            </w:r>
          </w:p>
        </w:tc>
        <w:tc>
          <w:tcPr>
            <w:tcW w:w="1201" w:type="dxa"/>
            <w:tcBorders>
              <w:top w:val="nil"/>
              <w:left w:val="nil"/>
              <w:bottom w:val="nil"/>
              <w:right w:val="nil"/>
            </w:tcBorders>
            <w:shd w:val="clear" w:color="auto" w:fill="auto"/>
            <w:noWrap/>
            <w:vAlign w:val="center"/>
            <w:hideMark/>
          </w:tcPr>
          <w:p w14:paraId="2B72DE1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2.12</w:t>
            </w:r>
          </w:p>
        </w:tc>
        <w:tc>
          <w:tcPr>
            <w:tcW w:w="1201" w:type="dxa"/>
            <w:tcBorders>
              <w:top w:val="nil"/>
              <w:left w:val="nil"/>
              <w:bottom w:val="nil"/>
              <w:right w:val="nil"/>
            </w:tcBorders>
            <w:shd w:val="clear" w:color="auto" w:fill="auto"/>
            <w:noWrap/>
            <w:vAlign w:val="center"/>
            <w:hideMark/>
          </w:tcPr>
          <w:p w14:paraId="70C0012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0.37</w:t>
            </w:r>
          </w:p>
        </w:tc>
        <w:tc>
          <w:tcPr>
            <w:tcW w:w="1200" w:type="dxa"/>
            <w:tcBorders>
              <w:top w:val="nil"/>
              <w:left w:val="nil"/>
              <w:bottom w:val="nil"/>
              <w:right w:val="nil"/>
            </w:tcBorders>
            <w:shd w:val="clear" w:color="auto" w:fill="auto"/>
            <w:noWrap/>
            <w:vAlign w:val="center"/>
            <w:hideMark/>
          </w:tcPr>
          <w:p w14:paraId="10F8663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2.05</w:t>
            </w:r>
          </w:p>
        </w:tc>
      </w:tr>
      <w:tr w:rsidR="00961617" w:rsidRPr="0076418A" w14:paraId="4FDF2917"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4447A38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375</w:t>
            </w:r>
          </w:p>
        </w:tc>
        <w:tc>
          <w:tcPr>
            <w:tcW w:w="1204" w:type="dxa"/>
            <w:tcBorders>
              <w:top w:val="nil"/>
              <w:left w:val="nil"/>
              <w:bottom w:val="nil"/>
              <w:right w:val="nil"/>
            </w:tcBorders>
            <w:shd w:val="clear" w:color="auto" w:fill="E5E5E5" w:themeFill="background1" w:themeFillTint="33"/>
            <w:noWrap/>
            <w:vAlign w:val="center"/>
            <w:hideMark/>
          </w:tcPr>
          <w:p w14:paraId="0B59119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10.03</w:t>
            </w:r>
          </w:p>
        </w:tc>
        <w:tc>
          <w:tcPr>
            <w:tcW w:w="1201" w:type="dxa"/>
            <w:tcBorders>
              <w:top w:val="nil"/>
              <w:left w:val="nil"/>
              <w:bottom w:val="nil"/>
              <w:right w:val="nil"/>
            </w:tcBorders>
            <w:shd w:val="clear" w:color="auto" w:fill="E5E5E5" w:themeFill="background1" w:themeFillTint="33"/>
            <w:noWrap/>
            <w:vAlign w:val="center"/>
            <w:hideMark/>
          </w:tcPr>
          <w:p w14:paraId="7304936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10.66</w:t>
            </w:r>
          </w:p>
        </w:tc>
        <w:tc>
          <w:tcPr>
            <w:tcW w:w="1201" w:type="dxa"/>
            <w:tcBorders>
              <w:top w:val="nil"/>
              <w:left w:val="nil"/>
              <w:bottom w:val="nil"/>
              <w:right w:val="nil"/>
            </w:tcBorders>
            <w:shd w:val="clear" w:color="auto" w:fill="E5E5E5" w:themeFill="background1" w:themeFillTint="33"/>
            <w:noWrap/>
            <w:vAlign w:val="center"/>
            <w:hideMark/>
          </w:tcPr>
          <w:p w14:paraId="11972C6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11.86</w:t>
            </w:r>
          </w:p>
        </w:tc>
        <w:tc>
          <w:tcPr>
            <w:tcW w:w="1201" w:type="dxa"/>
            <w:tcBorders>
              <w:top w:val="nil"/>
              <w:left w:val="nil"/>
              <w:bottom w:val="nil"/>
              <w:right w:val="nil"/>
            </w:tcBorders>
            <w:shd w:val="clear" w:color="auto" w:fill="E5E5E5" w:themeFill="background1" w:themeFillTint="33"/>
            <w:noWrap/>
            <w:vAlign w:val="center"/>
            <w:hideMark/>
          </w:tcPr>
          <w:p w14:paraId="6F8E895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10.36</w:t>
            </w:r>
          </w:p>
        </w:tc>
        <w:tc>
          <w:tcPr>
            <w:tcW w:w="1201" w:type="dxa"/>
            <w:tcBorders>
              <w:top w:val="nil"/>
              <w:left w:val="nil"/>
              <w:bottom w:val="nil"/>
              <w:right w:val="nil"/>
            </w:tcBorders>
            <w:shd w:val="clear" w:color="auto" w:fill="E5E5E5" w:themeFill="background1" w:themeFillTint="33"/>
            <w:noWrap/>
            <w:vAlign w:val="center"/>
            <w:hideMark/>
          </w:tcPr>
          <w:p w14:paraId="4A378AF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1.11</w:t>
            </w:r>
          </w:p>
        </w:tc>
        <w:tc>
          <w:tcPr>
            <w:tcW w:w="1200" w:type="dxa"/>
            <w:tcBorders>
              <w:top w:val="nil"/>
              <w:left w:val="nil"/>
              <w:bottom w:val="nil"/>
              <w:right w:val="nil"/>
            </w:tcBorders>
            <w:shd w:val="clear" w:color="auto" w:fill="E5E5E5" w:themeFill="background1" w:themeFillTint="33"/>
            <w:noWrap/>
            <w:vAlign w:val="center"/>
            <w:hideMark/>
          </w:tcPr>
          <w:p w14:paraId="4FDC420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9.99</w:t>
            </w:r>
          </w:p>
        </w:tc>
      </w:tr>
      <w:tr w:rsidR="00961617" w:rsidRPr="0076418A" w14:paraId="44906480" w14:textId="77777777" w:rsidTr="0020771F">
        <w:trPr>
          <w:trHeight w:val="288"/>
        </w:trPr>
        <w:tc>
          <w:tcPr>
            <w:tcW w:w="713" w:type="dxa"/>
            <w:tcBorders>
              <w:top w:val="nil"/>
              <w:left w:val="nil"/>
              <w:bottom w:val="nil"/>
              <w:right w:val="nil"/>
            </w:tcBorders>
            <w:shd w:val="clear" w:color="auto" w:fill="auto"/>
            <w:noWrap/>
            <w:vAlign w:val="center"/>
            <w:hideMark/>
          </w:tcPr>
          <w:p w14:paraId="3F3849EC"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400</w:t>
            </w:r>
          </w:p>
        </w:tc>
        <w:tc>
          <w:tcPr>
            <w:tcW w:w="1204" w:type="dxa"/>
            <w:tcBorders>
              <w:top w:val="nil"/>
              <w:left w:val="nil"/>
              <w:bottom w:val="nil"/>
              <w:right w:val="nil"/>
            </w:tcBorders>
            <w:shd w:val="clear" w:color="auto" w:fill="auto"/>
            <w:noWrap/>
            <w:vAlign w:val="center"/>
            <w:hideMark/>
          </w:tcPr>
          <w:p w14:paraId="6D78B22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21.00</w:t>
            </w:r>
          </w:p>
        </w:tc>
        <w:tc>
          <w:tcPr>
            <w:tcW w:w="1201" w:type="dxa"/>
            <w:tcBorders>
              <w:top w:val="nil"/>
              <w:left w:val="nil"/>
              <w:bottom w:val="nil"/>
              <w:right w:val="nil"/>
            </w:tcBorders>
            <w:shd w:val="clear" w:color="auto" w:fill="auto"/>
            <w:noWrap/>
            <w:vAlign w:val="center"/>
            <w:hideMark/>
          </w:tcPr>
          <w:p w14:paraId="4A57970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21.28</w:t>
            </w:r>
          </w:p>
        </w:tc>
        <w:tc>
          <w:tcPr>
            <w:tcW w:w="1201" w:type="dxa"/>
            <w:tcBorders>
              <w:top w:val="nil"/>
              <w:left w:val="nil"/>
              <w:bottom w:val="nil"/>
              <w:right w:val="nil"/>
            </w:tcBorders>
            <w:shd w:val="clear" w:color="auto" w:fill="auto"/>
            <w:noWrap/>
            <w:vAlign w:val="center"/>
            <w:hideMark/>
          </w:tcPr>
          <w:p w14:paraId="1D4AA49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25.77</w:t>
            </w:r>
          </w:p>
        </w:tc>
        <w:tc>
          <w:tcPr>
            <w:tcW w:w="1201" w:type="dxa"/>
            <w:tcBorders>
              <w:top w:val="nil"/>
              <w:left w:val="nil"/>
              <w:bottom w:val="nil"/>
              <w:right w:val="nil"/>
            </w:tcBorders>
            <w:shd w:val="clear" w:color="auto" w:fill="auto"/>
            <w:noWrap/>
            <w:vAlign w:val="center"/>
            <w:hideMark/>
          </w:tcPr>
          <w:p w14:paraId="5398162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21.50</w:t>
            </w:r>
          </w:p>
        </w:tc>
        <w:tc>
          <w:tcPr>
            <w:tcW w:w="1201" w:type="dxa"/>
            <w:tcBorders>
              <w:top w:val="nil"/>
              <w:left w:val="nil"/>
              <w:bottom w:val="nil"/>
              <w:right w:val="nil"/>
            </w:tcBorders>
            <w:shd w:val="clear" w:color="auto" w:fill="auto"/>
            <w:noWrap/>
            <w:vAlign w:val="center"/>
            <w:hideMark/>
          </w:tcPr>
          <w:p w14:paraId="0C96E15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3.20</w:t>
            </w:r>
          </w:p>
        </w:tc>
        <w:tc>
          <w:tcPr>
            <w:tcW w:w="1200" w:type="dxa"/>
            <w:tcBorders>
              <w:top w:val="nil"/>
              <w:left w:val="nil"/>
              <w:bottom w:val="nil"/>
              <w:right w:val="nil"/>
            </w:tcBorders>
            <w:shd w:val="clear" w:color="auto" w:fill="auto"/>
            <w:noWrap/>
            <w:vAlign w:val="center"/>
            <w:hideMark/>
          </w:tcPr>
          <w:p w14:paraId="134E794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20.77</w:t>
            </w:r>
          </w:p>
        </w:tc>
      </w:tr>
      <w:tr w:rsidR="00961617" w:rsidRPr="0076418A" w14:paraId="09146A9C"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726C610F"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425</w:t>
            </w:r>
          </w:p>
        </w:tc>
        <w:tc>
          <w:tcPr>
            <w:tcW w:w="1204" w:type="dxa"/>
            <w:tcBorders>
              <w:top w:val="nil"/>
              <w:left w:val="nil"/>
              <w:bottom w:val="nil"/>
              <w:right w:val="nil"/>
            </w:tcBorders>
            <w:shd w:val="clear" w:color="auto" w:fill="E5E5E5" w:themeFill="background1" w:themeFillTint="33"/>
            <w:noWrap/>
            <w:vAlign w:val="center"/>
            <w:hideMark/>
          </w:tcPr>
          <w:p w14:paraId="42D45F2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28.53</w:t>
            </w:r>
          </w:p>
        </w:tc>
        <w:tc>
          <w:tcPr>
            <w:tcW w:w="1201" w:type="dxa"/>
            <w:tcBorders>
              <w:top w:val="nil"/>
              <w:left w:val="nil"/>
              <w:bottom w:val="nil"/>
              <w:right w:val="nil"/>
            </w:tcBorders>
            <w:shd w:val="clear" w:color="auto" w:fill="E5E5E5" w:themeFill="background1" w:themeFillTint="33"/>
            <w:noWrap/>
            <w:vAlign w:val="center"/>
            <w:hideMark/>
          </w:tcPr>
          <w:p w14:paraId="6852575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31.48</w:t>
            </w:r>
          </w:p>
        </w:tc>
        <w:tc>
          <w:tcPr>
            <w:tcW w:w="1201" w:type="dxa"/>
            <w:tcBorders>
              <w:top w:val="nil"/>
              <w:left w:val="nil"/>
              <w:bottom w:val="nil"/>
              <w:right w:val="nil"/>
            </w:tcBorders>
            <w:shd w:val="clear" w:color="auto" w:fill="E5E5E5" w:themeFill="background1" w:themeFillTint="33"/>
            <w:noWrap/>
            <w:vAlign w:val="center"/>
            <w:hideMark/>
          </w:tcPr>
          <w:p w14:paraId="39EE9DF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39.11</w:t>
            </w:r>
          </w:p>
        </w:tc>
        <w:tc>
          <w:tcPr>
            <w:tcW w:w="1201" w:type="dxa"/>
            <w:tcBorders>
              <w:top w:val="nil"/>
              <w:left w:val="nil"/>
              <w:bottom w:val="nil"/>
              <w:right w:val="nil"/>
            </w:tcBorders>
            <w:shd w:val="clear" w:color="auto" w:fill="E5E5E5" w:themeFill="background1" w:themeFillTint="33"/>
            <w:noWrap/>
            <w:vAlign w:val="center"/>
            <w:hideMark/>
          </w:tcPr>
          <w:p w14:paraId="122E1CD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30.26</w:t>
            </w:r>
          </w:p>
        </w:tc>
        <w:tc>
          <w:tcPr>
            <w:tcW w:w="1201" w:type="dxa"/>
            <w:tcBorders>
              <w:top w:val="nil"/>
              <w:left w:val="nil"/>
              <w:bottom w:val="nil"/>
              <w:right w:val="nil"/>
            </w:tcBorders>
            <w:shd w:val="clear" w:color="auto" w:fill="E5E5E5" w:themeFill="background1" w:themeFillTint="33"/>
            <w:noWrap/>
            <w:vAlign w:val="center"/>
            <w:hideMark/>
          </w:tcPr>
          <w:p w14:paraId="0E161CD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5.91</w:t>
            </w:r>
          </w:p>
        </w:tc>
        <w:tc>
          <w:tcPr>
            <w:tcW w:w="1200" w:type="dxa"/>
            <w:tcBorders>
              <w:top w:val="nil"/>
              <w:left w:val="nil"/>
              <w:bottom w:val="nil"/>
              <w:right w:val="nil"/>
            </w:tcBorders>
            <w:shd w:val="clear" w:color="auto" w:fill="E5E5E5" w:themeFill="background1" w:themeFillTint="33"/>
            <w:noWrap/>
            <w:vAlign w:val="center"/>
            <w:hideMark/>
          </w:tcPr>
          <w:p w14:paraId="015DDDD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29.29</w:t>
            </w:r>
          </w:p>
        </w:tc>
      </w:tr>
      <w:tr w:rsidR="00961617" w:rsidRPr="0076418A" w14:paraId="11B21B88" w14:textId="77777777" w:rsidTr="0020771F">
        <w:trPr>
          <w:trHeight w:val="288"/>
        </w:trPr>
        <w:tc>
          <w:tcPr>
            <w:tcW w:w="713" w:type="dxa"/>
            <w:tcBorders>
              <w:top w:val="nil"/>
              <w:left w:val="nil"/>
              <w:bottom w:val="nil"/>
              <w:right w:val="nil"/>
            </w:tcBorders>
            <w:shd w:val="clear" w:color="auto" w:fill="auto"/>
            <w:noWrap/>
            <w:vAlign w:val="center"/>
            <w:hideMark/>
          </w:tcPr>
          <w:p w14:paraId="6F4A8C8E"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450</w:t>
            </w:r>
          </w:p>
        </w:tc>
        <w:tc>
          <w:tcPr>
            <w:tcW w:w="1204" w:type="dxa"/>
            <w:tcBorders>
              <w:top w:val="nil"/>
              <w:left w:val="nil"/>
              <w:bottom w:val="nil"/>
              <w:right w:val="nil"/>
            </w:tcBorders>
            <w:shd w:val="clear" w:color="auto" w:fill="auto"/>
            <w:noWrap/>
            <w:vAlign w:val="center"/>
            <w:hideMark/>
          </w:tcPr>
          <w:p w14:paraId="19FF1D8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33.21</w:t>
            </w:r>
          </w:p>
        </w:tc>
        <w:tc>
          <w:tcPr>
            <w:tcW w:w="1201" w:type="dxa"/>
            <w:tcBorders>
              <w:top w:val="nil"/>
              <w:left w:val="nil"/>
              <w:bottom w:val="nil"/>
              <w:right w:val="nil"/>
            </w:tcBorders>
            <w:shd w:val="clear" w:color="auto" w:fill="auto"/>
            <w:noWrap/>
            <w:vAlign w:val="center"/>
            <w:hideMark/>
          </w:tcPr>
          <w:p w14:paraId="6B1CC8E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37.95</w:t>
            </w:r>
          </w:p>
        </w:tc>
        <w:tc>
          <w:tcPr>
            <w:tcW w:w="1201" w:type="dxa"/>
            <w:tcBorders>
              <w:top w:val="nil"/>
              <w:left w:val="nil"/>
              <w:bottom w:val="nil"/>
              <w:right w:val="nil"/>
            </w:tcBorders>
            <w:shd w:val="clear" w:color="auto" w:fill="auto"/>
            <w:noWrap/>
            <w:vAlign w:val="center"/>
            <w:hideMark/>
          </w:tcPr>
          <w:p w14:paraId="4A53AE8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47.83</w:t>
            </w:r>
          </w:p>
        </w:tc>
        <w:tc>
          <w:tcPr>
            <w:tcW w:w="1201" w:type="dxa"/>
            <w:tcBorders>
              <w:top w:val="nil"/>
              <w:left w:val="nil"/>
              <w:bottom w:val="nil"/>
              <w:right w:val="nil"/>
            </w:tcBorders>
            <w:shd w:val="clear" w:color="auto" w:fill="auto"/>
            <w:noWrap/>
            <w:vAlign w:val="center"/>
            <w:hideMark/>
          </w:tcPr>
          <w:p w14:paraId="075BCA9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35.77</w:t>
            </w:r>
          </w:p>
        </w:tc>
        <w:tc>
          <w:tcPr>
            <w:tcW w:w="1201" w:type="dxa"/>
            <w:tcBorders>
              <w:top w:val="nil"/>
              <w:left w:val="nil"/>
              <w:bottom w:val="nil"/>
              <w:right w:val="nil"/>
            </w:tcBorders>
            <w:shd w:val="clear" w:color="auto" w:fill="auto"/>
            <w:noWrap/>
            <w:vAlign w:val="center"/>
            <w:hideMark/>
          </w:tcPr>
          <w:p w14:paraId="6776B56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7.51</w:t>
            </w:r>
          </w:p>
        </w:tc>
        <w:tc>
          <w:tcPr>
            <w:tcW w:w="1200" w:type="dxa"/>
            <w:tcBorders>
              <w:top w:val="nil"/>
              <w:left w:val="nil"/>
              <w:bottom w:val="nil"/>
              <w:right w:val="nil"/>
            </w:tcBorders>
            <w:shd w:val="clear" w:color="auto" w:fill="auto"/>
            <w:noWrap/>
            <w:vAlign w:val="center"/>
            <w:hideMark/>
          </w:tcPr>
          <w:p w14:paraId="501A080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34.65</w:t>
            </w:r>
          </w:p>
        </w:tc>
      </w:tr>
      <w:tr w:rsidR="00961617" w:rsidRPr="0076418A" w14:paraId="724D2D74"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78D6EBF9"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475</w:t>
            </w:r>
          </w:p>
        </w:tc>
        <w:tc>
          <w:tcPr>
            <w:tcW w:w="1204" w:type="dxa"/>
            <w:tcBorders>
              <w:top w:val="nil"/>
              <w:left w:val="nil"/>
              <w:bottom w:val="nil"/>
              <w:right w:val="nil"/>
            </w:tcBorders>
            <w:shd w:val="clear" w:color="auto" w:fill="E5E5E5" w:themeFill="background1" w:themeFillTint="33"/>
            <w:noWrap/>
            <w:vAlign w:val="center"/>
            <w:hideMark/>
          </w:tcPr>
          <w:p w14:paraId="682798C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36.47</w:t>
            </w:r>
          </w:p>
        </w:tc>
        <w:tc>
          <w:tcPr>
            <w:tcW w:w="1201" w:type="dxa"/>
            <w:tcBorders>
              <w:top w:val="nil"/>
              <w:left w:val="nil"/>
              <w:bottom w:val="nil"/>
              <w:right w:val="nil"/>
            </w:tcBorders>
            <w:shd w:val="clear" w:color="auto" w:fill="E5E5E5" w:themeFill="background1" w:themeFillTint="33"/>
            <w:noWrap/>
            <w:vAlign w:val="center"/>
            <w:hideMark/>
          </w:tcPr>
          <w:p w14:paraId="521DFFA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42.58</w:t>
            </w:r>
          </w:p>
        </w:tc>
        <w:tc>
          <w:tcPr>
            <w:tcW w:w="1201" w:type="dxa"/>
            <w:tcBorders>
              <w:top w:val="nil"/>
              <w:left w:val="nil"/>
              <w:bottom w:val="nil"/>
              <w:right w:val="nil"/>
            </w:tcBorders>
            <w:shd w:val="clear" w:color="auto" w:fill="E5E5E5" w:themeFill="background1" w:themeFillTint="33"/>
            <w:noWrap/>
            <w:vAlign w:val="center"/>
            <w:hideMark/>
          </w:tcPr>
          <w:p w14:paraId="63E5D4A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53.93</w:t>
            </w:r>
          </w:p>
        </w:tc>
        <w:tc>
          <w:tcPr>
            <w:tcW w:w="1201" w:type="dxa"/>
            <w:tcBorders>
              <w:top w:val="nil"/>
              <w:left w:val="nil"/>
              <w:bottom w:val="nil"/>
              <w:right w:val="nil"/>
            </w:tcBorders>
            <w:shd w:val="clear" w:color="auto" w:fill="E5E5E5" w:themeFill="background1" w:themeFillTint="33"/>
            <w:noWrap/>
            <w:vAlign w:val="center"/>
            <w:hideMark/>
          </w:tcPr>
          <w:p w14:paraId="031BF7D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39.65</w:t>
            </w:r>
          </w:p>
        </w:tc>
        <w:tc>
          <w:tcPr>
            <w:tcW w:w="1201" w:type="dxa"/>
            <w:tcBorders>
              <w:top w:val="nil"/>
              <w:left w:val="nil"/>
              <w:bottom w:val="nil"/>
              <w:right w:val="nil"/>
            </w:tcBorders>
            <w:shd w:val="clear" w:color="auto" w:fill="E5E5E5" w:themeFill="background1" w:themeFillTint="33"/>
            <w:noWrap/>
            <w:vAlign w:val="center"/>
            <w:hideMark/>
          </w:tcPr>
          <w:p w14:paraId="62FFBF8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10.10</w:t>
            </w:r>
          </w:p>
        </w:tc>
        <w:tc>
          <w:tcPr>
            <w:tcW w:w="1200" w:type="dxa"/>
            <w:tcBorders>
              <w:top w:val="nil"/>
              <w:left w:val="nil"/>
              <w:bottom w:val="nil"/>
              <w:right w:val="nil"/>
            </w:tcBorders>
            <w:shd w:val="clear" w:color="auto" w:fill="E5E5E5" w:themeFill="background1" w:themeFillTint="33"/>
            <w:noWrap/>
            <w:vAlign w:val="center"/>
            <w:hideMark/>
          </w:tcPr>
          <w:p w14:paraId="0863A8B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38.48</w:t>
            </w:r>
          </w:p>
        </w:tc>
      </w:tr>
      <w:tr w:rsidR="00961617" w:rsidRPr="0076418A" w14:paraId="4694B822" w14:textId="77777777" w:rsidTr="0020771F">
        <w:trPr>
          <w:trHeight w:val="288"/>
        </w:trPr>
        <w:tc>
          <w:tcPr>
            <w:tcW w:w="713" w:type="dxa"/>
            <w:tcBorders>
              <w:top w:val="nil"/>
              <w:left w:val="nil"/>
              <w:bottom w:val="nil"/>
              <w:right w:val="nil"/>
            </w:tcBorders>
            <w:shd w:val="clear" w:color="auto" w:fill="auto"/>
            <w:noWrap/>
            <w:vAlign w:val="center"/>
            <w:hideMark/>
          </w:tcPr>
          <w:p w14:paraId="15D5B05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500</w:t>
            </w:r>
          </w:p>
        </w:tc>
        <w:tc>
          <w:tcPr>
            <w:tcW w:w="1204" w:type="dxa"/>
            <w:tcBorders>
              <w:top w:val="nil"/>
              <w:left w:val="nil"/>
              <w:bottom w:val="nil"/>
              <w:right w:val="nil"/>
            </w:tcBorders>
            <w:shd w:val="clear" w:color="auto" w:fill="auto"/>
            <w:noWrap/>
            <w:vAlign w:val="center"/>
            <w:hideMark/>
          </w:tcPr>
          <w:p w14:paraId="41DA63A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39.18</w:t>
            </w:r>
          </w:p>
        </w:tc>
        <w:tc>
          <w:tcPr>
            <w:tcW w:w="1201" w:type="dxa"/>
            <w:tcBorders>
              <w:top w:val="nil"/>
              <w:left w:val="nil"/>
              <w:bottom w:val="nil"/>
              <w:right w:val="nil"/>
            </w:tcBorders>
            <w:shd w:val="clear" w:color="auto" w:fill="auto"/>
            <w:noWrap/>
            <w:vAlign w:val="center"/>
            <w:hideMark/>
          </w:tcPr>
          <w:p w14:paraId="722DCF0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46.28</w:t>
            </w:r>
          </w:p>
        </w:tc>
        <w:tc>
          <w:tcPr>
            <w:tcW w:w="1201" w:type="dxa"/>
            <w:tcBorders>
              <w:top w:val="nil"/>
              <w:left w:val="nil"/>
              <w:bottom w:val="nil"/>
              <w:right w:val="nil"/>
            </w:tcBorders>
            <w:shd w:val="clear" w:color="auto" w:fill="auto"/>
            <w:noWrap/>
            <w:vAlign w:val="center"/>
            <w:hideMark/>
          </w:tcPr>
          <w:p w14:paraId="626C968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58.72</w:t>
            </w:r>
          </w:p>
        </w:tc>
        <w:tc>
          <w:tcPr>
            <w:tcW w:w="1201" w:type="dxa"/>
            <w:tcBorders>
              <w:top w:val="nil"/>
              <w:left w:val="nil"/>
              <w:bottom w:val="nil"/>
              <w:right w:val="nil"/>
            </w:tcBorders>
            <w:shd w:val="clear" w:color="auto" w:fill="auto"/>
            <w:noWrap/>
            <w:vAlign w:val="center"/>
            <w:hideMark/>
          </w:tcPr>
          <w:p w14:paraId="7AD6FE5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42.80</w:t>
            </w:r>
          </w:p>
        </w:tc>
        <w:tc>
          <w:tcPr>
            <w:tcW w:w="1201" w:type="dxa"/>
            <w:tcBorders>
              <w:top w:val="nil"/>
              <w:left w:val="nil"/>
              <w:bottom w:val="nil"/>
              <w:right w:val="nil"/>
            </w:tcBorders>
            <w:shd w:val="clear" w:color="auto" w:fill="auto"/>
            <w:noWrap/>
            <w:vAlign w:val="center"/>
            <w:hideMark/>
          </w:tcPr>
          <w:p w14:paraId="24E97A1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11.70</w:t>
            </w:r>
          </w:p>
        </w:tc>
        <w:tc>
          <w:tcPr>
            <w:tcW w:w="1200" w:type="dxa"/>
            <w:tcBorders>
              <w:top w:val="nil"/>
              <w:left w:val="nil"/>
              <w:bottom w:val="nil"/>
              <w:right w:val="nil"/>
            </w:tcBorders>
            <w:shd w:val="clear" w:color="auto" w:fill="auto"/>
            <w:noWrap/>
            <w:vAlign w:val="center"/>
            <w:hideMark/>
          </w:tcPr>
          <w:p w14:paraId="2BFDE70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41.57</w:t>
            </w:r>
          </w:p>
        </w:tc>
      </w:tr>
      <w:tr w:rsidR="00961617" w:rsidRPr="0076418A" w14:paraId="675B0B14"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5268B9DB"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525</w:t>
            </w:r>
          </w:p>
        </w:tc>
        <w:tc>
          <w:tcPr>
            <w:tcW w:w="1204" w:type="dxa"/>
            <w:tcBorders>
              <w:top w:val="nil"/>
              <w:left w:val="nil"/>
              <w:bottom w:val="nil"/>
              <w:right w:val="nil"/>
            </w:tcBorders>
            <w:shd w:val="clear" w:color="auto" w:fill="E5E5E5" w:themeFill="background1" w:themeFillTint="33"/>
            <w:noWrap/>
            <w:vAlign w:val="center"/>
            <w:hideMark/>
          </w:tcPr>
          <w:p w14:paraId="16AEE7A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41.21</w:t>
            </w:r>
          </w:p>
        </w:tc>
        <w:tc>
          <w:tcPr>
            <w:tcW w:w="1201" w:type="dxa"/>
            <w:tcBorders>
              <w:top w:val="nil"/>
              <w:left w:val="nil"/>
              <w:bottom w:val="nil"/>
              <w:right w:val="nil"/>
            </w:tcBorders>
            <w:shd w:val="clear" w:color="auto" w:fill="E5E5E5" w:themeFill="background1" w:themeFillTint="33"/>
            <w:noWrap/>
            <w:vAlign w:val="center"/>
            <w:hideMark/>
          </w:tcPr>
          <w:p w14:paraId="4EFA4E2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48.82</w:t>
            </w:r>
          </w:p>
        </w:tc>
        <w:tc>
          <w:tcPr>
            <w:tcW w:w="1201" w:type="dxa"/>
            <w:tcBorders>
              <w:top w:val="nil"/>
              <w:left w:val="nil"/>
              <w:bottom w:val="nil"/>
              <w:right w:val="nil"/>
            </w:tcBorders>
            <w:shd w:val="clear" w:color="auto" w:fill="E5E5E5" w:themeFill="background1" w:themeFillTint="33"/>
            <w:noWrap/>
            <w:vAlign w:val="center"/>
            <w:hideMark/>
          </w:tcPr>
          <w:p w14:paraId="73962A5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61.57</w:t>
            </w:r>
          </w:p>
        </w:tc>
        <w:tc>
          <w:tcPr>
            <w:tcW w:w="1201" w:type="dxa"/>
            <w:tcBorders>
              <w:top w:val="nil"/>
              <w:left w:val="nil"/>
              <w:bottom w:val="nil"/>
              <w:right w:val="nil"/>
            </w:tcBorders>
            <w:shd w:val="clear" w:color="auto" w:fill="E5E5E5" w:themeFill="background1" w:themeFillTint="33"/>
            <w:noWrap/>
            <w:vAlign w:val="center"/>
            <w:hideMark/>
          </w:tcPr>
          <w:p w14:paraId="62E3B14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45.04</w:t>
            </w:r>
          </w:p>
        </w:tc>
        <w:tc>
          <w:tcPr>
            <w:tcW w:w="1201" w:type="dxa"/>
            <w:tcBorders>
              <w:top w:val="nil"/>
              <w:left w:val="nil"/>
              <w:bottom w:val="nil"/>
              <w:right w:val="nil"/>
            </w:tcBorders>
            <w:shd w:val="clear" w:color="auto" w:fill="E5E5E5" w:themeFill="background1" w:themeFillTint="33"/>
            <w:noWrap/>
            <w:vAlign w:val="center"/>
            <w:hideMark/>
          </w:tcPr>
          <w:p w14:paraId="541426D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13.18</w:t>
            </w:r>
          </w:p>
        </w:tc>
        <w:tc>
          <w:tcPr>
            <w:tcW w:w="1200" w:type="dxa"/>
            <w:tcBorders>
              <w:top w:val="nil"/>
              <w:left w:val="nil"/>
              <w:bottom w:val="nil"/>
              <w:right w:val="nil"/>
            </w:tcBorders>
            <w:shd w:val="clear" w:color="auto" w:fill="E5E5E5" w:themeFill="background1" w:themeFillTint="33"/>
            <w:noWrap/>
            <w:vAlign w:val="center"/>
            <w:hideMark/>
          </w:tcPr>
          <w:p w14:paraId="2422D53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43.78</w:t>
            </w:r>
          </w:p>
        </w:tc>
      </w:tr>
      <w:tr w:rsidR="00961617" w:rsidRPr="0076418A" w14:paraId="773F05B9" w14:textId="77777777" w:rsidTr="0020771F">
        <w:trPr>
          <w:trHeight w:val="288"/>
        </w:trPr>
        <w:tc>
          <w:tcPr>
            <w:tcW w:w="713" w:type="dxa"/>
            <w:tcBorders>
              <w:top w:val="nil"/>
              <w:left w:val="nil"/>
              <w:bottom w:val="nil"/>
              <w:right w:val="nil"/>
            </w:tcBorders>
            <w:shd w:val="clear" w:color="auto" w:fill="auto"/>
            <w:noWrap/>
            <w:vAlign w:val="center"/>
            <w:hideMark/>
          </w:tcPr>
          <w:p w14:paraId="2AC4E58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550</w:t>
            </w:r>
          </w:p>
        </w:tc>
        <w:tc>
          <w:tcPr>
            <w:tcW w:w="1204" w:type="dxa"/>
            <w:tcBorders>
              <w:top w:val="nil"/>
              <w:left w:val="nil"/>
              <w:bottom w:val="nil"/>
              <w:right w:val="nil"/>
            </w:tcBorders>
            <w:shd w:val="clear" w:color="auto" w:fill="auto"/>
            <w:noWrap/>
            <w:vAlign w:val="center"/>
            <w:hideMark/>
          </w:tcPr>
          <w:p w14:paraId="5EA5DE5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42.90</w:t>
            </w:r>
          </w:p>
        </w:tc>
        <w:tc>
          <w:tcPr>
            <w:tcW w:w="1201" w:type="dxa"/>
            <w:tcBorders>
              <w:top w:val="nil"/>
              <w:left w:val="nil"/>
              <w:bottom w:val="nil"/>
              <w:right w:val="nil"/>
            </w:tcBorders>
            <w:shd w:val="clear" w:color="auto" w:fill="auto"/>
            <w:noWrap/>
            <w:vAlign w:val="center"/>
            <w:hideMark/>
          </w:tcPr>
          <w:p w14:paraId="1C4F338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50.49</w:t>
            </w:r>
          </w:p>
        </w:tc>
        <w:tc>
          <w:tcPr>
            <w:tcW w:w="1201" w:type="dxa"/>
            <w:tcBorders>
              <w:top w:val="nil"/>
              <w:left w:val="nil"/>
              <w:bottom w:val="nil"/>
              <w:right w:val="nil"/>
            </w:tcBorders>
            <w:shd w:val="clear" w:color="auto" w:fill="auto"/>
            <w:noWrap/>
            <w:vAlign w:val="center"/>
            <w:hideMark/>
          </w:tcPr>
          <w:p w14:paraId="2577A06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63.85</w:t>
            </w:r>
          </w:p>
        </w:tc>
        <w:tc>
          <w:tcPr>
            <w:tcW w:w="1201" w:type="dxa"/>
            <w:tcBorders>
              <w:top w:val="nil"/>
              <w:left w:val="nil"/>
              <w:bottom w:val="nil"/>
              <w:right w:val="nil"/>
            </w:tcBorders>
            <w:shd w:val="clear" w:color="auto" w:fill="auto"/>
            <w:noWrap/>
            <w:vAlign w:val="center"/>
            <w:hideMark/>
          </w:tcPr>
          <w:p w14:paraId="795230C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46.78</w:t>
            </w:r>
          </w:p>
        </w:tc>
        <w:tc>
          <w:tcPr>
            <w:tcW w:w="1201" w:type="dxa"/>
            <w:tcBorders>
              <w:top w:val="nil"/>
              <w:left w:val="nil"/>
              <w:bottom w:val="nil"/>
              <w:right w:val="nil"/>
            </w:tcBorders>
            <w:shd w:val="clear" w:color="auto" w:fill="auto"/>
            <w:noWrap/>
            <w:vAlign w:val="center"/>
            <w:hideMark/>
          </w:tcPr>
          <w:p w14:paraId="6126A24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14.78</w:t>
            </w:r>
          </w:p>
        </w:tc>
        <w:tc>
          <w:tcPr>
            <w:tcW w:w="1200" w:type="dxa"/>
            <w:tcBorders>
              <w:top w:val="nil"/>
              <w:left w:val="nil"/>
              <w:bottom w:val="nil"/>
              <w:right w:val="nil"/>
            </w:tcBorders>
            <w:shd w:val="clear" w:color="auto" w:fill="auto"/>
            <w:noWrap/>
            <w:vAlign w:val="center"/>
            <w:hideMark/>
          </w:tcPr>
          <w:p w14:paraId="222B6E9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45.51</w:t>
            </w:r>
          </w:p>
        </w:tc>
      </w:tr>
      <w:tr w:rsidR="00961617" w:rsidRPr="0076418A" w14:paraId="1C24E047"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47CB8D1B"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575</w:t>
            </w:r>
          </w:p>
        </w:tc>
        <w:tc>
          <w:tcPr>
            <w:tcW w:w="1204" w:type="dxa"/>
            <w:tcBorders>
              <w:top w:val="nil"/>
              <w:left w:val="nil"/>
              <w:bottom w:val="nil"/>
              <w:right w:val="nil"/>
            </w:tcBorders>
            <w:shd w:val="clear" w:color="auto" w:fill="E5E5E5" w:themeFill="background1" w:themeFillTint="33"/>
            <w:noWrap/>
            <w:vAlign w:val="center"/>
            <w:hideMark/>
          </w:tcPr>
          <w:p w14:paraId="66F12B3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44.35</w:t>
            </w:r>
          </w:p>
        </w:tc>
        <w:tc>
          <w:tcPr>
            <w:tcW w:w="1201" w:type="dxa"/>
            <w:tcBorders>
              <w:top w:val="nil"/>
              <w:left w:val="nil"/>
              <w:bottom w:val="nil"/>
              <w:right w:val="nil"/>
            </w:tcBorders>
            <w:shd w:val="clear" w:color="auto" w:fill="E5E5E5" w:themeFill="background1" w:themeFillTint="33"/>
            <w:noWrap/>
            <w:vAlign w:val="center"/>
            <w:hideMark/>
          </w:tcPr>
          <w:p w14:paraId="4D14824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52.31</w:t>
            </w:r>
          </w:p>
        </w:tc>
        <w:tc>
          <w:tcPr>
            <w:tcW w:w="1201" w:type="dxa"/>
            <w:tcBorders>
              <w:top w:val="nil"/>
              <w:left w:val="nil"/>
              <w:bottom w:val="nil"/>
              <w:right w:val="nil"/>
            </w:tcBorders>
            <w:shd w:val="clear" w:color="auto" w:fill="E5E5E5" w:themeFill="background1" w:themeFillTint="33"/>
            <w:noWrap/>
            <w:vAlign w:val="center"/>
            <w:hideMark/>
          </w:tcPr>
          <w:p w14:paraId="26D5A8D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65.55</w:t>
            </w:r>
          </w:p>
        </w:tc>
        <w:tc>
          <w:tcPr>
            <w:tcW w:w="1201" w:type="dxa"/>
            <w:tcBorders>
              <w:top w:val="nil"/>
              <w:left w:val="nil"/>
              <w:bottom w:val="nil"/>
              <w:right w:val="nil"/>
            </w:tcBorders>
            <w:shd w:val="clear" w:color="auto" w:fill="E5E5E5" w:themeFill="background1" w:themeFillTint="33"/>
            <w:noWrap/>
            <w:vAlign w:val="center"/>
            <w:hideMark/>
          </w:tcPr>
          <w:p w14:paraId="6DBB26E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48.35</w:t>
            </w:r>
          </w:p>
        </w:tc>
        <w:tc>
          <w:tcPr>
            <w:tcW w:w="1201" w:type="dxa"/>
            <w:tcBorders>
              <w:top w:val="nil"/>
              <w:left w:val="nil"/>
              <w:bottom w:val="nil"/>
              <w:right w:val="nil"/>
            </w:tcBorders>
            <w:shd w:val="clear" w:color="auto" w:fill="E5E5E5" w:themeFill="background1" w:themeFillTint="33"/>
            <w:noWrap/>
            <w:vAlign w:val="center"/>
            <w:hideMark/>
          </w:tcPr>
          <w:p w14:paraId="3FD0743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23.33</w:t>
            </w:r>
          </w:p>
        </w:tc>
        <w:tc>
          <w:tcPr>
            <w:tcW w:w="1200" w:type="dxa"/>
            <w:tcBorders>
              <w:top w:val="nil"/>
              <w:left w:val="nil"/>
              <w:bottom w:val="nil"/>
              <w:right w:val="nil"/>
            </w:tcBorders>
            <w:shd w:val="clear" w:color="auto" w:fill="E5E5E5" w:themeFill="background1" w:themeFillTint="33"/>
            <w:noWrap/>
            <w:vAlign w:val="center"/>
            <w:hideMark/>
          </w:tcPr>
          <w:p w14:paraId="3B07250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47.37</w:t>
            </w:r>
          </w:p>
        </w:tc>
      </w:tr>
      <w:tr w:rsidR="00961617" w:rsidRPr="0076418A" w14:paraId="6F470A18" w14:textId="77777777" w:rsidTr="0020771F">
        <w:trPr>
          <w:trHeight w:val="288"/>
        </w:trPr>
        <w:tc>
          <w:tcPr>
            <w:tcW w:w="713" w:type="dxa"/>
            <w:tcBorders>
              <w:top w:val="nil"/>
              <w:left w:val="nil"/>
              <w:bottom w:val="nil"/>
              <w:right w:val="nil"/>
            </w:tcBorders>
            <w:shd w:val="clear" w:color="auto" w:fill="auto"/>
            <w:noWrap/>
            <w:vAlign w:val="center"/>
            <w:hideMark/>
          </w:tcPr>
          <w:p w14:paraId="4DBCCFFF"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600</w:t>
            </w:r>
          </w:p>
        </w:tc>
        <w:tc>
          <w:tcPr>
            <w:tcW w:w="1204" w:type="dxa"/>
            <w:tcBorders>
              <w:top w:val="nil"/>
              <w:left w:val="nil"/>
              <w:bottom w:val="nil"/>
              <w:right w:val="nil"/>
            </w:tcBorders>
            <w:shd w:val="clear" w:color="auto" w:fill="auto"/>
            <w:noWrap/>
            <w:vAlign w:val="center"/>
            <w:hideMark/>
          </w:tcPr>
          <w:p w14:paraId="5F84390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45.48</w:t>
            </w:r>
          </w:p>
        </w:tc>
        <w:tc>
          <w:tcPr>
            <w:tcW w:w="1201" w:type="dxa"/>
            <w:tcBorders>
              <w:top w:val="nil"/>
              <w:left w:val="nil"/>
              <w:bottom w:val="nil"/>
              <w:right w:val="nil"/>
            </w:tcBorders>
            <w:shd w:val="clear" w:color="auto" w:fill="auto"/>
            <w:noWrap/>
            <w:vAlign w:val="center"/>
            <w:hideMark/>
          </w:tcPr>
          <w:p w14:paraId="6E8DE2F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53.38</w:t>
            </w:r>
          </w:p>
        </w:tc>
        <w:tc>
          <w:tcPr>
            <w:tcW w:w="1201" w:type="dxa"/>
            <w:tcBorders>
              <w:top w:val="nil"/>
              <w:left w:val="nil"/>
              <w:bottom w:val="nil"/>
              <w:right w:val="nil"/>
            </w:tcBorders>
            <w:shd w:val="clear" w:color="auto" w:fill="auto"/>
            <w:noWrap/>
            <w:vAlign w:val="center"/>
            <w:hideMark/>
          </w:tcPr>
          <w:p w14:paraId="54491AD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67.16</w:t>
            </w:r>
          </w:p>
        </w:tc>
        <w:tc>
          <w:tcPr>
            <w:tcW w:w="1201" w:type="dxa"/>
            <w:tcBorders>
              <w:top w:val="nil"/>
              <w:left w:val="nil"/>
              <w:bottom w:val="nil"/>
              <w:right w:val="nil"/>
            </w:tcBorders>
            <w:shd w:val="clear" w:color="auto" w:fill="auto"/>
            <w:noWrap/>
            <w:vAlign w:val="center"/>
            <w:hideMark/>
          </w:tcPr>
          <w:p w14:paraId="139850F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49.51</w:t>
            </w:r>
          </w:p>
        </w:tc>
        <w:tc>
          <w:tcPr>
            <w:tcW w:w="1201" w:type="dxa"/>
            <w:tcBorders>
              <w:top w:val="nil"/>
              <w:left w:val="nil"/>
              <w:bottom w:val="nil"/>
              <w:right w:val="nil"/>
            </w:tcBorders>
            <w:shd w:val="clear" w:color="auto" w:fill="auto"/>
            <w:noWrap/>
            <w:vAlign w:val="center"/>
            <w:hideMark/>
          </w:tcPr>
          <w:p w14:paraId="55664AC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28.89</w:t>
            </w:r>
          </w:p>
        </w:tc>
        <w:tc>
          <w:tcPr>
            <w:tcW w:w="1200" w:type="dxa"/>
            <w:tcBorders>
              <w:top w:val="nil"/>
              <w:left w:val="nil"/>
              <w:bottom w:val="nil"/>
              <w:right w:val="nil"/>
            </w:tcBorders>
            <w:shd w:val="clear" w:color="auto" w:fill="auto"/>
            <w:noWrap/>
            <w:vAlign w:val="center"/>
            <w:hideMark/>
          </w:tcPr>
          <w:p w14:paraId="504E84B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48.72</w:t>
            </w:r>
          </w:p>
        </w:tc>
      </w:tr>
      <w:tr w:rsidR="00961617" w:rsidRPr="0076418A" w14:paraId="40468FAE"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135B26D8"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625</w:t>
            </w:r>
          </w:p>
        </w:tc>
        <w:tc>
          <w:tcPr>
            <w:tcW w:w="1204" w:type="dxa"/>
            <w:tcBorders>
              <w:top w:val="nil"/>
              <w:left w:val="nil"/>
              <w:bottom w:val="nil"/>
              <w:right w:val="nil"/>
            </w:tcBorders>
            <w:shd w:val="clear" w:color="auto" w:fill="E5E5E5" w:themeFill="background1" w:themeFillTint="33"/>
            <w:noWrap/>
            <w:vAlign w:val="center"/>
            <w:hideMark/>
          </w:tcPr>
          <w:p w14:paraId="2AEDE42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46.58</w:t>
            </w:r>
          </w:p>
        </w:tc>
        <w:tc>
          <w:tcPr>
            <w:tcW w:w="1201" w:type="dxa"/>
            <w:tcBorders>
              <w:top w:val="nil"/>
              <w:left w:val="nil"/>
              <w:bottom w:val="nil"/>
              <w:right w:val="nil"/>
            </w:tcBorders>
            <w:shd w:val="clear" w:color="auto" w:fill="E5E5E5" w:themeFill="background1" w:themeFillTint="33"/>
            <w:noWrap/>
            <w:vAlign w:val="center"/>
            <w:hideMark/>
          </w:tcPr>
          <w:p w14:paraId="0356115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54.55</w:t>
            </w:r>
          </w:p>
        </w:tc>
        <w:tc>
          <w:tcPr>
            <w:tcW w:w="1201" w:type="dxa"/>
            <w:tcBorders>
              <w:top w:val="nil"/>
              <w:left w:val="nil"/>
              <w:bottom w:val="nil"/>
              <w:right w:val="nil"/>
            </w:tcBorders>
            <w:shd w:val="clear" w:color="auto" w:fill="E5E5E5" w:themeFill="background1" w:themeFillTint="33"/>
            <w:noWrap/>
            <w:vAlign w:val="center"/>
            <w:hideMark/>
          </w:tcPr>
          <w:p w14:paraId="17E435C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67.98</w:t>
            </w:r>
          </w:p>
        </w:tc>
        <w:tc>
          <w:tcPr>
            <w:tcW w:w="1201" w:type="dxa"/>
            <w:tcBorders>
              <w:top w:val="nil"/>
              <w:left w:val="nil"/>
              <w:bottom w:val="nil"/>
              <w:right w:val="nil"/>
            </w:tcBorders>
            <w:shd w:val="clear" w:color="auto" w:fill="E5E5E5" w:themeFill="background1" w:themeFillTint="33"/>
            <w:noWrap/>
            <w:vAlign w:val="center"/>
            <w:hideMark/>
          </w:tcPr>
          <w:p w14:paraId="28EF36A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50.61</w:t>
            </w:r>
          </w:p>
        </w:tc>
        <w:tc>
          <w:tcPr>
            <w:tcW w:w="1201" w:type="dxa"/>
            <w:tcBorders>
              <w:top w:val="nil"/>
              <w:left w:val="nil"/>
              <w:bottom w:val="nil"/>
              <w:right w:val="nil"/>
            </w:tcBorders>
            <w:shd w:val="clear" w:color="auto" w:fill="E5E5E5" w:themeFill="background1" w:themeFillTint="33"/>
            <w:noWrap/>
            <w:vAlign w:val="center"/>
            <w:hideMark/>
          </w:tcPr>
          <w:p w14:paraId="7C119DE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33.26</w:t>
            </w:r>
          </w:p>
        </w:tc>
        <w:tc>
          <w:tcPr>
            <w:tcW w:w="1200" w:type="dxa"/>
            <w:tcBorders>
              <w:top w:val="nil"/>
              <w:left w:val="nil"/>
              <w:bottom w:val="nil"/>
              <w:right w:val="nil"/>
            </w:tcBorders>
            <w:shd w:val="clear" w:color="auto" w:fill="E5E5E5" w:themeFill="background1" w:themeFillTint="33"/>
            <w:noWrap/>
            <w:vAlign w:val="center"/>
            <w:hideMark/>
          </w:tcPr>
          <w:p w14:paraId="4AE4A2C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49.96</w:t>
            </w:r>
          </w:p>
        </w:tc>
      </w:tr>
      <w:tr w:rsidR="00961617" w:rsidRPr="0076418A" w14:paraId="57DA0D75" w14:textId="77777777" w:rsidTr="0020771F">
        <w:trPr>
          <w:trHeight w:val="288"/>
        </w:trPr>
        <w:tc>
          <w:tcPr>
            <w:tcW w:w="713" w:type="dxa"/>
            <w:tcBorders>
              <w:top w:val="nil"/>
              <w:left w:val="nil"/>
              <w:bottom w:val="nil"/>
              <w:right w:val="nil"/>
            </w:tcBorders>
            <w:shd w:val="clear" w:color="auto" w:fill="auto"/>
            <w:noWrap/>
            <w:vAlign w:val="center"/>
            <w:hideMark/>
          </w:tcPr>
          <w:p w14:paraId="6E02CDB1"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650</w:t>
            </w:r>
          </w:p>
        </w:tc>
        <w:tc>
          <w:tcPr>
            <w:tcW w:w="1204" w:type="dxa"/>
            <w:tcBorders>
              <w:top w:val="nil"/>
              <w:left w:val="nil"/>
              <w:bottom w:val="nil"/>
              <w:right w:val="nil"/>
            </w:tcBorders>
            <w:shd w:val="clear" w:color="auto" w:fill="auto"/>
            <w:noWrap/>
            <w:vAlign w:val="center"/>
            <w:hideMark/>
          </w:tcPr>
          <w:p w14:paraId="7C99E41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47.32</w:t>
            </w:r>
          </w:p>
        </w:tc>
        <w:tc>
          <w:tcPr>
            <w:tcW w:w="1201" w:type="dxa"/>
            <w:tcBorders>
              <w:top w:val="nil"/>
              <w:left w:val="nil"/>
              <w:bottom w:val="nil"/>
              <w:right w:val="nil"/>
            </w:tcBorders>
            <w:shd w:val="clear" w:color="auto" w:fill="auto"/>
            <w:noWrap/>
            <w:vAlign w:val="center"/>
            <w:hideMark/>
          </w:tcPr>
          <w:p w14:paraId="36CFB8F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55.44</w:t>
            </w:r>
          </w:p>
        </w:tc>
        <w:tc>
          <w:tcPr>
            <w:tcW w:w="1201" w:type="dxa"/>
            <w:tcBorders>
              <w:top w:val="nil"/>
              <w:left w:val="nil"/>
              <w:bottom w:val="nil"/>
              <w:right w:val="nil"/>
            </w:tcBorders>
            <w:shd w:val="clear" w:color="auto" w:fill="auto"/>
            <w:noWrap/>
            <w:vAlign w:val="center"/>
            <w:hideMark/>
          </w:tcPr>
          <w:p w14:paraId="59F6E21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68.72</w:t>
            </w:r>
          </w:p>
        </w:tc>
        <w:tc>
          <w:tcPr>
            <w:tcW w:w="1201" w:type="dxa"/>
            <w:tcBorders>
              <w:top w:val="nil"/>
              <w:left w:val="nil"/>
              <w:bottom w:val="nil"/>
              <w:right w:val="nil"/>
            </w:tcBorders>
            <w:shd w:val="clear" w:color="auto" w:fill="auto"/>
            <w:noWrap/>
            <w:vAlign w:val="center"/>
            <w:hideMark/>
          </w:tcPr>
          <w:p w14:paraId="6F4DA0A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51.40</w:t>
            </w:r>
          </w:p>
        </w:tc>
        <w:tc>
          <w:tcPr>
            <w:tcW w:w="1201" w:type="dxa"/>
            <w:tcBorders>
              <w:top w:val="nil"/>
              <w:left w:val="nil"/>
              <w:bottom w:val="nil"/>
              <w:right w:val="nil"/>
            </w:tcBorders>
            <w:shd w:val="clear" w:color="auto" w:fill="auto"/>
            <w:noWrap/>
            <w:vAlign w:val="center"/>
            <w:hideMark/>
          </w:tcPr>
          <w:p w14:paraId="10199F0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35.12</w:t>
            </w:r>
          </w:p>
        </w:tc>
        <w:tc>
          <w:tcPr>
            <w:tcW w:w="1200" w:type="dxa"/>
            <w:tcBorders>
              <w:top w:val="nil"/>
              <w:left w:val="nil"/>
              <w:bottom w:val="nil"/>
              <w:right w:val="nil"/>
            </w:tcBorders>
            <w:shd w:val="clear" w:color="auto" w:fill="auto"/>
            <w:noWrap/>
            <w:vAlign w:val="center"/>
            <w:hideMark/>
          </w:tcPr>
          <w:p w14:paraId="41F7BB5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50.80</w:t>
            </w:r>
          </w:p>
        </w:tc>
      </w:tr>
      <w:tr w:rsidR="00961617" w:rsidRPr="0076418A" w14:paraId="1C700409" w14:textId="77777777" w:rsidTr="0020771F">
        <w:trPr>
          <w:trHeight w:val="288"/>
        </w:trPr>
        <w:tc>
          <w:tcPr>
            <w:tcW w:w="713" w:type="dxa"/>
            <w:tcBorders>
              <w:top w:val="nil"/>
              <w:left w:val="nil"/>
              <w:bottom w:val="nil"/>
              <w:right w:val="nil"/>
            </w:tcBorders>
            <w:shd w:val="clear" w:color="auto" w:fill="E5E5E5" w:themeFill="background1" w:themeFillTint="33"/>
            <w:noWrap/>
            <w:vAlign w:val="center"/>
            <w:hideMark/>
          </w:tcPr>
          <w:p w14:paraId="6343251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675</w:t>
            </w:r>
          </w:p>
        </w:tc>
        <w:tc>
          <w:tcPr>
            <w:tcW w:w="1204" w:type="dxa"/>
            <w:tcBorders>
              <w:top w:val="nil"/>
              <w:left w:val="nil"/>
              <w:bottom w:val="nil"/>
              <w:right w:val="nil"/>
            </w:tcBorders>
            <w:shd w:val="clear" w:color="auto" w:fill="E5E5E5" w:themeFill="background1" w:themeFillTint="33"/>
            <w:noWrap/>
            <w:vAlign w:val="center"/>
            <w:hideMark/>
          </w:tcPr>
          <w:p w14:paraId="21F27FD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48.00</w:t>
            </w:r>
          </w:p>
        </w:tc>
        <w:tc>
          <w:tcPr>
            <w:tcW w:w="1201" w:type="dxa"/>
            <w:tcBorders>
              <w:top w:val="nil"/>
              <w:left w:val="nil"/>
              <w:bottom w:val="nil"/>
              <w:right w:val="nil"/>
            </w:tcBorders>
            <w:shd w:val="clear" w:color="auto" w:fill="E5E5E5" w:themeFill="background1" w:themeFillTint="33"/>
            <w:noWrap/>
            <w:vAlign w:val="center"/>
            <w:hideMark/>
          </w:tcPr>
          <w:p w14:paraId="6F1EC2C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56.14</w:t>
            </w:r>
          </w:p>
        </w:tc>
        <w:tc>
          <w:tcPr>
            <w:tcW w:w="1201" w:type="dxa"/>
            <w:tcBorders>
              <w:top w:val="nil"/>
              <w:left w:val="nil"/>
              <w:bottom w:val="nil"/>
              <w:right w:val="nil"/>
            </w:tcBorders>
            <w:shd w:val="clear" w:color="auto" w:fill="E5E5E5" w:themeFill="background1" w:themeFillTint="33"/>
            <w:noWrap/>
            <w:vAlign w:val="center"/>
            <w:hideMark/>
          </w:tcPr>
          <w:p w14:paraId="0A223EA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68.95</w:t>
            </w:r>
          </w:p>
        </w:tc>
        <w:tc>
          <w:tcPr>
            <w:tcW w:w="1201" w:type="dxa"/>
            <w:tcBorders>
              <w:top w:val="nil"/>
              <w:left w:val="nil"/>
              <w:bottom w:val="nil"/>
              <w:right w:val="nil"/>
            </w:tcBorders>
            <w:shd w:val="clear" w:color="auto" w:fill="E5E5E5" w:themeFill="background1" w:themeFillTint="33"/>
            <w:noWrap/>
            <w:vAlign w:val="center"/>
            <w:hideMark/>
          </w:tcPr>
          <w:p w14:paraId="5ECB67A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52.05</w:t>
            </w:r>
          </w:p>
        </w:tc>
        <w:tc>
          <w:tcPr>
            <w:tcW w:w="1201" w:type="dxa"/>
            <w:tcBorders>
              <w:top w:val="nil"/>
              <w:left w:val="nil"/>
              <w:bottom w:val="nil"/>
              <w:right w:val="nil"/>
            </w:tcBorders>
            <w:shd w:val="clear" w:color="auto" w:fill="E5E5E5" w:themeFill="background1" w:themeFillTint="33"/>
            <w:noWrap/>
            <w:vAlign w:val="center"/>
            <w:hideMark/>
          </w:tcPr>
          <w:p w14:paraId="3C549F0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36.24</w:t>
            </w:r>
          </w:p>
        </w:tc>
        <w:tc>
          <w:tcPr>
            <w:tcW w:w="1200" w:type="dxa"/>
            <w:tcBorders>
              <w:top w:val="nil"/>
              <w:left w:val="nil"/>
              <w:bottom w:val="nil"/>
              <w:right w:val="nil"/>
            </w:tcBorders>
            <w:shd w:val="clear" w:color="auto" w:fill="E5E5E5" w:themeFill="background1" w:themeFillTint="33"/>
            <w:noWrap/>
            <w:vAlign w:val="center"/>
            <w:hideMark/>
          </w:tcPr>
          <w:p w14:paraId="15669BB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51.48</w:t>
            </w:r>
          </w:p>
        </w:tc>
      </w:tr>
      <w:tr w:rsidR="00961617" w:rsidRPr="0076418A" w14:paraId="0CFDBCE6" w14:textId="77777777" w:rsidTr="0020771F">
        <w:trPr>
          <w:trHeight w:val="288"/>
        </w:trPr>
        <w:tc>
          <w:tcPr>
            <w:tcW w:w="713" w:type="dxa"/>
            <w:tcBorders>
              <w:top w:val="nil"/>
              <w:left w:val="nil"/>
              <w:right w:val="nil"/>
            </w:tcBorders>
            <w:shd w:val="clear" w:color="auto" w:fill="auto"/>
            <w:noWrap/>
            <w:vAlign w:val="center"/>
            <w:hideMark/>
          </w:tcPr>
          <w:p w14:paraId="1057973A"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700</w:t>
            </w:r>
          </w:p>
        </w:tc>
        <w:tc>
          <w:tcPr>
            <w:tcW w:w="1204" w:type="dxa"/>
            <w:tcBorders>
              <w:top w:val="nil"/>
              <w:left w:val="nil"/>
              <w:right w:val="nil"/>
            </w:tcBorders>
            <w:shd w:val="clear" w:color="auto" w:fill="auto"/>
            <w:noWrap/>
            <w:vAlign w:val="center"/>
            <w:hideMark/>
          </w:tcPr>
          <w:p w14:paraId="0B514A4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48.77</w:t>
            </w:r>
          </w:p>
        </w:tc>
        <w:tc>
          <w:tcPr>
            <w:tcW w:w="1201" w:type="dxa"/>
            <w:tcBorders>
              <w:top w:val="nil"/>
              <w:left w:val="nil"/>
              <w:right w:val="nil"/>
            </w:tcBorders>
            <w:shd w:val="clear" w:color="auto" w:fill="auto"/>
            <w:noWrap/>
            <w:vAlign w:val="center"/>
            <w:hideMark/>
          </w:tcPr>
          <w:p w14:paraId="489ABD0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56.60</w:t>
            </w:r>
          </w:p>
        </w:tc>
        <w:tc>
          <w:tcPr>
            <w:tcW w:w="1201" w:type="dxa"/>
            <w:tcBorders>
              <w:top w:val="nil"/>
              <w:left w:val="nil"/>
              <w:right w:val="nil"/>
            </w:tcBorders>
            <w:shd w:val="clear" w:color="auto" w:fill="auto"/>
            <w:noWrap/>
            <w:vAlign w:val="center"/>
            <w:hideMark/>
          </w:tcPr>
          <w:p w14:paraId="7352F42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68.95</w:t>
            </w:r>
          </w:p>
        </w:tc>
        <w:tc>
          <w:tcPr>
            <w:tcW w:w="1201" w:type="dxa"/>
            <w:tcBorders>
              <w:top w:val="nil"/>
              <w:left w:val="nil"/>
              <w:right w:val="nil"/>
            </w:tcBorders>
            <w:shd w:val="clear" w:color="auto" w:fill="auto"/>
            <w:noWrap/>
            <w:vAlign w:val="center"/>
            <w:hideMark/>
          </w:tcPr>
          <w:p w14:paraId="506DA65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52.65</w:t>
            </w:r>
          </w:p>
        </w:tc>
        <w:tc>
          <w:tcPr>
            <w:tcW w:w="1201" w:type="dxa"/>
            <w:tcBorders>
              <w:top w:val="nil"/>
              <w:left w:val="nil"/>
              <w:right w:val="nil"/>
            </w:tcBorders>
            <w:shd w:val="clear" w:color="auto" w:fill="auto"/>
            <w:noWrap/>
            <w:vAlign w:val="center"/>
            <w:hideMark/>
          </w:tcPr>
          <w:p w14:paraId="1992D1D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36.57</w:t>
            </w:r>
          </w:p>
        </w:tc>
        <w:tc>
          <w:tcPr>
            <w:tcW w:w="1200" w:type="dxa"/>
            <w:tcBorders>
              <w:top w:val="nil"/>
              <w:left w:val="nil"/>
              <w:right w:val="nil"/>
            </w:tcBorders>
            <w:shd w:val="clear" w:color="auto" w:fill="auto"/>
            <w:noWrap/>
            <w:vAlign w:val="center"/>
            <w:hideMark/>
          </w:tcPr>
          <w:p w14:paraId="3088D91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52.05</w:t>
            </w:r>
          </w:p>
        </w:tc>
      </w:tr>
      <w:tr w:rsidR="00961617" w:rsidRPr="0076418A" w14:paraId="501867AA" w14:textId="77777777" w:rsidTr="0020771F">
        <w:trPr>
          <w:trHeight w:val="288"/>
        </w:trPr>
        <w:tc>
          <w:tcPr>
            <w:tcW w:w="713" w:type="dxa"/>
            <w:tcBorders>
              <w:bottom w:val="single" w:sz="4" w:space="0" w:color="auto"/>
            </w:tcBorders>
            <w:shd w:val="clear" w:color="auto" w:fill="E5E5E5" w:themeFill="background1" w:themeFillTint="33"/>
            <w:noWrap/>
            <w:vAlign w:val="center"/>
            <w:hideMark/>
          </w:tcPr>
          <w:p w14:paraId="7D448018"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725</w:t>
            </w:r>
          </w:p>
        </w:tc>
        <w:tc>
          <w:tcPr>
            <w:tcW w:w="1204" w:type="dxa"/>
            <w:tcBorders>
              <w:bottom w:val="single" w:sz="4" w:space="0" w:color="auto"/>
            </w:tcBorders>
            <w:shd w:val="clear" w:color="auto" w:fill="E5E5E5" w:themeFill="background1" w:themeFillTint="33"/>
            <w:noWrap/>
            <w:vAlign w:val="center"/>
            <w:hideMark/>
          </w:tcPr>
          <w:p w14:paraId="47F30FE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49.09</w:t>
            </w:r>
          </w:p>
        </w:tc>
        <w:tc>
          <w:tcPr>
            <w:tcW w:w="1201" w:type="dxa"/>
            <w:tcBorders>
              <w:bottom w:val="single" w:sz="4" w:space="0" w:color="auto"/>
            </w:tcBorders>
            <w:shd w:val="clear" w:color="auto" w:fill="E5E5E5" w:themeFill="background1" w:themeFillTint="33"/>
            <w:noWrap/>
            <w:vAlign w:val="center"/>
            <w:hideMark/>
          </w:tcPr>
          <w:p w14:paraId="52B6F70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57.31</w:t>
            </w:r>
          </w:p>
        </w:tc>
        <w:tc>
          <w:tcPr>
            <w:tcW w:w="1201" w:type="dxa"/>
            <w:tcBorders>
              <w:bottom w:val="single" w:sz="4" w:space="0" w:color="auto"/>
            </w:tcBorders>
            <w:shd w:val="clear" w:color="auto" w:fill="E5E5E5" w:themeFill="background1" w:themeFillTint="33"/>
            <w:noWrap/>
            <w:vAlign w:val="center"/>
            <w:hideMark/>
          </w:tcPr>
          <w:p w14:paraId="502E972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68.95</w:t>
            </w:r>
          </w:p>
        </w:tc>
        <w:tc>
          <w:tcPr>
            <w:tcW w:w="1201" w:type="dxa"/>
            <w:tcBorders>
              <w:bottom w:val="single" w:sz="4" w:space="0" w:color="auto"/>
            </w:tcBorders>
            <w:shd w:val="clear" w:color="auto" w:fill="E5E5E5" w:themeFill="background1" w:themeFillTint="33"/>
            <w:noWrap/>
            <w:vAlign w:val="center"/>
            <w:hideMark/>
          </w:tcPr>
          <w:p w14:paraId="2669E9C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53.05</w:t>
            </w:r>
          </w:p>
        </w:tc>
        <w:tc>
          <w:tcPr>
            <w:tcW w:w="1201" w:type="dxa"/>
            <w:tcBorders>
              <w:bottom w:val="single" w:sz="4" w:space="0" w:color="auto"/>
            </w:tcBorders>
            <w:shd w:val="clear" w:color="auto" w:fill="E5E5E5" w:themeFill="background1" w:themeFillTint="33"/>
            <w:noWrap/>
            <w:vAlign w:val="center"/>
            <w:hideMark/>
          </w:tcPr>
          <w:p w14:paraId="4839F74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36.57</w:t>
            </w:r>
          </w:p>
        </w:tc>
        <w:tc>
          <w:tcPr>
            <w:tcW w:w="1200" w:type="dxa"/>
            <w:tcBorders>
              <w:bottom w:val="single" w:sz="4" w:space="0" w:color="auto"/>
            </w:tcBorders>
            <w:shd w:val="clear" w:color="auto" w:fill="E5E5E5" w:themeFill="background1" w:themeFillTint="33"/>
            <w:noWrap/>
            <w:vAlign w:val="center"/>
            <w:hideMark/>
          </w:tcPr>
          <w:p w14:paraId="72D0D21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52.43</w:t>
            </w:r>
          </w:p>
        </w:tc>
      </w:tr>
    </w:tbl>
    <w:p w14:paraId="534DBE4C" w14:textId="77777777" w:rsidR="00961617" w:rsidRDefault="00961617" w:rsidP="00961617">
      <w:pPr>
        <w:rPr>
          <w:b/>
        </w:rPr>
      </w:pPr>
      <w:r>
        <w:rPr>
          <w:b/>
        </w:rPr>
        <w:br w:type="page"/>
      </w:r>
    </w:p>
    <w:p w14:paraId="688A45C5" w14:textId="77777777" w:rsidR="00961617" w:rsidRPr="007E17F1" w:rsidRDefault="00961617" w:rsidP="00961617">
      <w:pPr>
        <w:spacing w:before="120" w:after="0"/>
        <w:rPr>
          <w:rFonts w:cstheme="minorHAnsi"/>
          <w:b/>
        </w:rPr>
      </w:pPr>
      <w:r w:rsidRPr="002F5864">
        <w:rPr>
          <w:b/>
        </w:rPr>
        <w:t>J</w:t>
      </w:r>
      <w:r>
        <w:rPr>
          <w:b/>
        </w:rPr>
        <w:t>SA 2012</w:t>
      </w:r>
    </w:p>
    <w:tbl>
      <w:tblPr>
        <w:tblW w:w="7953" w:type="dxa"/>
        <w:tblInd w:w="93" w:type="dxa"/>
        <w:tblLayout w:type="fixed"/>
        <w:tblLook w:val="04A0" w:firstRow="1" w:lastRow="0" w:firstColumn="1" w:lastColumn="0" w:noHBand="0" w:noVBand="1"/>
      </w:tblPr>
      <w:tblGrid>
        <w:gridCol w:w="724"/>
        <w:gridCol w:w="1193"/>
        <w:gridCol w:w="1217"/>
        <w:gridCol w:w="1134"/>
        <w:gridCol w:w="1276"/>
        <w:gridCol w:w="1134"/>
        <w:gridCol w:w="1275"/>
      </w:tblGrid>
      <w:tr w:rsidR="00961617" w:rsidRPr="0076418A" w14:paraId="29230B7C" w14:textId="77777777" w:rsidTr="0020771F">
        <w:trPr>
          <w:trHeight w:val="288"/>
          <w:tblHeader/>
        </w:trPr>
        <w:tc>
          <w:tcPr>
            <w:tcW w:w="724" w:type="dxa"/>
            <w:shd w:val="clear" w:color="auto" w:fill="1E3D6B"/>
            <w:noWrap/>
            <w:vAlign w:val="bottom"/>
            <w:hideMark/>
          </w:tcPr>
          <w:p w14:paraId="1BA38071" w14:textId="77777777" w:rsidR="00961617" w:rsidRPr="0076418A" w:rsidRDefault="00961617" w:rsidP="0020771F">
            <w:pPr>
              <w:spacing w:after="0" w:line="240" w:lineRule="auto"/>
              <w:rPr>
                <w:rFonts w:eastAsia="Times New Roman" w:cstheme="minorHAnsi"/>
                <w:b/>
                <w:bCs/>
                <w:color w:val="FFFFFF" w:themeColor="background2"/>
                <w:sz w:val="20"/>
                <w:szCs w:val="20"/>
                <w:lang w:eastAsia="en-AU"/>
              </w:rPr>
            </w:pPr>
            <w:bookmarkStart w:id="693" w:name="Title_A228b"/>
            <w:bookmarkEnd w:id="693"/>
            <w:r w:rsidRPr="0076418A">
              <w:rPr>
                <w:rFonts w:eastAsia="Times New Roman" w:cstheme="minorHAnsi"/>
                <w:b/>
                <w:bCs/>
                <w:color w:val="FFFFFF" w:themeColor="background2"/>
                <w:sz w:val="20"/>
                <w:szCs w:val="20"/>
                <w:lang w:eastAsia="en-AU"/>
              </w:rPr>
              <w:t>Days</w:t>
            </w:r>
          </w:p>
        </w:tc>
        <w:tc>
          <w:tcPr>
            <w:tcW w:w="1193" w:type="dxa"/>
            <w:shd w:val="clear" w:color="auto" w:fill="1E3D6B"/>
            <w:noWrap/>
            <w:vAlign w:val="bottom"/>
            <w:hideMark/>
          </w:tcPr>
          <w:p w14:paraId="6A833BC6" w14:textId="77777777" w:rsidR="00961617" w:rsidRPr="0076418A" w:rsidRDefault="00961617" w:rsidP="0020771F">
            <w:pPr>
              <w:spacing w:after="0" w:line="240" w:lineRule="auto"/>
              <w:ind w:right="77"/>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1</w:t>
            </w:r>
          </w:p>
        </w:tc>
        <w:tc>
          <w:tcPr>
            <w:tcW w:w="1217" w:type="dxa"/>
            <w:shd w:val="clear" w:color="auto" w:fill="1E3D6B"/>
            <w:noWrap/>
            <w:vAlign w:val="bottom"/>
            <w:hideMark/>
          </w:tcPr>
          <w:p w14:paraId="47991B22" w14:textId="77777777" w:rsidR="00961617" w:rsidRPr="0076418A" w:rsidRDefault="00961617" w:rsidP="0020771F">
            <w:pPr>
              <w:spacing w:after="0" w:line="240" w:lineRule="auto"/>
              <w:ind w:right="77"/>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2</w:t>
            </w:r>
          </w:p>
        </w:tc>
        <w:tc>
          <w:tcPr>
            <w:tcW w:w="1134" w:type="dxa"/>
            <w:shd w:val="clear" w:color="auto" w:fill="1E3D6B"/>
            <w:noWrap/>
            <w:vAlign w:val="bottom"/>
            <w:hideMark/>
          </w:tcPr>
          <w:p w14:paraId="57B2B906" w14:textId="77777777" w:rsidR="00961617" w:rsidRPr="0076418A" w:rsidRDefault="00961617" w:rsidP="0020771F">
            <w:pPr>
              <w:spacing w:after="0" w:line="240" w:lineRule="auto"/>
              <w:ind w:right="77"/>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3</w:t>
            </w:r>
          </w:p>
        </w:tc>
        <w:tc>
          <w:tcPr>
            <w:tcW w:w="1276" w:type="dxa"/>
            <w:shd w:val="clear" w:color="auto" w:fill="1E3D6B"/>
            <w:noWrap/>
            <w:vAlign w:val="bottom"/>
            <w:hideMark/>
          </w:tcPr>
          <w:p w14:paraId="7E70F491" w14:textId="77777777" w:rsidR="00961617" w:rsidRPr="0076418A" w:rsidRDefault="00961617" w:rsidP="0020771F">
            <w:pPr>
              <w:spacing w:after="0" w:line="240" w:lineRule="auto"/>
              <w:ind w:right="-89"/>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1- 3</w:t>
            </w:r>
          </w:p>
        </w:tc>
        <w:tc>
          <w:tcPr>
            <w:tcW w:w="1134" w:type="dxa"/>
            <w:shd w:val="clear" w:color="auto" w:fill="1E3D6B"/>
            <w:noWrap/>
            <w:vAlign w:val="bottom"/>
            <w:hideMark/>
          </w:tcPr>
          <w:p w14:paraId="4E635343" w14:textId="77777777" w:rsidR="00961617" w:rsidRPr="0076418A" w:rsidRDefault="00961617" w:rsidP="0020771F">
            <w:pPr>
              <w:spacing w:after="0" w:line="240" w:lineRule="auto"/>
              <w:ind w:right="77"/>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Stream 4</w:t>
            </w:r>
          </w:p>
        </w:tc>
        <w:tc>
          <w:tcPr>
            <w:tcW w:w="1275" w:type="dxa"/>
            <w:shd w:val="clear" w:color="auto" w:fill="1E3D6B"/>
            <w:noWrap/>
            <w:vAlign w:val="bottom"/>
            <w:hideMark/>
          </w:tcPr>
          <w:p w14:paraId="537E2374" w14:textId="77777777" w:rsidR="00961617" w:rsidRPr="0076418A" w:rsidRDefault="00961617" w:rsidP="0020771F">
            <w:pPr>
              <w:spacing w:after="0" w:line="240" w:lineRule="auto"/>
              <w:ind w:right="77"/>
              <w:jc w:val="center"/>
              <w:rPr>
                <w:rFonts w:eastAsia="Times New Roman" w:cstheme="minorHAnsi"/>
                <w:b/>
                <w:bCs/>
                <w:color w:val="FFFFFF" w:themeColor="background2"/>
                <w:sz w:val="20"/>
                <w:szCs w:val="20"/>
                <w:lang w:eastAsia="en-AU"/>
              </w:rPr>
            </w:pPr>
            <w:r w:rsidRPr="0076418A">
              <w:rPr>
                <w:rFonts w:eastAsia="Times New Roman" w:cstheme="minorHAnsi"/>
                <w:b/>
                <w:bCs/>
                <w:color w:val="FFFFFF" w:themeColor="background2"/>
                <w:sz w:val="20"/>
                <w:szCs w:val="20"/>
                <w:lang w:eastAsia="en-AU"/>
              </w:rPr>
              <w:t>Total</w:t>
            </w:r>
          </w:p>
        </w:tc>
      </w:tr>
      <w:tr w:rsidR="00961617" w:rsidRPr="0076418A" w14:paraId="4D999B7C" w14:textId="77777777" w:rsidTr="0020771F">
        <w:trPr>
          <w:trHeight w:val="288"/>
        </w:trPr>
        <w:tc>
          <w:tcPr>
            <w:tcW w:w="724" w:type="dxa"/>
            <w:tcBorders>
              <w:left w:val="nil"/>
              <w:bottom w:val="nil"/>
              <w:right w:val="nil"/>
            </w:tcBorders>
            <w:shd w:val="clear" w:color="auto" w:fill="auto"/>
            <w:noWrap/>
            <w:vAlign w:val="bottom"/>
            <w:hideMark/>
          </w:tcPr>
          <w:p w14:paraId="407C4E91"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200</w:t>
            </w:r>
          </w:p>
        </w:tc>
        <w:tc>
          <w:tcPr>
            <w:tcW w:w="1193" w:type="dxa"/>
            <w:tcBorders>
              <w:left w:val="nil"/>
              <w:bottom w:val="nil"/>
              <w:right w:val="nil"/>
            </w:tcBorders>
            <w:shd w:val="clear" w:color="auto" w:fill="auto"/>
            <w:noWrap/>
            <w:vAlign w:val="bottom"/>
            <w:hideMark/>
          </w:tcPr>
          <w:p w14:paraId="7BDEE53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0.05</w:t>
            </w:r>
          </w:p>
        </w:tc>
        <w:tc>
          <w:tcPr>
            <w:tcW w:w="1217" w:type="dxa"/>
            <w:tcBorders>
              <w:left w:val="nil"/>
              <w:bottom w:val="nil"/>
              <w:right w:val="nil"/>
            </w:tcBorders>
            <w:shd w:val="clear" w:color="auto" w:fill="auto"/>
            <w:noWrap/>
            <w:vAlign w:val="bottom"/>
            <w:hideMark/>
          </w:tcPr>
          <w:p w14:paraId="310B84C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0.01</w:t>
            </w:r>
          </w:p>
        </w:tc>
        <w:tc>
          <w:tcPr>
            <w:tcW w:w="1134" w:type="dxa"/>
            <w:tcBorders>
              <w:left w:val="nil"/>
              <w:bottom w:val="nil"/>
              <w:right w:val="nil"/>
            </w:tcBorders>
            <w:shd w:val="clear" w:color="auto" w:fill="auto"/>
            <w:noWrap/>
            <w:vAlign w:val="bottom"/>
            <w:hideMark/>
          </w:tcPr>
          <w:p w14:paraId="21F2C45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0.39</w:t>
            </w:r>
          </w:p>
        </w:tc>
        <w:tc>
          <w:tcPr>
            <w:tcW w:w="1276" w:type="dxa"/>
            <w:tcBorders>
              <w:left w:val="nil"/>
              <w:bottom w:val="nil"/>
              <w:right w:val="nil"/>
            </w:tcBorders>
            <w:shd w:val="clear" w:color="auto" w:fill="auto"/>
            <w:noWrap/>
            <w:vAlign w:val="bottom"/>
            <w:hideMark/>
          </w:tcPr>
          <w:p w14:paraId="796391A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0.07</w:t>
            </w:r>
          </w:p>
        </w:tc>
        <w:tc>
          <w:tcPr>
            <w:tcW w:w="1134" w:type="dxa"/>
            <w:tcBorders>
              <w:left w:val="nil"/>
              <w:bottom w:val="nil"/>
              <w:right w:val="nil"/>
            </w:tcBorders>
            <w:shd w:val="clear" w:color="auto" w:fill="auto"/>
            <w:noWrap/>
            <w:vAlign w:val="bottom"/>
            <w:hideMark/>
          </w:tcPr>
          <w:p w14:paraId="7BD78F2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1.04</w:t>
            </w:r>
          </w:p>
        </w:tc>
        <w:tc>
          <w:tcPr>
            <w:tcW w:w="1275" w:type="dxa"/>
            <w:tcBorders>
              <w:left w:val="nil"/>
              <w:bottom w:val="nil"/>
              <w:right w:val="nil"/>
            </w:tcBorders>
            <w:shd w:val="clear" w:color="auto" w:fill="auto"/>
            <w:noWrap/>
            <w:vAlign w:val="bottom"/>
            <w:hideMark/>
          </w:tcPr>
          <w:p w14:paraId="179BC32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0.12</w:t>
            </w:r>
          </w:p>
        </w:tc>
      </w:tr>
      <w:tr w:rsidR="00961617" w:rsidRPr="0076418A" w14:paraId="513113B7"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18EEBD5D"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225</w:t>
            </w:r>
          </w:p>
        </w:tc>
        <w:tc>
          <w:tcPr>
            <w:tcW w:w="1193" w:type="dxa"/>
            <w:tcBorders>
              <w:top w:val="nil"/>
              <w:left w:val="nil"/>
              <w:bottom w:val="nil"/>
              <w:right w:val="nil"/>
            </w:tcBorders>
            <w:shd w:val="clear" w:color="auto" w:fill="E5E5E5" w:themeFill="background1" w:themeFillTint="33"/>
            <w:noWrap/>
            <w:vAlign w:val="bottom"/>
            <w:hideMark/>
          </w:tcPr>
          <w:p w14:paraId="19E3600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0.07</w:t>
            </w:r>
          </w:p>
        </w:tc>
        <w:tc>
          <w:tcPr>
            <w:tcW w:w="1217" w:type="dxa"/>
            <w:tcBorders>
              <w:top w:val="nil"/>
              <w:left w:val="nil"/>
              <w:bottom w:val="nil"/>
              <w:right w:val="nil"/>
            </w:tcBorders>
            <w:shd w:val="clear" w:color="auto" w:fill="E5E5E5" w:themeFill="background1" w:themeFillTint="33"/>
            <w:noWrap/>
            <w:vAlign w:val="bottom"/>
            <w:hideMark/>
          </w:tcPr>
          <w:p w14:paraId="42E855D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0.03</w:t>
            </w:r>
          </w:p>
        </w:tc>
        <w:tc>
          <w:tcPr>
            <w:tcW w:w="1134" w:type="dxa"/>
            <w:tcBorders>
              <w:top w:val="nil"/>
              <w:left w:val="nil"/>
              <w:bottom w:val="nil"/>
              <w:right w:val="nil"/>
            </w:tcBorders>
            <w:shd w:val="clear" w:color="auto" w:fill="E5E5E5" w:themeFill="background1" w:themeFillTint="33"/>
            <w:noWrap/>
            <w:vAlign w:val="bottom"/>
            <w:hideMark/>
          </w:tcPr>
          <w:p w14:paraId="6633179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0.39</w:t>
            </w:r>
          </w:p>
        </w:tc>
        <w:tc>
          <w:tcPr>
            <w:tcW w:w="1276" w:type="dxa"/>
            <w:tcBorders>
              <w:top w:val="nil"/>
              <w:left w:val="nil"/>
              <w:bottom w:val="nil"/>
              <w:right w:val="nil"/>
            </w:tcBorders>
            <w:shd w:val="clear" w:color="auto" w:fill="E5E5E5" w:themeFill="background1" w:themeFillTint="33"/>
            <w:noWrap/>
            <w:vAlign w:val="bottom"/>
            <w:hideMark/>
          </w:tcPr>
          <w:p w14:paraId="511DC67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0.08</w:t>
            </w:r>
          </w:p>
        </w:tc>
        <w:tc>
          <w:tcPr>
            <w:tcW w:w="1134" w:type="dxa"/>
            <w:tcBorders>
              <w:top w:val="nil"/>
              <w:left w:val="nil"/>
              <w:bottom w:val="nil"/>
              <w:right w:val="nil"/>
            </w:tcBorders>
            <w:shd w:val="clear" w:color="auto" w:fill="E5E5E5" w:themeFill="background1" w:themeFillTint="33"/>
            <w:noWrap/>
            <w:vAlign w:val="bottom"/>
            <w:hideMark/>
          </w:tcPr>
          <w:p w14:paraId="7E529FC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1.04</w:t>
            </w:r>
          </w:p>
        </w:tc>
        <w:tc>
          <w:tcPr>
            <w:tcW w:w="1275" w:type="dxa"/>
            <w:tcBorders>
              <w:top w:val="nil"/>
              <w:left w:val="nil"/>
              <w:bottom w:val="nil"/>
              <w:right w:val="nil"/>
            </w:tcBorders>
            <w:shd w:val="clear" w:color="auto" w:fill="E5E5E5" w:themeFill="background1" w:themeFillTint="33"/>
            <w:noWrap/>
            <w:vAlign w:val="bottom"/>
            <w:hideMark/>
          </w:tcPr>
          <w:p w14:paraId="42C9C25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0.13</w:t>
            </w:r>
          </w:p>
        </w:tc>
      </w:tr>
      <w:tr w:rsidR="00961617" w:rsidRPr="0076418A" w14:paraId="4A804FEE" w14:textId="77777777" w:rsidTr="0020771F">
        <w:trPr>
          <w:trHeight w:val="288"/>
        </w:trPr>
        <w:tc>
          <w:tcPr>
            <w:tcW w:w="724" w:type="dxa"/>
            <w:tcBorders>
              <w:top w:val="nil"/>
              <w:left w:val="nil"/>
              <w:bottom w:val="nil"/>
              <w:right w:val="nil"/>
            </w:tcBorders>
            <w:shd w:val="clear" w:color="auto" w:fill="auto"/>
            <w:noWrap/>
            <w:vAlign w:val="bottom"/>
            <w:hideMark/>
          </w:tcPr>
          <w:p w14:paraId="62CE2F57"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250</w:t>
            </w:r>
          </w:p>
        </w:tc>
        <w:tc>
          <w:tcPr>
            <w:tcW w:w="1193" w:type="dxa"/>
            <w:tcBorders>
              <w:top w:val="nil"/>
              <w:left w:val="nil"/>
              <w:bottom w:val="nil"/>
              <w:right w:val="nil"/>
            </w:tcBorders>
            <w:shd w:val="clear" w:color="auto" w:fill="auto"/>
            <w:noWrap/>
            <w:vAlign w:val="bottom"/>
            <w:hideMark/>
          </w:tcPr>
          <w:p w14:paraId="1AFB10F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0.07</w:t>
            </w:r>
          </w:p>
        </w:tc>
        <w:tc>
          <w:tcPr>
            <w:tcW w:w="1217" w:type="dxa"/>
            <w:tcBorders>
              <w:top w:val="nil"/>
              <w:left w:val="nil"/>
              <w:bottom w:val="nil"/>
              <w:right w:val="nil"/>
            </w:tcBorders>
            <w:shd w:val="clear" w:color="auto" w:fill="auto"/>
            <w:noWrap/>
            <w:vAlign w:val="bottom"/>
            <w:hideMark/>
          </w:tcPr>
          <w:p w14:paraId="2CC6D74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0.04</w:t>
            </w:r>
          </w:p>
        </w:tc>
        <w:tc>
          <w:tcPr>
            <w:tcW w:w="1134" w:type="dxa"/>
            <w:tcBorders>
              <w:top w:val="nil"/>
              <w:left w:val="nil"/>
              <w:bottom w:val="nil"/>
              <w:right w:val="nil"/>
            </w:tcBorders>
            <w:shd w:val="clear" w:color="auto" w:fill="auto"/>
            <w:noWrap/>
            <w:vAlign w:val="bottom"/>
            <w:hideMark/>
          </w:tcPr>
          <w:p w14:paraId="633EA3A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0.46</w:t>
            </w:r>
          </w:p>
        </w:tc>
        <w:tc>
          <w:tcPr>
            <w:tcW w:w="1276" w:type="dxa"/>
            <w:tcBorders>
              <w:top w:val="nil"/>
              <w:left w:val="nil"/>
              <w:bottom w:val="nil"/>
              <w:right w:val="nil"/>
            </w:tcBorders>
            <w:shd w:val="clear" w:color="auto" w:fill="auto"/>
            <w:noWrap/>
            <w:vAlign w:val="bottom"/>
            <w:hideMark/>
          </w:tcPr>
          <w:p w14:paraId="751A039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0.09</w:t>
            </w:r>
          </w:p>
        </w:tc>
        <w:tc>
          <w:tcPr>
            <w:tcW w:w="1134" w:type="dxa"/>
            <w:tcBorders>
              <w:top w:val="nil"/>
              <w:left w:val="nil"/>
              <w:bottom w:val="nil"/>
              <w:right w:val="nil"/>
            </w:tcBorders>
            <w:shd w:val="clear" w:color="auto" w:fill="auto"/>
            <w:noWrap/>
            <w:vAlign w:val="bottom"/>
            <w:hideMark/>
          </w:tcPr>
          <w:p w14:paraId="0209306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1.09</w:t>
            </w:r>
          </w:p>
        </w:tc>
        <w:tc>
          <w:tcPr>
            <w:tcW w:w="1275" w:type="dxa"/>
            <w:tcBorders>
              <w:top w:val="nil"/>
              <w:left w:val="nil"/>
              <w:bottom w:val="nil"/>
              <w:right w:val="nil"/>
            </w:tcBorders>
            <w:shd w:val="clear" w:color="auto" w:fill="auto"/>
            <w:noWrap/>
            <w:vAlign w:val="bottom"/>
            <w:hideMark/>
          </w:tcPr>
          <w:p w14:paraId="3592598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0.15</w:t>
            </w:r>
          </w:p>
        </w:tc>
      </w:tr>
      <w:tr w:rsidR="00961617" w:rsidRPr="0076418A" w14:paraId="0EA07198"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3787326E"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275</w:t>
            </w:r>
          </w:p>
        </w:tc>
        <w:tc>
          <w:tcPr>
            <w:tcW w:w="1193" w:type="dxa"/>
            <w:tcBorders>
              <w:top w:val="nil"/>
              <w:left w:val="nil"/>
              <w:bottom w:val="nil"/>
              <w:right w:val="nil"/>
            </w:tcBorders>
            <w:shd w:val="clear" w:color="auto" w:fill="E5E5E5" w:themeFill="background1" w:themeFillTint="33"/>
            <w:noWrap/>
            <w:vAlign w:val="bottom"/>
            <w:hideMark/>
          </w:tcPr>
          <w:p w14:paraId="58A67F0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0.08</w:t>
            </w:r>
          </w:p>
        </w:tc>
        <w:tc>
          <w:tcPr>
            <w:tcW w:w="1217" w:type="dxa"/>
            <w:tcBorders>
              <w:top w:val="nil"/>
              <w:left w:val="nil"/>
              <w:bottom w:val="nil"/>
              <w:right w:val="nil"/>
            </w:tcBorders>
            <w:shd w:val="clear" w:color="auto" w:fill="E5E5E5" w:themeFill="background1" w:themeFillTint="33"/>
            <w:noWrap/>
            <w:vAlign w:val="bottom"/>
            <w:hideMark/>
          </w:tcPr>
          <w:p w14:paraId="0664EE7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0.05</w:t>
            </w:r>
          </w:p>
        </w:tc>
        <w:tc>
          <w:tcPr>
            <w:tcW w:w="1134" w:type="dxa"/>
            <w:tcBorders>
              <w:top w:val="nil"/>
              <w:left w:val="nil"/>
              <w:bottom w:val="nil"/>
              <w:right w:val="nil"/>
            </w:tcBorders>
            <w:shd w:val="clear" w:color="auto" w:fill="E5E5E5" w:themeFill="background1" w:themeFillTint="33"/>
            <w:noWrap/>
            <w:vAlign w:val="bottom"/>
            <w:hideMark/>
          </w:tcPr>
          <w:p w14:paraId="691C1AE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0.46</w:t>
            </w:r>
          </w:p>
        </w:tc>
        <w:tc>
          <w:tcPr>
            <w:tcW w:w="1276" w:type="dxa"/>
            <w:tcBorders>
              <w:top w:val="nil"/>
              <w:left w:val="nil"/>
              <w:bottom w:val="nil"/>
              <w:right w:val="nil"/>
            </w:tcBorders>
            <w:shd w:val="clear" w:color="auto" w:fill="E5E5E5" w:themeFill="background1" w:themeFillTint="33"/>
            <w:noWrap/>
            <w:vAlign w:val="bottom"/>
            <w:hideMark/>
          </w:tcPr>
          <w:p w14:paraId="7641C09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0.10</w:t>
            </w:r>
          </w:p>
        </w:tc>
        <w:tc>
          <w:tcPr>
            <w:tcW w:w="1134" w:type="dxa"/>
            <w:tcBorders>
              <w:top w:val="nil"/>
              <w:left w:val="nil"/>
              <w:bottom w:val="nil"/>
              <w:right w:val="nil"/>
            </w:tcBorders>
            <w:shd w:val="clear" w:color="auto" w:fill="E5E5E5" w:themeFill="background1" w:themeFillTint="33"/>
            <w:noWrap/>
            <w:vAlign w:val="bottom"/>
            <w:hideMark/>
          </w:tcPr>
          <w:p w14:paraId="5385B65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1.23</w:t>
            </w:r>
          </w:p>
        </w:tc>
        <w:tc>
          <w:tcPr>
            <w:tcW w:w="1275" w:type="dxa"/>
            <w:tcBorders>
              <w:top w:val="nil"/>
              <w:left w:val="nil"/>
              <w:bottom w:val="nil"/>
              <w:right w:val="nil"/>
            </w:tcBorders>
            <w:shd w:val="clear" w:color="auto" w:fill="E5E5E5" w:themeFill="background1" w:themeFillTint="33"/>
            <w:noWrap/>
            <w:vAlign w:val="bottom"/>
            <w:hideMark/>
          </w:tcPr>
          <w:p w14:paraId="4BB234C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0.16</w:t>
            </w:r>
          </w:p>
        </w:tc>
      </w:tr>
      <w:tr w:rsidR="00961617" w:rsidRPr="0076418A" w14:paraId="4FEFB0EF" w14:textId="77777777" w:rsidTr="0020771F">
        <w:trPr>
          <w:trHeight w:val="288"/>
        </w:trPr>
        <w:tc>
          <w:tcPr>
            <w:tcW w:w="724" w:type="dxa"/>
            <w:tcBorders>
              <w:top w:val="nil"/>
              <w:left w:val="nil"/>
              <w:bottom w:val="nil"/>
              <w:right w:val="nil"/>
            </w:tcBorders>
            <w:shd w:val="clear" w:color="auto" w:fill="auto"/>
            <w:noWrap/>
            <w:vAlign w:val="bottom"/>
            <w:hideMark/>
          </w:tcPr>
          <w:p w14:paraId="3C3294E2"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300</w:t>
            </w:r>
          </w:p>
        </w:tc>
        <w:tc>
          <w:tcPr>
            <w:tcW w:w="1193" w:type="dxa"/>
            <w:tcBorders>
              <w:top w:val="nil"/>
              <w:left w:val="nil"/>
              <w:bottom w:val="nil"/>
              <w:right w:val="nil"/>
            </w:tcBorders>
            <w:shd w:val="clear" w:color="auto" w:fill="auto"/>
            <w:noWrap/>
            <w:vAlign w:val="bottom"/>
            <w:hideMark/>
          </w:tcPr>
          <w:p w14:paraId="7B86729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0.09</w:t>
            </w:r>
          </w:p>
        </w:tc>
        <w:tc>
          <w:tcPr>
            <w:tcW w:w="1217" w:type="dxa"/>
            <w:tcBorders>
              <w:top w:val="nil"/>
              <w:left w:val="nil"/>
              <w:bottom w:val="nil"/>
              <w:right w:val="nil"/>
            </w:tcBorders>
            <w:shd w:val="clear" w:color="auto" w:fill="auto"/>
            <w:noWrap/>
            <w:vAlign w:val="bottom"/>
            <w:hideMark/>
          </w:tcPr>
          <w:p w14:paraId="6FE64E6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0.06</w:t>
            </w:r>
          </w:p>
        </w:tc>
        <w:tc>
          <w:tcPr>
            <w:tcW w:w="1134" w:type="dxa"/>
            <w:tcBorders>
              <w:top w:val="nil"/>
              <w:left w:val="nil"/>
              <w:bottom w:val="nil"/>
              <w:right w:val="nil"/>
            </w:tcBorders>
            <w:shd w:val="clear" w:color="auto" w:fill="auto"/>
            <w:noWrap/>
            <w:vAlign w:val="bottom"/>
            <w:hideMark/>
          </w:tcPr>
          <w:p w14:paraId="715A15D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0.46</w:t>
            </w:r>
          </w:p>
        </w:tc>
        <w:tc>
          <w:tcPr>
            <w:tcW w:w="1276" w:type="dxa"/>
            <w:tcBorders>
              <w:top w:val="nil"/>
              <w:left w:val="nil"/>
              <w:bottom w:val="nil"/>
              <w:right w:val="nil"/>
            </w:tcBorders>
            <w:shd w:val="clear" w:color="auto" w:fill="auto"/>
            <w:noWrap/>
            <w:vAlign w:val="bottom"/>
            <w:hideMark/>
          </w:tcPr>
          <w:p w14:paraId="2804A5E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0.11</w:t>
            </w:r>
          </w:p>
        </w:tc>
        <w:tc>
          <w:tcPr>
            <w:tcW w:w="1134" w:type="dxa"/>
            <w:tcBorders>
              <w:top w:val="nil"/>
              <w:left w:val="nil"/>
              <w:bottom w:val="nil"/>
              <w:right w:val="nil"/>
            </w:tcBorders>
            <w:shd w:val="clear" w:color="auto" w:fill="auto"/>
            <w:noWrap/>
            <w:vAlign w:val="bottom"/>
            <w:hideMark/>
          </w:tcPr>
          <w:p w14:paraId="555D962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1.28</w:t>
            </w:r>
          </w:p>
        </w:tc>
        <w:tc>
          <w:tcPr>
            <w:tcW w:w="1275" w:type="dxa"/>
            <w:tcBorders>
              <w:top w:val="nil"/>
              <w:left w:val="nil"/>
              <w:bottom w:val="nil"/>
              <w:right w:val="nil"/>
            </w:tcBorders>
            <w:shd w:val="clear" w:color="auto" w:fill="auto"/>
            <w:noWrap/>
            <w:vAlign w:val="bottom"/>
            <w:hideMark/>
          </w:tcPr>
          <w:p w14:paraId="02569DC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0.17</w:t>
            </w:r>
          </w:p>
        </w:tc>
      </w:tr>
      <w:tr w:rsidR="00961617" w:rsidRPr="0076418A" w14:paraId="5102899F"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3963B24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325</w:t>
            </w:r>
          </w:p>
        </w:tc>
        <w:tc>
          <w:tcPr>
            <w:tcW w:w="1193" w:type="dxa"/>
            <w:tcBorders>
              <w:top w:val="nil"/>
              <w:left w:val="nil"/>
              <w:bottom w:val="nil"/>
              <w:right w:val="nil"/>
            </w:tcBorders>
            <w:shd w:val="clear" w:color="auto" w:fill="E5E5E5" w:themeFill="background1" w:themeFillTint="33"/>
            <w:noWrap/>
            <w:vAlign w:val="bottom"/>
            <w:hideMark/>
          </w:tcPr>
          <w:p w14:paraId="40BACBB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0.10</w:t>
            </w:r>
          </w:p>
        </w:tc>
        <w:tc>
          <w:tcPr>
            <w:tcW w:w="1217" w:type="dxa"/>
            <w:tcBorders>
              <w:top w:val="nil"/>
              <w:left w:val="nil"/>
              <w:bottom w:val="nil"/>
              <w:right w:val="nil"/>
            </w:tcBorders>
            <w:shd w:val="clear" w:color="auto" w:fill="E5E5E5" w:themeFill="background1" w:themeFillTint="33"/>
            <w:noWrap/>
            <w:vAlign w:val="bottom"/>
            <w:hideMark/>
          </w:tcPr>
          <w:p w14:paraId="5925423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0.06</w:t>
            </w:r>
          </w:p>
        </w:tc>
        <w:tc>
          <w:tcPr>
            <w:tcW w:w="1134" w:type="dxa"/>
            <w:tcBorders>
              <w:top w:val="nil"/>
              <w:left w:val="nil"/>
              <w:bottom w:val="nil"/>
              <w:right w:val="nil"/>
            </w:tcBorders>
            <w:shd w:val="clear" w:color="auto" w:fill="E5E5E5" w:themeFill="background1" w:themeFillTint="33"/>
            <w:noWrap/>
            <w:vAlign w:val="bottom"/>
            <w:hideMark/>
          </w:tcPr>
          <w:p w14:paraId="0569BD3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0.46</w:t>
            </w:r>
          </w:p>
        </w:tc>
        <w:tc>
          <w:tcPr>
            <w:tcW w:w="1276" w:type="dxa"/>
            <w:tcBorders>
              <w:top w:val="nil"/>
              <w:left w:val="nil"/>
              <w:bottom w:val="nil"/>
              <w:right w:val="nil"/>
            </w:tcBorders>
            <w:shd w:val="clear" w:color="auto" w:fill="E5E5E5" w:themeFill="background1" w:themeFillTint="33"/>
            <w:noWrap/>
            <w:vAlign w:val="bottom"/>
            <w:hideMark/>
          </w:tcPr>
          <w:p w14:paraId="448D28F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0.11</w:t>
            </w:r>
          </w:p>
        </w:tc>
        <w:tc>
          <w:tcPr>
            <w:tcW w:w="1134" w:type="dxa"/>
            <w:tcBorders>
              <w:top w:val="nil"/>
              <w:left w:val="nil"/>
              <w:bottom w:val="nil"/>
              <w:right w:val="nil"/>
            </w:tcBorders>
            <w:shd w:val="clear" w:color="auto" w:fill="E5E5E5" w:themeFill="background1" w:themeFillTint="33"/>
            <w:noWrap/>
            <w:vAlign w:val="bottom"/>
            <w:hideMark/>
          </w:tcPr>
          <w:p w14:paraId="7669963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1.28</w:t>
            </w:r>
          </w:p>
        </w:tc>
        <w:tc>
          <w:tcPr>
            <w:tcW w:w="1275" w:type="dxa"/>
            <w:tcBorders>
              <w:top w:val="nil"/>
              <w:left w:val="nil"/>
              <w:bottom w:val="nil"/>
              <w:right w:val="nil"/>
            </w:tcBorders>
            <w:shd w:val="clear" w:color="auto" w:fill="E5E5E5" w:themeFill="background1" w:themeFillTint="33"/>
            <w:noWrap/>
            <w:vAlign w:val="bottom"/>
            <w:hideMark/>
          </w:tcPr>
          <w:p w14:paraId="4BB3EFC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0.18</w:t>
            </w:r>
          </w:p>
        </w:tc>
      </w:tr>
      <w:tr w:rsidR="00961617" w:rsidRPr="0076418A" w14:paraId="1F811481" w14:textId="77777777" w:rsidTr="0020771F">
        <w:trPr>
          <w:trHeight w:val="288"/>
        </w:trPr>
        <w:tc>
          <w:tcPr>
            <w:tcW w:w="724" w:type="dxa"/>
            <w:tcBorders>
              <w:top w:val="nil"/>
              <w:left w:val="nil"/>
              <w:bottom w:val="nil"/>
              <w:right w:val="nil"/>
            </w:tcBorders>
            <w:shd w:val="clear" w:color="auto" w:fill="auto"/>
            <w:noWrap/>
            <w:vAlign w:val="bottom"/>
            <w:hideMark/>
          </w:tcPr>
          <w:p w14:paraId="69667AEA"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350</w:t>
            </w:r>
          </w:p>
        </w:tc>
        <w:tc>
          <w:tcPr>
            <w:tcW w:w="1193" w:type="dxa"/>
            <w:tcBorders>
              <w:top w:val="nil"/>
              <w:left w:val="nil"/>
              <w:bottom w:val="nil"/>
              <w:right w:val="nil"/>
            </w:tcBorders>
            <w:shd w:val="clear" w:color="auto" w:fill="auto"/>
            <w:noWrap/>
            <w:vAlign w:val="bottom"/>
            <w:hideMark/>
          </w:tcPr>
          <w:p w14:paraId="1B86614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15.87</w:t>
            </w:r>
          </w:p>
        </w:tc>
        <w:tc>
          <w:tcPr>
            <w:tcW w:w="1217" w:type="dxa"/>
            <w:tcBorders>
              <w:top w:val="nil"/>
              <w:left w:val="nil"/>
              <w:bottom w:val="nil"/>
              <w:right w:val="nil"/>
            </w:tcBorders>
            <w:shd w:val="clear" w:color="auto" w:fill="auto"/>
            <w:noWrap/>
            <w:vAlign w:val="bottom"/>
            <w:hideMark/>
          </w:tcPr>
          <w:p w14:paraId="0D4E23A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15.54</w:t>
            </w:r>
          </w:p>
        </w:tc>
        <w:tc>
          <w:tcPr>
            <w:tcW w:w="1134" w:type="dxa"/>
            <w:tcBorders>
              <w:top w:val="nil"/>
              <w:left w:val="nil"/>
              <w:bottom w:val="nil"/>
              <w:right w:val="nil"/>
            </w:tcBorders>
            <w:shd w:val="clear" w:color="auto" w:fill="auto"/>
            <w:noWrap/>
            <w:vAlign w:val="bottom"/>
            <w:hideMark/>
          </w:tcPr>
          <w:p w14:paraId="09BA8F1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13.65</w:t>
            </w:r>
          </w:p>
        </w:tc>
        <w:tc>
          <w:tcPr>
            <w:tcW w:w="1276" w:type="dxa"/>
            <w:tcBorders>
              <w:top w:val="nil"/>
              <w:left w:val="nil"/>
              <w:bottom w:val="nil"/>
              <w:right w:val="nil"/>
            </w:tcBorders>
            <w:shd w:val="clear" w:color="auto" w:fill="auto"/>
            <w:noWrap/>
            <w:vAlign w:val="bottom"/>
            <w:hideMark/>
          </w:tcPr>
          <w:p w14:paraId="5511366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15.62</w:t>
            </w:r>
          </w:p>
        </w:tc>
        <w:tc>
          <w:tcPr>
            <w:tcW w:w="1134" w:type="dxa"/>
            <w:tcBorders>
              <w:top w:val="nil"/>
              <w:left w:val="nil"/>
              <w:bottom w:val="nil"/>
              <w:right w:val="nil"/>
            </w:tcBorders>
            <w:shd w:val="clear" w:color="auto" w:fill="auto"/>
            <w:noWrap/>
            <w:vAlign w:val="bottom"/>
            <w:hideMark/>
          </w:tcPr>
          <w:p w14:paraId="1060283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1.94</w:t>
            </w:r>
          </w:p>
        </w:tc>
        <w:tc>
          <w:tcPr>
            <w:tcW w:w="1275" w:type="dxa"/>
            <w:tcBorders>
              <w:top w:val="nil"/>
              <w:left w:val="nil"/>
              <w:bottom w:val="nil"/>
              <w:right w:val="nil"/>
            </w:tcBorders>
            <w:shd w:val="clear" w:color="auto" w:fill="auto"/>
            <w:noWrap/>
            <w:vAlign w:val="bottom"/>
            <w:hideMark/>
          </w:tcPr>
          <w:p w14:paraId="53F2AA6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14.89</w:t>
            </w:r>
          </w:p>
        </w:tc>
      </w:tr>
      <w:tr w:rsidR="00961617" w:rsidRPr="0076418A" w14:paraId="16E98574"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35FC6AD6"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375</w:t>
            </w:r>
          </w:p>
        </w:tc>
        <w:tc>
          <w:tcPr>
            <w:tcW w:w="1193" w:type="dxa"/>
            <w:tcBorders>
              <w:top w:val="nil"/>
              <w:left w:val="nil"/>
              <w:bottom w:val="nil"/>
              <w:right w:val="nil"/>
            </w:tcBorders>
            <w:shd w:val="clear" w:color="auto" w:fill="E5E5E5" w:themeFill="background1" w:themeFillTint="33"/>
            <w:noWrap/>
            <w:vAlign w:val="bottom"/>
            <w:hideMark/>
          </w:tcPr>
          <w:p w14:paraId="2F9B62A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49.69</w:t>
            </w:r>
          </w:p>
        </w:tc>
        <w:tc>
          <w:tcPr>
            <w:tcW w:w="1217" w:type="dxa"/>
            <w:tcBorders>
              <w:top w:val="nil"/>
              <w:left w:val="nil"/>
              <w:bottom w:val="nil"/>
              <w:right w:val="nil"/>
            </w:tcBorders>
            <w:shd w:val="clear" w:color="auto" w:fill="E5E5E5" w:themeFill="background1" w:themeFillTint="33"/>
            <w:noWrap/>
            <w:vAlign w:val="bottom"/>
            <w:hideMark/>
          </w:tcPr>
          <w:p w14:paraId="772411A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50.94</w:t>
            </w:r>
          </w:p>
        </w:tc>
        <w:tc>
          <w:tcPr>
            <w:tcW w:w="1134" w:type="dxa"/>
            <w:tcBorders>
              <w:top w:val="nil"/>
              <w:left w:val="nil"/>
              <w:bottom w:val="nil"/>
              <w:right w:val="nil"/>
            </w:tcBorders>
            <w:shd w:val="clear" w:color="auto" w:fill="E5E5E5" w:themeFill="background1" w:themeFillTint="33"/>
            <w:noWrap/>
            <w:vAlign w:val="bottom"/>
            <w:hideMark/>
          </w:tcPr>
          <w:p w14:paraId="3DC733D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51.26</w:t>
            </w:r>
          </w:p>
        </w:tc>
        <w:tc>
          <w:tcPr>
            <w:tcW w:w="1276" w:type="dxa"/>
            <w:tcBorders>
              <w:top w:val="nil"/>
              <w:left w:val="nil"/>
              <w:bottom w:val="nil"/>
              <w:right w:val="nil"/>
            </w:tcBorders>
            <w:shd w:val="clear" w:color="auto" w:fill="E5E5E5" w:themeFill="background1" w:themeFillTint="33"/>
            <w:noWrap/>
            <w:vAlign w:val="bottom"/>
            <w:hideMark/>
          </w:tcPr>
          <w:p w14:paraId="1E1C09F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50.13</w:t>
            </w:r>
          </w:p>
        </w:tc>
        <w:tc>
          <w:tcPr>
            <w:tcW w:w="1134" w:type="dxa"/>
            <w:tcBorders>
              <w:top w:val="nil"/>
              <w:left w:val="nil"/>
              <w:bottom w:val="nil"/>
              <w:right w:val="nil"/>
            </w:tcBorders>
            <w:shd w:val="clear" w:color="auto" w:fill="E5E5E5" w:themeFill="background1" w:themeFillTint="33"/>
            <w:noWrap/>
            <w:vAlign w:val="bottom"/>
            <w:hideMark/>
          </w:tcPr>
          <w:p w14:paraId="34B7C45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3.50</w:t>
            </w:r>
          </w:p>
        </w:tc>
        <w:tc>
          <w:tcPr>
            <w:tcW w:w="1275" w:type="dxa"/>
            <w:tcBorders>
              <w:top w:val="nil"/>
              <w:left w:val="nil"/>
              <w:bottom w:val="nil"/>
              <w:right w:val="nil"/>
            </w:tcBorders>
            <w:shd w:val="clear" w:color="auto" w:fill="E5E5E5" w:themeFill="background1" w:themeFillTint="33"/>
            <w:noWrap/>
            <w:vAlign w:val="bottom"/>
            <w:hideMark/>
          </w:tcPr>
          <w:p w14:paraId="08F4158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47.67</w:t>
            </w:r>
          </w:p>
        </w:tc>
      </w:tr>
      <w:tr w:rsidR="00961617" w:rsidRPr="0076418A" w14:paraId="3E931CDF" w14:textId="77777777" w:rsidTr="0020771F">
        <w:trPr>
          <w:trHeight w:val="288"/>
        </w:trPr>
        <w:tc>
          <w:tcPr>
            <w:tcW w:w="724" w:type="dxa"/>
            <w:tcBorders>
              <w:top w:val="nil"/>
              <w:left w:val="nil"/>
              <w:bottom w:val="nil"/>
              <w:right w:val="nil"/>
            </w:tcBorders>
            <w:shd w:val="clear" w:color="auto" w:fill="auto"/>
            <w:noWrap/>
            <w:vAlign w:val="bottom"/>
            <w:hideMark/>
          </w:tcPr>
          <w:p w14:paraId="17B15E3A"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400</w:t>
            </w:r>
          </w:p>
        </w:tc>
        <w:tc>
          <w:tcPr>
            <w:tcW w:w="1193" w:type="dxa"/>
            <w:tcBorders>
              <w:top w:val="nil"/>
              <w:left w:val="nil"/>
              <w:bottom w:val="nil"/>
              <w:right w:val="nil"/>
            </w:tcBorders>
            <w:shd w:val="clear" w:color="auto" w:fill="auto"/>
            <w:noWrap/>
            <w:vAlign w:val="bottom"/>
            <w:hideMark/>
          </w:tcPr>
          <w:p w14:paraId="0A789B8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64.69</w:t>
            </w:r>
          </w:p>
        </w:tc>
        <w:tc>
          <w:tcPr>
            <w:tcW w:w="1217" w:type="dxa"/>
            <w:tcBorders>
              <w:top w:val="nil"/>
              <w:left w:val="nil"/>
              <w:bottom w:val="nil"/>
              <w:right w:val="nil"/>
            </w:tcBorders>
            <w:shd w:val="clear" w:color="auto" w:fill="auto"/>
            <w:noWrap/>
            <w:vAlign w:val="bottom"/>
            <w:hideMark/>
          </w:tcPr>
          <w:p w14:paraId="4FF4712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67.69</w:t>
            </w:r>
          </w:p>
        </w:tc>
        <w:tc>
          <w:tcPr>
            <w:tcW w:w="1134" w:type="dxa"/>
            <w:tcBorders>
              <w:top w:val="nil"/>
              <w:left w:val="nil"/>
              <w:bottom w:val="nil"/>
              <w:right w:val="nil"/>
            </w:tcBorders>
            <w:shd w:val="clear" w:color="auto" w:fill="auto"/>
            <w:noWrap/>
            <w:vAlign w:val="bottom"/>
            <w:hideMark/>
          </w:tcPr>
          <w:p w14:paraId="6FA695F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69.73</w:t>
            </w:r>
          </w:p>
        </w:tc>
        <w:tc>
          <w:tcPr>
            <w:tcW w:w="1276" w:type="dxa"/>
            <w:tcBorders>
              <w:top w:val="nil"/>
              <w:left w:val="nil"/>
              <w:bottom w:val="nil"/>
              <w:right w:val="nil"/>
            </w:tcBorders>
            <w:shd w:val="clear" w:color="auto" w:fill="auto"/>
            <w:noWrap/>
            <w:vAlign w:val="bottom"/>
            <w:hideMark/>
          </w:tcPr>
          <w:p w14:paraId="64D46E5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65.86</w:t>
            </w:r>
          </w:p>
        </w:tc>
        <w:tc>
          <w:tcPr>
            <w:tcW w:w="1134" w:type="dxa"/>
            <w:tcBorders>
              <w:top w:val="nil"/>
              <w:left w:val="nil"/>
              <w:bottom w:val="nil"/>
              <w:right w:val="nil"/>
            </w:tcBorders>
            <w:shd w:val="clear" w:color="auto" w:fill="auto"/>
            <w:noWrap/>
            <w:vAlign w:val="bottom"/>
            <w:hideMark/>
          </w:tcPr>
          <w:p w14:paraId="449AB7D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16.88</w:t>
            </w:r>
          </w:p>
        </w:tc>
        <w:tc>
          <w:tcPr>
            <w:tcW w:w="1275" w:type="dxa"/>
            <w:tcBorders>
              <w:top w:val="nil"/>
              <w:left w:val="nil"/>
              <w:bottom w:val="nil"/>
              <w:right w:val="nil"/>
            </w:tcBorders>
            <w:shd w:val="clear" w:color="auto" w:fill="auto"/>
            <w:noWrap/>
            <w:vAlign w:val="bottom"/>
            <w:hideMark/>
          </w:tcPr>
          <w:p w14:paraId="7E8B3C3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63.27</w:t>
            </w:r>
          </w:p>
        </w:tc>
      </w:tr>
      <w:tr w:rsidR="00961617" w:rsidRPr="0076418A" w14:paraId="6FD51F1D"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2CC764B7"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425</w:t>
            </w:r>
          </w:p>
        </w:tc>
        <w:tc>
          <w:tcPr>
            <w:tcW w:w="1193" w:type="dxa"/>
            <w:tcBorders>
              <w:top w:val="nil"/>
              <w:left w:val="nil"/>
              <w:bottom w:val="nil"/>
              <w:right w:val="nil"/>
            </w:tcBorders>
            <w:shd w:val="clear" w:color="auto" w:fill="E5E5E5" w:themeFill="background1" w:themeFillTint="33"/>
            <w:noWrap/>
            <w:vAlign w:val="bottom"/>
            <w:hideMark/>
          </w:tcPr>
          <w:p w14:paraId="786F81D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71.71</w:t>
            </w:r>
          </w:p>
        </w:tc>
        <w:tc>
          <w:tcPr>
            <w:tcW w:w="1217" w:type="dxa"/>
            <w:tcBorders>
              <w:top w:val="nil"/>
              <w:left w:val="nil"/>
              <w:bottom w:val="nil"/>
              <w:right w:val="nil"/>
            </w:tcBorders>
            <w:shd w:val="clear" w:color="auto" w:fill="E5E5E5" w:themeFill="background1" w:themeFillTint="33"/>
            <w:noWrap/>
            <w:vAlign w:val="bottom"/>
            <w:hideMark/>
          </w:tcPr>
          <w:p w14:paraId="68D417C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75.45</w:t>
            </w:r>
          </w:p>
        </w:tc>
        <w:tc>
          <w:tcPr>
            <w:tcW w:w="1134" w:type="dxa"/>
            <w:tcBorders>
              <w:top w:val="nil"/>
              <w:left w:val="nil"/>
              <w:bottom w:val="nil"/>
              <w:right w:val="nil"/>
            </w:tcBorders>
            <w:shd w:val="clear" w:color="auto" w:fill="E5E5E5" w:themeFill="background1" w:themeFillTint="33"/>
            <w:noWrap/>
            <w:vAlign w:val="bottom"/>
            <w:hideMark/>
          </w:tcPr>
          <w:p w14:paraId="2B9FFF1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78.94</w:t>
            </w:r>
          </w:p>
        </w:tc>
        <w:tc>
          <w:tcPr>
            <w:tcW w:w="1276" w:type="dxa"/>
            <w:tcBorders>
              <w:top w:val="nil"/>
              <w:left w:val="nil"/>
              <w:bottom w:val="nil"/>
              <w:right w:val="nil"/>
            </w:tcBorders>
            <w:shd w:val="clear" w:color="auto" w:fill="E5E5E5" w:themeFill="background1" w:themeFillTint="33"/>
            <w:noWrap/>
            <w:vAlign w:val="bottom"/>
            <w:hideMark/>
          </w:tcPr>
          <w:p w14:paraId="3409BCC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73.24</w:t>
            </w:r>
          </w:p>
        </w:tc>
        <w:tc>
          <w:tcPr>
            <w:tcW w:w="1134" w:type="dxa"/>
            <w:tcBorders>
              <w:top w:val="nil"/>
              <w:left w:val="nil"/>
              <w:bottom w:val="nil"/>
              <w:right w:val="nil"/>
            </w:tcBorders>
            <w:shd w:val="clear" w:color="auto" w:fill="E5E5E5" w:themeFill="background1" w:themeFillTint="33"/>
            <w:noWrap/>
            <w:vAlign w:val="bottom"/>
            <w:hideMark/>
          </w:tcPr>
          <w:p w14:paraId="749B99D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33.00</w:t>
            </w:r>
          </w:p>
        </w:tc>
        <w:tc>
          <w:tcPr>
            <w:tcW w:w="1275" w:type="dxa"/>
            <w:tcBorders>
              <w:top w:val="nil"/>
              <w:left w:val="nil"/>
              <w:bottom w:val="nil"/>
              <w:right w:val="nil"/>
            </w:tcBorders>
            <w:shd w:val="clear" w:color="auto" w:fill="E5E5E5" w:themeFill="background1" w:themeFillTint="33"/>
            <w:noWrap/>
            <w:vAlign w:val="bottom"/>
            <w:hideMark/>
          </w:tcPr>
          <w:p w14:paraId="106AE4B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71.11</w:t>
            </w:r>
          </w:p>
        </w:tc>
      </w:tr>
      <w:tr w:rsidR="00961617" w:rsidRPr="0076418A" w14:paraId="332A755E" w14:textId="77777777" w:rsidTr="0020771F">
        <w:trPr>
          <w:trHeight w:val="288"/>
        </w:trPr>
        <w:tc>
          <w:tcPr>
            <w:tcW w:w="724" w:type="dxa"/>
            <w:tcBorders>
              <w:top w:val="nil"/>
              <w:left w:val="nil"/>
              <w:bottom w:val="nil"/>
              <w:right w:val="nil"/>
            </w:tcBorders>
            <w:shd w:val="clear" w:color="auto" w:fill="auto"/>
            <w:noWrap/>
            <w:vAlign w:val="bottom"/>
            <w:hideMark/>
          </w:tcPr>
          <w:p w14:paraId="5E17852F"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450</w:t>
            </w:r>
          </w:p>
        </w:tc>
        <w:tc>
          <w:tcPr>
            <w:tcW w:w="1193" w:type="dxa"/>
            <w:tcBorders>
              <w:top w:val="nil"/>
              <w:left w:val="nil"/>
              <w:bottom w:val="nil"/>
              <w:right w:val="nil"/>
            </w:tcBorders>
            <w:shd w:val="clear" w:color="auto" w:fill="auto"/>
            <w:noWrap/>
            <w:vAlign w:val="bottom"/>
            <w:hideMark/>
          </w:tcPr>
          <w:p w14:paraId="475D3A6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75.81</w:t>
            </w:r>
          </w:p>
        </w:tc>
        <w:tc>
          <w:tcPr>
            <w:tcW w:w="1217" w:type="dxa"/>
            <w:tcBorders>
              <w:top w:val="nil"/>
              <w:left w:val="nil"/>
              <w:bottom w:val="nil"/>
              <w:right w:val="nil"/>
            </w:tcBorders>
            <w:shd w:val="clear" w:color="auto" w:fill="auto"/>
            <w:noWrap/>
            <w:vAlign w:val="bottom"/>
            <w:hideMark/>
          </w:tcPr>
          <w:p w14:paraId="5E969BE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79.45</w:t>
            </w:r>
          </w:p>
        </w:tc>
        <w:tc>
          <w:tcPr>
            <w:tcW w:w="1134" w:type="dxa"/>
            <w:tcBorders>
              <w:top w:val="nil"/>
              <w:left w:val="nil"/>
              <w:bottom w:val="nil"/>
              <w:right w:val="nil"/>
            </w:tcBorders>
            <w:shd w:val="clear" w:color="auto" w:fill="auto"/>
            <w:noWrap/>
            <w:vAlign w:val="bottom"/>
            <w:hideMark/>
          </w:tcPr>
          <w:p w14:paraId="52E8750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83.16</w:t>
            </w:r>
          </w:p>
        </w:tc>
        <w:tc>
          <w:tcPr>
            <w:tcW w:w="1276" w:type="dxa"/>
            <w:tcBorders>
              <w:top w:val="nil"/>
              <w:left w:val="nil"/>
              <w:bottom w:val="nil"/>
              <w:right w:val="nil"/>
            </w:tcBorders>
            <w:shd w:val="clear" w:color="auto" w:fill="auto"/>
            <w:noWrap/>
            <w:vAlign w:val="bottom"/>
            <w:hideMark/>
          </w:tcPr>
          <w:p w14:paraId="3ADEE55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77.31</w:t>
            </w:r>
          </w:p>
        </w:tc>
        <w:tc>
          <w:tcPr>
            <w:tcW w:w="1134" w:type="dxa"/>
            <w:tcBorders>
              <w:top w:val="nil"/>
              <w:left w:val="nil"/>
              <w:bottom w:val="nil"/>
              <w:right w:val="nil"/>
            </w:tcBorders>
            <w:shd w:val="clear" w:color="auto" w:fill="auto"/>
            <w:noWrap/>
            <w:vAlign w:val="bottom"/>
            <w:hideMark/>
          </w:tcPr>
          <w:p w14:paraId="1410F2E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44.21</w:t>
            </w:r>
          </w:p>
        </w:tc>
        <w:tc>
          <w:tcPr>
            <w:tcW w:w="1275" w:type="dxa"/>
            <w:tcBorders>
              <w:top w:val="nil"/>
              <w:left w:val="nil"/>
              <w:bottom w:val="nil"/>
              <w:right w:val="nil"/>
            </w:tcBorders>
            <w:shd w:val="clear" w:color="auto" w:fill="auto"/>
            <w:noWrap/>
            <w:vAlign w:val="bottom"/>
            <w:hideMark/>
          </w:tcPr>
          <w:p w14:paraId="6942650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75.56</w:t>
            </w:r>
          </w:p>
        </w:tc>
      </w:tr>
      <w:tr w:rsidR="00961617" w:rsidRPr="0076418A" w14:paraId="1E4763C0"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7EE556FC"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475</w:t>
            </w:r>
          </w:p>
        </w:tc>
        <w:tc>
          <w:tcPr>
            <w:tcW w:w="1193" w:type="dxa"/>
            <w:tcBorders>
              <w:top w:val="nil"/>
              <w:left w:val="nil"/>
              <w:bottom w:val="nil"/>
              <w:right w:val="nil"/>
            </w:tcBorders>
            <w:shd w:val="clear" w:color="auto" w:fill="E5E5E5" w:themeFill="background1" w:themeFillTint="33"/>
            <w:noWrap/>
            <w:vAlign w:val="bottom"/>
            <w:hideMark/>
          </w:tcPr>
          <w:p w14:paraId="3F46F87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78.61</w:t>
            </w:r>
          </w:p>
        </w:tc>
        <w:tc>
          <w:tcPr>
            <w:tcW w:w="1217" w:type="dxa"/>
            <w:tcBorders>
              <w:top w:val="nil"/>
              <w:left w:val="nil"/>
              <w:bottom w:val="nil"/>
              <w:right w:val="nil"/>
            </w:tcBorders>
            <w:shd w:val="clear" w:color="auto" w:fill="E5E5E5" w:themeFill="background1" w:themeFillTint="33"/>
            <w:noWrap/>
            <w:vAlign w:val="bottom"/>
            <w:hideMark/>
          </w:tcPr>
          <w:p w14:paraId="20B6848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82.30</w:t>
            </w:r>
          </w:p>
        </w:tc>
        <w:tc>
          <w:tcPr>
            <w:tcW w:w="1134" w:type="dxa"/>
            <w:tcBorders>
              <w:top w:val="nil"/>
              <w:left w:val="nil"/>
              <w:bottom w:val="nil"/>
              <w:right w:val="nil"/>
            </w:tcBorders>
            <w:shd w:val="clear" w:color="auto" w:fill="E5E5E5" w:themeFill="background1" w:themeFillTint="33"/>
            <w:noWrap/>
            <w:vAlign w:val="bottom"/>
            <w:hideMark/>
          </w:tcPr>
          <w:p w14:paraId="1507420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86.14</w:t>
            </w:r>
          </w:p>
        </w:tc>
        <w:tc>
          <w:tcPr>
            <w:tcW w:w="1276" w:type="dxa"/>
            <w:tcBorders>
              <w:top w:val="nil"/>
              <w:left w:val="nil"/>
              <w:bottom w:val="nil"/>
              <w:right w:val="nil"/>
            </w:tcBorders>
            <w:shd w:val="clear" w:color="auto" w:fill="E5E5E5" w:themeFill="background1" w:themeFillTint="33"/>
            <w:noWrap/>
            <w:vAlign w:val="bottom"/>
            <w:hideMark/>
          </w:tcPr>
          <w:p w14:paraId="527DD51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80.14</w:t>
            </w:r>
          </w:p>
        </w:tc>
        <w:tc>
          <w:tcPr>
            <w:tcW w:w="1134" w:type="dxa"/>
            <w:tcBorders>
              <w:top w:val="nil"/>
              <w:left w:val="nil"/>
              <w:bottom w:val="nil"/>
              <w:right w:val="nil"/>
            </w:tcBorders>
            <w:shd w:val="clear" w:color="auto" w:fill="E5E5E5" w:themeFill="background1" w:themeFillTint="33"/>
            <w:noWrap/>
            <w:vAlign w:val="bottom"/>
            <w:hideMark/>
          </w:tcPr>
          <w:p w14:paraId="4064FAE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50.59</w:t>
            </w:r>
          </w:p>
        </w:tc>
        <w:tc>
          <w:tcPr>
            <w:tcW w:w="1275" w:type="dxa"/>
            <w:tcBorders>
              <w:top w:val="nil"/>
              <w:left w:val="nil"/>
              <w:bottom w:val="nil"/>
              <w:right w:val="nil"/>
            </w:tcBorders>
            <w:shd w:val="clear" w:color="auto" w:fill="E5E5E5" w:themeFill="background1" w:themeFillTint="33"/>
            <w:noWrap/>
            <w:vAlign w:val="bottom"/>
            <w:hideMark/>
          </w:tcPr>
          <w:p w14:paraId="7CFA02B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78.58</w:t>
            </w:r>
          </w:p>
        </w:tc>
      </w:tr>
      <w:tr w:rsidR="00961617" w:rsidRPr="0076418A" w14:paraId="5510D721" w14:textId="77777777" w:rsidTr="0020771F">
        <w:trPr>
          <w:trHeight w:val="288"/>
        </w:trPr>
        <w:tc>
          <w:tcPr>
            <w:tcW w:w="724" w:type="dxa"/>
            <w:tcBorders>
              <w:top w:val="nil"/>
              <w:left w:val="nil"/>
              <w:bottom w:val="nil"/>
              <w:right w:val="nil"/>
            </w:tcBorders>
            <w:shd w:val="clear" w:color="auto" w:fill="auto"/>
            <w:noWrap/>
            <w:vAlign w:val="bottom"/>
            <w:hideMark/>
          </w:tcPr>
          <w:p w14:paraId="33CA8FFF"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500</w:t>
            </w:r>
          </w:p>
        </w:tc>
        <w:tc>
          <w:tcPr>
            <w:tcW w:w="1193" w:type="dxa"/>
            <w:tcBorders>
              <w:top w:val="nil"/>
              <w:left w:val="nil"/>
              <w:bottom w:val="nil"/>
              <w:right w:val="nil"/>
            </w:tcBorders>
            <w:shd w:val="clear" w:color="auto" w:fill="auto"/>
            <w:noWrap/>
            <w:vAlign w:val="bottom"/>
            <w:hideMark/>
          </w:tcPr>
          <w:p w14:paraId="7D02FBE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80.53</w:t>
            </w:r>
          </w:p>
        </w:tc>
        <w:tc>
          <w:tcPr>
            <w:tcW w:w="1217" w:type="dxa"/>
            <w:tcBorders>
              <w:top w:val="nil"/>
              <w:left w:val="nil"/>
              <w:bottom w:val="nil"/>
              <w:right w:val="nil"/>
            </w:tcBorders>
            <w:shd w:val="clear" w:color="auto" w:fill="auto"/>
            <w:noWrap/>
            <w:vAlign w:val="bottom"/>
            <w:hideMark/>
          </w:tcPr>
          <w:p w14:paraId="7686DE0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84.27</w:t>
            </w:r>
          </w:p>
        </w:tc>
        <w:tc>
          <w:tcPr>
            <w:tcW w:w="1134" w:type="dxa"/>
            <w:tcBorders>
              <w:top w:val="nil"/>
              <w:left w:val="nil"/>
              <w:bottom w:val="nil"/>
              <w:right w:val="nil"/>
            </w:tcBorders>
            <w:shd w:val="clear" w:color="auto" w:fill="auto"/>
            <w:noWrap/>
            <w:vAlign w:val="bottom"/>
            <w:hideMark/>
          </w:tcPr>
          <w:p w14:paraId="2F0192C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87.63</w:t>
            </w:r>
          </w:p>
        </w:tc>
        <w:tc>
          <w:tcPr>
            <w:tcW w:w="1276" w:type="dxa"/>
            <w:tcBorders>
              <w:top w:val="nil"/>
              <w:left w:val="nil"/>
              <w:bottom w:val="nil"/>
              <w:right w:val="nil"/>
            </w:tcBorders>
            <w:shd w:val="clear" w:color="auto" w:fill="auto"/>
            <w:noWrap/>
            <w:vAlign w:val="bottom"/>
            <w:hideMark/>
          </w:tcPr>
          <w:p w14:paraId="6A68D87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82.05</w:t>
            </w:r>
          </w:p>
        </w:tc>
        <w:tc>
          <w:tcPr>
            <w:tcW w:w="1134" w:type="dxa"/>
            <w:tcBorders>
              <w:top w:val="nil"/>
              <w:left w:val="nil"/>
              <w:bottom w:val="nil"/>
              <w:right w:val="nil"/>
            </w:tcBorders>
            <w:shd w:val="clear" w:color="auto" w:fill="auto"/>
            <w:noWrap/>
            <w:vAlign w:val="bottom"/>
            <w:hideMark/>
          </w:tcPr>
          <w:p w14:paraId="53448CC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55.98</w:t>
            </w:r>
          </w:p>
        </w:tc>
        <w:tc>
          <w:tcPr>
            <w:tcW w:w="1275" w:type="dxa"/>
            <w:tcBorders>
              <w:top w:val="nil"/>
              <w:left w:val="nil"/>
              <w:bottom w:val="nil"/>
              <w:right w:val="nil"/>
            </w:tcBorders>
            <w:shd w:val="clear" w:color="auto" w:fill="auto"/>
            <w:noWrap/>
            <w:vAlign w:val="bottom"/>
            <w:hideMark/>
          </w:tcPr>
          <w:p w14:paraId="07DA197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80.67</w:t>
            </w:r>
          </w:p>
        </w:tc>
      </w:tr>
      <w:tr w:rsidR="00961617" w:rsidRPr="0076418A" w14:paraId="61ABCDDB"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0219FD76"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525</w:t>
            </w:r>
          </w:p>
        </w:tc>
        <w:tc>
          <w:tcPr>
            <w:tcW w:w="1193" w:type="dxa"/>
            <w:tcBorders>
              <w:top w:val="nil"/>
              <w:left w:val="nil"/>
              <w:bottom w:val="nil"/>
              <w:right w:val="nil"/>
            </w:tcBorders>
            <w:shd w:val="clear" w:color="auto" w:fill="E5E5E5" w:themeFill="background1" w:themeFillTint="33"/>
            <w:noWrap/>
            <w:vAlign w:val="bottom"/>
            <w:hideMark/>
          </w:tcPr>
          <w:p w14:paraId="3A1D3DA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81.86</w:t>
            </w:r>
          </w:p>
        </w:tc>
        <w:tc>
          <w:tcPr>
            <w:tcW w:w="1217" w:type="dxa"/>
            <w:tcBorders>
              <w:top w:val="nil"/>
              <w:left w:val="nil"/>
              <w:bottom w:val="nil"/>
              <w:right w:val="nil"/>
            </w:tcBorders>
            <w:shd w:val="clear" w:color="auto" w:fill="E5E5E5" w:themeFill="background1" w:themeFillTint="33"/>
            <w:noWrap/>
            <w:vAlign w:val="bottom"/>
            <w:hideMark/>
          </w:tcPr>
          <w:p w14:paraId="0ED2385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85.44</w:t>
            </w:r>
          </w:p>
        </w:tc>
        <w:tc>
          <w:tcPr>
            <w:tcW w:w="1134" w:type="dxa"/>
            <w:tcBorders>
              <w:top w:val="nil"/>
              <w:left w:val="nil"/>
              <w:bottom w:val="nil"/>
              <w:right w:val="nil"/>
            </w:tcBorders>
            <w:shd w:val="clear" w:color="auto" w:fill="E5E5E5" w:themeFill="background1" w:themeFillTint="33"/>
            <w:noWrap/>
            <w:vAlign w:val="bottom"/>
            <w:hideMark/>
          </w:tcPr>
          <w:p w14:paraId="31C711F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88.37</w:t>
            </w:r>
          </w:p>
        </w:tc>
        <w:tc>
          <w:tcPr>
            <w:tcW w:w="1276" w:type="dxa"/>
            <w:tcBorders>
              <w:top w:val="nil"/>
              <w:left w:val="nil"/>
              <w:bottom w:val="nil"/>
              <w:right w:val="nil"/>
            </w:tcBorders>
            <w:shd w:val="clear" w:color="auto" w:fill="E5E5E5" w:themeFill="background1" w:themeFillTint="33"/>
            <w:noWrap/>
            <w:vAlign w:val="bottom"/>
            <w:hideMark/>
          </w:tcPr>
          <w:p w14:paraId="3D09978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83.29</w:t>
            </w:r>
          </w:p>
        </w:tc>
        <w:tc>
          <w:tcPr>
            <w:tcW w:w="1134" w:type="dxa"/>
            <w:tcBorders>
              <w:top w:val="nil"/>
              <w:left w:val="nil"/>
              <w:bottom w:val="nil"/>
              <w:right w:val="nil"/>
            </w:tcBorders>
            <w:shd w:val="clear" w:color="auto" w:fill="E5E5E5" w:themeFill="background1" w:themeFillTint="33"/>
            <w:noWrap/>
            <w:vAlign w:val="bottom"/>
            <w:hideMark/>
          </w:tcPr>
          <w:p w14:paraId="3406417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60.95</w:t>
            </w:r>
          </w:p>
        </w:tc>
        <w:tc>
          <w:tcPr>
            <w:tcW w:w="1275" w:type="dxa"/>
            <w:tcBorders>
              <w:top w:val="nil"/>
              <w:left w:val="nil"/>
              <w:bottom w:val="nil"/>
              <w:right w:val="nil"/>
            </w:tcBorders>
            <w:shd w:val="clear" w:color="auto" w:fill="E5E5E5" w:themeFill="background1" w:themeFillTint="33"/>
            <w:noWrap/>
            <w:vAlign w:val="bottom"/>
            <w:hideMark/>
          </w:tcPr>
          <w:p w14:paraId="6F09AFD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82.11</w:t>
            </w:r>
          </w:p>
        </w:tc>
      </w:tr>
      <w:tr w:rsidR="00961617" w:rsidRPr="0076418A" w14:paraId="157D7B3C" w14:textId="77777777" w:rsidTr="0020771F">
        <w:trPr>
          <w:trHeight w:val="288"/>
        </w:trPr>
        <w:tc>
          <w:tcPr>
            <w:tcW w:w="724" w:type="dxa"/>
            <w:tcBorders>
              <w:top w:val="nil"/>
              <w:left w:val="nil"/>
              <w:bottom w:val="nil"/>
              <w:right w:val="nil"/>
            </w:tcBorders>
            <w:shd w:val="clear" w:color="auto" w:fill="auto"/>
            <w:noWrap/>
            <w:vAlign w:val="bottom"/>
            <w:hideMark/>
          </w:tcPr>
          <w:p w14:paraId="1705230D"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550</w:t>
            </w:r>
          </w:p>
        </w:tc>
        <w:tc>
          <w:tcPr>
            <w:tcW w:w="1193" w:type="dxa"/>
            <w:tcBorders>
              <w:top w:val="nil"/>
              <w:left w:val="nil"/>
              <w:bottom w:val="nil"/>
              <w:right w:val="nil"/>
            </w:tcBorders>
            <w:shd w:val="clear" w:color="auto" w:fill="auto"/>
            <w:noWrap/>
            <w:vAlign w:val="bottom"/>
            <w:hideMark/>
          </w:tcPr>
          <w:p w14:paraId="3B1E710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83.10</w:t>
            </w:r>
          </w:p>
        </w:tc>
        <w:tc>
          <w:tcPr>
            <w:tcW w:w="1217" w:type="dxa"/>
            <w:tcBorders>
              <w:top w:val="nil"/>
              <w:left w:val="nil"/>
              <w:bottom w:val="nil"/>
              <w:right w:val="nil"/>
            </w:tcBorders>
            <w:shd w:val="clear" w:color="auto" w:fill="auto"/>
            <w:noWrap/>
            <w:vAlign w:val="bottom"/>
            <w:hideMark/>
          </w:tcPr>
          <w:p w14:paraId="19E3FCE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87.15</w:t>
            </w:r>
          </w:p>
        </w:tc>
        <w:tc>
          <w:tcPr>
            <w:tcW w:w="1134" w:type="dxa"/>
            <w:tcBorders>
              <w:top w:val="nil"/>
              <w:left w:val="nil"/>
              <w:bottom w:val="nil"/>
              <w:right w:val="nil"/>
            </w:tcBorders>
            <w:shd w:val="clear" w:color="auto" w:fill="auto"/>
            <w:noWrap/>
            <w:vAlign w:val="bottom"/>
            <w:hideMark/>
          </w:tcPr>
          <w:p w14:paraId="5A6AFDF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89.15</w:t>
            </w:r>
          </w:p>
        </w:tc>
        <w:tc>
          <w:tcPr>
            <w:tcW w:w="1276" w:type="dxa"/>
            <w:tcBorders>
              <w:top w:val="nil"/>
              <w:left w:val="nil"/>
              <w:bottom w:val="nil"/>
              <w:right w:val="nil"/>
            </w:tcBorders>
            <w:shd w:val="clear" w:color="auto" w:fill="auto"/>
            <w:noWrap/>
            <w:vAlign w:val="bottom"/>
            <w:hideMark/>
          </w:tcPr>
          <w:p w14:paraId="559CEB5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84.62</w:t>
            </w:r>
          </w:p>
        </w:tc>
        <w:tc>
          <w:tcPr>
            <w:tcW w:w="1134" w:type="dxa"/>
            <w:tcBorders>
              <w:top w:val="nil"/>
              <w:left w:val="nil"/>
              <w:bottom w:val="nil"/>
              <w:right w:val="nil"/>
            </w:tcBorders>
            <w:shd w:val="clear" w:color="auto" w:fill="auto"/>
            <w:noWrap/>
            <w:vAlign w:val="bottom"/>
            <w:hideMark/>
          </w:tcPr>
          <w:p w14:paraId="7FFCDB1D"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71.58</w:t>
            </w:r>
          </w:p>
        </w:tc>
        <w:tc>
          <w:tcPr>
            <w:tcW w:w="1275" w:type="dxa"/>
            <w:tcBorders>
              <w:top w:val="nil"/>
              <w:left w:val="nil"/>
              <w:bottom w:val="nil"/>
              <w:right w:val="nil"/>
            </w:tcBorders>
            <w:shd w:val="clear" w:color="auto" w:fill="auto"/>
            <w:noWrap/>
            <w:vAlign w:val="bottom"/>
            <w:hideMark/>
          </w:tcPr>
          <w:p w14:paraId="226EF36E"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83.93</w:t>
            </w:r>
          </w:p>
        </w:tc>
      </w:tr>
      <w:tr w:rsidR="00961617" w:rsidRPr="0076418A" w14:paraId="255C43DE"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09ED7016"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575</w:t>
            </w:r>
          </w:p>
        </w:tc>
        <w:tc>
          <w:tcPr>
            <w:tcW w:w="1193" w:type="dxa"/>
            <w:tcBorders>
              <w:top w:val="nil"/>
              <w:left w:val="nil"/>
              <w:bottom w:val="nil"/>
              <w:right w:val="nil"/>
            </w:tcBorders>
            <w:shd w:val="clear" w:color="auto" w:fill="E5E5E5" w:themeFill="background1" w:themeFillTint="33"/>
            <w:noWrap/>
            <w:vAlign w:val="bottom"/>
            <w:hideMark/>
          </w:tcPr>
          <w:p w14:paraId="74F1B3D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84.21</w:t>
            </w:r>
          </w:p>
        </w:tc>
        <w:tc>
          <w:tcPr>
            <w:tcW w:w="1217" w:type="dxa"/>
            <w:tcBorders>
              <w:top w:val="nil"/>
              <w:left w:val="nil"/>
              <w:bottom w:val="nil"/>
              <w:right w:val="nil"/>
            </w:tcBorders>
            <w:shd w:val="clear" w:color="auto" w:fill="E5E5E5" w:themeFill="background1" w:themeFillTint="33"/>
            <w:noWrap/>
            <w:vAlign w:val="bottom"/>
            <w:hideMark/>
          </w:tcPr>
          <w:p w14:paraId="778C18C3"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88.36</w:t>
            </w:r>
          </w:p>
        </w:tc>
        <w:tc>
          <w:tcPr>
            <w:tcW w:w="1134" w:type="dxa"/>
            <w:tcBorders>
              <w:top w:val="nil"/>
              <w:left w:val="nil"/>
              <w:bottom w:val="nil"/>
              <w:right w:val="nil"/>
            </w:tcBorders>
            <w:shd w:val="clear" w:color="auto" w:fill="E5E5E5" w:themeFill="background1" w:themeFillTint="33"/>
            <w:noWrap/>
            <w:vAlign w:val="bottom"/>
            <w:hideMark/>
          </w:tcPr>
          <w:p w14:paraId="549EE7C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89.44</w:t>
            </w:r>
          </w:p>
        </w:tc>
        <w:tc>
          <w:tcPr>
            <w:tcW w:w="1276" w:type="dxa"/>
            <w:tcBorders>
              <w:top w:val="nil"/>
              <w:left w:val="nil"/>
              <w:bottom w:val="nil"/>
              <w:right w:val="nil"/>
            </w:tcBorders>
            <w:shd w:val="clear" w:color="auto" w:fill="E5E5E5" w:themeFill="background1" w:themeFillTint="33"/>
            <w:noWrap/>
            <w:vAlign w:val="bottom"/>
            <w:hideMark/>
          </w:tcPr>
          <w:p w14:paraId="6F2D94C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85.69</w:t>
            </w:r>
          </w:p>
        </w:tc>
        <w:tc>
          <w:tcPr>
            <w:tcW w:w="1134" w:type="dxa"/>
            <w:tcBorders>
              <w:top w:val="nil"/>
              <w:left w:val="nil"/>
              <w:bottom w:val="nil"/>
              <w:right w:val="nil"/>
            </w:tcBorders>
            <w:shd w:val="clear" w:color="auto" w:fill="E5E5E5" w:themeFill="background1" w:themeFillTint="33"/>
            <w:noWrap/>
            <w:vAlign w:val="bottom"/>
            <w:hideMark/>
          </w:tcPr>
          <w:p w14:paraId="42B182F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77.24</w:t>
            </w:r>
          </w:p>
        </w:tc>
        <w:tc>
          <w:tcPr>
            <w:tcW w:w="1275" w:type="dxa"/>
            <w:tcBorders>
              <w:top w:val="nil"/>
              <w:left w:val="nil"/>
              <w:bottom w:val="nil"/>
              <w:right w:val="nil"/>
            </w:tcBorders>
            <w:shd w:val="clear" w:color="auto" w:fill="E5E5E5" w:themeFill="background1" w:themeFillTint="33"/>
            <w:noWrap/>
            <w:vAlign w:val="bottom"/>
            <w:hideMark/>
          </w:tcPr>
          <w:p w14:paraId="2EF919B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85.24</w:t>
            </w:r>
          </w:p>
        </w:tc>
      </w:tr>
      <w:tr w:rsidR="00961617" w:rsidRPr="0076418A" w14:paraId="2C60D62B" w14:textId="77777777" w:rsidTr="0020771F">
        <w:trPr>
          <w:trHeight w:val="288"/>
        </w:trPr>
        <w:tc>
          <w:tcPr>
            <w:tcW w:w="724" w:type="dxa"/>
            <w:tcBorders>
              <w:top w:val="nil"/>
              <w:left w:val="nil"/>
              <w:bottom w:val="nil"/>
              <w:right w:val="nil"/>
            </w:tcBorders>
            <w:shd w:val="clear" w:color="auto" w:fill="auto"/>
            <w:noWrap/>
            <w:vAlign w:val="bottom"/>
            <w:hideMark/>
          </w:tcPr>
          <w:p w14:paraId="5FA472F0"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600</w:t>
            </w:r>
          </w:p>
        </w:tc>
        <w:tc>
          <w:tcPr>
            <w:tcW w:w="1193" w:type="dxa"/>
            <w:tcBorders>
              <w:top w:val="nil"/>
              <w:left w:val="nil"/>
              <w:bottom w:val="nil"/>
              <w:right w:val="nil"/>
            </w:tcBorders>
            <w:shd w:val="clear" w:color="auto" w:fill="auto"/>
            <w:noWrap/>
            <w:vAlign w:val="bottom"/>
            <w:hideMark/>
          </w:tcPr>
          <w:p w14:paraId="42DA527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85.04</w:t>
            </w:r>
          </w:p>
        </w:tc>
        <w:tc>
          <w:tcPr>
            <w:tcW w:w="1217" w:type="dxa"/>
            <w:tcBorders>
              <w:top w:val="nil"/>
              <w:left w:val="nil"/>
              <w:bottom w:val="nil"/>
              <w:right w:val="nil"/>
            </w:tcBorders>
            <w:shd w:val="clear" w:color="auto" w:fill="auto"/>
            <w:noWrap/>
            <w:vAlign w:val="bottom"/>
            <w:hideMark/>
          </w:tcPr>
          <w:p w14:paraId="4C9B04B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88.99</w:t>
            </w:r>
          </w:p>
        </w:tc>
        <w:tc>
          <w:tcPr>
            <w:tcW w:w="1134" w:type="dxa"/>
            <w:tcBorders>
              <w:top w:val="nil"/>
              <w:left w:val="nil"/>
              <w:bottom w:val="nil"/>
              <w:right w:val="nil"/>
            </w:tcBorders>
            <w:shd w:val="clear" w:color="auto" w:fill="auto"/>
            <w:noWrap/>
            <w:vAlign w:val="bottom"/>
            <w:hideMark/>
          </w:tcPr>
          <w:p w14:paraId="7211882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89.63</w:t>
            </w:r>
          </w:p>
        </w:tc>
        <w:tc>
          <w:tcPr>
            <w:tcW w:w="1276" w:type="dxa"/>
            <w:tcBorders>
              <w:top w:val="nil"/>
              <w:left w:val="nil"/>
              <w:bottom w:val="nil"/>
              <w:right w:val="nil"/>
            </w:tcBorders>
            <w:shd w:val="clear" w:color="auto" w:fill="auto"/>
            <w:noWrap/>
            <w:vAlign w:val="bottom"/>
            <w:hideMark/>
          </w:tcPr>
          <w:p w14:paraId="25A0EA3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86.42</w:t>
            </w:r>
          </w:p>
        </w:tc>
        <w:tc>
          <w:tcPr>
            <w:tcW w:w="1134" w:type="dxa"/>
            <w:tcBorders>
              <w:top w:val="nil"/>
              <w:left w:val="nil"/>
              <w:bottom w:val="nil"/>
              <w:right w:val="nil"/>
            </w:tcBorders>
            <w:shd w:val="clear" w:color="auto" w:fill="auto"/>
            <w:noWrap/>
            <w:vAlign w:val="bottom"/>
            <w:hideMark/>
          </w:tcPr>
          <w:p w14:paraId="2945A2F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79.53</w:t>
            </w:r>
          </w:p>
        </w:tc>
        <w:tc>
          <w:tcPr>
            <w:tcW w:w="1275" w:type="dxa"/>
            <w:tcBorders>
              <w:top w:val="nil"/>
              <w:left w:val="nil"/>
              <w:bottom w:val="nil"/>
              <w:right w:val="nil"/>
            </w:tcBorders>
            <w:shd w:val="clear" w:color="auto" w:fill="auto"/>
            <w:noWrap/>
            <w:vAlign w:val="bottom"/>
            <w:hideMark/>
          </w:tcPr>
          <w:p w14:paraId="6F8A6C1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86.06</w:t>
            </w:r>
          </w:p>
        </w:tc>
      </w:tr>
      <w:tr w:rsidR="00961617" w:rsidRPr="0076418A" w14:paraId="36887927"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1A04EB31"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625</w:t>
            </w:r>
          </w:p>
        </w:tc>
        <w:tc>
          <w:tcPr>
            <w:tcW w:w="1193" w:type="dxa"/>
            <w:tcBorders>
              <w:top w:val="nil"/>
              <w:left w:val="nil"/>
              <w:bottom w:val="nil"/>
              <w:right w:val="nil"/>
            </w:tcBorders>
            <w:shd w:val="clear" w:color="auto" w:fill="E5E5E5" w:themeFill="background1" w:themeFillTint="33"/>
            <w:noWrap/>
            <w:vAlign w:val="bottom"/>
            <w:hideMark/>
          </w:tcPr>
          <w:p w14:paraId="49BF79C9"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85.65</w:t>
            </w:r>
          </w:p>
        </w:tc>
        <w:tc>
          <w:tcPr>
            <w:tcW w:w="1217" w:type="dxa"/>
            <w:tcBorders>
              <w:top w:val="nil"/>
              <w:left w:val="nil"/>
              <w:bottom w:val="nil"/>
              <w:right w:val="nil"/>
            </w:tcBorders>
            <w:shd w:val="clear" w:color="auto" w:fill="E5E5E5" w:themeFill="background1" w:themeFillTint="33"/>
            <w:noWrap/>
            <w:vAlign w:val="bottom"/>
            <w:hideMark/>
          </w:tcPr>
          <w:p w14:paraId="51AFFCB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89.59</w:t>
            </w:r>
          </w:p>
        </w:tc>
        <w:tc>
          <w:tcPr>
            <w:tcW w:w="1134" w:type="dxa"/>
            <w:tcBorders>
              <w:top w:val="nil"/>
              <w:left w:val="nil"/>
              <w:bottom w:val="nil"/>
              <w:right w:val="nil"/>
            </w:tcBorders>
            <w:shd w:val="clear" w:color="auto" w:fill="E5E5E5" w:themeFill="background1" w:themeFillTint="33"/>
            <w:noWrap/>
            <w:vAlign w:val="bottom"/>
            <w:hideMark/>
          </w:tcPr>
          <w:p w14:paraId="677E08F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89.72</w:t>
            </w:r>
          </w:p>
        </w:tc>
        <w:tc>
          <w:tcPr>
            <w:tcW w:w="1276" w:type="dxa"/>
            <w:tcBorders>
              <w:top w:val="nil"/>
              <w:left w:val="nil"/>
              <w:bottom w:val="nil"/>
              <w:right w:val="nil"/>
            </w:tcBorders>
            <w:shd w:val="clear" w:color="auto" w:fill="E5E5E5" w:themeFill="background1" w:themeFillTint="33"/>
            <w:noWrap/>
            <w:vAlign w:val="bottom"/>
            <w:hideMark/>
          </w:tcPr>
          <w:p w14:paraId="692BA0F5"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86.99</w:t>
            </w:r>
          </w:p>
        </w:tc>
        <w:tc>
          <w:tcPr>
            <w:tcW w:w="1134" w:type="dxa"/>
            <w:tcBorders>
              <w:top w:val="nil"/>
              <w:left w:val="nil"/>
              <w:bottom w:val="nil"/>
              <w:right w:val="nil"/>
            </w:tcBorders>
            <w:shd w:val="clear" w:color="auto" w:fill="E5E5E5" w:themeFill="background1" w:themeFillTint="33"/>
            <w:noWrap/>
            <w:vAlign w:val="bottom"/>
            <w:hideMark/>
          </w:tcPr>
          <w:p w14:paraId="49CAC90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80.29</w:t>
            </w:r>
          </w:p>
        </w:tc>
        <w:tc>
          <w:tcPr>
            <w:tcW w:w="1275" w:type="dxa"/>
            <w:tcBorders>
              <w:top w:val="nil"/>
              <w:left w:val="nil"/>
              <w:bottom w:val="nil"/>
              <w:right w:val="nil"/>
            </w:tcBorders>
            <w:shd w:val="clear" w:color="auto" w:fill="E5E5E5" w:themeFill="background1" w:themeFillTint="33"/>
            <w:noWrap/>
            <w:vAlign w:val="bottom"/>
            <w:hideMark/>
          </w:tcPr>
          <w:p w14:paraId="038F965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86.64</w:t>
            </w:r>
          </w:p>
        </w:tc>
      </w:tr>
      <w:tr w:rsidR="00961617" w:rsidRPr="0076418A" w14:paraId="64AC286A" w14:textId="77777777" w:rsidTr="0020771F">
        <w:trPr>
          <w:trHeight w:val="288"/>
        </w:trPr>
        <w:tc>
          <w:tcPr>
            <w:tcW w:w="724" w:type="dxa"/>
            <w:tcBorders>
              <w:top w:val="nil"/>
              <w:left w:val="nil"/>
              <w:bottom w:val="nil"/>
              <w:right w:val="nil"/>
            </w:tcBorders>
            <w:shd w:val="clear" w:color="auto" w:fill="auto"/>
            <w:noWrap/>
            <w:vAlign w:val="bottom"/>
            <w:hideMark/>
          </w:tcPr>
          <w:p w14:paraId="2C9CA150"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650</w:t>
            </w:r>
          </w:p>
        </w:tc>
        <w:tc>
          <w:tcPr>
            <w:tcW w:w="1193" w:type="dxa"/>
            <w:tcBorders>
              <w:top w:val="nil"/>
              <w:left w:val="nil"/>
              <w:bottom w:val="nil"/>
              <w:right w:val="nil"/>
            </w:tcBorders>
            <w:shd w:val="clear" w:color="auto" w:fill="auto"/>
            <w:noWrap/>
            <w:vAlign w:val="bottom"/>
            <w:hideMark/>
          </w:tcPr>
          <w:p w14:paraId="0FE5533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86.21</w:t>
            </w:r>
          </w:p>
        </w:tc>
        <w:tc>
          <w:tcPr>
            <w:tcW w:w="1217" w:type="dxa"/>
            <w:tcBorders>
              <w:top w:val="nil"/>
              <w:left w:val="nil"/>
              <w:bottom w:val="nil"/>
              <w:right w:val="nil"/>
            </w:tcBorders>
            <w:shd w:val="clear" w:color="auto" w:fill="auto"/>
            <w:noWrap/>
            <w:vAlign w:val="bottom"/>
            <w:hideMark/>
          </w:tcPr>
          <w:p w14:paraId="6BB6B7C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89.98</w:t>
            </w:r>
          </w:p>
        </w:tc>
        <w:tc>
          <w:tcPr>
            <w:tcW w:w="1134" w:type="dxa"/>
            <w:tcBorders>
              <w:top w:val="nil"/>
              <w:left w:val="nil"/>
              <w:bottom w:val="nil"/>
              <w:right w:val="nil"/>
            </w:tcBorders>
            <w:shd w:val="clear" w:color="auto" w:fill="auto"/>
            <w:noWrap/>
            <w:vAlign w:val="bottom"/>
            <w:hideMark/>
          </w:tcPr>
          <w:p w14:paraId="5BB43F3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89.79</w:t>
            </w:r>
          </w:p>
        </w:tc>
        <w:tc>
          <w:tcPr>
            <w:tcW w:w="1276" w:type="dxa"/>
            <w:tcBorders>
              <w:top w:val="nil"/>
              <w:left w:val="nil"/>
              <w:bottom w:val="nil"/>
              <w:right w:val="nil"/>
            </w:tcBorders>
            <w:shd w:val="clear" w:color="auto" w:fill="auto"/>
            <w:noWrap/>
            <w:vAlign w:val="bottom"/>
            <w:hideMark/>
          </w:tcPr>
          <w:p w14:paraId="2CEA854A"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87.47</w:t>
            </w:r>
          </w:p>
        </w:tc>
        <w:tc>
          <w:tcPr>
            <w:tcW w:w="1134" w:type="dxa"/>
            <w:tcBorders>
              <w:top w:val="nil"/>
              <w:left w:val="nil"/>
              <w:bottom w:val="nil"/>
              <w:right w:val="nil"/>
            </w:tcBorders>
            <w:shd w:val="clear" w:color="auto" w:fill="auto"/>
            <w:noWrap/>
            <w:vAlign w:val="bottom"/>
            <w:hideMark/>
          </w:tcPr>
          <w:p w14:paraId="3C082CF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81.50</w:t>
            </w:r>
          </w:p>
        </w:tc>
        <w:tc>
          <w:tcPr>
            <w:tcW w:w="1275" w:type="dxa"/>
            <w:tcBorders>
              <w:top w:val="nil"/>
              <w:left w:val="nil"/>
              <w:bottom w:val="nil"/>
              <w:right w:val="nil"/>
            </w:tcBorders>
            <w:shd w:val="clear" w:color="auto" w:fill="auto"/>
            <w:noWrap/>
            <w:vAlign w:val="bottom"/>
            <w:hideMark/>
          </w:tcPr>
          <w:p w14:paraId="20B1EBB4"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87.16</w:t>
            </w:r>
          </w:p>
        </w:tc>
      </w:tr>
      <w:tr w:rsidR="00961617" w:rsidRPr="0076418A" w14:paraId="2CB18C04" w14:textId="77777777" w:rsidTr="0020771F">
        <w:trPr>
          <w:trHeight w:val="288"/>
        </w:trPr>
        <w:tc>
          <w:tcPr>
            <w:tcW w:w="724" w:type="dxa"/>
            <w:tcBorders>
              <w:top w:val="nil"/>
              <w:left w:val="nil"/>
              <w:bottom w:val="nil"/>
              <w:right w:val="nil"/>
            </w:tcBorders>
            <w:shd w:val="clear" w:color="auto" w:fill="E5E5E5" w:themeFill="background1" w:themeFillTint="33"/>
            <w:noWrap/>
            <w:vAlign w:val="bottom"/>
            <w:hideMark/>
          </w:tcPr>
          <w:p w14:paraId="3B97440C"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675</w:t>
            </w:r>
          </w:p>
        </w:tc>
        <w:tc>
          <w:tcPr>
            <w:tcW w:w="1193" w:type="dxa"/>
            <w:tcBorders>
              <w:top w:val="nil"/>
              <w:left w:val="nil"/>
              <w:bottom w:val="nil"/>
              <w:right w:val="nil"/>
            </w:tcBorders>
            <w:shd w:val="clear" w:color="auto" w:fill="E5E5E5" w:themeFill="background1" w:themeFillTint="33"/>
            <w:noWrap/>
            <w:vAlign w:val="bottom"/>
            <w:hideMark/>
          </w:tcPr>
          <w:p w14:paraId="351A5C86"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86.62</w:t>
            </w:r>
          </w:p>
        </w:tc>
        <w:tc>
          <w:tcPr>
            <w:tcW w:w="1217" w:type="dxa"/>
            <w:tcBorders>
              <w:top w:val="nil"/>
              <w:left w:val="nil"/>
              <w:bottom w:val="nil"/>
              <w:right w:val="nil"/>
            </w:tcBorders>
            <w:shd w:val="clear" w:color="auto" w:fill="E5E5E5" w:themeFill="background1" w:themeFillTint="33"/>
            <w:noWrap/>
            <w:vAlign w:val="bottom"/>
            <w:hideMark/>
          </w:tcPr>
          <w:p w14:paraId="4F5C443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90.19</w:t>
            </w:r>
          </w:p>
        </w:tc>
        <w:tc>
          <w:tcPr>
            <w:tcW w:w="1134" w:type="dxa"/>
            <w:tcBorders>
              <w:top w:val="nil"/>
              <w:left w:val="nil"/>
              <w:bottom w:val="nil"/>
              <w:right w:val="nil"/>
            </w:tcBorders>
            <w:shd w:val="clear" w:color="auto" w:fill="E5E5E5" w:themeFill="background1" w:themeFillTint="33"/>
            <w:noWrap/>
            <w:vAlign w:val="bottom"/>
            <w:hideMark/>
          </w:tcPr>
          <w:p w14:paraId="21B0D888"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89.94</w:t>
            </w:r>
          </w:p>
        </w:tc>
        <w:tc>
          <w:tcPr>
            <w:tcW w:w="1276" w:type="dxa"/>
            <w:tcBorders>
              <w:top w:val="nil"/>
              <w:left w:val="nil"/>
              <w:bottom w:val="nil"/>
              <w:right w:val="nil"/>
            </w:tcBorders>
            <w:shd w:val="clear" w:color="auto" w:fill="E5E5E5" w:themeFill="background1" w:themeFillTint="33"/>
            <w:noWrap/>
            <w:vAlign w:val="bottom"/>
            <w:hideMark/>
          </w:tcPr>
          <w:p w14:paraId="186F8CE2"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87.81</w:t>
            </w:r>
          </w:p>
        </w:tc>
        <w:tc>
          <w:tcPr>
            <w:tcW w:w="1134" w:type="dxa"/>
            <w:tcBorders>
              <w:top w:val="nil"/>
              <w:left w:val="nil"/>
              <w:bottom w:val="nil"/>
              <w:right w:val="nil"/>
            </w:tcBorders>
            <w:shd w:val="clear" w:color="auto" w:fill="E5E5E5" w:themeFill="background1" w:themeFillTint="33"/>
            <w:noWrap/>
            <w:vAlign w:val="bottom"/>
            <w:hideMark/>
          </w:tcPr>
          <w:p w14:paraId="0A7C8BC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81.93</w:t>
            </w:r>
          </w:p>
        </w:tc>
        <w:tc>
          <w:tcPr>
            <w:tcW w:w="1275" w:type="dxa"/>
            <w:tcBorders>
              <w:top w:val="nil"/>
              <w:left w:val="nil"/>
              <w:bottom w:val="nil"/>
              <w:right w:val="nil"/>
            </w:tcBorders>
            <w:shd w:val="clear" w:color="auto" w:fill="E5E5E5" w:themeFill="background1" w:themeFillTint="33"/>
            <w:noWrap/>
            <w:vAlign w:val="bottom"/>
            <w:hideMark/>
          </w:tcPr>
          <w:p w14:paraId="670B045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87.51</w:t>
            </w:r>
          </w:p>
        </w:tc>
      </w:tr>
      <w:tr w:rsidR="00961617" w:rsidRPr="0076418A" w14:paraId="5764D603" w14:textId="77777777" w:rsidTr="0020771F">
        <w:trPr>
          <w:trHeight w:val="288"/>
        </w:trPr>
        <w:tc>
          <w:tcPr>
            <w:tcW w:w="724" w:type="dxa"/>
            <w:tcBorders>
              <w:top w:val="nil"/>
              <w:left w:val="nil"/>
              <w:right w:val="nil"/>
            </w:tcBorders>
            <w:shd w:val="clear" w:color="auto" w:fill="auto"/>
            <w:noWrap/>
            <w:vAlign w:val="bottom"/>
            <w:hideMark/>
          </w:tcPr>
          <w:p w14:paraId="32554135"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700</w:t>
            </w:r>
          </w:p>
        </w:tc>
        <w:tc>
          <w:tcPr>
            <w:tcW w:w="1193" w:type="dxa"/>
            <w:tcBorders>
              <w:top w:val="nil"/>
              <w:left w:val="nil"/>
              <w:right w:val="nil"/>
            </w:tcBorders>
            <w:shd w:val="clear" w:color="auto" w:fill="auto"/>
            <w:noWrap/>
            <w:vAlign w:val="bottom"/>
            <w:hideMark/>
          </w:tcPr>
          <w:p w14:paraId="0BB35A3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87.11</w:t>
            </w:r>
          </w:p>
        </w:tc>
        <w:tc>
          <w:tcPr>
            <w:tcW w:w="1217" w:type="dxa"/>
            <w:tcBorders>
              <w:top w:val="nil"/>
              <w:left w:val="nil"/>
              <w:right w:val="nil"/>
            </w:tcBorders>
            <w:shd w:val="clear" w:color="auto" w:fill="auto"/>
            <w:noWrap/>
            <w:vAlign w:val="bottom"/>
            <w:hideMark/>
          </w:tcPr>
          <w:p w14:paraId="7A996A50"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90.22</w:t>
            </w:r>
          </w:p>
        </w:tc>
        <w:tc>
          <w:tcPr>
            <w:tcW w:w="1134" w:type="dxa"/>
            <w:tcBorders>
              <w:top w:val="nil"/>
              <w:left w:val="nil"/>
              <w:right w:val="nil"/>
            </w:tcBorders>
            <w:shd w:val="clear" w:color="auto" w:fill="auto"/>
            <w:noWrap/>
            <w:vAlign w:val="bottom"/>
            <w:hideMark/>
          </w:tcPr>
          <w:p w14:paraId="6A9079F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90.08</w:t>
            </w:r>
          </w:p>
        </w:tc>
        <w:tc>
          <w:tcPr>
            <w:tcW w:w="1276" w:type="dxa"/>
            <w:tcBorders>
              <w:top w:val="nil"/>
              <w:left w:val="nil"/>
              <w:right w:val="nil"/>
            </w:tcBorders>
            <w:shd w:val="clear" w:color="auto" w:fill="auto"/>
            <w:noWrap/>
            <w:vAlign w:val="bottom"/>
            <w:hideMark/>
          </w:tcPr>
          <w:p w14:paraId="43A30E8F"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88.15</w:t>
            </w:r>
          </w:p>
        </w:tc>
        <w:tc>
          <w:tcPr>
            <w:tcW w:w="1134" w:type="dxa"/>
            <w:tcBorders>
              <w:top w:val="nil"/>
              <w:left w:val="nil"/>
              <w:right w:val="nil"/>
            </w:tcBorders>
            <w:shd w:val="clear" w:color="auto" w:fill="auto"/>
            <w:noWrap/>
            <w:vAlign w:val="bottom"/>
            <w:hideMark/>
          </w:tcPr>
          <w:p w14:paraId="61724F0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82.07</w:t>
            </w:r>
          </w:p>
        </w:tc>
        <w:tc>
          <w:tcPr>
            <w:tcW w:w="1275" w:type="dxa"/>
            <w:tcBorders>
              <w:top w:val="nil"/>
              <w:left w:val="nil"/>
              <w:right w:val="nil"/>
            </w:tcBorders>
            <w:shd w:val="clear" w:color="auto" w:fill="auto"/>
            <w:noWrap/>
            <w:vAlign w:val="bottom"/>
            <w:hideMark/>
          </w:tcPr>
          <w:p w14:paraId="794E998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87.83</w:t>
            </w:r>
          </w:p>
        </w:tc>
      </w:tr>
      <w:tr w:rsidR="00961617" w:rsidRPr="0076418A" w14:paraId="4EFF027A" w14:textId="77777777" w:rsidTr="0020771F">
        <w:trPr>
          <w:trHeight w:val="288"/>
        </w:trPr>
        <w:tc>
          <w:tcPr>
            <w:tcW w:w="724" w:type="dxa"/>
            <w:tcBorders>
              <w:top w:val="nil"/>
              <w:left w:val="nil"/>
              <w:bottom w:val="single" w:sz="4" w:space="0" w:color="auto"/>
              <w:right w:val="nil"/>
            </w:tcBorders>
            <w:shd w:val="clear" w:color="auto" w:fill="E5E5E5" w:themeFill="background1" w:themeFillTint="33"/>
            <w:noWrap/>
            <w:vAlign w:val="bottom"/>
            <w:hideMark/>
          </w:tcPr>
          <w:p w14:paraId="5273289A" w14:textId="77777777" w:rsidR="00961617" w:rsidRPr="0076418A" w:rsidRDefault="00961617" w:rsidP="0020771F">
            <w:pPr>
              <w:spacing w:after="0" w:line="240" w:lineRule="auto"/>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725</w:t>
            </w:r>
          </w:p>
        </w:tc>
        <w:tc>
          <w:tcPr>
            <w:tcW w:w="1193" w:type="dxa"/>
            <w:tcBorders>
              <w:top w:val="nil"/>
              <w:left w:val="nil"/>
              <w:bottom w:val="single" w:sz="4" w:space="0" w:color="auto"/>
              <w:right w:val="nil"/>
            </w:tcBorders>
            <w:shd w:val="clear" w:color="auto" w:fill="E5E5E5" w:themeFill="background1" w:themeFillTint="33"/>
            <w:noWrap/>
            <w:vAlign w:val="bottom"/>
            <w:hideMark/>
          </w:tcPr>
          <w:p w14:paraId="26E96AE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87.69</w:t>
            </w:r>
          </w:p>
        </w:tc>
        <w:tc>
          <w:tcPr>
            <w:tcW w:w="1217" w:type="dxa"/>
            <w:tcBorders>
              <w:top w:val="nil"/>
              <w:left w:val="nil"/>
              <w:bottom w:val="single" w:sz="4" w:space="0" w:color="auto"/>
              <w:right w:val="nil"/>
            </w:tcBorders>
            <w:shd w:val="clear" w:color="auto" w:fill="E5E5E5" w:themeFill="background1" w:themeFillTint="33"/>
            <w:noWrap/>
            <w:vAlign w:val="bottom"/>
            <w:hideMark/>
          </w:tcPr>
          <w:p w14:paraId="63B7A47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90.22</w:t>
            </w:r>
          </w:p>
        </w:tc>
        <w:tc>
          <w:tcPr>
            <w:tcW w:w="1134" w:type="dxa"/>
            <w:tcBorders>
              <w:top w:val="nil"/>
              <w:left w:val="nil"/>
              <w:bottom w:val="single" w:sz="4" w:space="0" w:color="auto"/>
              <w:right w:val="nil"/>
            </w:tcBorders>
            <w:shd w:val="clear" w:color="auto" w:fill="E5E5E5" w:themeFill="background1" w:themeFillTint="33"/>
            <w:noWrap/>
            <w:vAlign w:val="bottom"/>
            <w:hideMark/>
          </w:tcPr>
          <w:p w14:paraId="172C728C"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90.08</w:t>
            </w:r>
          </w:p>
        </w:tc>
        <w:tc>
          <w:tcPr>
            <w:tcW w:w="1276" w:type="dxa"/>
            <w:tcBorders>
              <w:top w:val="nil"/>
              <w:left w:val="nil"/>
              <w:bottom w:val="single" w:sz="4" w:space="0" w:color="auto"/>
              <w:right w:val="nil"/>
            </w:tcBorders>
            <w:shd w:val="clear" w:color="auto" w:fill="E5E5E5" w:themeFill="background1" w:themeFillTint="33"/>
            <w:noWrap/>
            <w:vAlign w:val="bottom"/>
            <w:hideMark/>
          </w:tcPr>
          <w:p w14:paraId="1F332321"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88.54</w:t>
            </w:r>
          </w:p>
        </w:tc>
        <w:tc>
          <w:tcPr>
            <w:tcW w:w="1134" w:type="dxa"/>
            <w:tcBorders>
              <w:top w:val="nil"/>
              <w:left w:val="nil"/>
              <w:bottom w:val="single" w:sz="4" w:space="0" w:color="auto"/>
              <w:right w:val="nil"/>
            </w:tcBorders>
            <w:shd w:val="clear" w:color="auto" w:fill="E5E5E5" w:themeFill="background1" w:themeFillTint="33"/>
            <w:noWrap/>
            <w:vAlign w:val="bottom"/>
            <w:hideMark/>
          </w:tcPr>
          <w:p w14:paraId="07D75A4B"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82.07</w:t>
            </w:r>
          </w:p>
        </w:tc>
        <w:tc>
          <w:tcPr>
            <w:tcW w:w="1275" w:type="dxa"/>
            <w:tcBorders>
              <w:top w:val="nil"/>
              <w:left w:val="nil"/>
              <w:bottom w:val="single" w:sz="4" w:space="0" w:color="auto"/>
              <w:right w:val="nil"/>
            </w:tcBorders>
            <w:shd w:val="clear" w:color="auto" w:fill="E5E5E5" w:themeFill="background1" w:themeFillTint="33"/>
            <w:noWrap/>
            <w:vAlign w:val="bottom"/>
            <w:hideMark/>
          </w:tcPr>
          <w:p w14:paraId="6BAFB6A7" w14:textId="77777777" w:rsidR="00961617" w:rsidRPr="0076418A" w:rsidRDefault="00961617" w:rsidP="0020771F">
            <w:pPr>
              <w:spacing w:after="0" w:line="240" w:lineRule="auto"/>
              <w:ind w:right="77"/>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88.19</w:t>
            </w:r>
          </w:p>
        </w:tc>
      </w:tr>
    </w:tbl>
    <w:p w14:paraId="280EEC0C" w14:textId="09CA8AA0" w:rsidR="00961617" w:rsidRPr="002F5864" w:rsidRDefault="00961617" w:rsidP="00961617">
      <w:pPr>
        <w:pStyle w:val="FootnoteText"/>
        <w:ind w:left="0" w:firstLine="0"/>
        <w:rPr>
          <w:rFonts w:cstheme="minorHAnsi"/>
        </w:rPr>
      </w:pPr>
      <w:r w:rsidRPr="002F5864">
        <w:rPr>
          <w:rFonts w:cstheme="minorHAnsi"/>
          <w:b/>
        </w:rPr>
        <w:t xml:space="preserve">Note: </w:t>
      </w:r>
      <w:r w:rsidR="00E13B5E">
        <w:rPr>
          <w:rFonts w:cstheme="minorHAnsi"/>
        </w:rPr>
        <w:tab/>
        <w:t>S</w:t>
      </w:r>
      <w:r>
        <w:rPr>
          <w:rFonts w:cstheme="minorHAnsi"/>
        </w:rPr>
        <w:t>elected days</w:t>
      </w:r>
      <w:r w:rsidRPr="002F5864">
        <w:rPr>
          <w:rFonts w:cstheme="minorHAnsi"/>
        </w:rPr>
        <w:t xml:space="preserve"> shown </w:t>
      </w:r>
      <w:r>
        <w:rPr>
          <w:rFonts w:cstheme="minorHAnsi"/>
        </w:rPr>
        <w:t xml:space="preserve">only </w:t>
      </w:r>
      <w:r w:rsidRPr="002F5864">
        <w:rPr>
          <w:rFonts w:cstheme="minorHAnsi"/>
        </w:rPr>
        <w:t>(in 25</w:t>
      </w:r>
      <w:r w:rsidR="0075543B">
        <w:rPr>
          <w:rFonts w:cstheme="minorHAnsi"/>
        </w:rPr>
        <w:t>-</w:t>
      </w:r>
      <w:r w:rsidRPr="002F5864">
        <w:rPr>
          <w:rFonts w:cstheme="minorHAnsi"/>
        </w:rPr>
        <w:t>day intervals).</w:t>
      </w:r>
    </w:p>
    <w:p w14:paraId="5F824726" w14:textId="77777777" w:rsidR="00961617" w:rsidRPr="002F5864" w:rsidRDefault="00961617" w:rsidP="00961617">
      <w:pPr>
        <w:pStyle w:val="FootnoteText"/>
        <w:ind w:left="0" w:firstLine="0"/>
        <w:rPr>
          <w:rFonts w:eastAsia="Times New Roman" w:cstheme="minorHAnsi"/>
          <w:lang w:eastAsia="en-AU"/>
        </w:rPr>
      </w:pPr>
      <w:r w:rsidRPr="002F5864">
        <w:rPr>
          <w:rFonts w:cstheme="minorHAnsi"/>
          <w:b/>
        </w:rPr>
        <w:t>Source:</w:t>
      </w:r>
      <w:r w:rsidRPr="002F5864">
        <w:rPr>
          <w:rFonts w:cstheme="minorHAnsi"/>
          <w:b/>
        </w:rPr>
        <w:tab/>
      </w:r>
      <w:r w:rsidRPr="002F5864">
        <w:rPr>
          <w:rFonts w:eastAsia="Times New Roman" w:cstheme="minorHAnsi"/>
          <w:lang w:eastAsia="en-AU"/>
        </w:rPr>
        <w:t>Department of Employment administrative data.</w:t>
      </w:r>
    </w:p>
    <w:p w14:paraId="23F05EE3" w14:textId="77777777" w:rsidR="00961617" w:rsidRPr="002F5864" w:rsidRDefault="00864C5E" w:rsidP="00961617">
      <w:pPr>
        <w:spacing w:before="120"/>
        <w:rPr>
          <w:rFonts w:eastAsia="Times New Roman" w:cstheme="minorHAnsi"/>
          <w:sz w:val="18"/>
          <w:szCs w:val="20"/>
          <w:lang w:eastAsia="en-AU"/>
        </w:rPr>
      </w:pPr>
      <w:hyperlink w:anchor="Place_A228" w:history="1">
        <w:r w:rsidR="00961617" w:rsidRPr="00DD4BF4">
          <w:rPr>
            <w:rStyle w:val="Hyperlink"/>
            <w:rFonts w:cstheme="minorHAnsi"/>
            <w:sz w:val="18"/>
            <w:szCs w:val="18"/>
          </w:rPr>
          <w:t>Return to Table 5.3</w:t>
        </w:r>
      </w:hyperlink>
      <w:r w:rsidR="00961617" w:rsidRPr="002F5864">
        <w:rPr>
          <w:rFonts w:cstheme="minorHAnsi"/>
          <w:sz w:val="18"/>
          <w:szCs w:val="18"/>
        </w:rPr>
        <w:t xml:space="preserve"> where this data is referenced.</w:t>
      </w:r>
      <w:r w:rsidR="00961617" w:rsidRPr="002F5864">
        <w:rPr>
          <w:rFonts w:eastAsia="Times New Roman" w:cstheme="minorHAnsi"/>
          <w:lang w:eastAsia="en-AU"/>
        </w:rPr>
        <w:br w:type="page"/>
      </w:r>
    </w:p>
    <w:p w14:paraId="5774FB63" w14:textId="77777777" w:rsidR="00961617" w:rsidRPr="002F5864" w:rsidRDefault="00961617" w:rsidP="00961617">
      <w:pPr>
        <w:pStyle w:val="TableheadingforappendixA1"/>
        <w:rPr>
          <w:rFonts w:cstheme="minorHAnsi"/>
        </w:rPr>
      </w:pPr>
      <w:bookmarkStart w:id="694" w:name="_Toc513129922"/>
      <w:r w:rsidRPr="002F5864">
        <w:rPr>
          <w:rFonts w:cstheme="minorHAnsi"/>
        </w:rPr>
        <w:t>Table A2.</w:t>
      </w:r>
      <w:r>
        <w:rPr>
          <w:rFonts w:cstheme="minorHAnsi"/>
        </w:rPr>
        <w:t>29</w:t>
      </w:r>
      <w:r w:rsidRPr="002F5864">
        <w:rPr>
          <w:rFonts w:cstheme="minorHAnsi"/>
          <w:noProof/>
        </w:rPr>
        <w:t xml:space="preserve">: </w:t>
      </w:r>
      <w:r>
        <w:rPr>
          <w:rFonts w:cstheme="minorHAnsi"/>
          <w:noProof/>
        </w:rPr>
        <w:t>Weekly rates of starting the Compulsory Activity Phase (CAP) and exiting income support for the treatment group (per cent)</w:t>
      </w:r>
      <w:bookmarkEnd w:id="694"/>
    </w:p>
    <w:tbl>
      <w:tblPr>
        <w:tblW w:w="5827" w:type="dxa"/>
        <w:tblInd w:w="93" w:type="dxa"/>
        <w:tblLook w:val="04A0" w:firstRow="1" w:lastRow="0" w:firstColumn="1" w:lastColumn="0" w:noHBand="0" w:noVBand="1"/>
      </w:tblPr>
      <w:tblGrid>
        <w:gridCol w:w="1480"/>
        <w:gridCol w:w="1937"/>
        <w:gridCol w:w="2410"/>
      </w:tblGrid>
      <w:tr w:rsidR="00961617" w:rsidRPr="0076418A" w14:paraId="07941779" w14:textId="77777777" w:rsidTr="0020771F">
        <w:trPr>
          <w:trHeight w:val="576"/>
          <w:tblHeader/>
        </w:trPr>
        <w:tc>
          <w:tcPr>
            <w:tcW w:w="1480" w:type="dxa"/>
            <w:tcBorders>
              <w:top w:val="nil"/>
              <w:left w:val="nil"/>
              <w:bottom w:val="nil"/>
              <w:right w:val="nil"/>
            </w:tcBorders>
            <w:shd w:val="clear" w:color="auto" w:fill="1E3D6B"/>
            <w:noWrap/>
            <w:vAlign w:val="center"/>
            <w:hideMark/>
          </w:tcPr>
          <w:p w14:paraId="3DDCE566" w14:textId="77777777" w:rsidR="00961617" w:rsidRPr="0076418A" w:rsidRDefault="00961617" w:rsidP="0020771F">
            <w:pPr>
              <w:spacing w:after="0" w:line="240" w:lineRule="auto"/>
              <w:ind w:left="40"/>
              <w:rPr>
                <w:rFonts w:eastAsia="Times New Roman" w:cstheme="minorHAnsi"/>
                <w:b/>
                <w:color w:val="FFFFFF" w:themeColor="background2"/>
                <w:sz w:val="20"/>
                <w:szCs w:val="20"/>
                <w:lang w:eastAsia="en-AU"/>
              </w:rPr>
            </w:pPr>
            <w:bookmarkStart w:id="695" w:name="Title_A229"/>
            <w:bookmarkEnd w:id="695"/>
            <w:r w:rsidRPr="0076418A">
              <w:rPr>
                <w:rFonts w:eastAsia="Times New Roman" w:cstheme="minorHAnsi"/>
                <w:b/>
                <w:color w:val="FFFFFF" w:themeColor="background2"/>
                <w:sz w:val="20"/>
                <w:szCs w:val="20"/>
                <w:lang w:eastAsia="en-AU"/>
              </w:rPr>
              <w:t>Weeks</w:t>
            </w:r>
          </w:p>
        </w:tc>
        <w:tc>
          <w:tcPr>
            <w:tcW w:w="1937" w:type="dxa"/>
            <w:tcBorders>
              <w:top w:val="nil"/>
              <w:left w:val="nil"/>
              <w:bottom w:val="nil"/>
              <w:right w:val="nil"/>
            </w:tcBorders>
            <w:shd w:val="clear" w:color="auto" w:fill="1E3D6B"/>
            <w:noWrap/>
            <w:vAlign w:val="center"/>
            <w:hideMark/>
          </w:tcPr>
          <w:p w14:paraId="5E594B20" w14:textId="77777777" w:rsidR="00961617" w:rsidRPr="0076418A" w:rsidRDefault="00961617" w:rsidP="0020771F">
            <w:pPr>
              <w:spacing w:after="0" w:line="240" w:lineRule="auto"/>
              <w:ind w:left="341"/>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Start CAP</w:t>
            </w:r>
          </w:p>
        </w:tc>
        <w:tc>
          <w:tcPr>
            <w:tcW w:w="2410" w:type="dxa"/>
            <w:tcBorders>
              <w:top w:val="nil"/>
              <w:left w:val="nil"/>
              <w:bottom w:val="nil"/>
              <w:right w:val="nil"/>
            </w:tcBorders>
            <w:shd w:val="clear" w:color="auto" w:fill="1E3D6B"/>
            <w:noWrap/>
            <w:vAlign w:val="center"/>
            <w:hideMark/>
          </w:tcPr>
          <w:p w14:paraId="22A3F8FF" w14:textId="77777777" w:rsidR="00961617" w:rsidRPr="0076418A" w:rsidRDefault="00961617" w:rsidP="0020771F">
            <w:pPr>
              <w:spacing w:after="0" w:line="240" w:lineRule="auto"/>
              <w:ind w:left="146"/>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Off income support</w:t>
            </w:r>
          </w:p>
        </w:tc>
      </w:tr>
      <w:tr w:rsidR="00961617" w:rsidRPr="0076418A" w14:paraId="4833779D" w14:textId="77777777" w:rsidTr="0020771F">
        <w:trPr>
          <w:trHeight w:val="288"/>
        </w:trPr>
        <w:tc>
          <w:tcPr>
            <w:tcW w:w="1480" w:type="dxa"/>
            <w:tcBorders>
              <w:top w:val="nil"/>
              <w:left w:val="nil"/>
              <w:bottom w:val="nil"/>
              <w:right w:val="nil"/>
            </w:tcBorders>
            <w:shd w:val="clear" w:color="auto" w:fill="auto"/>
            <w:noWrap/>
            <w:vAlign w:val="bottom"/>
            <w:hideMark/>
          </w:tcPr>
          <w:p w14:paraId="57551F5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w:t>
            </w:r>
          </w:p>
        </w:tc>
        <w:tc>
          <w:tcPr>
            <w:tcW w:w="1937" w:type="dxa"/>
            <w:tcBorders>
              <w:top w:val="nil"/>
              <w:left w:val="nil"/>
              <w:bottom w:val="nil"/>
              <w:right w:val="nil"/>
            </w:tcBorders>
            <w:shd w:val="clear" w:color="auto" w:fill="auto"/>
            <w:noWrap/>
            <w:vAlign w:val="bottom"/>
            <w:hideMark/>
          </w:tcPr>
          <w:p w14:paraId="77A0817B"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2410" w:type="dxa"/>
            <w:tcBorders>
              <w:top w:val="nil"/>
              <w:left w:val="nil"/>
              <w:bottom w:val="nil"/>
              <w:right w:val="nil"/>
            </w:tcBorders>
            <w:shd w:val="clear" w:color="auto" w:fill="auto"/>
            <w:noWrap/>
            <w:vAlign w:val="bottom"/>
            <w:hideMark/>
          </w:tcPr>
          <w:p w14:paraId="639437F4"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90D1C48"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980920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w:t>
            </w:r>
          </w:p>
        </w:tc>
        <w:tc>
          <w:tcPr>
            <w:tcW w:w="1937" w:type="dxa"/>
            <w:tcBorders>
              <w:top w:val="nil"/>
              <w:left w:val="nil"/>
              <w:bottom w:val="nil"/>
              <w:right w:val="nil"/>
            </w:tcBorders>
            <w:shd w:val="clear" w:color="auto" w:fill="E5E5E5" w:themeFill="background1" w:themeFillTint="33"/>
            <w:noWrap/>
            <w:vAlign w:val="bottom"/>
            <w:hideMark/>
          </w:tcPr>
          <w:p w14:paraId="547022F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2410" w:type="dxa"/>
            <w:tcBorders>
              <w:top w:val="nil"/>
              <w:left w:val="nil"/>
              <w:bottom w:val="nil"/>
              <w:right w:val="nil"/>
            </w:tcBorders>
            <w:shd w:val="clear" w:color="auto" w:fill="E5E5E5" w:themeFill="background1" w:themeFillTint="33"/>
            <w:noWrap/>
            <w:vAlign w:val="bottom"/>
            <w:hideMark/>
          </w:tcPr>
          <w:p w14:paraId="6CFB202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25D6E70F" w14:textId="77777777" w:rsidTr="0020771F">
        <w:trPr>
          <w:trHeight w:val="288"/>
        </w:trPr>
        <w:tc>
          <w:tcPr>
            <w:tcW w:w="1480" w:type="dxa"/>
            <w:tcBorders>
              <w:top w:val="nil"/>
              <w:left w:val="nil"/>
              <w:bottom w:val="nil"/>
              <w:right w:val="nil"/>
            </w:tcBorders>
            <w:shd w:val="clear" w:color="auto" w:fill="auto"/>
            <w:noWrap/>
            <w:vAlign w:val="bottom"/>
            <w:hideMark/>
          </w:tcPr>
          <w:p w14:paraId="0702E547"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w:t>
            </w:r>
          </w:p>
        </w:tc>
        <w:tc>
          <w:tcPr>
            <w:tcW w:w="1937" w:type="dxa"/>
            <w:tcBorders>
              <w:top w:val="nil"/>
              <w:left w:val="nil"/>
              <w:bottom w:val="nil"/>
              <w:right w:val="nil"/>
            </w:tcBorders>
            <w:shd w:val="clear" w:color="auto" w:fill="auto"/>
            <w:noWrap/>
            <w:vAlign w:val="bottom"/>
            <w:hideMark/>
          </w:tcPr>
          <w:p w14:paraId="152296A8"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2410" w:type="dxa"/>
            <w:tcBorders>
              <w:top w:val="nil"/>
              <w:left w:val="nil"/>
              <w:bottom w:val="nil"/>
              <w:right w:val="nil"/>
            </w:tcBorders>
            <w:shd w:val="clear" w:color="auto" w:fill="auto"/>
            <w:noWrap/>
            <w:vAlign w:val="bottom"/>
            <w:hideMark/>
          </w:tcPr>
          <w:p w14:paraId="6AFA77E8"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659FD4D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06AF3F4"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w:t>
            </w:r>
          </w:p>
        </w:tc>
        <w:tc>
          <w:tcPr>
            <w:tcW w:w="1937" w:type="dxa"/>
            <w:tcBorders>
              <w:top w:val="nil"/>
              <w:left w:val="nil"/>
              <w:bottom w:val="nil"/>
              <w:right w:val="nil"/>
            </w:tcBorders>
            <w:shd w:val="clear" w:color="auto" w:fill="E5E5E5" w:themeFill="background1" w:themeFillTint="33"/>
            <w:noWrap/>
            <w:vAlign w:val="bottom"/>
            <w:hideMark/>
          </w:tcPr>
          <w:p w14:paraId="621DB8BF"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2410" w:type="dxa"/>
            <w:tcBorders>
              <w:top w:val="nil"/>
              <w:left w:val="nil"/>
              <w:bottom w:val="nil"/>
              <w:right w:val="nil"/>
            </w:tcBorders>
            <w:shd w:val="clear" w:color="auto" w:fill="E5E5E5" w:themeFill="background1" w:themeFillTint="33"/>
            <w:noWrap/>
            <w:vAlign w:val="bottom"/>
            <w:hideMark/>
          </w:tcPr>
          <w:p w14:paraId="294560D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3CB11C3D" w14:textId="77777777" w:rsidTr="0020771F">
        <w:trPr>
          <w:trHeight w:val="288"/>
        </w:trPr>
        <w:tc>
          <w:tcPr>
            <w:tcW w:w="1480" w:type="dxa"/>
            <w:tcBorders>
              <w:top w:val="nil"/>
              <w:left w:val="nil"/>
              <w:bottom w:val="nil"/>
              <w:right w:val="nil"/>
            </w:tcBorders>
            <w:shd w:val="clear" w:color="auto" w:fill="auto"/>
            <w:noWrap/>
            <w:vAlign w:val="bottom"/>
            <w:hideMark/>
          </w:tcPr>
          <w:p w14:paraId="3FB52EAC"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w:t>
            </w:r>
          </w:p>
        </w:tc>
        <w:tc>
          <w:tcPr>
            <w:tcW w:w="1937" w:type="dxa"/>
            <w:tcBorders>
              <w:top w:val="nil"/>
              <w:left w:val="nil"/>
              <w:bottom w:val="nil"/>
              <w:right w:val="nil"/>
            </w:tcBorders>
            <w:shd w:val="clear" w:color="auto" w:fill="auto"/>
            <w:noWrap/>
            <w:vAlign w:val="bottom"/>
            <w:hideMark/>
          </w:tcPr>
          <w:p w14:paraId="24CC4BE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2410" w:type="dxa"/>
            <w:tcBorders>
              <w:top w:val="nil"/>
              <w:left w:val="nil"/>
              <w:bottom w:val="nil"/>
              <w:right w:val="nil"/>
            </w:tcBorders>
            <w:shd w:val="clear" w:color="auto" w:fill="auto"/>
            <w:noWrap/>
            <w:vAlign w:val="bottom"/>
            <w:hideMark/>
          </w:tcPr>
          <w:p w14:paraId="4C88F1CD"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2C590E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195370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w:t>
            </w:r>
          </w:p>
        </w:tc>
        <w:tc>
          <w:tcPr>
            <w:tcW w:w="1937" w:type="dxa"/>
            <w:tcBorders>
              <w:top w:val="nil"/>
              <w:left w:val="nil"/>
              <w:bottom w:val="nil"/>
              <w:right w:val="nil"/>
            </w:tcBorders>
            <w:shd w:val="clear" w:color="auto" w:fill="E5E5E5" w:themeFill="background1" w:themeFillTint="33"/>
            <w:noWrap/>
            <w:vAlign w:val="bottom"/>
            <w:hideMark/>
          </w:tcPr>
          <w:p w14:paraId="046D3D2C"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2410" w:type="dxa"/>
            <w:tcBorders>
              <w:top w:val="nil"/>
              <w:left w:val="nil"/>
              <w:bottom w:val="nil"/>
              <w:right w:val="nil"/>
            </w:tcBorders>
            <w:shd w:val="clear" w:color="auto" w:fill="E5E5E5" w:themeFill="background1" w:themeFillTint="33"/>
            <w:noWrap/>
            <w:vAlign w:val="bottom"/>
            <w:hideMark/>
          </w:tcPr>
          <w:p w14:paraId="6DD07FD9"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2CA93253" w14:textId="77777777" w:rsidTr="0020771F">
        <w:trPr>
          <w:trHeight w:val="288"/>
        </w:trPr>
        <w:tc>
          <w:tcPr>
            <w:tcW w:w="1480" w:type="dxa"/>
            <w:tcBorders>
              <w:top w:val="nil"/>
              <w:left w:val="nil"/>
              <w:bottom w:val="nil"/>
              <w:right w:val="nil"/>
            </w:tcBorders>
            <w:shd w:val="clear" w:color="auto" w:fill="auto"/>
            <w:noWrap/>
            <w:vAlign w:val="bottom"/>
            <w:hideMark/>
          </w:tcPr>
          <w:p w14:paraId="2053FB0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w:t>
            </w:r>
          </w:p>
        </w:tc>
        <w:tc>
          <w:tcPr>
            <w:tcW w:w="1937" w:type="dxa"/>
            <w:tcBorders>
              <w:top w:val="nil"/>
              <w:left w:val="nil"/>
              <w:bottom w:val="nil"/>
              <w:right w:val="nil"/>
            </w:tcBorders>
            <w:shd w:val="clear" w:color="auto" w:fill="auto"/>
            <w:noWrap/>
            <w:vAlign w:val="bottom"/>
            <w:hideMark/>
          </w:tcPr>
          <w:p w14:paraId="50D3108A"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2410" w:type="dxa"/>
            <w:tcBorders>
              <w:top w:val="nil"/>
              <w:left w:val="nil"/>
              <w:bottom w:val="nil"/>
              <w:right w:val="nil"/>
            </w:tcBorders>
            <w:shd w:val="clear" w:color="auto" w:fill="auto"/>
            <w:noWrap/>
            <w:vAlign w:val="bottom"/>
            <w:hideMark/>
          </w:tcPr>
          <w:p w14:paraId="4C2E70C6"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0D57A48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1FC5E2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w:t>
            </w:r>
          </w:p>
        </w:tc>
        <w:tc>
          <w:tcPr>
            <w:tcW w:w="1937" w:type="dxa"/>
            <w:tcBorders>
              <w:top w:val="nil"/>
              <w:left w:val="nil"/>
              <w:bottom w:val="nil"/>
              <w:right w:val="nil"/>
            </w:tcBorders>
            <w:shd w:val="clear" w:color="auto" w:fill="E5E5E5" w:themeFill="background1" w:themeFillTint="33"/>
            <w:noWrap/>
            <w:vAlign w:val="bottom"/>
            <w:hideMark/>
          </w:tcPr>
          <w:p w14:paraId="79B62E9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2410" w:type="dxa"/>
            <w:tcBorders>
              <w:top w:val="nil"/>
              <w:left w:val="nil"/>
              <w:bottom w:val="nil"/>
              <w:right w:val="nil"/>
            </w:tcBorders>
            <w:shd w:val="clear" w:color="auto" w:fill="E5E5E5" w:themeFill="background1" w:themeFillTint="33"/>
            <w:noWrap/>
            <w:vAlign w:val="bottom"/>
            <w:hideMark/>
          </w:tcPr>
          <w:p w14:paraId="5D25C73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44A97CC4" w14:textId="77777777" w:rsidTr="0020771F">
        <w:trPr>
          <w:trHeight w:val="288"/>
        </w:trPr>
        <w:tc>
          <w:tcPr>
            <w:tcW w:w="1480" w:type="dxa"/>
            <w:tcBorders>
              <w:top w:val="nil"/>
              <w:left w:val="nil"/>
              <w:bottom w:val="nil"/>
              <w:right w:val="nil"/>
            </w:tcBorders>
            <w:shd w:val="clear" w:color="auto" w:fill="auto"/>
            <w:noWrap/>
            <w:vAlign w:val="bottom"/>
            <w:hideMark/>
          </w:tcPr>
          <w:p w14:paraId="764EAC7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w:t>
            </w:r>
          </w:p>
        </w:tc>
        <w:tc>
          <w:tcPr>
            <w:tcW w:w="1937" w:type="dxa"/>
            <w:tcBorders>
              <w:top w:val="nil"/>
              <w:left w:val="nil"/>
              <w:bottom w:val="nil"/>
              <w:right w:val="nil"/>
            </w:tcBorders>
            <w:shd w:val="clear" w:color="auto" w:fill="auto"/>
            <w:noWrap/>
            <w:vAlign w:val="bottom"/>
            <w:hideMark/>
          </w:tcPr>
          <w:p w14:paraId="433A8B7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2410" w:type="dxa"/>
            <w:tcBorders>
              <w:top w:val="nil"/>
              <w:left w:val="nil"/>
              <w:bottom w:val="nil"/>
              <w:right w:val="nil"/>
            </w:tcBorders>
            <w:shd w:val="clear" w:color="auto" w:fill="auto"/>
            <w:noWrap/>
            <w:vAlign w:val="bottom"/>
            <w:hideMark/>
          </w:tcPr>
          <w:p w14:paraId="380576C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3DB256E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5243CF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1937" w:type="dxa"/>
            <w:tcBorders>
              <w:top w:val="nil"/>
              <w:left w:val="nil"/>
              <w:bottom w:val="nil"/>
              <w:right w:val="nil"/>
            </w:tcBorders>
            <w:shd w:val="clear" w:color="auto" w:fill="E5E5E5" w:themeFill="background1" w:themeFillTint="33"/>
            <w:noWrap/>
            <w:vAlign w:val="bottom"/>
            <w:hideMark/>
          </w:tcPr>
          <w:p w14:paraId="4A4316A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2410" w:type="dxa"/>
            <w:tcBorders>
              <w:top w:val="nil"/>
              <w:left w:val="nil"/>
              <w:bottom w:val="nil"/>
              <w:right w:val="nil"/>
            </w:tcBorders>
            <w:shd w:val="clear" w:color="auto" w:fill="E5E5E5" w:themeFill="background1" w:themeFillTint="33"/>
            <w:noWrap/>
            <w:vAlign w:val="bottom"/>
            <w:hideMark/>
          </w:tcPr>
          <w:p w14:paraId="0AC8355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0521085C" w14:textId="77777777" w:rsidTr="0020771F">
        <w:trPr>
          <w:trHeight w:val="288"/>
        </w:trPr>
        <w:tc>
          <w:tcPr>
            <w:tcW w:w="1480" w:type="dxa"/>
            <w:tcBorders>
              <w:top w:val="nil"/>
              <w:left w:val="nil"/>
              <w:bottom w:val="nil"/>
              <w:right w:val="nil"/>
            </w:tcBorders>
            <w:shd w:val="clear" w:color="auto" w:fill="auto"/>
            <w:noWrap/>
            <w:vAlign w:val="bottom"/>
            <w:hideMark/>
          </w:tcPr>
          <w:p w14:paraId="7DBD3DD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c>
          <w:tcPr>
            <w:tcW w:w="1937" w:type="dxa"/>
            <w:tcBorders>
              <w:top w:val="nil"/>
              <w:left w:val="nil"/>
              <w:bottom w:val="nil"/>
              <w:right w:val="nil"/>
            </w:tcBorders>
            <w:shd w:val="clear" w:color="auto" w:fill="auto"/>
            <w:noWrap/>
            <w:vAlign w:val="bottom"/>
            <w:hideMark/>
          </w:tcPr>
          <w:p w14:paraId="5FF9BA4B"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auto" w:fill="auto"/>
            <w:noWrap/>
            <w:vAlign w:val="bottom"/>
            <w:hideMark/>
          </w:tcPr>
          <w:p w14:paraId="0A6CA5CB"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6181267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F4A59F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c>
          <w:tcPr>
            <w:tcW w:w="1937" w:type="dxa"/>
            <w:tcBorders>
              <w:top w:val="nil"/>
              <w:left w:val="nil"/>
              <w:bottom w:val="nil"/>
              <w:right w:val="nil"/>
            </w:tcBorders>
            <w:shd w:val="clear" w:color="auto" w:fill="E5E5E5" w:themeFill="background1" w:themeFillTint="33"/>
            <w:noWrap/>
            <w:vAlign w:val="bottom"/>
            <w:hideMark/>
          </w:tcPr>
          <w:p w14:paraId="4269F01C"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auto" w:fill="E5E5E5" w:themeFill="background1" w:themeFillTint="33"/>
            <w:noWrap/>
            <w:vAlign w:val="bottom"/>
            <w:hideMark/>
          </w:tcPr>
          <w:p w14:paraId="752D2F6C"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20D56FE8" w14:textId="77777777" w:rsidTr="0020771F">
        <w:trPr>
          <w:trHeight w:val="288"/>
        </w:trPr>
        <w:tc>
          <w:tcPr>
            <w:tcW w:w="1480" w:type="dxa"/>
            <w:tcBorders>
              <w:top w:val="nil"/>
              <w:left w:val="nil"/>
              <w:bottom w:val="nil"/>
              <w:right w:val="nil"/>
            </w:tcBorders>
            <w:shd w:val="clear" w:color="auto" w:fill="auto"/>
            <w:noWrap/>
            <w:vAlign w:val="bottom"/>
            <w:hideMark/>
          </w:tcPr>
          <w:p w14:paraId="32AE64C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c>
          <w:tcPr>
            <w:tcW w:w="1937" w:type="dxa"/>
            <w:tcBorders>
              <w:top w:val="nil"/>
              <w:left w:val="nil"/>
              <w:bottom w:val="nil"/>
              <w:right w:val="nil"/>
            </w:tcBorders>
            <w:shd w:val="clear" w:color="auto" w:fill="auto"/>
            <w:noWrap/>
            <w:vAlign w:val="bottom"/>
            <w:hideMark/>
          </w:tcPr>
          <w:p w14:paraId="675BDD5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auto" w:fill="auto"/>
            <w:noWrap/>
            <w:vAlign w:val="bottom"/>
            <w:hideMark/>
          </w:tcPr>
          <w:p w14:paraId="4A46FFF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1018941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732E954"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1937" w:type="dxa"/>
            <w:tcBorders>
              <w:top w:val="nil"/>
              <w:left w:val="nil"/>
              <w:bottom w:val="nil"/>
              <w:right w:val="nil"/>
            </w:tcBorders>
            <w:shd w:val="clear" w:color="auto" w:fill="E5E5E5" w:themeFill="background1" w:themeFillTint="33"/>
            <w:noWrap/>
            <w:vAlign w:val="bottom"/>
            <w:hideMark/>
          </w:tcPr>
          <w:p w14:paraId="372E1162"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2410" w:type="dxa"/>
            <w:tcBorders>
              <w:top w:val="nil"/>
              <w:left w:val="nil"/>
              <w:bottom w:val="nil"/>
              <w:right w:val="nil"/>
            </w:tcBorders>
            <w:shd w:val="clear" w:color="auto" w:fill="E5E5E5" w:themeFill="background1" w:themeFillTint="33"/>
            <w:noWrap/>
            <w:vAlign w:val="bottom"/>
            <w:hideMark/>
          </w:tcPr>
          <w:p w14:paraId="7D5DBC9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21A845F3" w14:textId="77777777" w:rsidTr="0020771F">
        <w:trPr>
          <w:trHeight w:val="288"/>
        </w:trPr>
        <w:tc>
          <w:tcPr>
            <w:tcW w:w="1480" w:type="dxa"/>
            <w:tcBorders>
              <w:top w:val="nil"/>
              <w:left w:val="nil"/>
              <w:bottom w:val="nil"/>
              <w:right w:val="nil"/>
            </w:tcBorders>
            <w:shd w:val="clear" w:color="auto" w:fill="auto"/>
            <w:noWrap/>
            <w:vAlign w:val="bottom"/>
            <w:hideMark/>
          </w:tcPr>
          <w:p w14:paraId="19F723A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1937" w:type="dxa"/>
            <w:tcBorders>
              <w:top w:val="nil"/>
              <w:left w:val="nil"/>
              <w:bottom w:val="nil"/>
              <w:right w:val="nil"/>
            </w:tcBorders>
            <w:shd w:val="clear" w:color="auto" w:fill="auto"/>
            <w:noWrap/>
            <w:vAlign w:val="bottom"/>
            <w:hideMark/>
          </w:tcPr>
          <w:p w14:paraId="391EC46F"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2410" w:type="dxa"/>
            <w:tcBorders>
              <w:top w:val="nil"/>
              <w:left w:val="nil"/>
              <w:bottom w:val="nil"/>
              <w:right w:val="nil"/>
            </w:tcBorders>
            <w:shd w:val="clear" w:color="auto" w:fill="auto"/>
            <w:noWrap/>
            <w:vAlign w:val="bottom"/>
            <w:hideMark/>
          </w:tcPr>
          <w:p w14:paraId="6C62B43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5A3600D5"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F9035F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1937" w:type="dxa"/>
            <w:tcBorders>
              <w:top w:val="nil"/>
              <w:left w:val="nil"/>
              <w:bottom w:val="nil"/>
              <w:right w:val="nil"/>
            </w:tcBorders>
            <w:shd w:val="clear" w:color="auto" w:fill="E5E5E5" w:themeFill="background1" w:themeFillTint="33"/>
            <w:noWrap/>
            <w:vAlign w:val="bottom"/>
            <w:hideMark/>
          </w:tcPr>
          <w:p w14:paraId="6A72675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2410" w:type="dxa"/>
            <w:tcBorders>
              <w:top w:val="nil"/>
              <w:left w:val="nil"/>
              <w:bottom w:val="nil"/>
              <w:right w:val="nil"/>
            </w:tcBorders>
            <w:shd w:val="clear" w:color="auto" w:fill="E5E5E5" w:themeFill="background1" w:themeFillTint="33"/>
            <w:noWrap/>
            <w:vAlign w:val="bottom"/>
            <w:hideMark/>
          </w:tcPr>
          <w:p w14:paraId="41F474EA"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4E926ADB" w14:textId="77777777" w:rsidTr="0020771F">
        <w:trPr>
          <w:trHeight w:val="288"/>
        </w:trPr>
        <w:tc>
          <w:tcPr>
            <w:tcW w:w="1480" w:type="dxa"/>
            <w:tcBorders>
              <w:top w:val="nil"/>
              <w:left w:val="nil"/>
              <w:bottom w:val="nil"/>
              <w:right w:val="nil"/>
            </w:tcBorders>
            <w:shd w:val="clear" w:color="auto" w:fill="auto"/>
            <w:noWrap/>
            <w:vAlign w:val="bottom"/>
            <w:hideMark/>
          </w:tcPr>
          <w:p w14:paraId="64CAE4B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1937" w:type="dxa"/>
            <w:tcBorders>
              <w:top w:val="nil"/>
              <w:left w:val="nil"/>
              <w:bottom w:val="nil"/>
              <w:right w:val="nil"/>
            </w:tcBorders>
            <w:shd w:val="clear" w:color="auto" w:fill="auto"/>
            <w:noWrap/>
            <w:vAlign w:val="bottom"/>
            <w:hideMark/>
          </w:tcPr>
          <w:p w14:paraId="56B410B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auto" w:fill="auto"/>
            <w:noWrap/>
            <w:vAlign w:val="bottom"/>
            <w:hideMark/>
          </w:tcPr>
          <w:p w14:paraId="54F177EC"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B2656B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21A306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1937" w:type="dxa"/>
            <w:tcBorders>
              <w:top w:val="nil"/>
              <w:left w:val="nil"/>
              <w:bottom w:val="nil"/>
              <w:right w:val="nil"/>
            </w:tcBorders>
            <w:shd w:val="clear" w:color="auto" w:fill="E5E5E5" w:themeFill="background1" w:themeFillTint="33"/>
            <w:noWrap/>
            <w:vAlign w:val="bottom"/>
            <w:hideMark/>
          </w:tcPr>
          <w:p w14:paraId="21BF6E8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auto" w:fill="E5E5E5" w:themeFill="background1" w:themeFillTint="33"/>
            <w:noWrap/>
            <w:vAlign w:val="bottom"/>
            <w:hideMark/>
          </w:tcPr>
          <w:p w14:paraId="48010B96"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2BD1CFBD" w14:textId="77777777" w:rsidTr="0020771F">
        <w:trPr>
          <w:trHeight w:val="288"/>
        </w:trPr>
        <w:tc>
          <w:tcPr>
            <w:tcW w:w="1480" w:type="dxa"/>
            <w:tcBorders>
              <w:top w:val="nil"/>
              <w:left w:val="nil"/>
              <w:bottom w:val="nil"/>
              <w:right w:val="nil"/>
            </w:tcBorders>
            <w:shd w:val="clear" w:color="auto" w:fill="auto"/>
            <w:noWrap/>
            <w:vAlign w:val="bottom"/>
            <w:hideMark/>
          </w:tcPr>
          <w:p w14:paraId="38D90FBB"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1937" w:type="dxa"/>
            <w:tcBorders>
              <w:top w:val="nil"/>
              <w:left w:val="nil"/>
              <w:bottom w:val="nil"/>
              <w:right w:val="nil"/>
            </w:tcBorders>
            <w:shd w:val="clear" w:color="auto" w:fill="auto"/>
            <w:noWrap/>
            <w:vAlign w:val="bottom"/>
            <w:hideMark/>
          </w:tcPr>
          <w:p w14:paraId="7A3D58C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2410" w:type="dxa"/>
            <w:tcBorders>
              <w:top w:val="nil"/>
              <w:left w:val="nil"/>
              <w:bottom w:val="nil"/>
              <w:right w:val="nil"/>
            </w:tcBorders>
            <w:shd w:val="clear" w:color="auto" w:fill="auto"/>
            <w:noWrap/>
            <w:vAlign w:val="bottom"/>
            <w:hideMark/>
          </w:tcPr>
          <w:p w14:paraId="1E833D4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3BACB8A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B1B596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w:t>
            </w:r>
          </w:p>
        </w:tc>
        <w:tc>
          <w:tcPr>
            <w:tcW w:w="1937" w:type="dxa"/>
            <w:tcBorders>
              <w:top w:val="nil"/>
              <w:left w:val="nil"/>
              <w:bottom w:val="nil"/>
              <w:right w:val="nil"/>
            </w:tcBorders>
            <w:shd w:val="clear" w:color="auto" w:fill="E5E5E5" w:themeFill="background1" w:themeFillTint="33"/>
            <w:noWrap/>
            <w:vAlign w:val="bottom"/>
            <w:hideMark/>
          </w:tcPr>
          <w:p w14:paraId="5342ADA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auto" w:fill="E5E5E5" w:themeFill="background1" w:themeFillTint="33"/>
            <w:noWrap/>
            <w:vAlign w:val="bottom"/>
            <w:hideMark/>
          </w:tcPr>
          <w:p w14:paraId="400C873B"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55B4AC01" w14:textId="77777777" w:rsidTr="0020771F">
        <w:trPr>
          <w:trHeight w:val="288"/>
        </w:trPr>
        <w:tc>
          <w:tcPr>
            <w:tcW w:w="1480" w:type="dxa"/>
            <w:tcBorders>
              <w:top w:val="nil"/>
              <w:left w:val="nil"/>
              <w:bottom w:val="nil"/>
              <w:right w:val="nil"/>
            </w:tcBorders>
            <w:shd w:val="clear" w:color="auto" w:fill="auto"/>
            <w:noWrap/>
            <w:vAlign w:val="bottom"/>
            <w:hideMark/>
          </w:tcPr>
          <w:p w14:paraId="6C35A14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1937" w:type="dxa"/>
            <w:tcBorders>
              <w:top w:val="nil"/>
              <w:left w:val="nil"/>
              <w:bottom w:val="nil"/>
              <w:right w:val="nil"/>
            </w:tcBorders>
            <w:shd w:val="clear" w:color="auto" w:fill="auto"/>
            <w:noWrap/>
            <w:vAlign w:val="bottom"/>
            <w:hideMark/>
          </w:tcPr>
          <w:p w14:paraId="607A331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auto" w:fill="auto"/>
            <w:noWrap/>
            <w:vAlign w:val="bottom"/>
            <w:hideMark/>
          </w:tcPr>
          <w:p w14:paraId="4B068F4F"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59D9690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F37883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w:t>
            </w:r>
          </w:p>
        </w:tc>
        <w:tc>
          <w:tcPr>
            <w:tcW w:w="1937" w:type="dxa"/>
            <w:tcBorders>
              <w:top w:val="nil"/>
              <w:left w:val="nil"/>
              <w:bottom w:val="nil"/>
              <w:right w:val="nil"/>
            </w:tcBorders>
            <w:shd w:val="clear" w:color="auto" w:fill="E5E5E5" w:themeFill="background1" w:themeFillTint="33"/>
            <w:noWrap/>
            <w:vAlign w:val="bottom"/>
            <w:hideMark/>
          </w:tcPr>
          <w:p w14:paraId="607093D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auto" w:fill="E5E5E5" w:themeFill="background1" w:themeFillTint="33"/>
            <w:noWrap/>
            <w:vAlign w:val="bottom"/>
            <w:hideMark/>
          </w:tcPr>
          <w:p w14:paraId="59E5A43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09D7D5F" w14:textId="77777777" w:rsidTr="0020771F">
        <w:trPr>
          <w:trHeight w:val="288"/>
        </w:trPr>
        <w:tc>
          <w:tcPr>
            <w:tcW w:w="1480" w:type="dxa"/>
            <w:tcBorders>
              <w:top w:val="nil"/>
              <w:left w:val="nil"/>
              <w:bottom w:val="nil"/>
              <w:right w:val="nil"/>
            </w:tcBorders>
            <w:shd w:val="clear" w:color="auto" w:fill="auto"/>
            <w:noWrap/>
            <w:vAlign w:val="bottom"/>
            <w:hideMark/>
          </w:tcPr>
          <w:p w14:paraId="04A03C3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1937" w:type="dxa"/>
            <w:tcBorders>
              <w:top w:val="nil"/>
              <w:left w:val="nil"/>
              <w:bottom w:val="nil"/>
              <w:right w:val="nil"/>
            </w:tcBorders>
            <w:shd w:val="clear" w:color="auto" w:fill="auto"/>
            <w:noWrap/>
            <w:vAlign w:val="bottom"/>
            <w:hideMark/>
          </w:tcPr>
          <w:p w14:paraId="1231F22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auto" w:fill="auto"/>
            <w:noWrap/>
            <w:vAlign w:val="bottom"/>
            <w:hideMark/>
          </w:tcPr>
          <w:p w14:paraId="2124820A"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79735A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4DF60C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1937" w:type="dxa"/>
            <w:tcBorders>
              <w:top w:val="nil"/>
              <w:left w:val="nil"/>
              <w:bottom w:val="nil"/>
              <w:right w:val="nil"/>
            </w:tcBorders>
            <w:shd w:val="clear" w:color="auto" w:fill="E5E5E5" w:themeFill="background1" w:themeFillTint="33"/>
            <w:noWrap/>
            <w:vAlign w:val="bottom"/>
            <w:hideMark/>
          </w:tcPr>
          <w:p w14:paraId="0890A62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30423926"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1CE016ED" w14:textId="77777777" w:rsidTr="0020771F">
        <w:trPr>
          <w:trHeight w:val="288"/>
        </w:trPr>
        <w:tc>
          <w:tcPr>
            <w:tcW w:w="1480" w:type="dxa"/>
            <w:tcBorders>
              <w:top w:val="nil"/>
              <w:left w:val="nil"/>
              <w:bottom w:val="nil"/>
              <w:right w:val="nil"/>
            </w:tcBorders>
            <w:shd w:val="clear" w:color="auto" w:fill="auto"/>
            <w:noWrap/>
            <w:vAlign w:val="bottom"/>
            <w:hideMark/>
          </w:tcPr>
          <w:p w14:paraId="7EF13E9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1937" w:type="dxa"/>
            <w:tcBorders>
              <w:top w:val="nil"/>
              <w:left w:val="nil"/>
              <w:bottom w:val="nil"/>
              <w:right w:val="nil"/>
            </w:tcBorders>
            <w:shd w:val="clear" w:color="auto" w:fill="auto"/>
            <w:noWrap/>
            <w:vAlign w:val="bottom"/>
            <w:hideMark/>
          </w:tcPr>
          <w:p w14:paraId="07FC519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75D238F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03CE536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BDC48C1"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26</w:t>
            </w:r>
          </w:p>
        </w:tc>
        <w:tc>
          <w:tcPr>
            <w:tcW w:w="1937" w:type="dxa"/>
            <w:tcBorders>
              <w:top w:val="nil"/>
              <w:left w:val="nil"/>
              <w:bottom w:val="nil"/>
              <w:right w:val="nil"/>
            </w:tcBorders>
            <w:shd w:val="clear" w:color="auto" w:fill="E5E5E5" w:themeFill="background1" w:themeFillTint="33"/>
            <w:noWrap/>
            <w:vAlign w:val="bottom"/>
            <w:hideMark/>
          </w:tcPr>
          <w:p w14:paraId="2CDFF8F8"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275F084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BB5DBC8" w14:textId="77777777" w:rsidTr="0020771F">
        <w:trPr>
          <w:trHeight w:val="288"/>
        </w:trPr>
        <w:tc>
          <w:tcPr>
            <w:tcW w:w="1480" w:type="dxa"/>
            <w:tcBorders>
              <w:top w:val="nil"/>
              <w:left w:val="nil"/>
              <w:bottom w:val="nil"/>
              <w:right w:val="nil"/>
            </w:tcBorders>
            <w:shd w:val="clear" w:color="auto" w:fill="auto"/>
            <w:noWrap/>
            <w:vAlign w:val="bottom"/>
            <w:hideMark/>
          </w:tcPr>
          <w:p w14:paraId="1D618F2D"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27</w:t>
            </w:r>
          </w:p>
        </w:tc>
        <w:tc>
          <w:tcPr>
            <w:tcW w:w="1937" w:type="dxa"/>
            <w:tcBorders>
              <w:top w:val="nil"/>
              <w:left w:val="nil"/>
              <w:bottom w:val="nil"/>
              <w:right w:val="nil"/>
            </w:tcBorders>
            <w:shd w:val="clear" w:color="auto" w:fill="auto"/>
            <w:noWrap/>
            <w:vAlign w:val="bottom"/>
            <w:hideMark/>
          </w:tcPr>
          <w:p w14:paraId="42BE6A2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auto" w:fill="auto"/>
            <w:noWrap/>
            <w:vAlign w:val="bottom"/>
            <w:hideMark/>
          </w:tcPr>
          <w:p w14:paraId="1DFADB2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AB69BD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ABD4A1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28</w:t>
            </w:r>
          </w:p>
        </w:tc>
        <w:tc>
          <w:tcPr>
            <w:tcW w:w="1937" w:type="dxa"/>
            <w:tcBorders>
              <w:top w:val="nil"/>
              <w:left w:val="nil"/>
              <w:bottom w:val="nil"/>
              <w:right w:val="nil"/>
            </w:tcBorders>
            <w:shd w:val="clear" w:color="auto" w:fill="E5E5E5" w:themeFill="background1" w:themeFillTint="33"/>
            <w:noWrap/>
            <w:vAlign w:val="bottom"/>
            <w:hideMark/>
          </w:tcPr>
          <w:p w14:paraId="5AD13F28"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2870CEB4"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07F49DD2" w14:textId="77777777" w:rsidTr="0020771F">
        <w:trPr>
          <w:trHeight w:val="288"/>
        </w:trPr>
        <w:tc>
          <w:tcPr>
            <w:tcW w:w="1480" w:type="dxa"/>
            <w:tcBorders>
              <w:top w:val="nil"/>
              <w:left w:val="nil"/>
              <w:bottom w:val="nil"/>
              <w:right w:val="nil"/>
            </w:tcBorders>
            <w:shd w:val="clear" w:color="auto" w:fill="auto"/>
            <w:noWrap/>
            <w:vAlign w:val="bottom"/>
            <w:hideMark/>
          </w:tcPr>
          <w:p w14:paraId="1A84854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29</w:t>
            </w:r>
          </w:p>
        </w:tc>
        <w:tc>
          <w:tcPr>
            <w:tcW w:w="1937" w:type="dxa"/>
            <w:tcBorders>
              <w:top w:val="nil"/>
              <w:left w:val="nil"/>
              <w:bottom w:val="nil"/>
              <w:right w:val="nil"/>
            </w:tcBorders>
            <w:shd w:val="clear" w:color="auto" w:fill="auto"/>
            <w:noWrap/>
            <w:vAlign w:val="bottom"/>
            <w:hideMark/>
          </w:tcPr>
          <w:p w14:paraId="68F8F0C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2410" w:type="dxa"/>
            <w:tcBorders>
              <w:top w:val="nil"/>
              <w:left w:val="nil"/>
              <w:bottom w:val="nil"/>
              <w:right w:val="nil"/>
            </w:tcBorders>
            <w:shd w:val="clear" w:color="auto" w:fill="auto"/>
            <w:noWrap/>
            <w:vAlign w:val="bottom"/>
            <w:hideMark/>
          </w:tcPr>
          <w:p w14:paraId="31398D7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B434CB8"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E572C5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w:t>
            </w:r>
          </w:p>
        </w:tc>
        <w:tc>
          <w:tcPr>
            <w:tcW w:w="1937" w:type="dxa"/>
            <w:tcBorders>
              <w:top w:val="nil"/>
              <w:left w:val="nil"/>
              <w:bottom w:val="nil"/>
              <w:right w:val="nil"/>
            </w:tcBorders>
            <w:shd w:val="clear" w:color="auto" w:fill="E5E5E5" w:themeFill="background1" w:themeFillTint="33"/>
            <w:noWrap/>
            <w:vAlign w:val="bottom"/>
            <w:hideMark/>
          </w:tcPr>
          <w:p w14:paraId="014E235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2410" w:type="dxa"/>
            <w:tcBorders>
              <w:top w:val="nil"/>
              <w:left w:val="nil"/>
              <w:bottom w:val="nil"/>
              <w:right w:val="nil"/>
            </w:tcBorders>
            <w:shd w:val="clear" w:color="auto" w:fill="E5E5E5" w:themeFill="background1" w:themeFillTint="33"/>
            <w:noWrap/>
            <w:vAlign w:val="bottom"/>
            <w:hideMark/>
          </w:tcPr>
          <w:p w14:paraId="2DAF5B0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10E9A22B" w14:textId="77777777" w:rsidTr="0020771F">
        <w:trPr>
          <w:trHeight w:val="288"/>
        </w:trPr>
        <w:tc>
          <w:tcPr>
            <w:tcW w:w="1480" w:type="dxa"/>
            <w:tcBorders>
              <w:top w:val="nil"/>
              <w:left w:val="nil"/>
              <w:bottom w:val="nil"/>
              <w:right w:val="nil"/>
            </w:tcBorders>
            <w:shd w:val="clear" w:color="auto" w:fill="auto"/>
            <w:noWrap/>
            <w:vAlign w:val="bottom"/>
            <w:hideMark/>
          </w:tcPr>
          <w:p w14:paraId="1FE310E4"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31</w:t>
            </w:r>
          </w:p>
        </w:tc>
        <w:tc>
          <w:tcPr>
            <w:tcW w:w="1937" w:type="dxa"/>
            <w:tcBorders>
              <w:top w:val="nil"/>
              <w:left w:val="nil"/>
              <w:bottom w:val="nil"/>
              <w:right w:val="nil"/>
            </w:tcBorders>
            <w:shd w:val="clear" w:color="auto" w:fill="auto"/>
            <w:noWrap/>
            <w:vAlign w:val="bottom"/>
            <w:hideMark/>
          </w:tcPr>
          <w:p w14:paraId="650BB51F"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2410" w:type="dxa"/>
            <w:tcBorders>
              <w:top w:val="nil"/>
              <w:left w:val="nil"/>
              <w:bottom w:val="nil"/>
              <w:right w:val="nil"/>
            </w:tcBorders>
            <w:shd w:val="clear" w:color="auto" w:fill="auto"/>
            <w:noWrap/>
            <w:vAlign w:val="bottom"/>
            <w:hideMark/>
          </w:tcPr>
          <w:p w14:paraId="0D304C3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7E827BB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DFF159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1937" w:type="dxa"/>
            <w:tcBorders>
              <w:top w:val="nil"/>
              <w:left w:val="nil"/>
              <w:bottom w:val="nil"/>
              <w:right w:val="nil"/>
            </w:tcBorders>
            <w:shd w:val="clear" w:color="auto" w:fill="E5E5E5" w:themeFill="background1" w:themeFillTint="33"/>
            <w:noWrap/>
            <w:vAlign w:val="bottom"/>
            <w:hideMark/>
          </w:tcPr>
          <w:p w14:paraId="6DEB8CF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2410" w:type="dxa"/>
            <w:tcBorders>
              <w:top w:val="nil"/>
              <w:left w:val="nil"/>
              <w:bottom w:val="nil"/>
              <w:right w:val="nil"/>
            </w:tcBorders>
            <w:shd w:val="clear" w:color="auto" w:fill="E5E5E5" w:themeFill="background1" w:themeFillTint="33"/>
            <w:noWrap/>
            <w:vAlign w:val="bottom"/>
            <w:hideMark/>
          </w:tcPr>
          <w:p w14:paraId="008B63DB"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23E66AE" w14:textId="77777777" w:rsidTr="0020771F">
        <w:trPr>
          <w:trHeight w:val="288"/>
        </w:trPr>
        <w:tc>
          <w:tcPr>
            <w:tcW w:w="1480" w:type="dxa"/>
            <w:tcBorders>
              <w:top w:val="nil"/>
              <w:left w:val="nil"/>
              <w:bottom w:val="nil"/>
              <w:right w:val="nil"/>
            </w:tcBorders>
            <w:shd w:val="clear" w:color="auto" w:fill="auto"/>
            <w:noWrap/>
            <w:vAlign w:val="bottom"/>
            <w:hideMark/>
          </w:tcPr>
          <w:p w14:paraId="6ED1B77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1937" w:type="dxa"/>
            <w:tcBorders>
              <w:top w:val="nil"/>
              <w:left w:val="nil"/>
              <w:bottom w:val="nil"/>
              <w:right w:val="nil"/>
            </w:tcBorders>
            <w:shd w:val="clear" w:color="auto" w:fill="auto"/>
            <w:noWrap/>
            <w:vAlign w:val="bottom"/>
            <w:hideMark/>
          </w:tcPr>
          <w:p w14:paraId="7E77F8EA"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auto"/>
            <w:noWrap/>
            <w:vAlign w:val="bottom"/>
            <w:hideMark/>
          </w:tcPr>
          <w:p w14:paraId="5B951B1F"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4864F14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EF5E2B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34</w:t>
            </w:r>
          </w:p>
        </w:tc>
        <w:tc>
          <w:tcPr>
            <w:tcW w:w="1937" w:type="dxa"/>
            <w:tcBorders>
              <w:top w:val="nil"/>
              <w:left w:val="nil"/>
              <w:bottom w:val="nil"/>
              <w:right w:val="nil"/>
            </w:tcBorders>
            <w:shd w:val="clear" w:color="auto" w:fill="E5E5E5" w:themeFill="background1" w:themeFillTint="33"/>
            <w:noWrap/>
            <w:vAlign w:val="bottom"/>
            <w:hideMark/>
          </w:tcPr>
          <w:p w14:paraId="2A06BD6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2410" w:type="dxa"/>
            <w:tcBorders>
              <w:top w:val="nil"/>
              <w:left w:val="nil"/>
              <w:bottom w:val="nil"/>
              <w:right w:val="nil"/>
            </w:tcBorders>
            <w:shd w:val="clear" w:color="auto" w:fill="E5E5E5" w:themeFill="background1" w:themeFillTint="33"/>
            <w:noWrap/>
            <w:vAlign w:val="bottom"/>
            <w:hideMark/>
          </w:tcPr>
          <w:p w14:paraId="5F9DEB9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FD27CD1" w14:textId="77777777" w:rsidTr="0020771F">
        <w:trPr>
          <w:trHeight w:val="288"/>
        </w:trPr>
        <w:tc>
          <w:tcPr>
            <w:tcW w:w="1480" w:type="dxa"/>
            <w:tcBorders>
              <w:top w:val="nil"/>
              <w:left w:val="nil"/>
              <w:bottom w:val="nil"/>
              <w:right w:val="nil"/>
            </w:tcBorders>
            <w:shd w:val="clear" w:color="auto" w:fill="auto"/>
            <w:noWrap/>
            <w:vAlign w:val="bottom"/>
            <w:hideMark/>
          </w:tcPr>
          <w:p w14:paraId="638810D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w:t>
            </w:r>
          </w:p>
        </w:tc>
        <w:tc>
          <w:tcPr>
            <w:tcW w:w="1937" w:type="dxa"/>
            <w:tcBorders>
              <w:top w:val="nil"/>
              <w:left w:val="nil"/>
              <w:bottom w:val="nil"/>
              <w:right w:val="nil"/>
            </w:tcBorders>
            <w:shd w:val="clear" w:color="auto" w:fill="auto"/>
            <w:noWrap/>
            <w:vAlign w:val="bottom"/>
            <w:hideMark/>
          </w:tcPr>
          <w:p w14:paraId="75FA29B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auto"/>
            <w:noWrap/>
            <w:vAlign w:val="bottom"/>
            <w:hideMark/>
          </w:tcPr>
          <w:p w14:paraId="191E709A"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09F0D47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90B329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w:t>
            </w:r>
          </w:p>
        </w:tc>
        <w:tc>
          <w:tcPr>
            <w:tcW w:w="1937" w:type="dxa"/>
            <w:tcBorders>
              <w:top w:val="nil"/>
              <w:left w:val="nil"/>
              <w:bottom w:val="nil"/>
              <w:right w:val="nil"/>
            </w:tcBorders>
            <w:shd w:val="clear" w:color="auto" w:fill="E5E5E5" w:themeFill="background1" w:themeFillTint="33"/>
            <w:noWrap/>
            <w:vAlign w:val="bottom"/>
            <w:hideMark/>
          </w:tcPr>
          <w:p w14:paraId="0DA0D4C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E5E5E5" w:themeFill="background1" w:themeFillTint="33"/>
            <w:noWrap/>
            <w:vAlign w:val="bottom"/>
            <w:hideMark/>
          </w:tcPr>
          <w:p w14:paraId="6E107F4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C29B0BD" w14:textId="77777777" w:rsidTr="0020771F">
        <w:trPr>
          <w:trHeight w:val="288"/>
        </w:trPr>
        <w:tc>
          <w:tcPr>
            <w:tcW w:w="1480" w:type="dxa"/>
            <w:tcBorders>
              <w:top w:val="nil"/>
              <w:left w:val="nil"/>
              <w:bottom w:val="nil"/>
              <w:right w:val="nil"/>
            </w:tcBorders>
            <w:shd w:val="clear" w:color="auto" w:fill="auto"/>
            <w:noWrap/>
            <w:vAlign w:val="bottom"/>
            <w:hideMark/>
          </w:tcPr>
          <w:p w14:paraId="7712A55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w:t>
            </w:r>
          </w:p>
        </w:tc>
        <w:tc>
          <w:tcPr>
            <w:tcW w:w="1937" w:type="dxa"/>
            <w:tcBorders>
              <w:top w:val="nil"/>
              <w:left w:val="nil"/>
              <w:bottom w:val="nil"/>
              <w:right w:val="nil"/>
            </w:tcBorders>
            <w:shd w:val="clear" w:color="auto" w:fill="auto"/>
            <w:noWrap/>
            <w:vAlign w:val="bottom"/>
            <w:hideMark/>
          </w:tcPr>
          <w:p w14:paraId="215D5CC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2410" w:type="dxa"/>
            <w:tcBorders>
              <w:top w:val="nil"/>
              <w:left w:val="nil"/>
              <w:bottom w:val="nil"/>
              <w:right w:val="nil"/>
            </w:tcBorders>
            <w:shd w:val="clear" w:color="auto" w:fill="auto"/>
            <w:noWrap/>
            <w:vAlign w:val="bottom"/>
            <w:hideMark/>
          </w:tcPr>
          <w:p w14:paraId="15BD59C6"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222D368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66DF1CB"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1937" w:type="dxa"/>
            <w:tcBorders>
              <w:top w:val="nil"/>
              <w:left w:val="nil"/>
              <w:bottom w:val="nil"/>
              <w:right w:val="nil"/>
            </w:tcBorders>
            <w:shd w:val="clear" w:color="auto" w:fill="E5E5E5" w:themeFill="background1" w:themeFillTint="33"/>
            <w:noWrap/>
            <w:vAlign w:val="bottom"/>
            <w:hideMark/>
          </w:tcPr>
          <w:p w14:paraId="42E1B5E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auto" w:fill="E5E5E5" w:themeFill="background1" w:themeFillTint="33"/>
            <w:noWrap/>
            <w:vAlign w:val="bottom"/>
            <w:hideMark/>
          </w:tcPr>
          <w:p w14:paraId="680BA7B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7ADCFDBC" w14:textId="77777777" w:rsidTr="0020771F">
        <w:trPr>
          <w:trHeight w:val="288"/>
        </w:trPr>
        <w:tc>
          <w:tcPr>
            <w:tcW w:w="1480" w:type="dxa"/>
            <w:tcBorders>
              <w:top w:val="nil"/>
              <w:left w:val="nil"/>
              <w:bottom w:val="nil"/>
              <w:right w:val="nil"/>
            </w:tcBorders>
            <w:shd w:val="clear" w:color="auto" w:fill="auto"/>
            <w:noWrap/>
            <w:vAlign w:val="bottom"/>
            <w:hideMark/>
          </w:tcPr>
          <w:p w14:paraId="3B918AD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1937" w:type="dxa"/>
            <w:tcBorders>
              <w:top w:val="nil"/>
              <w:left w:val="nil"/>
              <w:bottom w:val="nil"/>
              <w:right w:val="nil"/>
            </w:tcBorders>
            <w:shd w:val="clear" w:color="auto" w:fill="auto"/>
            <w:noWrap/>
            <w:vAlign w:val="bottom"/>
            <w:hideMark/>
          </w:tcPr>
          <w:p w14:paraId="59895ED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auto" w:fill="auto"/>
            <w:noWrap/>
            <w:vAlign w:val="bottom"/>
            <w:hideMark/>
          </w:tcPr>
          <w:p w14:paraId="0607F8B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1AB4CE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AFF082A"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1937" w:type="dxa"/>
            <w:tcBorders>
              <w:top w:val="nil"/>
              <w:left w:val="nil"/>
              <w:bottom w:val="nil"/>
              <w:right w:val="nil"/>
            </w:tcBorders>
            <w:shd w:val="clear" w:color="auto" w:fill="E5E5E5" w:themeFill="background1" w:themeFillTint="33"/>
            <w:noWrap/>
            <w:vAlign w:val="bottom"/>
            <w:hideMark/>
          </w:tcPr>
          <w:p w14:paraId="74E8F84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c>
          <w:tcPr>
            <w:tcW w:w="2410" w:type="dxa"/>
            <w:tcBorders>
              <w:top w:val="nil"/>
              <w:left w:val="nil"/>
              <w:bottom w:val="nil"/>
              <w:right w:val="nil"/>
            </w:tcBorders>
            <w:shd w:val="clear" w:color="auto" w:fill="E5E5E5" w:themeFill="background1" w:themeFillTint="33"/>
            <w:noWrap/>
            <w:vAlign w:val="bottom"/>
            <w:hideMark/>
          </w:tcPr>
          <w:p w14:paraId="28892DB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02ADF4C1" w14:textId="77777777" w:rsidTr="0020771F">
        <w:trPr>
          <w:trHeight w:val="288"/>
        </w:trPr>
        <w:tc>
          <w:tcPr>
            <w:tcW w:w="1480" w:type="dxa"/>
            <w:tcBorders>
              <w:top w:val="nil"/>
              <w:left w:val="nil"/>
              <w:bottom w:val="nil"/>
              <w:right w:val="nil"/>
            </w:tcBorders>
            <w:shd w:val="clear" w:color="auto" w:fill="auto"/>
            <w:noWrap/>
            <w:vAlign w:val="bottom"/>
            <w:hideMark/>
          </w:tcPr>
          <w:p w14:paraId="13B1ECB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41</w:t>
            </w:r>
          </w:p>
        </w:tc>
        <w:tc>
          <w:tcPr>
            <w:tcW w:w="1937" w:type="dxa"/>
            <w:tcBorders>
              <w:top w:val="nil"/>
              <w:left w:val="nil"/>
              <w:bottom w:val="nil"/>
              <w:right w:val="nil"/>
            </w:tcBorders>
            <w:shd w:val="clear" w:color="auto" w:fill="auto"/>
            <w:noWrap/>
            <w:vAlign w:val="bottom"/>
            <w:hideMark/>
          </w:tcPr>
          <w:p w14:paraId="2BD32E87"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5FACC928"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F3035A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6932ED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w:t>
            </w:r>
          </w:p>
        </w:tc>
        <w:tc>
          <w:tcPr>
            <w:tcW w:w="1937" w:type="dxa"/>
            <w:tcBorders>
              <w:top w:val="nil"/>
              <w:left w:val="nil"/>
              <w:bottom w:val="nil"/>
              <w:right w:val="nil"/>
            </w:tcBorders>
            <w:shd w:val="clear" w:color="auto" w:fill="E5E5E5" w:themeFill="background1" w:themeFillTint="33"/>
            <w:noWrap/>
            <w:vAlign w:val="bottom"/>
            <w:hideMark/>
          </w:tcPr>
          <w:p w14:paraId="37788D5B"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26D39CB9"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B0C725F" w14:textId="77777777" w:rsidTr="0020771F">
        <w:trPr>
          <w:trHeight w:val="288"/>
        </w:trPr>
        <w:tc>
          <w:tcPr>
            <w:tcW w:w="1480" w:type="dxa"/>
            <w:tcBorders>
              <w:top w:val="nil"/>
              <w:left w:val="nil"/>
              <w:bottom w:val="nil"/>
              <w:right w:val="nil"/>
            </w:tcBorders>
            <w:shd w:val="clear" w:color="auto" w:fill="auto"/>
            <w:noWrap/>
            <w:vAlign w:val="bottom"/>
            <w:hideMark/>
          </w:tcPr>
          <w:p w14:paraId="17883133"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43</w:t>
            </w:r>
          </w:p>
        </w:tc>
        <w:tc>
          <w:tcPr>
            <w:tcW w:w="1937" w:type="dxa"/>
            <w:tcBorders>
              <w:top w:val="nil"/>
              <w:left w:val="nil"/>
              <w:bottom w:val="nil"/>
              <w:right w:val="nil"/>
            </w:tcBorders>
            <w:shd w:val="clear" w:color="auto" w:fill="auto"/>
            <w:noWrap/>
            <w:vAlign w:val="bottom"/>
            <w:hideMark/>
          </w:tcPr>
          <w:p w14:paraId="5ED434F6"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auto"/>
            <w:noWrap/>
            <w:vAlign w:val="bottom"/>
            <w:hideMark/>
          </w:tcPr>
          <w:p w14:paraId="0E00AD7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3A64563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78C77CF"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44</w:t>
            </w:r>
          </w:p>
        </w:tc>
        <w:tc>
          <w:tcPr>
            <w:tcW w:w="1937" w:type="dxa"/>
            <w:tcBorders>
              <w:top w:val="nil"/>
              <w:left w:val="nil"/>
              <w:bottom w:val="nil"/>
              <w:right w:val="nil"/>
            </w:tcBorders>
            <w:shd w:val="clear" w:color="auto" w:fill="E5E5E5" w:themeFill="background1" w:themeFillTint="33"/>
            <w:noWrap/>
            <w:vAlign w:val="bottom"/>
            <w:hideMark/>
          </w:tcPr>
          <w:p w14:paraId="22DD1D1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17B29E01"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6E17798D" w14:textId="77777777" w:rsidTr="0020771F">
        <w:trPr>
          <w:trHeight w:val="288"/>
        </w:trPr>
        <w:tc>
          <w:tcPr>
            <w:tcW w:w="1480" w:type="dxa"/>
            <w:tcBorders>
              <w:top w:val="nil"/>
              <w:left w:val="nil"/>
              <w:bottom w:val="nil"/>
              <w:right w:val="nil"/>
            </w:tcBorders>
            <w:shd w:val="clear" w:color="auto" w:fill="auto"/>
            <w:noWrap/>
            <w:vAlign w:val="bottom"/>
            <w:hideMark/>
          </w:tcPr>
          <w:p w14:paraId="364D661C"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w:t>
            </w:r>
          </w:p>
        </w:tc>
        <w:tc>
          <w:tcPr>
            <w:tcW w:w="1937" w:type="dxa"/>
            <w:tcBorders>
              <w:top w:val="nil"/>
              <w:left w:val="nil"/>
              <w:bottom w:val="nil"/>
              <w:right w:val="nil"/>
            </w:tcBorders>
            <w:shd w:val="clear" w:color="auto" w:fill="auto"/>
            <w:noWrap/>
            <w:vAlign w:val="bottom"/>
            <w:hideMark/>
          </w:tcPr>
          <w:p w14:paraId="525314F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c>
          <w:tcPr>
            <w:tcW w:w="2410" w:type="dxa"/>
            <w:tcBorders>
              <w:top w:val="nil"/>
              <w:left w:val="nil"/>
              <w:bottom w:val="nil"/>
              <w:right w:val="nil"/>
            </w:tcBorders>
            <w:shd w:val="clear" w:color="auto" w:fill="auto"/>
            <w:noWrap/>
            <w:vAlign w:val="bottom"/>
            <w:hideMark/>
          </w:tcPr>
          <w:p w14:paraId="58591F6D"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A7A221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59F1814"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1937" w:type="dxa"/>
            <w:tcBorders>
              <w:top w:val="nil"/>
              <w:left w:val="nil"/>
              <w:bottom w:val="nil"/>
              <w:right w:val="nil"/>
            </w:tcBorders>
            <w:shd w:val="clear" w:color="auto" w:fill="E5E5E5" w:themeFill="background1" w:themeFillTint="33"/>
            <w:noWrap/>
            <w:vAlign w:val="bottom"/>
            <w:hideMark/>
          </w:tcPr>
          <w:p w14:paraId="136B628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19AE9AEC"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1D643CF" w14:textId="77777777" w:rsidTr="0020771F">
        <w:trPr>
          <w:trHeight w:val="288"/>
        </w:trPr>
        <w:tc>
          <w:tcPr>
            <w:tcW w:w="1480" w:type="dxa"/>
            <w:tcBorders>
              <w:top w:val="nil"/>
              <w:left w:val="nil"/>
              <w:bottom w:val="nil"/>
              <w:right w:val="nil"/>
            </w:tcBorders>
            <w:shd w:val="clear" w:color="auto" w:fill="auto"/>
            <w:noWrap/>
            <w:vAlign w:val="bottom"/>
            <w:hideMark/>
          </w:tcPr>
          <w:p w14:paraId="1A7A4B0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w:t>
            </w:r>
          </w:p>
        </w:tc>
        <w:tc>
          <w:tcPr>
            <w:tcW w:w="1937" w:type="dxa"/>
            <w:tcBorders>
              <w:top w:val="nil"/>
              <w:left w:val="nil"/>
              <w:bottom w:val="nil"/>
              <w:right w:val="nil"/>
            </w:tcBorders>
            <w:shd w:val="clear" w:color="auto" w:fill="auto"/>
            <w:noWrap/>
            <w:vAlign w:val="bottom"/>
            <w:hideMark/>
          </w:tcPr>
          <w:p w14:paraId="609C5B3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69648F31"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24C42E18"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3F44374"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1937" w:type="dxa"/>
            <w:tcBorders>
              <w:top w:val="nil"/>
              <w:left w:val="nil"/>
              <w:bottom w:val="nil"/>
              <w:right w:val="nil"/>
            </w:tcBorders>
            <w:shd w:val="clear" w:color="auto" w:fill="E5E5E5" w:themeFill="background1" w:themeFillTint="33"/>
            <w:noWrap/>
            <w:vAlign w:val="bottom"/>
            <w:hideMark/>
          </w:tcPr>
          <w:p w14:paraId="6CCC7827"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7B2A6727"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7E7EBAA" w14:textId="77777777" w:rsidTr="0020771F">
        <w:trPr>
          <w:trHeight w:val="288"/>
        </w:trPr>
        <w:tc>
          <w:tcPr>
            <w:tcW w:w="1480" w:type="dxa"/>
            <w:tcBorders>
              <w:top w:val="nil"/>
              <w:left w:val="nil"/>
              <w:bottom w:val="nil"/>
              <w:right w:val="nil"/>
            </w:tcBorders>
            <w:shd w:val="clear" w:color="auto" w:fill="auto"/>
            <w:noWrap/>
            <w:vAlign w:val="bottom"/>
            <w:hideMark/>
          </w:tcPr>
          <w:p w14:paraId="152909FD"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w:t>
            </w:r>
          </w:p>
        </w:tc>
        <w:tc>
          <w:tcPr>
            <w:tcW w:w="1937" w:type="dxa"/>
            <w:tcBorders>
              <w:top w:val="nil"/>
              <w:left w:val="nil"/>
              <w:bottom w:val="nil"/>
              <w:right w:val="nil"/>
            </w:tcBorders>
            <w:shd w:val="clear" w:color="auto" w:fill="auto"/>
            <w:noWrap/>
            <w:vAlign w:val="bottom"/>
            <w:hideMark/>
          </w:tcPr>
          <w:p w14:paraId="6270FC62"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238F34C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5759098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748B5E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w:t>
            </w:r>
          </w:p>
        </w:tc>
        <w:tc>
          <w:tcPr>
            <w:tcW w:w="1937" w:type="dxa"/>
            <w:tcBorders>
              <w:top w:val="nil"/>
              <w:left w:val="nil"/>
              <w:bottom w:val="nil"/>
              <w:right w:val="nil"/>
            </w:tcBorders>
            <w:shd w:val="clear" w:color="auto" w:fill="E5E5E5" w:themeFill="background1" w:themeFillTint="33"/>
            <w:noWrap/>
            <w:vAlign w:val="bottom"/>
            <w:hideMark/>
          </w:tcPr>
          <w:p w14:paraId="2B76E39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0B04EF3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635C393" w14:textId="77777777" w:rsidTr="0020771F">
        <w:trPr>
          <w:trHeight w:val="288"/>
        </w:trPr>
        <w:tc>
          <w:tcPr>
            <w:tcW w:w="1480" w:type="dxa"/>
            <w:tcBorders>
              <w:top w:val="nil"/>
              <w:left w:val="nil"/>
              <w:bottom w:val="nil"/>
              <w:right w:val="nil"/>
            </w:tcBorders>
            <w:shd w:val="clear" w:color="auto" w:fill="auto"/>
            <w:noWrap/>
            <w:vAlign w:val="bottom"/>
            <w:hideMark/>
          </w:tcPr>
          <w:p w14:paraId="0DCEB0D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w:t>
            </w:r>
          </w:p>
        </w:tc>
        <w:tc>
          <w:tcPr>
            <w:tcW w:w="1937" w:type="dxa"/>
            <w:tcBorders>
              <w:top w:val="nil"/>
              <w:left w:val="nil"/>
              <w:bottom w:val="nil"/>
              <w:right w:val="nil"/>
            </w:tcBorders>
            <w:shd w:val="clear" w:color="auto" w:fill="auto"/>
            <w:noWrap/>
            <w:vAlign w:val="bottom"/>
            <w:hideMark/>
          </w:tcPr>
          <w:p w14:paraId="4D632888"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7016CFFB"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218B686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79CADC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1937" w:type="dxa"/>
            <w:tcBorders>
              <w:top w:val="nil"/>
              <w:left w:val="nil"/>
              <w:bottom w:val="nil"/>
              <w:right w:val="nil"/>
            </w:tcBorders>
            <w:shd w:val="clear" w:color="auto" w:fill="E5E5E5" w:themeFill="background1" w:themeFillTint="33"/>
            <w:noWrap/>
            <w:vAlign w:val="bottom"/>
            <w:hideMark/>
          </w:tcPr>
          <w:p w14:paraId="60C2864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21A712DD"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17199B00" w14:textId="77777777" w:rsidTr="0020771F">
        <w:trPr>
          <w:trHeight w:val="288"/>
        </w:trPr>
        <w:tc>
          <w:tcPr>
            <w:tcW w:w="1480" w:type="dxa"/>
            <w:tcBorders>
              <w:top w:val="nil"/>
              <w:left w:val="nil"/>
              <w:bottom w:val="nil"/>
              <w:right w:val="nil"/>
            </w:tcBorders>
            <w:shd w:val="clear" w:color="auto" w:fill="auto"/>
            <w:noWrap/>
            <w:vAlign w:val="bottom"/>
            <w:hideMark/>
          </w:tcPr>
          <w:p w14:paraId="7C31E3A7"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1937" w:type="dxa"/>
            <w:tcBorders>
              <w:top w:val="nil"/>
              <w:left w:val="nil"/>
              <w:bottom w:val="nil"/>
              <w:right w:val="nil"/>
            </w:tcBorders>
            <w:shd w:val="clear" w:color="auto" w:fill="auto"/>
            <w:noWrap/>
            <w:vAlign w:val="bottom"/>
            <w:hideMark/>
          </w:tcPr>
          <w:p w14:paraId="20F7778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auto"/>
            <w:noWrap/>
            <w:vAlign w:val="bottom"/>
            <w:hideMark/>
          </w:tcPr>
          <w:p w14:paraId="50B050D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6073BB5"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C5C1B8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54</w:t>
            </w:r>
          </w:p>
        </w:tc>
        <w:tc>
          <w:tcPr>
            <w:tcW w:w="1937" w:type="dxa"/>
            <w:tcBorders>
              <w:top w:val="nil"/>
              <w:left w:val="nil"/>
              <w:bottom w:val="nil"/>
              <w:right w:val="nil"/>
            </w:tcBorders>
            <w:shd w:val="clear" w:color="auto" w:fill="E5E5E5" w:themeFill="background1" w:themeFillTint="33"/>
            <w:noWrap/>
            <w:vAlign w:val="bottom"/>
            <w:hideMark/>
          </w:tcPr>
          <w:p w14:paraId="0497E8C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52CAB82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7B3A3BB" w14:textId="77777777" w:rsidTr="0020771F">
        <w:trPr>
          <w:trHeight w:val="288"/>
        </w:trPr>
        <w:tc>
          <w:tcPr>
            <w:tcW w:w="1480" w:type="dxa"/>
            <w:tcBorders>
              <w:top w:val="nil"/>
              <w:left w:val="nil"/>
              <w:bottom w:val="nil"/>
              <w:right w:val="nil"/>
            </w:tcBorders>
            <w:shd w:val="clear" w:color="auto" w:fill="auto"/>
            <w:noWrap/>
            <w:vAlign w:val="bottom"/>
            <w:hideMark/>
          </w:tcPr>
          <w:p w14:paraId="1E8A678C"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w:t>
            </w:r>
          </w:p>
        </w:tc>
        <w:tc>
          <w:tcPr>
            <w:tcW w:w="1937" w:type="dxa"/>
            <w:tcBorders>
              <w:top w:val="nil"/>
              <w:left w:val="nil"/>
              <w:bottom w:val="nil"/>
              <w:right w:val="nil"/>
            </w:tcBorders>
            <w:shd w:val="clear" w:color="auto" w:fill="auto"/>
            <w:noWrap/>
            <w:vAlign w:val="bottom"/>
            <w:hideMark/>
          </w:tcPr>
          <w:p w14:paraId="3EB322B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794719BF"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214EE0D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19D13C8"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56</w:t>
            </w:r>
          </w:p>
        </w:tc>
        <w:tc>
          <w:tcPr>
            <w:tcW w:w="1937" w:type="dxa"/>
            <w:tcBorders>
              <w:top w:val="nil"/>
              <w:left w:val="nil"/>
              <w:bottom w:val="nil"/>
              <w:right w:val="nil"/>
            </w:tcBorders>
            <w:shd w:val="clear" w:color="auto" w:fill="E5E5E5" w:themeFill="background1" w:themeFillTint="33"/>
            <w:noWrap/>
            <w:vAlign w:val="bottom"/>
            <w:hideMark/>
          </w:tcPr>
          <w:p w14:paraId="020C80C7"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34B510B6"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955858D" w14:textId="77777777" w:rsidTr="0020771F">
        <w:trPr>
          <w:trHeight w:val="288"/>
        </w:trPr>
        <w:tc>
          <w:tcPr>
            <w:tcW w:w="1480" w:type="dxa"/>
            <w:tcBorders>
              <w:top w:val="nil"/>
              <w:left w:val="nil"/>
              <w:bottom w:val="nil"/>
              <w:right w:val="nil"/>
            </w:tcBorders>
            <w:shd w:val="clear" w:color="auto" w:fill="auto"/>
            <w:noWrap/>
            <w:vAlign w:val="bottom"/>
            <w:hideMark/>
          </w:tcPr>
          <w:p w14:paraId="6A150EBB"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w:t>
            </w:r>
          </w:p>
        </w:tc>
        <w:tc>
          <w:tcPr>
            <w:tcW w:w="1937" w:type="dxa"/>
            <w:tcBorders>
              <w:top w:val="nil"/>
              <w:left w:val="nil"/>
              <w:bottom w:val="nil"/>
              <w:right w:val="nil"/>
            </w:tcBorders>
            <w:shd w:val="clear" w:color="auto" w:fill="auto"/>
            <w:noWrap/>
            <w:vAlign w:val="bottom"/>
            <w:hideMark/>
          </w:tcPr>
          <w:p w14:paraId="44E303F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541C3621"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059B474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0F14BD6"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58</w:t>
            </w:r>
          </w:p>
        </w:tc>
        <w:tc>
          <w:tcPr>
            <w:tcW w:w="1937" w:type="dxa"/>
            <w:tcBorders>
              <w:top w:val="nil"/>
              <w:left w:val="nil"/>
              <w:bottom w:val="nil"/>
              <w:right w:val="nil"/>
            </w:tcBorders>
            <w:shd w:val="clear" w:color="auto" w:fill="E5E5E5" w:themeFill="background1" w:themeFillTint="33"/>
            <w:noWrap/>
            <w:vAlign w:val="bottom"/>
            <w:hideMark/>
          </w:tcPr>
          <w:p w14:paraId="03F733E0"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3D8DD7C4"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5B0553F3" w14:textId="77777777" w:rsidTr="0020771F">
        <w:trPr>
          <w:trHeight w:val="288"/>
        </w:trPr>
        <w:tc>
          <w:tcPr>
            <w:tcW w:w="1480" w:type="dxa"/>
            <w:tcBorders>
              <w:top w:val="nil"/>
              <w:left w:val="nil"/>
              <w:bottom w:val="nil"/>
              <w:right w:val="nil"/>
            </w:tcBorders>
            <w:shd w:val="clear" w:color="auto" w:fill="auto"/>
            <w:noWrap/>
            <w:vAlign w:val="bottom"/>
            <w:hideMark/>
          </w:tcPr>
          <w:p w14:paraId="310B51A8"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59</w:t>
            </w:r>
          </w:p>
        </w:tc>
        <w:tc>
          <w:tcPr>
            <w:tcW w:w="1937" w:type="dxa"/>
            <w:tcBorders>
              <w:top w:val="nil"/>
              <w:left w:val="nil"/>
              <w:bottom w:val="nil"/>
              <w:right w:val="nil"/>
            </w:tcBorders>
            <w:shd w:val="clear" w:color="auto" w:fill="auto"/>
            <w:noWrap/>
            <w:vAlign w:val="bottom"/>
            <w:hideMark/>
          </w:tcPr>
          <w:p w14:paraId="1A48571A"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64423558"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62C92D95"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6726917"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w:t>
            </w:r>
          </w:p>
        </w:tc>
        <w:tc>
          <w:tcPr>
            <w:tcW w:w="1937" w:type="dxa"/>
            <w:tcBorders>
              <w:top w:val="nil"/>
              <w:left w:val="nil"/>
              <w:bottom w:val="nil"/>
              <w:right w:val="nil"/>
            </w:tcBorders>
            <w:shd w:val="clear" w:color="auto" w:fill="E5E5E5" w:themeFill="background1" w:themeFillTint="33"/>
            <w:noWrap/>
            <w:vAlign w:val="bottom"/>
            <w:hideMark/>
          </w:tcPr>
          <w:p w14:paraId="1E36931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2EB4A27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B203EDA" w14:textId="77777777" w:rsidTr="0020771F">
        <w:trPr>
          <w:trHeight w:val="288"/>
        </w:trPr>
        <w:tc>
          <w:tcPr>
            <w:tcW w:w="1480" w:type="dxa"/>
            <w:tcBorders>
              <w:top w:val="nil"/>
              <w:left w:val="nil"/>
              <w:bottom w:val="nil"/>
              <w:right w:val="nil"/>
            </w:tcBorders>
            <w:shd w:val="clear" w:color="auto" w:fill="auto"/>
            <w:noWrap/>
            <w:vAlign w:val="bottom"/>
            <w:hideMark/>
          </w:tcPr>
          <w:p w14:paraId="5AE6871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61</w:t>
            </w:r>
          </w:p>
        </w:tc>
        <w:tc>
          <w:tcPr>
            <w:tcW w:w="1937" w:type="dxa"/>
            <w:tcBorders>
              <w:top w:val="nil"/>
              <w:left w:val="nil"/>
              <w:bottom w:val="nil"/>
              <w:right w:val="nil"/>
            </w:tcBorders>
            <w:shd w:val="clear" w:color="auto" w:fill="auto"/>
            <w:noWrap/>
            <w:vAlign w:val="bottom"/>
            <w:hideMark/>
          </w:tcPr>
          <w:p w14:paraId="58DA6981"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4E0E716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C9F219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F17F5E8"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62</w:t>
            </w:r>
          </w:p>
        </w:tc>
        <w:tc>
          <w:tcPr>
            <w:tcW w:w="1937" w:type="dxa"/>
            <w:tcBorders>
              <w:top w:val="nil"/>
              <w:left w:val="nil"/>
              <w:bottom w:val="nil"/>
              <w:right w:val="nil"/>
            </w:tcBorders>
            <w:shd w:val="clear" w:color="auto" w:fill="E5E5E5" w:themeFill="background1" w:themeFillTint="33"/>
            <w:noWrap/>
            <w:vAlign w:val="bottom"/>
            <w:hideMark/>
          </w:tcPr>
          <w:p w14:paraId="15418E6A"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0F0136C7"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88C5FE8" w14:textId="77777777" w:rsidTr="0020771F">
        <w:trPr>
          <w:trHeight w:val="288"/>
        </w:trPr>
        <w:tc>
          <w:tcPr>
            <w:tcW w:w="1480" w:type="dxa"/>
            <w:tcBorders>
              <w:top w:val="nil"/>
              <w:left w:val="nil"/>
              <w:bottom w:val="nil"/>
              <w:right w:val="nil"/>
            </w:tcBorders>
            <w:shd w:val="clear" w:color="auto" w:fill="auto"/>
            <w:noWrap/>
            <w:vAlign w:val="bottom"/>
            <w:hideMark/>
          </w:tcPr>
          <w:p w14:paraId="3FD8B1FD"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63</w:t>
            </w:r>
          </w:p>
        </w:tc>
        <w:tc>
          <w:tcPr>
            <w:tcW w:w="1937" w:type="dxa"/>
            <w:tcBorders>
              <w:top w:val="nil"/>
              <w:left w:val="nil"/>
              <w:bottom w:val="nil"/>
              <w:right w:val="nil"/>
            </w:tcBorders>
            <w:shd w:val="clear" w:color="auto" w:fill="auto"/>
            <w:noWrap/>
            <w:vAlign w:val="bottom"/>
            <w:hideMark/>
          </w:tcPr>
          <w:p w14:paraId="773114B8"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30F4C09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2E92A7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C4809F7"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64</w:t>
            </w:r>
          </w:p>
        </w:tc>
        <w:tc>
          <w:tcPr>
            <w:tcW w:w="1937" w:type="dxa"/>
            <w:tcBorders>
              <w:top w:val="nil"/>
              <w:left w:val="nil"/>
              <w:bottom w:val="nil"/>
              <w:right w:val="nil"/>
            </w:tcBorders>
            <w:shd w:val="clear" w:color="auto" w:fill="E5E5E5" w:themeFill="background1" w:themeFillTint="33"/>
            <w:noWrap/>
            <w:vAlign w:val="bottom"/>
            <w:hideMark/>
          </w:tcPr>
          <w:p w14:paraId="72B33BE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610DA11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09AED6FD" w14:textId="77777777" w:rsidTr="0020771F">
        <w:trPr>
          <w:trHeight w:val="288"/>
        </w:trPr>
        <w:tc>
          <w:tcPr>
            <w:tcW w:w="1480" w:type="dxa"/>
            <w:tcBorders>
              <w:top w:val="nil"/>
              <w:left w:val="nil"/>
              <w:bottom w:val="nil"/>
              <w:right w:val="nil"/>
            </w:tcBorders>
            <w:shd w:val="clear" w:color="auto" w:fill="auto"/>
            <w:noWrap/>
            <w:vAlign w:val="bottom"/>
            <w:hideMark/>
          </w:tcPr>
          <w:p w14:paraId="261026C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1937" w:type="dxa"/>
            <w:tcBorders>
              <w:top w:val="nil"/>
              <w:left w:val="nil"/>
              <w:bottom w:val="nil"/>
              <w:right w:val="nil"/>
            </w:tcBorders>
            <w:shd w:val="clear" w:color="auto" w:fill="auto"/>
            <w:noWrap/>
            <w:vAlign w:val="bottom"/>
            <w:hideMark/>
          </w:tcPr>
          <w:p w14:paraId="54AB5AB5"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4CC3AC1E"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4A1451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37A647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1937" w:type="dxa"/>
            <w:tcBorders>
              <w:top w:val="nil"/>
              <w:left w:val="nil"/>
              <w:bottom w:val="nil"/>
              <w:right w:val="nil"/>
            </w:tcBorders>
            <w:shd w:val="clear" w:color="auto" w:fill="E5E5E5" w:themeFill="background1" w:themeFillTint="33"/>
            <w:noWrap/>
            <w:vAlign w:val="bottom"/>
            <w:hideMark/>
          </w:tcPr>
          <w:p w14:paraId="596C86F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3383716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C15F539" w14:textId="77777777" w:rsidTr="0020771F">
        <w:trPr>
          <w:trHeight w:val="288"/>
        </w:trPr>
        <w:tc>
          <w:tcPr>
            <w:tcW w:w="1480" w:type="dxa"/>
            <w:tcBorders>
              <w:top w:val="nil"/>
              <w:left w:val="nil"/>
              <w:bottom w:val="nil"/>
              <w:right w:val="nil"/>
            </w:tcBorders>
            <w:shd w:val="clear" w:color="auto" w:fill="auto"/>
            <w:noWrap/>
            <w:vAlign w:val="bottom"/>
            <w:hideMark/>
          </w:tcPr>
          <w:p w14:paraId="49E38B2C"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w:t>
            </w:r>
          </w:p>
        </w:tc>
        <w:tc>
          <w:tcPr>
            <w:tcW w:w="1937" w:type="dxa"/>
            <w:tcBorders>
              <w:top w:val="nil"/>
              <w:left w:val="nil"/>
              <w:bottom w:val="nil"/>
              <w:right w:val="nil"/>
            </w:tcBorders>
            <w:shd w:val="clear" w:color="auto" w:fill="auto"/>
            <w:noWrap/>
            <w:vAlign w:val="bottom"/>
            <w:hideMark/>
          </w:tcPr>
          <w:p w14:paraId="395EE356"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auto"/>
            <w:noWrap/>
            <w:vAlign w:val="bottom"/>
            <w:hideMark/>
          </w:tcPr>
          <w:p w14:paraId="0844379B"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20CBE10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16D6339"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1937" w:type="dxa"/>
            <w:tcBorders>
              <w:top w:val="nil"/>
              <w:left w:val="nil"/>
              <w:bottom w:val="nil"/>
              <w:right w:val="nil"/>
            </w:tcBorders>
            <w:shd w:val="clear" w:color="auto" w:fill="E5E5E5" w:themeFill="background1" w:themeFillTint="33"/>
            <w:noWrap/>
            <w:vAlign w:val="bottom"/>
            <w:hideMark/>
          </w:tcPr>
          <w:p w14:paraId="4C84618A"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0D9ED13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559C546" w14:textId="77777777" w:rsidTr="0020771F">
        <w:trPr>
          <w:trHeight w:val="288"/>
        </w:trPr>
        <w:tc>
          <w:tcPr>
            <w:tcW w:w="1480" w:type="dxa"/>
            <w:tcBorders>
              <w:top w:val="nil"/>
              <w:left w:val="nil"/>
              <w:bottom w:val="nil"/>
              <w:right w:val="nil"/>
            </w:tcBorders>
            <w:shd w:val="clear" w:color="auto" w:fill="auto"/>
            <w:noWrap/>
            <w:vAlign w:val="bottom"/>
            <w:hideMark/>
          </w:tcPr>
          <w:p w14:paraId="4885758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1937" w:type="dxa"/>
            <w:tcBorders>
              <w:top w:val="nil"/>
              <w:left w:val="nil"/>
              <w:bottom w:val="nil"/>
              <w:right w:val="nil"/>
            </w:tcBorders>
            <w:shd w:val="clear" w:color="auto" w:fill="auto"/>
            <w:noWrap/>
            <w:vAlign w:val="bottom"/>
            <w:hideMark/>
          </w:tcPr>
          <w:p w14:paraId="42FBAD8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4C3C6E21"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10FE8BC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FF1EDBE"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70</w:t>
            </w:r>
          </w:p>
        </w:tc>
        <w:tc>
          <w:tcPr>
            <w:tcW w:w="1937" w:type="dxa"/>
            <w:tcBorders>
              <w:top w:val="nil"/>
              <w:left w:val="nil"/>
              <w:bottom w:val="nil"/>
              <w:right w:val="nil"/>
            </w:tcBorders>
            <w:shd w:val="clear" w:color="auto" w:fill="E5E5E5" w:themeFill="background1" w:themeFillTint="33"/>
            <w:noWrap/>
            <w:vAlign w:val="bottom"/>
            <w:hideMark/>
          </w:tcPr>
          <w:p w14:paraId="1F3A474D"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E5E5E5" w:themeFill="background1" w:themeFillTint="33"/>
            <w:noWrap/>
            <w:vAlign w:val="bottom"/>
            <w:hideMark/>
          </w:tcPr>
          <w:p w14:paraId="19CE0E12"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366DD574" w14:textId="77777777" w:rsidTr="0020771F">
        <w:trPr>
          <w:trHeight w:val="288"/>
        </w:trPr>
        <w:tc>
          <w:tcPr>
            <w:tcW w:w="1480" w:type="dxa"/>
            <w:tcBorders>
              <w:top w:val="nil"/>
              <w:left w:val="nil"/>
              <w:bottom w:val="nil"/>
              <w:right w:val="nil"/>
            </w:tcBorders>
            <w:shd w:val="clear" w:color="auto" w:fill="auto"/>
            <w:noWrap/>
            <w:vAlign w:val="bottom"/>
            <w:hideMark/>
          </w:tcPr>
          <w:p w14:paraId="10441BF8"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1937" w:type="dxa"/>
            <w:tcBorders>
              <w:top w:val="nil"/>
              <w:left w:val="nil"/>
              <w:bottom w:val="nil"/>
              <w:right w:val="nil"/>
            </w:tcBorders>
            <w:shd w:val="clear" w:color="auto" w:fill="auto"/>
            <w:noWrap/>
            <w:vAlign w:val="bottom"/>
            <w:hideMark/>
          </w:tcPr>
          <w:p w14:paraId="1FF1BD0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17EE924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6C52A47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EA2971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72</w:t>
            </w:r>
          </w:p>
        </w:tc>
        <w:tc>
          <w:tcPr>
            <w:tcW w:w="1937" w:type="dxa"/>
            <w:tcBorders>
              <w:top w:val="nil"/>
              <w:left w:val="nil"/>
              <w:bottom w:val="nil"/>
              <w:right w:val="nil"/>
            </w:tcBorders>
            <w:shd w:val="clear" w:color="auto" w:fill="E5E5E5" w:themeFill="background1" w:themeFillTint="33"/>
            <w:noWrap/>
            <w:vAlign w:val="bottom"/>
            <w:hideMark/>
          </w:tcPr>
          <w:p w14:paraId="2E8A0513"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7FF16F9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53F4E02A" w14:textId="77777777" w:rsidTr="0020771F">
        <w:trPr>
          <w:trHeight w:val="288"/>
        </w:trPr>
        <w:tc>
          <w:tcPr>
            <w:tcW w:w="1480" w:type="dxa"/>
            <w:tcBorders>
              <w:top w:val="nil"/>
              <w:left w:val="nil"/>
              <w:bottom w:val="nil"/>
              <w:right w:val="nil"/>
            </w:tcBorders>
            <w:shd w:val="clear" w:color="auto" w:fill="auto"/>
            <w:noWrap/>
            <w:vAlign w:val="bottom"/>
            <w:hideMark/>
          </w:tcPr>
          <w:p w14:paraId="397CFE8A"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73</w:t>
            </w:r>
          </w:p>
        </w:tc>
        <w:tc>
          <w:tcPr>
            <w:tcW w:w="1937" w:type="dxa"/>
            <w:tcBorders>
              <w:top w:val="nil"/>
              <w:left w:val="nil"/>
              <w:bottom w:val="nil"/>
              <w:right w:val="nil"/>
            </w:tcBorders>
            <w:shd w:val="clear" w:color="auto" w:fill="auto"/>
            <w:noWrap/>
            <w:vAlign w:val="bottom"/>
            <w:hideMark/>
          </w:tcPr>
          <w:p w14:paraId="0B3DD7B7"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5E894A51"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6B1FE98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44883D2"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1937" w:type="dxa"/>
            <w:tcBorders>
              <w:top w:val="nil"/>
              <w:left w:val="nil"/>
              <w:bottom w:val="nil"/>
              <w:right w:val="nil"/>
            </w:tcBorders>
            <w:shd w:val="clear" w:color="auto" w:fill="E5E5E5" w:themeFill="background1" w:themeFillTint="33"/>
            <w:noWrap/>
            <w:vAlign w:val="bottom"/>
            <w:hideMark/>
          </w:tcPr>
          <w:p w14:paraId="1CF603F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25027A70"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0D180090" w14:textId="77777777" w:rsidTr="0020771F">
        <w:trPr>
          <w:trHeight w:val="288"/>
        </w:trPr>
        <w:tc>
          <w:tcPr>
            <w:tcW w:w="1480" w:type="dxa"/>
            <w:tcBorders>
              <w:top w:val="nil"/>
              <w:left w:val="nil"/>
              <w:bottom w:val="nil"/>
              <w:right w:val="nil"/>
            </w:tcBorders>
            <w:shd w:val="clear" w:color="auto" w:fill="auto"/>
            <w:noWrap/>
            <w:vAlign w:val="bottom"/>
            <w:hideMark/>
          </w:tcPr>
          <w:p w14:paraId="424E23BA"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w:t>
            </w:r>
          </w:p>
        </w:tc>
        <w:tc>
          <w:tcPr>
            <w:tcW w:w="1937" w:type="dxa"/>
            <w:tcBorders>
              <w:top w:val="nil"/>
              <w:left w:val="nil"/>
              <w:bottom w:val="nil"/>
              <w:right w:val="nil"/>
            </w:tcBorders>
            <w:shd w:val="clear" w:color="auto" w:fill="auto"/>
            <w:noWrap/>
            <w:vAlign w:val="bottom"/>
            <w:hideMark/>
          </w:tcPr>
          <w:p w14:paraId="4ABD6804"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5F4C4C4D"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1D24211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CDA5EF0"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1937" w:type="dxa"/>
            <w:tcBorders>
              <w:top w:val="nil"/>
              <w:left w:val="nil"/>
              <w:bottom w:val="nil"/>
              <w:right w:val="nil"/>
            </w:tcBorders>
            <w:shd w:val="clear" w:color="auto" w:fill="E5E5E5" w:themeFill="background1" w:themeFillTint="33"/>
            <w:noWrap/>
            <w:vAlign w:val="bottom"/>
            <w:hideMark/>
          </w:tcPr>
          <w:p w14:paraId="10791A19"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10EADCC5"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45516332" w14:textId="77777777" w:rsidTr="0020771F">
        <w:trPr>
          <w:trHeight w:val="288"/>
        </w:trPr>
        <w:tc>
          <w:tcPr>
            <w:tcW w:w="1480" w:type="dxa"/>
            <w:tcBorders>
              <w:top w:val="nil"/>
              <w:left w:val="nil"/>
              <w:right w:val="nil"/>
            </w:tcBorders>
            <w:shd w:val="clear" w:color="auto" w:fill="auto"/>
            <w:noWrap/>
            <w:vAlign w:val="bottom"/>
            <w:hideMark/>
          </w:tcPr>
          <w:p w14:paraId="0E158F87"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1937" w:type="dxa"/>
            <w:tcBorders>
              <w:top w:val="nil"/>
              <w:left w:val="nil"/>
              <w:right w:val="nil"/>
            </w:tcBorders>
            <w:shd w:val="clear" w:color="auto" w:fill="auto"/>
            <w:noWrap/>
            <w:vAlign w:val="bottom"/>
            <w:hideMark/>
          </w:tcPr>
          <w:p w14:paraId="6C2FD54E"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right w:val="nil"/>
            </w:tcBorders>
            <w:shd w:val="clear" w:color="auto" w:fill="auto"/>
            <w:noWrap/>
            <w:vAlign w:val="bottom"/>
            <w:hideMark/>
          </w:tcPr>
          <w:p w14:paraId="0216F21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r>
      <w:tr w:rsidR="00961617" w:rsidRPr="0076418A" w14:paraId="30B098DC" w14:textId="77777777" w:rsidTr="0020771F">
        <w:trPr>
          <w:trHeight w:val="288"/>
        </w:trPr>
        <w:tc>
          <w:tcPr>
            <w:tcW w:w="1480" w:type="dxa"/>
            <w:tcBorders>
              <w:top w:val="nil"/>
              <w:left w:val="nil"/>
              <w:bottom w:val="single" w:sz="4" w:space="0" w:color="auto"/>
              <w:right w:val="nil"/>
            </w:tcBorders>
            <w:shd w:val="clear" w:color="auto" w:fill="E5E5E5" w:themeFill="background1" w:themeFillTint="33"/>
            <w:noWrap/>
            <w:vAlign w:val="bottom"/>
            <w:hideMark/>
          </w:tcPr>
          <w:p w14:paraId="5E575A05" w14:textId="77777777" w:rsidR="00961617" w:rsidRPr="0076418A" w:rsidRDefault="00961617" w:rsidP="0020771F">
            <w:pPr>
              <w:tabs>
                <w:tab w:val="left" w:pos="629"/>
              </w:tabs>
              <w:spacing w:after="0" w:line="240" w:lineRule="auto"/>
              <w:ind w:left="40"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w:t>
            </w:r>
          </w:p>
        </w:tc>
        <w:tc>
          <w:tcPr>
            <w:tcW w:w="1937" w:type="dxa"/>
            <w:tcBorders>
              <w:top w:val="nil"/>
              <w:left w:val="nil"/>
              <w:bottom w:val="single" w:sz="4" w:space="0" w:color="auto"/>
              <w:right w:val="nil"/>
            </w:tcBorders>
            <w:shd w:val="clear" w:color="auto" w:fill="E5E5E5" w:themeFill="background1" w:themeFillTint="33"/>
            <w:noWrap/>
            <w:vAlign w:val="bottom"/>
            <w:hideMark/>
          </w:tcPr>
          <w:p w14:paraId="58254F07" w14:textId="77777777" w:rsidR="00961617" w:rsidRPr="0076418A" w:rsidRDefault="00961617" w:rsidP="0020771F">
            <w:pPr>
              <w:spacing w:after="0" w:line="240" w:lineRule="auto"/>
              <w:ind w:left="40"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w:t>
            </w:r>
          </w:p>
        </w:tc>
        <w:tc>
          <w:tcPr>
            <w:tcW w:w="2410" w:type="dxa"/>
            <w:tcBorders>
              <w:top w:val="nil"/>
              <w:left w:val="nil"/>
              <w:bottom w:val="single" w:sz="4" w:space="0" w:color="auto"/>
              <w:right w:val="nil"/>
            </w:tcBorders>
            <w:shd w:val="clear" w:color="auto" w:fill="E5E5E5" w:themeFill="background1" w:themeFillTint="33"/>
            <w:noWrap/>
            <w:vAlign w:val="bottom"/>
            <w:hideMark/>
          </w:tcPr>
          <w:p w14:paraId="2A5597E3" w14:textId="77777777" w:rsidR="00961617" w:rsidRPr="0076418A" w:rsidRDefault="00961617" w:rsidP="0020771F">
            <w:pPr>
              <w:spacing w:after="0" w:line="240" w:lineRule="auto"/>
              <w:ind w:left="40"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r>
    </w:tbl>
    <w:p w14:paraId="01E50F03" w14:textId="77777777" w:rsidR="00961617" w:rsidRPr="002F5864" w:rsidRDefault="00961617" w:rsidP="00961617">
      <w:pPr>
        <w:pStyle w:val="FootnoteText"/>
        <w:ind w:left="0" w:firstLine="0"/>
        <w:rPr>
          <w:rFonts w:eastAsia="Times New Roman" w:cstheme="minorHAnsi"/>
          <w:lang w:eastAsia="en-AU"/>
        </w:rPr>
      </w:pPr>
      <w:r w:rsidRPr="002F5864">
        <w:rPr>
          <w:rFonts w:cstheme="minorHAnsi"/>
          <w:b/>
        </w:rPr>
        <w:t>Source:</w:t>
      </w:r>
      <w:r w:rsidRPr="002F5864">
        <w:rPr>
          <w:rFonts w:cstheme="minorHAnsi"/>
          <w:b/>
        </w:rPr>
        <w:tab/>
      </w:r>
      <w:r w:rsidRPr="002F5864">
        <w:rPr>
          <w:rFonts w:eastAsia="Times New Roman" w:cstheme="minorHAnsi"/>
          <w:lang w:eastAsia="en-AU"/>
        </w:rPr>
        <w:t>Department of Employment administrative data</w:t>
      </w:r>
      <w:r>
        <w:rPr>
          <w:rFonts w:eastAsia="Times New Roman" w:cstheme="minorHAnsi"/>
          <w:lang w:eastAsia="en-AU"/>
        </w:rPr>
        <w:t xml:space="preserve"> and Research and Evaluation dataset (RED).</w:t>
      </w:r>
    </w:p>
    <w:p w14:paraId="4B7D8675" w14:textId="77777777" w:rsidR="00961617" w:rsidRPr="00F150C9" w:rsidRDefault="00864C5E" w:rsidP="00961617">
      <w:pPr>
        <w:rPr>
          <w:sz w:val="18"/>
          <w:szCs w:val="18"/>
        </w:rPr>
      </w:pPr>
      <w:hyperlink w:anchor="Place_A229" w:history="1">
        <w:r w:rsidR="00961617" w:rsidRPr="00DD4BF4">
          <w:rPr>
            <w:rStyle w:val="Hyperlink"/>
            <w:sz w:val="18"/>
            <w:szCs w:val="18"/>
          </w:rPr>
          <w:t>Return to Figure 6.1</w:t>
        </w:r>
      </w:hyperlink>
      <w:r w:rsidR="00961617" w:rsidRPr="00F150C9">
        <w:rPr>
          <w:sz w:val="18"/>
          <w:szCs w:val="18"/>
        </w:rPr>
        <w:t xml:space="preserve"> where this data is referenced.</w:t>
      </w:r>
    </w:p>
    <w:p w14:paraId="299C2254" w14:textId="77777777" w:rsidR="00961617" w:rsidRDefault="00961617" w:rsidP="00961617">
      <w:pPr>
        <w:rPr>
          <w:rFonts w:cstheme="minorHAnsi"/>
          <w:sz w:val="18"/>
          <w:szCs w:val="18"/>
        </w:rPr>
      </w:pPr>
      <w:r>
        <w:rPr>
          <w:rFonts w:cstheme="minorHAnsi"/>
          <w:b/>
          <w:i/>
          <w:sz w:val="18"/>
          <w:szCs w:val="18"/>
        </w:rPr>
        <w:br w:type="page"/>
      </w:r>
    </w:p>
    <w:p w14:paraId="65DDC99A" w14:textId="77777777" w:rsidR="00961617" w:rsidRPr="002F5864" w:rsidRDefault="00961617" w:rsidP="00961617">
      <w:pPr>
        <w:pStyle w:val="TableheadingforappendixA1"/>
        <w:rPr>
          <w:rFonts w:cstheme="minorHAnsi"/>
        </w:rPr>
      </w:pPr>
      <w:bookmarkStart w:id="696" w:name="_Toc513129923"/>
      <w:r w:rsidRPr="002F5864">
        <w:rPr>
          <w:rFonts w:cstheme="minorHAnsi"/>
        </w:rPr>
        <w:t xml:space="preserve">Table </w:t>
      </w:r>
      <w:r w:rsidRPr="002F5864">
        <w:rPr>
          <w:rFonts w:cstheme="minorHAnsi"/>
          <w:noProof/>
        </w:rPr>
        <w:t>A2.</w:t>
      </w:r>
      <w:r>
        <w:rPr>
          <w:rFonts w:cstheme="minorHAnsi"/>
          <w:noProof/>
        </w:rPr>
        <w:t>30</w:t>
      </w:r>
      <w:r w:rsidRPr="002F5864">
        <w:rPr>
          <w:rFonts w:cstheme="minorHAnsi"/>
          <w:noProof/>
        </w:rPr>
        <w:t>: Number and distribution of first exemption reason in the follow-up period (number and per cent)</w:t>
      </w:r>
      <w:bookmarkEnd w:id="696"/>
    </w:p>
    <w:tbl>
      <w:tblPr>
        <w:tblStyle w:val="DEEWRTable"/>
        <w:tblW w:w="8614" w:type="dxa"/>
        <w:tblLook w:val="0420" w:firstRow="1" w:lastRow="0" w:firstColumn="0" w:lastColumn="0" w:noHBand="0" w:noVBand="1"/>
      </w:tblPr>
      <w:tblGrid>
        <w:gridCol w:w="6062"/>
        <w:gridCol w:w="1417"/>
        <w:gridCol w:w="1135"/>
      </w:tblGrid>
      <w:tr w:rsidR="00961617" w:rsidRPr="00816257" w14:paraId="4568B64D" w14:textId="77777777" w:rsidTr="0020771F">
        <w:trPr>
          <w:cnfStyle w:val="100000000000" w:firstRow="1" w:lastRow="0" w:firstColumn="0" w:lastColumn="0" w:oddVBand="0" w:evenVBand="0" w:oddHBand="0" w:evenHBand="0" w:firstRowFirstColumn="0" w:firstRowLastColumn="0" w:lastRowFirstColumn="0" w:lastRowLastColumn="0"/>
          <w:trHeight w:val="397"/>
        </w:trPr>
        <w:tc>
          <w:tcPr>
            <w:tcW w:w="6062" w:type="dxa"/>
            <w:tcBorders>
              <w:bottom w:val="nil"/>
            </w:tcBorders>
            <w:shd w:val="clear" w:color="auto" w:fill="1E3D6B"/>
            <w:vAlign w:val="center"/>
          </w:tcPr>
          <w:p w14:paraId="088C1807" w14:textId="77777777" w:rsidR="00961617" w:rsidRPr="00816257" w:rsidRDefault="00961617" w:rsidP="0020771F">
            <w:pPr>
              <w:rPr>
                <w:rFonts w:cstheme="minorHAnsi"/>
              </w:rPr>
            </w:pPr>
            <w:bookmarkStart w:id="697" w:name="Title_A230"/>
            <w:bookmarkEnd w:id="697"/>
            <w:r w:rsidRPr="00816257">
              <w:rPr>
                <w:rFonts w:cstheme="minorHAnsi"/>
              </w:rPr>
              <w:t>Exemption reason</w:t>
            </w:r>
          </w:p>
        </w:tc>
        <w:tc>
          <w:tcPr>
            <w:tcW w:w="1417" w:type="dxa"/>
            <w:tcBorders>
              <w:bottom w:val="nil"/>
            </w:tcBorders>
            <w:shd w:val="clear" w:color="auto" w:fill="1E3D6B"/>
            <w:vAlign w:val="center"/>
          </w:tcPr>
          <w:p w14:paraId="01827A6C" w14:textId="77777777" w:rsidR="00961617" w:rsidRPr="00816257" w:rsidRDefault="00961617" w:rsidP="0020771F">
            <w:pPr>
              <w:pStyle w:val="TableHeadingtext-centred"/>
              <w:tabs>
                <w:tab w:val="clear" w:pos="1134"/>
                <w:tab w:val="left" w:pos="941"/>
                <w:tab w:val="left" w:pos="1204"/>
              </w:tabs>
              <w:ind w:right="-650"/>
              <w:rPr>
                <w:rFonts w:cstheme="minorHAnsi"/>
                <w:b/>
                <w:i w:val="0"/>
              </w:rPr>
            </w:pPr>
            <w:r w:rsidRPr="00816257">
              <w:rPr>
                <w:rFonts w:cstheme="minorHAnsi"/>
                <w:b/>
                <w:i w:val="0"/>
              </w:rPr>
              <w:t>Number</w:t>
            </w:r>
          </w:p>
        </w:tc>
        <w:tc>
          <w:tcPr>
            <w:tcW w:w="1135" w:type="dxa"/>
            <w:tcBorders>
              <w:bottom w:val="nil"/>
            </w:tcBorders>
            <w:shd w:val="clear" w:color="auto" w:fill="1E3D6B"/>
            <w:vAlign w:val="center"/>
          </w:tcPr>
          <w:p w14:paraId="059F255B" w14:textId="77777777" w:rsidR="00961617" w:rsidRPr="00816257" w:rsidRDefault="00961617" w:rsidP="0020771F">
            <w:pPr>
              <w:pStyle w:val="TableHeadingtext-centred"/>
              <w:tabs>
                <w:tab w:val="clear" w:pos="1134"/>
                <w:tab w:val="left" w:pos="941"/>
              </w:tabs>
              <w:jc w:val="right"/>
              <w:rPr>
                <w:rFonts w:cstheme="minorHAnsi"/>
                <w:b/>
                <w:i w:val="0"/>
              </w:rPr>
            </w:pPr>
            <w:r w:rsidRPr="00816257">
              <w:rPr>
                <w:rFonts w:cstheme="minorHAnsi"/>
                <w:b/>
                <w:i w:val="0"/>
              </w:rPr>
              <w:t>Per cent</w:t>
            </w:r>
          </w:p>
        </w:tc>
      </w:tr>
      <w:tr w:rsidR="00961617" w:rsidRPr="00816257" w14:paraId="00C928E2" w14:textId="77777777" w:rsidTr="0020771F">
        <w:trPr>
          <w:trHeight w:val="397"/>
        </w:trPr>
        <w:tc>
          <w:tcPr>
            <w:tcW w:w="6062" w:type="dxa"/>
            <w:tcBorders>
              <w:top w:val="nil"/>
            </w:tcBorders>
            <w:vAlign w:val="center"/>
          </w:tcPr>
          <w:p w14:paraId="5D268DAF" w14:textId="77777777" w:rsidR="00961617" w:rsidRPr="00816257" w:rsidRDefault="00961617" w:rsidP="0020771F">
            <w:pPr>
              <w:pStyle w:val="TableBody1"/>
              <w:rPr>
                <w:rFonts w:cstheme="minorHAnsi"/>
                <w:szCs w:val="20"/>
              </w:rPr>
            </w:pPr>
            <w:r w:rsidRPr="00816257">
              <w:rPr>
                <w:rFonts w:cstheme="minorHAnsi"/>
                <w:szCs w:val="20"/>
              </w:rPr>
              <w:t xml:space="preserve">Temporary Medical Incapacity </w:t>
            </w:r>
          </w:p>
        </w:tc>
        <w:tc>
          <w:tcPr>
            <w:tcW w:w="1417" w:type="dxa"/>
            <w:tcBorders>
              <w:top w:val="nil"/>
            </w:tcBorders>
            <w:vAlign w:val="center"/>
          </w:tcPr>
          <w:p w14:paraId="2B1647C5" w14:textId="77777777" w:rsidR="00961617" w:rsidRPr="00816257" w:rsidRDefault="00961617" w:rsidP="0020771F">
            <w:pPr>
              <w:jc w:val="right"/>
              <w:rPr>
                <w:rFonts w:cstheme="minorHAnsi"/>
                <w:szCs w:val="20"/>
              </w:rPr>
            </w:pPr>
            <w:r w:rsidRPr="00816257">
              <w:rPr>
                <w:rFonts w:cstheme="minorHAnsi"/>
                <w:szCs w:val="20"/>
              </w:rPr>
              <w:t>2,542</w:t>
            </w:r>
          </w:p>
        </w:tc>
        <w:tc>
          <w:tcPr>
            <w:tcW w:w="1135" w:type="dxa"/>
            <w:tcBorders>
              <w:top w:val="nil"/>
            </w:tcBorders>
            <w:vAlign w:val="center"/>
          </w:tcPr>
          <w:p w14:paraId="10CC1833" w14:textId="77777777" w:rsidR="00961617" w:rsidRPr="00816257" w:rsidRDefault="00961617" w:rsidP="0020771F">
            <w:pPr>
              <w:jc w:val="right"/>
              <w:rPr>
                <w:rFonts w:cstheme="minorHAnsi"/>
                <w:szCs w:val="20"/>
              </w:rPr>
            </w:pPr>
            <w:r w:rsidRPr="00816257">
              <w:rPr>
                <w:rFonts w:cstheme="minorHAnsi"/>
                <w:szCs w:val="20"/>
              </w:rPr>
              <w:t>34.3</w:t>
            </w:r>
          </w:p>
        </w:tc>
      </w:tr>
      <w:tr w:rsidR="00961617" w:rsidRPr="00816257" w14:paraId="5CD9E13C" w14:textId="77777777" w:rsidTr="0020771F">
        <w:trPr>
          <w:trHeight w:val="397"/>
        </w:trPr>
        <w:tc>
          <w:tcPr>
            <w:tcW w:w="6062" w:type="dxa"/>
            <w:shd w:val="clear" w:color="auto" w:fill="E5E5E5" w:themeFill="background1" w:themeFillTint="33"/>
            <w:vAlign w:val="center"/>
          </w:tcPr>
          <w:p w14:paraId="40321D19" w14:textId="77777777" w:rsidR="00961617" w:rsidRPr="00816257" w:rsidRDefault="00961617" w:rsidP="0020771F">
            <w:pPr>
              <w:rPr>
                <w:rFonts w:cstheme="minorHAnsi"/>
                <w:szCs w:val="20"/>
              </w:rPr>
            </w:pPr>
            <w:r w:rsidRPr="00816257">
              <w:rPr>
                <w:rFonts w:cstheme="minorHAnsi"/>
                <w:szCs w:val="20"/>
              </w:rPr>
              <w:t>Major Personal Crisis</w:t>
            </w:r>
          </w:p>
        </w:tc>
        <w:tc>
          <w:tcPr>
            <w:tcW w:w="1417" w:type="dxa"/>
            <w:shd w:val="clear" w:color="auto" w:fill="E5E5E5" w:themeFill="background1" w:themeFillTint="33"/>
            <w:vAlign w:val="center"/>
          </w:tcPr>
          <w:p w14:paraId="5D932E5C" w14:textId="77777777" w:rsidR="00961617" w:rsidRPr="00816257" w:rsidRDefault="00961617" w:rsidP="0020771F">
            <w:pPr>
              <w:jc w:val="right"/>
              <w:rPr>
                <w:rFonts w:cstheme="minorHAnsi"/>
                <w:szCs w:val="20"/>
              </w:rPr>
            </w:pPr>
            <w:r w:rsidRPr="00816257">
              <w:rPr>
                <w:rFonts w:cstheme="minorHAnsi"/>
                <w:szCs w:val="20"/>
              </w:rPr>
              <w:t>759</w:t>
            </w:r>
          </w:p>
        </w:tc>
        <w:tc>
          <w:tcPr>
            <w:tcW w:w="1135" w:type="dxa"/>
            <w:shd w:val="clear" w:color="auto" w:fill="E5E5E5" w:themeFill="background1" w:themeFillTint="33"/>
            <w:vAlign w:val="center"/>
          </w:tcPr>
          <w:p w14:paraId="72666266" w14:textId="77777777" w:rsidR="00961617" w:rsidRPr="00816257" w:rsidRDefault="00961617" w:rsidP="0020771F">
            <w:pPr>
              <w:jc w:val="right"/>
              <w:rPr>
                <w:rFonts w:cstheme="minorHAnsi"/>
                <w:szCs w:val="20"/>
              </w:rPr>
            </w:pPr>
            <w:r w:rsidRPr="00816257">
              <w:rPr>
                <w:rFonts w:cstheme="minorHAnsi"/>
                <w:szCs w:val="20"/>
              </w:rPr>
              <w:t>10.3</w:t>
            </w:r>
          </w:p>
        </w:tc>
      </w:tr>
      <w:tr w:rsidR="00961617" w:rsidRPr="00816257" w14:paraId="1EEFAE9F" w14:textId="77777777" w:rsidTr="0020771F">
        <w:trPr>
          <w:trHeight w:val="397"/>
        </w:trPr>
        <w:tc>
          <w:tcPr>
            <w:tcW w:w="6062" w:type="dxa"/>
            <w:vAlign w:val="center"/>
          </w:tcPr>
          <w:p w14:paraId="2DA29024" w14:textId="77777777" w:rsidR="00961617" w:rsidRPr="00816257" w:rsidRDefault="00961617" w:rsidP="0020771F">
            <w:pPr>
              <w:rPr>
                <w:rFonts w:cstheme="minorHAnsi"/>
                <w:szCs w:val="20"/>
              </w:rPr>
            </w:pPr>
            <w:r w:rsidRPr="00816257">
              <w:rPr>
                <w:rFonts w:cstheme="minorHAnsi"/>
                <w:szCs w:val="20"/>
              </w:rPr>
              <w:t>Approved Overseas Absence Exemption</w:t>
            </w:r>
          </w:p>
        </w:tc>
        <w:tc>
          <w:tcPr>
            <w:tcW w:w="1417" w:type="dxa"/>
            <w:vAlign w:val="center"/>
          </w:tcPr>
          <w:p w14:paraId="50808AA5" w14:textId="77777777" w:rsidR="00961617" w:rsidRPr="00816257" w:rsidRDefault="00961617" w:rsidP="0020771F">
            <w:pPr>
              <w:jc w:val="right"/>
              <w:rPr>
                <w:rFonts w:cstheme="minorHAnsi"/>
                <w:szCs w:val="20"/>
              </w:rPr>
            </w:pPr>
            <w:r w:rsidRPr="00816257">
              <w:rPr>
                <w:rFonts w:cstheme="minorHAnsi"/>
                <w:szCs w:val="20"/>
              </w:rPr>
              <w:t>801</w:t>
            </w:r>
          </w:p>
        </w:tc>
        <w:tc>
          <w:tcPr>
            <w:tcW w:w="1135" w:type="dxa"/>
            <w:vAlign w:val="center"/>
          </w:tcPr>
          <w:p w14:paraId="6E53C669" w14:textId="77777777" w:rsidR="00961617" w:rsidRPr="00816257" w:rsidRDefault="00961617" w:rsidP="0020771F">
            <w:pPr>
              <w:jc w:val="right"/>
              <w:rPr>
                <w:rFonts w:cstheme="minorHAnsi"/>
                <w:szCs w:val="20"/>
              </w:rPr>
            </w:pPr>
            <w:r w:rsidRPr="00816257">
              <w:rPr>
                <w:rFonts w:cstheme="minorHAnsi"/>
                <w:szCs w:val="20"/>
              </w:rPr>
              <w:t>10.8</w:t>
            </w:r>
          </w:p>
        </w:tc>
      </w:tr>
      <w:tr w:rsidR="00961617" w:rsidRPr="00816257" w14:paraId="18FDE436" w14:textId="77777777" w:rsidTr="0020771F">
        <w:trPr>
          <w:trHeight w:val="397"/>
        </w:trPr>
        <w:tc>
          <w:tcPr>
            <w:tcW w:w="6062" w:type="dxa"/>
            <w:shd w:val="clear" w:color="auto" w:fill="E5E5E5" w:themeFill="background1" w:themeFillTint="33"/>
            <w:vAlign w:val="center"/>
          </w:tcPr>
          <w:p w14:paraId="6C0AC2A1" w14:textId="77777777" w:rsidR="00961617" w:rsidRPr="00816257" w:rsidRDefault="00961617" w:rsidP="0020771F">
            <w:pPr>
              <w:rPr>
                <w:rFonts w:cstheme="minorHAnsi"/>
                <w:szCs w:val="20"/>
              </w:rPr>
            </w:pPr>
            <w:r w:rsidRPr="00816257">
              <w:rPr>
                <w:rFonts w:cstheme="minorHAnsi"/>
                <w:szCs w:val="20"/>
              </w:rPr>
              <w:t xml:space="preserve">Caring Responsibilities/Claiming DSP/Other Special Circumstances </w:t>
            </w:r>
          </w:p>
        </w:tc>
        <w:tc>
          <w:tcPr>
            <w:tcW w:w="1417" w:type="dxa"/>
            <w:shd w:val="clear" w:color="auto" w:fill="E5E5E5" w:themeFill="background1" w:themeFillTint="33"/>
            <w:vAlign w:val="center"/>
          </w:tcPr>
          <w:p w14:paraId="73D99585" w14:textId="77777777" w:rsidR="00961617" w:rsidRPr="00816257" w:rsidRDefault="00961617" w:rsidP="0020771F">
            <w:pPr>
              <w:jc w:val="right"/>
              <w:rPr>
                <w:rFonts w:cstheme="minorHAnsi"/>
                <w:szCs w:val="20"/>
              </w:rPr>
            </w:pPr>
            <w:r w:rsidRPr="00816257">
              <w:rPr>
                <w:rFonts w:cstheme="minorHAnsi"/>
                <w:szCs w:val="20"/>
              </w:rPr>
              <w:t>790</w:t>
            </w:r>
          </w:p>
        </w:tc>
        <w:tc>
          <w:tcPr>
            <w:tcW w:w="1135" w:type="dxa"/>
            <w:shd w:val="clear" w:color="auto" w:fill="E5E5E5" w:themeFill="background1" w:themeFillTint="33"/>
            <w:vAlign w:val="center"/>
          </w:tcPr>
          <w:p w14:paraId="7D49F30B" w14:textId="77777777" w:rsidR="00961617" w:rsidRPr="00816257" w:rsidRDefault="00961617" w:rsidP="0020771F">
            <w:pPr>
              <w:jc w:val="right"/>
              <w:rPr>
                <w:rFonts w:cstheme="minorHAnsi"/>
                <w:szCs w:val="20"/>
              </w:rPr>
            </w:pPr>
            <w:r w:rsidRPr="00816257">
              <w:rPr>
                <w:rFonts w:cstheme="minorHAnsi"/>
                <w:szCs w:val="20"/>
              </w:rPr>
              <w:t>10.7</w:t>
            </w:r>
          </w:p>
        </w:tc>
      </w:tr>
      <w:tr w:rsidR="00961617" w:rsidRPr="00816257" w14:paraId="21D9D643" w14:textId="77777777" w:rsidTr="0020771F">
        <w:trPr>
          <w:trHeight w:val="397"/>
        </w:trPr>
        <w:tc>
          <w:tcPr>
            <w:tcW w:w="6062" w:type="dxa"/>
            <w:shd w:val="clear" w:color="auto" w:fill="8EAEDE"/>
            <w:vAlign w:val="center"/>
          </w:tcPr>
          <w:p w14:paraId="5F289ECB" w14:textId="77777777" w:rsidR="00961617" w:rsidRPr="00816257" w:rsidRDefault="00961617" w:rsidP="00A103F1">
            <w:pPr>
              <w:rPr>
                <w:rFonts w:cstheme="minorHAnsi"/>
                <w:szCs w:val="20"/>
              </w:rPr>
            </w:pPr>
            <w:r w:rsidRPr="00816257">
              <w:rPr>
                <w:rFonts w:cstheme="minorHAnsi"/>
                <w:szCs w:val="20"/>
              </w:rPr>
              <w:t>Subtotal</w:t>
            </w:r>
          </w:p>
        </w:tc>
        <w:tc>
          <w:tcPr>
            <w:tcW w:w="1417" w:type="dxa"/>
            <w:shd w:val="clear" w:color="auto" w:fill="8EAEDE"/>
            <w:vAlign w:val="center"/>
          </w:tcPr>
          <w:p w14:paraId="3460ADE9" w14:textId="77777777" w:rsidR="00961617" w:rsidRPr="00816257" w:rsidRDefault="00961617" w:rsidP="0020771F">
            <w:pPr>
              <w:jc w:val="right"/>
              <w:rPr>
                <w:rFonts w:cstheme="minorHAnsi"/>
                <w:szCs w:val="20"/>
              </w:rPr>
            </w:pPr>
            <w:r w:rsidRPr="00816257">
              <w:rPr>
                <w:rFonts w:cstheme="minorHAnsi"/>
                <w:szCs w:val="20"/>
              </w:rPr>
              <w:t>4,892</w:t>
            </w:r>
          </w:p>
        </w:tc>
        <w:tc>
          <w:tcPr>
            <w:tcW w:w="1135" w:type="dxa"/>
            <w:shd w:val="clear" w:color="auto" w:fill="8EAEDE"/>
            <w:vAlign w:val="center"/>
          </w:tcPr>
          <w:p w14:paraId="7BFC8727" w14:textId="77777777" w:rsidR="00961617" w:rsidRPr="00816257" w:rsidRDefault="00961617" w:rsidP="0020771F">
            <w:pPr>
              <w:jc w:val="right"/>
              <w:rPr>
                <w:rFonts w:cstheme="minorHAnsi"/>
                <w:szCs w:val="20"/>
              </w:rPr>
            </w:pPr>
            <w:r w:rsidRPr="00816257">
              <w:rPr>
                <w:rFonts w:cstheme="minorHAnsi"/>
                <w:szCs w:val="20"/>
              </w:rPr>
              <w:t>66.1</w:t>
            </w:r>
          </w:p>
        </w:tc>
      </w:tr>
      <w:tr w:rsidR="00961617" w:rsidRPr="00816257" w14:paraId="691EEEAE" w14:textId="77777777" w:rsidTr="0020771F">
        <w:trPr>
          <w:trHeight w:val="397"/>
        </w:trPr>
        <w:tc>
          <w:tcPr>
            <w:tcW w:w="6062" w:type="dxa"/>
            <w:vAlign w:val="center"/>
          </w:tcPr>
          <w:p w14:paraId="3CFD7BD1" w14:textId="77777777" w:rsidR="00961617" w:rsidRPr="00816257" w:rsidRDefault="00961617" w:rsidP="0020771F">
            <w:pPr>
              <w:rPr>
                <w:rFonts w:cstheme="minorHAnsi"/>
                <w:szCs w:val="20"/>
              </w:rPr>
            </w:pPr>
            <w:r w:rsidRPr="00816257">
              <w:rPr>
                <w:rFonts w:cstheme="minorHAnsi"/>
                <w:szCs w:val="20"/>
              </w:rPr>
              <w:t>Approved Short Course</w:t>
            </w:r>
          </w:p>
        </w:tc>
        <w:tc>
          <w:tcPr>
            <w:tcW w:w="1417" w:type="dxa"/>
            <w:vAlign w:val="center"/>
          </w:tcPr>
          <w:p w14:paraId="6383D299" w14:textId="77777777" w:rsidR="00961617" w:rsidRPr="00816257" w:rsidRDefault="00961617" w:rsidP="0020771F">
            <w:pPr>
              <w:jc w:val="right"/>
              <w:rPr>
                <w:rFonts w:cstheme="minorHAnsi"/>
                <w:szCs w:val="20"/>
              </w:rPr>
            </w:pPr>
            <w:r w:rsidRPr="00816257">
              <w:rPr>
                <w:rFonts w:cstheme="minorHAnsi"/>
                <w:szCs w:val="20"/>
              </w:rPr>
              <w:t>1,142</w:t>
            </w:r>
          </w:p>
        </w:tc>
        <w:tc>
          <w:tcPr>
            <w:tcW w:w="1135" w:type="dxa"/>
            <w:vAlign w:val="center"/>
          </w:tcPr>
          <w:p w14:paraId="533310F8" w14:textId="77777777" w:rsidR="00961617" w:rsidRPr="00816257" w:rsidRDefault="00961617" w:rsidP="0020771F">
            <w:pPr>
              <w:jc w:val="right"/>
              <w:rPr>
                <w:rFonts w:cstheme="minorHAnsi"/>
                <w:szCs w:val="20"/>
              </w:rPr>
            </w:pPr>
            <w:r w:rsidRPr="00816257">
              <w:rPr>
                <w:rFonts w:cstheme="minorHAnsi"/>
                <w:szCs w:val="20"/>
              </w:rPr>
              <w:t>15.4</w:t>
            </w:r>
          </w:p>
        </w:tc>
      </w:tr>
      <w:tr w:rsidR="00961617" w:rsidRPr="00816257" w14:paraId="7570D48C" w14:textId="77777777" w:rsidTr="0020771F">
        <w:trPr>
          <w:trHeight w:val="397"/>
        </w:trPr>
        <w:tc>
          <w:tcPr>
            <w:tcW w:w="6062" w:type="dxa"/>
            <w:shd w:val="clear" w:color="auto" w:fill="E5E5E5" w:themeFill="background1" w:themeFillTint="33"/>
            <w:vAlign w:val="center"/>
          </w:tcPr>
          <w:p w14:paraId="62B77B53" w14:textId="77777777" w:rsidR="00961617" w:rsidRPr="00816257" w:rsidRDefault="00961617" w:rsidP="0020771F">
            <w:pPr>
              <w:rPr>
                <w:rFonts w:cstheme="minorHAnsi"/>
                <w:szCs w:val="20"/>
              </w:rPr>
            </w:pPr>
            <w:r w:rsidRPr="00816257">
              <w:rPr>
                <w:rFonts w:cstheme="minorHAnsi"/>
                <w:szCs w:val="20"/>
              </w:rPr>
              <w:t>Job Seeker Undertaking Part-Time Work</w:t>
            </w:r>
          </w:p>
        </w:tc>
        <w:tc>
          <w:tcPr>
            <w:tcW w:w="1417" w:type="dxa"/>
            <w:shd w:val="clear" w:color="auto" w:fill="E5E5E5" w:themeFill="background1" w:themeFillTint="33"/>
            <w:vAlign w:val="center"/>
          </w:tcPr>
          <w:p w14:paraId="3403117E" w14:textId="77777777" w:rsidR="00961617" w:rsidRPr="00816257" w:rsidRDefault="00961617" w:rsidP="0020771F">
            <w:pPr>
              <w:jc w:val="right"/>
              <w:rPr>
                <w:rFonts w:cstheme="minorHAnsi"/>
                <w:szCs w:val="20"/>
              </w:rPr>
            </w:pPr>
            <w:r w:rsidRPr="00816257">
              <w:rPr>
                <w:rFonts w:cstheme="minorHAnsi"/>
                <w:szCs w:val="20"/>
              </w:rPr>
              <w:t>433</w:t>
            </w:r>
          </w:p>
        </w:tc>
        <w:tc>
          <w:tcPr>
            <w:tcW w:w="1135" w:type="dxa"/>
            <w:shd w:val="clear" w:color="auto" w:fill="E5E5E5" w:themeFill="background1" w:themeFillTint="33"/>
            <w:vAlign w:val="center"/>
          </w:tcPr>
          <w:p w14:paraId="74C2EFA7" w14:textId="77777777" w:rsidR="00961617" w:rsidRPr="00816257" w:rsidRDefault="00961617" w:rsidP="0020771F">
            <w:pPr>
              <w:jc w:val="right"/>
              <w:rPr>
                <w:rFonts w:cstheme="minorHAnsi"/>
                <w:szCs w:val="20"/>
              </w:rPr>
            </w:pPr>
            <w:r w:rsidRPr="00816257">
              <w:rPr>
                <w:rFonts w:cstheme="minorHAnsi"/>
                <w:szCs w:val="20"/>
              </w:rPr>
              <w:t>5.8</w:t>
            </w:r>
          </w:p>
        </w:tc>
      </w:tr>
      <w:tr w:rsidR="00961617" w:rsidRPr="00816257" w14:paraId="14299574" w14:textId="77777777" w:rsidTr="0020771F">
        <w:trPr>
          <w:trHeight w:val="397"/>
        </w:trPr>
        <w:tc>
          <w:tcPr>
            <w:tcW w:w="6062" w:type="dxa"/>
            <w:vAlign w:val="center"/>
          </w:tcPr>
          <w:p w14:paraId="0496FADF" w14:textId="77777777" w:rsidR="00961617" w:rsidRPr="00816257" w:rsidRDefault="00961617" w:rsidP="0020771F">
            <w:pPr>
              <w:rPr>
                <w:rFonts w:cstheme="minorHAnsi"/>
                <w:szCs w:val="20"/>
              </w:rPr>
            </w:pPr>
            <w:r w:rsidRPr="00816257">
              <w:rPr>
                <w:rFonts w:cstheme="minorHAnsi"/>
                <w:szCs w:val="20"/>
              </w:rPr>
              <w:t>Literacy and Numeracy/Full-Time Study/Apprenticeship</w:t>
            </w:r>
          </w:p>
        </w:tc>
        <w:tc>
          <w:tcPr>
            <w:tcW w:w="1417" w:type="dxa"/>
            <w:vAlign w:val="center"/>
          </w:tcPr>
          <w:p w14:paraId="2F22E1CE" w14:textId="77777777" w:rsidR="00961617" w:rsidRPr="00816257" w:rsidRDefault="00961617" w:rsidP="0020771F">
            <w:pPr>
              <w:jc w:val="right"/>
              <w:rPr>
                <w:rFonts w:cstheme="minorHAnsi"/>
                <w:szCs w:val="20"/>
              </w:rPr>
            </w:pPr>
            <w:r w:rsidRPr="00816257">
              <w:rPr>
                <w:rFonts w:cstheme="minorHAnsi"/>
                <w:szCs w:val="20"/>
              </w:rPr>
              <w:t>505</w:t>
            </w:r>
          </w:p>
        </w:tc>
        <w:tc>
          <w:tcPr>
            <w:tcW w:w="1135" w:type="dxa"/>
            <w:vAlign w:val="center"/>
          </w:tcPr>
          <w:p w14:paraId="683D566E" w14:textId="77777777" w:rsidR="00961617" w:rsidRPr="00816257" w:rsidRDefault="00961617" w:rsidP="0020771F">
            <w:pPr>
              <w:jc w:val="right"/>
              <w:rPr>
                <w:rFonts w:cstheme="minorHAnsi"/>
                <w:szCs w:val="20"/>
              </w:rPr>
            </w:pPr>
            <w:r w:rsidRPr="00816257">
              <w:rPr>
                <w:rFonts w:cstheme="minorHAnsi"/>
                <w:szCs w:val="20"/>
              </w:rPr>
              <w:t>6.8</w:t>
            </w:r>
          </w:p>
        </w:tc>
      </w:tr>
      <w:tr w:rsidR="00961617" w:rsidRPr="00816257" w14:paraId="7AAFF62D" w14:textId="77777777" w:rsidTr="0020771F">
        <w:trPr>
          <w:trHeight w:val="397"/>
        </w:trPr>
        <w:tc>
          <w:tcPr>
            <w:tcW w:w="6062" w:type="dxa"/>
            <w:shd w:val="clear" w:color="auto" w:fill="8EAEDE"/>
            <w:vAlign w:val="center"/>
          </w:tcPr>
          <w:p w14:paraId="1A572E4D" w14:textId="77777777" w:rsidR="00961617" w:rsidRPr="00816257" w:rsidRDefault="00961617" w:rsidP="00A103F1">
            <w:pPr>
              <w:rPr>
                <w:rFonts w:cstheme="minorHAnsi"/>
                <w:szCs w:val="20"/>
              </w:rPr>
            </w:pPr>
            <w:r w:rsidRPr="00816257">
              <w:rPr>
                <w:rFonts w:cstheme="minorHAnsi"/>
                <w:szCs w:val="20"/>
              </w:rPr>
              <w:t>Subtotal</w:t>
            </w:r>
          </w:p>
        </w:tc>
        <w:tc>
          <w:tcPr>
            <w:tcW w:w="1417" w:type="dxa"/>
            <w:shd w:val="clear" w:color="auto" w:fill="8EAEDE"/>
            <w:vAlign w:val="center"/>
          </w:tcPr>
          <w:p w14:paraId="1D980B6E" w14:textId="77777777" w:rsidR="00961617" w:rsidRPr="00816257" w:rsidRDefault="00961617" w:rsidP="0020771F">
            <w:pPr>
              <w:jc w:val="right"/>
              <w:rPr>
                <w:rFonts w:cstheme="minorHAnsi"/>
                <w:szCs w:val="20"/>
              </w:rPr>
            </w:pPr>
            <w:r w:rsidRPr="00816257">
              <w:rPr>
                <w:rFonts w:cstheme="minorHAnsi"/>
                <w:szCs w:val="20"/>
              </w:rPr>
              <w:t>2,080</w:t>
            </w:r>
          </w:p>
        </w:tc>
        <w:tc>
          <w:tcPr>
            <w:tcW w:w="1135" w:type="dxa"/>
            <w:shd w:val="clear" w:color="auto" w:fill="8EAEDE"/>
            <w:vAlign w:val="center"/>
          </w:tcPr>
          <w:p w14:paraId="6CFB2B10" w14:textId="77777777" w:rsidR="00961617" w:rsidRPr="00816257" w:rsidRDefault="00961617" w:rsidP="0020771F">
            <w:pPr>
              <w:jc w:val="right"/>
              <w:rPr>
                <w:rFonts w:cstheme="minorHAnsi"/>
                <w:szCs w:val="20"/>
              </w:rPr>
            </w:pPr>
            <w:r w:rsidRPr="00816257">
              <w:rPr>
                <w:rFonts w:cstheme="minorHAnsi"/>
                <w:szCs w:val="20"/>
              </w:rPr>
              <w:t>28.1</w:t>
            </w:r>
          </w:p>
        </w:tc>
      </w:tr>
      <w:tr w:rsidR="00961617" w:rsidRPr="00816257" w14:paraId="6FB929FE" w14:textId="77777777" w:rsidTr="0020771F">
        <w:trPr>
          <w:trHeight w:val="397"/>
        </w:trPr>
        <w:tc>
          <w:tcPr>
            <w:tcW w:w="6062" w:type="dxa"/>
            <w:tcBorders>
              <w:bottom w:val="nil"/>
            </w:tcBorders>
            <w:vAlign w:val="center"/>
          </w:tcPr>
          <w:p w14:paraId="4B8415CE" w14:textId="77777777" w:rsidR="00961617" w:rsidRPr="00816257" w:rsidRDefault="00961617" w:rsidP="0020771F">
            <w:pPr>
              <w:rPr>
                <w:rFonts w:cstheme="minorHAnsi"/>
                <w:szCs w:val="20"/>
              </w:rPr>
            </w:pPr>
            <w:r w:rsidRPr="00816257">
              <w:rPr>
                <w:rFonts w:cstheme="minorHAnsi"/>
                <w:szCs w:val="20"/>
              </w:rPr>
              <w:t>Other</w:t>
            </w:r>
          </w:p>
        </w:tc>
        <w:tc>
          <w:tcPr>
            <w:tcW w:w="1417" w:type="dxa"/>
            <w:tcBorders>
              <w:bottom w:val="nil"/>
            </w:tcBorders>
            <w:vAlign w:val="center"/>
          </w:tcPr>
          <w:p w14:paraId="25456A9C" w14:textId="77777777" w:rsidR="00961617" w:rsidRPr="00816257" w:rsidRDefault="00961617" w:rsidP="0020771F">
            <w:pPr>
              <w:jc w:val="right"/>
              <w:rPr>
                <w:rFonts w:cstheme="minorHAnsi"/>
                <w:szCs w:val="20"/>
              </w:rPr>
            </w:pPr>
            <w:r w:rsidRPr="00816257">
              <w:rPr>
                <w:rFonts w:cstheme="minorHAnsi"/>
                <w:szCs w:val="20"/>
              </w:rPr>
              <w:t>431</w:t>
            </w:r>
          </w:p>
        </w:tc>
        <w:tc>
          <w:tcPr>
            <w:tcW w:w="1135" w:type="dxa"/>
            <w:tcBorders>
              <w:bottom w:val="nil"/>
            </w:tcBorders>
            <w:vAlign w:val="center"/>
          </w:tcPr>
          <w:p w14:paraId="7317B64A" w14:textId="77777777" w:rsidR="00961617" w:rsidRPr="00816257" w:rsidRDefault="00961617" w:rsidP="0020771F">
            <w:pPr>
              <w:jc w:val="right"/>
              <w:rPr>
                <w:rFonts w:cstheme="minorHAnsi"/>
                <w:szCs w:val="20"/>
              </w:rPr>
            </w:pPr>
            <w:r w:rsidRPr="00816257">
              <w:rPr>
                <w:rFonts w:cstheme="minorHAnsi"/>
                <w:szCs w:val="20"/>
              </w:rPr>
              <w:t>5.8</w:t>
            </w:r>
          </w:p>
        </w:tc>
      </w:tr>
      <w:tr w:rsidR="00961617" w:rsidRPr="00816257" w14:paraId="353AB724" w14:textId="77777777" w:rsidTr="0020771F">
        <w:trPr>
          <w:trHeight w:val="397"/>
        </w:trPr>
        <w:tc>
          <w:tcPr>
            <w:tcW w:w="6062" w:type="dxa"/>
            <w:tcBorders>
              <w:bottom w:val="nil"/>
            </w:tcBorders>
            <w:shd w:val="clear" w:color="auto" w:fill="8EAEDE"/>
            <w:vAlign w:val="center"/>
          </w:tcPr>
          <w:p w14:paraId="2D8CF1E1" w14:textId="77777777" w:rsidR="00961617" w:rsidRPr="00816257" w:rsidRDefault="00961617" w:rsidP="0020771F">
            <w:pPr>
              <w:rPr>
                <w:rFonts w:cstheme="minorHAnsi"/>
                <w:szCs w:val="20"/>
              </w:rPr>
            </w:pPr>
            <w:r w:rsidRPr="00816257">
              <w:rPr>
                <w:rFonts w:cstheme="minorHAnsi"/>
                <w:szCs w:val="20"/>
              </w:rPr>
              <w:t>Total</w:t>
            </w:r>
          </w:p>
        </w:tc>
        <w:tc>
          <w:tcPr>
            <w:tcW w:w="1417" w:type="dxa"/>
            <w:tcBorders>
              <w:bottom w:val="nil"/>
            </w:tcBorders>
            <w:shd w:val="clear" w:color="auto" w:fill="8EAEDE"/>
            <w:vAlign w:val="center"/>
          </w:tcPr>
          <w:p w14:paraId="13282147" w14:textId="77777777" w:rsidR="00961617" w:rsidRPr="00816257" w:rsidRDefault="00961617" w:rsidP="0020771F">
            <w:pPr>
              <w:jc w:val="right"/>
              <w:rPr>
                <w:rFonts w:cstheme="minorHAnsi"/>
                <w:szCs w:val="20"/>
              </w:rPr>
            </w:pPr>
            <w:r w:rsidRPr="00816257">
              <w:rPr>
                <w:rFonts w:cstheme="minorHAnsi"/>
                <w:szCs w:val="20"/>
              </w:rPr>
              <w:t>7,403</w:t>
            </w:r>
          </w:p>
        </w:tc>
        <w:tc>
          <w:tcPr>
            <w:tcW w:w="1135" w:type="dxa"/>
            <w:tcBorders>
              <w:bottom w:val="nil"/>
            </w:tcBorders>
            <w:shd w:val="clear" w:color="auto" w:fill="8EAEDE"/>
            <w:vAlign w:val="center"/>
          </w:tcPr>
          <w:p w14:paraId="059160C9" w14:textId="77777777" w:rsidR="00961617" w:rsidRPr="00816257" w:rsidRDefault="00961617" w:rsidP="0020771F">
            <w:pPr>
              <w:jc w:val="right"/>
              <w:rPr>
                <w:rFonts w:cstheme="minorHAnsi"/>
                <w:szCs w:val="20"/>
              </w:rPr>
            </w:pPr>
            <w:r w:rsidRPr="00816257">
              <w:rPr>
                <w:rFonts w:cstheme="minorHAnsi"/>
                <w:szCs w:val="20"/>
              </w:rPr>
              <w:t>100.0</w:t>
            </w:r>
          </w:p>
        </w:tc>
      </w:tr>
    </w:tbl>
    <w:p w14:paraId="2890BBCB" w14:textId="7B3789E6" w:rsidR="00961617" w:rsidRPr="002F5864" w:rsidRDefault="00961617" w:rsidP="00E13B5E">
      <w:pPr>
        <w:pStyle w:val="Notes"/>
      </w:pPr>
      <w:r>
        <w:rPr>
          <w:b/>
        </w:rPr>
        <w:t>Note:</w:t>
      </w:r>
      <w:r w:rsidR="00E13B5E">
        <w:tab/>
      </w:r>
      <w:r w:rsidRPr="002F5864">
        <w:t>The rules for transitioning job seekers from JN to JSA 2009 were quite different. Job seekers who were unemployed for more than 24 months (months elapsed between registration as a job seeker and date of transfer to Job Services Australia) would have transferred directly to WEPh as Stream 3 participants.  Job seekers who were unemployed for 24 months or less would have transferred to the appropriate stream (depending on unemployment duration) and would have received Stream Services for between six and twelve months before entering the WEPh. These transition rules, which pertain to the JSA 2009 group, explain the large disparity in average unemployment duration.</w:t>
      </w:r>
    </w:p>
    <w:p w14:paraId="53811ACF" w14:textId="77777777" w:rsidR="00961617" w:rsidRPr="002F5864" w:rsidRDefault="00961617" w:rsidP="0033478B">
      <w:pPr>
        <w:pStyle w:val="Source"/>
      </w:pPr>
      <w:r w:rsidRPr="002F5864">
        <w:rPr>
          <w:b/>
        </w:rPr>
        <w:t>Source</w:t>
      </w:r>
      <w:r w:rsidRPr="002F5864">
        <w:t>:</w:t>
      </w:r>
      <w:r w:rsidR="00E13B5E">
        <w:tab/>
      </w:r>
      <w:r w:rsidRPr="002F5864">
        <w:t xml:space="preserve">Department of Employment </w:t>
      </w:r>
      <w:r>
        <w:t>a</w:t>
      </w:r>
      <w:r w:rsidRPr="002F5864">
        <w:t>dministrative data.</w:t>
      </w:r>
    </w:p>
    <w:p w14:paraId="1AEE5CA8" w14:textId="77777777" w:rsidR="00961617" w:rsidRPr="002F5864" w:rsidRDefault="00864C5E" w:rsidP="00961617">
      <w:pPr>
        <w:rPr>
          <w:rFonts w:cstheme="minorHAnsi"/>
        </w:rPr>
      </w:pPr>
      <w:hyperlink w:anchor="Place_A230" w:history="1">
        <w:r w:rsidR="001D7748" w:rsidRPr="00886013">
          <w:rPr>
            <w:rStyle w:val="Hyperlink"/>
            <w:rFonts w:cs="Times New Roman"/>
            <w:sz w:val="18"/>
            <w:szCs w:val="20"/>
            <w:lang w:val="en-US"/>
          </w:rPr>
          <w:t xml:space="preserve">Return to </w:t>
        </w:r>
        <w:r w:rsidR="003649E1" w:rsidRPr="00886013">
          <w:rPr>
            <w:rStyle w:val="Hyperlink"/>
            <w:rFonts w:cs="Times New Roman"/>
            <w:sz w:val="18"/>
            <w:szCs w:val="20"/>
            <w:lang w:val="en-US"/>
          </w:rPr>
          <w:t>s</w:t>
        </w:r>
        <w:r w:rsidR="001D7748" w:rsidRPr="00886013">
          <w:rPr>
            <w:rStyle w:val="Hyperlink"/>
            <w:rFonts w:cs="Times New Roman"/>
            <w:sz w:val="18"/>
            <w:szCs w:val="20"/>
            <w:lang w:val="en-US"/>
          </w:rPr>
          <w:t>ection 6.2.1</w:t>
        </w:r>
      </w:hyperlink>
      <w:r w:rsidR="001D7748" w:rsidRPr="001D7748">
        <w:rPr>
          <w:rStyle w:val="NotesChar"/>
          <w:rFonts w:eastAsiaTheme="minorEastAsia"/>
        </w:rPr>
        <w:t xml:space="preserve"> where this data is referenced</w:t>
      </w:r>
      <w:r w:rsidR="001D7748">
        <w:rPr>
          <w:rFonts w:cstheme="minorHAnsi"/>
        </w:rPr>
        <w:t>.</w:t>
      </w:r>
      <w:r w:rsidR="00961617" w:rsidRPr="002F5864">
        <w:rPr>
          <w:rFonts w:cstheme="minorHAnsi"/>
        </w:rPr>
        <w:br w:type="page"/>
      </w:r>
    </w:p>
    <w:p w14:paraId="45654A42" w14:textId="77777777" w:rsidR="00961617" w:rsidRDefault="00961617" w:rsidP="00961617">
      <w:pPr>
        <w:pStyle w:val="TableheadingforappendixA1"/>
        <w:keepNext w:val="0"/>
        <w:rPr>
          <w:rFonts w:cstheme="minorHAnsi"/>
          <w:noProof/>
        </w:rPr>
      </w:pPr>
      <w:bookmarkStart w:id="698" w:name="_Toc513129924"/>
      <w:r w:rsidRPr="002F5864">
        <w:rPr>
          <w:rFonts w:cstheme="minorHAnsi"/>
        </w:rPr>
        <w:t>Table A2.</w:t>
      </w:r>
      <w:r>
        <w:rPr>
          <w:rFonts w:cstheme="minorHAnsi"/>
        </w:rPr>
        <w:t>31</w:t>
      </w:r>
      <w:r w:rsidRPr="002F5864">
        <w:rPr>
          <w:rFonts w:cstheme="minorHAnsi"/>
          <w:noProof/>
        </w:rPr>
        <w:t xml:space="preserve">: </w:t>
      </w:r>
      <w:r>
        <w:rPr>
          <w:rFonts w:cstheme="minorHAnsi"/>
          <w:noProof/>
        </w:rPr>
        <w:t>Weekly rates of starting the Compulsory Activity Phase (CAP) and starting exemption for the treatment group (per cent)</w:t>
      </w:r>
      <w:bookmarkEnd w:id="698"/>
    </w:p>
    <w:tbl>
      <w:tblPr>
        <w:tblW w:w="5827" w:type="dxa"/>
        <w:tblInd w:w="93" w:type="dxa"/>
        <w:tblLook w:val="04A0" w:firstRow="1" w:lastRow="0" w:firstColumn="1" w:lastColumn="0" w:noHBand="0" w:noVBand="1"/>
      </w:tblPr>
      <w:tblGrid>
        <w:gridCol w:w="1480"/>
        <w:gridCol w:w="1937"/>
        <w:gridCol w:w="2410"/>
      </w:tblGrid>
      <w:tr w:rsidR="00961617" w:rsidRPr="0076418A" w14:paraId="4436D5C3" w14:textId="77777777" w:rsidTr="0020771F">
        <w:trPr>
          <w:trHeight w:val="576"/>
          <w:tblHeader/>
        </w:trPr>
        <w:tc>
          <w:tcPr>
            <w:tcW w:w="1480" w:type="dxa"/>
            <w:shd w:val="clear" w:color="auto" w:fill="1E3D6B"/>
            <w:noWrap/>
            <w:vAlign w:val="center"/>
            <w:hideMark/>
          </w:tcPr>
          <w:p w14:paraId="59DEACC7" w14:textId="77777777" w:rsidR="00961617" w:rsidRPr="0076418A" w:rsidRDefault="00961617" w:rsidP="0020771F">
            <w:pPr>
              <w:spacing w:after="0" w:line="240" w:lineRule="auto"/>
              <w:ind w:left="40"/>
              <w:rPr>
                <w:rFonts w:eastAsia="Times New Roman" w:cstheme="minorHAnsi"/>
                <w:b/>
                <w:color w:val="FFFFFF" w:themeColor="background2"/>
                <w:sz w:val="20"/>
                <w:szCs w:val="20"/>
                <w:lang w:eastAsia="en-AU"/>
              </w:rPr>
            </w:pPr>
            <w:bookmarkStart w:id="699" w:name="Title_A231"/>
            <w:bookmarkEnd w:id="699"/>
            <w:r w:rsidRPr="0076418A">
              <w:rPr>
                <w:rFonts w:eastAsia="Times New Roman" w:cstheme="minorHAnsi"/>
                <w:b/>
                <w:color w:val="FFFFFF" w:themeColor="background2"/>
                <w:sz w:val="20"/>
                <w:szCs w:val="20"/>
                <w:lang w:eastAsia="en-AU"/>
              </w:rPr>
              <w:t>Weeks</w:t>
            </w:r>
          </w:p>
        </w:tc>
        <w:tc>
          <w:tcPr>
            <w:tcW w:w="1937" w:type="dxa"/>
            <w:shd w:val="clear" w:color="auto" w:fill="1E3D6B"/>
            <w:noWrap/>
            <w:vAlign w:val="center"/>
            <w:hideMark/>
          </w:tcPr>
          <w:p w14:paraId="4E973039" w14:textId="77777777" w:rsidR="00961617" w:rsidRPr="0076418A" w:rsidRDefault="00961617" w:rsidP="0020771F">
            <w:pPr>
              <w:spacing w:after="0" w:line="240" w:lineRule="auto"/>
              <w:ind w:left="341"/>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Start CAP</w:t>
            </w:r>
          </w:p>
        </w:tc>
        <w:tc>
          <w:tcPr>
            <w:tcW w:w="2410" w:type="dxa"/>
            <w:shd w:val="clear" w:color="auto" w:fill="1E3D6B"/>
            <w:noWrap/>
            <w:vAlign w:val="center"/>
            <w:hideMark/>
          </w:tcPr>
          <w:p w14:paraId="1921E40F" w14:textId="77777777" w:rsidR="00961617" w:rsidRPr="0076418A" w:rsidRDefault="00961617" w:rsidP="0020771F">
            <w:pPr>
              <w:spacing w:after="0" w:line="240" w:lineRule="auto"/>
              <w:ind w:left="146"/>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Exemption</w:t>
            </w:r>
          </w:p>
        </w:tc>
      </w:tr>
      <w:tr w:rsidR="00961617" w:rsidRPr="0076418A" w14:paraId="079CA440" w14:textId="77777777" w:rsidTr="0020771F">
        <w:trPr>
          <w:trHeight w:val="288"/>
        </w:trPr>
        <w:tc>
          <w:tcPr>
            <w:tcW w:w="1480" w:type="dxa"/>
            <w:shd w:val="clear" w:color="auto" w:fill="auto"/>
            <w:noWrap/>
            <w:vAlign w:val="bottom"/>
            <w:hideMark/>
          </w:tcPr>
          <w:p w14:paraId="06B36A2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w:t>
            </w:r>
          </w:p>
        </w:tc>
        <w:tc>
          <w:tcPr>
            <w:tcW w:w="1937" w:type="dxa"/>
            <w:shd w:val="clear" w:color="auto" w:fill="auto"/>
            <w:noWrap/>
            <w:vAlign w:val="bottom"/>
            <w:hideMark/>
          </w:tcPr>
          <w:p w14:paraId="2BFC9C4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2410" w:type="dxa"/>
            <w:shd w:val="clear" w:color="auto" w:fill="auto"/>
            <w:noWrap/>
            <w:vAlign w:val="bottom"/>
            <w:hideMark/>
          </w:tcPr>
          <w:p w14:paraId="15054E6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r>
      <w:tr w:rsidR="00961617" w:rsidRPr="0076418A" w14:paraId="3F949372" w14:textId="77777777" w:rsidTr="0020771F">
        <w:trPr>
          <w:trHeight w:val="288"/>
        </w:trPr>
        <w:tc>
          <w:tcPr>
            <w:tcW w:w="1480" w:type="dxa"/>
            <w:tcBorders>
              <w:left w:val="nil"/>
              <w:bottom w:val="nil"/>
              <w:right w:val="nil"/>
            </w:tcBorders>
            <w:shd w:val="clear" w:color="auto" w:fill="E5E5E5" w:themeFill="background1" w:themeFillTint="33"/>
            <w:noWrap/>
            <w:vAlign w:val="bottom"/>
            <w:hideMark/>
          </w:tcPr>
          <w:p w14:paraId="1F55E9E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w:t>
            </w:r>
          </w:p>
        </w:tc>
        <w:tc>
          <w:tcPr>
            <w:tcW w:w="1937" w:type="dxa"/>
            <w:tcBorders>
              <w:left w:val="nil"/>
              <w:bottom w:val="nil"/>
              <w:right w:val="nil"/>
            </w:tcBorders>
            <w:shd w:val="clear" w:color="auto" w:fill="E5E5E5" w:themeFill="background1" w:themeFillTint="33"/>
            <w:noWrap/>
            <w:vAlign w:val="bottom"/>
            <w:hideMark/>
          </w:tcPr>
          <w:p w14:paraId="3DFAA3F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2410" w:type="dxa"/>
            <w:tcBorders>
              <w:left w:val="nil"/>
              <w:bottom w:val="nil"/>
              <w:right w:val="nil"/>
            </w:tcBorders>
            <w:shd w:val="clear" w:color="auto" w:fill="E5E5E5" w:themeFill="background1" w:themeFillTint="33"/>
            <w:noWrap/>
            <w:vAlign w:val="bottom"/>
            <w:hideMark/>
          </w:tcPr>
          <w:p w14:paraId="5371609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r>
      <w:tr w:rsidR="00961617" w:rsidRPr="0076418A" w14:paraId="42D67E35" w14:textId="77777777" w:rsidTr="0020771F">
        <w:trPr>
          <w:trHeight w:val="288"/>
        </w:trPr>
        <w:tc>
          <w:tcPr>
            <w:tcW w:w="1480" w:type="dxa"/>
            <w:tcBorders>
              <w:top w:val="nil"/>
              <w:left w:val="nil"/>
              <w:bottom w:val="nil"/>
              <w:right w:val="nil"/>
            </w:tcBorders>
            <w:shd w:val="clear" w:color="auto" w:fill="auto"/>
            <w:noWrap/>
            <w:vAlign w:val="bottom"/>
            <w:hideMark/>
          </w:tcPr>
          <w:p w14:paraId="41E9548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w:t>
            </w:r>
          </w:p>
        </w:tc>
        <w:tc>
          <w:tcPr>
            <w:tcW w:w="1937" w:type="dxa"/>
            <w:tcBorders>
              <w:top w:val="nil"/>
              <w:left w:val="nil"/>
              <w:bottom w:val="nil"/>
              <w:right w:val="nil"/>
            </w:tcBorders>
            <w:shd w:val="clear" w:color="auto" w:fill="auto"/>
            <w:noWrap/>
            <w:vAlign w:val="bottom"/>
            <w:hideMark/>
          </w:tcPr>
          <w:p w14:paraId="2F5CB04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2410" w:type="dxa"/>
            <w:tcBorders>
              <w:top w:val="nil"/>
              <w:left w:val="nil"/>
              <w:bottom w:val="nil"/>
              <w:right w:val="nil"/>
            </w:tcBorders>
            <w:shd w:val="clear" w:color="auto" w:fill="auto"/>
            <w:noWrap/>
            <w:vAlign w:val="bottom"/>
            <w:hideMark/>
          </w:tcPr>
          <w:p w14:paraId="11E2BF6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w:t>
            </w:r>
          </w:p>
        </w:tc>
      </w:tr>
      <w:tr w:rsidR="00961617" w:rsidRPr="0076418A" w14:paraId="0EC9C68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9B4874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w:t>
            </w:r>
          </w:p>
        </w:tc>
        <w:tc>
          <w:tcPr>
            <w:tcW w:w="1937" w:type="dxa"/>
            <w:tcBorders>
              <w:top w:val="nil"/>
              <w:left w:val="nil"/>
              <w:bottom w:val="nil"/>
              <w:right w:val="nil"/>
            </w:tcBorders>
            <w:shd w:val="clear" w:color="auto" w:fill="E5E5E5" w:themeFill="background1" w:themeFillTint="33"/>
            <w:noWrap/>
            <w:vAlign w:val="bottom"/>
            <w:hideMark/>
          </w:tcPr>
          <w:p w14:paraId="5DB6885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2410" w:type="dxa"/>
            <w:tcBorders>
              <w:top w:val="nil"/>
              <w:left w:val="nil"/>
              <w:bottom w:val="nil"/>
              <w:right w:val="nil"/>
            </w:tcBorders>
            <w:shd w:val="clear" w:color="auto" w:fill="E5E5E5" w:themeFill="background1" w:themeFillTint="33"/>
            <w:noWrap/>
            <w:vAlign w:val="bottom"/>
            <w:hideMark/>
          </w:tcPr>
          <w:p w14:paraId="3E99010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r>
      <w:tr w:rsidR="00961617" w:rsidRPr="0076418A" w14:paraId="4983DF52" w14:textId="77777777" w:rsidTr="0020771F">
        <w:trPr>
          <w:trHeight w:val="288"/>
        </w:trPr>
        <w:tc>
          <w:tcPr>
            <w:tcW w:w="1480" w:type="dxa"/>
            <w:tcBorders>
              <w:top w:val="nil"/>
              <w:left w:val="nil"/>
              <w:bottom w:val="nil"/>
              <w:right w:val="nil"/>
            </w:tcBorders>
            <w:shd w:val="clear" w:color="auto" w:fill="auto"/>
            <w:noWrap/>
            <w:vAlign w:val="bottom"/>
            <w:hideMark/>
          </w:tcPr>
          <w:p w14:paraId="6DD135F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w:t>
            </w:r>
          </w:p>
        </w:tc>
        <w:tc>
          <w:tcPr>
            <w:tcW w:w="1937" w:type="dxa"/>
            <w:tcBorders>
              <w:top w:val="nil"/>
              <w:left w:val="nil"/>
              <w:bottom w:val="nil"/>
              <w:right w:val="nil"/>
            </w:tcBorders>
            <w:shd w:val="clear" w:color="auto" w:fill="auto"/>
            <w:noWrap/>
            <w:vAlign w:val="bottom"/>
            <w:hideMark/>
          </w:tcPr>
          <w:p w14:paraId="0E0FAB7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2410" w:type="dxa"/>
            <w:tcBorders>
              <w:top w:val="nil"/>
              <w:left w:val="nil"/>
              <w:bottom w:val="nil"/>
              <w:right w:val="nil"/>
            </w:tcBorders>
            <w:shd w:val="clear" w:color="auto" w:fill="auto"/>
            <w:noWrap/>
            <w:vAlign w:val="bottom"/>
            <w:hideMark/>
          </w:tcPr>
          <w:p w14:paraId="0A325F6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r>
      <w:tr w:rsidR="00961617" w:rsidRPr="0076418A" w14:paraId="29FBFA2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31B16E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w:t>
            </w:r>
          </w:p>
        </w:tc>
        <w:tc>
          <w:tcPr>
            <w:tcW w:w="1937" w:type="dxa"/>
            <w:tcBorders>
              <w:top w:val="nil"/>
              <w:left w:val="nil"/>
              <w:bottom w:val="nil"/>
              <w:right w:val="nil"/>
            </w:tcBorders>
            <w:shd w:val="clear" w:color="auto" w:fill="E5E5E5" w:themeFill="background1" w:themeFillTint="33"/>
            <w:noWrap/>
            <w:vAlign w:val="bottom"/>
            <w:hideMark/>
          </w:tcPr>
          <w:p w14:paraId="214A1B5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2410" w:type="dxa"/>
            <w:tcBorders>
              <w:top w:val="nil"/>
              <w:left w:val="nil"/>
              <w:bottom w:val="nil"/>
              <w:right w:val="nil"/>
            </w:tcBorders>
            <w:shd w:val="clear" w:color="auto" w:fill="E5E5E5" w:themeFill="background1" w:themeFillTint="33"/>
            <w:noWrap/>
            <w:vAlign w:val="bottom"/>
            <w:hideMark/>
          </w:tcPr>
          <w:p w14:paraId="3306E13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r>
      <w:tr w:rsidR="00961617" w:rsidRPr="0076418A" w14:paraId="62BA2DC2" w14:textId="77777777" w:rsidTr="0020771F">
        <w:trPr>
          <w:trHeight w:val="288"/>
        </w:trPr>
        <w:tc>
          <w:tcPr>
            <w:tcW w:w="1480" w:type="dxa"/>
            <w:tcBorders>
              <w:top w:val="nil"/>
              <w:left w:val="nil"/>
              <w:bottom w:val="nil"/>
              <w:right w:val="nil"/>
            </w:tcBorders>
            <w:shd w:val="clear" w:color="auto" w:fill="auto"/>
            <w:noWrap/>
            <w:vAlign w:val="bottom"/>
            <w:hideMark/>
          </w:tcPr>
          <w:p w14:paraId="42B8F3A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w:t>
            </w:r>
          </w:p>
        </w:tc>
        <w:tc>
          <w:tcPr>
            <w:tcW w:w="1937" w:type="dxa"/>
            <w:tcBorders>
              <w:top w:val="nil"/>
              <w:left w:val="nil"/>
              <w:bottom w:val="nil"/>
              <w:right w:val="nil"/>
            </w:tcBorders>
            <w:shd w:val="clear" w:color="auto" w:fill="auto"/>
            <w:noWrap/>
            <w:vAlign w:val="bottom"/>
            <w:hideMark/>
          </w:tcPr>
          <w:p w14:paraId="4C6811B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2410" w:type="dxa"/>
            <w:tcBorders>
              <w:top w:val="nil"/>
              <w:left w:val="nil"/>
              <w:bottom w:val="nil"/>
              <w:right w:val="nil"/>
            </w:tcBorders>
            <w:shd w:val="clear" w:color="auto" w:fill="auto"/>
            <w:noWrap/>
            <w:vAlign w:val="bottom"/>
            <w:hideMark/>
          </w:tcPr>
          <w:p w14:paraId="4F7BFD8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r>
      <w:tr w:rsidR="00961617" w:rsidRPr="0076418A" w14:paraId="780C16F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B7A662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w:t>
            </w:r>
          </w:p>
        </w:tc>
        <w:tc>
          <w:tcPr>
            <w:tcW w:w="1937" w:type="dxa"/>
            <w:tcBorders>
              <w:top w:val="nil"/>
              <w:left w:val="nil"/>
              <w:bottom w:val="nil"/>
              <w:right w:val="nil"/>
            </w:tcBorders>
            <w:shd w:val="clear" w:color="auto" w:fill="E5E5E5" w:themeFill="background1" w:themeFillTint="33"/>
            <w:noWrap/>
            <w:vAlign w:val="bottom"/>
            <w:hideMark/>
          </w:tcPr>
          <w:p w14:paraId="41AD0D7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2410" w:type="dxa"/>
            <w:tcBorders>
              <w:top w:val="nil"/>
              <w:left w:val="nil"/>
              <w:bottom w:val="nil"/>
              <w:right w:val="nil"/>
            </w:tcBorders>
            <w:shd w:val="clear" w:color="auto" w:fill="E5E5E5" w:themeFill="background1" w:themeFillTint="33"/>
            <w:noWrap/>
            <w:vAlign w:val="bottom"/>
            <w:hideMark/>
          </w:tcPr>
          <w:p w14:paraId="26E9F29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r>
      <w:tr w:rsidR="00961617" w:rsidRPr="0076418A" w14:paraId="52F43943" w14:textId="77777777" w:rsidTr="0020771F">
        <w:trPr>
          <w:trHeight w:val="288"/>
        </w:trPr>
        <w:tc>
          <w:tcPr>
            <w:tcW w:w="1480" w:type="dxa"/>
            <w:tcBorders>
              <w:top w:val="nil"/>
              <w:left w:val="nil"/>
              <w:bottom w:val="nil"/>
              <w:right w:val="nil"/>
            </w:tcBorders>
            <w:shd w:val="clear" w:color="auto" w:fill="auto"/>
            <w:noWrap/>
            <w:vAlign w:val="bottom"/>
            <w:hideMark/>
          </w:tcPr>
          <w:p w14:paraId="02DAF87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w:t>
            </w:r>
          </w:p>
        </w:tc>
        <w:tc>
          <w:tcPr>
            <w:tcW w:w="1937" w:type="dxa"/>
            <w:tcBorders>
              <w:top w:val="nil"/>
              <w:left w:val="nil"/>
              <w:bottom w:val="nil"/>
              <w:right w:val="nil"/>
            </w:tcBorders>
            <w:shd w:val="clear" w:color="auto" w:fill="auto"/>
            <w:noWrap/>
            <w:vAlign w:val="bottom"/>
            <w:hideMark/>
          </w:tcPr>
          <w:p w14:paraId="257A161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2410" w:type="dxa"/>
            <w:tcBorders>
              <w:top w:val="nil"/>
              <w:left w:val="nil"/>
              <w:bottom w:val="nil"/>
              <w:right w:val="nil"/>
            </w:tcBorders>
            <w:shd w:val="clear" w:color="auto" w:fill="auto"/>
            <w:noWrap/>
            <w:vAlign w:val="bottom"/>
            <w:hideMark/>
          </w:tcPr>
          <w:p w14:paraId="57AE40A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r>
      <w:tr w:rsidR="00961617" w:rsidRPr="0076418A" w14:paraId="30567275"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E45A85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1937" w:type="dxa"/>
            <w:tcBorders>
              <w:top w:val="nil"/>
              <w:left w:val="nil"/>
              <w:bottom w:val="nil"/>
              <w:right w:val="nil"/>
            </w:tcBorders>
            <w:shd w:val="clear" w:color="auto" w:fill="E5E5E5" w:themeFill="background1" w:themeFillTint="33"/>
            <w:noWrap/>
            <w:vAlign w:val="bottom"/>
            <w:hideMark/>
          </w:tcPr>
          <w:p w14:paraId="5156F14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2410" w:type="dxa"/>
            <w:tcBorders>
              <w:top w:val="nil"/>
              <w:left w:val="nil"/>
              <w:bottom w:val="nil"/>
              <w:right w:val="nil"/>
            </w:tcBorders>
            <w:shd w:val="clear" w:color="auto" w:fill="E5E5E5" w:themeFill="background1" w:themeFillTint="33"/>
            <w:noWrap/>
            <w:vAlign w:val="bottom"/>
            <w:hideMark/>
          </w:tcPr>
          <w:p w14:paraId="0F7255E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r>
      <w:tr w:rsidR="00961617" w:rsidRPr="0076418A" w14:paraId="5F4962A5" w14:textId="77777777" w:rsidTr="0020771F">
        <w:trPr>
          <w:trHeight w:val="288"/>
        </w:trPr>
        <w:tc>
          <w:tcPr>
            <w:tcW w:w="1480" w:type="dxa"/>
            <w:tcBorders>
              <w:top w:val="nil"/>
              <w:left w:val="nil"/>
              <w:bottom w:val="nil"/>
              <w:right w:val="nil"/>
            </w:tcBorders>
            <w:shd w:val="clear" w:color="auto" w:fill="auto"/>
            <w:noWrap/>
            <w:vAlign w:val="bottom"/>
            <w:hideMark/>
          </w:tcPr>
          <w:p w14:paraId="7F71CFC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c>
          <w:tcPr>
            <w:tcW w:w="1937" w:type="dxa"/>
            <w:tcBorders>
              <w:top w:val="nil"/>
              <w:left w:val="nil"/>
              <w:bottom w:val="nil"/>
              <w:right w:val="nil"/>
            </w:tcBorders>
            <w:shd w:val="clear" w:color="auto" w:fill="auto"/>
            <w:noWrap/>
            <w:vAlign w:val="bottom"/>
            <w:hideMark/>
          </w:tcPr>
          <w:p w14:paraId="4C3D57B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auto" w:fill="auto"/>
            <w:noWrap/>
            <w:vAlign w:val="bottom"/>
            <w:hideMark/>
          </w:tcPr>
          <w:p w14:paraId="6859FCF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2D262B1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D5A3D8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c>
          <w:tcPr>
            <w:tcW w:w="1937" w:type="dxa"/>
            <w:tcBorders>
              <w:top w:val="nil"/>
              <w:left w:val="nil"/>
              <w:bottom w:val="nil"/>
              <w:right w:val="nil"/>
            </w:tcBorders>
            <w:shd w:val="clear" w:color="auto" w:fill="E5E5E5" w:themeFill="background1" w:themeFillTint="33"/>
            <w:noWrap/>
            <w:vAlign w:val="bottom"/>
            <w:hideMark/>
          </w:tcPr>
          <w:p w14:paraId="29F6C82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auto" w:fill="E5E5E5" w:themeFill="background1" w:themeFillTint="33"/>
            <w:noWrap/>
            <w:vAlign w:val="bottom"/>
            <w:hideMark/>
          </w:tcPr>
          <w:p w14:paraId="7B6A03F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r>
      <w:tr w:rsidR="00961617" w:rsidRPr="0076418A" w14:paraId="1BEB2112" w14:textId="77777777" w:rsidTr="0020771F">
        <w:trPr>
          <w:trHeight w:val="288"/>
        </w:trPr>
        <w:tc>
          <w:tcPr>
            <w:tcW w:w="1480" w:type="dxa"/>
            <w:tcBorders>
              <w:top w:val="nil"/>
              <w:left w:val="nil"/>
              <w:bottom w:val="nil"/>
              <w:right w:val="nil"/>
            </w:tcBorders>
            <w:shd w:val="clear" w:color="auto" w:fill="auto"/>
            <w:noWrap/>
            <w:vAlign w:val="bottom"/>
            <w:hideMark/>
          </w:tcPr>
          <w:p w14:paraId="2C4FD29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c>
          <w:tcPr>
            <w:tcW w:w="1937" w:type="dxa"/>
            <w:tcBorders>
              <w:top w:val="nil"/>
              <w:left w:val="nil"/>
              <w:bottom w:val="nil"/>
              <w:right w:val="nil"/>
            </w:tcBorders>
            <w:shd w:val="clear" w:color="auto" w:fill="auto"/>
            <w:noWrap/>
            <w:vAlign w:val="bottom"/>
            <w:hideMark/>
          </w:tcPr>
          <w:p w14:paraId="0D4FD94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auto" w:fill="auto"/>
            <w:noWrap/>
            <w:vAlign w:val="bottom"/>
            <w:hideMark/>
          </w:tcPr>
          <w:p w14:paraId="4B4E74F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r>
      <w:tr w:rsidR="00961617" w:rsidRPr="0076418A" w14:paraId="14FD57B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6607F7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1937" w:type="dxa"/>
            <w:tcBorders>
              <w:top w:val="nil"/>
              <w:left w:val="nil"/>
              <w:bottom w:val="nil"/>
              <w:right w:val="nil"/>
            </w:tcBorders>
            <w:shd w:val="clear" w:color="auto" w:fill="E5E5E5" w:themeFill="background1" w:themeFillTint="33"/>
            <w:noWrap/>
            <w:vAlign w:val="bottom"/>
            <w:hideMark/>
          </w:tcPr>
          <w:p w14:paraId="5F07B0F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2410" w:type="dxa"/>
            <w:tcBorders>
              <w:top w:val="nil"/>
              <w:left w:val="nil"/>
              <w:bottom w:val="nil"/>
              <w:right w:val="nil"/>
            </w:tcBorders>
            <w:shd w:val="clear" w:color="auto" w:fill="E5E5E5" w:themeFill="background1" w:themeFillTint="33"/>
            <w:noWrap/>
            <w:vAlign w:val="bottom"/>
            <w:hideMark/>
          </w:tcPr>
          <w:p w14:paraId="451D6D7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4FAB3796" w14:textId="77777777" w:rsidTr="0020771F">
        <w:trPr>
          <w:trHeight w:val="288"/>
        </w:trPr>
        <w:tc>
          <w:tcPr>
            <w:tcW w:w="1480" w:type="dxa"/>
            <w:tcBorders>
              <w:top w:val="nil"/>
              <w:left w:val="nil"/>
              <w:bottom w:val="nil"/>
              <w:right w:val="nil"/>
            </w:tcBorders>
            <w:shd w:val="clear" w:color="auto" w:fill="auto"/>
            <w:noWrap/>
            <w:vAlign w:val="bottom"/>
            <w:hideMark/>
          </w:tcPr>
          <w:p w14:paraId="561B712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1937" w:type="dxa"/>
            <w:tcBorders>
              <w:top w:val="nil"/>
              <w:left w:val="nil"/>
              <w:bottom w:val="nil"/>
              <w:right w:val="nil"/>
            </w:tcBorders>
            <w:shd w:val="clear" w:color="auto" w:fill="auto"/>
            <w:noWrap/>
            <w:vAlign w:val="bottom"/>
            <w:hideMark/>
          </w:tcPr>
          <w:p w14:paraId="75D1E02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2410" w:type="dxa"/>
            <w:tcBorders>
              <w:top w:val="nil"/>
              <w:left w:val="nil"/>
              <w:bottom w:val="nil"/>
              <w:right w:val="nil"/>
            </w:tcBorders>
            <w:shd w:val="clear" w:color="auto" w:fill="auto"/>
            <w:noWrap/>
            <w:vAlign w:val="bottom"/>
            <w:hideMark/>
          </w:tcPr>
          <w:p w14:paraId="0F912E5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r>
      <w:tr w:rsidR="00961617" w:rsidRPr="0076418A" w14:paraId="7CE19AB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68064F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1937" w:type="dxa"/>
            <w:tcBorders>
              <w:top w:val="nil"/>
              <w:left w:val="nil"/>
              <w:bottom w:val="nil"/>
              <w:right w:val="nil"/>
            </w:tcBorders>
            <w:shd w:val="clear" w:color="auto" w:fill="E5E5E5" w:themeFill="background1" w:themeFillTint="33"/>
            <w:noWrap/>
            <w:vAlign w:val="bottom"/>
            <w:hideMark/>
          </w:tcPr>
          <w:p w14:paraId="36AEFC2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2410" w:type="dxa"/>
            <w:tcBorders>
              <w:top w:val="nil"/>
              <w:left w:val="nil"/>
              <w:bottom w:val="nil"/>
              <w:right w:val="nil"/>
            </w:tcBorders>
            <w:shd w:val="clear" w:color="auto" w:fill="E5E5E5" w:themeFill="background1" w:themeFillTint="33"/>
            <w:noWrap/>
            <w:vAlign w:val="bottom"/>
            <w:hideMark/>
          </w:tcPr>
          <w:p w14:paraId="720D221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r>
      <w:tr w:rsidR="00961617" w:rsidRPr="0076418A" w14:paraId="6C6C4E3A" w14:textId="77777777" w:rsidTr="0020771F">
        <w:trPr>
          <w:trHeight w:val="288"/>
        </w:trPr>
        <w:tc>
          <w:tcPr>
            <w:tcW w:w="1480" w:type="dxa"/>
            <w:tcBorders>
              <w:top w:val="nil"/>
              <w:left w:val="nil"/>
              <w:bottom w:val="nil"/>
              <w:right w:val="nil"/>
            </w:tcBorders>
            <w:shd w:val="clear" w:color="auto" w:fill="auto"/>
            <w:noWrap/>
            <w:vAlign w:val="bottom"/>
            <w:hideMark/>
          </w:tcPr>
          <w:p w14:paraId="75F9D1C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1937" w:type="dxa"/>
            <w:tcBorders>
              <w:top w:val="nil"/>
              <w:left w:val="nil"/>
              <w:bottom w:val="nil"/>
              <w:right w:val="nil"/>
            </w:tcBorders>
            <w:shd w:val="clear" w:color="auto" w:fill="auto"/>
            <w:noWrap/>
            <w:vAlign w:val="bottom"/>
            <w:hideMark/>
          </w:tcPr>
          <w:p w14:paraId="0BF16AA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auto" w:fill="auto"/>
            <w:noWrap/>
            <w:vAlign w:val="bottom"/>
            <w:hideMark/>
          </w:tcPr>
          <w:p w14:paraId="47964F4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69EBE99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201F57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1937" w:type="dxa"/>
            <w:tcBorders>
              <w:top w:val="nil"/>
              <w:left w:val="nil"/>
              <w:bottom w:val="nil"/>
              <w:right w:val="nil"/>
            </w:tcBorders>
            <w:shd w:val="clear" w:color="auto" w:fill="E5E5E5" w:themeFill="background1" w:themeFillTint="33"/>
            <w:noWrap/>
            <w:vAlign w:val="bottom"/>
            <w:hideMark/>
          </w:tcPr>
          <w:p w14:paraId="7031B8F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auto" w:fill="E5E5E5" w:themeFill="background1" w:themeFillTint="33"/>
            <w:noWrap/>
            <w:vAlign w:val="bottom"/>
            <w:hideMark/>
          </w:tcPr>
          <w:p w14:paraId="3E915EB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7FDB5C9A" w14:textId="77777777" w:rsidTr="0020771F">
        <w:trPr>
          <w:trHeight w:val="288"/>
        </w:trPr>
        <w:tc>
          <w:tcPr>
            <w:tcW w:w="1480" w:type="dxa"/>
            <w:tcBorders>
              <w:top w:val="nil"/>
              <w:left w:val="nil"/>
              <w:bottom w:val="nil"/>
              <w:right w:val="nil"/>
            </w:tcBorders>
            <w:shd w:val="clear" w:color="auto" w:fill="auto"/>
            <w:noWrap/>
            <w:vAlign w:val="bottom"/>
            <w:hideMark/>
          </w:tcPr>
          <w:p w14:paraId="1A6D7F3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1937" w:type="dxa"/>
            <w:tcBorders>
              <w:top w:val="nil"/>
              <w:left w:val="nil"/>
              <w:bottom w:val="nil"/>
              <w:right w:val="nil"/>
            </w:tcBorders>
            <w:shd w:val="clear" w:color="auto" w:fill="auto"/>
            <w:noWrap/>
            <w:vAlign w:val="bottom"/>
            <w:hideMark/>
          </w:tcPr>
          <w:p w14:paraId="75B6BC7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2410" w:type="dxa"/>
            <w:tcBorders>
              <w:top w:val="nil"/>
              <w:left w:val="nil"/>
              <w:bottom w:val="nil"/>
              <w:right w:val="nil"/>
            </w:tcBorders>
            <w:shd w:val="clear" w:color="auto" w:fill="auto"/>
            <w:noWrap/>
            <w:vAlign w:val="bottom"/>
            <w:hideMark/>
          </w:tcPr>
          <w:p w14:paraId="7E683C3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5550AC0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D7C709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w:t>
            </w:r>
          </w:p>
        </w:tc>
        <w:tc>
          <w:tcPr>
            <w:tcW w:w="1937" w:type="dxa"/>
            <w:tcBorders>
              <w:top w:val="nil"/>
              <w:left w:val="nil"/>
              <w:bottom w:val="nil"/>
              <w:right w:val="nil"/>
            </w:tcBorders>
            <w:shd w:val="clear" w:color="auto" w:fill="E5E5E5" w:themeFill="background1" w:themeFillTint="33"/>
            <w:noWrap/>
            <w:vAlign w:val="bottom"/>
            <w:hideMark/>
          </w:tcPr>
          <w:p w14:paraId="49F71E7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auto" w:fill="E5E5E5" w:themeFill="background1" w:themeFillTint="33"/>
            <w:noWrap/>
            <w:vAlign w:val="bottom"/>
            <w:hideMark/>
          </w:tcPr>
          <w:p w14:paraId="28580F5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r>
      <w:tr w:rsidR="00961617" w:rsidRPr="0076418A" w14:paraId="580AAAAC" w14:textId="77777777" w:rsidTr="0020771F">
        <w:trPr>
          <w:trHeight w:val="288"/>
        </w:trPr>
        <w:tc>
          <w:tcPr>
            <w:tcW w:w="1480" w:type="dxa"/>
            <w:tcBorders>
              <w:top w:val="nil"/>
              <w:left w:val="nil"/>
              <w:bottom w:val="nil"/>
              <w:right w:val="nil"/>
            </w:tcBorders>
            <w:shd w:val="clear" w:color="auto" w:fill="auto"/>
            <w:noWrap/>
            <w:vAlign w:val="bottom"/>
            <w:hideMark/>
          </w:tcPr>
          <w:p w14:paraId="12E58B2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1937" w:type="dxa"/>
            <w:tcBorders>
              <w:top w:val="nil"/>
              <w:left w:val="nil"/>
              <w:bottom w:val="nil"/>
              <w:right w:val="nil"/>
            </w:tcBorders>
            <w:shd w:val="clear" w:color="auto" w:fill="auto"/>
            <w:noWrap/>
            <w:vAlign w:val="bottom"/>
            <w:hideMark/>
          </w:tcPr>
          <w:p w14:paraId="0B18FB0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auto" w:fill="auto"/>
            <w:noWrap/>
            <w:vAlign w:val="bottom"/>
            <w:hideMark/>
          </w:tcPr>
          <w:p w14:paraId="58628EB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299311D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C42634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w:t>
            </w:r>
          </w:p>
        </w:tc>
        <w:tc>
          <w:tcPr>
            <w:tcW w:w="1937" w:type="dxa"/>
            <w:tcBorders>
              <w:top w:val="nil"/>
              <w:left w:val="nil"/>
              <w:bottom w:val="nil"/>
              <w:right w:val="nil"/>
            </w:tcBorders>
            <w:shd w:val="clear" w:color="auto" w:fill="E5E5E5" w:themeFill="background1" w:themeFillTint="33"/>
            <w:noWrap/>
            <w:vAlign w:val="bottom"/>
            <w:hideMark/>
          </w:tcPr>
          <w:p w14:paraId="09E83A2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auto" w:fill="E5E5E5" w:themeFill="background1" w:themeFillTint="33"/>
            <w:noWrap/>
            <w:vAlign w:val="bottom"/>
            <w:hideMark/>
          </w:tcPr>
          <w:p w14:paraId="2D0B679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3C05A337" w14:textId="77777777" w:rsidTr="0020771F">
        <w:trPr>
          <w:trHeight w:val="288"/>
        </w:trPr>
        <w:tc>
          <w:tcPr>
            <w:tcW w:w="1480" w:type="dxa"/>
            <w:tcBorders>
              <w:top w:val="nil"/>
              <w:left w:val="nil"/>
              <w:bottom w:val="nil"/>
              <w:right w:val="nil"/>
            </w:tcBorders>
            <w:shd w:val="clear" w:color="auto" w:fill="auto"/>
            <w:noWrap/>
            <w:vAlign w:val="bottom"/>
            <w:hideMark/>
          </w:tcPr>
          <w:p w14:paraId="0A20E94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1937" w:type="dxa"/>
            <w:tcBorders>
              <w:top w:val="nil"/>
              <w:left w:val="nil"/>
              <w:bottom w:val="nil"/>
              <w:right w:val="nil"/>
            </w:tcBorders>
            <w:shd w:val="clear" w:color="auto" w:fill="auto"/>
            <w:noWrap/>
            <w:vAlign w:val="bottom"/>
            <w:hideMark/>
          </w:tcPr>
          <w:p w14:paraId="2BA155A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auto" w:fill="auto"/>
            <w:noWrap/>
            <w:vAlign w:val="bottom"/>
            <w:hideMark/>
          </w:tcPr>
          <w:p w14:paraId="675ED45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r>
      <w:tr w:rsidR="00961617" w:rsidRPr="0076418A" w14:paraId="5330639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F534DF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1937" w:type="dxa"/>
            <w:tcBorders>
              <w:top w:val="nil"/>
              <w:left w:val="nil"/>
              <w:bottom w:val="nil"/>
              <w:right w:val="nil"/>
            </w:tcBorders>
            <w:shd w:val="clear" w:color="auto" w:fill="E5E5E5" w:themeFill="background1" w:themeFillTint="33"/>
            <w:noWrap/>
            <w:vAlign w:val="bottom"/>
            <w:hideMark/>
          </w:tcPr>
          <w:p w14:paraId="79E4016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3B15ECF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1FADCA39" w14:textId="77777777" w:rsidTr="0020771F">
        <w:trPr>
          <w:trHeight w:val="288"/>
        </w:trPr>
        <w:tc>
          <w:tcPr>
            <w:tcW w:w="1480" w:type="dxa"/>
            <w:tcBorders>
              <w:top w:val="nil"/>
              <w:left w:val="nil"/>
              <w:bottom w:val="nil"/>
              <w:right w:val="nil"/>
            </w:tcBorders>
            <w:shd w:val="clear" w:color="auto" w:fill="auto"/>
            <w:noWrap/>
            <w:vAlign w:val="bottom"/>
            <w:hideMark/>
          </w:tcPr>
          <w:p w14:paraId="026AA4D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1937" w:type="dxa"/>
            <w:tcBorders>
              <w:top w:val="nil"/>
              <w:left w:val="nil"/>
              <w:bottom w:val="nil"/>
              <w:right w:val="nil"/>
            </w:tcBorders>
            <w:shd w:val="clear" w:color="auto" w:fill="auto"/>
            <w:noWrap/>
            <w:vAlign w:val="bottom"/>
            <w:hideMark/>
          </w:tcPr>
          <w:p w14:paraId="5042193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12CEB97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r>
      <w:tr w:rsidR="00961617" w:rsidRPr="0076418A" w14:paraId="408C812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933A4D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26</w:t>
            </w:r>
          </w:p>
        </w:tc>
        <w:tc>
          <w:tcPr>
            <w:tcW w:w="1937" w:type="dxa"/>
            <w:tcBorders>
              <w:top w:val="nil"/>
              <w:left w:val="nil"/>
              <w:bottom w:val="nil"/>
              <w:right w:val="nil"/>
            </w:tcBorders>
            <w:shd w:val="clear" w:color="auto" w:fill="E5E5E5" w:themeFill="background1" w:themeFillTint="33"/>
            <w:noWrap/>
            <w:vAlign w:val="bottom"/>
            <w:hideMark/>
          </w:tcPr>
          <w:p w14:paraId="7D4734B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2FBEAA0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C878ADD" w14:textId="77777777" w:rsidTr="0020771F">
        <w:trPr>
          <w:trHeight w:val="288"/>
        </w:trPr>
        <w:tc>
          <w:tcPr>
            <w:tcW w:w="1480" w:type="dxa"/>
            <w:tcBorders>
              <w:top w:val="nil"/>
              <w:left w:val="nil"/>
              <w:bottom w:val="nil"/>
              <w:right w:val="nil"/>
            </w:tcBorders>
            <w:shd w:val="clear" w:color="auto" w:fill="auto"/>
            <w:noWrap/>
            <w:vAlign w:val="bottom"/>
            <w:hideMark/>
          </w:tcPr>
          <w:p w14:paraId="694406D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27</w:t>
            </w:r>
          </w:p>
        </w:tc>
        <w:tc>
          <w:tcPr>
            <w:tcW w:w="1937" w:type="dxa"/>
            <w:tcBorders>
              <w:top w:val="nil"/>
              <w:left w:val="nil"/>
              <w:bottom w:val="nil"/>
              <w:right w:val="nil"/>
            </w:tcBorders>
            <w:shd w:val="clear" w:color="auto" w:fill="auto"/>
            <w:noWrap/>
            <w:vAlign w:val="bottom"/>
            <w:hideMark/>
          </w:tcPr>
          <w:p w14:paraId="71C6629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auto" w:fill="auto"/>
            <w:noWrap/>
            <w:vAlign w:val="bottom"/>
            <w:hideMark/>
          </w:tcPr>
          <w:p w14:paraId="62C1B69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7F859E9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6E7145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28</w:t>
            </w:r>
          </w:p>
        </w:tc>
        <w:tc>
          <w:tcPr>
            <w:tcW w:w="1937" w:type="dxa"/>
            <w:tcBorders>
              <w:top w:val="nil"/>
              <w:left w:val="nil"/>
              <w:bottom w:val="nil"/>
              <w:right w:val="nil"/>
            </w:tcBorders>
            <w:shd w:val="clear" w:color="auto" w:fill="E5E5E5" w:themeFill="background1" w:themeFillTint="33"/>
            <w:noWrap/>
            <w:vAlign w:val="bottom"/>
            <w:hideMark/>
          </w:tcPr>
          <w:p w14:paraId="5A04B94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0243D66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74F59546" w14:textId="77777777" w:rsidTr="0020771F">
        <w:trPr>
          <w:trHeight w:val="288"/>
        </w:trPr>
        <w:tc>
          <w:tcPr>
            <w:tcW w:w="1480" w:type="dxa"/>
            <w:tcBorders>
              <w:top w:val="nil"/>
              <w:left w:val="nil"/>
              <w:bottom w:val="nil"/>
              <w:right w:val="nil"/>
            </w:tcBorders>
            <w:shd w:val="clear" w:color="auto" w:fill="auto"/>
            <w:noWrap/>
            <w:vAlign w:val="bottom"/>
            <w:hideMark/>
          </w:tcPr>
          <w:p w14:paraId="4422BB6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29</w:t>
            </w:r>
          </w:p>
        </w:tc>
        <w:tc>
          <w:tcPr>
            <w:tcW w:w="1937" w:type="dxa"/>
            <w:tcBorders>
              <w:top w:val="nil"/>
              <w:left w:val="nil"/>
              <w:bottom w:val="nil"/>
              <w:right w:val="nil"/>
            </w:tcBorders>
            <w:shd w:val="clear" w:color="auto" w:fill="auto"/>
            <w:noWrap/>
            <w:vAlign w:val="bottom"/>
            <w:hideMark/>
          </w:tcPr>
          <w:p w14:paraId="037C9BE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2410" w:type="dxa"/>
            <w:tcBorders>
              <w:top w:val="nil"/>
              <w:left w:val="nil"/>
              <w:bottom w:val="nil"/>
              <w:right w:val="nil"/>
            </w:tcBorders>
            <w:shd w:val="clear" w:color="auto" w:fill="auto"/>
            <w:noWrap/>
            <w:vAlign w:val="bottom"/>
            <w:hideMark/>
          </w:tcPr>
          <w:p w14:paraId="5E7621A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114F47E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C6C929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w:t>
            </w:r>
          </w:p>
        </w:tc>
        <w:tc>
          <w:tcPr>
            <w:tcW w:w="1937" w:type="dxa"/>
            <w:tcBorders>
              <w:top w:val="nil"/>
              <w:left w:val="nil"/>
              <w:bottom w:val="nil"/>
              <w:right w:val="nil"/>
            </w:tcBorders>
            <w:shd w:val="clear" w:color="auto" w:fill="E5E5E5" w:themeFill="background1" w:themeFillTint="33"/>
            <w:noWrap/>
            <w:vAlign w:val="bottom"/>
            <w:hideMark/>
          </w:tcPr>
          <w:p w14:paraId="3C3FB37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2410" w:type="dxa"/>
            <w:tcBorders>
              <w:top w:val="nil"/>
              <w:left w:val="nil"/>
              <w:bottom w:val="nil"/>
              <w:right w:val="nil"/>
            </w:tcBorders>
            <w:shd w:val="clear" w:color="auto" w:fill="E5E5E5" w:themeFill="background1" w:themeFillTint="33"/>
            <w:noWrap/>
            <w:vAlign w:val="bottom"/>
            <w:hideMark/>
          </w:tcPr>
          <w:p w14:paraId="72D5DB6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6B673E96" w14:textId="77777777" w:rsidTr="0020771F">
        <w:trPr>
          <w:trHeight w:val="288"/>
        </w:trPr>
        <w:tc>
          <w:tcPr>
            <w:tcW w:w="1480" w:type="dxa"/>
            <w:tcBorders>
              <w:top w:val="nil"/>
              <w:left w:val="nil"/>
              <w:bottom w:val="nil"/>
              <w:right w:val="nil"/>
            </w:tcBorders>
            <w:shd w:val="clear" w:color="auto" w:fill="auto"/>
            <w:noWrap/>
            <w:vAlign w:val="bottom"/>
            <w:hideMark/>
          </w:tcPr>
          <w:p w14:paraId="29862D0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31</w:t>
            </w:r>
          </w:p>
        </w:tc>
        <w:tc>
          <w:tcPr>
            <w:tcW w:w="1937" w:type="dxa"/>
            <w:tcBorders>
              <w:top w:val="nil"/>
              <w:left w:val="nil"/>
              <w:bottom w:val="nil"/>
              <w:right w:val="nil"/>
            </w:tcBorders>
            <w:shd w:val="clear" w:color="auto" w:fill="auto"/>
            <w:noWrap/>
            <w:vAlign w:val="bottom"/>
            <w:hideMark/>
          </w:tcPr>
          <w:p w14:paraId="1B7A43A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2410" w:type="dxa"/>
            <w:tcBorders>
              <w:top w:val="nil"/>
              <w:left w:val="nil"/>
              <w:bottom w:val="nil"/>
              <w:right w:val="nil"/>
            </w:tcBorders>
            <w:shd w:val="clear" w:color="auto" w:fill="auto"/>
            <w:noWrap/>
            <w:vAlign w:val="bottom"/>
            <w:hideMark/>
          </w:tcPr>
          <w:p w14:paraId="3C823CE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r>
      <w:tr w:rsidR="00961617" w:rsidRPr="0076418A" w14:paraId="0A14EB6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2D8E41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1937" w:type="dxa"/>
            <w:tcBorders>
              <w:top w:val="nil"/>
              <w:left w:val="nil"/>
              <w:bottom w:val="nil"/>
              <w:right w:val="nil"/>
            </w:tcBorders>
            <w:shd w:val="clear" w:color="auto" w:fill="E5E5E5" w:themeFill="background1" w:themeFillTint="33"/>
            <w:noWrap/>
            <w:vAlign w:val="bottom"/>
            <w:hideMark/>
          </w:tcPr>
          <w:p w14:paraId="05B26FD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2410" w:type="dxa"/>
            <w:tcBorders>
              <w:top w:val="nil"/>
              <w:left w:val="nil"/>
              <w:bottom w:val="nil"/>
              <w:right w:val="nil"/>
            </w:tcBorders>
            <w:shd w:val="clear" w:color="auto" w:fill="E5E5E5" w:themeFill="background1" w:themeFillTint="33"/>
            <w:noWrap/>
            <w:vAlign w:val="bottom"/>
            <w:hideMark/>
          </w:tcPr>
          <w:p w14:paraId="2978605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r>
      <w:tr w:rsidR="00961617" w:rsidRPr="0076418A" w14:paraId="5A0B2471" w14:textId="77777777" w:rsidTr="0020771F">
        <w:trPr>
          <w:trHeight w:val="288"/>
        </w:trPr>
        <w:tc>
          <w:tcPr>
            <w:tcW w:w="1480" w:type="dxa"/>
            <w:tcBorders>
              <w:top w:val="nil"/>
              <w:left w:val="nil"/>
              <w:bottom w:val="nil"/>
              <w:right w:val="nil"/>
            </w:tcBorders>
            <w:shd w:val="clear" w:color="auto" w:fill="auto"/>
            <w:noWrap/>
            <w:vAlign w:val="bottom"/>
            <w:hideMark/>
          </w:tcPr>
          <w:p w14:paraId="5F96D92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1937" w:type="dxa"/>
            <w:tcBorders>
              <w:top w:val="nil"/>
              <w:left w:val="nil"/>
              <w:bottom w:val="nil"/>
              <w:right w:val="nil"/>
            </w:tcBorders>
            <w:shd w:val="clear" w:color="auto" w:fill="auto"/>
            <w:noWrap/>
            <w:vAlign w:val="bottom"/>
            <w:hideMark/>
          </w:tcPr>
          <w:p w14:paraId="3915A31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auto"/>
            <w:noWrap/>
            <w:vAlign w:val="bottom"/>
            <w:hideMark/>
          </w:tcPr>
          <w:p w14:paraId="0E1F18E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4414111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881EAA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34</w:t>
            </w:r>
          </w:p>
        </w:tc>
        <w:tc>
          <w:tcPr>
            <w:tcW w:w="1937" w:type="dxa"/>
            <w:tcBorders>
              <w:top w:val="nil"/>
              <w:left w:val="nil"/>
              <w:bottom w:val="nil"/>
              <w:right w:val="nil"/>
            </w:tcBorders>
            <w:shd w:val="clear" w:color="auto" w:fill="E5E5E5" w:themeFill="background1" w:themeFillTint="33"/>
            <w:noWrap/>
            <w:vAlign w:val="bottom"/>
            <w:hideMark/>
          </w:tcPr>
          <w:p w14:paraId="2B14D0B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2410" w:type="dxa"/>
            <w:tcBorders>
              <w:top w:val="nil"/>
              <w:left w:val="nil"/>
              <w:bottom w:val="nil"/>
              <w:right w:val="nil"/>
            </w:tcBorders>
            <w:shd w:val="clear" w:color="auto" w:fill="E5E5E5" w:themeFill="background1" w:themeFillTint="33"/>
            <w:noWrap/>
            <w:vAlign w:val="bottom"/>
            <w:hideMark/>
          </w:tcPr>
          <w:p w14:paraId="58976BE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49D277C6" w14:textId="77777777" w:rsidTr="0020771F">
        <w:trPr>
          <w:trHeight w:val="288"/>
        </w:trPr>
        <w:tc>
          <w:tcPr>
            <w:tcW w:w="1480" w:type="dxa"/>
            <w:tcBorders>
              <w:top w:val="nil"/>
              <w:left w:val="nil"/>
              <w:bottom w:val="nil"/>
              <w:right w:val="nil"/>
            </w:tcBorders>
            <w:shd w:val="clear" w:color="auto" w:fill="auto"/>
            <w:noWrap/>
            <w:vAlign w:val="bottom"/>
            <w:hideMark/>
          </w:tcPr>
          <w:p w14:paraId="50E1008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w:t>
            </w:r>
          </w:p>
        </w:tc>
        <w:tc>
          <w:tcPr>
            <w:tcW w:w="1937" w:type="dxa"/>
            <w:tcBorders>
              <w:top w:val="nil"/>
              <w:left w:val="nil"/>
              <w:bottom w:val="nil"/>
              <w:right w:val="nil"/>
            </w:tcBorders>
            <w:shd w:val="clear" w:color="auto" w:fill="auto"/>
            <w:noWrap/>
            <w:vAlign w:val="bottom"/>
            <w:hideMark/>
          </w:tcPr>
          <w:p w14:paraId="62DD9B4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auto"/>
            <w:noWrap/>
            <w:vAlign w:val="bottom"/>
            <w:hideMark/>
          </w:tcPr>
          <w:p w14:paraId="6A9AA5A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655677A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A49BAE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w:t>
            </w:r>
          </w:p>
        </w:tc>
        <w:tc>
          <w:tcPr>
            <w:tcW w:w="1937" w:type="dxa"/>
            <w:tcBorders>
              <w:top w:val="nil"/>
              <w:left w:val="nil"/>
              <w:bottom w:val="nil"/>
              <w:right w:val="nil"/>
            </w:tcBorders>
            <w:shd w:val="clear" w:color="auto" w:fill="E5E5E5" w:themeFill="background1" w:themeFillTint="33"/>
            <w:noWrap/>
            <w:vAlign w:val="bottom"/>
            <w:hideMark/>
          </w:tcPr>
          <w:p w14:paraId="6994E15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E5E5E5" w:themeFill="background1" w:themeFillTint="33"/>
            <w:noWrap/>
            <w:vAlign w:val="bottom"/>
            <w:hideMark/>
          </w:tcPr>
          <w:p w14:paraId="0F95151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25331891" w14:textId="77777777" w:rsidTr="0020771F">
        <w:trPr>
          <w:trHeight w:val="288"/>
        </w:trPr>
        <w:tc>
          <w:tcPr>
            <w:tcW w:w="1480" w:type="dxa"/>
            <w:tcBorders>
              <w:top w:val="nil"/>
              <w:left w:val="nil"/>
              <w:bottom w:val="nil"/>
              <w:right w:val="nil"/>
            </w:tcBorders>
            <w:shd w:val="clear" w:color="auto" w:fill="auto"/>
            <w:noWrap/>
            <w:vAlign w:val="bottom"/>
            <w:hideMark/>
          </w:tcPr>
          <w:p w14:paraId="413853C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w:t>
            </w:r>
          </w:p>
        </w:tc>
        <w:tc>
          <w:tcPr>
            <w:tcW w:w="1937" w:type="dxa"/>
            <w:tcBorders>
              <w:top w:val="nil"/>
              <w:left w:val="nil"/>
              <w:bottom w:val="nil"/>
              <w:right w:val="nil"/>
            </w:tcBorders>
            <w:shd w:val="clear" w:color="auto" w:fill="auto"/>
            <w:noWrap/>
            <w:vAlign w:val="bottom"/>
            <w:hideMark/>
          </w:tcPr>
          <w:p w14:paraId="28F1B4A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2410" w:type="dxa"/>
            <w:tcBorders>
              <w:top w:val="nil"/>
              <w:left w:val="nil"/>
              <w:bottom w:val="nil"/>
              <w:right w:val="nil"/>
            </w:tcBorders>
            <w:shd w:val="clear" w:color="auto" w:fill="auto"/>
            <w:noWrap/>
            <w:vAlign w:val="bottom"/>
            <w:hideMark/>
          </w:tcPr>
          <w:p w14:paraId="5BAD5F6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34DDB82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442341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1937" w:type="dxa"/>
            <w:tcBorders>
              <w:top w:val="nil"/>
              <w:left w:val="nil"/>
              <w:bottom w:val="nil"/>
              <w:right w:val="nil"/>
            </w:tcBorders>
            <w:shd w:val="clear" w:color="auto" w:fill="E5E5E5" w:themeFill="background1" w:themeFillTint="33"/>
            <w:noWrap/>
            <w:vAlign w:val="bottom"/>
            <w:hideMark/>
          </w:tcPr>
          <w:p w14:paraId="6AD51FC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auto" w:fill="E5E5E5" w:themeFill="background1" w:themeFillTint="33"/>
            <w:noWrap/>
            <w:vAlign w:val="bottom"/>
            <w:hideMark/>
          </w:tcPr>
          <w:p w14:paraId="0D313C2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6FA7D2AB" w14:textId="77777777" w:rsidTr="0020771F">
        <w:trPr>
          <w:trHeight w:val="288"/>
        </w:trPr>
        <w:tc>
          <w:tcPr>
            <w:tcW w:w="1480" w:type="dxa"/>
            <w:tcBorders>
              <w:top w:val="nil"/>
              <w:left w:val="nil"/>
              <w:bottom w:val="nil"/>
              <w:right w:val="nil"/>
            </w:tcBorders>
            <w:shd w:val="clear" w:color="auto" w:fill="auto"/>
            <w:noWrap/>
            <w:vAlign w:val="bottom"/>
            <w:hideMark/>
          </w:tcPr>
          <w:p w14:paraId="38EE800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1937" w:type="dxa"/>
            <w:tcBorders>
              <w:top w:val="nil"/>
              <w:left w:val="nil"/>
              <w:bottom w:val="nil"/>
              <w:right w:val="nil"/>
            </w:tcBorders>
            <w:shd w:val="clear" w:color="auto" w:fill="auto"/>
            <w:noWrap/>
            <w:vAlign w:val="bottom"/>
            <w:hideMark/>
          </w:tcPr>
          <w:p w14:paraId="30B2F19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auto" w:fill="auto"/>
            <w:noWrap/>
            <w:vAlign w:val="bottom"/>
            <w:hideMark/>
          </w:tcPr>
          <w:p w14:paraId="5BEB5EF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r>
      <w:tr w:rsidR="00961617" w:rsidRPr="0076418A" w14:paraId="52801AB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449E44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1937" w:type="dxa"/>
            <w:tcBorders>
              <w:top w:val="nil"/>
              <w:left w:val="nil"/>
              <w:bottom w:val="nil"/>
              <w:right w:val="nil"/>
            </w:tcBorders>
            <w:shd w:val="clear" w:color="auto" w:fill="E5E5E5" w:themeFill="background1" w:themeFillTint="33"/>
            <w:noWrap/>
            <w:vAlign w:val="bottom"/>
            <w:hideMark/>
          </w:tcPr>
          <w:p w14:paraId="71C66E7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c>
          <w:tcPr>
            <w:tcW w:w="2410" w:type="dxa"/>
            <w:tcBorders>
              <w:top w:val="nil"/>
              <w:left w:val="nil"/>
              <w:bottom w:val="nil"/>
              <w:right w:val="nil"/>
            </w:tcBorders>
            <w:shd w:val="clear" w:color="auto" w:fill="E5E5E5" w:themeFill="background1" w:themeFillTint="33"/>
            <w:noWrap/>
            <w:vAlign w:val="bottom"/>
            <w:hideMark/>
          </w:tcPr>
          <w:p w14:paraId="64880DA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0B457B7E" w14:textId="77777777" w:rsidTr="0020771F">
        <w:trPr>
          <w:trHeight w:val="288"/>
        </w:trPr>
        <w:tc>
          <w:tcPr>
            <w:tcW w:w="1480" w:type="dxa"/>
            <w:tcBorders>
              <w:top w:val="nil"/>
              <w:left w:val="nil"/>
              <w:bottom w:val="nil"/>
              <w:right w:val="nil"/>
            </w:tcBorders>
            <w:shd w:val="clear" w:color="auto" w:fill="auto"/>
            <w:noWrap/>
            <w:vAlign w:val="bottom"/>
            <w:hideMark/>
          </w:tcPr>
          <w:p w14:paraId="178E3CB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41</w:t>
            </w:r>
          </w:p>
        </w:tc>
        <w:tc>
          <w:tcPr>
            <w:tcW w:w="1937" w:type="dxa"/>
            <w:tcBorders>
              <w:top w:val="nil"/>
              <w:left w:val="nil"/>
              <w:bottom w:val="nil"/>
              <w:right w:val="nil"/>
            </w:tcBorders>
            <w:shd w:val="clear" w:color="auto" w:fill="auto"/>
            <w:noWrap/>
            <w:vAlign w:val="bottom"/>
            <w:hideMark/>
          </w:tcPr>
          <w:p w14:paraId="46BC2EF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3C61B40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8A42D4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39F54A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w:t>
            </w:r>
          </w:p>
        </w:tc>
        <w:tc>
          <w:tcPr>
            <w:tcW w:w="1937" w:type="dxa"/>
            <w:tcBorders>
              <w:top w:val="nil"/>
              <w:left w:val="nil"/>
              <w:bottom w:val="nil"/>
              <w:right w:val="nil"/>
            </w:tcBorders>
            <w:shd w:val="clear" w:color="auto" w:fill="E5E5E5" w:themeFill="background1" w:themeFillTint="33"/>
            <w:noWrap/>
            <w:vAlign w:val="bottom"/>
            <w:hideMark/>
          </w:tcPr>
          <w:p w14:paraId="127FA09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4540F92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27C54AF" w14:textId="77777777" w:rsidTr="0020771F">
        <w:trPr>
          <w:trHeight w:val="288"/>
        </w:trPr>
        <w:tc>
          <w:tcPr>
            <w:tcW w:w="1480" w:type="dxa"/>
            <w:tcBorders>
              <w:top w:val="nil"/>
              <w:left w:val="nil"/>
              <w:bottom w:val="nil"/>
              <w:right w:val="nil"/>
            </w:tcBorders>
            <w:shd w:val="clear" w:color="auto" w:fill="auto"/>
            <w:noWrap/>
            <w:vAlign w:val="bottom"/>
            <w:hideMark/>
          </w:tcPr>
          <w:p w14:paraId="7D6904C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43</w:t>
            </w:r>
          </w:p>
        </w:tc>
        <w:tc>
          <w:tcPr>
            <w:tcW w:w="1937" w:type="dxa"/>
            <w:tcBorders>
              <w:top w:val="nil"/>
              <w:left w:val="nil"/>
              <w:bottom w:val="nil"/>
              <w:right w:val="nil"/>
            </w:tcBorders>
            <w:shd w:val="clear" w:color="auto" w:fill="auto"/>
            <w:noWrap/>
            <w:vAlign w:val="bottom"/>
            <w:hideMark/>
          </w:tcPr>
          <w:p w14:paraId="40E860C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auto"/>
            <w:noWrap/>
            <w:vAlign w:val="bottom"/>
            <w:hideMark/>
          </w:tcPr>
          <w:p w14:paraId="2DD5146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11BE03F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6C9B04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44</w:t>
            </w:r>
          </w:p>
        </w:tc>
        <w:tc>
          <w:tcPr>
            <w:tcW w:w="1937" w:type="dxa"/>
            <w:tcBorders>
              <w:top w:val="nil"/>
              <w:left w:val="nil"/>
              <w:bottom w:val="nil"/>
              <w:right w:val="nil"/>
            </w:tcBorders>
            <w:shd w:val="clear" w:color="auto" w:fill="E5E5E5" w:themeFill="background1" w:themeFillTint="33"/>
            <w:noWrap/>
            <w:vAlign w:val="bottom"/>
            <w:hideMark/>
          </w:tcPr>
          <w:p w14:paraId="127CE43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5C4D04C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358791A6" w14:textId="77777777" w:rsidTr="0020771F">
        <w:trPr>
          <w:trHeight w:val="288"/>
        </w:trPr>
        <w:tc>
          <w:tcPr>
            <w:tcW w:w="1480" w:type="dxa"/>
            <w:tcBorders>
              <w:top w:val="nil"/>
              <w:left w:val="nil"/>
              <w:bottom w:val="nil"/>
              <w:right w:val="nil"/>
            </w:tcBorders>
            <w:shd w:val="clear" w:color="auto" w:fill="auto"/>
            <w:noWrap/>
            <w:vAlign w:val="bottom"/>
            <w:hideMark/>
          </w:tcPr>
          <w:p w14:paraId="41ABE0B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w:t>
            </w:r>
          </w:p>
        </w:tc>
        <w:tc>
          <w:tcPr>
            <w:tcW w:w="1937" w:type="dxa"/>
            <w:tcBorders>
              <w:top w:val="nil"/>
              <w:left w:val="nil"/>
              <w:bottom w:val="nil"/>
              <w:right w:val="nil"/>
            </w:tcBorders>
            <w:shd w:val="clear" w:color="auto" w:fill="auto"/>
            <w:noWrap/>
            <w:vAlign w:val="bottom"/>
            <w:hideMark/>
          </w:tcPr>
          <w:p w14:paraId="79D9BF1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c>
          <w:tcPr>
            <w:tcW w:w="2410" w:type="dxa"/>
            <w:tcBorders>
              <w:top w:val="nil"/>
              <w:left w:val="nil"/>
              <w:bottom w:val="nil"/>
              <w:right w:val="nil"/>
            </w:tcBorders>
            <w:shd w:val="clear" w:color="auto" w:fill="auto"/>
            <w:noWrap/>
            <w:vAlign w:val="bottom"/>
            <w:hideMark/>
          </w:tcPr>
          <w:p w14:paraId="318424E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6111405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CEB52D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1937" w:type="dxa"/>
            <w:tcBorders>
              <w:top w:val="nil"/>
              <w:left w:val="nil"/>
              <w:bottom w:val="nil"/>
              <w:right w:val="nil"/>
            </w:tcBorders>
            <w:shd w:val="clear" w:color="auto" w:fill="E5E5E5" w:themeFill="background1" w:themeFillTint="33"/>
            <w:noWrap/>
            <w:vAlign w:val="bottom"/>
            <w:hideMark/>
          </w:tcPr>
          <w:p w14:paraId="5AD5CB2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56DFC18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37FEE027" w14:textId="77777777" w:rsidTr="0020771F">
        <w:trPr>
          <w:trHeight w:val="288"/>
        </w:trPr>
        <w:tc>
          <w:tcPr>
            <w:tcW w:w="1480" w:type="dxa"/>
            <w:tcBorders>
              <w:top w:val="nil"/>
              <w:left w:val="nil"/>
              <w:bottom w:val="nil"/>
              <w:right w:val="nil"/>
            </w:tcBorders>
            <w:shd w:val="clear" w:color="auto" w:fill="auto"/>
            <w:noWrap/>
            <w:vAlign w:val="bottom"/>
            <w:hideMark/>
          </w:tcPr>
          <w:p w14:paraId="6DDF69E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w:t>
            </w:r>
          </w:p>
        </w:tc>
        <w:tc>
          <w:tcPr>
            <w:tcW w:w="1937" w:type="dxa"/>
            <w:tcBorders>
              <w:top w:val="nil"/>
              <w:left w:val="nil"/>
              <w:bottom w:val="nil"/>
              <w:right w:val="nil"/>
            </w:tcBorders>
            <w:shd w:val="clear" w:color="auto" w:fill="auto"/>
            <w:noWrap/>
            <w:vAlign w:val="bottom"/>
            <w:hideMark/>
          </w:tcPr>
          <w:p w14:paraId="2EEECA9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19DFC11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2F4998B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7EA015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1937" w:type="dxa"/>
            <w:tcBorders>
              <w:top w:val="nil"/>
              <w:left w:val="nil"/>
              <w:bottom w:val="nil"/>
              <w:right w:val="nil"/>
            </w:tcBorders>
            <w:shd w:val="clear" w:color="auto" w:fill="E5E5E5" w:themeFill="background1" w:themeFillTint="33"/>
            <w:noWrap/>
            <w:vAlign w:val="bottom"/>
            <w:hideMark/>
          </w:tcPr>
          <w:p w14:paraId="7743851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745656B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1077837" w14:textId="77777777" w:rsidTr="0020771F">
        <w:trPr>
          <w:trHeight w:val="288"/>
        </w:trPr>
        <w:tc>
          <w:tcPr>
            <w:tcW w:w="1480" w:type="dxa"/>
            <w:tcBorders>
              <w:top w:val="nil"/>
              <w:left w:val="nil"/>
              <w:bottom w:val="nil"/>
              <w:right w:val="nil"/>
            </w:tcBorders>
            <w:shd w:val="clear" w:color="auto" w:fill="auto"/>
            <w:noWrap/>
            <w:vAlign w:val="bottom"/>
            <w:hideMark/>
          </w:tcPr>
          <w:p w14:paraId="3573EC5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w:t>
            </w:r>
          </w:p>
        </w:tc>
        <w:tc>
          <w:tcPr>
            <w:tcW w:w="1937" w:type="dxa"/>
            <w:tcBorders>
              <w:top w:val="nil"/>
              <w:left w:val="nil"/>
              <w:bottom w:val="nil"/>
              <w:right w:val="nil"/>
            </w:tcBorders>
            <w:shd w:val="clear" w:color="auto" w:fill="auto"/>
            <w:noWrap/>
            <w:vAlign w:val="bottom"/>
            <w:hideMark/>
          </w:tcPr>
          <w:p w14:paraId="3B3F5D6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08EE824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4F3201E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69B9AD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w:t>
            </w:r>
          </w:p>
        </w:tc>
        <w:tc>
          <w:tcPr>
            <w:tcW w:w="1937" w:type="dxa"/>
            <w:tcBorders>
              <w:top w:val="nil"/>
              <w:left w:val="nil"/>
              <w:bottom w:val="nil"/>
              <w:right w:val="nil"/>
            </w:tcBorders>
            <w:shd w:val="clear" w:color="auto" w:fill="E5E5E5" w:themeFill="background1" w:themeFillTint="33"/>
            <w:noWrap/>
            <w:vAlign w:val="bottom"/>
            <w:hideMark/>
          </w:tcPr>
          <w:p w14:paraId="2A90012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7189D15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1D24529" w14:textId="77777777" w:rsidTr="0020771F">
        <w:trPr>
          <w:trHeight w:val="288"/>
        </w:trPr>
        <w:tc>
          <w:tcPr>
            <w:tcW w:w="1480" w:type="dxa"/>
            <w:tcBorders>
              <w:top w:val="nil"/>
              <w:left w:val="nil"/>
              <w:bottom w:val="nil"/>
              <w:right w:val="nil"/>
            </w:tcBorders>
            <w:shd w:val="clear" w:color="auto" w:fill="auto"/>
            <w:noWrap/>
            <w:vAlign w:val="bottom"/>
            <w:hideMark/>
          </w:tcPr>
          <w:p w14:paraId="4C80C7D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w:t>
            </w:r>
          </w:p>
        </w:tc>
        <w:tc>
          <w:tcPr>
            <w:tcW w:w="1937" w:type="dxa"/>
            <w:tcBorders>
              <w:top w:val="nil"/>
              <w:left w:val="nil"/>
              <w:bottom w:val="nil"/>
              <w:right w:val="nil"/>
            </w:tcBorders>
            <w:shd w:val="clear" w:color="auto" w:fill="auto"/>
            <w:noWrap/>
            <w:vAlign w:val="bottom"/>
            <w:hideMark/>
          </w:tcPr>
          <w:p w14:paraId="037EC49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auto"/>
            <w:noWrap/>
            <w:vAlign w:val="bottom"/>
            <w:hideMark/>
          </w:tcPr>
          <w:p w14:paraId="3149A88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1EFE2BC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AB4301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1937" w:type="dxa"/>
            <w:tcBorders>
              <w:top w:val="nil"/>
              <w:left w:val="nil"/>
              <w:bottom w:val="nil"/>
              <w:right w:val="nil"/>
            </w:tcBorders>
            <w:shd w:val="clear" w:color="auto" w:fill="E5E5E5" w:themeFill="background1" w:themeFillTint="33"/>
            <w:noWrap/>
            <w:vAlign w:val="bottom"/>
            <w:hideMark/>
          </w:tcPr>
          <w:p w14:paraId="5DA6392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4CEC441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0B190AC4" w14:textId="77777777" w:rsidTr="0020771F">
        <w:trPr>
          <w:trHeight w:val="288"/>
        </w:trPr>
        <w:tc>
          <w:tcPr>
            <w:tcW w:w="1480" w:type="dxa"/>
            <w:tcBorders>
              <w:top w:val="nil"/>
              <w:left w:val="nil"/>
              <w:bottom w:val="nil"/>
              <w:right w:val="nil"/>
            </w:tcBorders>
            <w:shd w:val="clear" w:color="auto" w:fill="auto"/>
            <w:noWrap/>
            <w:vAlign w:val="bottom"/>
            <w:hideMark/>
          </w:tcPr>
          <w:p w14:paraId="17E18AC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1937" w:type="dxa"/>
            <w:tcBorders>
              <w:top w:val="nil"/>
              <w:left w:val="nil"/>
              <w:bottom w:val="nil"/>
              <w:right w:val="nil"/>
            </w:tcBorders>
            <w:shd w:val="clear" w:color="auto" w:fill="auto"/>
            <w:noWrap/>
            <w:vAlign w:val="bottom"/>
            <w:hideMark/>
          </w:tcPr>
          <w:p w14:paraId="4296550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auto"/>
            <w:noWrap/>
            <w:vAlign w:val="bottom"/>
            <w:hideMark/>
          </w:tcPr>
          <w:p w14:paraId="1C47D73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D80DF9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ABEBF3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54</w:t>
            </w:r>
          </w:p>
        </w:tc>
        <w:tc>
          <w:tcPr>
            <w:tcW w:w="1937" w:type="dxa"/>
            <w:tcBorders>
              <w:top w:val="nil"/>
              <w:left w:val="nil"/>
              <w:bottom w:val="nil"/>
              <w:right w:val="nil"/>
            </w:tcBorders>
            <w:shd w:val="clear" w:color="auto" w:fill="E5E5E5" w:themeFill="background1" w:themeFillTint="33"/>
            <w:noWrap/>
            <w:vAlign w:val="bottom"/>
            <w:hideMark/>
          </w:tcPr>
          <w:p w14:paraId="62BB96A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518F321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31F8EFD7" w14:textId="77777777" w:rsidTr="0020771F">
        <w:trPr>
          <w:trHeight w:val="288"/>
        </w:trPr>
        <w:tc>
          <w:tcPr>
            <w:tcW w:w="1480" w:type="dxa"/>
            <w:tcBorders>
              <w:top w:val="nil"/>
              <w:left w:val="nil"/>
              <w:bottom w:val="nil"/>
              <w:right w:val="nil"/>
            </w:tcBorders>
            <w:shd w:val="clear" w:color="auto" w:fill="auto"/>
            <w:noWrap/>
            <w:vAlign w:val="bottom"/>
            <w:hideMark/>
          </w:tcPr>
          <w:p w14:paraId="540E71C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w:t>
            </w:r>
          </w:p>
        </w:tc>
        <w:tc>
          <w:tcPr>
            <w:tcW w:w="1937" w:type="dxa"/>
            <w:tcBorders>
              <w:top w:val="nil"/>
              <w:left w:val="nil"/>
              <w:bottom w:val="nil"/>
              <w:right w:val="nil"/>
            </w:tcBorders>
            <w:shd w:val="clear" w:color="auto" w:fill="auto"/>
            <w:noWrap/>
            <w:vAlign w:val="bottom"/>
            <w:hideMark/>
          </w:tcPr>
          <w:p w14:paraId="492FDBE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4C13E30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742E046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615C75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56</w:t>
            </w:r>
          </w:p>
        </w:tc>
        <w:tc>
          <w:tcPr>
            <w:tcW w:w="1937" w:type="dxa"/>
            <w:tcBorders>
              <w:top w:val="nil"/>
              <w:left w:val="nil"/>
              <w:bottom w:val="nil"/>
              <w:right w:val="nil"/>
            </w:tcBorders>
            <w:shd w:val="clear" w:color="auto" w:fill="E5E5E5" w:themeFill="background1" w:themeFillTint="33"/>
            <w:noWrap/>
            <w:vAlign w:val="bottom"/>
            <w:hideMark/>
          </w:tcPr>
          <w:p w14:paraId="7C8D7CA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5AF4961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r>
      <w:tr w:rsidR="00961617" w:rsidRPr="0076418A" w14:paraId="5F015526" w14:textId="77777777" w:rsidTr="0020771F">
        <w:trPr>
          <w:trHeight w:val="288"/>
        </w:trPr>
        <w:tc>
          <w:tcPr>
            <w:tcW w:w="1480" w:type="dxa"/>
            <w:tcBorders>
              <w:top w:val="nil"/>
              <w:left w:val="nil"/>
              <w:bottom w:val="nil"/>
              <w:right w:val="nil"/>
            </w:tcBorders>
            <w:shd w:val="clear" w:color="auto" w:fill="auto"/>
            <w:noWrap/>
            <w:vAlign w:val="bottom"/>
            <w:hideMark/>
          </w:tcPr>
          <w:p w14:paraId="246B074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w:t>
            </w:r>
          </w:p>
        </w:tc>
        <w:tc>
          <w:tcPr>
            <w:tcW w:w="1937" w:type="dxa"/>
            <w:tcBorders>
              <w:top w:val="nil"/>
              <w:left w:val="nil"/>
              <w:bottom w:val="nil"/>
              <w:right w:val="nil"/>
            </w:tcBorders>
            <w:shd w:val="clear" w:color="auto" w:fill="auto"/>
            <w:noWrap/>
            <w:vAlign w:val="bottom"/>
            <w:hideMark/>
          </w:tcPr>
          <w:p w14:paraId="390238E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254EE70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B9BD3E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12C84B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58</w:t>
            </w:r>
          </w:p>
        </w:tc>
        <w:tc>
          <w:tcPr>
            <w:tcW w:w="1937" w:type="dxa"/>
            <w:tcBorders>
              <w:top w:val="nil"/>
              <w:left w:val="nil"/>
              <w:bottom w:val="nil"/>
              <w:right w:val="nil"/>
            </w:tcBorders>
            <w:shd w:val="clear" w:color="auto" w:fill="E5E5E5" w:themeFill="background1" w:themeFillTint="33"/>
            <w:noWrap/>
            <w:vAlign w:val="bottom"/>
            <w:hideMark/>
          </w:tcPr>
          <w:p w14:paraId="33EB7E1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6C51725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9902676" w14:textId="77777777" w:rsidTr="0020771F">
        <w:trPr>
          <w:trHeight w:val="288"/>
        </w:trPr>
        <w:tc>
          <w:tcPr>
            <w:tcW w:w="1480" w:type="dxa"/>
            <w:tcBorders>
              <w:top w:val="nil"/>
              <w:left w:val="nil"/>
              <w:bottom w:val="nil"/>
              <w:right w:val="nil"/>
            </w:tcBorders>
            <w:shd w:val="clear" w:color="auto" w:fill="auto"/>
            <w:noWrap/>
            <w:vAlign w:val="bottom"/>
            <w:hideMark/>
          </w:tcPr>
          <w:p w14:paraId="741D71E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59</w:t>
            </w:r>
          </w:p>
        </w:tc>
        <w:tc>
          <w:tcPr>
            <w:tcW w:w="1937" w:type="dxa"/>
            <w:tcBorders>
              <w:top w:val="nil"/>
              <w:left w:val="nil"/>
              <w:bottom w:val="nil"/>
              <w:right w:val="nil"/>
            </w:tcBorders>
            <w:shd w:val="clear" w:color="auto" w:fill="auto"/>
            <w:noWrap/>
            <w:vAlign w:val="bottom"/>
            <w:hideMark/>
          </w:tcPr>
          <w:p w14:paraId="28A87A9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auto" w:fill="auto"/>
            <w:noWrap/>
            <w:vAlign w:val="bottom"/>
            <w:hideMark/>
          </w:tcPr>
          <w:p w14:paraId="62740FD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45C959F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A204CA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w:t>
            </w:r>
          </w:p>
        </w:tc>
        <w:tc>
          <w:tcPr>
            <w:tcW w:w="1937" w:type="dxa"/>
            <w:tcBorders>
              <w:top w:val="nil"/>
              <w:left w:val="nil"/>
              <w:bottom w:val="nil"/>
              <w:right w:val="nil"/>
            </w:tcBorders>
            <w:shd w:val="clear" w:color="auto" w:fill="E5E5E5" w:themeFill="background1" w:themeFillTint="33"/>
            <w:noWrap/>
            <w:vAlign w:val="bottom"/>
            <w:hideMark/>
          </w:tcPr>
          <w:p w14:paraId="542A00C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6A6BD4A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6A4A18E" w14:textId="77777777" w:rsidTr="0020771F">
        <w:trPr>
          <w:trHeight w:val="288"/>
        </w:trPr>
        <w:tc>
          <w:tcPr>
            <w:tcW w:w="1480" w:type="dxa"/>
            <w:tcBorders>
              <w:top w:val="nil"/>
              <w:left w:val="nil"/>
              <w:bottom w:val="nil"/>
              <w:right w:val="nil"/>
            </w:tcBorders>
            <w:shd w:val="clear" w:color="auto" w:fill="auto"/>
            <w:noWrap/>
            <w:vAlign w:val="bottom"/>
            <w:hideMark/>
          </w:tcPr>
          <w:p w14:paraId="588D300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61</w:t>
            </w:r>
          </w:p>
        </w:tc>
        <w:tc>
          <w:tcPr>
            <w:tcW w:w="1937" w:type="dxa"/>
            <w:tcBorders>
              <w:top w:val="nil"/>
              <w:left w:val="nil"/>
              <w:bottom w:val="nil"/>
              <w:right w:val="nil"/>
            </w:tcBorders>
            <w:shd w:val="clear" w:color="auto" w:fill="auto"/>
            <w:noWrap/>
            <w:vAlign w:val="bottom"/>
            <w:hideMark/>
          </w:tcPr>
          <w:p w14:paraId="3B78211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0A9AFB3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5151D3E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4D6BB5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62</w:t>
            </w:r>
          </w:p>
        </w:tc>
        <w:tc>
          <w:tcPr>
            <w:tcW w:w="1937" w:type="dxa"/>
            <w:tcBorders>
              <w:top w:val="nil"/>
              <w:left w:val="nil"/>
              <w:bottom w:val="nil"/>
              <w:right w:val="nil"/>
            </w:tcBorders>
            <w:shd w:val="clear" w:color="auto" w:fill="E5E5E5" w:themeFill="background1" w:themeFillTint="33"/>
            <w:noWrap/>
            <w:vAlign w:val="bottom"/>
            <w:hideMark/>
          </w:tcPr>
          <w:p w14:paraId="5CDE1B6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4FCEF31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EA64BD1" w14:textId="77777777" w:rsidTr="0020771F">
        <w:trPr>
          <w:trHeight w:val="288"/>
        </w:trPr>
        <w:tc>
          <w:tcPr>
            <w:tcW w:w="1480" w:type="dxa"/>
            <w:tcBorders>
              <w:top w:val="nil"/>
              <w:left w:val="nil"/>
              <w:bottom w:val="nil"/>
              <w:right w:val="nil"/>
            </w:tcBorders>
            <w:shd w:val="clear" w:color="auto" w:fill="auto"/>
            <w:noWrap/>
            <w:vAlign w:val="bottom"/>
            <w:hideMark/>
          </w:tcPr>
          <w:p w14:paraId="4B3A8D5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63</w:t>
            </w:r>
          </w:p>
        </w:tc>
        <w:tc>
          <w:tcPr>
            <w:tcW w:w="1937" w:type="dxa"/>
            <w:tcBorders>
              <w:top w:val="nil"/>
              <w:left w:val="nil"/>
              <w:bottom w:val="nil"/>
              <w:right w:val="nil"/>
            </w:tcBorders>
            <w:shd w:val="clear" w:color="auto" w:fill="auto"/>
            <w:noWrap/>
            <w:vAlign w:val="bottom"/>
            <w:hideMark/>
          </w:tcPr>
          <w:p w14:paraId="204C652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2DD20F6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5FD293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CB789D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64</w:t>
            </w:r>
          </w:p>
        </w:tc>
        <w:tc>
          <w:tcPr>
            <w:tcW w:w="1937" w:type="dxa"/>
            <w:tcBorders>
              <w:top w:val="nil"/>
              <w:left w:val="nil"/>
              <w:bottom w:val="nil"/>
              <w:right w:val="nil"/>
            </w:tcBorders>
            <w:shd w:val="clear" w:color="auto" w:fill="E5E5E5" w:themeFill="background1" w:themeFillTint="33"/>
            <w:noWrap/>
            <w:vAlign w:val="bottom"/>
            <w:hideMark/>
          </w:tcPr>
          <w:p w14:paraId="28309D5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6C117D3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56C68C15" w14:textId="77777777" w:rsidTr="0020771F">
        <w:trPr>
          <w:trHeight w:val="288"/>
        </w:trPr>
        <w:tc>
          <w:tcPr>
            <w:tcW w:w="1480" w:type="dxa"/>
            <w:tcBorders>
              <w:top w:val="nil"/>
              <w:left w:val="nil"/>
              <w:bottom w:val="nil"/>
              <w:right w:val="nil"/>
            </w:tcBorders>
            <w:shd w:val="clear" w:color="auto" w:fill="auto"/>
            <w:noWrap/>
            <w:vAlign w:val="bottom"/>
            <w:hideMark/>
          </w:tcPr>
          <w:p w14:paraId="0C23814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1937" w:type="dxa"/>
            <w:tcBorders>
              <w:top w:val="nil"/>
              <w:left w:val="nil"/>
              <w:bottom w:val="nil"/>
              <w:right w:val="nil"/>
            </w:tcBorders>
            <w:shd w:val="clear" w:color="auto" w:fill="auto"/>
            <w:noWrap/>
            <w:vAlign w:val="bottom"/>
            <w:hideMark/>
          </w:tcPr>
          <w:p w14:paraId="4923F16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02F0465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4D9BB55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9F8E8B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1937" w:type="dxa"/>
            <w:tcBorders>
              <w:top w:val="nil"/>
              <w:left w:val="nil"/>
              <w:bottom w:val="nil"/>
              <w:right w:val="nil"/>
            </w:tcBorders>
            <w:shd w:val="clear" w:color="auto" w:fill="E5E5E5" w:themeFill="background1" w:themeFillTint="33"/>
            <w:noWrap/>
            <w:vAlign w:val="bottom"/>
            <w:hideMark/>
          </w:tcPr>
          <w:p w14:paraId="7D053C6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4CEA250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416E0C6D" w14:textId="77777777" w:rsidTr="0020771F">
        <w:trPr>
          <w:trHeight w:val="288"/>
        </w:trPr>
        <w:tc>
          <w:tcPr>
            <w:tcW w:w="1480" w:type="dxa"/>
            <w:tcBorders>
              <w:top w:val="nil"/>
              <w:left w:val="nil"/>
              <w:bottom w:val="nil"/>
              <w:right w:val="nil"/>
            </w:tcBorders>
            <w:shd w:val="clear" w:color="auto" w:fill="auto"/>
            <w:noWrap/>
            <w:vAlign w:val="bottom"/>
            <w:hideMark/>
          </w:tcPr>
          <w:p w14:paraId="6988BA1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w:t>
            </w:r>
          </w:p>
        </w:tc>
        <w:tc>
          <w:tcPr>
            <w:tcW w:w="1937" w:type="dxa"/>
            <w:tcBorders>
              <w:top w:val="nil"/>
              <w:left w:val="nil"/>
              <w:bottom w:val="nil"/>
              <w:right w:val="nil"/>
            </w:tcBorders>
            <w:shd w:val="clear" w:color="auto" w:fill="auto"/>
            <w:noWrap/>
            <w:vAlign w:val="bottom"/>
            <w:hideMark/>
          </w:tcPr>
          <w:p w14:paraId="3D5835B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auto"/>
            <w:noWrap/>
            <w:vAlign w:val="bottom"/>
            <w:hideMark/>
          </w:tcPr>
          <w:p w14:paraId="7C115EC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7E35FB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5DF8F7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1937" w:type="dxa"/>
            <w:tcBorders>
              <w:top w:val="nil"/>
              <w:left w:val="nil"/>
              <w:bottom w:val="nil"/>
              <w:right w:val="nil"/>
            </w:tcBorders>
            <w:shd w:val="clear" w:color="auto" w:fill="E5E5E5" w:themeFill="background1" w:themeFillTint="33"/>
            <w:noWrap/>
            <w:vAlign w:val="bottom"/>
            <w:hideMark/>
          </w:tcPr>
          <w:p w14:paraId="5C90526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27B50DE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3E9CA771" w14:textId="77777777" w:rsidTr="0020771F">
        <w:trPr>
          <w:trHeight w:val="288"/>
        </w:trPr>
        <w:tc>
          <w:tcPr>
            <w:tcW w:w="1480" w:type="dxa"/>
            <w:tcBorders>
              <w:top w:val="nil"/>
              <w:left w:val="nil"/>
              <w:bottom w:val="nil"/>
              <w:right w:val="nil"/>
            </w:tcBorders>
            <w:shd w:val="clear" w:color="auto" w:fill="auto"/>
            <w:noWrap/>
            <w:vAlign w:val="bottom"/>
            <w:hideMark/>
          </w:tcPr>
          <w:p w14:paraId="18DCA31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1937" w:type="dxa"/>
            <w:tcBorders>
              <w:top w:val="nil"/>
              <w:left w:val="nil"/>
              <w:bottom w:val="nil"/>
              <w:right w:val="nil"/>
            </w:tcBorders>
            <w:shd w:val="clear" w:color="auto" w:fill="auto"/>
            <w:noWrap/>
            <w:vAlign w:val="bottom"/>
            <w:hideMark/>
          </w:tcPr>
          <w:p w14:paraId="636868A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37832E8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1208F1AC"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AD06EF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70</w:t>
            </w:r>
          </w:p>
        </w:tc>
        <w:tc>
          <w:tcPr>
            <w:tcW w:w="1937" w:type="dxa"/>
            <w:tcBorders>
              <w:top w:val="nil"/>
              <w:left w:val="nil"/>
              <w:bottom w:val="nil"/>
              <w:right w:val="nil"/>
            </w:tcBorders>
            <w:shd w:val="clear" w:color="auto" w:fill="E5E5E5" w:themeFill="background1" w:themeFillTint="33"/>
            <w:noWrap/>
            <w:vAlign w:val="bottom"/>
            <w:hideMark/>
          </w:tcPr>
          <w:p w14:paraId="493D0C0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E5E5E5" w:themeFill="background1" w:themeFillTint="33"/>
            <w:noWrap/>
            <w:vAlign w:val="bottom"/>
            <w:hideMark/>
          </w:tcPr>
          <w:p w14:paraId="4603921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7CC2762E" w14:textId="77777777" w:rsidTr="0020771F">
        <w:trPr>
          <w:trHeight w:val="288"/>
        </w:trPr>
        <w:tc>
          <w:tcPr>
            <w:tcW w:w="1480" w:type="dxa"/>
            <w:tcBorders>
              <w:top w:val="nil"/>
              <w:left w:val="nil"/>
              <w:bottom w:val="nil"/>
              <w:right w:val="nil"/>
            </w:tcBorders>
            <w:shd w:val="clear" w:color="auto" w:fill="auto"/>
            <w:noWrap/>
            <w:vAlign w:val="bottom"/>
            <w:hideMark/>
          </w:tcPr>
          <w:p w14:paraId="7C2C217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1937" w:type="dxa"/>
            <w:tcBorders>
              <w:top w:val="nil"/>
              <w:left w:val="nil"/>
              <w:bottom w:val="nil"/>
              <w:right w:val="nil"/>
            </w:tcBorders>
            <w:shd w:val="clear" w:color="auto" w:fill="auto"/>
            <w:noWrap/>
            <w:vAlign w:val="bottom"/>
            <w:hideMark/>
          </w:tcPr>
          <w:p w14:paraId="440D6F4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52720F5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3AA6324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B3CC82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72</w:t>
            </w:r>
          </w:p>
        </w:tc>
        <w:tc>
          <w:tcPr>
            <w:tcW w:w="1937" w:type="dxa"/>
            <w:tcBorders>
              <w:top w:val="nil"/>
              <w:left w:val="nil"/>
              <w:bottom w:val="nil"/>
              <w:right w:val="nil"/>
            </w:tcBorders>
            <w:shd w:val="clear" w:color="auto" w:fill="E5E5E5" w:themeFill="background1" w:themeFillTint="33"/>
            <w:noWrap/>
            <w:vAlign w:val="bottom"/>
            <w:hideMark/>
          </w:tcPr>
          <w:p w14:paraId="75D793B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6A4A2CD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36706960" w14:textId="77777777" w:rsidTr="0020771F">
        <w:trPr>
          <w:trHeight w:val="288"/>
        </w:trPr>
        <w:tc>
          <w:tcPr>
            <w:tcW w:w="1480" w:type="dxa"/>
            <w:tcBorders>
              <w:top w:val="nil"/>
              <w:left w:val="nil"/>
              <w:bottom w:val="nil"/>
              <w:right w:val="nil"/>
            </w:tcBorders>
            <w:shd w:val="clear" w:color="auto" w:fill="auto"/>
            <w:noWrap/>
            <w:vAlign w:val="bottom"/>
            <w:hideMark/>
          </w:tcPr>
          <w:p w14:paraId="14E2C9C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73</w:t>
            </w:r>
          </w:p>
        </w:tc>
        <w:tc>
          <w:tcPr>
            <w:tcW w:w="1937" w:type="dxa"/>
            <w:tcBorders>
              <w:top w:val="nil"/>
              <w:left w:val="nil"/>
              <w:bottom w:val="nil"/>
              <w:right w:val="nil"/>
            </w:tcBorders>
            <w:shd w:val="clear" w:color="auto" w:fill="auto"/>
            <w:noWrap/>
            <w:vAlign w:val="bottom"/>
            <w:hideMark/>
          </w:tcPr>
          <w:p w14:paraId="5B63627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auto"/>
            <w:noWrap/>
            <w:vAlign w:val="bottom"/>
            <w:hideMark/>
          </w:tcPr>
          <w:p w14:paraId="0EC4FED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408D26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1874C5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1937" w:type="dxa"/>
            <w:tcBorders>
              <w:top w:val="nil"/>
              <w:left w:val="nil"/>
              <w:bottom w:val="nil"/>
              <w:right w:val="nil"/>
            </w:tcBorders>
            <w:shd w:val="clear" w:color="auto" w:fill="E5E5E5" w:themeFill="background1" w:themeFillTint="33"/>
            <w:noWrap/>
            <w:vAlign w:val="bottom"/>
            <w:hideMark/>
          </w:tcPr>
          <w:p w14:paraId="0E89400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42697DB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2B3F2756" w14:textId="77777777" w:rsidTr="0020771F">
        <w:trPr>
          <w:trHeight w:val="288"/>
        </w:trPr>
        <w:tc>
          <w:tcPr>
            <w:tcW w:w="1480" w:type="dxa"/>
            <w:tcBorders>
              <w:top w:val="nil"/>
              <w:left w:val="nil"/>
              <w:bottom w:val="nil"/>
              <w:right w:val="nil"/>
            </w:tcBorders>
            <w:shd w:val="clear" w:color="auto" w:fill="auto"/>
            <w:noWrap/>
            <w:vAlign w:val="bottom"/>
            <w:hideMark/>
          </w:tcPr>
          <w:p w14:paraId="417BF1F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w:t>
            </w:r>
          </w:p>
        </w:tc>
        <w:tc>
          <w:tcPr>
            <w:tcW w:w="1937" w:type="dxa"/>
            <w:tcBorders>
              <w:top w:val="nil"/>
              <w:left w:val="nil"/>
              <w:bottom w:val="nil"/>
              <w:right w:val="nil"/>
            </w:tcBorders>
            <w:shd w:val="clear" w:color="auto" w:fill="auto"/>
            <w:noWrap/>
            <w:vAlign w:val="bottom"/>
            <w:hideMark/>
          </w:tcPr>
          <w:p w14:paraId="4AFD531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auto"/>
            <w:noWrap/>
            <w:vAlign w:val="bottom"/>
            <w:hideMark/>
          </w:tcPr>
          <w:p w14:paraId="7369571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A10A0A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0D4CC3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1937" w:type="dxa"/>
            <w:tcBorders>
              <w:top w:val="nil"/>
              <w:left w:val="nil"/>
              <w:bottom w:val="nil"/>
              <w:right w:val="nil"/>
            </w:tcBorders>
            <w:shd w:val="clear" w:color="auto" w:fill="E5E5E5" w:themeFill="background1" w:themeFillTint="33"/>
            <w:noWrap/>
            <w:vAlign w:val="bottom"/>
            <w:hideMark/>
          </w:tcPr>
          <w:p w14:paraId="6EAAEF6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2EAF670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A5F421A" w14:textId="77777777" w:rsidTr="0020771F">
        <w:trPr>
          <w:trHeight w:val="288"/>
        </w:trPr>
        <w:tc>
          <w:tcPr>
            <w:tcW w:w="1480" w:type="dxa"/>
            <w:tcBorders>
              <w:top w:val="nil"/>
              <w:left w:val="nil"/>
              <w:right w:val="nil"/>
            </w:tcBorders>
            <w:shd w:val="clear" w:color="auto" w:fill="auto"/>
            <w:noWrap/>
            <w:vAlign w:val="bottom"/>
            <w:hideMark/>
          </w:tcPr>
          <w:p w14:paraId="0AF0257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1937" w:type="dxa"/>
            <w:tcBorders>
              <w:top w:val="nil"/>
              <w:left w:val="nil"/>
              <w:right w:val="nil"/>
            </w:tcBorders>
            <w:shd w:val="clear" w:color="auto" w:fill="auto"/>
            <w:noWrap/>
            <w:vAlign w:val="bottom"/>
            <w:hideMark/>
          </w:tcPr>
          <w:p w14:paraId="39D96D2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right w:val="nil"/>
            </w:tcBorders>
            <w:shd w:val="clear" w:color="auto" w:fill="auto"/>
            <w:noWrap/>
            <w:vAlign w:val="bottom"/>
            <w:hideMark/>
          </w:tcPr>
          <w:p w14:paraId="653CD90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r>
      <w:tr w:rsidR="00961617" w:rsidRPr="0076418A" w14:paraId="6FF85928" w14:textId="77777777" w:rsidTr="0020771F">
        <w:trPr>
          <w:trHeight w:val="288"/>
        </w:trPr>
        <w:tc>
          <w:tcPr>
            <w:tcW w:w="1480" w:type="dxa"/>
            <w:tcBorders>
              <w:top w:val="nil"/>
              <w:left w:val="nil"/>
              <w:bottom w:val="single" w:sz="4" w:space="0" w:color="auto"/>
              <w:right w:val="nil"/>
            </w:tcBorders>
            <w:shd w:val="clear" w:color="auto" w:fill="E5E5E5" w:themeFill="background1" w:themeFillTint="33"/>
            <w:noWrap/>
            <w:vAlign w:val="bottom"/>
            <w:hideMark/>
          </w:tcPr>
          <w:p w14:paraId="6377C7B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w:t>
            </w:r>
          </w:p>
        </w:tc>
        <w:tc>
          <w:tcPr>
            <w:tcW w:w="1937" w:type="dxa"/>
            <w:tcBorders>
              <w:top w:val="nil"/>
              <w:left w:val="nil"/>
              <w:bottom w:val="single" w:sz="4" w:space="0" w:color="auto"/>
              <w:right w:val="nil"/>
            </w:tcBorders>
            <w:shd w:val="clear" w:color="auto" w:fill="E5E5E5" w:themeFill="background1" w:themeFillTint="33"/>
            <w:noWrap/>
            <w:vAlign w:val="bottom"/>
            <w:hideMark/>
          </w:tcPr>
          <w:p w14:paraId="0536BE3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w:t>
            </w:r>
          </w:p>
        </w:tc>
        <w:tc>
          <w:tcPr>
            <w:tcW w:w="2410" w:type="dxa"/>
            <w:tcBorders>
              <w:top w:val="nil"/>
              <w:left w:val="nil"/>
              <w:bottom w:val="single" w:sz="4" w:space="0" w:color="auto"/>
              <w:right w:val="nil"/>
            </w:tcBorders>
            <w:shd w:val="clear" w:color="auto" w:fill="E5E5E5" w:themeFill="background1" w:themeFillTint="33"/>
            <w:noWrap/>
            <w:vAlign w:val="bottom"/>
            <w:hideMark/>
          </w:tcPr>
          <w:p w14:paraId="202CC11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r>
    </w:tbl>
    <w:p w14:paraId="25815083" w14:textId="77777777" w:rsidR="00961617" w:rsidRPr="002F5864" w:rsidRDefault="00961617" w:rsidP="00E13B5E">
      <w:pPr>
        <w:pStyle w:val="Source"/>
        <w:rPr>
          <w:rFonts w:eastAsia="Times New Roman"/>
          <w:lang w:eastAsia="en-AU"/>
        </w:rPr>
      </w:pPr>
      <w:r w:rsidRPr="002F5864">
        <w:rPr>
          <w:b/>
        </w:rPr>
        <w:t>Source:</w:t>
      </w:r>
      <w:r w:rsidRPr="002F5864">
        <w:rPr>
          <w:b/>
        </w:rPr>
        <w:tab/>
      </w:r>
      <w:r w:rsidRPr="002F5864">
        <w:rPr>
          <w:rFonts w:eastAsia="Times New Roman"/>
          <w:lang w:eastAsia="en-AU"/>
        </w:rPr>
        <w:t>Department of Employment administrative data.</w:t>
      </w:r>
    </w:p>
    <w:p w14:paraId="6CFA8A87" w14:textId="77777777" w:rsidR="00961617" w:rsidRPr="002F5864" w:rsidRDefault="00864C5E" w:rsidP="00961617">
      <w:pPr>
        <w:spacing w:before="120"/>
        <w:rPr>
          <w:rFonts w:eastAsia="Times New Roman" w:cstheme="minorHAnsi"/>
          <w:sz w:val="18"/>
          <w:szCs w:val="20"/>
          <w:lang w:eastAsia="en-AU"/>
        </w:rPr>
      </w:pPr>
      <w:hyperlink w:anchor="Place_A231" w:history="1">
        <w:r w:rsidR="00961617" w:rsidRPr="00886013">
          <w:rPr>
            <w:rStyle w:val="Hyperlink"/>
            <w:rFonts w:cstheme="minorHAnsi"/>
            <w:sz w:val="18"/>
            <w:szCs w:val="18"/>
          </w:rPr>
          <w:t>Return to Figure 6.2</w:t>
        </w:r>
      </w:hyperlink>
      <w:r w:rsidR="00961617" w:rsidRPr="002F5864">
        <w:rPr>
          <w:rFonts w:cstheme="minorHAnsi"/>
          <w:sz w:val="18"/>
          <w:szCs w:val="18"/>
        </w:rPr>
        <w:t xml:space="preserve"> where this data is referenced.</w:t>
      </w:r>
      <w:r w:rsidR="00961617" w:rsidRPr="002F5864">
        <w:rPr>
          <w:rFonts w:eastAsia="Times New Roman" w:cstheme="minorHAnsi"/>
          <w:lang w:eastAsia="en-AU"/>
        </w:rPr>
        <w:br w:type="page"/>
      </w:r>
    </w:p>
    <w:p w14:paraId="62A14E2F" w14:textId="77777777" w:rsidR="00961617" w:rsidRDefault="00961617" w:rsidP="00961617">
      <w:pPr>
        <w:pStyle w:val="TableheadingforappendixA1"/>
        <w:rPr>
          <w:rFonts w:cstheme="minorHAnsi"/>
          <w:noProof/>
        </w:rPr>
      </w:pPr>
      <w:bookmarkStart w:id="700" w:name="_Toc513129925"/>
      <w:r w:rsidRPr="002F5864">
        <w:rPr>
          <w:rFonts w:cstheme="minorHAnsi"/>
        </w:rPr>
        <w:t>Table A2.</w:t>
      </w:r>
      <w:r>
        <w:rPr>
          <w:rFonts w:cstheme="minorHAnsi"/>
        </w:rPr>
        <w:t>32</w:t>
      </w:r>
      <w:r w:rsidRPr="002F5864">
        <w:rPr>
          <w:rFonts w:cstheme="minorHAnsi"/>
          <w:noProof/>
        </w:rPr>
        <w:t xml:space="preserve">: </w:t>
      </w:r>
      <w:r>
        <w:rPr>
          <w:rFonts w:cstheme="minorHAnsi"/>
          <w:noProof/>
        </w:rPr>
        <w:t>Weekly rates of starting the Compulsory Activity Phase (CAP) and exiting JSA for the treatment group (per cent)</w:t>
      </w:r>
      <w:bookmarkEnd w:id="700"/>
    </w:p>
    <w:tbl>
      <w:tblPr>
        <w:tblW w:w="5827" w:type="dxa"/>
        <w:tblInd w:w="93" w:type="dxa"/>
        <w:tblLook w:val="04A0" w:firstRow="1" w:lastRow="0" w:firstColumn="1" w:lastColumn="0" w:noHBand="0" w:noVBand="1"/>
      </w:tblPr>
      <w:tblGrid>
        <w:gridCol w:w="1480"/>
        <w:gridCol w:w="1937"/>
        <w:gridCol w:w="2410"/>
      </w:tblGrid>
      <w:tr w:rsidR="00961617" w:rsidRPr="0076418A" w14:paraId="14454F5F" w14:textId="77777777" w:rsidTr="0020771F">
        <w:trPr>
          <w:trHeight w:val="576"/>
          <w:tblHeader/>
        </w:trPr>
        <w:tc>
          <w:tcPr>
            <w:tcW w:w="1480" w:type="dxa"/>
            <w:shd w:val="clear" w:color="auto" w:fill="1E3D6B"/>
            <w:noWrap/>
            <w:vAlign w:val="center"/>
            <w:hideMark/>
          </w:tcPr>
          <w:p w14:paraId="614145B4" w14:textId="77777777" w:rsidR="00961617" w:rsidRPr="0076418A" w:rsidRDefault="00961617" w:rsidP="0020771F">
            <w:pPr>
              <w:spacing w:after="0" w:line="240" w:lineRule="auto"/>
              <w:ind w:left="40"/>
              <w:rPr>
                <w:rFonts w:eastAsia="Times New Roman" w:cstheme="minorHAnsi"/>
                <w:b/>
                <w:color w:val="FFFFFF" w:themeColor="background2"/>
                <w:sz w:val="20"/>
                <w:szCs w:val="20"/>
                <w:lang w:eastAsia="en-AU"/>
              </w:rPr>
            </w:pPr>
            <w:bookmarkStart w:id="701" w:name="Title_A232"/>
            <w:bookmarkEnd w:id="701"/>
            <w:r w:rsidRPr="0076418A">
              <w:rPr>
                <w:rFonts w:eastAsia="Times New Roman" w:cstheme="minorHAnsi"/>
                <w:b/>
                <w:color w:val="FFFFFF" w:themeColor="background2"/>
                <w:sz w:val="20"/>
                <w:szCs w:val="20"/>
                <w:lang w:eastAsia="en-AU"/>
              </w:rPr>
              <w:t>Weeks</w:t>
            </w:r>
          </w:p>
        </w:tc>
        <w:tc>
          <w:tcPr>
            <w:tcW w:w="1937" w:type="dxa"/>
            <w:shd w:val="clear" w:color="auto" w:fill="1E3D6B"/>
            <w:noWrap/>
            <w:vAlign w:val="center"/>
            <w:hideMark/>
          </w:tcPr>
          <w:p w14:paraId="201BE20F" w14:textId="77777777" w:rsidR="00961617" w:rsidRPr="0076418A" w:rsidRDefault="00961617" w:rsidP="0020771F">
            <w:pPr>
              <w:spacing w:after="0" w:line="240" w:lineRule="auto"/>
              <w:ind w:left="341"/>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Start CAP</w:t>
            </w:r>
          </w:p>
        </w:tc>
        <w:tc>
          <w:tcPr>
            <w:tcW w:w="2410" w:type="dxa"/>
            <w:shd w:val="clear" w:color="auto" w:fill="1E3D6B"/>
            <w:noWrap/>
            <w:vAlign w:val="center"/>
            <w:hideMark/>
          </w:tcPr>
          <w:p w14:paraId="68BC20DB" w14:textId="77777777" w:rsidR="00961617" w:rsidRPr="0076418A" w:rsidRDefault="00961617" w:rsidP="0020771F">
            <w:pPr>
              <w:spacing w:after="0" w:line="240" w:lineRule="auto"/>
              <w:ind w:left="146"/>
              <w:jc w:val="center"/>
              <w:rPr>
                <w:rFonts w:eastAsia="Times New Roman" w:cstheme="minorHAnsi"/>
                <w:b/>
                <w:color w:val="FFFFFF" w:themeColor="background2"/>
                <w:sz w:val="20"/>
                <w:szCs w:val="20"/>
                <w:lang w:eastAsia="en-AU"/>
              </w:rPr>
            </w:pPr>
            <w:r w:rsidRPr="0076418A">
              <w:rPr>
                <w:rFonts w:eastAsia="Times New Roman" w:cstheme="minorHAnsi"/>
                <w:b/>
                <w:color w:val="FFFFFF" w:themeColor="background2"/>
                <w:sz w:val="20"/>
                <w:szCs w:val="20"/>
                <w:lang w:eastAsia="en-AU"/>
              </w:rPr>
              <w:t>Exit JSA</w:t>
            </w:r>
          </w:p>
        </w:tc>
      </w:tr>
      <w:tr w:rsidR="00961617" w:rsidRPr="0076418A" w14:paraId="1D497D9B" w14:textId="77777777" w:rsidTr="0020771F">
        <w:trPr>
          <w:trHeight w:val="288"/>
        </w:trPr>
        <w:tc>
          <w:tcPr>
            <w:tcW w:w="1480" w:type="dxa"/>
            <w:shd w:val="clear" w:color="auto" w:fill="auto"/>
            <w:noWrap/>
            <w:vAlign w:val="bottom"/>
            <w:hideMark/>
          </w:tcPr>
          <w:p w14:paraId="4202B2D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w:t>
            </w:r>
          </w:p>
        </w:tc>
        <w:tc>
          <w:tcPr>
            <w:tcW w:w="1937" w:type="dxa"/>
            <w:shd w:val="clear" w:color="auto" w:fill="auto"/>
            <w:noWrap/>
            <w:vAlign w:val="bottom"/>
            <w:hideMark/>
          </w:tcPr>
          <w:p w14:paraId="7C94FA2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2410" w:type="dxa"/>
            <w:shd w:val="clear" w:color="000000" w:fill="FFFFFF"/>
            <w:noWrap/>
            <w:vAlign w:val="bottom"/>
            <w:hideMark/>
          </w:tcPr>
          <w:p w14:paraId="7A4DFF5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ADBFA6E" w14:textId="77777777" w:rsidTr="0020771F">
        <w:trPr>
          <w:trHeight w:val="288"/>
        </w:trPr>
        <w:tc>
          <w:tcPr>
            <w:tcW w:w="1480" w:type="dxa"/>
            <w:tcBorders>
              <w:left w:val="nil"/>
              <w:bottom w:val="nil"/>
              <w:right w:val="nil"/>
            </w:tcBorders>
            <w:shd w:val="clear" w:color="auto" w:fill="E5E5E5" w:themeFill="background1" w:themeFillTint="33"/>
            <w:noWrap/>
            <w:vAlign w:val="bottom"/>
            <w:hideMark/>
          </w:tcPr>
          <w:p w14:paraId="2764646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w:t>
            </w:r>
          </w:p>
        </w:tc>
        <w:tc>
          <w:tcPr>
            <w:tcW w:w="1937" w:type="dxa"/>
            <w:tcBorders>
              <w:left w:val="nil"/>
              <w:bottom w:val="nil"/>
              <w:right w:val="nil"/>
            </w:tcBorders>
            <w:shd w:val="clear" w:color="auto" w:fill="E5E5E5" w:themeFill="background1" w:themeFillTint="33"/>
            <w:noWrap/>
            <w:vAlign w:val="bottom"/>
            <w:hideMark/>
          </w:tcPr>
          <w:p w14:paraId="516D572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2410" w:type="dxa"/>
            <w:tcBorders>
              <w:left w:val="nil"/>
              <w:bottom w:val="nil"/>
              <w:right w:val="nil"/>
            </w:tcBorders>
            <w:shd w:val="clear" w:color="auto" w:fill="E5E5E5" w:themeFill="background1" w:themeFillTint="33"/>
            <w:noWrap/>
            <w:vAlign w:val="bottom"/>
            <w:hideMark/>
          </w:tcPr>
          <w:p w14:paraId="6AB55DC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7E9842E6" w14:textId="77777777" w:rsidTr="0020771F">
        <w:trPr>
          <w:trHeight w:val="288"/>
        </w:trPr>
        <w:tc>
          <w:tcPr>
            <w:tcW w:w="1480" w:type="dxa"/>
            <w:tcBorders>
              <w:top w:val="nil"/>
              <w:left w:val="nil"/>
              <w:bottom w:val="nil"/>
              <w:right w:val="nil"/>
            </w:tcBorders>
            <w:shd w:val="clear" w:color="auto" w:fill="auto"/>
            <w:noWrap/>
            <w:vAlign w:val="bottom"/>
            <w:hideMark/>
          </w:tcPr>
          <w:p w14:paraId="742324F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w:t>
            </w:r>
          </w:p>
        </w:tc>
        <w:tc>
          <w:tcPr>
            <w:tcW w:w="1937" w:type="dxa"/>
            <w:tcBorders>
              <w:top w:val="nil"/>
              <w:left w:val="nil"/>
              <w:bottom w:val="nil"/>
              <w:right w:val="nil"/>
            </w:tcBorders>
            <w:shd w:val="clear" w:color="auto" w:fill="auto"/>
            <w:noWrap/>
            <w:vAlign w:val="bottom"/>
            <w:hideMark/>
          </w:tcPr>
          <w:p w14:paraId="034D7A1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2410" w:type="dxa"/>
            <w:tcBorders>
              <w:top w:val="nil"/>
              <w:left w:val="nil"/>
              <w:bottom w:val="nil"/>
              <w:right w:val="nil"/>
            </w:tcBorders>
            <w:shd w:val="clear" w:color="000000" w:fill="FFFFFF"/>
            <w:noWrap/>
            <w:vAlign w:val="bottom"/>
            <w:hideMark/>
          </w:tcPr>
          <w:p w14:paraId="4E506DF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5CB3765"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24B670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w:t>
            </w:r>
          </w:p>
        </w:tc>
        <w:tc>
          <w:tcPr>
            <w:tcW w:w="1937" w:type="dxa"/>
            <w:tcBorders>
              <w:top w:val="nil"/>
              <w:left w:val="nil"/>
              <w:bottom w:val="nil"/>
              <w:right w:val="nil"/>
            </w:tcBorders>
            <w:shd w:val="clear" w:color="auto" w:fill="E5E5E5" w:themeFill="background1" w:themeFillTint="33"/>
            <w:noWrap/>
            <w:vAlign w:val="bottom"/>
            <w:hideMark/>
          </w:tcPr>
          <w:p w14:paraId="11BCE3A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2410" w:type="dxa"/>
            <w:tcBorders>
              <w:top w:val="nil"/>
              <w:left w:val="nil"/>
              <w:bottom w:val="nil"/>
              <w:right w:val="nil"/>
            </w:tcBorders>
            <w:shd w:val="clear" w:color="auto" w:fill="E5E5E5" w:themeFill="background1" w:themeFillTint="33"/>
            <w:noWrap/>
            <w:vAlign w:val="bottom"/>
            <w:hideMark/>
          </w:tcPr>
          <w:p w14:paraId="1675F1D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4779C877" w14:textId="77777777" w:rsidTr="0020771F">
        <w:trPr>
          <w:trHeight w:val="288"/>
        </w:trPr>
        <w:tc>
          <w:tcPr>
            <w:tcW w:w="1480" w:type="dxa"/>
            <w:tcBorders>
              <w:top w:val="nil"/>
              <w:left w:val="nil"/>
              <w:bottom w:val="nil"/>
              <w:right w:val="nil"/>
            </w:tcBorders>
            <w:shd w:val="clear" w:color="auto" w:fill="auto"/>
            <w:noWrap/>
            <w:vAlign w:val="bottom"/>
            <w:hideMark/>
          </w:tcPr>
          <w:p w14:paraId="2018EE5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w:t>
            </w:r>
          </w:p>
        </w:tc>
        <w:tc>
          <w:tcPr>
            <w:tcW w:w="1937" w:type="dxa"/>
            <w:tcBorders>
              <w:top w:val="nil"/>
              <w:left w:val="nil"/>
              <w:bottom w:val="nil"/>
              <w:right w:val="nil"/>
            </w:tcBorders>
            <w:shd w:val="clear" w:color="auto" w:fill="auto"/>
            <w:noWrap/>
            <w:vAlign w:val="bottom"/>
            <w:hideMark/>
          </w:tcPr>
          <w:p w14:paraId="777B5DF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2410" w:type="dxa"/>
            <w:tcBorders>
              <w:top w:val="nil"/>
              <w:left w:val="nil"/>
              <w:bottom w:val="nil"/>
              <w:right w:val="nil"/>
            </w:tcBorders>
            <w:shd w:val="clear" w:color="000000" w:fill="FFFFFF"/>
            <w:noWrap/>
            <w:vAlign w:val="bottom"/>
            <w:hideMark/>
          </w:tcPr>
          <w:p w14:paraId="52D16E1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39190CC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260C621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w:t>
            </w:r>
          </w:p>
        </w:tc>
        <w:tc>
          <w:tcPr>
            <w:tcW w:w="1937" w:type="dxa"/>
            <w:tcBorders>
              <w:top w:val="nil"/>
              <w:left w:val="nil"/>
              <w:bottom w:val="nil"/>
              <w:right w:val="nil"/>
            </w:tcBorders>
            <w:shd w:val="clear" w:color="auto" w:fill="E5E5E5" w:themeFill="background1" w:themeFillTint="33"/>
            <w:noWrap/>
            <w:vAlign w:val="bottom"/>
            <w:hideMark/>
          </w:tcPr>
          <w:p w14:paraId="441BAC3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2410" w:type="dxa"/>
            <w:tcBorders>
              <w:top w:val="nil"/>
              <w:left w:val="nil"/>
              <w:bottom w:val="nil"/>
              <w:right w:val="nil"/>
            </w:tcBorders>
            <w:shd w:val="clear" w:color="auto" w:fill="E5E5E5" w:themeFill="background1" w:themeFillTint="33"/>
            <w:noWrap/>
            <w:vAlign w:val="bottom"/>
            <w:hideMark/>
          </w:tcPr>
          <w:p w14:paraId="74AA01E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501E7BDB" w14:textId="77777777" w:rsidTr="0020771F">
        <w:trPr>
          <w:trHeight w:val="288"/>
        </w:trPr>
        <w:tc>
          <w:tcPr>
            <w:tcW w:w="1480" w:type="dxa"/>
            <w:tcBorders>
              <w:top w:val="nil"/>
              <w:left w:val="nil"/>
              <w:bottom w:val="nil"/>
              <w:right w:val="nil"/>
            </w:tcBorders>
            <w:shd w:val="clear" w:color="auto" w:fill="auto"/>
            <w:noWrap/>
            <w:vAlign w:val="bottom"/>
            <w:hideMark/>
          </w:tcPr>
          <w:p w14:paraId="110B4DB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w:t>
            </w:r>
          </w:p>
        </w:tc>
        <w:tc>
          <w:tcPr>
            <w:tcW w:w="1937" w:type="dxa"/>
            <w:tcBorders>
              <w:top w:val="nil"/>
              <w:left w:val="nil"/>
              <w:bottom w:val="nil"/>
              <w:right w:val="nil"/>
            </w:tcBorders>
            <w:shd w:val="clear" w:color="auto" w:fill="auto"/>
            <w:noWrap/>
            <w:vAlign w:val="bottom"/>
            <w:hideMark/>
          </w:tcPr>
          <w:p w14:paraId="79B113C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2410" w:type="dxa"/>
            <w:tcBorders>
              <w:top w:val="nil"/>
              <w:left w:val="nil"/>
              <w:bottom w:val="nil"/>
              <w:right w:val="nil"/>
            </w:tcBorders>
            <w:shd w:val="clear" w:color="000000" w:fill="FFFFFF"/>
            <w:noWrap/>
            <w:vAlign w:val="bottom"/>
            <w:hideMark/>
          </w:tcPr>
          <w:p w14:paraId="1950E99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FB7950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C82624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8</w:t>
            </w:r>
          </w:p>
        </w:tc>
        <w:tc>
          <w:tcPr>
            <w:tcW w:w="1937" w:type="dxa"/>
            <w:tcBorders>
              <w:top w:val="nil"/>
              <w:left w:val="nil"/>
              <w:bottom w:val="nil"/>
              <w:right w:val="nil"/>
            </w:tcBorders>
            <w:shd w:val="clear" w:color="auto" w:fill="E5E5E5" w:themeFill="background1" w:themeFillTint="33"/>
            <w:noWrap/>
            <w:vAlign w:val="bottom"/>
            <w:hideMark/>
          </w:tcPr>
          <w:p w14:paraId="71009F2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2410" w:type="dxa"/>
            <w:tcBorders>
              <w:top w:val="nil"/>
              <w:left w:val="nil"/>
              <w:bottom w:val="nil"/>
              <w:right w:val="nil"/>
            </w:tcBorders>
            <w:shd w:val="clear" w:color="auto" w:fill="E5E5E5" w:themeFill="background1" w:themeFillTint="33"/>
            <w:noWrap/>
            <w:vAlign w:val="bottom"/>
            <w:hideMark/>
          </w:tcPr>
          <w:p w14:paraId="3FE6437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46C38138" w14:textId="77777777" w:rsidTr="0020771F">
        <w:trPr>
          <w:trHeight w:val="288"/>
        </w:trPr>
        <w:tc>
          <w:tcPr>
            <w:tcW w:w="1480" w:type="dxa"/>
            <w:tcBorders>
              <w:top w:val="nil"/>
              <w:left w:val="nil"/>
              <w:bottom w:val="nil"/>
              <w:right w:val="nil"/>
            </w:tcBorders>
            <w:shd w:val="clear" w:color="auto" w:fill="auto"/>
            <w:noWrap/>
            <w:vAlign w:val="bottom"/>
            <w:hideMark/>
          </w:tcPr>
          <w:p w14:paraId="40DD3B7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9</w:t>
            </w:r>
          </w:p>
        </w:tc>
        <w:tc>
          <w:tcPr>
            <w:tcW w:w="1937" w:type="dxa"/>
            <w:tcBorders>
              <w:top w:val="nil"/>
              <w:left w:val="nil"/>
              <w:bottom w:val="nil"/>
              <w:right w:val="nil"/>
            </w:tcBorders>
            <w:shd w:val="clear" w:color="auto" w:fill="auto"/>
            <w:noWrap/>
            <w:vAlign w:val="bottom"/>
            <w:hideMark/>
          </w:tcPr>
          <w:p w14:paraId="023ED28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2410" w:type="dxa"/>
            <w:tcBorders>
              <w:top w:val="nil"/>
              <w:left w:val="nil"/>
              <w:bottom w:val="nil"/>
              <w:right w:val="nil"/>
            </w:tcBorders>
            <w:shd w:val="clear" w:color="000000" w:fill="FFFFFF"/>
            <w:noWrap/>
            <w:vAlign w:val="bottom"/>
            <w:hideMark/>
          </w:tcPr>
          <w:p w14:paraId="3F1FEC9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6952A8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5412C9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1937" w:type="dxa"/>
            <w:tcBorders>
              <w:top w:val="nil"/>
              <w:left w:val="nil"/>
              <w:bottom w:val="nil"/>
              <w:right w:val="nil"/>
            </w:tcBorders>
            <w:shd w:val="clear" w:color="auto" w:fill="E5E5E5" w:themeFill="background1" w:themeFillTint="33"/>
            <w:noWrap/>
            <w:vAlign w:val="bottom"/>
            <w:hideMark/>
          </w:tcPr>
          <w:p w14:paraId="40578DB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2410" w:type="dxa"/>
            <w:tcBorders>
              <w:top w:val="nil"/>
              <w:left w:val="nil"/>
              <w:bottom w:val="nil"/>
              <w:right w:val="nil"/>
            </w:tcBorders>
            <w:shd w:val="clear" w:color="auto" w:fill="E5E5E5" w:themeFill="background1" w:themeFillTint="33"/>
            <w:noWrap/>
            <w:vAlign w:val="bottom"/>
            <w:hideMark/>
          </w:tcPr>
          <w:p w14:paraId="79E58E6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02A60951" w14:textId="77777777" w:rsidTr="0020771F">
        <w:trPr>
          <w:trHeight w:val="288"/>
        </w:trPr>
        <w:tc>
          <w:tcPr>
            <w:tcW w:w="1480" w:type="dxa"/>
            <w:tcBorders>
              <w:top w:val="nil"/>
              <w:left w:val="nil"/>
              <w:bottom w:val="nil"/>
              <w:right w:val="nil"/>
            </w:tcBorders>
            <w:shd w:val="clear" w:color="auto" w:fill="auto"/>
            <w:noWrap/>
            <w:vAlign w:val="bottom"/>
            <w:hideMark/>
          </w:tcPr>
          <w:p w14:paraId="538E96A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11</w:t>
            </w:r>
          </w:p>
        </w:tc>
        <w:tc>
          <w:tcPr>
            <w:tcW w:w="1937" w:type="dxa"/>
            <w:tcBorders>
              <w:top w:val="nil"/>
              <w:left w:val="nil"/>
              <w:bottom w:val="nil"/>
              <w:right w:val="nil"/>
            </w:tcBorders>
            <w:shd w:val="clear" w:color="auto" w:fill="auto"/>
            <w:noWrap/>
            <w:vAlign w:val="bottom"/>
            <w:hideMark/>
          </w:tcPr>
          <w:p w14:paraId="203745E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000000" w:fill="FFFFFF"/>
            <w:noWrap/>
            <w:vAlign w:val="bottom"/>
            <w:hideMark/>
          </w:tcPr>
          <w:p w14:paraId="0380E38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D36383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6C0164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12</w:t>
            </w:r>
          </w:p>
        </w:tc>
        <w:tc>
          <w:tcPr>
            <w:tcW w:w="1937" w:type="dxa"/>
            <w:tcBorders>
              <w:top w:val="nil"/>
              <w:left w:val="nil"/>
              <w:bottom w:val="nil"/>
              <w:right w:val="nil"/>
            </w:tcBorders>
            <w:shd w:val="clear" w:color="auto" w:fill="E5E5E5" w:themeFill="background1" w:themeFillTint="33"/>
            <w:noWrap/>
            <w:vAlign w:val="bottom"/>
            <w:hideMark/>
          </w:tcPr>
          <w:p w14:paraId="0223A84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2410" w:type="dxa"/>
            <w:tcBorders>
              <w:top w:val="nil"/>
              <w:left w:val="nil"/>
              <w:bottom w:val="nil"/>
              <w:right w:val="nil"/>
            </w:tcBorders>
            <w:shd w:val="clear" w:color="auto" w:fill="E5E5E5" w:themeFill="background1" w:themeFillTint="33"/>
            <w:noWrap/>
            <w:vAlign w:val="bottom"/>
            <w:hideMark/>
          </w:tcPr>
          <w:p w14:paraId="2CFC117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5C5D81A6" w14:textId="77777777" w:rsidTr="0020771F">
        <w:trPr>
          <w:trHeight w:val="288"/>
        </w:trPr>
        <w:tc>
          <w:tcPr>
            <w:tcW w:w="1480" w:type="dxa"/>
            <w:tcBorders>
              <w:top w:val="nil"/>
              <w:left w:val="nil"/>
              <w:bottom w:val="nil"/>
              <w:right w:val="nil"/>
            </w:tcBorders>
            <w:shd w:val="clear" w:color="auto" w:fill="auto"/>
            <w:noWrap/>
            <w:vAlign w:val="bottom"/>
            <w:hideMark/>
          </w:tcPr>
          <w:p w14:paraId="0417020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13</w:t>
            </w:r>
          </w:p>
        </w:tc>
        <w:tc>
          <w:tcPr>
            <w:tcW w:w="1937" w:type="dxa"/>
            <w:tcBorders>
              <w:top w:val="nil"/>
              <w:left w:val="nil"/>
              <w:bottom w:val="nil"/>
              <w:right w:val="nil"/>
            </w:tcBorders>
            <w:shd w:val="clear" w:color="auto" w:fill="auto"/>
            <w:noWrap/>
            <w:vAlign w:val="bottom"/>
            <w:hideMark/>
          </w:tcPr>
          <w:p w14:paraId="01B67A6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000000" w:fill="FFFFFF"/>
            <w:noWrap/>
            <w:vAlign w:val="bottom"/>
            <w:hideMark/>
          </w:tcPr>
          <w:p w14:paraId="508368E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5E2DC18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A43B29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1937" w:type="dxa"/>
            <w:tcBorders>
              <w:top w:val="nil"/>
              <w:left w:val="nil"/>
              <w:bottom w:val="nil"/>
              <w:right w:val="nil"/>
            </w:tcBorders>
            <w:shd w:val="clear" w:color="auto" w:fill="E5E5E5" w:themeFill="background1" w:themeFillTint="33"/>
            <w:noWrap/>
            <w:vAlign w:val="bottom"/>
            <w:hideMark/>
          </w:tcPr>
          <w:p w14:paraId="622648C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2410" w:type="dxa"/>
            <w:tcBorders>
              <w:top w:val="nil"/>
              <w:left w:val="nil"/>
              <w:bottom w:val="nil"/>
              <w:right w:val="nil"/>
            </w:tcBorders>
            <w:shd w:val="clear" w:color="auto" w:fill="E5E5E5" w:themeFill="background1" w:themeFillTint="33"/>
            <w:noWrap/>
            <w:vAlign w:val="bottom"/>
            <w:hideMark/>
          </w:tcPr>
          <w:p w14:paraId="71C2EDE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63A1D8B3" w14:textId="77777777" w:rsidTr="0020771F">
        <w:trPr>
          <w:trHeight w:val="288"/>
        </w:trPr>
        <w:tc>
          <w:tcPr>
            <w:tcW w:w="1480" w:type="dxa"/>
            <w:tcBorders>
              <w:top w:val="nil"/>
              <w:left w:val="nil"/>
              <w:bottom w:val="nil"/>
              <w:right w:val="nil"/>
            </w:tcBorders>
            <w:shd w:val="clear" w:color="auto" w:fill="auto"/>
            <w:noWrap/>
            <w:vAlign w:val="bottom"/>
            <w:hideMark/>
          </w:tcPr>
          <w:p w14:paraId="1C66801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1937" w:type="dxa"/>
            <w:tcBorders>
              <w:top w:val="nil"/>
              <w:left w:val="nil"/>
              <w:bottom w:val="nil"/>
              <w:right w:val="nil"/>
            </w:tcBorders>
            <w:shd w:val="clear" w:color="auto" w:fill="auto"/>
            <w:noWrap/>
            <w:vAlign w:val="bottom"/>
            <w:hideMark/>
          </w:tcPr>
          <w:p w14:paraId="234D75C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2410" w:type="dxa"/>
            <w:tcBorders>
              <w:top w:val="nil"/>
              <w:left w:val="nil"/>
              <w:bottom w:val="nil"/>
              <w:right w:val="nil"/>
            </w:tcBorders>
            <w:shd w:val="clear" w:color="000000" w:fill="FFFFFF"/>
            <w:noWrap/>
            <w:vAlign w:val="bottom"/>
            <w:hideMark/>
          </w:tcPr>
          <w:p w14:paraId="6DAB672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76A436A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303437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1937" w:type="dxa"/>
            <w:tcBorders>
              <w:top w:val="nil"/>
              <w:left w:val="nil"/>
              <w:bottom w:val="nil"/>
              <w:right w:val="nil"/>
            </w:tcBorders>
            <w:shd w:val="clear" w:color="auto" w:fill="E5E5E5" w:themeFill="background1" w:themeFillTint="33"/>
            <w:noWrap/>
            <w:vAlign w:val="bottom"/>
            <w:hideMark/>
          </w:tcPr>
          <w:p w14:paraId="3F3EF58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2410" w:type="dxa"/>
            <w:tcBorders>
              <w:top w:val="nil"/>
              <w:left w:val="nil"/>
              <w:bottom w:val="nil"/>
              <w:right w:val="nil"/>
            </w:tcBorders>
            <w:shd w:val="clear" w:color="auto" w:fill="E5E5E5" w:themeFill="background1" w:themeFillTint="33"/>
            <w:noWrap/>
            <w:vAlign w:val="bottom"/>
            <w:hideMark/>
          </w:tcPr>
          <w:p w14:paraId="6D5F289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2DD4B823" w14:textId="77777777" w:rsidTr="0020771F">
        <w:trPr>
          <w:trHeight w:val="288"/>
        </w:trPr>
        <w:tc>
          <w:tcPr>
            <w:tcW w:w="1480" w:type="dxa"/>
            <w:tcBorders>
              <w:top w:val="nil"/>
              <w:left w:val="nil"/>
              <w:bottom w:val="nil"/>
              <w:right w:val="nil"/>
            </w:tcBorders>
            <w:shd w:val="clear" w:color="auto" w:fill="auto"/>
            <w:noWrap/>
            <w:vAlign w:val="bottom"/>
            <w:hideMark/>
          </w:tcPr>
          <w:p w14:paraId="14D1F87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1937" w:type="dxa"/>
            <w:tcBorders>
              <w:top w:val="nil"/>
              <w:left w:val="nil"/>
              <w:bottom w:val="nil"/>
              <w:right w:val="nil"/>
            </w:tcBorders>
            <w:shd w:val="clear" w:color="auto" w:fill="auto"/>
            <w:noWrap/>
            <w:vAlign w:val="bottom"/>
            <w:hideMark/>
          </w:tcPr>
          <w:p w14:paraId="5636C06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2410" w:type="dxa"/>
            <w:tcBorders>
              <w:top w:val="nil"/>
              <w:left w:val="nil"/>
              <w:bottom w:val="nil"/>
              <w:right w:val="nil"/>
            </w:tcBorders>
            <w:shd w:val="clear" w:color="000000" w:fill="FFFFFF"/>
            <w:noWrap/>
            <w:vAlign w:val="bottom"/>
            <w:hideMark/>
          </w:tcPr>
          <w:p w14:paraId="0D8120D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1AEE1B3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4A8D1C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1937" w:type="dxa"/>
            <w:tcBorders>
              <w:top w:val="nil"/>
              <w:left w:val="nil"/>
              <w:bottom w:val="nil"/>
              <w:right w:val="nil"/>
            </w:tcBorders>
            <w:shd w:val="clear" w:color="auto" w:fill="E5E5E5" w:themeFill="background1" w:themeFillTint="33"/>
            <w:noWrap/>
            <w:vAlign w:val="bottom"/>
            <w:hideMark/>
          </w:tcPr>
          <w:p w14:paraId="6B83DE6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auto" w:fill="E5E5E5" w:themeFill="background1" w:themeFillTint="33"/>
            <w:noWrap/>
            <w:vAlign w:val="bottom"/>
            <w:hideMark/>
          </w:tcPr>
          <w:p w14:paraId="3CF8414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E1ECA65" w14:textId="77777777" w:rsidTr="0020771F">
        <w:trPr>
          <w:trHeight w:val="288"/>
        </w:trPr>
        <w:tc>
          <w:tcPr>
            <w:tcW w:w="1480" w:type="dxa"/>
            <w:tcBorders>
              <w:top w:val="nil"/>
              <w:left w:val="nil"/>
              <w:bottom w:val="nil"/>
              <w:right w:val="nil"/>
            </w:tcBorders>
            <w:shd w:val="clear" w:color="auto" w:fill="auto"/>
            <w:noWrap/>
            <w:vAlign w:val="bottom"/>
            <w:hideMark/>
          </w:tcPr>
          <w:p w14:paraId="3B95CFB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1937" w:type="dxa"/>
            <w:tcBorders>
              <w:top w:val="nil"/>
              <w:left w:val="nil"/>
              <w:bottom w:val="nil"/>
              <w:right w:val="nil"/>
            </w:tcBorders>
            <w:shd w:val="clear" w:color="auto" w:fill="auto"/>
            <w:noWrap/>
            <w:vAlign w:val="bottom"/>
            <w:hideMark/>
          </w:tcPr>
          <w:p w14:paraId="7D4E59B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2410" w:type="dxa"/>
            <w:tcBorders>
              <w:top w:val="nil"/>
              <w:left w:val="nil"/>
              <w:bottom w:val="nil"/>
              <w:right w:val="nil"/>
            </w:tcBorders>
            <w:shd w:val="clear" w:color="000000" w:fill="FFFFFF"/>
            <w:noWrap/>
            <w:vAlign w:val="bottom"/>
            <w:hideMark/>
          </w:tcPr>
          <w:p w14:paraId="41D4070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030473B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E4774A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20</w:t>
            </w:r>
          </w:p>
        </w:tc>
        <w:tc>
          <w:tcPr>
            <w:tcW w:w="1937" w:type="dxa"/>
            <w:tcBorders>
              <w:top w:val="nil"/>
              <w:left w:val="nil"/>
              <w:bottom w:val="nil"/>
              <w:right w:val="nil"/>
            </w:tcBorders>
            <w:shd w:val="clear" w:color="auto" w:fill="E5E5E5" w:themeFill="background1" w:themeFillTint="33"/>
            <w:noWrap/>
            <w:vAlign w:val="bottom"/>
            <w:hideMark/>
          </w:tcPr>
          <w:p w14:paraId="16525314"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auto" w:fill="E5E5E5" w:themeFill="background1" w:themeFillTint="33"/>
            <w:noWrap/>
            <w:vAlign w:val="bottom"/>
            <w:hideMark/>
          </w:tcPr>
          <w:p w14:paraId="6F49F33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FA206CC" w14:textId="77777777" w:rsidTr="0020771F">
        <w:trPr>
          <w:trHeight w:val="288"/>
        </w:trPr>
        <w:tc>
          <w:tcPr>
            <w:tcW w:w="1480" w:type="dxa"/>
            <w:tcBorders>
              <w:top w:val="nil"/>
              <w:left w:val="nil"/>
              <w:bottom w:val="nil"/>
              <w:right w:val="nil"/>
            </w:tcBorders>
            <w:shd w:val="clear" w:color="auto" w:fill="auto"/>
            <w:noWrap/>
            <w:vAlign w:val="bottom"/>
            <w:hideMark/>
          </w:tcPr>
          <w:p w14:paraId="5CD86C0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1937" w:type="dxa"/>
            <w:tcBorders>
              <w:top w:val="nil"/>
              <w:left w:val="nil"/>
              <w:bottom w:val="nil"/>
              <w:right w:val="nil"/>
            </w:tcBorders>
            <w:shd w:val="clear" w:color="auto" w:fill="auto"/>
            <w:noWrap/>
            <w:vAlign w:val="bottom"/>
            <w:hideMark/>
          </w:tcPr>
          <w:p w14:paraId="75B530F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2410" w:type="dxa"/>
            <w:tcBorders>
              <w:top w:val="nil"/>
              <w:left w:val="nil"/>
              <w:bottom w:val="nil"/>
              <w:right w:val="nil"/>
            </w:tcBorders>
            <w:shd w:val="clear" w:color="000000" w:fill="FFFFFF"/>
            <w:noWrap/>
            <w:vAlign w:val="bottom"/>
            <w:hideMark/>
          </w:tcPr>
          <w:p w14:paraId="4325790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5ECD9E3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5EB8B7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22</w:t>
            </w:r>
          </w:p>
        </w:tc>
        <w:tc>
          <w:tcPr>
            <w:tcW w:w="1937" w:type="dxa"/>
            <w:tcBorders>
              <w:top w:val="nil"/>
              <w:left w:val="nil"/>
              <w:bottom w:val="nil"/>
              <w:right w:val="nil"/>
            </w:tcBorders>
            <w:shd w:val="clear" w:color="auto" w:fill="E5E5E5" w:themeFill="background1" w:themeFillTint="33"/>
            <w:noWrap/>
            <w:vAlign w:val="bottom"/>
            <w:hideMark/>
          </w:tcPr>
          <w:p w14:paraId="485309E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auto" w:fill="E5E5E5" w:themeFill="background1" w:themeFillTint="33"/>
            <w:noWrap/>
            <w:vAlign w:val="bottom"/>
            <w:hideMark/>
          </w:tcPr>
          <w:p w14:paraId="34AFFEC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8746D2E" w14:textId="77777777" w:rsidTr="0020771F">
        <w:trPr>
          <w:trHeight w:val="288"/>
        </w:trPr>
        <w:tc>
          <w:tcPr>
            <w:tcW w:w="1480" w:type="dxa"/>
            <w:tcBorders>
              <w:top w:val="nil"/>
              <w:left w:val="nil"/>
              <w:bottom w:val="nil"/>
              <w:right w:val="nil"/>
            </w:tcBorders>
            <w:shd w:val="clear" w:color="auto" w:fill="auto"/>
            <w:noWrap/>
            <w:vAlign w:val="bottom"/>
            <w:hideMark/>
          </w:tcPr>
          <w:p w14:paraId="113B64D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1937" w:type="dxa"/>
            <w:tcBorders>
              <w:top w:val="nil"/>
              <w:left w:val="nil"/>
              <w:bottom w:val="nil"/>
              <w:right w:val="nil"/>
            </w:tcBorders>
            <w:shd w:val="clear" w:color="auto" w:fill="auto"/>
            <w:noWrap/>
            <w:vAlign w:val="bottom"/>
            <w:hideMark/>
          </w:tcPr>
          <w:p w14:paraId="2E997E0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2410" w:type="dxa"/>
            <w:tcBorders>
              <w:top w:val="nil"/>
              <w:left w:val="nil"/>
              <w:bottom w:val="nil"/>
              <w:right w:val="nil"/>
            </w:tcBorders>
            <w:shd w:val="clear" w:color="000000" w:fill="FFFFFF"/>
            <w:noWrap/>
            <w:vAlign w:val="bottom"/>
            <w:hideMark/>
          </w:tcPr>
          <w:p w14:paraId="5184A32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07415E3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58D5F4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1937" w:type="dxa"/>
            <w:tcBorders>
              <w:top w:val="nil"/>
              <w:left w:val="nil"/>
              <w:bottom w:val="nil"/>
              <w:right w:val="nil"/>
            </w:tcBorders>
            <w:shd w:val="clear" w:color="auto" w:fill="E5E5E5" w:themeFill="background1" w:themeFillTint="33"/>
            <w:noWrap/>
            <w:vAlign w:val="bottom"/>
            <w:hideMark/>
          </w:tcPr>
          <w:p w14:paraId="2B8CA09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4CF8FE5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B5E51ED" w14:textId="77777777" w:rsidTr="0020771F">
        <w:trPr>
          <w:trHeight w:val="288"/>
        </w:trPr>
        <w:tc>
          <w:tcPr>
            <w:tcW w:w="1480" w:type="dxa"/>
            <w:tcBorders>
              <w:top w:val="nil"/>
              <w:left w:val="nil"/>
              <w:bottom w:val="nil"/>
              <w:right w:val="nil"/>
            </w:tcBorders>
            <w:shd w:val="clear" w:color="auto" w:fill="auto"/>
            <w:noWrap/>
            <w:vAlign w:val="bottom"/>
            <w:hideMark/>
          </w:tcPr>
          <w:p w14:paraId="71C92AD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25</w:t>
            </w:r>
          </w:p>
        </w:tc>
        <w:tc>
          <w:tcPr>
            <w:tcW w:w="1937" w:type="dxa"/>
            <w:tcBorders>
              <w:top w:val="nil"/>
              <w:left w:val="nil"/>
              <w:bottom w:val="nil"/>
              <w:right w:val="nil"/>
            </w:tcBorders>
            <w:shd w:val="clear" w:color="auto" w:fill="auto"/>
            <w:noWrap/>
            <w:vAlign w:val="bottom"/>
            <w:hideMark/>
          </w:tcPr>
          <w:p w14:paraId="4D7C79E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000000" w:fill="FFFFFF"/>
            <w:noWrap/>
            <w:vAlign w:val="bottom"/>
            <w:hideMark/>
          </w:tcPr>
          <w:p w14:paraId="3B5D750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884DC51"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C79AB2B"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26</w:t>
            </w:r>
          </w:p>
        </w:tc>
        <w:tc>
          <w:tcPr>
            <w:tcW w:w="1937" w:type="dxa"/>
            <w:tcBorders>
              <w:top w:val="nil"/>
              <w:left w:val="nil"/>
              <w:bottom w:val="nil"/>
              <w:right w:val="nil"/>
            </w:tcBorders>
            <w:shd w:val="clear" w:color="auto" w:fill="E5E5E5" w:themeFill="background1" w:themeFillTint="33"/>
            <w:noWrap/>
            <w:vAlign w:val="bottom"/>
            <w:hideMark/>
          </w:tcPr>
          <w:p w14:paraId="22A861B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30B8B1A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7B977BB2" w14:textId="77777777" w:rsidTr="0020771F">
        <w:trPr>
          <w:trHeight w:val="288"/>
        </w:trPr>
        <w:tc>
          <w:tcPr>
            <w:tcW w:w="1480" w:type="dxa"/>
            <w:tcBorders>
              <w:top w:val="nil"/>
              <w:left w:val="nil"/>
              <w:bottom w:val="nil"/>
              <w:right w:val="nil"/>
            </w:tcBorders>
            <w:shd w:val="clear" w:color="auto" w:fill="auto"/>
            <w:noWrap/>
            <w:vAlign w:val="bottom"/>
            <w:hideMark/>
          </w:tcPr>
          <w:p w14:paraId="5C04D82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27</w:t>
            </w:r>
          </w:p>
        </w:tc>
        <w:tc>
          <w:tcPr>
            <w:tcW w:w="1937" w:type="dxa"/>
            <w:tcBorders>
              <w:top w:val="nil"/>
              <w:left w:val="nil"/>
              <w:bottom w:val="nil"/>
              <w:right w:val="nil"/>
            </w:tcBorders>
            <w:shd w:val="clear" w:color="auto" w:fill="auto"/>
            <w:noWrap/>
            <w:vAlign w:val="bottom"/>
            <w:hideMark/>
          </w:tcPr>
          <w:p w14:paraId="40E644D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2.3</w:t>
            </w:r>
          </w:p>
        </w:tc>
        <w:tc>
          <w:tcPr>
            <w:tcW w:w="2410" w:type="dxa"/>
            <w:tcBorders>
              <w:top w:val="nil"/>
              <w:left w:val="nil"/>
              <w:bottom w:val="nil"/>
              <w:right w:val="nil"/>
            </w:tcBorders>
            <w:shd w:val="clear" w:color="000000" w:fill="FFFFFF"/>
            <w:noWrap/>
            <w:vAlign w:val="bottom"/>
            <w:hideMark/>
          </w:tcPr>
          <w:p w14:paraId="5CEC983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4A6935B"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D714B1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28</w:t>
            </w:r>
          </w:p>
        </w:tc>
        <w:tc>
          <w:tcPr>
            <w:tcW w:w="1937" w:type="dxa"/>
            <w:tcBorders>
              <w:top w:val="nil"/>
              <w:left w:val="nil"/>
              <w:bottom w:val="nil"/>
              <w:right w:val="nil"/>
            </w:tcBorders>
            <w:shd w:val="clear" w:color="auto" w:fill="E5E5E5" w:themeFill="background1" w:themeFillTint="33"/>
            <w:noWrap/>
            <w:vAlign w:val="bottom"/>
            <w:hideMark/>
          </w:tcPr>
          <w:p w14:paraId="7E5A425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2.4</w:t>
            </w:r>
          </w:p>
        </w:tc>
        <w:tc>
          <w:tcPr>
            <w:tcW w:w="2410" w:type="dxa"/>
            <w:tcBorders>
              <w:top w:val="nil"/>
              <w:left w:val="nil"/>
              <w:bottom w:val="nil"/>
              <w:right w:val="nil"/>
            </w:tcBorders>
            <w:shd w:val="clear" w:color="auto" w:fill="E5E5E5" w:themeFill="background1" w:themeFillTint="33"/>
            <w:noWrap/>
            <w:vAlign w:val="bottom"/>
            <w:hideMark/>
          </w:tcPr>
          <w:p w14:paraId="67B0CC9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8FAC446" w14:textId="77777777" w:rsidTr="0020771F">
        <w:trPr>
          <w:trHeight w:val="288"/>
        </w:trPr>
        <w:tc>
          <w:tcPr>
            <w:tcW w:w="1480" w:type="dxa"/>
            <w:tcBorders>
              <w:top w:val="nil"/>
              <w:left w:val="nil"/>
              <w:bottom w:val="nil"/>
              <w:right w:val="nil"/>
            </w:tcBorders>
            <w:shd w:val="clear" w:color="auto" w:fill="auto"/>
            <w:noWrap/>
            <w:vAlign w:val="bottom"/>
            <w:hideMark/>
          </w:tcPr>
          <w:p w14:paraId="056FC84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29</w:t>
            </w:r>
          </w:p>
        </w:tc>
        <w:tc>
          <w:tcPr>
            <w:tcW w:w="1937" w:type="dxa"/>
            <w:tcBorders>
              <w:top w:val="nil"/>
              <w:left w:val="nil"/>
              <w:bottom w:val="nil"/>
              <w:right w:val="nil"/>
            </w:tcBorders>
            <w:shd w:val="clear" w:color="auto" w:fill="auto"/>
            <w:noWrap/>
            <w:vAlign w:val="bottom"/>
            <w:hideMark/>
          </w:tcPr>
          <w:p w14:paraId="2C620FF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1.9</w:t>
            </w:r>
          </w:p>
        </w:tc>
        <w:tc>
          <w:tcPr>
            <w:tcW w:w="2410" w:type="dxa"/>
            <w:tcBorders>
              <w:top w:val="nil"/>
              <w:left w:val="nil"/>
              <w:bottom w:val="nil"/>
              <w:right w:val="nil"/>
            </w:tcBorders>
            <w:shd w:val="clear" w:color="000000" w:fill="FFFFFF"/>
            <w:noWrap/>
            <w:vAlign w:val="bottom"/>
            <w:hideMark/>
          </w:tcPr>
          <w:p w14:paraId="490AA8C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AD998A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748785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30</w:t>
            </w:r>
          </w:p>
        </w:tc>
        <w:tc>
          <w:tcPr>
            <w:tcW w:w="1937" w:type="dxa"/>
            <w:tcBorders>
              <w:top w:val="nil"/>
              <w:left w:val="nil"/>
              <w:bottom w:val="nil"/>
              <w:right w:val="nil"/>
            </w:tcBorders>
            <w:shd w:val="clear" w:color="auto" w:fill="E5E5E5" w:themeFill="background1" w:themeFillTint="33"/>
            <w:noWrap/>
            <w:vAlign w:val="bottom"/>
            <w:hideMark/>
          </w:tcPr>
          <w:p w14:paraId="023C687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1.6</w:t>
            </w:r>
          </w:p>
        </w:tc>
        <w:tc>
          <w:tcPr>
            <w:tcW w:w="2410" w:type="dxa"/>
            <w:tcBorders>
              <w:top w:val="nil"/>
              <w:left w:val="nil"/>
              <w:bottom w:val="nil"/>
              <w:right w:val="nil"/>
            </w:tcBorders>
            <w:shd w:val="clear" w:color="auto" w:fill="E5E5E5" w:themeFill="background1" w:themeFillTint="33"/>
            <w:noWrap/>
            <w:vAlign w:val="bottom"/>
            <w:hideMark/>
          </w:tcPr>
          <w:p w14:paraId="628030B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39AA97A9" w14:textId="77777777" w:rsidTr="0020771F">
        <w:trPr>
          <w:trHeight w:val="288"/>
        </w:trPr>
        <w:tc>
          <w:tcPr>
            <w:tcW w:w="1480" w:type="dxa"/>
            <w:tcBorders>
              <w:top w:val="nil"/>
              <w:left w:val="nil"/>
              <w:bottom w:val="nil"/>
              <w:right w:val="nil"/>
            </w:tcBorders>
            <w:shd w:val="clear" w:color="auto" w:fill="auto"/>
            <w:noWrap/>
            <w:vAlign w:val="bottom"/>
            <w:hideMark/>
          </w:tcPr>
          <w:p w14:paraId="38C203A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31</w:t>
            </w:r>
          </w:p>
        </w:tc>
        <w:tc>
          <w:tcPr>
            <w:tcW w:w="1937" w:type="dxa"/>
            <w:tcBorders>
              <w:top w:val="nil"/>
              <w:left w:val="nil"/>
              <w:bottom w:val="nil"/>
              <w:right w:val="nil"/>
            </w:tcBorders>
            <w:shd w:val="clear" w:color="auto" w:fill="auto"/>
            <w:noWrap/>
            <w:vAlign w:val="bottom"/>
            <w:hideMark/>
          </w:tcPr>
          <w:p w14:paraId="0613E8E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2.1</w:t>
            </w:r>
          </w:p>
        </w:tc>
        <w:tc>
          <w:tcPr>
            <w:tcW w:w="2410" w:type="dxa"/>
            <w:tcBorders>
              <w:top w:val="nil"/>
              <w:left w:val="nil"/>
              <w:bottom w:val="nil"/>
              <w:right w:val="nil"/>
            </w:tcBorders>
            <w:shd w:val="clear" w:color="000000" w:fill="FFFFFF"/>
            <w:noWrap/>
            <w:vAlign w:val="bottom"/>
            <w:hideMark/>
          </w:tcPr>
          <w:p w14:paraId="44DBA73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r>
      <w:tr w:rsidR="00961617" w:rsidRPr="0076418A" w14:paraId="727B459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0890E7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32</w:t>
            </w:r>
          </w:p>
        </w:tc>
        <w:tc>
          <w:tcPr>
            <w:tcW w:w="1937" w:type="dxa"/>
            <w:tcBorders>
              <w:top w:val="nil"/>
              <w:left w:val="nil"/>
              <w:bottom w:val="nil"/>
              <w:right w:val="nil"/>
            </w:tcBorders>
            <w:shd w:val="clear" w:color="auto" w:fill="E5E5E5" w:themeFill="background1" w:themeFillTint="33"/>
            <w:noWrap/>
            <w:vAlign w:val="bottom"/>
            <w:hideMark/>
          </w:tcPr>
          <w:p w14:paraId="04FC4CB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1.8</w:t>
            </w:r>
          </w:p>
        </w:tc>
        <w:tc>
          <w:tcPr>
            <w:tcW w:w="2410" w:type="dxa"/>
            <w:tcBorders>
              <w:top w:val="nil"/>
              <w:left w:val="nil"/>
              <w:bottom w:val="nil"/>
              <w:right w:val="nil"/>
            </w:tcBorders>
            <w:shd w:val="clear" w:color="auto" w:fill="E5E5E5" w:themeFill="background1" w:themeFillTint="33"/>
            <w:noWrap/>
            <w:vAlign w:val="bottom"/>
            <w:hideMark/>
          </w:tcPr>
          <w:p w14:paraId="5E18A4E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B5D2298" w14:textId="77777777" w:rsidTr="0020771F">
        <w:trPr>
          <w:trHeight w:val="288"/>
        </w:trPr>
        <w:tc>
          <w:tcPr>
            <w:tcW w:w="1480" w:type="dxa"/>
            <w:tcBorders>
              <w:top w:val="nil"/>
              <w:left w:val="nil"/>
              <w:bottom w:val="nil"/>
              <w:right w:val="nil"/>
            </w:tcBorders>
            <w:shd w:val="clear" w:color="auto" w:fill="auto"/>
            <w:noWrap/>
            <w:vAlign w:val="bottom"/>
            <w:hideMark/>
          </w:tcPr>
          <w:p w14:paraId="7E29FF4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33</w:t>
            </w:r>
          </w:p>
        </w:tc>
        <w:tc>
          <w:tcPr>
            <w:tcW w:w="1937" w:type="dxa"/>
            <w:tcBorders>
              <w:top w:val="nil"/>
              <w:left w:val="nil"/>
              <w:bottom w:val="nil"/>
              <w:right w:val="nil"/>
            </w:tcBorders>
            <w:shd w:val="clear" w:color="auto" w:fill="auto"/>
            <w:noWrap/>
            <w:vAlign w:val="bottom"/>
            <w:hideMark/>
          </w:tcPr>
          <w:p w14:paraId="2C3455F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000000" w:fill="FFFFFF"/>
            <w:noWrap/>
            <w:vAlign w:val="bottom"/>
            <w:hideMark/>
          </w:tcPr>
          <w:p w14:paraId="6ED1A2B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7F5EA2D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F051DD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34</w:t>
            </w:r>
          </w:p>
        </w:tc>
        <w:tc>
          <w:tcPr>
            <w:tcW w:w="1937" w:type="dxa"/>
            <w:tcBorders>
              <w:top w:val="nil"/>
              <w:left w:val="nil"/>
              <w:bottom w:val="nil"/>
              <w:right w:val="nil"/>
            </w:tcBorders>
            <w:shd w:val="clear" w:color="auto" w:fill="E5E5E5" w:themeFill="background1" w:themeFillTint="33"/>
            <w:noWrap/>
            <w:vAlign w:val="bottom"/>
            <w:hideMark/>
          </w:tcPr>
          <w:p w14:paraId="4256043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1.5</w:t>
            </w:r>
          </w:p>
        </w:tc>
        <w:tc>
          <w:tcPr>
            <w:tcW w:w="2410" w:type="dxa"/>
            <w:tcBorders>
              <w:top w:val="nil"/>
              <w:left w:val="nil"/>
              <w:bottom w:val="nil"/>
              <w:right w:val="nil"/>
            </w:tcBorders>
            <w:shd w:val="clear" w:color="auto" w:fill="E5E5E5" w:themeFill="background1" w:themeFillTint="33"/>
            <w:noWrap/>
            <w:vAlign w:val="bottom"/>
            <w:hideMark/>
          </w:tcPr>
          <w:p w14:paraId="78EB8BC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6662D12" w14:textId="77777777" w:rsidTr="0020771F">
        <w:trPr>
          <w:trHeight w:val="288"/>
        </w:trPr>
        <w:tc>
          <w:tcPr>
            <w:tcW w:w="1480" w:type="dxa"/>
            <w:tcBorders>
              <w:top w:val="nil"/>
              <w:left w:val="nil"/>
              <w:bottom w:val="nil"/>
              <w:right w:val="nil"/>
            </w:tcBorders>
            <w:shd w:val="clear" w:color="auto" w:fill="auto"/>
            <w:noWrap/>
            <w:vAlign w:val="bottom"/>
            <w:hideMark/>
          </w:tcPr>
          <w:p w14:paraId="6C9AFA6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35</w:t>
            </w:r>
          </w:p>
        </w:tc>
        <w:tc>
          <w:tcPr>
            <w:tcW w:w="1937" w:type="dxa"/>
            <w:tcBorders>
              <w:top w:val="nil"/>
              <w:left w:val="nil"/>
              <w:bottom w:val="nil"/>
              <w:right w:val="nil"/>
            </w:tcBorders>
            <w:shd w:val="clear" w:color="auto" w:fill="auto"/>
            <w:noWrap/>
            <w:vAlign w:val="bottom"/>
            <w:hideMark/>
          </w:tcPr>
          <w:p w14:paraId="108661C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000000" w:fill="FFFFFF"/>
            <w:noWrap/>
            <w:vAlign w:val="bottom"/>
            <w:hideMark/>
          </w:tcPr>
          <w:p w14:paraId="0E62912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2A2E1F9D"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8DC117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36</w:t>
            </w:r>
          </w:p>
        </w:tc>
        <w:tc>
          <w:tcPr>
            <w:tcW w:w="1937" w:type="dxa"/>
            <w:tcBorders>
              <w:top w:val="nil"/>
              <w:left w:val="nil"/>
              <w:bottom w:val="nil"/>
              <w:right w:val="nil"/>
            </w:tcBorders>
            <w:shd w:val="clear" w:color="auto" w:fill="E5E5E5" w:themeFill="background1" w:themeFillTint="33"/>
            <w:noWrap/>
            <w:vAlign w:val="bottom"/>
            <w:hideMark/>
          </w:tcPr>
          <w:p w14:paraId="3D95BFF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1.7</w:t>
            </w:r>
          </w:p>
        </w:tc>
        <w:tc>
          <w:tcPr>
            <w:tcW w:w="2410" w:type="dxa"/>
            <w:tcBorders>
              <w:top w:val="nil"/>
              <w:left w:val="nil"/>
              <w:bottom w:val="nil"/>
              <w:right w:val="nil"/>
            </w:tcBorders>
            <w:shd w:val="clear" w:color="auto" w:fill="E5E5E5" w:themeFill="background1" w:themeFillTint="33"/>
            <w:noWrap/>
            <w:vAlign w:val="bottom"/>
            <w:hideMark/>
          </w:tcPr>
          <w:p w14:paraId="34F15A9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C58DC4D" w14:textId="77777777" w:rsidTr="0020771F">
        <w:trPr>
          <w:trHeight w:val="288"/>
        </w:trPr>
        <w:tc>
          <w:tcPr>
            <w:tcW w:w="1480" w:type="dxa"/>
            <w:tcBorders>
              <w:top w:val="nil"/>
              <w:left w:val="nil"/>
              <w:bottom w:val="nil"/>
              <w:right w:val="nil"/>
            </w:tcBorders>
            <w:shd w:val="clear" w:color="auto" w:fill="auto"/>
            <w:noWrap/>
            <w:vAlign w:val="bottom"/>
            <w:hideMark/>
          </w:tcPr>
          <w:p w14:paraId="467F971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37</w:t>
            </w:r>
          </w:p>
        </w:tc>
        <w:tc>
          <w:tcPr>
            <w:tcW w:w="1937" w:type="dxa"/>
            <w:tcBorders>
              <w:top w:val="nil"/>
              <w:left w:val="nil"/>
              <w:bottom w:val="nil"/>
              <w:right w:val="nil"/>
            </w:tcBorders>
            <w:shd w:val="clear" w:color="auto" w:fill="auto"/>
            <w:noWrap/>
            <w:vAlign w:val="bottom"/>
            <w:hideMark/>
          </w:tcPr>
          <w:p w14:paraId="27D3102A"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1.4</w:t>
            </w:r>
          </w:p>
        </w:tc>
        <w:tc>
          <w:tcPr>
            <w:tcW w:w="2410" w:type="dxa"/>
            <w:tcBorders>
              <w:top w:val="nil"/>
              <w:left w:val="nil"/>
              <w:bottom w:val="nil"/>
              <w:right w:val="nil"/>
            </w:tcBorders>
            <w:shd w:val="clear" w:color="000000" w:fill="FFFFFF"/>
            <w:noWrap/>
            <w:vAlign w:val="bottom"/>
            <w:hideMark/>
          </w:tcPr>
          <w:p w14:paraId="671FDC7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32823CE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8085C7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38</w:t>
            </w:r>
          </w:p>
        </w:tc>
        <w:tc>
          <w:tcPr>
            <w:tcW w:w="1937" w:type="dxa"/>
            <w:tcBorders>
              <w:top w:val="nil"/>
              <w:left w:val="nil"/>
              <w:bottom w:val="nil"/>
              <w:right w:val="nil"/>
            </w:tcBorders>
            <w:shd w:val="clear" w:color="auto" w:fill="E5E5E5" w:themeFill="background1" w:themeFillTint="33"/>
            <w:noWrap/>
            <w:vAlign w:val="bottom"/>
            <w:hideMark/>
          </w:tcPr>
          <w:p w14:paraId="43D07A6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auto" w:fill="E5E5E5" w:themeFill="background1" w:themeFillTint="33"/>
            <w:noWrap/>
            <w:vAlign w:val="bottom"/>
            <w:hideMark/>
          </w:tcPr>
          <w:p w14:paraId="2FF3AEB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r>
      <w:tr w:rsidR="00961617" w:rsidRPr="0076418A" w14:paraId="58991179" w14:textId="77777777" w:rsidTr="0020771F">
        <w:trPr>
          <w:trHeight w:val="288"/>
        </w:trPr>
        <w:tc>
          <w:tcPr>
            <w:tcW w:w="1480" w:type="dxa"/>
            <w:tcBorders>
              <w:top w:val="nil"/>
              <w:left w:val="nil"/>
              <w:bottom w:val="nil"/>
              <w:right w:val="nil"/>
            </w:tcBorders>
            <w:shd w:val="clear" w:color="auto" w:fill="auto"/>
            <w:noWrap/>
            <w:vAlign w:val="bottom"/>
            <w:hideMark/>
          </w:tcPr>
          <w:p w14:paraId="496854D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39</w:t>
            </w:r>
          </w:p>
        </w:tc>
        <w:tc>
          <w:tcPr>
            <w:tcW w:w="1937" w:type="dxa"/>
            <w:tcBorders>
              <w:top w:val="nil"/>
              <w:left w:val="nil"/>
              <w:bottom w:val="nil"/>
              <w:right w:val="nil"/>
            </w:tcBorders>
            <w:shd w:val="clear" w:color="auto" w:fill="auto"/>
            <w:noWrap/>
            <w:vAlign w:val="bottom"/>
            <w:hideMark/>
          </w:tcPr>
          <w:p w14:paraId="428CC3C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1.0</w:t>
            </w:r>
          </w:p>
        </w:tc>
        <w:tc>
          <w:tcPr>
            <w:tcW w:w="2410" w:type="dxa"/>
            <w:tcBorders>
              <w:top w:val="nil"/>
              <w:left w:val="nil"/>
              <w:bottom w:val="nil"/>
              <w:right w:val="nil"/>
            </w:tcBorders>
            <w:shd w:val="clear" w:color="000000" w:fill="FFFFFF"/>
            <w:noWrap/>
            <w:vAlign w:val="bottom"/>
            <w:hideMark/>
          </w:tcPr>
          <w:p w14:paraId="2D3EADA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6E82D208"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03402A1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40</w:t>
            </w:r>
          </w:p>
        </w:tc>
        <w:tc>
          <w:tcPr>
            <w:tcW w:w="1937" w:type="dxa"/>
            <w:tcBorders>
              <w:top w:val="nil"/>
              <w:left w:val="nil"/>
              <w:bottom w:val="nil"/>
              <w:right w:val="nil"/>
            </w:tcBorders>
            <w:shd w:val="clear" w:color="auto" w:fill="E5E5E5" w:themeFill="background1" w:themeFillTint="33"/>
            <w:noWrap/>
            <w:vAlign w:val="bottom"/>
            <w:hideMark/>
          </w:tcPr>
          <w:p w14:paraId="4F9AC99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0.9</w:t>
            </w:r>
          </w:p>
        </w:tc>
        <w:tc>
          <w:tcPr>
            <w:tcW w:w="2410" w:type="dxa"/>
            <w:tcBorders>
              <w:top w:val="nil"/>
              <w:left w:val="nil"/>
              <w:bottom w:val="nil"/>
              <w:right w:val="nil"/>
            </w:tcBorders>
            <w:shd w:val="clear" w:color="auto" w:fill="E5E5E5" w:themeFill="background1" w:themeFillTint="33"/>
            <w:noWrap/>
            <w:vAlign w:val="bottom"/>
            <w:hideMark/>
          </w:tcPr>
          <w:p w14:paraId="0034393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0ECD1104" w14:textId="77777777" w:rsidTr="0020771F">
        <w:trPr>
          <w:trHeight w:val="288"/>
        </w:trPr>
        <w:tc>
          <w:tcPr>
            <w:tcW w:w="1480" w:type="dxa"/>
            <w:tcBorders>
              <w:top w:val="nil"/>
              <w:left w:val="nil"/>
              <w:bottom w:val="nil"/>
              <w:right w:val="nil"/>
            </w:tcBorders>
            <w:shd w:val="clear" w:color="auto" w:fill="auto"/>
            <w:noWrap/>
            <w:vAlign w:val="bottom"/>
            <w:hideMark/>
          </w:tcPr>
          <w:p w14:paraId="2BC076D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41</w:t>
            </w:r>
          </w:p>
        </w:tc>
        <w:tc>
          <w:tcPr>
            <w:tcW w:w="1937" w:type="dxa"/>
            <w:tcBorders>
              <w:top w:val="nil"/>
              <w:left w:val="nil"/>
              <w:bottom w:val="nil"/>
              <w:right w:val="nil"/>
            </w:tcBorders>
            <w:shd w:val="clear" w:color="auto" w:fill="auto"/>
            <w:noWrap/>
            <w:vAlign w:val="bottom"/>
            <w:hideMark/>
          </w:tcPr>
          <w:p w14:paraId="119B062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000000" w:fill="FFFFFF"/>
            <w:noWrap/>
            <w:vAlign w:val="bottom"/>
            <w:hideMark/>
          </w:tcPr>
          <w:p w14:paraId="03487C1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94CF12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C1282B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42</w:t>
            </w:r>
          </w:p>
        </w:tc>
        <w:tc>
          <w:tcPr>
            <w:tcW w:w="1937" w:type="dxa"/>
            <w:tcBorders>
              <w:top w:val="nil"/>
              <w:left w:val="nil"/>
              <w:bottom w:val="nil"/>
              <w:right w:val="nil"/>
            </w:tcBorders>
            <w:shd w:val="clear" w:color="auto" w:fill="E5E5E5" w:themeFill="background1" w:themeFillTint="33"/>
            <w:noWrap/>
            <w:vAlign w:val="bottom"/>
            <w:hideMark/>
          </w:tcPr>
          <w:p w14:paraId="1D2CD90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5C8DDC65"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78ED9D29" w14:textId="77777777" w:rsidTr="0020771F">
        <w:trPr>
          <w:trHeight w:val="288"/>
        </w:trPr>
        <w:tc>
          <w:tcPr>
            <w:tcW w:w="1480" w:type="dxa"/>
            <w:tcBorders>
              <w:top w:val="nil"/>
              <w:left w:val="nil"/>
              <w:bottom w:val="nil"/>
              <w:right w:val="nil"/>
            </w:tcBorders>
            <w:shd w:val="clear" w:color="auto" w:fill="auto"/>
            <w:noWrap/>
            <w:vAlign w:val="bottom"/>
            <w:hideMark/>
          </w:tcPr>
          <w:p w14:paraId="27CC0C3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43</w:t>
            </w:r>
          </w:p>
        </w:tc>
        <w:tc>
          <w:tcPr>
            <w:tcW w:w="1937" w:type="dxa"/>
            <w:tcBorders>
              <w:top w:val="nil"/>
              <w:left w:val="nil"/>
              <w:bottom w:val="nil"/>
              <w:right w:val="nil"/>
            </w:tcBorders>
            <w:shd w:val="clear" w:color="auto" w:fill="auto"/>
            <w:noWrap/>
            <w:vAlign w:val="bottom"/>
            <w:hideMark/>
          </w:tcPr>
          <w:p w14:paraId="59FD191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000000" w:fill="FFFFFF"/>
            <w:noWrap/>
            <w:vAlign w:val="bottom"/>
            <w:hideMark/>
          </w:tcPr>
          <w:p w14:paraId="5DB80D9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AE56699"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EB3292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44</w:t>
            </w:r>
          </w:p>
        </w:tc>
        <w:tc>
          <w:tcPr>
            <w:tcW w:w="1937" w:type="dxa"/>
            <w:tcBorders>
              <w:top w:val="nil"/>
              <w:left w:val="nil"/>
              <w:bottom w:val="nil"/>
              <w:right w:val="nil"/>
            </w:tcBorders>
            <w:shd w:val="clear" w:color="auto" w:fill="E5E5E5" w:themeFill="background1" w:themeFillTint="33"/>
            <w:noWrap/>
            <w:vAlign w:val="bottom"/>
            <w:hideMark/>
          </w:tcPr>
          <w:p w14:paraId="4A3E8F5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5D0EC69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4869B78F" w14:textId="77777777" w:rsidTr="0020771F">
        <w:trPr>
          <w:trHeight w:val="288"/>
        </w:trPr>
        <w:tc>
          <w:tcPr>
            <w:tcW w:w="1480" w:type="dxa"/>
            <w:tcBorders>
              <w:top w:val="nil"/>
              <w:left w:val="nil"/>
              <w:bottom w:val="nil"/>
              <w:right w:val="nil"/>
            </w:tcBorders>
            <w:shd w:val="clear" w:color="auto" w:fill="auto"/>
            <w:noWrap/>
            <w:vAlign w:val="bottom"/>
            <w:hideMark/>
          </w:tcPr>
          <w:p w14:paraId="6D9DC9F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45</w:t>
            </w:r>
          </w:p>
        </w:tc>
        <w:tc>
          <w:tcPr>
            <w:tcW w:w="1937" w:type="dxa"/>
            <w:tcBorders>
              <w:top w:val="nil"/>
              <w:left w:val="nil"/>
              <w:bottom w:val="nil"/>
              <w:right w:val="nil"/>
            </w:tcBorders>
            <w:shd w:val="clear" w:color="auto" w:fill="auto"/>
            <w:noWrap/>
            <w:vAlign w:val="bottom"/>
            <w:hideMark/>
          </w:tcPr>
          <w:p w14:paraId="595995B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0.8</w:t>
            </w:r>
          </w:p>
        </w:tc>
        <w:tc>
          <w:tcPr>
            <w:tcW w:w="2410" w:type="dxa"/>
            <w:tcBorders>
              <w:top w:val="nil"/>
              <w:left w:val="nil"/>
              <w:bottom w:val="nil"/>
              <w:right w:val="nil"/>
            </w:tcBorders>
            <w:shd w:val="clear" w:color="000000" w:fill="FFFFFF"/>
            <w:noWrap/>
            <w:vAlign w:val="bottom"/>
            <w:hideMark/>
          </w:tcPr>
          <w:p w14:paraId="5CD0917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7AC6ED0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AB3B24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46</w:t>
            </w:r>
          </w:p>
        </w:tc>
        <w:tc>
          <w:tcPr>
            <w:tcW w:w="1937" w:type="dxa"/>
            <w:tcBorders>
              <w:top w:val="nil"/>
              <w:left w:val="nil"/>
              <w:bottom w:val="nil"/>
              <w:right w:val="nil"/>
            </w:tcBorders>
            <w:shd w:val="clear" w:color="auto" w:fill="E5E5E5" w:themeFill="background1" w:themeFillTint="33"/>
            <w:noWrap/>
            <w:vAlign w:val="bottom"/>
            <w:hideMark/>
          </w:tcPr>
          <w:p w14:paraId="7ACC2D8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05FA9F89"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7F3BA69" w14:textId="77777777" w:rsidTr="0020771F">
        <w:trPr>
          <w:trHeight w:val="288"/>
        </w:trPr>
        <w:tc>
          <w:tcPr>
            <w:tcW w:w="1480" w:type="dxa"/>
            <w:tcBorders>
              <w:top w:val="nil"/>
              <w:left w:val="nil"/>
              <w:bottom w:val="nil"/>
              <w:right w:val="nil"/>
            </w:tcBorders>
            <w:shd w:val="clear" w:color="auto" w:fill="auto"/>
            <w:noWrap/>
            <w:vAlign w:val="bottom"/>
            <w:hideMark/>
          </w:tcPr>
          <w:p w14:paraId="3C7F664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47</w:t>
            </w:r>
          </w:p>
        </w:tc>
        <w:tc>
          <w:tcPr>
            <w:tcW w:w="1937" w:type="dxa"/>
            <w:tcBorders>
              <w:top w:val="nil"/>
              <w:left w:val="nil"/>
              <w:bottom w:val="nil"/>
              <w:right w:val="nil"/>
            </w:tcBorders>
            <w:shd w:val="clear" w:color="auto" w:fill="auto"/>
            <w:noWrap/>
            <w:vAlign w:val="bottom"/>
            <w:hideMark/>
          </w:tcPr>
          <w:p w14:paraId="7E848C7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000000" w:fill="FFFFFF"/>
            <w:noWrap/>
            <w:vAlign w:val="bottom"/>
            <w:hideMark/>
          </w:tcPr>
          <w:p w14:paraId="3E0E5C3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r>
      <w:tr w:rsidR="00961617" w:rsidRPr="0076418A" w14:paraId="3A6AEB27"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C433C9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48</w:t>
            </w:r>
          </w:p>
        </w:tc>
        <w:tc>
          <w:tcPr>
            <w:tcW w:w="1937" w:type="dxa"/>
            <w:tcBorders>
              <w:top w:val="nil"/>
              <w:left w:val="nil"/>
              <w:bottom w:val="nil"/>
              <w:right w:val="nil"/>
            </w:tcBorders>
            <w:shd w:val="clear" w:color="auto" w:fill="E5E5E5" w:themeFill="background1" w:themeFillTint="33"/>
            <w:noWrap/>
            <w:vAlign w:val="bottom"/>
            <w:hideMark/>
          </w:tcPr>
          <w:p w14:paraId="6A783CA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21BBBDB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9063DD7" w14:textId="77777777" w:rsidTr="0020771F">
        <w:trPr>
          <w:trHeight w:val="288"/>
        </w:trPr>
        <w:tc>
          <w:tcPr>
            <w:tcW w:w="1480" w:type="dxa"/>
            <w:tcBorders>
              <w:top w:val="nil"/>
              <w:left w:val="nil"/>
              <w:bottom w:val="nil"/>
              <w:right w:val="nil"/>
            </w:tcBorders>
            <w:shd w:val="clear" w:color="auto" w:fill="auto"/>
            <w:noWrap/>
            <w:vAlign w:val="bottom"/>
            <w:hideMark/>
          </w:tcPr>
          <w:p w14:paraId="32CC1BCC"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49</w:t>
            </w:r>
          </w:p>
        </w:tc>
        <w:tc>
          <w:tcPr>
            <w:tcW w:w="1937" w:type="dxa"/>
            <w:tcBorders>
              <w:top w:val="nil"/>
              <w:left w:val="nil"/>
              <w:bottom w:val="nil"/>
              <w:right w:val="nil"/>
            </w:tcBorders>
            <w:shd w:val="clear" w:color="auto" w:fill="auto"/>
            <w:noWrap/>
            <w:vAlign w:val="bottom"/>
            <w:hideMark/>
          </w:tcPr>
          <w:p w14:paraId="5B5338C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000000" w:fill="FFFFFF"/>
            <w:noWrap/>
            <w:vAlign w:val="bottom"/>
            <w:hideMark/>
          </w:tcPr>
          <w:p w14:paraId="22B5F1B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09BE758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F7F247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50</w:t>
            </w:r>
          </w:p>
        </w:tc>
        <w:tc>
          <w:tcPr>
            <w:tcW w:w="1937" w:type="dxa"/>
            <w:tcBorders>
              <w:top w:val="nil"/>
              <w:left w:val="nil"/>
              <w:bottom w:val="nil"/>
              <w:right w:val="nil"/>
            </w:tcBorders>
            <w:shd w:val="clear" w:color="auto" w:fill="E5E5E5" w:themeFill="background1" w:themeFillTint="33"/>
            <w:noWrap/>
            <w:vAlign w:val="bottom"/>
            <w:hideMark/>
          </w:tcPr>
          <w:p w14:paraId="0BA6CE6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194867A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17320C54" w14:textId="77777777" w:rsidTr="0020771F">
        <w:trPr>
          <w:trHeight w:val="288"/>
        </w:trPr>
        <w:tc>
          <w:tcPr>
            <w:tcW w:w="1480" w:type="dxa"/>
            <w:tcBorders>
              <w:top w:val="nil"/>
              <w:left w:val="nil"/>
              <w:bottom w:val="nil"/>
              <w:right w:val="nil"/>
            </w:tcBorders>
            <w:shd w:val="clear" w:color="auto" w:fill="auto"/>
            <w:noWrap/>
            <w:vAlign w:val="bottom"/>
            <w:hideMark/>
          </w:tcPr>
          <w:p w14:paraId="6AAE699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51</w:t>
            </w:r>
          </w:p>
        </w:tc>
        <w:tc>
          <w:tcPr>
            <w:tcW w:w="1937" w:type="dxa"/>
            <w:tcBorders>
              <w:top w:val="nil"/>
              <w:left w:val="nil"/>
              <w:bottom w:val="nil"/>
              <w:right w:val="nil"/>
            </w:tcBorders>
            <w:shd w:val="clear" w:color="auto" w:fill="auto"/>
            <w:noWrap/>
            <w:vAlign w:val="bottom"/>
            <w:hideMark/>
          </w:tcPr>
          <w:p w14:paraId="4014D71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000000" w:fill="FFFFFF"/>
            <w:noWrap/>
            <w:vAlign w:val="bottom"/>
            <w:hideMark/>
          </w:tcPr>
          <w:p w14:paraId="7A8D3B8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3F32A2E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760FBB4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52</w:t>
            </w:r>
          </w:p>
        </w:tc>
        <w:tc>
          <w:tcPr>
            <w:tcW w:w="1937" w:type="dxa"/>
            <w:tcBorders>
              <w:top w:val="nil"/>
              <w:left w:val="nil"/>
              <w:bottom w:val="nil"/>
              <w:right w:val="nil"/>
            </w:tcBorders>
            <w:shd w:val="clear" w:color="auto" w:fill="E5E5E5" w:themeFill="background1" w:themeFillTint="33"/>
            <w:noWrap/>
            <w:vAlign w:val="bottom"/>
            <w:hideMark/>
          </w:tcPr>
          <w:p w14:paraId="54902E37"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3A49E06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0A28937" w14:textId="77777777" w:rsidTr="0020771F">
        <w:trPr>
          <w:trHeight w:val="288"/>
        </w:trPr>
        <w:tc>
          <w:tcPr>
            <w:tcW w:w="1480" w:type="dxa"/>
            <w:tcBorders>
              <w:top w:val="nil"/>
              <w:left w:val="nil"/>
              <w:bottom w:val="nil"/>
              <w:right w:val="nil"/>
            </w:tcBorders>
            <w:shd w:val="clear" w:color="auto" w:fill="auto"/>
            <w:noWrap/>
            <w:vAlign w:val="bottom"/>
            <w:hideMark/>
          </w:tcPr>
          <w:p w14:paraId="149FC5A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53</w:t>
            </w:r>
          </w:p>
        </w:tc>
        <w:tc>
          <w:tcPr>
            <w:tcW w:w="1937" w:type="dxa"/>
            <w:tcBorders>
              <w:top w:val="nil"/>
              <w:left w:val="nil"/>
              <w:bottom w:val="nil"/>
              <w:right w:val="nil"/>
            </w:tcBorders>
            <w:shd w:val="clear" w:color="auto" w:fill="auto"/>
            <w:noWrap/>
            <w:vAlign w:val="bottom"/>
            <w:hideMark/>
          </w:tcPr>
          <w:p w14:paraId="506E02F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000000" w:fill="FFFFFF"/>
            <w:noWrap/>
            <w:vAlign w:val="bottom"/>
            <w:hideMark/>
          </w:tcPr>
          <w:p w14:paraId="277578A8"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2AD09A1E"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676E80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54</w:t>
            </w:r>
          </w:p>
        </w:tc>
        <w:tc>
          <w:tcPr>
            <w:tcW w:w="1937" w:type="dxa"/>
            <w:tcBorders>
              <w:top w:val="nil"/>
              <w:left w:val="nil"/>
              <w:bottom w:val="nil"/>
              <w:right w:val="nil"/>
            </w:tcBorders>
            <w:shd w:val="clear" w:color="auto" w:fill="E5E5E5" w:themeFill="background1" w:themeFillTint="33"/>
            <w:noWrap/>
            <w:vAlign w:val="bottom"/>
            <w:hideMark/>
          </w:tcPr>
          <w:p w14:paraId="2AB16290"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c>
          <w:tcPr>
            <w:tcW w:w="2410" w:type="dxa"/>
            <w:tcBorders>
              <w:top w:val="nil"/>
              <w:left w:val="nil"/>
              <w:bottom w:val="nil"/>
              <w:right w:val="nil"/>
            </w:tcBorders>
            <w:shd w:val="clear" w:color="auto" w:fill="E5E5E5" w:themeFill="background1" w:themeFillTint="33"/>
            <w:noWrap/>
            <w:vAlign w:val="bottom"/>
            <w:hideMark/>
          </w:tcPr>
          <w:p w14:paraId="721F035A"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2C9D0B81" w14:textId="77777777" w:rsidTr="0020771F">
        <w:trPr>
          <w:trHeight w:val="288"/>
        </w:trPr>
        <w:tc>
          <w:tcPr>
            <w:tcW w:w="1480" w:type="dxa"/>
            <w:tcBorders>
              <w:top w:val="nil"/>
              <w:left w:val="nil"/>
              <w:bottom w:val="nil"/>
              <w:right w:val="nil"/>
            </w:tcBorders>
            <w:shd w:val="clear" w:color="auto" w:fill="auto"/>
            <w:noWrap/>
            <w:vAlign w:val="bottom"/>
            <w:hideMark/>
          </w:tcPr>
          <w:p w14:paraId="1FB545A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55</w:t>
            </w:r>
          </w:p>
        </w:tc>
        <w:tc>
          <w:tcPr>
            <w:tcW w:w="1937" w:type="dxa"/>
            <w:tcBorders>
              <w:top w:val="nil"/>
              <w:left w:val="nil"/>
              <w:bottom w:val="nil"/>
              <w:right w:val="nil"/>
            </w:tcBorders>
            <w:shd w:val="clear" w:color="auto" w:fill="auto"/>
            <w:noWrap/>
            <w:vAlign w:val="bottom"/>
            <w:hideMark/>
          </w:tcPr>
          <w:p w14:paraId="083D8F2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000000" w:fill="FFFFFF"/>
            <w:noWrap/>
            <w:vAlign w:val="bottom"/>
            <w:hideMark/>
          </w:tcPr>
          <w:p w14:paraId="3CA8A3B4"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935B32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FCF28E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56</w:t>
            </w:r>
          </w:p>
        </w:tc>
        <w:tc>
          <w:tcPr>
            <w:tcW w:w="1937" w:type="dxa"/>
            <w:tcBorders>
              <w:top w:val="nil"/>
              <w:left w:val="nil"/>
              <w:bottom w:val="nil"/>
              <w:right w:val="nil"/>
            </w:tcBorders>
            <w:shd w:val="clear" w:color="auto" w:fill="E5E5E5" w:themeFill="background1" w:themeFillTint="33"/>
            <w:noWrap/>
            <w:vAlign w:val="bottom"/>
            <w:hideMark/>
          </w:tcPr>
          <w:p w14:paraId="69612C56"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0.7</w:t>
            </w:r>
          </w:p>
        </w:tc>
        <w:tc>
          <w:tcPr>
            <w:tcW w:w="2410" w:type="dxa"/>
            <w:tcBorders>
              <w:top w:val="nil"/>
              <w:left w:val="nil"/>
              <w:bottom w:val="nil"/>
              <w:right w:val="nil"/>
            </w:tcBorders>
            <w:shd w:val="clear" w:color="auto" w:fill="E5E5E5" w:themeFill="background1" w:themeFillTint="33"/>
            <w:noWrap/>
            <w:vAlign w:val="bottom"/>
            <w:hideMark/>
          </w:tcPr>
          <w:p w14:paraId="4FEEDA3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F1E3E18" w14:textId="77777777" w:rsidTr="0020771F">
        <w:trPr>
          <w:trHeight w:val="288"/>
        </w:trPr>
        <w:tc>
          <w:tcPr>
            <w:tcW w:w="1480" w:type="dxa"/>
            <w:tcBorders>
              <w:top w:val="nil"/>
              <w:left w:val="nil"/>
              <w:bottom w:val="nil"/>
              <w:right w:val="nil"/>
            </w:tcBorders>
            <w:shd w:val="clear" w:color="auto" w:fill="auto"/>
            <w:noWrap/>
            <w:vAlign w:val="bottom"/>
            <w:hideMark/>
          </w:tcPr>
          <w:p w14:paraId="3C26330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57</w:t>
            </w:r>
          </w:p>
        </w:tc>
        <w:tc>
          <w:tcPr>
            <w:tcW w:w="1937" w:type="dxa"/>
            <w:tcBorders>
              <w:top w:val="nil"/>
              <w:left w:val="nil"/>
              <w:bottom w:val="nil"/>
              <w:right w:val="nil"/>
            </w:tcBorders>
            <w:shd w:val="clear" w:color="auto" w:fill="auto"/>
            <w:noWrap/>
            <w:vAlign w:val="bottom"/>
            <w:hideMark/>
          </w:tcPr>
          <w:p w14:paraId="2080BAA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000000" w:fill="FFFFFF"/>
            <w:noWrap/>
            <w:vAlign w:val="bottom"/>
            <w:hideMark/>
          </w:tcPr>
          <w:p w14:paraId="0584B4F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4DB9361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5640EF91"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58</w:t>
            </w:r>
          </w:p>
        </w:tc>
        <w:tc>
          <w:tcPr>
            <w:tcW w:w="1937" w:type="dxa"/>
            <w:tcBorders>
              <w:top w:val="nil"/>
              <w:left w:val="nil"/>
              <w:bottom w:val="nil"/>
              <w:right w:val="nil"/>
            </w:tcBorders>
            <w:shd w:val="clear" w:color="auto" w:fill="E5E5E5" w:themeFill="background1" w:themeFillTint="33"/>
            <w:noWrap/>
            <w:vAlign w:val="bottom"/>
            <w:hideMark/>
          </w:tcPr>
          <w:p w14:paraId="14336725"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c>
          <w:tcPr>
            <w:tcW w:w="2410" w:type="dxa"/>
            <w:tcBorders>
              <w:top w:val="nil"/>
              <w:left w:val="nil"/>
              <w:bottom w:val="nil"/>
              <w:right w:val="nil"/>
            </w:tcBorders>
            <w:shd w:val="clear" w:color="auto" w:fill="E5E5E5" w:themeFill="background1" w:themeFillTint="33"/>
            <w:noWrap/>
            <w:vAlign w:val="bottom"/>
            <w:hideMark/>
          </w:tcPr>
          <w:p w14:paraId="1308A54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791FA35C" w14:textId="77777777" w:rsidTr="0020771F">
        <w:trPr>
          <w:trHeight w:val="288"/>
        </w:trPr>
        <w:tc>
          <w:tcPr>
            <w:tcW w:w="1480" w:type="dxa"/>
            <w:tcBorders>
              <w:top w:val="nil"/>
              <w:left w:val="nil"/>
              <w:bottom w:val="nil"/>
              <w:right w:val="nil"/>
            </w:tcBorders>
            <w:shd w:val="clear" w:color="auto" w:fill="auto"/>
            <w:noWrap/>
            <w:vAlign w:val="bottom"/>
            <w:hideMark/>
          </w:tcPr>
          <w:p w14:paraId="555BD02A"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59</w:t>
            </w:r>
          </w:p>
        </w:tc>
        <w:tc>
          <w:tcPr>
            <w:tcW w:w="1937" w:type="dxa"/>
            <w:tcBorders>
              <w:top w:val="nil"/>
              <w:left w:val="nil"/>
              <w:bottom w:val="nil"/>
              <w:right w:val="nil"/>
            </w:tcBorders>
            <w:shd w:val="clear" w:color="auto" w:fill="auto"/>
            <w:noWrap/>
            <w:vAlign w:val="bottom"/>
            <w:hideMark/>
          </w:tcPr>
          <w:p w14:paraId="3E4DB89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c>
          <w:tcPr>
            <w:tcW w:w="2410" w:type="dxa"/>
            <w:tcBorders>
              <w:top w:val="nil"/>
              <w:left w:val="nil"/>
              <w:bottom w:val="nil"/>
              <w:right w:val="nil"/>
            </w:tcBorders>
            <w:shd w:val="clear" w:color="000000" w:fill="FFFFFF"/>
            <w:noWrap/>
            <w:vAlign w:val="bottom"/>
            <w:hideMark/>
          </w:tcPr>
          <w:p w14:paraId="46B06BA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6DA0B8D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4DCB069E"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60</w:t>
            </w:r>
          </w:p>
        </w:tc>
        <w:tc>
          <w:tcPr>
            <w:tcW w:w="1937" w:type="dxa"/>
            <w:tcBorders>
              <w:top w:val="nil"/>
              <w:left w:val="nil"/>
              <w:bottom w:val="nil"/>
              <w:right w:val="nil"/>
            </w:tcBorders>
            <w:shd w:val="clear" w:color="auto" w:fill="E5E5E5" w:themeFill="background1" w:themeFillTint="33"/>
            <w:noWrap/>
            <w:vAlign w:val="bottom"/>
            <w:hideMark/>
          </w:tcPr>
          <w:p w14:paraId="00C9C18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5712219F"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27A5BD73" w14:textId="77777777" w:rsidTr="0020771F">
        <w:trPr>
          <w:trHeight w:val="288"/>
        </w:trPr>
        <w:tc>
          <w:tcPr>
            <w:tcW w:w="1480" w:type="dxa"/>
            <w:tcBorders>
              <w:top w:val="nil"/>
              <w:left w:val="nil"/>
              <w:bottom w:val="nil"/>
              <w:right w:val="nil"/>
            </w:tcBorders>
            <w:shd w:val="clear" w:color="auto" w:fill="auto"/>
            <w:noWrap/>
            <w:vAlign w:val="bottom"/>
            <w:hideMark/>
          </w:tcPr>
          <w:p w14:paraId="49DFDA82"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61</w:t>
            </w:r>
          </w:p>
        </w:tc>
        <w:tc>
          <w:tcPr>
            <w:tcW w:w="1937" w:type="dxa"/>
            <w:tcBorders>
              <w:top w:val="nil"/>
              <w:left w:val="nil"/>
              <w:bottom w:val="nil"/>
              <w:right w:val="nil"/>
            </w:tcBorders>
            <w:shd w:val="clear" w:color="auto" w:fill="auto"/>
            <w:noWrap/>
            <w:vAlign w:val="bottom"/>
            <w:hideMark/>
          </w:tcPr>
          <w:p w14:paraId="2BCE954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000000" w:fill="FFFFFF"/>
            <w:noWrap/>
            <w:vAlign w:val="bottom"/>
            <w:hideMark/>
          </w:tcPr>
          <w:p w14:paraId="2F42904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51F7A640"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C61AD7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62</w:t>
            </w:r>
          </w:p>
        </w:tc>
        <w:tc>
          <w:tcPr>
            <w:tcW w:w="1937" w:type="dxa"/>
            <w:tcBorders>
              <w:top w:val="nil"/>
              <w:left w:val="nil"/>
              <w:bottom w:val="nil"/>
              <w:right w:val="nil"/>
            </w:tcBorders>
            <w:shd w:val="clear" w:color="auto" w:fill="E5E5E5" w:themeFill="background1" w:themeFillTint="33"/>
            <w:noWrap/>
            <w:vAlign w:val="bottom"/>
            <w:hideMark/>
          </w:tcPr>
          <w:p w14:paraId="6A4842AF"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713323F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530E332E" w14:textId="77777777" w:rsidTr="0020771F">
        <w:trPr>
          <w:trHeight w:val="288"/>
        </w:trPr>
        <w:tc>
          <w:tcPr>
            <w:tcW w:w="1480" w:type="dxa"/>
            <w:tcBorders>
              <w:top w:val="nil"/>
              <w:left w:val="nil"/>
              <w:bottom w:val="nil"/>
              <w:right w:val="nil"/>
            </w:tcBorders>
            <w:shd w:val="clear" w:color="auto" w:fill="auto"/>
            <w:noWrap/>
            <w:vAlign w:val="bottom"/>
            <w:hideMark/>
          </w:tcPr>
          <w:p w14:paraId="24B1D844"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63</w:t>
            </w:r>
          </w:p>
        </w:tc>
        <w:tc>
          <w:tcPr>
            <w:tcW w:w="1937" w:type="dxa"/>
            <w:tcBorders>
              <w:top w:val="nil"/>
              <w:left w:val="nil"/>
              <w:bottom w:val="nil"/>
              <w:right w:val="nil"/>
            </w:tcBorders>
            <w:shd w:val="clear" w:color="auto" w:fill="auto"/>
            <w:noWrap/>
            <w:vAlign w:val="bottom"/>
            <w:hideMark/>
          </w:tcPr>
          <w:p w14:paraId="55C27B9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000000" w:fill="FFFFFF"/>
            <w:noWrap/>
            <w:vAlign w:val="bottom"/>
            <w:hideMark/>
          </w:tcPr>
          <w:p w14:paraId="210B8C3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758FE97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2CE3D7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64</w:t>
            </w:r>
          </w:p>
        </w:tc>
        <w:tc>
          <w:tcPr>
            <w:tcW w:w="1937" w:type="dxa"/>
            <w:tcBorders>
              <w:top w:val="nil"/>
              <w:left w:val="nil"/>
              <w:bottom w:val="nil"/>
              <w:right w:val="nil"/>
            </w:tcBorders>
            <w:shd w:val="clear" w:color="auto" w:fill="E5E5E5" w:themeFill="background1" w:themeFillTint="33"/>
            <w:noWrap/>
            <w:vAlign w:val="bottom"/>
            <w:hideMark/>
          </w:tcPr>
          <w:p w14:paraId="1D1891D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52A0956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3B7BDB2B" w14:textId="77777777" w:rsidTr="0020771F">
        <w:trPr>
          <w:trHeight w:val="288"/>
        </w:trPr>
        <w:tc>
          <w:tcPr>
            <w:tcW w:w="1480" w:type="dxa"/>
            <w:tcBorders>
              <w:top w:val="nil"/>
              <w:left w:val="nil"/>
              <w:bottom w:val="nil"/>
              <w:right w:val="nil"/>
            </w:tcBorders>
            <w:shd w:val="clear" w:color="auto" w:fill="auto"/>
            <w:noWrap/>
            <w:vAlign w:val="bottom"/>
            <w:hideMark/>
          </w:tcPr>
          <w:p w14:paraId="2CFBF5F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65</w:t>
            </w:r>
          </w:p>
        </w:tc>
        <w:tc>
          <w:tcPr>
            <w:tcW w:w="1937" w:type="dxa"/>
            <w:tcBorders>
              <w:top w:val="nil"/>
              <w:left w:val="nil"/>
              <w:bottom w:val="nil"/>
              <w:right w:val="nil"/>
            </w:tcBorders>
            <w:shd w:val="clear" w:color="auto" w:fill="auto"/>
            <w:noWrap/>
            <w:vAlign w:val="bottom"/>
            <w:hideMark/>
          </w:tcPr>
          <w:p w14:paraId="5917AAB8"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000000" w:fill="FFFFFF"/>
            <w:noWrap/>
            <w:vAlign w:val="bottom"/>
            <w:hideMark/>
          </w:tcPr>
          <w:p w14:paraId="7BFD3233"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0D0D49D3"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993D837"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66</w:t>
            </w:r>
          </w:p>
        </w:tc>
        <w:tc>
          <w:tcPr>
            <w:tcW w:w="1937" w:type="dxa"/>
            <w:tcBorders>
              <w:top w:val="nil"/>
              <w:left w:val="nil"/>
              <w:bottom w:val="nil"/>
              <w:right w:val="nil"/>
            </w:tcBorders>
            <w:shd w:val="clear" w:color="auto" w:fill="E5E5E5" w:themeFill="background1" w:themeFillTint="33"/>
            <w:noWrap/>
            <w:vAlign w:val="bottom"/>
            <w:hideMark/>
          </w:tcPr>
          <w:p w14:paraId="57DA766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auto" w:fill="E5E5E5" w:themeFill="background1" w:themeFillTint="33"/>
            <w:noWrap/>
            <w:vAlign w:val="bottom"/>
            <w:hideMark/>
          </w:tcPr>
          <w:p w14:paraId="72FDC8C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6F3DDFCC" w14:textId="77777777" w:rsidTr="0020771F">
        <w:trPr>
          <w:trHeight w:val="288"/>
        </w:trPr>
        <w:tc>
          <w:tcPr>
            <w:tcW w:w="1480" w:type="dxa"/>
            <w:tcBorders>
              <w:top w:val="nil"/>
              <w:left w:val="nil"/>
              <w:bottom w:val="nil"/>
              <w:right w:val="nil"/>
            </w:tcBorders>
            <w:shd w:val="clear" w:color="auto" w:fill="auto"/>
            <w:noWrap/>
            <w:vAlign w:val="bottom"/>
            <w:hideMark/>
          </w:tcPr>
          <w:p w14:paraId="51D5E61D"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67</w:t>
            </w:r>
          </w:p>
        </w:tc>
        <w:tc>
          <w:tcPr>
            <w:tcW w:w="1937" w:type="dxa"/>
            <w:tcBorders>
              <w:top w:val="nil"/>
              <w:left w:val="nil"/>
              <w:bottom w:val="nil"/>
              <w:right w:val="nil"/>
            </w:tcBorders>
            <w:shd w:val="clear" w:color="auto" w:fill="auto"/>
            <w:noWrap/>
            <w:vAlign w:val="bottom"/>
            <w:hideMark/>
          </w:tcPr>
          <w:p w14:paraId="15E9C4C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c>
          <w:tcPr>
            <w:tcW w:w="2410" w:type="dxa"/>
            <w:tcBorders>
              <w:top w:val="nil"/>
              <w:left w:val="nil"/>
              <w:bottom w:val="nil"/>
              <w:right w:val="nil"/>
            </w:tcBorders>
            <w:shd w:val="clear" w:color="000000" w:fill="FFFFFF"/>
            <w:noWrap/>
            <w:vAlign w:val="bottom"/>
            <w:hideMark/>
          </w:tcPr>
          <w:p w14:paraId="442F8CEB"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79E3849F"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3BF797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68</w:t>
            </w:r>
          </w:p>
        </w:tc>
        <w:tc>
          <w:tcPr>
            <w:tcW w:w="1937" w:type="dxa"/>
            <w:tcBorders>
              <w:top w:val="nil"/>
              <w:left w:val="nil"/>
              <w:bottom w:val="nil"/>
              <w:right w:val="nil"/>
            </w:tcBorders>
            <w:shd w:val="clear" w:color="auto" w:fill="E5E5E5" w:themeFill="background1" w:themeFillTint="33"/>
            <w:noWrap/>
            <w:vAlign w:val="bottom"/>
            <w:hideMark/>
          </w:tcPr>
          <w:p w14:paraId="53A29FEB"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20DDD93C"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80895BB" w14:textId="77777777" w:rsidTr="0020771F">
        <w:trPr>
          <w:trHeight w:val="288"/>
        </w:trPr>
        <w:tc>
          <w:tcPr>
            <w:tcW w:w="1480" w:type="dxa"/>
            <w:tcBorders>
              <w:top w:val="nil"/>
              <w:left w:val="nil"/>
              <w:bottom w:val="nil"/>
              <w:right w:val="nil"/>
            </w:tcBorders>
            <w:shd w:val="clear" w:color="auto" w:fill="auto"/>
            <w:noWrap/>
            <w:vAlign w:val="bottom"/>
            <w:hideMark/>
          </w:tcPr>
          <w:p w14:paraId="2863BFF3"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69</w:t>
            </w:r>
          </w:p>
        </w:tc>
        <w:tc>
          <w:tcPr>
            <w:tcW w:w="1937" w:type="dxa"/>
            <w:tcBorders>
              <w:top w:val="nil"/>
              <w:left w:val="nil"/>
              <w:bottom w:val="nil"/>
              <w:right w:val="nil"/>
            </w:tcBorders>
            <w:shd w:val="clear" w:color="auto" w:fill="auto"/>
            <w:noWrap/>
            <w:vAlign w:val="bottom"/>
            <w:hideMark/>
          </w:tcPr>
          <w:p w14:paraId="15C78E3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000000" w:fill="FFFFFF"/>
            <w:noWrap/>
            <w:vAlign w:val="bottom"/>
            <w:hideMark/>
          </w:tcPr>
          <w:p w14:paraId="23A8A682"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1FC786E6"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C64EBD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70</w:t>
            </w:r>
          </w:p>
        </w:tc>
        <w:tc>
          <w:tcPr>
            <w:tcW w:w="1937" w:type="dxa"/>
            <w:tcBorders>
              <w:top w:val="nil"/>
              <w:left w:val="nil"/>
              <w:bottom w:val="nil"/>
              <w:right w:val="nil"/>
            </w:tcBorders>
            <w:shd w:val="clear" w:color="auto" w:fill="E5E5E5" w:themeFill="background1" w:themeFillTint="33"/>
            <w:noWrap/>
            <w:vAlign w:val="bottom"/>
            <w:hideMark/>
          </w:tcPr>
          <w:p w14:paraId="66B981AE"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auto" w:fill="E5E5E5" w:themeFill="background1" w:themeFillTint="33"/>
            <w:noWrap/>
            <w:vAlign w:val="bottom"/>
            <w:hideMark/>
          </w:tcPr>
          <w:p w14:paraId="75B0EED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27AD324F" w14:textId="77777777" w:rsidTr="0020771F">
        <w:trPr>
          <w:trHeight w:val="288"/>
        </w:trPr>
        <w:tc>
          <w:tcPr>
            <w:tcW w:w="1480" w:type="dxa"/>
            <w:tcBorders>
              <w:top w:val="nil"/>
              <w:left w:val="nil"/>
              <w:bottom w:val="nil"/>
              <w:right w:val="nil"/>
            </w:tcBorders>
            <w:shd w:val="clear" w:color="auto" w:fill="auto"/>
            <w:noWrap/>
            <w:vAlign w:val="bottom"/>
            <w:hideMark/>
          </w:tcPr>
          <w:p w14:paraId="448EE279"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71</w:t>
            </w:r>
          </w:p>
        </w:tc>
        <w:tc>
          <w:tcPr>
            <w:tcW w:w="1937" w:type="dxa"/>
            <w:tcBorders>
              <w:top w:val="nil"/>
              <w:left w:val="nil"/>
              <w:bottom w:val="nil"/>
              <w:right w:val="nil"/>
            </w:tcBorders>
            <w:shd w:val="clear" w:color="auto" w:fill="auto"/>
            <w:noWrap/>
            <w:vAlign w:val="bottom"/>
            <w:hideMark/>
          </w:tcPr>
          <w:p w14:paraId="38930949"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000000" w:fill="FFFFFF"/>
            <w:noWrap/>
            <w:vAlign w:val="bottom"/>
            <w:hideMark/>
          </w:tcPr>
          <w:p w14:paraId="7BD7FA60"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52F12FDA"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3A6FB6D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72</w:t>
            </w:r>
          </w:p>
        </w:tc>
        <w:tc>
          <w:tcPr>
            <w:tcW w:w="1937" w:type="dxa"/>
            <w:tcBorders>
              <w:top w:val="nil"/>
              <w:left w:val="nil"/>
              <w:bottom w:val="nil"/>
              <w:right w:val="nil"/>
            </w:tcBorders>
            <w:shd w:val="clear" w:color="auto" w:fill="E5E5E5" w:themeFill="background1" w:themeFillTint="33"/>
            <w:noWrap/>
            <w:vAlign w:val="bottom"/>
            <w:hideMark/>
          </w:tcPr>
          <w:p w14:paraId="6AC76F5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0008214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641848CC" w14:textId="77777777" w:rsidTr="0020771F">
        <w:trPr>
          <w:trHeight w:val="288"/>
        </w:trPr>
        <w:tc>
          <w:tcPr>
            <w:tcW w:w="1480" w:type="dxa"/>
            <w:tcBorders>
              <w:top w:val="nil"/>
              <w:left w:val="nil"/>
              <w:bottom w:val="nil"/>
              <w:right w:val="nil"/>
            </w:tcBorders>
            <w:shd w:val="clear" w:color="auto" w:fill="auto"/>
            <w:noWrap/>
            <w:vAlign w:val="bottom"/>
            <w:hideMark/>
          </w:tcPr>
          <w:p w14:paraId="09C5AB98"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73</w:t>
            </w:r>
          </w:p>
        </w:tc>
        <w:tc>
          <w:tcPr>
            <w:tcW w:w="1937" w:type="dxa"/>
            <w:tcBorders>
              <w:top w:val="nil"/>
              <w:left w:val="nil"/>
              <w:bottom w:val="nil"/>
              <w:right w:val="nil"/>
            </w:tcBorders>
            <w:shd w:val="clear" w:color="auto" w:fill="auto"/>
            <w:noWrap/>
            <w:vAlign w:val="bottom"/>
            <w:hideMark/>
          </w:tcPr>
          <w:p w14:paraId="7F54AED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c>
          <w:tcPr>
            <w:tcW w:w="2410" w:type="dxa"/>
            <w:tcBorders>
              <w:top w:val="nil"/>
              <w:left w:val="nil"/>
              <w:bottom w:val="nil"/>
              <w:right w:val="nil"/>
            </w:tcBorders>
            <w:shd w:val="clear" w:color="000000" w:fill="FFFFFF"/>
            <w:noWrap/>
            <w:vAlign w:val="bottom"/>
            <w:hideMark/>
          </w:tcPr>
          <w:p w14:paraId="6EC3AED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0.6</w:t>
            </w:r>
          </w:p>
        </w:tc>
      </w:tr>
      <w:tr w:rsidR="00961617" w:rsidRPr="0076418A" w14:paraId="2198A664"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12ADA556"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74</w:t>
            </w:r>
          </w:p>
        </w:tc>
        <w:tc>
          <w:tcPr>
            <w:tcW w:w="1937" w:type="dxa"/>
            <w:tcBorders>
              <w:top w:val="nil"/>
              <w:left w:val="nil"/>
              <w:bottom w:val="nil"/>
              <w:right w:val="nil"/>
            </w:tcBorders>
            <w:shd w:val="clear" w:color="auto" w:fill="E5E5E5" w:themeFill="background1" w:themeFillTint="33"/>
            <w:noWrap/>
            <w:vAlign w:val="bottom"/>
            <w:hideMark/>
          </w:tcPr>
          <w:p w14:paraId="2AAC84F2"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3775144D"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5D8FC350" w14:textId="77777777" w:rsidTr="0020771F">
        <w:trPr>
          <w:trHeight w:val="288"/>
        </w:trPr>
        <w:tc>
          <w:tcPr>
            <w:tcW w:w="1480" w:type="dxa"/>
            <w:tcBorders>
              <w:top w:val="nil"/>
              <w:left w:val="nil"/>
              <w:bottom w:val="nil"/>
              <w:right w:val="nil"/>
            </w:tcBorders>
            <w:shd w:val="clear" w:color="auto" w:fill="auto"/>
            <w:noWrap/>
            <w:vAlign w:val="bottom"/>
            <w:hideMark/>
          </w:tcPr>
          <w:p w14:paraId="78340AB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75</w:t>
            </w:r>
          </w:p>
        </w:tc>
        <w:tc>
          <w:tcPr>
            <w:tcW w:w="1937" w:type="dxa"/>
            <w:tcBorders>
              <w:top w:val="nil"/>
              <w:left w:val="nil"/>
              <w:bottom w:val="nil"/>
              <w:right w:val="nil"/>
            </w:tcBorders>
            <w:shd w:val="clear" w:color="auto" w:fill="auto"/>
            <w:noWrap/>
            <w:vAlign w:val="bottom"/>
            <w:hideMark/>
          </w:tcPr>
          <w:p w14:paraId="7F8B0343"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000000" w:fill="FFFFFF"/>
            <w:noWrap/>
            <w:vAlign w:val="bottom"/>
            <w:hideMark/>
          </w:tcPr>
          <w:p w14:paraId="13090EF7"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0.5</w:t>
            </w:r>
          </w:p>
        </w:tc>
      </w:tr>
      <w:tr w:rsidR="00961617" w:rsidRPr="0076418A" w14:paraId="2C7EFD22" w14:textId="77777777" w:rsidTr="0020771F">
        <w:trPr>
          <w:trHeight w:val="288"/>
        </w:trPr>
        <w:tc>
          <w:tcPr>
            <w:tcW w:w="1480" w:type="dxa"/>
            <w:tcBorders>
              <w:top w:val="nil"/>
              <w:left w:val="nil"/>
              <w:bottom w:val="nil"/>
              <w:right w:val="nil"/>
            </w:tcBorders>
            <w:shd w:val="clear" w:color="auto" w:fill="E5E5E5" w:themeFill="background1" w:themeFillTint="33"/>
            <w:noWrap/>
            <w:vAlign w:val="bottom"/>
            <w:hideMark/>
          </w:tcPr>
          <w:p w14:paraId="6F44CCFF"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76</w:t>
            </w:r>
          </w:p>
        </w:tc>
        <w:tc>
          <w:tcPr>
            <w:tcW w:w="1937" w:type="dxa"/>
            <w:tcBorders>
              <w:top w:val="nil"/>
              <w:left w:val="nil"/>
              <w:bottom w:val="nil"/>
              <w:right w:val="nil"/>
            </w:tcBorders>
            <w:shd w:val="clear" w:color="auto" w:fill="E5E5E5" w:themeFill="background1" w:themeFillTint="33"/>
            <w:noWrap/>
            <w:vAlign w:val="bottom"/>
            <w:hideMark/>
          </w:tcPr>
          <w:p w14:paraId="3D7932EC"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bottom w:val="nil"/>
              <w:right w:val="nil"/>
            </w:tcBorders>
            <w:shd w:val="clear" w:color="auto" w:fill="E5E5E5" w:themeFill="background1" w:themeFillTint="33"/>
            <w:noWrap/>
            <w:vAlign w:val="bottom"/>
            <w:hideMark/>
          </w:tcPr>
          <w:p w14:paraId="6DA34AF1"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0.4</w:t>
            </w:r>
          </w:p>
        </w:tc>
      </w:tr>
      <w:tr w:rsidR="00961617" w:rsidRPr="0076418A" w14:paraId="158C505A" w14:textId="77777777" w:rsidTr="0020771F">
        <w:trPr>
          <w:trHeight w:val="288"/>
        </w:trPr>
        <w:tc>
          <w:tcPr>
            <w:tcW w:w="1480" w:type="dxa"/>
            <w:tcBorders>
              <w:top w:val="nil"/>
              <w:left w:val="nil"/>
              <w:right w:val="nil"/>
            </w:tcBorders>
            <w:shd w:val="clear" w:color="auto" w:fill="auto"/>
            <w:noWrap/>
            <w:vAlign w:val="bottom"/>
            <w:hideMark/>
          </w:tcPr>
          <w:p w14:paraId="1EC1C550"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77</w:t>
            </w:r>
          </w:p>
        </w:tc>
        <w:tc>
          <w:tcPr>
            <w:tcW w:w="1937" w:type="dxa"/>
            <w:tcBorders>
              <w:top w:val="nil"/>
              <w:left w:val="nil"/>
              <w:right w:val="nil"/>
            </w:tcBorders>
            <w:shd w:val="clear" w:color="auto" w:fill="auto"/>
            <w:noWrap/>
            <w:vAlign w:val="bottom"/>
            <w:hideMark/>
          </w:tcPr>
          <w:p w14:paraId="0ABB5E3D"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0.1</w:t>
            </w:r>
          </w:p>
        </w:tc>
        <w:tc>
          <w:tcPr>
            <w:tcW w:w="2410" w:type="dxa"/>
            <w:tcBorders>
              <w:top w:val="nil"/>
              <w:left w:val="nil"/>
              <w:right w:val="nil"/>
            </w:tcBorders>
            <w:shd w:val="clear" w:color="000000" w:fill="FFFFFF"/>
            <w:noWrap/>
            <w:vAlign w:val="bottom"/>
            <w:hideMark/>
          </w:tcPr>
          <w:p w14:paraId="511B0B46"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0.3</w:t>
            </w:r>
          </w:p>
        </w:tc>
      </w:tr>
      <w:tr w:rsidR="00961617" w:rsidRPr="0076418A" w14:paraId="061A09E2" w14:textId="77777777" w:rsidTr="0020771F">
        <w:trPr>
          <w:trHeight w:val="288"/>
        </w:trPr>
        <w:tc>
          <w:tcPr>
            <w:tcW w:w="1480" w:type="dxa"/>
            <w:tcBorders>
              <w:top w:val="nil"/>
              <w:left w:val="nil"/>
              <w:bottom w:val="single" w:sz="4" w:space="0" w:color="auto"/>
              <w:right w:val="nil"/>
            </w:tcBorders>
            <w:shd w:val="clear" w:color="auto" w:fill="E5E5E5" w:themeFill="background1" w:themeFillTint="33"/>
            <w:noWrap/>
            <w:vAlign w:val="bottom"/>
            <w:hideMark/>
          </w:tcPr>
          <w:p w14:paraId="42F350F5" w14:textId="77777777" w:rsidR="00961617" w:rsidRPr="0076418A" w:rsidRDefault="00961617" w:rsidP="0020771F">
            <w:pPr>
              <w:spacing w:after="0" w:line="240" w:lineRule="auto"/>
              <w:ind w:right="302"/>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78</w:t>
            </w:r>
          </w:p>
        </w:tc>
        <w:tc>
          <w:tcPr>
            <w:tcW w:w="1937" w:type="dxa"/>
            <w:tcBorders>
              <w:top w:val="nil"/>
              <w:left w:val="nil"/>
              <w:bottom w:val="single" w:sz="4" w:space="0" w:color="auto"/>
              <w:right w:val="nil"/>
            </w:tcBorders>
            <w:shd w:val="clear" w:color="auto" w:fill="E5E5E5" w:themeFill="background1" w:themeFillTint="33"/>
            <w:noWrap/>
            <w:vAlign w:val="bottom"/>
            <w:hideMark/>
          </w:tcPr>
          <w:p w14:paraId="0B758CB1" w14:textId="77777777" w:rsidR="00961617" w:rsidRPr="0076418A" w:rsidRDefault="00961617" w:rsidP="0020771F">
            <w:pPr>
              <w:spacing w:after="0" w:line="240" w:lineRule="auto"/>
              <w:ind w:right="380"/>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0.0</w:t>
            </w:r>
          </w:p>
        </w:tc>
        <w:tc>
          <w:tcPr>
            <w:tcW w:w="2410" w:type="dxa"/>
            <w:tcBorders>
              <w:top w:val="nil"/>
              <w:left w:val="nil"/>
              <w:bottom w:val="single" w:sz="4" w:space="0" w:color="auto"/>
              <w:right w:val="nil"/>
            </w:tcBorders>
            <w:shd w:val="clear" w:color="auto" w:fill="E5E5E5" w:themeFill="background1" w:themeFillTint="33"/>
            <w:noWrap/>
            <w:vAlign w:val="bottom"/>
            <w:hideMark/>
          </w:tcPr>
          <w:p w14:paraId="37A312EE" w14:textId="77777777" w:rsidR="00961617" w:rsidRPr="0076418A" w:rsidRDefault="00961617" w:rsidP="0020771F">
            <w:pPr>
              <w:spacing w:after="0" w:line="240" w:lineRule="auto"/>
              <w:ind w:right="615"/>
              <w:jc w:val="right"/>
              <w:rPr>
                <w:rFonts w:eastAsia="Times New Roman" w:cstheme="minorHAnsi"/>
                <w:color w:val="000000"/>
                <w:sz w:val="20"/>
                <w:szCs w:val="20"/>
                <w:lang w:eastAsia="en-AU"/>
              </w:rPr>
            </w:pPr>
            <w:r w:rsidRPr="0076418A">
              <w:rPr>
                <w:rFonts w:eastAsia="Times New Roman" w:cstheme="minorHAnsi"/>
                <w:color w:val="000000"/>
                <w:sz w:val="20"/>
                <w:szCs w:val="20"/>
                <w:lang w:eastAsia="en-AU"/>
              </w:rPr>
              <w:t>0.2</w:t>
            </w:r>
          </w:p>
        </w:tc>
      </w:tr>
    </w:tbl>
    <w:p w14:paraId="2FF9D947" w14:textId="77777777" w:rsidR="00961617" w:rsidRPr="002F5864" w:rsidRDefault="00961617" w:rsidP="00961617">
      <w:pPr>
        <w:pStyle w:val="FootnoteText"/>
        <w:ind w:left="0" w:firstLine="0"/>
        <w:rPr>
          <w:rFonts w:eastAsia="Times New Roman" w:cstheme="minorHAnsi"/>
          <w:lang w:eastAsia="en-AU"/>
        </w:rPr>
      </w:pPr>
      <w:r w:rsidRPr="002F5864">
        <w:rPr>
          <w:rFonts w:cstheme="minorHAnsi"/>
          <w:b/>
        </w:rPr>
        <w:t>Source:</w:t>
      </w:r>
      <w:r w:rsidRPr="002F5864">
        <w:rPr>
          <w:rFonts w:cstheme="minorHAnsi"/>
          <w:b/>
        </w:rPr>
        <w:tab/>
      </w:r>
      <w:r w:rsidRPr="002F5864">
        <w:rPr>
          <w:rFonts w:eastAsia="Times New Roman" w:cstheme="minorHAnsi"/>
          <w:lang w:eastAsia="en-AU"/>
        </w:rPr>
        <w:t>Department of Employment administrative data.</w:t>
      </w:r>
    </w:p>
    <w:p w14:paraId="1F1138C9" w14:textId="77777777" w:rsidR="00961617" w:rsidRPr="002F5864" w:rsidRDefault="00864C5E" w:rsidP="00961617">
      <w:pPr>
        <w:spacing w:before="120"/>
        <w:rPr>
          <w:rFonts w:eastAsia="Times New Roman" w:cstheme="minorHAnsi"/>
          <w:sz w:val="18"/>
          <w:szCs w:val="20"/>
          <w:lang w:eastAsia="en-AU"/>
        </w:rPr>
      </w:pPr>
      <w:hyperlink w:anchor="Place_A232" w:history="1">
        <w:r w:rsidR="00961617" w:rsidRPr="00886013">
          <w:rPr>
            <w:rStyle w:val="Hyperlink"/>
            <w:rFonts w:cstheme="minorHAnsi"/>
            <w:sz w:val="18"/>
            <w:szCs w:val="18"/>
          </w:rPr>
          <w:t>Return to Figure 6.3</w:t>
        </w:r>
      </w:hyperlink>
      <w:r w:rsidR="00961617" w:rsidRPr="002F5864">
        <w:rPr>
          <w:rFonts w:cstheme="minorHAnsi"/>
          <w:sz w:val="18"/>
          <w:szCs w:val="18"/>
        </w:rPr>
        <w:t xml:space="preserve"> where this data is referenced.</w:t>
      </w:r>
      <w:r w:rsidR="00961617" w:rsidRPr="002F5864">
        <w:rPr>
          <w:rFonts w:eastAsia="Times New Roman" w:cstheme="minorHAnsi"/>
          <w:lang w:eastAsia="en-AU"/>
        </w:rPr>
        <w:br w:type="page"/>
      </w:r>
    </w:p>
    <w:p w14:paraId="72BC2F23" w14:textId="77777777" w:rsidR="00961617" w:rsidRPr="002F5864" w:rsidRDefault="00961617" w:rsidP="00961617">
      <w:pPr>
        <w:pStyle w:val="TableheadingforappendixA1"/>
        <w:rPr>
          <w:rFonts w:cstheme="minorHAnsi"/>
        </w:rPr>
      </w:pPr>
      <w:bookmarkStart w:id="702" w:name="_Toc513129926"/>
      <w:r w:rsidRPr="002F5864">
        <w:rPr>
          <w:rFonts w:cstheme="minorHAnsi"/>
        </w:rPr>
        <w:t>Table A2.</w:t>
      </w:r>
      <w:r>
        <w:rPr>
          <w:rFonts w:cstheme="minorHAnsi"/>
        </w:rPr>
        <w:t>33</w:t>
      </w:r>
      <w:r w:rsidRPr="002F5864">
        <w:rPr>
          <w:rFonts w:cstheme="minorHAnsi"/>
          <w:noProof/>
        </w:rPr>
        <w:t>: Estimated odds ratio</w:t>
      </w:r>
      <w:r>
        <w:rPr>
          <w:rFonts w:cstheme="minorHAnsi"/>
          <w:noProof/>
        </w:rPr>
        <w:t>s</w:t>
      </w:r>
      <w:r w:rsidRPr="002F5864">
        <w:rPr>
          <w:rFonts w:cstheme="minorHAnsi"/>
          <w:noProof/>
        </w:rPr>
        <w:t xml:space="preserve"> for statistically significant independent variables in the final logistic regression model for the Compulsory Activity Phase (CAP) treatment group</w:t>
      </w:r>
      <w:r>
        <w:rPr>
          <w:rFonts w:cstheme="minorHAnsi"/>
          <w:noProof/>
        </w:rPr>
        <w:t xml:space="preserve"> by number of months since July 2013 (odds ratios)</w:t>
      </w:r>
      <w:r w:rsidRPr="002F5864">
        <w:rPr>
          <w:rFonts w:cstheme="minorHAnsi"/>
          <w:noProof/>
          <w:vertAlign w:val="superscript"/>
        </w:rPr>
        <w:t>(1)</w:t>
      </w:r>
      <w:bookmarkEnd w:id="702"/>
    </w:p>
    <w:tbl>
      <w:tblPr>
        <w:tblStyle w:val="EducationTable"/>
        <w:tblW w:w="0" w:type="auto"/>
        <w:tblLayout w:type="fixed"/>
        <w:tblLook w:val="0660" w:firstRow="1" w:lastRow="1" w:firstColumn="0" w:lastColumn="0" w:noHBand="1" w:noVBand="1"/>
      </w:tblPr>
      <w:tblGrid>
        <w:gridCol w:w="4077"/>
        <w:gridCol w:w="860"/>
        <w:gridCol w:w="861"/>
        <w:gridCol w:w="861"/>
        <w:gridCol w:w="861"/>
        <w:gridCol w:w="861"/>
        <w:gridCol w:w="861"/>
      </w:tblGrid>
      <w:tr w:rsidR="00961617" w:rsidRPr="0076418A" w14:paraId="67E62DA1" w14:textId="77777777" w:rsidTr="0020771F">
        <w:trPr>
          <w:cnfStyle w:val="100000000000" w:firstRow="1" w:lastRow="0" w:firstColumn="0" w:lastColumn="0" w:oddVBand="0" w:evenVBand="0" w:oddHBand="0" w:evenHBand="0" w:firstRowFirstColumn="0" w:firstRowLastColumn="0" w:lastRowFirstColumn="0" w:lastRowLastColumn="0"/>
          <w:tblHeader/>
        </w:trPr>
        <w:tc>
          <w:tcPr>
            <w:tcW w:w="4077" w:type="dxa"/>
            <w:tcBorders>
              <w:top w:val="nil"/>
              <w:bottom w:val="nil"/>
              <w:right w:val="nil"/>
            </w:tcBorders>
            <w:shd w:val="clear" w:color="auto" w:fill="1E3D6B"/>
          </w:tcPr>
          <w:p w14:paraId="386953CB" w14:textId="77777777" w:rsidR="00961617" w:rsidRPr="0076418A" w:rsidRDefault="00961617" w:rsidP="0020771F">
            <w:pPr>
              <w:keepNext/>
              <w:keepLines/>
              <w:rPr>
                <w:rFonts w:cstheme="minorHAnsi"/>
                <w:szCs w:val="20"/>
              </w:rPr>
            </w:pPr>
            <w:bookmarkStart w:id="703" w:name="Title_A233"/>
            <w:bookmarkEnd w:id="703"/>
            <w:r w:rsidRPr="0076418A">
              <w:rPr>
                <w:rFonts w:cstheme="minorHAnsi"/>
                <w:szCs w:val="20"/>
              </w:rPr>
              <w:t>Independent variables</w:t>
            </w:r>
            <w:r w:rsidRPr="0099598E">
              <w:rPr>
                <w:rFonts w:cstheme="minorHAnsi"/>
                <w:noProof/>
                <w:color w:val="auto"/>
                <w:szCs w:val="20"/>
                <w:vertAlign w:val="superscript"/>
              </w:rPr>
              <w:t>(2)</w:t>
            </w:r>
          </w:p>
        </w:tc>
        <w:tc>
          <w:tcPr>
            <w:tcW w:w="860" w:type="dxa"/>
            <w:tcBorders>
              <w:top w:val="nil"/>
              <w:left w:val="nil"/>
              <w:bottom w:val="nil"/>
              <w:right w:val="nil"/>
            </w:tcBorders>
            <w:shd w:val="clear" w:color="auto" w:fill="1E3D6B"/>
            <w:vAlign w:val="bottom"/>
          </w:tcPr>
          <w:p w14:paraId="3BC052CF" w14:textId="77777777" w:rsidR="00961617" w:rsidRPr="0076418A" w:rsidRDefault="00961617" w:rsidP="0020771F">
            <w:pPr>
              <w:keepNext/>
              <w:keepLines/>
              <w:jc w:val="center"/>
              <w:rPr>
                <w:rFonts w:cstheme="minorHAnsi"/>
                <w:szCs w:val="20"/>
              </w:rPr>
            </w:pPr>
            <w:r w:rsidRPr="0076418A">
              <w:rPr>
                <w:rFonts w:cstheme="minorHAnsi"/>
                <w:szCs w:val="20"/>
              </w:rPr>
              <w:t>3 months</w:t>
            </w:r>
          </w:p>
        </w:tc>
        <w:tc>
          <w:tcPr>
            <w:tcW w:w="861" w:type="dxa"/>
            <w:tcBorders>
              <w:top w:val="nil"/>
              <w:left w:val="nil"/>
              <w:bottom w:val="nil"/>
              <w:right w:val="nil"/>
            </w:tcBorders>
            <w:shd w:val="clear" w:color="auto" w:fill="1E3D6B"/>
            <w:vAlign w:val="bottom"/>
          </w:tcPr>
          <w:p w14:paraId="5C35B4A7" w14:textId="77777777" w:rsidR="00961617" w:rsidRPr="0076418A" w:rsidRDefault="00961617" w:rsidP="0020771F">
            <w:pPr>
              <w:keepNext/>
              <w:keepLines/>
              <w:jc w:val="center"/>
              <w:rPr>
                <w:rFonts w:cstheme="minorHAnsi"/>
                <w:szCs w:val="20"/>
              </w:rPr>
            </w:pPr>
            <w:r w:rsidRPr="0076418A">
              <w:rPr>
                <w:rFonts w:cstheme="minorHAnsi"/>
                <w:szCs w:val="20"/>
              </w:rPr>
              <w:t>6 months</w:t>
            </w:r>
          </w:p>
        </w:tc>
        <w:tc>
          <w:tcPr>
            <w:tcW w:w="861" w:type="dxa"/>
            <w:tcBorders>
              <w:top w:val="nil"/>
              <w:left w:val="nil"/>
              <w:bottom w:val="nil"/>
              <w:right w:val="nil"/>
            </w:tcBorders>
            <w:shd w:val="clear" w:color="auto" w:fill="1E3D6B"/>
            <w:vAlign w:val="bottom"/>
          </w:tcPr>
          <w:p w14:paraId="13604243" w14:textId="77777777" w:rsidR="00961617" w:rsidRPr="0076418A" w:rsidRDefault="00961617" w:rsidP="0020771F">
            <w:pPr>
              <w:keepNext/>
              <w:keepLines/>
              <w:jc w:val="center"/>
              <w:rPr>
                <w:rFonts w:cstheme="minorHAnsi"/>
                <w:szCs w:val="20"/>
              </w:rPr>
            </w:pPr>
            <w:r w:rsidRPr="0076418A">
              <w:rPr>
                <w:rFonts w:cstheme="minorHAnsi"/>
                <w:szCs w:val="20"/>
              </w:rPr>
              <w:t>9 months</w:t>
            </w:r>
          </w:p>
        </w:tc>
        <w:tc>
          <w:tcPr>
            <w:tcW w:w="861" w:type="dxa"/>
            <w:tcBorders>
              <w:top w:val="nil"/>
              <w:left w:val="nil"/>
              <w:bottom w:val="nil"/>
              <w:right w:val="nil"/>
            </w:tcBorders>
            <w:shd w:val="clear" w:color="auto" w:fill="1E3D6B"/>
            <w:vAlign w:val="bottom"/>
          </w:tcPr>
          <w:p w14:paraId="6EDAC4C7" w14:textId="77777777" w:rsidR="00961617" w:rsidRPr="0076418A" w:rsidRDefault="00961617" w:rsidP="0020771F">
            <w:pPr>
              <w:keepNext/>
              <w:keepLines/>
              <w:jc w:val="center"/>
              <w:rPr>
                <w:rFonts w:cstheme="minorHAnsi"/>
                <w:szCs w:val="20"/>
              </w:rPr>
            </w:pPr>
            <w:r w:rsidRPr="0076418A">
              <w:rPr>
                <w:rFonts w:cstheme="minorHAnsi"/>
                <w:szCs w:val="20"/>
              </w:rPr>
              <w:t>12 months</w:t>
            </w:r>
          </w:p>
        </w:tc>
        <w:tc>
          <w:tcPr>
            <w:tcW w:w="861" w:type="dxa"/>
            <w:tcBorders>
              <w:top w:val="nil"/>
              <w:left w:val="nil"/>
              <w:bottom w:val="nil"/>
              <w:right w:val="nil"/>
            </w:tcBorders>
            <w:shd w:val="clear" w:color="auto" w:fill="1E3D6B"/>
            <w:vAlign w:val="bottom"/>
          </w:tcPr>
          <w:p w14:paraId="59BBE839" w14:textId="77777777" w:rsidR="00961617" w:rsidRPr="0076418A" w:rsidRDefault="00961617" w:rsidP="0020771F">
            <w:pPr>
              <w:keepNext/>
              <w:keepLines/>
              <w:jc w:val="center"/>
              <w:rPr>
                <w:rFonts w:cstheme="minorHAnsi"/>
                <w:szCs w:val="20"/>
              </w:rPr>
            </w:pPr>
            <w:r w:rsidRPr="0076418A">
              <w:rPr>
                <w:rFonts w:cstheme="minorHAnsi"/>
                <w:szCs w:val="20"/>
              </w:rPr>
              <w:t>15 months</w:t>
            </w:r>
          </w:p>
        </w:tc>
        <w:tc>
          <w:tcPr>
            <w:tcW w:w="861" w:type="dxa"/>
            <w:tcBorders>
              <w:top w:val="nil"/>
              <w:left w:val="nil"/>
              <w:bottom w:val="nil"/>
            </w:tcBorders>
            <w:shd w:val="clear" w:color="auto" w:fill="1E3D6B"/>
            <w:vAlign w:val="bottom"/>
          </w:tcPr>
          <w:p w14:paraId="18C8BC22" w14:textId="77777777" w:rsidR="00961617" w:rsidRPr="0076418A" w:rsidRDefault="00961617" w:rsidP="0020771F">
            <w:pPr>
              <w:keepNext/>
              <w:keepLines/>
              <w:jc w:val="center"/>
              <w:rPr>
                <w:rFonts w:cstheme="minorHAnsi"/>
                <w:szCs w:val="20"/>
              </w:rPr>
            </w:pPr>
            <w:r w:rsidRPr="0076418A">
              <w:rPr>
                <w:rFonts w:cstheme="minorHAnsi"/>
                <w:szCs w:val="20"/>
              </w:rPr>
              <w:t>18 months</w:t>
            </w:r>
          </w:p>
        </w:tc>
      </w:tr>
      <w:tr w:rsidR="00961617" w:rsidRPr="0076418A" w14:paraId="16C07867" w14:textId="77777777" w:rsidTr="0020771F">
        <w:tc>
          <w:tcPr>
            <w:tcW w:w="4077" w:type="dxa"/>
            <w:tcBorders>
              <w:top w:val="nil"/>
              <w:bottom w:val="nil"/>
              <w:right w:val="nil"/>
            </w:tcBorders>
          </w:tcPr>
          <w:p w14:paraId="04716C0F" w14:textId="77777777" w:rsidR="00961617" w:rsidRPr="0099598E" w:rsidRDefault="00961617" w:rsidP="0020771F">
            <w:pPr>
              <w:keepNext/>
              <w:keepLines/>
              <w:rPr>
                <w:rFonts w:cstheme="minorHAnsi"/>
                <w:szCs w:val="20"/>
              </w:rPr>
            </w:pPr>
            <w:r w:rsidRPr="0099598E">
              <w:rPr>
                <w:rFonts w:cstheme="minorHAnsi"/>
                <w:szCs w:val="20"/>
              </w:rPr>
              <w:t xml:space="preserve">Female  </w:t>
            </w:r>
          </w:p>
        </w:tc>
        <w:tc>
          <w:tcPr>
            <w:tcW w:w="860" w:type="dxa"/>
            <w:tcBorders>
              <w:top w:val="nil"/>
              <w:left w:val="nil"/>
              <w:bottom w:val="nil"/>
              <w:right w:val="nil"/>
            </w:tcBorders>
            <w:vAlign w:val="bottom"/>
          </w:tcPr>
          <w:p w14:paraId="0E4B2483" w14:textId="77777777" w:rsidR="00961617" w:rsidRPr="0099598E" w:rsidRDefault="00961617" w:rsidP="0020771F">
            <w:pPr>
              <w:keepNext/>
              <w:keepLines/>
              <w:jc w:val="right"/>
              <w:rPr>
                <w:rFonts w:cstheme="minorHAnsi"/>
                <w:szCs w:val="20"/>
              </w:rPr>
            </w:pPr>
            <w:r w:rsidRPr="0099598E">
              <w:rPr>
                <w:rFonts w:cstheme="minorHAnsi"/>
                <w:szCs w:val="20"/>
              </w:rPr>
              <w:t>0.71</w:t>
            </w:r>
          </w:p>
        </w:tc>
        <w:tc>
          <w:tcPr>
            <w:tcW w:w="861" w:type="dxa"/>
            <w:tcBorders>
              <w:top w:val="nil"/>
              <w:left w:val="nil"/>
              <w:bottom w:val="nil"/>
              <w:right w:val="nil"/>
            </w:tcBorders>
            <w:vAlign w:val="bottom"/>
          </w:tcPr>
          <w:p w14:paraId="73C47DBE" w14:textId="77777777" w:rsidR="00961617" w:rsidRPr="0099598E" w:rsidRDefault="00961617" w:rsidP="0020771F">
            <w:pPr>
              <w:keepNext/>
              <w:keepLines/>
              <w:jc w:val="right"/>
              <w:rPr>
                <w:rFonts w:cstheme="minorHAnsi"/>
                <w:szCs w:val="20"/>
              </w:rPr>
            </w:pPr>
            <w:r w:rsidRPr="0099598E">
              <w:rPr>
                <w:rFonts w:cstheme="minorHAnsi"/>
                <w:szCs w:val="20"/>
              </w:rPr>
              <w:t>0.65</w:t>
            </w:r>
          </w:p>
        </w:tc>
        <w:tc>
          <w:tcPr>
            <w:tcW w:w="861" w:type="dxa"/>
            <w:tcBorders>
              <w:top w:val="nil"/>
              <w:left w:val="nil"/>
              <w:bottom w:val="nil"/>
              <w:right w:val="nil"/>
            </w:tcBorders>
            <w:vAlign w:val="bottom"/>
          </w:tcPr>
          <w:p w14:paraId="5418DF27" w14:textId="77777777" w:rsidR="00961617" w:rsidRPr="0099598E" w:rsidRDefault="00961617" w:rsidP="0020771F">
            <w:pPr>
              <w:keepNext/>
              <w:keepLines/>
              <w:jc w:val="right"/>
              <w:rPr>
                <w:rFonts w:cstheme="minorHAnsi"/>
                <w:szCs w:val="20"/>
              </w:rPr>
            </w:pPr>
            <w:r w:rsidRPr="0099598E">
              <w:rPr>
                <w:rFonts w:cstheme="minorHAnsi"/>
                <w:szCs w:val="20"/>
              </w:rPr>
              <w:t>0.62</w:t>
            </w:r>
          </w:p>
        </w:tc>
        <w:tc>
          <w:tcPr>
            <w:tcW w:w="861" w:type="dxa"/>
            <w:tcBorders>
              <w:top w:val="nil"/>
              <w:left w:val="nil"/>
              <w:bottom w:val="nil"/>
              <w:right w:val="nil"/>
            </w:tcBorders>
            <w:vAlign w:val="bottom"/>
          </w:tcPr>
          <w:p w14:paraId="5935C231" w14:textId="77777777" w:rsidR="00961617" w:rsidRPr="0099598E" w:rsidRDefault="00961617" w:rsidP="0020771F">
            <w:pPr>
              <w:keepNext/>
              <w:keepLines/>
              <w:jc w:val="right"/>
              <w:rPr>
                <w:rFonts w:cstheme="minorHAnsi"/>
                <w:szCs w:val="20"/>
              </w:rPr>
            </w:pPr>
            <w:r w:rsidRPr="0099598E">
              <w:rPr>
                <w:rFonts w:cstheme="minorHAnsi"/>
                <w:szCs w:val="20"/>
              </w:rPr>
              <w:t>0.60</w:t>
            </w:r>
          </w:p>
        </w:tc>
        <w:tc>
          <w:tcPr>
            <w:tcW w:w="861" w:type="dxa"/>
            <w:tcBorders>
              <w:top w:val="nil"/>
              <w:left w:val="nil"/>
              <w:bottom w:val="nil"/>
              <w:right w:val="nil"/>
            </w:tcBorders>
            <w:vAlign w:val="bottom"/>
          </w:tcPr>
          <w:p w14:paraId="7E67C8A2" w14:textId="77777777" w:rsidR="00961617" w:rsidRPr="0099598E" w:rsidRDefault="00961617" w:rsidP="0020771F">
            <w:pPr>
              <w:keepNext/>
              <w:keepLines/>
              <w:jc w:val="right"/>
              <w:rPr>
                <w:rFonts w:cstheme="minorHAnsi"/>
                <w:szCs w:val="20"/>
              </w:rPr>
            </w:pPr>
            <w:r w:rsidRPr="0099598E">
              <w:rPr>
                <w:rFonts w:cstheme="minorHAnsi"/>
                <w:szCs w:val="20"/>
              </w:rPr>
              <w:t>0.64</w:t>
            </w:r>
          </w:p>
        </w:tc>
        <w:tc>
          <w:tcPr>
            <w:tcW w:w="861" w:type="dxa"/>
            <w:tcBorders>
              <w:top w:val="nil"/>
              <w:left w:val="nil"/>
              <w:bottom w:val="nil"/>
            </w:tcBorders>
            <w:vAlign w:val="bottom"/>
          </w:tcPr>
          <w:p w14:paraId="6E88F233" w14:textId="77777777" w:rsidR="00961617" w:rsidRPr="0099598E" w:rsidRDefault="00961617" w:rsidP="0020771F">
            <w:pPr>
              <w:keepNext/>
              <w:keepLines/>
              <w:jc w:val="right"/>
              <w:rPr>
                <w:rFonts w:cstheme="minorHAnsi"/>
                <w:szCs w:val="20"/>
              </w:rPr>
            </w:pPr>
            <w:r w:rsidRPr="0099598E">
              <w:rPr>
                <w:rFonts w:cstheme="minorHAnsi"/>
                <w:szCs w:val="20"/>
              </w:rPr>
              <w:t>0.67</w:t>
            </w:r>
          </w:p>
        </w:tc>
      </w:tr>
      <w:tr w:rsidR="00961617" w:rsidRPr="0076418A" w14:paraId="68817D33" w14:textId="77777777" w:rsidTr="0020771F">
        <w:tc>
          <w:tcPr>
            <w:tcW w:w="4077" w:type="dxa"/>
            <w:tcBorders>
              <w:top w:val="nil"/>
              <w:bottom w:val="nil"/>
              <w:right w:val="nil"/>
            </w:tcBorders>
            <w:shd w:val="clear" w:color="auto" w:fill="E5E5E5" w:themeFill="background1" w:themeFillTint="33"/>
          </w:tcPr>
          <w:p w14:paraId="70D7D438" w14:textId="77777777" w:rsidR="00961617" w:rsidRPr="0099598E" w:rsidRDefault="00961617" w:rsidP="0020771F">
            <w:pPr>
              <w:keepNext/>
              <w:keepLines/>
              <w:rPr>
                <w:rFonts w:cstheme="minorHAnsi"/>
                <w:szCs w:val="20"/>
              </w:rPr>
            </w:pPr>
            <w:r w:rsidRPr="0099598E">
              <w:rPr>
                <w:rFonts w:cstheme="minorHAnsi"/>
                <w:szCs w:val="20"/>
              </w:rPr>
              <w:t>Age group: 18-29  years</w:t>
            </w:r>
          </w:p>
        </w:tc>
        <w:tc>
          <w:tcPr>
            <w:tcW w:w="860" w:type="dxa"/>
            <w:tcBorders>
              <w:top w:val="nil"/>
              <w:left w:val="nil"/>
              <w:bottom w:val="nil"/>
              <w:right w:val="nil"/>
            </w:tcBorders>
            <w:shd w:val="clear" w:color="auto" w:fill="E5E5E5" w:themeFill="background1" w:themeFillTint="33"/>
            <w:vAlign w:val="bottom"/>
          </w:tcPr>
          <w:p w14:paraId="22F54927"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37042AB8" w14:textId="77777777" w:rsidR="00961617" w:rsidRPr="0099598E" w:rsidRDefault="00961617" w:rsidP="0020771F">
            <w:pPr>
              <w:keepNext/>
              <w:keepLines/>
              <w:jc w:val="right"/>
              <w:rPr>
                <w:rFonts w:cstheme="minorHAnsi"/>
                <w:szCs w:val="20"/>
              </w:rPr>
            </w:pPr>
            <w:r w:rsidRPr="0099598E">
              <w:rPr>
                <w:rFonts w:cstheme="minorHAnsi"/>
                <w:szCs w:val="20"/>
              </w:rPr>
              <w:t>1.30</w:t>
            </w:r>
          </w:p>
        </w:tc>
        <w:tc>
          <w:tcPr>
            <w:tcW w:w="861" w:type="dxa"/>
            <w:tcBorders>
              <w:top w:val="nil"/>
              <w:left w:val="nil"/>
              <w:bottom w:val="nil"/>
              <w:right w:val="nil"/>
            </w:tcBorders>
            <w:shd w:val="clear" w:color="auto" w:fill="E5E5E5" w:themeFill="background1" w:themeFillTint="33"/>
            <w:vAlign w:val="bottom"/>
          </w:tcPr>
          <w:p w14:paraId="35E7AE9C" w14:textId="77777777" w:rsidR="00961617" w:rsidRPr="0099598E" w:rsidRDefault="00961617" w:rsidP="0020771F">
            <w:pPr>
              <w:keepNext/>
              <w:keepLines/>
              <w:jc w:val="right"/>
              <w:rPr>
                <w:rFonts w:cstheme="minorHAnsi"/>
                <w:szCs w:val="20"/>
              </w:rPr>
            </w:pPr>
            <w:r w:rsidRPr="0099598E">
              <w:rPr>
                <w:rFonts w:cstheme="minorHAnsi"/>
                <w:szCs w:val="20"/>
              </w:rPr>
              <w:t>1.29</w:t>
            </w:r>
          </w:p>
        </w:tc>
        <w:tc>
          <w:tcPr>
            <w:tcW w:w="861" w:type="dxa"/>
            <w:tcBorders>
              <w:top w:val="nil"/>
              <w:left w:val="nil"/>
              <w:bottom w:val="nil"/>
              <w:right w:val="nil"/>
            </w:tcBorders>
            <w:shd w:val="clear" w:color="auto" w:fill="E5E5E5" w:themeFill="background1" w:themeFillTint="33"/>
            <w:vAlign w:val="bottom"/>
          </w:tcPr>
          <w:p w14:paraId="14226161" w14:textId="77777777" w:rsidR="00961617" w:rsidRPr="0099598E" w:rsidRDefault="00961617" w:rsidP="0020771F">
            <w:pPr>
              <w:keepNext/>
              <w:keepLines/>
              <w:jc w:val="right"/>
              <w:rPr>
                <w:rFonts w:cstheme="minorHAnsi"/>
                <w:szCs w:val="20"/>
              </w:rPr>
            </w:pPr>
            <w:r w:rsidRPr="0099598E">
              <w:rPr>
                <w:rFonts w:cstheme="minorHAnsi"/>
                <w:szCs w:val="20"/>
              </w:rPr>
              <w:t>1.31</w:t>
            </w:r>
          </w:p>
        </w:tc>
        <w:tc>
          <w:tcPr>
            <w:tcW w:w="861" w:type="dxa"/>
            <w:tcBorders>
              <w:top w:val="nil"/>
              <w:left w:val="nil"/>
              <w:bottom w:val="nil"/>
              <w:right w:val="nil"/>
            </w:tcBorders>
            <w:shd w:val="clear" w:color="auto" w:fill="E5E5E5" w:themeFill="background1" w:themeFillTint="33"/>
            <w:vAlign w:val="bottom"/>
          </w:tcPr>
          <w:p w14:paraId="05FE7D64" w14:textId="77777777" w:rsidR="00961617" w:rsidRPr="0099598E" w:rsidRDefault="00961617" w:rsidP="0020771F">
            <w:pPr>
              <w:keepNext/>
              <w:keepLines/>
              <w:jc w:val="right"/>
              <w:rPr>
                <w:rFonts w:cstheme="minorHAnsi"/>
                <w:szCs w:val="20"/>
              </w:rPr>
            </w:pPr>
            <w:r w:rsidRPr="0099598E">
              <w:rPr>
                <w:rFonts w:cstheme="minorHAnsi"/>
                <w:szCs w:val="20"/>
              </w:rPr>
              <w:t>1.33</w:t>
            </w:r>
          </w:p>
        </w:tc>
        <w:tc>
          <w:tcPr>
            <w:tcW w:w="861" w:type="dxa"/>
            <w:tcBorders>
              <w:top w:val="nil"/>
              <w:left w:val="nil"/>
              <w:bottom w:val="nil"/>
            </w:tcBorders>
            <w:shd w:val="clear" w:color="auto" w:fill="E5E5E5" w:themeFill="background1" w:themeFillTint="33"/>
            <w:vAlign w:val="bottom"/>
          </w:tcPr>
          <w:p w14:paraId="0F1D0CD2" w14:textId="77777777" w:rsidR="00961617" w:rsidRPr="0099598E" w:rsidRDefault="00961617" w:rsidP="0020771F">
            <w:pPr>
              <w:keepNext/>
              <w:keepLines/>
              <w:jc w:val="right"/>
              <w:rPr>
                <w:rFonts w:cstheme="minorHAnsi"/>
                <w:szCs w:val="20"/>
              </w:rPr>
            </w:pPr>
            <w:r w:rsidRPr="0099598E">
              <w:rPr>
                <w:rFonts w:cstheme="minorHAnsi"/>
                <w:szCs w:val="20"/>
              </w:rPr>
              <w:t>1.48</w:t>
            </w:r>
          </w:p>
        </w:tc>
      </w:tr>
      <w:tr w:rsidR="00961617" w:rsidRPr="0076418A" w14:paraId="7607F531" w14:textId="77777777" w:rsidTr="0020771F">
        <w:tc>
          <w:tcPr>
            <w:tcW w:w="4077" w:type="dxa"/>
            <w:tcBorders>
              <w:top w:val="nil"/>
              <w:bottom w:val="nil"/>
              <w:right w:val="nil"/>
            </w:tcBorders>
          </w:tcPr>
          <w:p w14:paraId="4AACEE1C" w14:textId="77777777" w:rsidR="00961617" w:rsidRPr="0099598E" w:rsidRDefault="00961617" w:rsidP="0020771F">
            <w:pPr>
              <w:keepNext/>
              <w:keepLines/>
              <w:rPr>
                <w:rFonts w:cstheme="minorHAnsi"/>
                <w:szCs w:val="20"/>
              </w:rPr>
            </w:pPr>
            <w:r w:rsidRPr="0099598E">
              <w:rPr>
                <w:rFonts w:cstheme="minorHAnsi"/>
                <w:szCs w:val="20"/>
              </w:rPr>
              <w:t>Highest level of education: Less than Year 10</w:t>
            </w:r>
          </w:p>
        </w:tc>
        <w:tc>
          <w:tcPr>
            <w:tcW w:w="860" w:type="dxa"/>
            <w:tcBorders>
              <w:top w:val="nil"/>
              <w:left w:val="nil"/>
              <w:bottom w:val="nil"/>
              <w:right w:val="nil"/>
            </w:tcBorders>
            <w:vAlign w:val="bottom"/>
          </w:tcPr>
          <w:p w14:paraId="6737872E"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5849D5D6" w14:textId="77777777" w:rsidR="00961617" w:rsidRPr="0099598E" w:rsidRDefault="00961617" w:rsidP="0020771F">
            <w:pPr>
              <w:keepNext/>
              <w:keepLines/>
              <w:jc w:val="right"/>
              <w:rPr>
                <w:rFonts w:cstheme="minorHAnsi"/>
                <w:szCs w:val="20"/>
              </w:rPr>
            </w:pPr>
            <w:r w:rsidRPr="0099598E">
              <w:rPr>
                <w:rFonts w:cstheme="minorHAnsi"/>
                <w:szCs w:val="20"/>
              </w:rPr>
              <w:t>0.73</w:t>
            </w:r>
          </w:p>
        </w:tc>
        <w:tc>
          <w:tcPr>
            <w:tcW w:w="861" w:type="dxa"/>
            <w:tcBorders>
              <w:top w:val="nil"/>
              <w:left w:val="nil"/>
              <w:bottom w:val="nil"/>
              <w:right w:val="nil"/>
            </w:tcBorders>
            <w:vAlign w:val="bottom"/>
          </w:tcPr>
          <w:p w14:paraId="239D62B0" w14:textId="77777777" w:rsidR="00961617" w:rsidRPr="0099598E" w:rsidRDefault="00961617" w:rsidP="0020771F">
            <w:pPr>
              <w:keepNext/>
              <w:keepLines/>
              <w:jc w:val="right"/>
              <w:rPr>
                <w:rFonts w:cstheme="minorHAnsi"/>
                <w:szCs w:val="20"/>
              </w:rPr>
            </w:pPr>
            <w:r w:rsidRPr="0099598E">
              <w:rPr>
                <w:rFonts w:cstheme="minorHAnsi"/>
                <w:szCs w:val="20"/>
              </w:rPr>
              <w:t>0.76</w:t>
            </w:r>
          </w:p>
        </w:tc>
        <w:tc>
          <w:tcPr>
            <w:tcW w:w="861" w:type="dxa"/>
            <w:tcBorders>
              <w:top w:val="nil"/>
              <w:left w:val="nil"/>
              <w:bottom w:val="nil"/>
              <w:right w:val="nil"/>
            </w:tcBorders>
            <w:vAlign w:val="bottom"/>
          </w:tcPr>
          <w:p w14:paraId="67DFBBA6" w14:textId="77777777" w:rsidR="00961617" w:rsidRPr="0099598E" w:rsidRDefault="00961617" w:rsidP="0020771F">
            <w:pPr>
              <w:keepNext/>
              <w:keepLines/>
              <w:jc w:val="right"/>
              <w:rPr>
                <w:rFonts w:cstheme="minorHAnsi"/>
                <w:szCs w:val="20"/>
              </w:rPr>
            </w:pPr>
            <w:r w:rsidRPr="0099598E">
              <w:rPr>
                <w:rFonts w:cstheme="minorHAnsi"/>
                <w:szCs w:val="20"/>
              </w:rPr>
              <w:t>0.75</w:t>
            </w:r>
          </w:p>
        </w:tc>
        <w:tc>
          <w:tcPr>
            <w:tcW w:w="861" w:type="dxa"/>
            <w:tcBorders>
              <w:top w:val="nil"/>
              <w:left w:val="nil"/>
              <w:bottom w:val="nil"/>
              <w:right w:val="nil"/>
            </w:tcBorders>
            <w:vAlign w:val="bottom"/>
          </w:tcPr>
          <w:p w14:paraId="0D2EB49C" w14:textId="77777777" w:rsidR="00961617" w:rsidRPr="0099598E" w:rsidRDefault="00961617" w:rsidP="0020771F">
            <w:pPr>
              <w:keepNext/>
              <w:keepLines/>
              <w:jc w:val="right"/>
              <w:rPr>
                <w:rFonts w:cstheme="minorHAnsi"/>
                <w:szCs w:val="20"/>
              </w:rPr>
            </w:pPr>
            <w:r w:rsidRPr="0099598E">
              <w:rPr>
                <w:rFonts w:cstheme="minorHAnsi"/>
                <w:szCs w:val="20"/>
              </w:rPr>
              <w:t>0.82</w:t>
            </w:r>
          </w:p>
        </w:tc>
        <w:tc>
          <w:tcPr>
            <w:tcW w:w="861" w:type="dxa"/>
            <w:tcBorders>
              <w:top w:val="nil"/>
              <w:left w:val="nil"/>
              <w:bottom w:val="nil"/>
            </w:tcBorders>
            <w:vAlign w:val="bottom"/>
          </w:tcPr>
          <w:p w14:paraId="53D38E53" w14:textId="77777777" w:rsidR="00961617" w:rsidRPr="0099598E" w:rsidRDefault="00961617" w:rsidP="0020771F">
            <w:pPr>
              <w:keepNext/>
              <w:keepLines/>
              <w:jc w:val="right"/>
              <w:rPr>
                <w:rFonts w:cstheme="minorHAnsi"/>
                <w:szCs w:val="20"/>
              </w:rPr>
            </w:pPr>
            <w:r w:rsidRPr="0099598E">
              <w:rPr>
                <w:rFonts w:cstheme="minorHAnsi"/>
                <w:szCs w:val="20"/>
              </w:rPr>
              <w:t>n.s.</w:t>
            </w:r>
          </w:p>
        </w:tc>
      </w:tr>
      <w:tr w:rsidR="00961617" w:rsidRPr="0076418A" w14:paraId="5C5E0C62" w14:textId="77777777" w:rsidTr="0020771F">
        <w:tc>
          <w:tcPr>
            <w:tcW w:w="4077" w:type="dxa"/>
            <w:tcBorders>
              <w:top w:val="nil"/>
              <w:bottom w:val="nil"/>
              <w:right w:val="nil"/>
            </w:tcBorders>
            <w:shd w:val="clear" w:color="auto" w:fill="E5E5E5" w:themeFill="background1" w:themeFillTint="33"/>
          </w:tcPr>
          <w:p w14:paraId="2A566059" w14:textId="77777777" w:rsidR="00961617" w:rsidRPr="0099598E" w:rsidRDefault="00961617" w:rsidP="0020771F">
            <w:pPr>
              <w:keepNext/>
              <w:keepLines/>
              <w:rPr>
                <w:rFonts w:cstheme="minorHAnsi"/>
                <w:szCs w:val="20"/>
              </w:rPr>
            </w:pPr>
            <w:r w:rsidRPr="0099598E">
              <w:rPr>
                <w:rFonts w:cstheme="minorHAnsi"/>
                <w:szCs w:val="20"/>
              </w:rPr>
              <w:t>Highest level of education: Completed Year 12</w:t>
            </w:r>
          </w:p>
        </w:tc>
        <w:tc>
          <w:tcPr>
            <w:tcW w:w="860" w:type="dxa"/>
            <w:tcBorders>
              <w:top w:val="nil"/>
              <w:left w:val="nil"/>
              <w:bottom w:val="nil"/>
              <w:right w:val="nil"/>
            </w:tcBorders>
            <w:shd w:val="clear" w:color="auto" w:fill="E5E5E5" w:themeFill="background1" w:themeFillTint="33"/>
            <w:vAlign w:val="bottom"/>
          </w:tcPr>
          <w:p w14:paraId="4EBB006F" w14:textId="77777777" w:rsidR="00961617" w:rsidRPr="0099598E" w:rsidRDefault="00961617" w:rsidP="0020771F">
            <w:pPr>
              <w:keepNext/>
              <w:keepLines/>
              <w:jc w:val="right"/>
              <w:rPr>
                <w:rFonts w:cstheme="minorHAnsi"/>
                <w:szCs w:val="20"/>
              </w:rPr>
            </w:pPr>
            <w:r w:rsidRPr="0099598E">
              <w:rPr>
                <w:rFonts w:cstheme="minorHAnsi"/>
                <w:szCs w:val="20"/>
              </w:rPr>
              <w:t>1.51</w:t>
            </w:r>
          </w:p>
        </w:tc>
        <w:tc>
          <w:tcPr>
            <w:tcW w:w="861" w:type="dxa"/>
            <w:tcBorders>
              <w:top w:val="nil"/>
              <w:left w:val="nil"/>
              <w:bottom w:val="nil"/>
              <w:right w:val="nil"/>
            </w:tcBorders>
            <w:shd w:val="clear" w:color="auto" w:fill="E5E5E5" w:themeFill="background1" w:themeFillTint="33"/>
            <w:vAlign w:val="bottom"/>
          </w:tcPr>
          <w:p w14:paraId="770C94D0"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38B5DE62"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342121F4"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76206B00" w14:textId="77777777" w:rsidR="00961617" w:rsidRPr="0099598E" w:rsidRDefault="00961617" w:rsidP="0020771F">
            <w:pPr>
              <w:keepNext/>
              <w:keepLines/>
              <w:jc w:val="right"/>
              <w:rPr>
                <w:rFonts w:cstheme="minorHAnsi"/>
                <w:szCs w:val="20"/>
              </w:rPr>
            </w:pPr>
            <w:r w:rsidRPr="0099598E">
              <w:rPr>
                <w:rFonts w:cstheme="minorHAnsi"/>
                <w:szCs w:val="20"/>
              </w:rPr>
              <w:t>1.18</w:t>
            </w:r>
          </w:p>
        </w:tc>
        <w:tc>
          <w:tcPr>
            <w:tcW w:w="861" w:type="dxa"/>
            <w:tcBorders>
              <w:top w:val="nil"/>
              <w:left w:val="nil"/>
              <w:bottom w:val="nil"/>
            </w:tcBorders>
            <w:shd w:val="clear" w:color="auto" w:fill="E5E5E5" w:themeFill="background1" w:themeFillTint="33"/>
            <w:vAlign w:val="bottom"/>
          </w:tcPr>
          <w:p w14:paraId="54B5C547" w14:textId="77777777" w:rsidR="00961617" w:rsidRPr="0099598E" w:rsidRDefault="00961617" w:rsidP="0020771F">
            <w:pPr>
              <w:keepNext/>
              <w:keepLines/>
              <w:jc w:val="right"/>
              <w:rPr>
                <w:rFonts w:cstheme="minorHAnsi"/>
                <w:szCs w:val="20"/>
              </w:rPr>
            </w:pPr>
            <w:r w:rsidRPr="0099598E">
              <w:rPr>
                <w:rFonts w:cstheme="minorHAnsi"/>
                <w:szCs w:val="20"/>
              </w:rPr>
              <w:t>1.19</w:t>
            </w:r>
          </w:p>
        </w:tc>
      </w:tr>
      <w:tr w:rsidR="00961617" w:rsidRPr="0076418A" w14:paraId="24C83CE5" w14:textId="77777777" w:rsidTr="0020771F">
        <w:tc>
          <w:tcPr>
            <w:tcW w:w="4077" w:type="dxa"/>
            <w:tcBorders>
              <w:top w:val="nil"/>
              <w:bottom w:val="nil"/>
              <w:right w:val="nil"/>
            </w:tcBorders>
          </w:tcPr>
          <w:p w14:paraId="1F0DF268" w14:textId="77777777" w:rsidR="00961617" w:rsidRPr="0099598E" w:rsidRDefault="00961617" w:rsidP="0020771F">
            <w:pPr>
              <w:keepNext/>
              <w:keepLines/>
              <w:rPr>
                <w:rFonts w:cstheme="minorHAnsi"/>
                <w:szCs w:val="20"/>
              </w:rPr>
            </w:pPr>
            <w:r w:rsidRPr="0099598E">
              <w:rPr>
                <w:rFonts w:cstheme="minorHAnsi"/>
                <w:szCs w:val="20"/>
              </w:rPr>
              <w:t>Highest level of education: Non-trade vocational education/diploma equivalent</w:t>
            </w:r>
          </w:p>
        </w:tc>
        <w:tc>
          <w:tcPr>
            <w:tcW w:w="860" w:type="dxa"/>
            <w:tcBorders>
              <w:top w:val="nil"/>
              <w:left w:val="nil"/>
              <w:bottom w:val="nil"/>
              <w:right w:val="nil"/>
            </w:tcBorders>
            <w:vAlign w:val="bottom"/>
          </w:tcPr>
          <w:p w14:paraId="75193B59"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6406AEAE"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6F683208"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0B546188"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3F2E655D"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tcBorders>
            <w:vAlign w:val="bottom"/>
          </w:tcPr>
          <w:p w14:paraId="71F37B25" w14:textId="77777777" w:rsidR="00961617" w:rsidRPr="0099598E" w:rsidRDefault="00961617" w:rsidP="0020771F">
            <w:pPr>
              <w:keepNext/>
              <w:keepLines/>
              <w:jc w:val="right"/>
              <w:rPr>
                <w:rFonts w:cstheme="minorHAnsi"/>
                <w:szCs w:val="20"/>
              </w:rPr>
            </w:pPr>
            <w:r w:rsidRPr="0099598E">
              <w:rPr>
                <w:rFonts w:cstheme="minorHAnsi"/>
                <w:szCs w:val="20"/>
              </w:rPr>
              <w:t>1.17</w:t>
            </w:r>
          </w:p>
        </w:tc>
      </w:tr>
      <w:tr w:rsidR="00961617" w:rsidRPr="0076418A" w14:paraId="0C63506D" w14:textId="77777777" w:rsidTr="0020771F">
        <w:tc>
          <w:tcPr>
            <w:tcW w:w="4077" w:type="dxa"/>
            <w:tcBorders>
              <w:top w:val="nil"/>
              <w:bottom w:val="nil"/>
              <w:right w:val="nil"/>
            </w:tcBorders>
            <w:shd w:val="clear" w:color="auto" w:fill="E5E5E5" w:themeFill="background1" w:themeFillTint="33"/>
          </w:tcPr>
          <w:p w14:paraId="30D4D9CF" w14:textId="77777777" w:rsidR="00961617" w:rsidRPr="0099598E" w:rsidRDefault="00961617" w:rsidP="0020771F">
            <w:pPr>
              <w:keepNext/>
              <w:keepLines/>
              <w:rPr>
                <w:rFonts w:cstheme="minorHAnsi"/>
                <w:szCs w:val="20"/>
              </w:rPr>
            </w:pPr>
            <w:r w:rsidRPr="0099598E">
              <w:rPr>
                <w:rFonts w:cstheme="minorHAnsi"/>
                <w:szCs w:val="20"/>
              </w:rPr>
              <w:t>Highest level of education: Trades qualification</w:t>
            </w:r>
          </w:p>
        </w:tc>
        <w:tc>
          <w:tcPr>
            <w:tcW w:w="860" w:type="dxa"/>
            <w:tcBorders>
              <w:top w:val="nil"/>
              <w:left w:val="nil"/>
              <w:bottom w:val="nil"/>
              <w:right w:val="nil"/>
            </w:tcBorders>
            <w:shd w:val="clear" w:color="auto" w:fill="E5E5E5" w:themeFill="background1" w:themeFillTint="33"/>
            <w:vAlign w:val="bottom"/>
          </w:tcPr>
          <w:p w14:paraId="70B4B203"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5F1E18CB" w14:textId="77777777" w:rsidR="00961617" w:rsidRPr="0099598E" w:rsidRDefault="00961617" w:rsidP="0020771F">
            <w:pPr>
              <w:keepNext/>
              <w:keepLines/>
              <w:jc w:val="right"/>
              <w:rPr>
                <w:rFonts w:cstheme="minorHAnsi"/>
                <w:szCs w:val="20"/>
              </w:rPr>
            </w:pPr>
            <w:r w:rsidRPr="0099598E">
              <w:rPr>
                <w:rFonts w:cstheme="minorHAnsi"/>
                <w:szCs w:val="20"/>
              </w:rPr>
              <w:t>1.36</w:t>
            </w:r>
          </w:p>
        </w:tc>
        <w:tc>
          <w:tcPr>
            <w:tcW w:w="861" w:type="dxa"/>
            <w:tcBorders>
              <w:top w:val="nil"/>
              <w:left w:val="nil"/>
              <w:bottom w:val="nil"/>
              <w:right w:val="nil"/>
            </w:tcBorders>
            <w:shd w:val="clear" w:color="auto" w:fill="E5E5E5" w:themeFill="background1" w:themeFillTint="33"/>
            <w:vAlign w:val="bottom"/>
          </w:tcPr>
          <w:p w14:paraId="20AA1FC1" w14:textId="77777777" w:rsidR="00961617" w:rsidRPr="0099598E" w:rsidRDefault="00961617" w:rsidP="0020771F">
            <w:pPr>
              <w:keepNext/>
              <w:keepLines/>
              <w:jc w:val="right"/>
              <w:rPr>
                <w:rFonts w:cstheme="minorHAnsi"/>
                <w:szCs w:val="20"/>
              </w:rPr>
            </w:pPr>
            <w:r w:rsidRPr="0099598E">
              <w:rPr>
                <w:rFonts w:cstheme="minorHAnsi"/>
                <w:szCs w:val="20"/>
              </w:rPr>
              <w:t>1.39</w:t>
            </w:r>
          </w:p>
        </w:tc>
        <w:tc>
          <w:tcPr>
            <w:tcW w:w="861" w:type="dxa"/>
            <w:tcBorders>
              <w:top w:val="nil"/>
              <w:left w:val="nil"/>
              <w:bottom w:val="nil"/>
              <w:right w:val="nil"/>
            </w:tcBorders>
            <w:shd w:val="clear" w:color="auto" w:fill="E5E5E5" w:themeFill="background1" w:themeFillTint="33"/>
            <w:vAlign w:val="bottom"/>
          </w:tcPr>
          <w:p w14:paraId="3990FA31" w14:textId="77777777" w:rsidR="00961617" w:rsidRPr="0099598E" w:rsidRDefault="00961617" w:rsidP="0020771F">
            <w:pPr>
              <w:keepNext/>
              <w:keepLines/>
              <w:jc w:val="right"/>
              <w:rPr>
                <w:rFonts w:cstheme="minorHAnsi"/>
                <w:szCs w:val="20"/>
              </w:rPr>
            </w:pPr>
            <w:r w:rsidRPr="0099598E">
              <w:rPr>
                <w:rFonts w:cstheme="minorHAnsi"/>
                <w:szCs w:val="20"/>
              </w:rPr>
              <w:t>1.28</w:t>
            </w:r>
          </w:p>
        </w:tc>
        <w:tc>
          <w:tcPr>
            <w:tcW w:w="861" w:type="dxa"/>
            <w:tcBorders>
              <w:top w:val="nil"/>
              <w:left w:val="nil"/>
              <w:bottom w:val="nil"/>
              <w:right w:val="nil"/>
            </w:tcBorders>
            <w:shd w:val="clear" w:color="auto" w:fill="E5E5E5" w:themeFill="background1" w:themeFillTint="33"/>
            <w:vAlign w:val="bottom"/>
          </w:tcPr>
          <w:p w14:paraId="09DB03CB"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tcBorders>
            <w:shd w:val="clear" w:color="auto" w:fill="E5E5E5" w:themeFill="background1" w:themeFillTint="33"/>
            <w:vAlign w:val="bottom"/>
          </w:tcPr>
          <w:p w14:paraId="322D3BFE" w14:textId="77777777" w:rsidR="00961617" w:rsidRPr="0099598E" w:rsidRDefault="00961617" w:rsidP="0020771F">
            <w:pPr>
              <w:keepNext/>
              <w:keepLines/>
              <w:jc w:val="right"/>
              <w:rPr>
                <w:rFonts w:cstheme="minorHAnsi"/>
                <w:szCs w:val="20"/>
              </w:rPr>
            </w:pPr>
            <w:r w:rsidRPr="0099598E">
              <w:rPr>
                <w:rFonts w:cstheme="minorHAnsi"/>
                <w:szCs w:val="20"/>
              </w:rPr>
              <w:t>n.s.</w:t>
            </w:r>
          </w:p>
        </w:tc>
      </w:tr>
      <w:tr w:rsidR="00961617" w:rsidRPr="0076418A" w14:paraId="3E24238C" w14:textId="77777777" w:rsidTr="0020771F">
        <w:tc>
          <w:tcPr>
            <w:tcW w:w="4077" w:type="dxa"/>
            <w:tcBorders>
              <w:top w:val="nil"/>
              <w:bottom w:val="nil"/>
              <w:right w:val="nil"/>
            </w:tcBorders>
          </w:tcPr>
          <w:p w14:paraId="59110E35" w14:textId="77777777" w:rsidR="00961617" w:rsidRPr="0099598E" w:rsidRDefault="00961617" w:rsidP="0020771F">
            <w:pPr>
              <w:keepNext/>
              <w:keepLines/>
              <w:rPr>
                <w:rFonts w:cstheme="minorHAnsi"/>
                <w:szCs w:val="20"/>
              </w:rPr>
            </w:pPr>
            <w:r w:rsidRPr="0099598E">
              <w:rPr>
                <w:rFonts w:cstheme="minorHAnsi"/>
                <w:szCs w:val="20"/>
              </w:rPr>
              <w:t>Highest level of education: Tertiary qualification</w:t>
            </w:r>
          </w:p>
        </w:tc>
        <w:tc>
          <w:tcPr>
            <w:tcW w:w="860" w:type="dxa"/>
            <w:tcBorders>
              <w:top w:val="nil"/>
              <w:left w:val="nil"/>
              <w:bottom w:val="nil"/>
              <w:right w:val="nil"/>
            </w:tcBorders>
            <w:vAlign w:val="bottom"/>
          </w:tcPr>
          <w:p w14:paraId="7E5AF253" w14:textId="77777777" w:rsidR="00961617" w:rsidRPr="0099598E" w:rsidRDefault="00961617" w:rsidP="0020771F">
            <w:pPr>
              <w:keepNext/>
              <w:keepLines/>
              <w:jc w:val="right"/>
              <w:rPr>
                <w:rFonts w:cstheme="minorHAnsi"/>
                <w:szCs w:val="20"/>
              </w:rPr>
            </w:pPr>
            <w:r w:rsidRPr="0099598E">
              <w:rPr>
                <w:rFonts w:cstheme="minorHAnsi"/>
                <w:szCs w:val="20"/>
              </w:rPr>
              <w:t>1.71</w:t>
            </w:r>
          </w:p>
        </w:tc>
        <w:tc>
          <w:tcPr>
            <w:tcW w:w="861" w:type="dxa"/>
            <w:tcBorders>
              <w:top w:val="nil"/>
              <w:left w:val="nil"/>
              <w:bottom w:val="nil"/>
              <w:right w:val="nil"/>
            </w:tcBorders>
            <w:vAlign w:val="bottom"/>
          </w:tcPr>
          <w:p w14:paraId="020F49A6" w14:textId="77777777" w:rsidR="00961617" w:rsidRPr="0099598E" w:rsidRDefault="00961617" w:rsidP="0020771F">
            <w:pPr>
              <w:keepNext/>
              <w:keepLines/>
              <w:jc w:val="right"/>
              <w:rPr>
                <w:rFonts w:cstheme="minorHAnsi"/>
                <w:szCs w:val="20"/>
              </w:rPr>
            </w:pPr>
            <w:r w:rsidRPr="0099598E">
              <w:rPr>
                <w:rFonts w:cstheme="minorHAnsi"/>
                <w:szCs w:val="20"/>
              </w:rPr>
              <w:t>1.33</w:t>
            </w:r>
          </w:p>
        </w:tc>
        <w:tc>
          <w:tcPr>
            <w:tcW w:w="861" w:type="dxa"/>
            <w:tcBorders>
              <w:top w:val="nil"/>
              <w:left w:val="nil"/>
              <w:bottom w:val="nil"/>
              <w:right w:val="nil"/>
            </w:tcBorders>
            <w:vAlign w:val="bottom"/>
          </w:tcPr>
          <w:p w14:paraId="1F892393" w14:textId="77777777" w:rsidR="00961617" w:rsidRPr="0099598E" w:rsidRDefault="00961617" w:rsidP="0020771F">
            <w:pPr>
              <w:keepNext/>
              <w:keepLines/>
              <w:jc w:val="right"/>
              <w:rPr>
                <w:rFonts w:cstheme="minorHAnsi"/>
                <w:szCs w:val="20"/>
              </w:rPr>
            </w:pPr>
            <w:r w:rsidRPr="0099598E">
              <w:rPr>
                <w:rFonts w:cstheme="minorHAnsi"/>
                <w:szCs w:val="20"/>
              </w:rPr>
              <w:t>1.61</w:t>
            </w:r>
          </w:p>
        </w:tc>
        <w:tc>
          <w:tcPr>
            <w:tcW w:w="861" w:type="dxa"/>
            <w:tcBorders>
              <w:top w:val="nil"/>
              <w:left w:val="nil"/>
              <w:bottom w:val="nil"/>
              <w:right w:val="nil"/>
            </w:tcBorders>
            <w:vAlign w:val="bottom"/>
          </w:tcPr>
          <w:p w14:paraId="6B266FB5" w14:textId="77777777" w:rsidR="00961617" w:rsidRPr="0099598E" w:rsidRDefault="00961617" w:rsidP="0020771F">
            <w:pPr>
              <w:keepNext/>
              <w:keepLines/>
              <w:jc w:val="right"/>
              <w:rPr>
                <w:rFonts w:cstheme="minorHAnsi"/>
                <w:szCs w:val="20"/>
              </w:rPr>
            </w:pPr>
            <w:r w:rsidRPr="0099598E">
              <w:rPr>
                <w:rFonts w:cstheme="minorHAnsi"/>
                <w:szCs w:val="20"/>
              </w:rPr>
              <w:t>1.65</w:t>
            </w:r>
          </w:p>
        </w:tc>
        <w:tc>
          <w:tcPr>
            <w:tcW w:w="861" w:type="dxa"/>
            <w:tcBorders>
              <w:top w:val="nil"/>
              <w:left w:val="nil"/>
              <w:bottom w:val="nil"/>
              <w:right w:val="nil"/>
            </w:tcBorders>
            <w:vAlign w:val="bottom"/>
          </w:tcPr>
          <w:p w14:paraId="3C98512A" w14:textId="77777777" w:rsidR="00961617" w:rsidRPr="0099598E" w:rsidRDefault="00961617" w:rsidP="0020771F">
            <w:pPr>
              <w:keepNext/>
              <w:keepLines/>
              <w:jc w:val="right"/>
              <w:rPr>
                <w:rFonts w:cstheme="minorHAnsi"/>
                <w:szCs w:val="20"/>
              </w:rPr>
            </w:pPr>
            <w:r w:rsidRPr="0099598E">
              <w:rPr>
                <w:rFonts w:cstheme="minorHAnsi"/>
                <w:szCs w:val="20"/>
              </w:rPr>
              <w:t>1.61</w:t>
            </w:r>
          </w:p>
        </w:tc>
        <w:tc>
          <w:tcPr>
            <w:tcW w:w="861" w:type="dxa"/>
            <w:tcBorders>
              <w:top w:val="nil"/>
              <w:left w:val="nil"/>
              <w:bottom w:val="nil"/>
            </w:tcBorders>
            <w:vAlign w:val="bottom"/>
          </w:tcPr>
          <w:p w14:paraId="3A6E8D01" w14:textId="77777777" w:rsidR="00961617" w:rsidRPr="0099598E" w:rsidRDefault="00961617" w:rsidP="0020771F">
            <w:pPr>
              <w:keepNext/>
              <w:keepLines/>
              <w:jc w:val="right"/>
              <w:rPr>
                <w:rFonts w:cstheme="minorHAnsi"/>
                <w:szCs w:val="20"/>
              </w:rPr>
            </w:pPr>
            <w:r w:rsidRPr="0099598E">
              <w:rPr>
                <w:rFonts w:cstheme="minorHAnsi"/>
                <w:szCs w:val="20"/>
              </w:rPr>
              <w:t>1.62</w:t>
            </w:r>
          </w:p>
        </w:tc>
      </w:tr>
      <w:tr w:rsidR="00961617" w:rsidRPr="0076418A" w14:paraId="414B328E" w14:textId="77777777" w:rsidTr="0020771F">
        <w:tc>
          <w:tcPr>
            <w:tcW w:w="4077" w:type="dxa"/>
            <w:tcBorders>
              <w:top w:val="nil"/>
              <w:bottom w:val="nil"/>
              <w:right w:val="nil"/>
            </w:tcBorders>
            <w:shd w:val="clear" w:color="auto" w:fill="E5E5E5" w:themeFill="background1" w:themeFillTint="33"/>
          </w:tcPr>
          <w:p w14:paraId="0B7496F1" w14:textId="77777777" w:rsidR="00961617" w:rsidRPr="0099598E" w:rsidRDefault="00961617" w:rsidP="0020771F">
            <w:pPr>
              <w:keepNext/>
              <w:keepLines/>
              <w:rPr>
                <w:rFonts w:cstheme="minorHAnsi"/>
                <w:szCs w:val="20"/>
              </w:rPr>
            </w:pPr>
            <w:r w:rsidRPr="0099598E">
              <w:rPr>
                <w:rFonts w:cstheme="minorHAnsi"/>
                <w:szCs w:val="20"/>
              </w:rPr>
              <w:t>Type of income support: Newstart Allowance</w:t>
            </w:r>
          </w:p>
        </w:tc>
        <w:tc>
          <w:tcPr>
            <w:tcW w:w="860" w:type="dxa"/>
            <w:tcBorders>
              <w:top w:val="nil"/>
              <w:left w:val="nil"/>
              <w:bottom w:val="nil"/>
              <w:right w:val="nil"/>
            </w:tcBorders>
            <w:shd w:val="clear" w:color="auto" w:fill="E5E5E5" w:themeFill="background1" w:themeFillTint="33"/>
            <w:vAlign w:val="bottom"/>
          </w:tcPr>
          <w:p w14:paraId="12CF504E" w14:textId="77777777" w:rsidR="00961617" w:rsidRPr="0099598E" w:rsidRDefault="00961617" w:rsidP="0020771F">
            <w:pPr>
              <w:keepNext/>
              <w:keepLines/>
              <w:jc w:val="right"/>
              <w:rPr>
                <w:rFonts w:cstheme="minorHAnsi"/>
                <w:szCs w:val="20"/>
              </w:rPr>
            </w:pPr>
            <w:r w:rsidRPr="0099598E">
              <w:rPr>
                <w:rFonts w:cstheme="minorHAnsi"/>
                <w:szCs w:val="20"/>
              </w:rPr>
              <w:t>0.68</w:t>
            </w:r>
          </w:p>
        </w:tc>
        <w:tc>
          <w:tcPr>
            <w:tcW w:w="861" w:type="dxa"/>
            <w:tcBorders>
              <w:top w:val="nil"/>
              <w:left w:val="nil"/>
              <w:bottom w:val="nil"/>
              <w:right w:val="nil"/>
            </w:tcBorders>
            <w:shd w:val="clear" w:color="auto" w:fill="E5E5E5" w:themeFill="background1" w:themeFillTint="33"/>
            <w:vAlign w:val="bottom"/>
          </w:tcPr>
          <w:p w14:paraId="36486F04" w14:textId="77777777" w:rsidR="00961617" w:rsidRPr="0099598E" w:rsidRDefault="00961617" w:rsidP="0020771F">
            <w:pPr>
              <w:keepNext/>
              <w:keepLines/>
              <w:jc w:val="right"/>
              <w:rPr>
                <w:rFonts w:cstheme="minorHAnsi"/>
                <w:szCs w:val="20"/>
              </w:rPr>
            </w:pPr>
            <w:r w:rsidRPr="0099598E">
              <w:rPr>
                <w:rFonts w:cstheme="minorHAnsi"/>
                <w:szCs w:val="20"/>
              </w:rPr>
              <w:t>0.71</w:t>
            </w:r>
          </w:p>
        </w:tc>
        <w:tc>
          <w:tcPr>
            <w:tcW w:w="861" w:type="dxa"/>
            <w:tcBorders>
              <w:top w:val="nil"/>
              <w:left w:val="nil"/>
              <w:bottom w:val="nil"/>
              <w:right w:val="nil"/>
            </w:tcBorders>
            <w:shd w:val="clear" w:color="auto" w:fill="E5E5E5" w:themeFill="background1" w:themeFillTint="33"/>
            <w:vAlign w:val="bottom"/>
          </w:tcPr>
          <w:p w14:paraId="13D7CC84" w14:textId="77777777" w:rsidR="00961617" w:rsidRPr="0099598E" w:rsidRDefault="00961617" w:rsidP="0020771F">
            <w:pPr>
              <w:keepNext/>
              <w:keepLines/>
              <w:jc w:val="right"/>
              <w:rPr>
                <w:rFonts w:cstheme="minorHAnsi"/>
                <w:szCs w:val="20"/>
              </w:rPr>
            </w:pPr>
            <w:r w:rsidRPr="0099598E">
              <w:rPr>
                <w:rFonts w:cstheme="minorHAnsi"/>
                <w:szCs w:val="20"/>
              </w:rPr>
              <w:t>0.82</w:t>
            </w:r>
          </w:p>
        </w:tc>
        <w:tc>
          <w:tcPr>
            <w:tcW w:w="861" w:type="dxa"/>
            <w:tcBorders>
              <w:top w:val="nil"/>
              <w:left w:val="nil"/>
              <w:bottom w:val="nil"/>
              <w:right w:val="nil"/>
            </w:tcBorders>
            <w:shd w:val="clear" w:color="auto" w:fill="E5E5E5" w:themeFill="background1" w:themeFillTint="33"/>
            <w:vAlign w:val="bottom"/>
          </w:tcPr>
          <w:p w14:paraId="58CD922F"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616DF1AF"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tcBorders>
            <w:shd w:val="clear" w:color="auto" w:fill="E5E5E5" w:themeFill="background1" w:themeFillTint="33"/>
            <w:vAlign w:val="bottom"/>
          </w:tcPr>
          <w:p w14:paraId="51DDB3E5" w14:textId="77777777" w:rsidR="00961617" w:rsidRPr="0099598E" w:rsidRDefault="00961617" w:rsidP="0020771F">
            <w:pPr>
              <w:keepNext/>
              <w:keepLines/>
              <w:jc w:val="right"/>
              <w:rPr>
                <w:rFonts w:cstheme="minorHAnsi"/>
                <w:szCs w:val="20"/>
              </w:rPr>
            </w:pPr>
            <w:r w:rsidRPr="0099598E">
              <w:rPr>
                <w:rFonts w:cstheme="minorHAnsi"/>
                <w:szCs w:val="20"/>
              </w:rPr>
              <w:t>n.s.</w:t>
            </w:r>
          </w:p>
        </w:tc>
      </w:tr>
      <w:tr w:rsidR="00961617" w:rsidRPr="0076418A" w14:paraId="77DE440A" w14:textId="77777777" w:rsidTr="0020771F">
        <w:tc>
          <w:tcPr>
            <w:tcW w:w="4077" w:type="dxa"/>
            <w:tcBorders>
              <w:top w:val="nil"/>
              <w:bottom w:val="nil"/>
              <w:right w:val="nil"/>
            </w:tcBorders>
          </w:tcPr>
          <w:p w14:paraId="7CDF4DAB" w14:textId="77777777" w:rsidR="00961617" w:rsidRPr="0099598E" w:rsidRDefault="00961617" w:rsidP="0020771F">
            <w:pPr>
              <w:keepNext/>
              <w:keepLines/>
              <w:rPr>
                <w:rFonts w:cstheme="minorHAnsi"/>
                <w:szCs w:val="20"/>
              </w:rPr>
            </w:pPr>
            <w:r w:rsidRPr="0099598E">
              <w:rPr>
                <w:rFonts w:cstheme="minorHAnsi"/>
                <w:szCs w:val="20"/>
              </w:rPr>
              <w:t>Type of income support: Parenting payment</w:t>
            </w:r>
          </w:p>
        </w:tc>
        <w:tc>
          <w:tcPr>
            <w:tcW w:w="860" w:type="dxa"/>
            <w:tcBorders>
              <w:top w:val="nil"/>
              <w:left w:val="nil"/>
              <w:bottom w:val="nil"/>
              <w:right w:val="nil"/>
            </w:tcBorders>
            <w:vAlign w:val="bottom"/>
          </w:tcPr>
          <w:p w14:paraId="1DB3A264"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0F69A72E" w14:textId="77777777" w:rsidR="00961617" w:rsidRPr="0099598E" w:rsidRDefault="00961617" w:rsidP="0020771F">
            <w:pPr>
              <w:keepNext/>
              <w:keepLines/>
              <w:jc w:val="right"/>
              <w:rPr>
                <w:rFonts w:cstheme="minorHAnsi"/>
                <w:szCs w:val="20"/>
              </w:rPr>
            </w:pPr>
            <w:r w:rsidRPr="0099598E">
              <w:rPr>
                <w:rFonts w:cstheme="minorHAnsi"/>
                <w:szCs w:val="20"/>
              </w:rPr>
              <w:t>0.30</w:t>
            </w:r>
          </w:p>
        </w:tc>
        <w:tc>
          <w:tcPr>
            <w:tcW w:w="861" w:type="dxa"/>
            <w:tcBorders>
              <w:top w:val="nil"/>
              <w:left w:val="nil"/>
              <w:bottom w:val="nil"/>
              <w:right w:val="nil"/>
            </w:tcBorders>
            <w:vAlign w:val="bottom"/>
          </w:tcPr>
          <w:p w14:paraId="633F42CF" w14:textId="77777777" w:rsidR="00961617" w:rsidRPr="0099598E" w:rsidRDefault="00961617" w:rsidP="0020771F">
            <w:pPr>
              <w:keepNext/>
              <w:keepLines/>
              <w:jc w:val="right"/>
              <w:rPr>
                <w:rFonts w:cstheme="minorHAnsi"/>
                <w:szCs w:val="20"/>
              </w:rPr>
            </w:pPr>
            <w:r w:rsidRPr="0099598E">
              <w:rPr>
                <w:rFonts w:cstheme="minorHAnsi"/>
                <w:szCs w:val="20"/>
              </w:rPr>
              <w:t>0.35</w:t>
            </w:r>
          </w:p>
        </w:tc>
        <w:tc>
          <w:tcPr>
            <w:tcW w:w="861" w:type="dxa"/>
            <w:tcBorders>
              <w:top w:val="nil"/>
              <w:left w:val="nil"/>
              <w:bottom w:val="nil"/>
              <w:right w:val="nil"/>
            </w:tcBorders>
            <w:vAlign w:val="bottom"/>
          </w:tcPr>
          <w:p w14:paraId="0CF2FAC2" w14:textId="77777777" w:rsidR="00961617" w:rsidRPr="0099598E" w:rsidRDefault="00961617" w:rsidP="0020771F">
            <w:pPr>
              <w:keepNext/>
              <w:keepLines/>
              <w:jc w:val="right"/>
              <w:rPr>
                <w:rFonts w:cstheme="minorHAnsi"/>
                <w:szCs w:val="20"/>
              </w:rPr>
            </w:pPr>
            <w:r w:rsidRPr="0099598E">
              <w:rPr>
                <w:rFonts w:cstheme="minorHAnsi"/>
                <w:szCs w:val="20"/>
              </w:rPr>
              <w:t>0.29</w:t>
            </w:r>
          </w:p>
        </w:tc>
        <w:tc>
          <w:tcPr>
            <w:tcW w:w="861" w:type="dxa"/>
            <w:tcBorders>
              <w:top w:val="nil"/>
              <w:left w:val="nil"/>
              <w:bottom w:val="nil"/>
              <w:right w:val="nil"/>
            </w:tcBorders>
            <w:vAlign w:val="bottom"/>
          </w:tcPr>
          <w:p w14:paraId="608AAC1B" w14:textId="77777777" w:rsidR="00961617" w:rsidRPr="0099598E" w:rsidRDefault="00961617" w:rsidP="0020771F">
            <w:pPr>
              <w:keepNext/>
              <w:keepLines/>
              <w:jc w:val="right"/>
              <w:rPr>
                <w:rFonts w:cstheme="minorHAnsi"/>
                <w:szCs w:val="20"/>
              </w:rPr>
            </w:pPr>
            <w:r w:rsidRPr="0099598E">
              <w:rPr>
                <w:rFonts w:cstheme="minorHAnsi"/>
                <w:szCs w:val="20"/>
              </w:rPr>
              <w:t>0.32</w:t>
            </w:r>
          </w:p>
        </w:tc>
        <w:tc>
          <w:tcPr>
            <w:tcW w:w="861" w:type="dxa"/>
            <w:tcBorders>
              <w:top w:val="nil"/>
              <w:left w:val="nil"/>
              <w:bottom w:val="nil"/>
            </w:tcBorders>
            <w:vAlign w:val="bottom"/>
          </w:tcPr>
          <w:p w14:paraId="42F97A86" w14:textId="77777777" w:rsidR="00961617" w:rsidRPr="0099598E" w:rsidRDefault="00961617" w:rsidP="0020771F">
            <w:pPr>
              <w:keepNext/>
              <w:keepLines/>
              <w:jc w:val="right"/>
              <w:rPr>
                <w:rFonts w:cstheme="minorHAnsi"/>
                <w:szCs w:val="20"/>
              </w:rPr>
            </w:pPr>
            <w:r w:rsidRPr="0099598E">
              <w:rPr>
                <w:rFonts w:cstheme="minorHAnsi"/>
                <w:szCs w:val="20"/>
              </w:rPr>
              <w:t>n.s.</w:t>
            </w:r>
          </w:p>
        </w:tc>
      </w:tr>
      <w:tr w:rsidR="00961617" w:rsidRPr="0076418A" w14:paraId="54A46097" w14:textId="77777777" w:rsidTr="0020771F">
        <w:tc>
          <w:tcPr>
            <w:tcW w:w="4077" w:type="dxa"/>
            <w:tcBorders>
              <w:top w:val="nil"/>
              <w:bottom w:val="nil"/>
              <w:right w:val="nil"/>
            </w:tcBorders>
            <w:shd w:val="clear" w:color="auto" w:fill="E5E5E5" w:themeFill="background1" w:themeFillTint="33"/>
          </w:tcPr>
          <w:p w14:paraId="24E519E9" w14:textId="77777777" w:rsidR="00961617" w:rsidRPr="0099598E" w:rsidRDefault="00961617" w:rsidP="0020771F">
            <w:pPr>
              <w:keepNext/>
              <w:keepLines/>
              <w:rPr>
                <w:rFonts w:cstheme="minorHAnsi"/>
                <w:szCs w:val="20"/>
              </w:rPr>
            </w:pPr>
            <w:r w:rsidRPr="0099598E">
              <w:rPr>
                <w:rFonts w:cstheme="minorHAnsi"/>
                <w:szCs w:val="20"/>
              </w:rPr>
              <w:t>Non Indigenous</w:t>
            </w:r>
          </w:p>
        </w:tc>
        <w:tc>
          <w:tcPr>
            <w:tcW w:w="860" w:type="dxa"/>
            <w:tcBorders>
              <w:top w:val="nil"/>
              <w:left w:val="nil"/>
              <w:bottom w:val="nil"/>
              <w:right w:val="nil"/>
            </w:tcBorders>
            <w:shd w:val="clear" w:color="auto" w:fill="E5E5E5" w:themeFill="background1" w:themeFillTint="33"/>
            <w:vAlign w:val="bottom"/>
          </w:tcPr>
          <w:p w14:paraId="041FD73D"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5490FF99" w14:textId="77777777" w:rsidR="00961617" w:rsidRPr="0099598E" w:rsidRDefault="00961617" w:rsidP="0020771F">
            <w:pPr>
              <w:keepNext/>
              <w:keepLines/>
              <w:jc w:val="right"/>
              <w:rPr>
                <w:rFonts w:cstheme="minorHAnsi"/>
                <w:szCs w:val="20"/>
              </w:rPr>
            </w:pPr>
            <w:r w:rsidRPr="0099598E">
              <w:rPr>
                <w:rFonts w:cstheme="minorHAnsi"/>
                <w:szCs w:val="20"/>
              </w:rPr>
              <w:t>1.39</w:t>
            </w:r>
          </w:p>
        </w:tc>
        <w:tc>
          <w:tcPr>
            <w:tcW w:w="861" w:type="dxa"/>
            <w:tcBorders>
              <w:top w:val="nil"/>
              <w:left w:val="nil"/>
              <w:bottom w:val="nil"/>
              <w:right w:val="nil"/>
            </w:tcBorders>
            <w:shd w:val="clear" w:color="auto" w:fill="E5E5E5" w:themeFill="background1" w:themeFillTint="33"/>
            <w:vAlign w:val="bottom"/>
          </w:tcPr>
          <w:p w14:paraId="59AA7283"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7AF7F4F0"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157C83DE"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tcBorders>
            <w:shd w:val="clear" w:color="auto" w:fill="E5E5E5" w:themeFill="background1" w:themeFillTint="33"/>
            <w:vAlign w:val="bottom"/>
          </w:tcPr>
          <w:p w14:paraId="64DB85AE" w14:textId="77777777" w:rsidR="00961617" w:rsidRPr="0099598E" w:rsidRDefault="00961617" w:rsidP="0020771F">
            <w:pPr>
              <w:keepNext/>
              <w:keepLines/>
              <w:jc w:val="right"/>
              <w:rPr>
                <w:rFonts w:cstheme="minorHAnsi"/>
                <w:szCs w:val="20"/>
              </w:rPr>
            </w:pPr>
            <w:r w:rsidRPr="0099598E">
              <w:rPr>
                <w:rFonts w:cstheme="minorHAnsi"/>
                <w:szCs w:val="20"/>
              </w:rPr>
              <w:t>1.18</w:t>
            </w:r>
          </w:p>
        </w:tc>
      </w:tr>
      <w:tr w:rsidR="00961617" w:rsidRPr="0076418A" w14:paraId="427F9366" w14:textId="77777777" w:rsidTr="0020771F">
        <w:tc>
          <w:tcPr>
            <w:tcW w:w="4077" w:type="dxa"/>
            <w:tcBorders>
              <w:top w:val="nil"/>
              <w:bottom w:val="nil"/>
              <w:right w:val="nil"/>
            </w:tcBorders>
          </w:tcPr>
          <w:p w14:paraId="411A6EC7" w14:textId="77777777" w:rsidR="00961617" w:rsidRPr="0099598E" w:rsidRDefault="00961617" w:rsidP="0020771F">
            <w:pPr>
              <w:keepNext/>
              <w:keepLines/>
              <w:rPr>
                <w:rFonts w:cstheme="minorHAnsi"/>
                <w:szCs w:val="20"/>
              </w:rPr>
            </w:pPr>
            <w:r w:rsidRPr="0099598E">
              <w:rPr>
                <w:rFonts w:cstheme="minorHAnsi"/>
                <w:szCs w:val="20"/>
              </w:rPr>
              <w:t>English speaking country of birth</w:t>
            </w:r>
          </w:p>
        </w:tc>
        <w:tc>
          <w:tcPr>
            <w:tcW w:w="860" w:type="dxa"/>
            <w:tcBorders>
              <w:top w:val="nil"/>
              <w:left w:val="nil"/>
              <w:bottom w:val="nil"/>
              <w:right w:val="nil"/>
            </w:tcBorders>
            <w:vAlign w:val="bottom"/>
          </w:tcPr>
          <w:p w14:paraId="2E188DAE"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7F000753" w14:textId="77777777" w:rsidR="00961617" w:rsidRPr="0099598E" w:rsidRDefault="00961617" w:rsidP="0020771F">
            <w:pPr>
              <w:keepNext/>
              <w:keepLines/>
              <w:jc w:val="right"/>
              <w:rPr>
                <w:rFonts w:cstheme="minorHAnsi"/>
                <w:szCs w:val="20"/>
              </w:rPr>
            </w:pPr>
            <w:r w:rsidRPr="0099598E">
              <w:rPr>
                <w:rFonts w:cstheme="minorHAnsi"/>
                <w:szCs w:val="20"/>
              </w:rPr>
              <w:t>0.76</w:t>
            </w:r>
          </w:p>
        </w:tc>
        <w:tc>
          <w:tcPr>
            <w:tcW w:w="861" w:type="dxa"/>
            <w:tcBorders>
              <w:top w:val="nil"/>
              <w:left w:val="nil"/>
              <w:bottom w:val="nil"/>
              <w:right w:val="nil"/>
            </w:tcBorders>
            <w:vAlign w:val="bottom"/>
          </w:tcPr>
          <w:p w14:paraId="3F26076B" w14:textId="77777777" w:rsidR="00961617" w:rsidRPr="0099598E" w:rsidRDefault="00961617" w:rsidP="0020771F">
            <w:pPr>
              <w:keepNext/>
              <w:keepLines/>
              <w:jc w:val="right"/>
              <w:rPr>
                <w:rFonts w:cstheme="minorHAnsi"/>
                <w:szCs w:val="20"/>
              </w:rPr>
            </w:pPr>
            <w:r w:rsidRPr="0099598E">
              <w:rPr>
                <w:rFonts w:cstheme="minorHAnsi"/>
                <w:szCs w:val="20"/>
              </w:rPr>
              <w:t>0.73</w:t>
            </w:r>
          </w:p>
        </w:tc>
        <w:tc>
          <w:tcPr>
            <w:tcW w:w="861" w:type="dxa"/>
            <w:tcBorders>
              <w:top w:val="nil"/>
              <w:left w:val="nil"/>
              <w:bottom w:val="nil"/>
              <w:right w:val="nil"/>
            </w:tcBorders>
            <w:vAlign w:val="bottom"/>
          </w:tcPr>
          <w:p w14:paraId="30F76EE9" w14:textId="77777777" w:rsidR="00961617" w:rsidRPr="0099598E" w:rsidRDefault="00961617" w:rsidP="0020771F">
            <w:pPr>
              <w:keepNext/>
              <w:keepLines/>
              <w:jc w:val="right"/>
              <w:rPr>
                <w:rFonts w:cstheme="minorHAnsi"/>
                <w:szCs w:val="20"/>
              </w:rPr>
            </w:pPr>
            <w:r w:rsidRPr="0099598E">
              <w:rPr>
                <w:rFonts w:cstheme="minorHAnsi"/>
                <w:szCs w:val="20"/>
              </w:rPr>
              <w:t>0.72</w:t>
            </w:r>
          </w:p>
        </w:tc>
        <w:tc>
          <w:tcPr>
            <w:tcW w:w="861" w:type="dxa"/>
            <w:tcBorders>
              <w:top w:val="nil"/>
              <w:left w:val="nil"/>
              <w:bottom w:val="nil"/>
              <w:right w:val="nil"/>
            </w:tcBorders>
            <w:vAlign w:val="bottom"/>
          </w:tcPr>
          <w:p w14:paraId="1F66AEB9" w14:textId="77777777" w:rsidR="00961617" w:rsidRPr="0099598E" w:rsidRDefault="00961617" w:rsidP="0020771F">
            <w:pPr>
              <w:keepNext/>
              <w:keepLines/>
              <w:jc w:val="right"/>
              <w:rPr>
                <w:rFonts w:cstheme="minorHAnsi"/>
                <w:szCs w:val="20"/>
              </w:rPr>
            </w:pPr>
            <w:r w:rsidRPr="0099598E">
              <w:rPr>
                <w:rFonts w:cstheme="minorHAnsi"/>
                <w:szCs w:val="20"/>
              </w:rPr>
              <w:t>0.74</w:t>
            </w:r>
          </w:p>
        </w:tc>
        <w:tc>
          <w:tcPr>
            <w:tcW w:w="861" w:type="dxa"/>
            <w:tcBorders>
              <w:top w:val="nil"/>
              <w:left w:val="nil"/>
              <w:bottom w:val="nil"/>
            </w:tcBorders>
            <w:vAlign w:val="bottom"/>
          </w:tcPr>
          <w:p w14:paraId="4149AD06" w14:textId="77777777" w:rsidR="00961617" w:rsidRPr="0099598E" w:rsidRDefault="00961617" w:rsidP="0020771F">
            <w:pPr>
              <w:keepNext/>
              <w:keepLines/>
              <w:jc w:val="right"/>
              <w:rPr>
                <w:rFonts w:cstheme="minorHAnsi"/>
                <w:szCs w:val="20"/>
              </w:rPr>
            </w:pPr>
            <w:r w:rsidRPr="0099598E">
              <w:rPr>
                <w:rFonts w:cstheme="minorHAnsi"/>
                <w:szCs w:val="20"/>
              </w:rPr>
              <w:t>0.68</w:t>
            </w:r>
          </w:p>
        </w:tc>
      </w:tr>
      <w:tr w:rsidR="00961617" w:rsidRPr="0076418A" w14:paraId="02324FA0" w14:textId="77777777" w:rsidTr="0020771F">
        <w:tc>
          <w:tcPr>
            <w:tcW w:w="4077" w:type="dxa"/>
            <w:tcBorders>
              <w:top w:val="nil"/>
              <w:bottom w:val="nil"/>
              <w:right w:val="nil"/>
            </w:tcBorders>
            <w:shd w:val="clear" w:color="auto" w:fill="E5E5E5" w:themeFill="background1" w:themeFillTint="33"/>
          </w:tcPr>
          <w:p w14:paraId="33469030" w14:textId="77777777" w:rsidR="00961617" w:rsidRPr="0099598E" w:rsidRDefault="00961617" w:rsidP="0020771F">
            <w:pPr>
              <w:keepNext/>
              <w:keepLines/>
              <w:rPr>
                <w:rFonts w:cstheme="minorHAnsi"/>
                <w:szCs w:val="20"/>
              </w:rPr>
            </w:pPr>
            <w:r w:rsidRPr="0099598E">
              <w:rPr>
                <w:rFonts w:cstheme="minorHAnsi"/>
                <w:szCs w:val="20"/>
              </w:rPr>
              <w:t>Not reported to have a disability or medical condition</w:t>
            </w:r>
          </w:p>
        </w:tc>
        <w:tc>
          <w:tcPr>
            <w:tcW w:w="860" w:type="dxa"/>
            <w:tcBorders>
              <w:top w:val="nil"/>
              <w:left w:val="nil"/>
              <w:bottom w:val="nil"/>
              <w:right w:val="nil"/>
            </w:tcBorders>
            <w:shd w:val="clear" w:color="auto" w:fill="E5E5E5" w:themeFill="background1" w:themeFillTint="33"/>
            <w:vAlign w:val="bottom"/>
          </w:tcPr>
          <w:p w14:paraId="35165D00" w14:textId="77777777" w:rsidR="00961617" w:rsidRPr="0099598E" w:rsidRDefault="00961617" w:rsidP="0020771F">
            <w:pPr>
              <w:keepNext/>
              <w:keepLines/>
              <w:jc w:val="right"/>
              <w:rPr>
                <w:rFonts w:cstheme="minorHAnsi"/>
                <w:szCs w:val="20"/>
              </w:rPr>
            </w:pPr>
            <w:r w:rsidRPr="0099598E">
              <w:rPr>
                <w:rFonts w:cstheme="minorHAnsi"/>
                <w:szCs w:val="20"/>
              </w:rPr>
              <w:t>1.69</w:t>
            </w:r>
          </w:p>
        </w:tc>
        <w:tc>
          <w:tcPr>
            <w:tcW w:w="861" w:type="dxa"/>
            <w:tcBorders>
              <w:top w:val="nil"/>
              <w:left w:val="nil"/>
              <w:bottom w:val="nil"/>
              <w:right w:val="nil"/>
            </w:tcBorders>
            <w:shd w:val="clear" w:color="auto" w:fill="E5E5E5" w:themeFill="background1" w:themeFillTint="33"/>
            <w:vAlign w:val="bottom"/>
          </w:tcPr>
          <w:p w14:paraId="35FAA17E" w14:textId="77777777" w:rsidR="00961617" w:rsidRPr="0099598E" w:rsidRDefault="00961617" w:rsidP="0020771F">
            <w:pPr>
              <w:keepNext/>
              <w:keepLines/>
              <w:jc w:val="right"/>
              <w:rPr>
                <w:rFonts w:cstheme="minorHAnsi"/>
                <w:szCs w:val="20"/>
              </w:rPr>
            </w:pPr>
            <w:r w:rsidRPr="0099598E">
              <w:rPr>
                <w:rFonts w:cstheme="minorHAnsi"/>
                <w:szCs w:val="20"/>
              </w:rPr>
              <w:t>1.41</w:t>
            </w:r>
          </w:p>
        </w:tc>
        <w:tc>
          <w:tcPr>
            <w:tcW w:w="861" w:type="dxa"/>
            <w:tcBorders>
              <w:top w:val="nil"/>
              <w:left w:val="nil"/>
              <w:bottom w:val="nil"/>
              <w:right w:val="nil"/>
            </w:tcBorders>
            <w:shd w:val="clear" w:color="auto" w:fill="E5E5E5" w:themeFill="background1" w:themeFillTint="33"/>
            <w:vAlign w:val="bottom"/>
          </w:tcPr>
          <w:p w14:paraId="6B12261A" w14:textId="77777777" w:rsidR="00961617" w:rsidRPr="0099598E" w:rsidRDefault="00961617" w:rsidP="0020771F">
            <w:pPr>
              <w:keepNext/>
              <w:keepLines/>
              <w:jc w:val="right"/>
              <w:rPr>
                <w:rFonts w:cstheme="minorHAnsi"/>
                <w:szCs w:val="20"/>
              </w:rPr>
            </w:pPr>
            <w:r w:rsidRPr="0099598E">
              <w:rPr>
                <w:rFonts w:cstheme="minorHAnsi"/>
                <w:szCs w:val="20"/>
              </w:rPr>
              <w:t>1.41</w:t>
            </w:r>
          </w:p>
        </w:tc>
        <w:tc>
          <w:tcPr>
            <w:tcW w:w="861" w:type="dxa"/>
            <w:tcBorders>
              <w:top w:val="nil"/>
              <w:left w:val="nil"/>
              <w:bottom w:val="nil"/>
              <w:right w:val="nil"/>
            </w:tcBorders>
            <w:shd w:val="clear" w:color="auto" w:fill="E5E5E5" w:themeFill="background1" w:themeFillTint="33"/>
            <w:vAlign w:val="bottom"/>
          </w:tcPr>
          <w:p w14:paraId="324CB0A7" w14:textId="77777777" w:rsidR="00961617" w:rsidRPr="0099598E" w:rsidRDefault="00961617" w:rsidP="0020771F">
            <w:pPr>
              <w:keepNext/>
              <w:keepLines/>
              <w:jc w:val="right"/>
              <w:rPr>
                <w:rFonts w:cstheme="minorHAnsi"/>
                <w:szCs w:val="20"/>
              </w:rPr>
            </w:pPr>
            <w:r w:rsidRPr="0099598E">
              <w:rPr>
                <w:rFonts w:cstheme="minorHAnsi"/>
                <w:szCs w:val="20"/>
              </w:rPr>
              <w:t>1.44</w:t>
            </w:r>
          </w:p>
        </w:tc>
        <w:tc>
          <w:tcPr>
            <w:tcW w:w="861" w:type="dxa"/>
            <w:tcBorders>
              <w:top w:val="nil"/>
              <w:left w:val="nil"/>
              <w:bottom w:val="nil"/>
              <w:right w:val="nil"/>
            </w:tcBorders>
            <w:shd w:val="clear" w:color="auto" w:fill="E5E5E5" w:themeFill="background1" w:themeFillTint="33"/>
            <w:vAlign w:val="bottom"/>
          </w:tcPr>
          <w:p w14:paraId="4321BE3A" w14:textId="77777777" w:rsidR="00961617" w:rsidRPr="0099598E" w:rsidRDefault="00961617" w:rsidP="0020771F">
            <w:pPr>
              <w:keepNext/>
              <w:keepLines/>
              <w:jc w:val="right"/>
              <w:rPr>
                <w:rFonts w:cstheme="minorHAnsi"/>
                <w:szCs w:val="20"/>
              </w:rPr>
            </w:pPr>
            <w:r w:rsidRPr="0099598E">
              <w:rPr>
                <w:rFonts w:cstheme="minorHAnsi"/>
                <w:szCs w:val="20"/>
              </w:rPr>
              <w:t>1.49</w:t>
            </w:r>
          </w:p>
        </w:tc>
        <w:tc>
          <w:tcPr>
            <w:tcW w:w="861" w:type="dxa"/>
            <w:tcBorders>
              <w:top w:val="nil"/>
              <w:left w:val="nil"/>
              <w:bottom w:val="nil"/>
            </w:tcBorders>
            <w:shd w:val="clear" w:color="auto" w:fill="E5E5E5" w:themeFill="background1" w:themeFillTint="33"/>
            <w:vAlign w:val="bottom"/>
          </w:tcPr>
          <w:p w14:paraId="008B7C75" w14:textId="77777777" w:rsidR="00961617" w:rsidRPr="0099598E" w:rsidRDefault="00961617" w:rsidP="0020771F">
            <w:pPr>
              <w:keepNext/>
              <w:keepLines/>
              <w:jc w:val="right"/>
              <w:rPr>
                <w:rFonts w:cstheme="minorHAnsi"/>
                <w:szCs w:val="20"/>
              </w:rPr>
            </w:pPr>
            <w:r w:rsidRPr="0099598E">
              <w:rPr>
                <w:rFonts w:cstheme="minorHAnsi"/>
                <w:szCs w:val="20"/>
              </w:rPr>
              <w:t>1.46</w:t>
            </w:r>
          </w:p>
        </w:tc>
      </w:tr>
      <w:tr w:rsidR="00961617" w:rsidRPr="0076418A" w14:paraId="6974E76F" w14:textId="77777777" w:rsidTr="0020771F">
        <w:tc>
          <w:tcPr>
            <w:tcW w:w="4077" w:type="dxa"/>
            <w:tcBorders>
              <w:top w:val="nil"/>
              <w:bottom w:val="nil"/>
              <w:right w:val="nil"/>
            </w:tcBorders>
          </w:tcPr>
          <w:p w14:paraId="5F256CAA" w14:textId="77777777" w:rsidR="00961617" w:rsidRPr="0099598E" w:rsidRDefault="00961617" w:rsidP="0020771F">
            <w:pPr>
              <w:keepNext/>
              <w:keepLines/>
              <w:rPr>
                <w:rFonts w:cstheme="minorHAnsi"/>
                <w:szCs w:val="20"/>
              </w:rPr>
            </w:pPr>
            <w:r w:rsidRPr="0099598E">
              <w:rPr>
                <w:rFonts w:cstheme="minorHAnsi"/>
                <w:szCs w:val="20"/>
              </w:rPr>
              <w:t>Did not worked in the last 2 years</w:t>
            </w:r>
          </w:p>
        </w:tc>
        <w:tc>
          <w:tcPr>
            <w:tcW w:w="860" w:type="dxa"/>
            <w:tcBorders>
              <w:top w:val="nil"/>
              <w:left w:val="nil"/>
              <w:bottom w:val="nil"/>
              <w:right w:val="nil"/>
            </w:tcBorders>
            <w:vAlign w:val="bottom"/>
          </w:tcPr>
          <w:p w14:paraId="39C69C4C" w14:textId="77777777" w:rsidR="00961617" w:rsidRPr="0099598E" w:rsidRDefault="00961617" w:rsidP="0020771F">
            <w:pPr>
              <w:keepNext/>
              <w:keepLines/>
              <w:jc w:val="right"/>
              <w:rPr>
                <w:rFonts w:cstheme="minorHAnsi"/>
                <w:szCs w:val="20"/>
              </w:rPr>
            </w:pPr>
            <w:r w:rsidRPr="0099598E">
              <w:rPr>
                <w:rFonts w:cstheme="minorHAnsi"/>
                <w:szCs w:val="20"/>
              </w:rPr>
              <w:t>0.77</w:t>
            </w:r>
          </w:p>
        </w:tc>
        <w:tc>
          <w:tcPr>
            <w:tcW w:w="861" w:type="dxa"/>
            <w:tcBorders>
              <w:top w:val="nil"/>
              <w:left w:val="nil"/>
              <w:bottom w:val="nil"/>
              <w:right w:val="nil"/>
            </w:tcBorders>
            <w:vAlign w:val="bottom"/>
          </w:tcPr>
          <w:p w14:paraId="1366D55F" w14:textId="77777777" w:rsidR="00961617" w:rsidRPr="0099598E" w:rsidRDefault="00961617" w:rsidP="0020771F">
            <w:pPr>
              <w:keepNext/>
              <w:keepLines/>
              <w:jc w:val="right"/>
              <w:rPr>
                <w:rFonts w:cstheme="minorHAnsi"/>
                <w:szCs w:val="20"/>
              </w:rPr>
            </w:pPr>
            <w:r w:rsidRPr="0099598E">
              <w:rPr>
                <w:rFonts w:cstheme="minorHAnsi"/>
                <w:szCs w:val="20"/>
              </w:rPr>
              <w:t>0.86</w:t>
            </w:r>
          </w:p>
        </w:tc>
        <w:tc>
          <w:tcPr>
            <w:tcW w:w="861" w:type="dxa"/>
            <w:tcBorders>
              <w:top w:val="nil"/>
              <w:left w:val="nil"/>
              <w:bottom w:val="nil"/>
              <w:right w:val="nil"/>
            </w:tcBorders>
            <w:vAlign w:val="bottom"/>
          </w:tcPr>
          <w:p w14:paraId="6B14551B" w14:textId="77777777" w:rsidR="00961617" w:rsidRPr="0099598E" w:rsidRDefault="00961617" w:rsidP="0020771F">
            <w:pPr>
              <w:keepNext/>
              <w:keepLines/>
              <w:jc w:val="right"/>
              <w:rPr>
                <w:rFonts w:cstheme="minorHAnsi"/>
                <w:szCs w:val="20"/>
              </w:rPr>
            </w:pPr>
            <w:r w:rsidRPr="0099598E">
              <w:rPr>
                <w:rFonts w:cstheme="minorHAnsi"/>
                <w:szCs w:val="20"/>
              </w:rPr>
              <w:t>0.83</w:t>
            </w:r>
          </w:p>
        </w:tc>
        <w:tc>
          <w:tcPr>
            <w:tcW w:w="861" w:type="dxa"/>
            <w:tcBorders>
              <w:top w:val="nil"/>
              <w:left w:val="nil"/>
              <w:bottom w:val="nil"/>
              <w:right w:val="nil"/>
            </w:tcBorders>
            <w:vAlign w:val="bottom"/>
          </w:tcPr>
          <w:p w14:paraId="0611E479" w14:textId="77777777" w:rsidR="00961617" w:rsidRPr="0099598E" w:rsidRDefault="00961617" w:rsidP="0020771F">
            <w:pPr>
              <w:keepNext/>
              <w:keepLines/>
              <w:jc w:val="right"/>
              <w:rPr>
                <w:rFonts w:cstheme="minorHAnsi"/>
                <w:szCs w:val="20"/>
              </w:rPr>
            </w:pPr>
            <w:r w:rsidRPr="0099598E">
              <w:rPr>
                <w:rFonts w:cstheme="minorHAnsi"/>
                <w:szCs w:val="20"/>
              </w:rPr>
              <w:t>0.79</w:t>
            </w:r>
          </w:p>
        </w:tc>
        <w:tc>
          <w:tcPr>
            <w:tcW w:w="861" w:type="dxa"/>
            <w:tcBorders>
              <w:top w:val="nil"/>
              <w:left w:val="nil"/>
              <w:bottom w:val="nil"/>
              <w:right w:val="nil"/>
            </w:tcBorders>
            <w:vAlign w:val="bottom"/>
          </w:tcPr>
          <w:p w14:paraId="7776AC94" w14:textId="77777777" w:rsidR="00961617" w:rsidRPr="0099598E" w:rsidRDefault="00961617" w:rsidP="0020771F">
            <w:pPr>
              <w:keepNext/>
              <w:keepLines/>
              <w:jc w:val="right"/>
              <w:rPr>
                <w:rFonts w:cstheme="minorHAnsi"/>
                <w:szCs w:val="20"/>
              </w:rPr>
            </w:pPr>
            <w:r w:rsidRPr="0099598E">
              <w:rPr>
                <w:rFonts w:cstheme="minorHAnsi"/>
                <w:szCs w:val="20"/>
              </w:rPr>
              <w:t>0.73</w:t>
            </w:r>
          </w:p>
        </w:tc>
        <w:tc>
          <w:tcPr>
            <w:tcW w:w="861" w:type="dxa"/>
            <w:tcBorders>
              <w:top w:val="nil"/>
              <w:left w:val="nil"/>
              <w:bottom w:val="nil"/>
            </w:tcBorders>
            <w:vAlign w:val="bottom"/>
          </w:tcPr>
          <w:p w14:paraId="1EC79391" w14:textId="77777777" w:rsidR="00961617" w:rsidRPr="0099598E" w:rsidRDefault="00961617" w:rsidP="0020771F">
            <w:pPr>
              <w:keepNext/>
              <w:keepLines/>
              <w:jc w:val="right"/>
              <w:rPr>
                <w:rFonts w:cstheme="minorHAnsi"/>
                <w:szCs w:val="20"/>
              </w:rPr>
            </w:pPr>
            <w:r w:rsidRPr="0099598E">
              <w:rPr>
                <w:rFonts w:cstheme="minorHAnsi"/>
                <w:szCs w:val="20"/>
              </w:rPr>
              <w:t>0.75</w:t>
            </w:r>
          </w:p>
        </w:tc>
      </w:tr>
      <w:tr w:rsidR="00961617" w:rsidRPr="0076418A" w14:paraId="3D049467" w14:textId="77777777" w:rsidTr="0020771F">
        <w:tc>
          <w:tcPr>
            <w:tcW w:w="4077" w:type="dxa"/>
            <w:tcBorders>
              <w:top w:val="nil"/>
              <w:bottom w:val="nil"/>
              <w:right w:val="nil"/>
            </w:tcBorders>
            <w:shd w:val="clear" w:color="auto" w:fill="E5E5E5" w:themeFill="background1" w:themeFillTint="33"/>
          </w:tcPr>
          <w:p w14:paraId="44DF6B49" w14:textId="77777777" w:rsidR="00961617" w:rsidRPr="0099598E" w:rsidRDefault="00961617" w:rsidP="0020771F">
            <w:pPr>
              <w:keepNext/>
              <w:keepLines/>
              <w:rPr>
                <w:rFonts w:cstheme="minorHAnsi"/>
                <w:szCs w:val="20"/>
              </w:rPr>
            </w:pPr>
            <w:r w:rsidRPr="0099598E">
              <w:rPr>
                <w:rFonts w:cstheme="minorHAnsi"/>
                <w:szCs w:val="20"/>
              </w:rPr>
              <w:t>Resided in outer region/remote/very remote</w:t>
            </w:r>
          </w:p>
        </w:tc>
        <w:tc>
          <w:tcPr>
            <w:tcW w:w="860" w:type="dxa"/>
            <w:tcBorders>
              <w:top w:val="nil"/>
              <w:left w:val="nil"/>
              <w:bottom w:val="nil"/>
              <w:right w:val="nil"/>
            </w:tcBorders>
            <w:shd w:val="clear" w:color="auto" w:fill="E5E5E5" w:themeFill="background1" w:themeFillTint="33"/>
            <w:vAlign w:val="bottom"/>
          </w:tcPr>
          <w:p w14:paraId="4A23A0D1"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53DD4ED6"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6C264A92" w14:textId="77777777" w:rsidR="00961617" w:rsidRPr="0099598E" w:rsidRDefault="00961617" w:rsidP="0020771F">
            <w:pPr>
              <w:keepNext/>
              <w:keepLines/>
              <w:jc w:val="right"/>
              <w:rPr>
                <w:rFonts w:cstheme="minorHAnsi"/>
                <w:szCs w:val="20"/>
              </w:rPr>
            </w:pPr>
            <w:r w:rsidRPr="0099598E">
              <w:rPr>
                <w:rFonts w:cstheme="minorHAnsi"/>
                <w:szCs w:val="20"/>
              </w:rPr>
              <w:t>0.85</w:t>
            </w:r>
          </w:p>
        </w:tc>
        <w:tc>
          <w:tcPr>
            <w:tcW w:w="861" w:type="dxa"/>
            <w:tcBorders>
              <w:top w:val="nil"/>
              <w:left w:val="nil"/>
              <w:bottom w:val="nil"/>
              <w:right w:val="nil"/>
            </w:tcBorders>
            <w:shd w:val="clear" w:color="auto" w:fill="E5E5E5" w:themeFill="background1" w:themeFillTint="33"/>
            <w:vAlign w:val="bottom"/>
          </w:tcPr>
          <w:p w14:paraId="1407B349" w14:textId="77777777" w:rsidR="00961617" w:rsidRPr="0099598E" w:rsidRDefault="00961617" w:rsidP="0020771F">
            <w:pPr>
              <w:keepNext/>
              <w:keepLines/>
              <w:jc w:val="right"/>
              <w:rPr>
                <w:rFonts w:cstheme="minorHAnsi"/>
                <w:szCs w:val="20"/>
              </w:rPr>
            </w:pPr>
            <w:r w:rsidRPr="0099598E">
              <w:rPr>
                <w:rFonts w:cstheme="minorHAnsi"/>
                <w:szCs w:val="20"/>
              </w:rPr>
              <w:t>0.86</w:t>
            </w:r>
          </w:p>
        </w:tc>
        <w:tc>
          <w:tcPr>
            <w:tcW w:w="861" w:type="dxa"/>
            <w:tcBorders>
              <w:top w:val="nil"/>
              <w:left w:val="nil"/>
              <w:bottom w:val="nil"/>
              <w:right w:val="nil"/>
            </w:tcBorders>
            <w:shd w:val="clear" w:color="auto" w:fill="E5E5E5" w:themeFill="background1" w:themeFillTint="33"/>
            <w:vAlign w:val="bottom"/>
          </w:tcPr>
          <w:p w14:paraId="0675AEE5" w14:textId="77777777" w:rsidR="00961617" w:rsidRPr="0099598E" w:rsidRDefault="00961617" w:rsidP="0020771F">
            <w:pPr>
              <w:keepNext/>
              <w:keepLines/>
              <w:jc w:val="right"/>
              <w:rPr>
                <w:rFonts w:cstheme="minorHAnsi"/>
                <w:szCs w:val="20"/>
              </w:rPr>
            </w:pPr>
            <w:r w:rsidRPr="0099598E">
              <w:rPr>
                <w:rFonts w:cstheme="minorHAnsi"/>
                <w:szCs w:val="20"/>
              </w:rPr>
              <w:t>0.83</w:t>
            </w:r>
          </w:p>
        </w:tc>
        <w:tc>
          <w:tcPr>
            <w:tcW w:w="861" w:type="dxa"/>
            <w:tcBorders>
              <w:top w:val="nil"/>
              <w:left w:val="nil"/>
              <w:bottom w:val="nil"/>
            </w:tcBorders>
            <w:shd w:val="clear" w:color="auto" w:fill="E5E5E5" w:themeFill="background1" w:themeFillTint="33"/>
            <w:vAlign w:val="bottom"/>
          </w:tcPr>
          <w:p w14:paraId="6BC34395" w14:textId="77777777" w:rsidR="00961617" w:rsidRPr="0099598E" w:rsidRDefault="00961617" w:rsidP="0020771F">
            <w:pPr>
              <w:keepNext/>
              <w:keepLines/>
              <w:jc w:val="right"/>
              <w:rPr>
                <w:rFonts w:cstheme="minorHAnsi"/>
                <w:szCs w:val="20"/>
              </w:rPr>
            </w:pPr>
            <w:r w:rsidRPr="0099598E">
              <w:rPr>
                <w:rFonts w:cstheme="minorHAnsi"/>
                <w:szCs w:val="20"/>
              </w:rPr>
              <w:t>n.s.</w:t>
            </w:r>
          </w:p>
        </w:tc>
      </w:tr>
      <w:tr w:rsidR="00961617" w:rsidRPr="0076418A" w14:paraId="3462A58F" w14:textId="77777777" w:rsidTr="0020771F">
        <w:tc>
          <w:tcPr>
            <w:tcW w:w="4077" w:type="dxa"/>
            <w:tcBorders>
              <w:top w:val="nil"/>
              <w:bottom w:val="nil"/>
              <w:right w:val="nil"/>
            </w:tcBorders>
          </w:tcPr>
          <w:p w14:paraId="73BE1532" w14:textId="77777777" w:rsidR="00961617" w:rsidRPr="0099598E" w:rsidRDefault="00961617" w:rsidP="0020771F">
            <w:pPr>
              <w:keepNext/>
              <w:keepLines/>
              <w:rPr>
                <w:rFonts w:cstheme="minorHAnsi"/>
                <w:szCs w:val="20"/>
              </w:rPr>
            </w:pPr>
            <w:r w:rsidRPr="0099598E">
              <w:rPr>
                <w:rFonts w:cstheme="minorHAnsi"/>
                <w:szCs w:val="20"/>
              </w:rPr>
              <w:t>Access to transport:  No transport</w:t>
            </w:r>
          </w:p>
        </w:tc>
        <w:tc>
          <w:tcPr>
            <w:tcW w:w="860" w:type="dxa"/>
            <w:tcBorders>
              <w:top w:val="nil"/>
              <w:left w:val="nil"/>
              <w:bottom w:val="nil"/>
              <w:right w:val="nil"/>
            </w:tcBorders>
            <w:vAlign w:val="bottom"/>
          </w:tcPr>
          <w:p w14:paraId="5E4020F0"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5D3C881A"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763E4361"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4DABDCB2"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vAlign w:val="bottom"/>
          </w:tcPr>
          <w:p w14:paraId="553E6743"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tcBorders>
            <w:vAlign w:val="bottom"/>
          </w:tcPr>
          <w:p w14:paraId="560C63EF" w14:textId="77777777" w:rsidR="00961617" w:rsidRPr="0099598E" w:rsidRDefault="00961617" w:rsidP="0020771F">
            <w:pPr>
              <w:keepNext/>
              <w:keepLines/>
              <w:jc w:val="right"/>
              <w:rPr>
                <w:rFonts w:cstheme="minorHAnsi"/>
                <w:szCs w:val="20"/>
              </w:rPr>
            </w:pPr>
            <w:r w:rsidRPr="0099598E">
              <w:rPr>
                <w:rFonts w:cstheme="minorHAnsi"/>
                <w:szCs w:val="20"/>
              </w:rPr>
              <w:t>0.81</w:t>
            </w:r>
          </w:p>
        </w:tc>
      </w:tr>
      <w:tr w:rsidR="00961617" w:rsidRPr="0076418A" w14:paraId="55728DD3" w14:textId="77777777" w:rsidTr="0020771F">
        <w:tc>
          <w:tcPr>
            <w:tcW w:w="4077" w:type="dxa"/>
            <w:tcBorders>
              <w:top w:val="nil"/>
              <w:bottom w:val="nil"/>
              <w:right w:val="nil"/>
            </w:tcBorders>
            <w:shd w:val="clear" w:color="auto" w:fill="E5E5E5" w:themeFill="background1" w:themeFillTint="33"/>
          </w:tcPr>
          <w:p w14:paraId="477641B4" w14:textId="77777777" w:rsidR="00961617" w:rsidRPr="0099598E" w:rsidRDefault="00961617" w:rsidP="0020771F">
            <w:pPr>
              <w:keepNext/>
              <w:keepLines/>
              <w:rPr>
                <w:rFonts w:cstheme="minorHAnsi"/>
                <w:szCs w:val="20"/>
              </w:rPr>
            </w:pPr>
            <w:r w:rsidRPr="0099598E">
              <w:rPr>
                <w:rFonts w:cstheme="minorHAnsi"/>
                <w:szCs w:val="20"/>
              </w:rPr>
              <w:t>Access to transport:  Public transport</w:t>
            </w:r>
          </w:p>
        </w:tc>
        <w:tc>
          <w:tcPr>
            <w:tcW w:w="860" w:type="dxa"/>
            <w:tcBorders>
              <w:top w:val="nil"/>
              <w:left w:val="nil"/>
              <w:bottom w:val="nil"/>
              <w:right w:val="nil"/>
            </w:tcBorders>
            <w:shd w:val="clear" w:color="auto" w:fill="E5E5E5" w:themeFill="background1" w:themeFillTint="33"/>
            <w:vAlign w:val="bottom"/>
          </w:tcPr>
          <w:p w14:paraId="1EC37FAB" w14:textId="77777777" w:rsidR="00961617" w:rsidRPr="0099598E" w:rsidRDefault="00961617" w:rsidP="0020771F">
            <w:pPr>
              <w:keepNext/>
              <w:keepLines/>
              <w:jc w:val="right"/>
              <w:rPr>
                <w:rFonts w:cstheme="minorHAnsi"/>
                <w:szCs w:val="20"/>
              </w:rPr>
            </w:pPr>
            <w:r w:rsidRPr="0099598E">
              <w:rPr>
                <w:rFonts w:cstheme="minorHAnsi"/>
                <w:szCs w:val="20"/>
              </w:rPr>
              <w:t>n.s.</w:t>
            </w:r>
          </w:p>
        </w:tc>
        <w:tc>
          <w:tcPr>
            <w:tcW w:w="861" w:type="dxa"/>
            <w:tcBorders>
              <w:top w:val="nil"/>
              <w:left w:val="nil"/>
              <w:bottom w:val="nil"/>
              <w:right w:val="nil"/>
            </w:tcBorders>
            <w:shd w:val="clear" w:color="auto" w:fill="E5E5E5" w:themeFill="background1" w:themeFillTint="33"/>
            <w:vAlign w:val="bottom"/>
          </w:tcPr>
          <w:p w14:paraId="4D057E77" w14:textId="77777777" w:rsidR="00961617" w:rsidRPr="0099598E" w:rsidRDefault="00961617" w:rsidP="0020771F">
            <w:pPr>
              <w:keepNext/>
              <w:keepLines/>
              <w:jc w:val="right"/>
              <w:rPr>
                <w:rFonts w:cstheme="minorHAnsi"/>
                <w:szCs w:val="20"/>
              </w:rPr>
            </w:pPr>
            <w:r w:rsidRPr="0099598E">
              <w:rPr>
                <w:rFonts w:cstheme="minorHAnsi"/>
                <w:szCs w:val="20"/>
              </w:rPr>
              <w:t>0.78</w:t>
            </w:r>
          </w:p>
        </w:tc>
        <w:tc>
          <w:tcPr>
            <w:tcW w:w="861" w:type="dxa"/>
            <w:tcBorders>
              <w:top w:val="nil"/>
              <w:left w:val="nil"/>
              <w:bottom w:val="nil"/>
              <w:right w:val="nil"/>
            </w:tcBorders>
            <w:shd w:val="clear" w:color="auto" w:fill="E5E5E5" w:themeFill="background1" w:themeFillTint="33"/>
            <w:vAlign w:val="bottom"/>
          </w:tcPr>
          <w:p w14:paraId="66D16FAC" w14:textId="77777777" w:rsidR="00961617" w:rsidRPr="0099598E" w:rsidRDefault="00961617" w:rsidP="0020771F">
            <w:pPr>
              <w:keepNext/>
              <w:keepLines/>
              <w:jc w:val="right"/>
              <w:rPr>
                <w:rFonts w:cstheme="minorHAnsi"/>
                <w:szCs w:val="20"/>
              </w:rPr>
            </w:pPr>
            <w:r w:rsidRPr="0099598E">
              <w:rPr>
                <w:rFonts w:cstheme="minorHAnsi"/>
                <w:szCs w:val="20"/>
              </w:rPr>
              <w:t>0.83</w:t>
            </w:r>
          </w:p>
        </w:tc>
        <w:tc>
          <w:tcPr>
            <w:tcW w:w="861" w:type="dxa"/>
            <w:tcBorders>
              <w:top w:val="nil"/>
              <w:left w:val="nil"/>
              <w:bottom w:val="nil"/>
              <w:right w:val="nil"/>
            </w:tcBorders>
            <w:shd w:val="clear" w:color="auto" w:fill="E5E5E5" w:themeFill="background1" w:themeFillTint="33"/>
            <w:vAlign w:val="bottom"/>
          </w:tcPr>
          <w:p w14:paraId="0BB60E87" w14:textId="77777777" w:rsidR="00961617" w:rsidRPr="0099598E" w:rsidRDefault="00961617" w:rsidP="0020771F">
            <w:pPr>
              <w:keepNext/>
              <w:keepLines/>
              <w:jc w:val="right"/>
              <w:rPr>
                <w:rFonts w:cstheme="minorHAnsi"/>
                <w:szCs w:val="20"/>
              </w:rPr>
            </w:pPr>
            <w:r w:rsidRPr="0099598E">
              <w:rPr>
                <w:rFonts w:cstheme="minorHAnsi"/>
                <w:szCs w:val="20"/>
              </w:rPr>
              <w:t>0.84</w:t>
            </w:r>
          </w:p>
        </w:tc>
        <w:tc>
          <w:tcPr>
            <w:tcW w:w="861" w:type="dxa"/>
            <w:tcBorders>
              <w:top w:val="nil"/>
              <w:left w:val="nil"/>
              <w:bottom w:val="nil"/>
              <w:right w:val="nil"/>
            </w:tcBorders>
            <w:shd w:val="clear" w:color="auto" w:fill="E5E5E5" w:themeFill="background1" w:themeFillTint="33"/>
            <w:vAlign w:val="bottom"/>
          </w:tcPr>
          <w:p w14:paraId="6257F9E1" w14:textId="77777777" w:rsidR="00961617" w:rsidRPr="0099598E" w:rsidRDefault="00961617" w:rsidP="0020771F">
            <w:pPr>
              <w:keepNext/>
              <w:keepLines/>
              <w:jc w:val="right"/>
              <w:rPr>
                <w:rFonts w:cstheme="minorHAnsi"/>
                <w:szCs w:val="20"/>
              </w:rPr>
            </w:pPr>
            <w:r w:rsidRPr="0099598E">
              <w:rPr>
                <w:rFonts w:cstheme="minorHAnsi"/>
                <w:szCs w:val="20"/>
              </w:rPr>
              <w:t>0.80</w:t>
            </w:r>
          </w:p>
        </w:tc>
        <w:tc>
          <w:tcPr>
            <w:tcW w:w="861" w:type="dxa"/>
            <w:tcBorders>
              <w:top w:val="nil"/>
              <w:left w:val="nil"/>
              <w:bottom w:val="nil"/>
            </w:tcBorders>
            <w:shd w:val="clear" w:color="auto" w:fill="E5E5E5" w:themeFill="background1" w:themeFillTint="33"/>
            <w:vAlign w:val="bottom"/>
          </w:tcPr>
          <w:p w14:paraId="641A065A" w14:textId="77777777" w:rsidR="00961617" w:rsidRPr="0099598E" w:rsidRDefault="00961617" w:rsidP="0020771F">
            <w:pPr>
              <w:keepNext/>
              <w:keepLines/>
              <w:jc w:val="right"/>
              <w:rPr>
                <w:rFonts w:cstheme="minorHAnsi"/>
                <w:szCs w:val="20"/>
              </w:rPr>
            </w:pPr>
            <w:r w:rsidRPr="0099598E">
              <w:rPr>
                <w:rFonts w:cstheme="minorHAnsi"/>
                <w:szCs w:val="20"/>
              </w:rPr>
              <w:t>0.81</w:t>
            </w:r>
          </w:p>
        </w:tc>
      </w:tr>
      <w:tr w:rsidR="00961617" w:rsidRPr="0076418A" w14:paraId="42841104" w14:textId="77777777" w:rsidTr="0020771F">
        <w:trPr>
          <w:cnfStyle w:val="010000000000" w:firstRow="0" w:lastRow="1" w:firstColumn="0" w:lastColumn="0" w:oddVBand="0" w:evenVBand="0" w:oddHBand="0" w:evenHBand="0" w:firstRowFirstColumn="0" w:firstRowLastColumn="0" w:lastRowFirstColumn="0" w:lastRowLastColumn="0"/>
        </w:trPr>
        <w:tc>
          <w:tcPr>
            <w:tcW w:w="4077" w:type="dxa"/>
            <w:tcBorders>
              <w:top w:val="nil"/>
              <w:bottom w:val="single" w:sz="4" w:space="0" w:color="auto"/>
              <w:right w:val="nil"/>
            </w:tcBorders>
          </w:tcPr>
          <w:p w14:paraId="26B7BD68" w14:textId="77777777" w:rsidR="00961617" w:rsidRPr="0099598E" w:rsidRDefault="00961617" w:rsidP="0020771F">
            <w:pPr>
              <w:keepNext/>
              <w:keepLines/>
              <w:rPr>
                <w:rFonts w:cstheme="minorHAnsi"/>
                <w:szCs w:val="20"/>
              </w:rPr>
            </w:pPr>
            <w:r w:rsidRPr="0099598E">
              <w:rPr>
                <w:rFonts w:cstheme="minorHAnsi"/>
                <w:szCs w:val="20"/>
              </w:rPr>
              <w:t>Mean unemployment duration (months)</w:t>
            </w:r>
            <w:r w:rsidRPr="0099598E">
              <w:rPr>
                <w:rFonts w:cstheme="minorHAnsi"/>
                <w:szCs w:val="20"/>
                <w:vertAlign w:val="superscript"/>
              </w:rPr>
              <w:t>(3)</w:t>
            </w:r>
          </w:p>
        </w:tc>
        <w:tc>
          <w:tcPr>
            <w:tcW w:w="860" w:type="dxa"/>
            <w:tcBorders>
              <w:top w:val="nil"/>
              <w:left w:val="nil"/>
              <w:bottom w:val="single" w:sz="4" w:space="0" w:color="auto"/>
              <w:right w:val="nil"/>
            </w:tcBorders>
            <w:vAlign w:val="bottom"/>
          </w:tcPr>
          <w:p w14:paraId="71EA0BE1" w14:textId="77777777" w:rsidR="00961617" w:rsidRPr="0099598E" w:rsidRDefault="00961617" w:rsidP="0020771F">
            <w:pPr>
              <w:keepNext/>
              <w:keepLines/>
              <w:jc w:val="right"/>
              <w:rPr>
                <w:rFonts w:cstheme="minorHAnsi"/>
                <w:szCs w:val="20"/>
              </w:rPr>
            </w:pPr>
            <w:r w:rsidRPr="0099598E">
              <w:rPr>
                <w:rFonts w:cstheme="minorHAnsi"/>
                <w:szCs w:val="20"/>
              </w:rPr>
              <w:t>0.99</w:t>
            </w:r>
          </w:p>
        </w:tc>
        <w:tc>
          <w:tcPr>
            <w:tcW w:w="861" w:type="dxa"/>
            <w:tcBorders>
              <w:top w:val="nil"/>
              <w:left w:val="nil"/>
              <w:bottom w:val="single" w:sz="4" w:space="0" w:color="auto"/>
              <w:right w:val="nil"/>
            </w:tcBorders>
            <w:vAlign w:val="bottom"/>
          </w:tcPr>
          <w:p w14:paraId="3AD6B36B" w14:textId="77777777" w:rsidR="00961617" w:rsidRPr="0099598E" w:rsidRDefault="00961617" w:rsidP="0020771F">
            <w:pPr>
              <w:keepNext/>
              <w:keepLines/>
              <w:jc w:val="right"/>
              <w:rPr>
                <w:rFonts w:cstheme="minorHAnsi"/>
                <w:szCs w:val="20"/>
              </w:rPr>
            </w:pPr>
            <w:r w:rsidRPr="0099598E">
              <w:rPr>
                <w:rFonts w:cstheme="minorHAnsi"/>
                <w:szCs w:val="20"/>
              </w:rPr>
              <w:t>0.99</w:t>
            </w:r>
          </w:p>
        </w:tc>
        <w:tc>
          <w:tcPr>
            <w:tcW w:w="861" w:type="dxa"/>
            <w:tcBorders>
              <w:top w:val="nil"/>
              <w:left w:val="nil"/>
              <w:bottom w:val="single" w:sz="4" w:space="0" w:color="auto"/>
              <w:right w:val="nil"/>
            </w:tcBorders>
            <w:vAlign w:val="bottom"/>
          </w:tcPr>
          <w:p w14:paraId="59ADF34D" w14:textId="77777777" w:rsidR="00961617" w:rsidRPr="0099598E" w:rsidRDefault="00961617" w:rsidP="0020771F">
            <w:pPr>
              <w:keepNext/>
              <w:keepLines/>
              <w:jc w:val="right"/>
              <w:rPr>
                <w:rFonts w:cstheme="minorHAnsi"/>
                <w:szCs w:val="20"/>
              </w:rPr>
            </w:pPr>
            <w:r w:rsidRPr="0099598E">
              <w:rPr>
                <w:rFonts w:cstheme="minorHAnsi"/>
                <w:szCs w:val="20"/>
              </w:rPr>
              <w:t>0.99</w:t>
            </w:r>
          </w:p>
        </w:tc>
        <w:tc>
          <w:tcPr>
            <w:tcW w:w="861" w:type="dxa"/>
            <w:tcBorders>
              <w:top w:val="nil"/>
              <w:left w:val="nil"/>
              <w:bottom w:val="single" w:sz="4" w:space="0" w:color="auto"/>
              <w:right w:val="nil"/>
            </w:tcBorders>
            <w:vAlign w:val="bottom"/>
          </w:tcPr>
          <w:p w14:paraId="015BAC3D" w14:textId="77777777" w:rsidR="00961617" w:rsidRPr="0099598E" w:rsidRDefault="00961617" w:rsidP="0020771F">
            <w:pPr>
              <w:keepNext/>
              <w:keepLines/>
              <w:jc w:val="right"/>
              <w:rPr>
                <w:rFonts w:cstheme="minorHAnsi"/>
                <w:szCs w:val="20"/>
              </w:rPr>
            </w:pPr>
            <w:r w:rsidRPr="0099598E">
              <w:rPr>
                <w:rFonts w:cstheme="minorHAnsi"/>
                <w:szCs w:val="20"/>
              </w:rPr>
              <w:t>0.99</w:t>
            </w:r>
          </w:p>
        </w:tc>
        <w:tc>
          <w:tcPr>
            <w:tcW w:w="861" w:type="dxa"/>
            <w:tcBorders>
              <w:top w:val="nil"/>
              <w:left w:val="nil"/>
              <w:bottom w:val="single" w:sz="4" w:space="0" w:color="auto"/>
              <w:right w:val="nil"/>
            </w:tcBorders>
            <w:vAlign w:val="bottom"/>
          </w:tcPr>
          <w:p w14:paraId="34EB5CC7" w14:textId="77777777" w:rsidR="00961617" w:rsidRPr="0099598E" w:rsidRDefault="00961617" w:rsidP="0020771F">
            <w:pPr>
              <w:keepNext/>
              <w:keepLines/>
              <w:jc w:val="right"/>
              <w:rPr>
                <w:rFonts w:cstheme="minorHAnsi"/>
                <w:szCs w:val="20"/>
              </w:rPr>
            </w:pPr>
            <w:r w:rsidRPr="0099598E">
              <w:rPr>
                <w:rFonts w:cstheme="minorHAnsi"/>
                <w:szCs w:val="20"/>
              </w:rPr>
              <w:t>0.99</w:t>
            </w:r>
          </w:p>
        </w:tc>
        <w:tc>
          <w:tcPr>
            <w:tcW w:w="861" w:type="dxa"/>
            <w:tcBorders>
              <w:top w:val="nil"/>
              <w:left w:val="nil"/>
              <w:bottom w:val="single" w:sz="4" w:space="0" w:color="auto"/>
            </w:tcBorders>
            <w:vAlign w:val="bottom"/>
          </w:tcPr>
          <w:p w14:paraId="4453161C" w14:textId="77777777" w:rsidR="00961617" w:rsidRPr="0099598E" w:rsidRDefault="00961617" w:rsidP="0020771F">
            <w:pPr>
              <w:keepNext/>
              <w:keepLines/>
              <w:jc w:val="right"/>
              <w:rPr>
                <w:rFonts w:cstheme="minorHAnsi"/>
                <w:szCs w:val="20"/>
              </w:rPr>
            </w:pPr>
            <w:r w:rsidRPr="0099598E">
              <w:rPr>
                <w:rFonts w:cstheme="minorHAnsi"/>
                <w:szCs w:val="20"/>
              </w:rPr>
              <w:t>0.99</w:t>
            </w:r>
          </w:p>
        </w:tc>
      </w:tr>
    </w:tbl>
    <w:p w14:paraId="5F8DAAB5" w14:textId="77777777" w:rsidR="00961617" w:rsidRPr="00775AAD" w:rsidRDefault="00961617" w:rsidP="00961617">
      <w:pPr>
        <w:keepNext/>
        <w:keepLines/>
        <w:spacing w:after="0" w:line="240" w:lineRule="auto"/>
        <w:rPr>
          <w:rFonts w:cstheme="minorHAnsi"/>
          <w:b/>
          <w:sz w:val="18"/>
          <w:szCs w:val="18"/>
        </w:rPr>
      </w:pPr>
      <w:r w:rsidRPr="00775AAD">
        <w:rPr>
          <w:rFonts w:cstheme="minorHAnsi"/>
          <w:b/>
          <w:sz w:val="18"/>
          <w:szCs w:val="18"/>
        </w:rPr>
        <w:t>Notes</w:t>
      </w:r>
      <w:r>
        <w:rPr>
          <w:rFonts w:cstheme="minorHAnsi"/>
          <w:b/>
          <w:sz w:val="18"/>
          <w:szCs w:val="18"/>
        </w:rPr>
        <w:t>:</w:t>
      </w:r>
    </w:p>
    <w:p w14:paraId="58DABCF1" w14:textId="77777777" w:rsidR="00961617" w:rsidRPr="002F5864" w:rsidRDefault="00961617" w:rsidP="00961617">
      <w:pPr>
        <w:pStyle w:val="Sourceandnotetextmultiplenotes"/>
        <w:numPr>
          <w:ilvl w:val="0"/>
          <w:numId w:val="77"/>
        </w:numPr>
        <w:ind w:left="426"/>
        <w:rPr>
          <w:rFonts w:cstheme="minorHAnsi"/>
        </w:rPr>
      </w:pPr>
      <w:r w:rsidRPr="002F5864">
        <w:rPr>
          <w:rFonts w:cstheme="minorHAnsi"/>
        </w:rPr>
        <w:t>Odds ratio less than one means this level of the independent variable is associated with significantly reduced odds of exiting income support, compared to the reference level. Similarly, odds ratio greater than one means this level of the independent variable is associated with significantly greater odds of exiting income support, compared to the reference level.</w:t>
      </w:r>
    </w:p>
    <w:p w14:paraId="5A8F4590" w14:textId="77777777" w:rsidR="00961617" w:rsidRDefault="00961617" w:rsidP="00961617">
      <w:pPr>
        <w:pStyle w:val="Sourceandnotetextmultiplenotes"/>
        <w:numPr>
          <w:ilvl w:val="0"/>
          <w:numId w:val="77"/>
        </w:numPr>
        <w:ind w:left="426"/>
        <w:rPr>
          <w:rFonts w:cstheme="minorHAnsi"/>
        </w:rPr>
      </w:pPr>
      <w:r>
        <w:rPr>
          <w:rFonts w:cstheme="minorHAnsi"/>
        </w:rPr>
        <w:t>The reference categories for independent variables in the regression model were:</w:t>
      </w:r>
    </w:p>
    <w:p w14:paraId="456C8140" w14:textId="77777777" w:rsidR="00961617" w:rsidRDefault="00961617" w:rsidP="00961617">
      <w:pPr>
        <w:pStyle w:val="Sourceandnotetextmultiplenotes"/>
        <w:numPr>
          <w:ilvl w:val="1"/>
          <w:numId w:val="77"/>
        </w:numPr>
        <w:rPr>
          <w:rFonts w:cstheme="minorHAnsi"/>
        </w:rPr>
      </w:pPr>
      <w:r>
        <w:rPr>
          <w:rFonts w:cstheme="minorHAnsi"/>
        </w:rPr>
        <w:t>Male</w:t>
      </w:r>
    </w:p>
    <w:p w14:paraId="6EA74937" w14:textId="77777777" w:rsidR="00961617" w:rsidRDefault="00961617" w:rsidP="00961617">
      <w:pPr>
        <w:pStyle w:val="Sourceandnotetextmultiplenotes"/>
        <w:numPr>
          <w:ilvl w:val="1"/>
          <w:numId w:val="77"/>
        </w:numPr>
        <w:rPr>
          <w:rFonts w:cstheme="minorHAnsi"/>
        </w:rPr>
      </w:pPr>
      <w:r>
        <w:rPr>
          <w:rFonts w:cstheme="minorHAnsi"/>
        </w:rPr>
        <w:t>30-49 years old</w:t>
      </w:r>
    </w:p>
    <w:p w14:paraId="22B0C270" w14:textId="77777777" w:rsidR="00961617" w:rsidRDefault="00961617" w:rsidP="00961617">
      <w:pPr>
        <w:pStyle w:val="Sourceandnotetextmultiplenotes"/>
        <w:numPr>
          <w:ilvl w:val="1"/>
          <w:numId w:val="77"/>
        </w:numPr>
        <w:rPr>
          <w:rFonts w:cstheme="minorHAnsi"/>
        </w:rPr>
      </w:pPr>
      <w:r>
        <w:rPr>
          <w:rFonts w:cstheme="minorHAnsi"/>
        </w:rPr>
        <w:t>Completed Year 10/11 education</w:t>
      </w:r>
    </w:p>
    <w:p w14:paraId="721FF51D" w14:textId="77777777" w:rsidR="00961617" w:rsidRDefault="00961617" w:rsidP="00961617">
      <w:pPr>
        <w:pStyle w:val="Sourceandnotetextmultiplenotes"/>
        <w:numPr>
          <w:ilvl w:val="1"/>
          <w:numId w:val="77"/>
        </w:numPr>
        <w:rPr>
          <w:rFonts w:cstheme="minorHAnsi"/>
        </w:rPr>
      </w:pPr>
      <w:r>
        <w:rPr>
          <w:rFonts w:cstheme="minorHAnsi"/>
        </w:rPr>
        <w:t>Youth Allowance (Other)</w:t>
      </w:r>
    </w:p>
    <w:p w14:paraId="4F0B3CBD" w14:textId="77777777" w:rsidR="00961617" w:rsidRDefault="00961617" w:rsidP="00961617">
      <w:pPr>
        <w:pStyle w:val="Sourceandnotetextmultiplenotes"/>
        <w:numPr>
          <w:ilvl w:val="1"/>
          <w:numId w:val="77"/>
        </w:numPr>
        <w:rPr>
          <w:rFonts w:cstheme="minorHAnsi"/>
        </w:rPr>
      </w:pPr>
      <w:r>
        <w:rPr>
          <w:rFonts w:cstheme="minorHAnsi"/>
        </w:rPr>
        <w:t>Indigenous</w:t>
      </w:r>
    </w:p>
    <w:p w14:paraId="7D260B61" w14:textId="77777777" w:rsidR="00961617" w:rsidRDefault="00961617" w:rsidP="00961617">
      <w:pPr>
        <w:pStyle w:val="Sourceandnotetextmultiplenotes"/>
        <w:numPr>
          <w:ilvl w:val="1"/>
          <w:numId w:val="77"/>
        </w:numPr>
        <w:rPr>
          <w:rFonts w:cstheme="minorHAnsi"/>
        </w:rPr>
      </w:pPr>
      <w:r>
        <w:rPr>
          <w:rFonts w:cstheme="minorHAnsi"/>
        </w:rPr>
        <w:t>Non-English speaking country of birth</w:t>
      </w:r>
    </w:p>
    <w:p w14:paraId="378F7795" w14:textId="77777777" w:rsidR="00961617" w:rsidRDefault="00961617" w:rsidP="00961617">
      <w:pPr>
        <w:pStyle w:val="Sourceandnotetextmultiplenotes"/>
        <w:numPr>
          <w:ilvl w:val="1"/>
          <w:numId w:val="77"/>
        </w:numPr>
        <w:rPr>
          <w:rFonts w:cstheme="minorHAnsi"/>
        </w:rPr>
      </w:pPr>
      <w:r>
        <w:rPr>
          <w:rFonts w:cstheme="minorHAnsi"/>
        </w:rPr>
        <w:t>With disability</w:t>
      </w:r>
    </w:p>
    <w:p w14:paraId="15EB65F9" w14:textId="77777777" w:rsidR="00961617" w:rsidRDefault="00961617" w:rsidP="00961617">
      <w:pPr>
        <w:pStyle w:val="Sourceandnotetextmultiplenotes"/>
        <w:numPr>
          <w:ilvl w:val="1"/>
          <w:numId w:val="77"/>
        </w:numPr>
        <w:rPr>
          <w:rFonts w:cstheme="minorHAnsi"/>
        </w:rPr>
      </w:pPr>
      <w:r>
        <w:rPr>
          <w:rFonts w:cstheme="minorHAnsi"/>
        </w:rPr>
        <w:t>Has worked in the last 2 years</w:t>
      </w:r>
    </w:p>
    <w:p w14:paraId="02B3C8F1" w14:textId="77777777" w:rsidR="00961617" w:rsidRDefault="00961617" w:rsidP="00961617">
      <w:pPr>
        <w:pStyle w:val="Sourceandnotetextmultiplenotes"/>
        <w:numPr>
          <w:ilvl w:val="1"/>
          <w:numId w:val="77"/>
        </w:numPr>
        <w:rPr>
          <w:rFonts w:cstheme="minorHAnsi"/>
        </w:rPr>
      </w:pPr>
      <w:r>
        <w:rPr>
          <w:rFonts w:cstheme="minorHAnsi"/>
        </w:rPr>
        <w:t>Resided in major city or inner regional area</w:t>
      </w:r>
    </w:p>
    <w:p w14:paraId="463083F7" w14:textId="77777777" w:rsidR="00961617" w:rsidRDefault="00961617" w:rsidP="00961617">
      <w:pPr>
        <w:pStyle w:val="Sourceandnotetextmultiplenotes"/>
        <w:numPr>
          <w:ilvl w:val="1"/>
          <w:numId w:val="77"/>
        </w:numPr>
        <w:rPr>
          <w:rFonts w:cstheme="minorHAnsi"/>
        </w:rPr>
      </w:pPr>
      <w:r>
        <w:rPr>
          <w:rFonts w:cstheme="minorHAnsi"/>
        </w:rPr>
        <w:t>Access to own transport</w:t>
      </w:r>
    </w:p>
    <w:p w14:paraId="4E438056" w14:textId="3BF168C6" w:rsidR="00961617" w:rsidRPr="002F5864" w:rsidRDefault="00961617" w:rsidP="00961617">
      <w:pPr>
        <w:pStyle w:val="Sourceandnotetextmultiplenotes"/>
        <w:numPr>
          <w:ilvl w:val="0"/>
          <w:numId w:val="77"/>
        </w:numPr>
        <w:ind w:left="426"/>
        <w:rPr>
          <w:rFonts w:cstheme="minorHAnsi"/>
        </w:rPr>
      </w:pPr>
      <w:r w:rsidRPr="002F5864">
        <w:rPr>
          <w:rFonts w:cstheme="minorHAnsi"/>
        </w:rPr>
        <w:t xml:space="preserve">Estimated percentage change in odds of exiting income support per </w:t>
      </w:r>
      <w:r w:rsidR="0075543B" w:rsidRPr="002F5864">
        <w:rPr>
          <w:rFonts w:cstheme="minorHAnsi"/>
        </w:rPr>
        <w:t>one-month</w:t>
      </w:r>
      <w:r w:rsidRPr="002F5864">
        <w:rPr>
          <w:rFonts w:cstheme="minorHAnsi"/>
        </w:rPr>
        <w:t xml:space="preserve"> increase in unemployment.</w:t>
      </w:r>
    </w:p>
    <w:p w14:paraId="0E9F396A" w14:textId="77777777" w:rsidR="00961617" w:rsidRPr="002F5864" w:rsidRDefault="00961617" w:rsidP="00961617">
      <w:pPr>
        <w:pStyle w:val="Sourceandnotetextmultiplenotes"/>
        <w:numPr>
          <w:ilvl w:val="0"/>
          <w:numId w:val="77"/>
        </w:numPr>
        <w:ind w:left="426"/>
        <w:rPr>
          <w:rFonts w:cstheme="minorHAnsi"/>
        </w:rPr>
      </w:pPr>
      <w:r w:rsidRPr="002F5864">
        <w:rPr>
          <w:rFonts w:cstheme="minorHAnsi"/>
        </w:rPr>
        <w:t>n.s. Not significant at the 10 per cent level.</w:t>
      </w:r>
    </w:p>
    <w:p w14:paraId="0D6A46A4" w14:textId="77777777" w:rsidR="00961617" w:rsidRPr="002F5864" w:rsidRDefault="00961617" w:rsidP="0033478B">
      <w:pPr>
        <w:pStyle w:val="Source"/>
      </w:pPr>
      <w:r w:rsidRPr="002F5864">
        <w:rPr>
          <w:b/>
        </w:rPr>
        <w:t>Source</w:t>
      </w:r>
      <w:r w:rsidRPr="002F5864">
        <w:t>:</w:t>
      </w:r>
      <w:r w:rsidR="00E13B5E">
        <w:tab/>
      </w:r>
      <w:r w:rsidRPr="002F5864">
        <w:t xml:space="preserve">Department of Employment </w:t>
      </w:r>
      <w:r>
        <w:t>a</w:t>
      </w:r>
      <w:r w:rsidRPr="002F5864">
        <w:t>dministrative data</w:t>
      </w:r>
      <w:r>
        <w:t xml:space="preserve"> and Research and Evaluation dataset (RED)</w:t>
      </w:r>
      <w:r w:rsidRPr="002F5864">
        <w:t>.</w:t>
      </w:r>
    </w:p>
    <w:p w14:paraId="4124BEB8" w14:textId="77777777" w:rsidR="00961617" w:rsidRDefault="00864C5E" w:rsidP="00961617">
      <w:pPr>
        <w:spacing w:before="120"/>
        <w:rPr>
          <w:rFonts w:cstheme="minorHAnsi"/>
          <w:sz w:val="18"/>
          <w:szCs w:val="18"/>
        </w:rPr>
      </w:pPr>
      <w:hyperlink w:anchor="Place_A233" w:history="1">
        <w:r w:rsidR="00961617" w:rsidRPr="005F7891">
          <w:rPr>
            <w:rStyle w:val="Hyperlink"/>
            <w:sz w:val="18"/>
            <w:szCs w:val="18"/>
          </w:rPr>
          <w:t xml:space="preserve">Return to </w:t>
        </w:r>
        <w:r w:rsidR="003649E1" w:rsidRPr="005F7891">
          <w:rPr>
            <w:rStyle w:val="Hyperlink"/>
            <w:sz w:val="18"/>
            <w:szCs w:val="18"/>
          </w:rPr>
          <w:t>s</w:t>
        </w:r>
        <w:r w:rsidR="00961617" w:rsidRPr="005F7891">
          <w:rPr>
            <w:rStyle w:val="Hyperlink"/>
            <w:sz w:val="18"/>
            <w:szCs w:val="18"/>
          </w:rPr>
          <w:t>ection 6.2.2</w:t>
        </w:r>
      </w:hyperlink>
      <w:r w:rsidR="00961617" w:rsidRPr="00775AAD">
        <w:rPr>
          <w:sz w:val="18"/>
          <w:szCs w:val="18"/>
        </w:rPr>
        <w:t xml:space="preserve"> where this data is referenced.</w:t>
      </w:r>
    </w:p>
    <w:p w14:paraId="39B57B13" w14:textId="77777777" w:rsidR="00961617" w:rsidRDefault="00961617" w:rsidP="00961617">
      <w:pPr>
        <w:rPr>
          <w:rFonts w:cstheme="minorHAnsi"/>
          <w:b/>
          <w:i/>
          <w:sz w:val="18"/>
          <w:szCs w:val="18"/>
        </w:rPr>
      </w:pPr>
      <w:r>
        <w:rPr>
          <w:rFonts w:cstheme="minorHAnsi"/>
          <w:sz w:val="18"/>
          <w:szCs w:val="18"/>
        </w:rPr>
        <w:br w:type="page"/>
      </w:r>
    </w:p>
    <w:p w14:paraId="023F66C4" w14:textId="77777777" w:rsidR="00961617" w:rsidRPr="002F5864" w:rsidRDefault="00961617" w:rsidP="00961617">
      <w:pPr>
        <w:pStyle w:val="TableheadingforappendixA1"/>
        <w:rPr>
          <w:rFonts w:cstheme="minorHAnsi"/>
        </w:rPr>
      </w:pPr>
      <w:bookmarkStart w:id="704" w:name="_Toc513129927"/>
      <w:r w:rsidRPr="002F5864">
        <w:rPr>
          <w:rFonts w:cstheme="minorHAnsi"/>
        </w:rPr>
        <w:t>Table A2.</w:t>
      </w:r>
      <w:r>
        <w:rPr>
          <w:rFonts w:cstheme="minorHAnsi"/>
        </w:rPr>
        <w:t>34</w:t>
      </w:r>
      <w:r w:rsidRPr="002F5864">
        <w:rPr>
          <w:rFonts w:cstheme="minorHAnsi"/>
          <w:noProof/>
        </w:rPr>
        <w:t xml:space="preserve">: </w:t>
      </w:r>
      <w:r>
        <w:rPr>
          <w:rFonts w:cstheme="minorHAnsi"/>
          <w:noProof/>
        </w:rPr>
        <w:t>Comparison of actual and predicted rates of off income support for comparison group over time (per cent)</w:t>
      </w:r>
      <w:bookmarkEnd w:id="704"/>
    </w:p>
    <w:tbl>
      <w:tblPr>
        <w:tblW w:w="6394" w:type="dxa"/>
        <w:tblInd w:w="93" w:type="dxa"/>
        <w:tblLook w:val="04A0" w:firstRow="1" w:lastRow="0" w:firstColumn="1" w:lastColumn="0" w:noHBand="0" w:noVBand="1"/>
      </w:tblPr>
      <w:tblGrid>
        <w:gridCol w:w="2142"/>
        <w:gridCol w:w="1559"/>
        <w:gridCol w:w="1276"/>
        <w:gridCol w:w="1417"/>
      </w:tblGrid>
      <w:tr w:rsidR="00961617" w:rsidRPr="00824315" w14:paraId="5C297911" w14:textId="77777777" w:rsidTr="0020771F">
        <w:trPr>
          <w:trHeight w:val="434"/>
        </w:trPr>
        <w:tc>
          <w:tcPr>
            <w:tcW w:w="2142" w:type="dxa"/>
            <w:tcBorders>
              <w:top w:val="nil"/>
              <w:left w:val="nil"/>
              <w:right w:val="nil"/>
            </w:tcBorders>
            <w:shd w:val="clear" w:color="auto" w:fill="1E3D6B"/>
            <w:noWrap/>
            <w:vAlign w:val="center"/>
            <w:hideMark/>
          </w:tcPr>
          <w:p w14:paraId="55561F08" w14:textId="77777777" w:rsidR="00961617" w:rsidRPr="00824315" w:rsidRDefault="00961617" w:rsidP="0020771F">
            <w:pPr>
              <w:spacing w:after="0" w:line="240" w:lineRule="auto"/>
              <w:rPr>
                <w:rFonts w:ascii="Calibri" w:eastAsia="Times New Roman" w:hAnsi="Calibri" w:cs="Calibri"/>
                <w:b/>
                <w:color w:val="FFFFFF" w:themeColor="background2"/>
                <w:sz w:val="20"/>
                <w:szCs w:val="20"/>
                <w:lang w:eastAsia="en-AU"/>
              </w:rPr>
            </w:pPr>
            <w:bookmarkStart w:id="705" w:name="Title_A234"/>
            <w:bookmarkEnd w:id="705"/>
            <w:r>
              <w:rPr>
                <w:rFonts w:ascii="Calibri" w:eastAsia="Times New Roman" w:hAnsi="Calibri" w:cs="Calibri"/>
                <w:b/>
                <w:color w:val="FFFFFF" w:themeColor="background2"/>
                <w:sz w:val="20"/>
                <w:szCs w:val="20"/>
                <w:lang w:eastAsia="en-AU"/>
              </w:rPr>
              <w:t>Months since July 2010</w:t>
            </w:r>
          </w:p>
        </w:tc>
        <w:tc>
          <w:tcPr>
            <w:tcW w:w="1559" w:type="dxa"/>
            <w:tcBorders>
              <w:top w:val="nil"/>
              <w:left w:val="nil"/>
              <w:right w:val="nil"/>
            </w:tcBorders>
            <w:shd w:val="clear" w:color="auto" w:fill="1E3D6B"/>
            <w:noWrap/>
            <w:vAlign w:val="center"/>
            <w:hideMark/>
          </w:tcPr>
          <w:p w14:paraId="63F147BA"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Actual</w:t>
            </w:r>
          </w:p>
        </w:tc>
        <w:tc>
          <w:tcPr>
            <w:tcW w:w="1276" w:type="dxa"/>
            <w:tcBorders>
              <w:top w:val="nil"/>
              <w:left w:val="nil"/>
              <w:right w:val="nil"/>
            </w:tcBorders>
            <w:shd w:val="clear" w:color="auto" w:fill="1E3D6B"/>
            <w:noWrap/>
            <w:vAlign w:val="center"/>
            <w:hideMark/>
          </w:tcPr>
          <w:p w14:paraId="3A59A8E6"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Predicted</w:t>
            </w:r>
          </w:p>
        </w:tc>
        <w:tc>
          <w:tcPr>
            <w:tcW w:w="1417" w:type="dxa"/>
            <w:tcBorders>
              <w:top w:val="nil"/>
              <w:left w:val="nil"/>
              <w:right w:val="nil"/>
            </w:tcBorders>
            <w:shd w:val="clear" w:color="auto" w:fill="1E3D6B"/>
            <w:noWrap/>
            <w:vAlign w:val="center"/>
            <w:hideMark/>
          </w:tcPr>
          <w:p w14:paraId="1CB162D6"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Difference</w:t>
            </w:r>
          </w:p>
        </w:tc>
      </w:tr>
      <w:tr w:rsidR="00961617" w:rsidRPr="00824315" w14:paraId="13794672" w14:textId="77777777" w:rsidTr="0020771F">
        <w:trPr>
          <w:trHeight w:val="288"/>
        </w:trPr>
        <w:tc>
          <w:tcPr>
            <w:tcW w:w="2142" w:type="dxa"/>
            <w:tcBorders>
              <w:left w:val="nil"/>
              <w:bottom w:val="nil"/>
              <w:right w:val="nil"/>
            </w:tcBorders>
            <w:shd w:val="clear" w:color="auto" w:fill="auto"/>
            <w:noWrap/>
            <w:vAlign w:val="center"/>
            <w:hideMark/>
          </w:tcPr>
          <w:p w14:paraId="3E166C66"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w:t>
            </w:r>
          </w:p>
        </w:tc>
        <w:tc>
          <w:tcPr>
            <w:tcW w:w="1559" w:type="dxa"/>
            <w:tcBorders>
              <w:left w:val="nil"/>
              <w:bottom w:val="nil"/>
              <w:right w:val="nil"/>
            </w:tcBorders>
            <w:shd w:val="clear" w:color="auto" w:fill="auto"/>
            <w:noWrap/>
            <w:vAlign w:val="center"/>
            <w:hideMark/>
          </w:tcPr>
          <w:p w14:paraId="7D495C1E"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1.1</w:t>
            </w:r>
          </w:p>
        </w:tc>
        <w:tc>
          <w:tcPr>
            <w:tcW w:w="1276" w:type="dxa"/>
            <w:tcBorders>
              <w:left w:val="nil"/>
              <w:bottom w:val="nil"/>
              <w:right w:val="nil"/>
            </w:tcBorders>
            <w:shd w:val="clear" w:color="auto" w:fill="auto"/>
            <w:noWrap/>
            <w:vAlign w:val="center"/>
            <w:hideMark/>
          </w:tcPr>
          <w:p w14:paraId="025FEDA7"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1.6</w:t>
            </w:r>
          </w:p>
        </w:tc>
        <w:tc>
          <w:tcPr>
            <w:tcW w:w="1417" w:type="dxa"/>
            <w:tcBorders>
              <w:left w:val="nil"/>
              <w:bottom w:val="nil"/>
              <w:right w:val="nil"/>
            </w:tcBorders>
            <w:shd w:val="clear" w:color="auto" w:fill="auto"/>
            <w:noWrap/>
            <w:vAlign w:val="center"/>
            <w:hideMark/>
          </w:tcPr>
          <w:p w14:paraId="352CD1CC"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0.5</w:t>
            </w:r>
          </w:p>
        </w:tc>
      </w:tr>
      <w:tr w:rsidR="00961617" w:rsidRPr="00824315" w14:paraId="42677A5C" w14:textId="77777777" w:rsidTr="0020771F">
        <w:trPr>
          <w:trHeight w:val="288"/>
        </w:trPr>
        <w:tc>
          <w:tcPr>
            <w:tcW w:w="2142" w:type="dxa"/>
            <w:tcBorders>
              <w:top w:val="nil"/>
              <w:left w:val="nil"/>
              <w:bottom w:val="nil"/>
              <w:right w:val="nil"/>
            </w:tcBorders>
            <w:shd w:val="clear" w:color="auto" w:fill="E5E5E5" w:themeFill="background1" w:themeFillTint="33"/>
            <w:noWrap/>
            <w:vAlign w:val="center"/>
            <w:hideMark/>
          </w:tcPr>
          <w:p w14:paraId="2E904AE6"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6</w:t>
            </w:r>
          </w:p>
        </w:tc>
        <w:tc>
          <w:tcPr>
            <w:tcW w:w="1559" w:type="dxa"/>
            <w:tcBorders>
              <w:top w:val="nil"/>
              <w:left w:val="nil"/>
              <w:bottom w:val="nil"/>
              <w:right w:val="nil"/>
            </w:tcBorders>
            <w:shd w:val="clear" w:color="auto" w:fill="E5E5E5" w:themeFill="background1" w:themeFillTint="33"/>
            <w:noWrap/>
            <w:vAlign w:val="center"/>
            <w:hideMark/>
          </w:tcPr>
          <w:p w14:paraId="709617F8"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2.9</w:t>
            </w:r>
          </w:p>
        </w:tc>
        <w:tc>
          <w:tcPr>
            <w:tcW w:w="1276" w:type="dxa"/>
            <w:tcBorders>
              <w:top w:val="nil"/>
              <w:left w:val="nil"/>
              <w:bottom w:val="nil"/>
              <w:right w:val="nil"/>
            </w:tcBorders>
            <w:shd w:val="clear" w:color="auto" w:fill="E5E5E5" w:themeFill="background1" w:themeFillTint="33"/>
            <w:noWrap/>
            <w:vAlign w:val="center"/>
            <w:hideMark/>
          </w:tcPr>
          <w:p w14:paraId="49226AB2"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3.5</w:t>
            </w:r>
          </w:p>
        </w:tc>
        <w:tc>
          <w:tcPr>
            <w:tcW w:w="1417" w:type="dxa"/>
            <w:tcBorders>
              <w:top w:val="nil"/>
              <w:left w:val="nil"/>
              <w:bottom w:val="nil"/>
              <w:right w:val="nil"/>
            </w:tcBorders>
            <w:shd w:val="clear" w:color="auto" w:fill="E5E5E5" w:themeFill="background1" w:themeFillTint="33"/>
            <w:noWrap/>
            <w:vAlign w:val="center"/>
            <w:hideMark/>
          </w:tcPr>
          <w:p w14:paraId="48641431"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0.7</w:t>
            </w:r>
          </w:p>
        </w:tc>
      </w:tr>
      <w:tr w:rsidR="00961617" w:rsidRPr="00824315" w14:paraId="3C2DA4E2" w14:textId="77777777" w:rsidTr="0020771F">
        <w:trPr>
          <w:trHeight w:val="288"/>
        </w:trPr>
        <w:tc>
          <w:tcPr>
            <w:tcW w:w="2142" w:type="dxa"/>
            <w:tcBorders>
              <w:top w:val="nil"/>
              <w:left w:val="nil"/>
              <w:bottom w:val="nil"/>
              <w:right w:val="nil"/>
            </w:tcBorders>
            <w:shd w:val="clear" w:color="auto" w:fill="auto"/>
            <w:noWrap/>
            <w:vAlign w:val="center"/>
            <w:hideMark/>
          </w:tcPr>
          <w:p w14:paraId="16CDFE1B"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9</w:t>
            </w:r>
          </w:p>
        </w:tc>
        <w:tc>
          <w:tcPr>
            <w:tcW w:w="1559" w:type="dxa"/>
            <w:tcBorders>
              <w:top w:val="nil"/>
              <w:left w:val="nil"/>
              <w:bottom w:val="nil"/>
              <w:right w:val="nil"/>
            </w:tcBorders>
            <w:shd w:val="clear" w:color="auto" w:fill="auto"/>
            <w:noWrap/>
            <w:vAlign w:val="center"/>
            <w:hideMark/>
          </w:tcPr>
          <w:p w14:paraId="779A0DC0"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7.2</w:t>
            </w:r>
          </w:p>
        </w:tc>
        <w:tc>
          <w:tcPr>
            <w:tcW w:w="1276" w:type="dxa"/>
            <w:tcBorders>
              <w:top w:val="nil"/>
              <w:left w:val="nil"/>
              <w:bottom w:val="nil"/>
              <w:right w:val="nil"/>
            </w:tcBorders>
            <w:shd w:val="clear" w:color="auto" w:fill="auto"/>
            <w:noWrap/>
            <w:vAlign w:val="center"/>
            <w:hideMark/>
          </w:tcPr>
          <w:p w14:paraId="6C0E6493"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5.7</w:t>
            </w:r>
          </w:p>
        </w:tc>
        <w:tc>
          <w:tcPr>
            <w:tcW w:w="1417" w:type="dxa"/>
            <w:tcBorders>
              <w:top w:val="nil"/>
              <w:left w:val="nil"/>
              <w:bottom w:val="nil"/>
              <w:right w:val="nil"/>
            </w:tcBorders>
            <w:shd w:val="clear" w:color="auto" w:fill="auto"/>
            <w:noWrap/>
            <w:vAlign w:val="center"/>
            <w:hideMark/>
          </w:tcPr>
          <w:p w14:paraId="7F3555E8"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-1.5</w:t>
            </w:r>
          </w:p>
        </w:tc>
      </w:tr>
      <w:tr w:rsidR="00961617" w:rsidRPr="00824315" w14:paraId="52DBF8EB" w14:textId="77777777" w:rsidTr="0020771F">
        <w:trPr>
          <w:trHeight w:val="288"/>
        </w:trPr>
        <w:tc>
          <w:tcPr>
            <w:tcW w:w="2142" w:type="dxa"/>
            <w:tcBorders>
              <w:top w:val="nil"/>
              <w:left w:val="nil"/>
              <w:bottom w:val="nil"/>
              <w:right w:val="nil"/>
            </w:tcBorders>
            <w:shd w:val="clear" w:color="auto" w:fill="E5E5E5" w:themeFill="background1" w:themeFillTint="33"/>
            <w:noWrap/>
            <w:vAlign w:val="center"/>
            <w:hideMark/>
          </w:tcPr>
          <w:p w14:paraId="3E1B58D4"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12</w:t>
            </w:r>
          </w:p>
        </w:tc>
        <w:tc>
          <w:tcPr>
            <w:tcW w:w="1559" w:type="dxa"/>
            <w:tcBorders>
              <w:top w:val="nil"/>
              <w:left w:val="nil"/>
              <w:bottom w:val="nil"/>
              <w:right w:val="nil"/>
            </w:tcBorders>
            <w:shd w:val="clear" w:color="auto" w:fill="E5E5E5" w:themeFill="background1" w:themeFillTint="33"/>
            <w:noWrap/>
            <w:vAlign w:val="center"/>
            <w:hideMark/>
          </w:tcPr>
          <w:p w14:paraId="3A2B97FB"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11.2</w:t>
            </w:r>
          </w:p>
        </w:tc>
        <w:tc>
          <w:tcPr>
            <w:tcW w:w="1276" w:type="dxa"/>
            <w:tcBorders>
              <w:top w:val="nil"/>
              <w:left w:val="nil"/>
              <w:bottom w:val="nil"/>
              <w:right w:val="nil"/>
            </w:tcBorders>
            <w:shd w:val="clear" w:color="auto" w:fill="E5E5E5" w:themeFill="background1" w:themeFillTint="33"/>
            <w:noWrap/>
            <w:vAlign w:val="center"/>
            <w:hideMark/>
          </w:tcPr>
          <w:p w14:paraId="35723F4B"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7.5</w:t>
            </w:r>
          </w:p>
        </w:tc>
        <w:tc>
          <w:tcPr>
            <w:tcW w:w="1417" w:type="dxa"/>
            <w:tcBorders>
              <w:top w:val="nil"/>
              <w:left w:val="nil"/>
              <w:bottom w:val="nil"/>
              <w:right w:val="nil"/>
            </w:tcBorders>
            <w:shd w:val="clear" w:color="auto" w:fill="E5E5E5" w:themeFill="background1" w:themeFillTint="33"/>
            <w:noWrap/>
            <w:vAlign w:val="center"/>
            <w:hideMark/>
          </w:tcPr>
          <w:p w14:paraId="7AF2E22E"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-3.7</w:t>
            </w:r>
          </w:p>
        </w:tc>
      </w:tr>
      <w:tr w:rsidR="00961617" w:rsidRPr="00824315" w14:paraId="35F2BA7E" w14:textId="77777777" w:rsidTr="0020771F">
        <w:trPr>
          <w:trHeight w:val="288"/>
        </w:trPr>
        <w:tc>
          <w:tcPr>
            <w:tcW w:w="2142" w:type="dxa"/>
            <w:tcBorders>
              <w:top w:val="nil"/>
              <w:left w:val="nil"/>
              <w:right w:val="nil"/>
            </w:tcBorders>
            <w:shd w:val="clear" w:color="auto" w:fill="auto"/>
            <w:noWrap/>
            <w:vAlign w:val="center"/>
            <w:hideMark/>
          </w:tcPr>
          <w:p w14:paraId="5BE93319"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15</w:t>
            </w:r>
          </w:p>
        </w:tc>
        <w:tc>
          <w:tcPr>
            <w:tcW w:w="1559" w:type="dxa"/>
            <w:tcBorders>
              <w:top w:val="nil"/>
              <w:left w:val="nil"/>
              <w:right w:val="nil"/>
            </w:tcBorders>
            <w:shd w:val="clear" w:color="auto" w:fill="auto"/>
            <w:noWrap/>
            <w:vAlign w:val="center"/>
            <w:hideMark/>
          </w:tcPr>
          <w:p w14:paraId="1C5A3D38"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14.4</w:t>
            </w:r>
          </w:p>
        </w:tc>
        <w:tc>
          <w:tcPr>
            <w:tcW w:w="1276" w:type="dxa"/>
            <w:tcBorders>
              <w:top w:val="nil"/>
              <w:left w:val="nil"/>
              <w:right w:val="nil"/>
            </w:tcBorders>
            <w:shd w:val="clear" w:color="auto" w:fill="auto"/>
            <w:noWrap/>
            <w:vAlign w:val="center"/>
            <w:hideMark/>
          </w:tcPr>
          <w:p w14:paraId="4CEB5FD7"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9.1</w:t>
            </w:r>
          </w:p>
        </w:tc>
        <w:tc>
          <w:tcPr>
            <w:tcW w:w="1417" w:type="dxa"/>
            <w:tcBorders>
              <w:top w:val="nil"/>
              <w:left w:val="nil"/>
              <w:right w:val="nil"/>
            </w:tcBorders>
            <w:shd w:val="clear" w:color="auto" w:fill="auto"/>
            <w:noWrap/>
            <w:vAlign w:val="center"/>
            <w:hideMark/>
          </w:tcPr>
          <w:p w14:paraId="7CC8946B"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-5.3</w:t>
            </w:r>
          </w:p>
        </w:tc>
      </w:tr>
      <w:tr w:rsidR="00961617" w:rsidRPr="00824315" w14:paraId="373AAA0A" w14:textId="77777777" w:rsidTr="0020771F">
        <w:trPr>
          <w:trHeight w:val="288"/>
        </w:trPr>
        <w:tc>
          <w:tcPr>
            <w:tcW w:w="2142" w:type="dxa"/>
            <w:tcBorders>
              <w:top w:val="nil"/>
              <w:left w:val="nil"/>
              <w:bottom w:val="single" w:sz="4" w:space="0" w:color="auto"/>
              <w:right w:val="nil"/>
            </w:tcBorders>
            <w:shd w:val="clear" w:color="auto" w:fill="E5E5E5" w:themeFill="background1" w:themeFillTint="33"/>
            <w:noWrap/>
            <w:vAlign w:val="center"/>
            <w:hideMark/>
          </w:tcPr>
          <w:p w14:paraId="3BE943B9" w14:textId="77777777" w:rsidR="00961617" w:rsidRPr="00824315" w:rsidRDefault="00961617" w:rsidP="0020771F">
            <w:pPr>
              <w:spacing w:after="0" w:line="240" w:lineRule="auto"/>
              <w:ind w:right="6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18</w:t>
            </w:r>
          </w:p>
        </w:tc>
        <w:tc>
          <w:tcPr>
            <w:tcW w:w="1559" w:type="dxa"/>
            <w:tcBorders>
              <w:top w:val="nil"/>
              <w:left w:val="nil"/>
              <w:bottom w:val="single" w:sz="4" w:space="0" w:color="auto"/>
              <w:right w:val="nil"/>
            </w:tcBorders>
            <w:shd w:val="clear" w:color="auto" w:fill="E5E5E5" w:themeFill="background1" w:themeFillTint="33"/>
            <w:noWrap/>
            <w:vAlign w:val="center"/>
            <w:hideMark/>
          </w:tcPr>
          <w:p w14:paraId="7ED7E2C6" w14:textId="77777777" w:rsidR="00961617" w:rsidRPr="00824315" w:rsidRDefault="00961617" w:rsidP="0020771F">
            <w:pPr>
              <w:spacing w:after="0" w:line="240" w:lineRule="auto"/>
              <w:ind w:right="380"/>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16.2</w:t>
            </w:r>
          </w:p>
        </w:tc>
        <w:tc>
          <w:tcPr>
            <w:tcW w:w="1276" w:type="dxa"/>
            <w:tcBorders>
              <w:top w:val="nil"/>
              <w:left w:val="nil"/>
              <w:bottom w:val="single" w:sz="4" w:space="0" w:color="auto"/>
              <w:right w:val="nil"/>
            </w:tcBorders>
            <w:shd w:val="clear" w:color="auto" w:fill="E5E5E5" w:themeFill="background1" w:themeFillTint="33"/>
            <w:noWrap/>
            <w:vAlign w:val="center"/>
            <w:hideMark/>
          </w:tcPr>
          <w:p w14:paraId="3B23CC94" w14:textId="77777777" w:rsidR="00961617" w:rsidRPr="00824315" w:rsidRDefault="00961617" w:rsidP="0020771F">
            <w:pPr>
              <w:spacing w:after="0" w:line="240" w:lineRule="auto"/>
              <w:ind w:left="-89" w:right="263"/>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10.4</w:t>
            </w:r>
          </w:p>
        </w:tc>
        <w:tc>
          <w:tcPr>
            <w:tcW w:w="1417" w:type="dxa"/>
            <w:tcBorders>
              <w:top w:val="nil"/>
              <w:left w:val="nil"/>
              <w:bottom w:val="single" w:sz="4" w:space="0" w:color="auto"/>
              <w:right w:val="nil"/>
            </w:tcBorders>
            <w:shd w:val="clear" w:color="auto" w:fill="E5E5E5" w:themeFill="background1" w:themeFillTint="33"/>
            <w:noWrap/>
            <w:vAlign w:val="center"/>
            <w:hideMark/>
          </w:tcPr>
          <w:p w14:paraId="676C0CF9" w14:textId="77777777" w:rsidR="00961617" w:rsidRPr="00824315" w:rsidRDefault="00961617" w:rsidP="0020771F">
            <w:pPr>
              <w:spacing w:after="0" w:line="240" w:lineRule="auto"/>
              <w:ind w:right="316"/>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-5.8</w:t>
            </w:r>
          </w:p>
        </w:tc>
      </w:tr>
    </w:tbl>
    <w:p w14:paraId="609A0597" w14:textId="77777777" w:rsidR="00961617" w:rsidRPr="002F5864" w:rsidRDefault="00961617" w:rsidP="0033478B">
      <w:pPr>
        <w:pStyle w:val="Source"/>
      </w:pPr>
      <w:r w:rsidRPr="002F5864">
        <w:rPr>
          <w:b/>
        </w:rPr>
        <w:t>Source</w:t>
      </w:r>
      <w:r w:rsidRPr="002F5864">
        <w:t xml:space="preserve">: Department of Employment </w:t>
      </w:r>
      <w:r>
        <w:t>a</w:t>
      </w:r>
      <w:r w:rsidRPr="002F5864">
        <w:t>dministrative data</w:t>
      </w:r>
      <w:r>
        <w:t xml:space="preserve"> and Research and Evaluation dataset (RED)</w:t>
      </w:r>
      <w:r w:rsidRPr="002F5864">
        <w:t>.</w:t>
      </w:r>
    </w:p>
    <w:p w14:paraId="0FD56865" w14:textId="77777777" w:rsidR="00961617" w:rsidRDefault="00864C5E" w:rsidP="00961617">
      <w:pPr>
        <w:spacing w:before="120"/>
        <w:rPr>
          <w:rFonts w:cstheme="minorHAnsi"/>
          <w:sz w:val="18"/>
          <w:szCs w:val="18"/>
        </w:rPr>
      </w:pPr>
      <w:hyperlink w:anchor="Place_A234" w:history="1">
        <w:r w:rsidR="00961617" w:rsidRPr="005F7891">
          <w:rPr>
            <w:rStyle w:val="Hyperlink"/>
            <w:sz w:val="18"/>
            <w:szCs w:val="18"/>
          </w:rPr>
          <w:t>Return to Figure 6.4</w:t>
        </w:r>
      </w:hyperlink>
      <w:r w:rsidR="00961617" w:rsidRPr="00775AAD">
        <w:rPr>
          <w:sz w:val="18"/>
          <w:szCs w:val="18"/>
        </w:rPr>
        <w:t xml:space="preserve"> where this data is referenced.</w:t>
      </w:r>
    </w:p>
    <w:p w14:paraId="0912ABCF" w14:textId="77777777" w:rsidR="00961617" w:rsidRPr="00706112" w:rsidRDefault="00961617" w:rsidP="00706112">
      <w:pPr>
        <w:pStyle w:val="TableheadingforappendixA1"/>
        <w:rPr>
          <w:rFonts w:cstheme="minorHAnsi"/>
        </w:rPr>
      </w:pPr>
      <w:bookmarkStart w:id="706" w:name="_Toc513129928"/>
      <w:r w:rsidRPr="00706112">
        <w:rPr>
          <w:rFonts w:cstheme="minorHAnsi"/>
        </w:rPr>
        <w:t>Table A2.35: Proportions exiting income support at 3-month intervals – matched groups (per cent)</w:t>
      </w:r>
      <w:bookmarkEnd w:id="706"/>
    </w:p>
    <w:tbl>
      <w:tblPr>
        <w:tblW w:w="6342" w:type="dxa"/>
        <w:tblInd w:w="93" w:type="dxa"/>
        <w:tblLook w:val="04A0" w:firstRow="1" w:lastRow="0" w:firstColumn="1" w:lastColumn="0" w:noHBand="0" w:noVBand="1"/>
      </w:tblPr>
      <w:tblGrid>
        <w:gridCol w:w="1575"/>
        <w:gridCol w:w="1842"/>
        <w:gridCol w:w="1843"/>
        <w:gridCol w:w="1082"/>
      </w:tblGrid>
      <w:tr w:rsidR="00961617" w:rsidRPr="00824315" w14:paraId="54B34787" w14:textId="77777777" w:rsidTr="0020771F">
        <w:trPr>
          <w:trHeight w:val="288"/>
          <w:tblHeader/>
        </w:trPr>
        <w:tc>
          <w:tcPr>
            <w:tcW w:w="1575" w:type="dxa"/>
            <w:shd w:val="clear" w:color="auto" w:fill="1E3D6B"/>
            <w:noWrap/>
            <w:hideMark/>
          </w:tcPr>
          <w:p w14:paraId="2C55D1C2"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bookmarkStart w:id="707" w:name="Title_A235"/>
            <w:bookmarkEnd w:id="707"/>
            <w:r w:rsidRPr="00824315">
              <w:rPr>
                <w:rFonts w:ascii="Calibri" w:eastAsia="Times New Roman" w:hAnsi="Calibri" w:cs="Calibri"/>
                <w:b/>
                <w:color w:val="FFFFFF" w:themeColor="background2"/>
                <w:sz w:val="20"/>
                <w:szCs w:val="20"/>
                <w:lang w:eastAsia="en-AU"/>
              </w:rPr>
              <w:t>Months since July 2010/2013 </w:t>
            </w:r>
          </w:p>
        </w:tc>
        <w:tc>
          <w:tcPr>
            <w:tcW w:w="1842" w:type="dxa"/>
            <w:shd w:val="clear" w:color="auto" w:fill="1E3D6B"/>
            <w:noWrap/>
            <w:hideMark/>
          </w:tcPr>
          <w:p w14:paraId="735CC3BC"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Matched comparison group JSA 2009</w:t>
            </w:r>
          </w:p>
        </w:tc>
        <w:tc>
          <w:tcPr>
            <w:tcW w:w="1843" w:type="dxa"/>
            <w:shd w:val="clear" w:color="auto" w:fill="1E3D6B"/>
            <w:noWrap/>
            <w:hideMark/>
          </w:tcPr>
          <w:p w14:paraId="48CDEF58"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Matched treatment group JSA 2012</w:t>
            </w:r>
          </w:p>
        </w:tc>
        <w:tc>
          <w:tcPr>
            <w:tcW w:w="1082" w:type="dxa"/>
            <w:shd w:val="clear" w:color="auto" w:fill="1E3D6B"/>
            <w:noWrap/>
            <w:hideMark/>
          </w:tcPr>
          <w:p w14:paraId="1F63DA1D" w14:textId="77777777" w:rsidR="00961617" w:rsidRPr="00824315"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824315">
              <w:rPr>
                <w:rFonts w:ascii="Calibri" w:eastAsia="Times New Roman" w:hAnsi="Calibri" w:cs="Calibri"/>
                <w:b/>
                <w:color w:val="FFFFFF" w:themeColor="background2"/>
                <w:sz w:val="20"/>
                <w:szCs w:val="20"/>
                <w:lang w:eastAsia="en-AU"/>
              </w:rPr>
              <w:t>Diff</w:t>
            </w:r>
            <w:r>
              <w:rPr>
                <w:rFonts w:ascii="Calibri" w:eastAsia="Times New Roman" w:hAnsi="Calibri" w:cs="Calibri"/>
                <w:b/>
                <w:color w:val="FFFFFF" w:themeColor="background2"/>
                <w:sz w:val="20"/>
                <w:szCs w:val="20"/>
                <w:lang w:eastAsia="en-AU"/>
              </w:rPr>
              <w:t>erence</w:t>
            </w:r>
          </w:p>
        </w:tc>
      </w:tr>
      <w:tr w:rsidR="00961617" w:rsidRPr="00824315" w14:paraId="3C9BC2E7" w14:textId="77777777" w:rsidTr="0020771F">
        <w:trPr>
          <w:trHeight w:val="288"/>
        </w:trPr>
        <w:tc>
          <w:tcPr>
            <w:tcW w:w="1575" w:type="dxa"/>
            <w:shd w:val="clear" w:color="auto" w:fill="auto"/>
            <w:noWrap/>
            <w:vAlign w:val="bottom"/>
            <w:hideMark/>
          </w:tcPr>
          <w:p w14:paraId="7CCBDA55"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w:t>
            </w:r>
          </w:p>
        </w:tc>
        <w:tc>
          <w:tcPr>
            <w:tcW w:w="1842" w:type="dxa"/>
            <w:shd w:val="clear" w:color="auto" w:fill="auto"/>
            <w:noWrap/>
            <w:vAlign w:val="bottom"/>
            <w:hideMark/>
          </w:tcPr>
          <w:p w14:paraId="3383FC58"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1.5</w:t>
            </w:r>
          </w:p>
        </w:tc>
        <w:tc>
          <w:tcPr>
            <w:tcW w:w="1843" w:type="dxa"/>
            <w:shd w:val="clear" w:color="auto" w:fill="auto"/>
            <w:noWrap/>
            <w:vAlign w:val="bottom"/>
            <w:hideMark/>
          </w:tcPr>
          <w:p w14:paraId="69749368"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2.3</w:t>
            </w:r>
          </w:p>
        </w:tc>
        <w:tc>
          <w:tcPr>
            <w:tcW w:w="1082" w:type="dxa"/>
            <w:shd w:val="clear" w:color="auto" w:fill="auto"/>
            <w:noWrap/>
            <w:vAlign w:val="bottom"/>
            <w:hideMark/>
          </w:tcPr>
          <w:p w14:paraId="3847FC03"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0.9</w:t>
            </w:r>
          </w:p>
        </w:tc>
      </w:tr>
      <w:tr w:rsidR="00961617" w:rsidRPr="00824315" w14:paraId="2745BAEC" w14:textId="77777777" w:rsidTr="0020771F">
        <w:trPr>
          <w:trHeight w:val="288"/>
        </w:trPr>
        <w:tc>
          <w:tcPr>
            <w:tcW w:w="1575" w:type="dxa"/>
            <w:shd w:val="clear" w:color="auto" w:fill="E5E5E5" w:themeFill="background1" w:themeFillTint="33"/>
            <w:noWrap/>
            <w:vAlign w:val="bottom"/>
            <w:hideMark/>
          </w:tcPr>
          <w:p w14:paraId="3E90DA28"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6</w:t>
            </w:r>
          </w:p>
        </w:tc>
        <w:tc>
          <w:tcPr>
            <w:tcW w:w="1842" w:type="dxa"/>
            <w:shd w:val="clear" w:color="auto" w:fill="E5E5E5" w:themeFill="background1" w:themeFillTint="33"/>
            <w:noWrap/>
            <w:vAlign w:val="bottom"/>
            <w:hideMark/>
          </w:tcPr>
          <w:p w14:paraId="560DF9E3"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3.9</w:t>
            </w:r>
          </w:p>
        </w:tc>
        <w:tc>
          <w:tcPr>
            <w:tcW w:w="1843" w:type="dxa"/>
            <w:shd w:val="clear" w:color="auto" w:fill="E5E5E5" w:themeFill="background1" w:themeFillTint="33"/>
            <w:noWrap/>
            <w:vAlign w:val="bottom"/>
            <w:hideMark/>
          </w:tcPr>
          <w:p w14:paraId="71384CA2"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5.7</w:t>
            </w:r>
          </w:p>
        </w:tc>
        <w:tc>
          <w:tcPr>
            <w:tcW w:w="1082" w:type="dxa"/>
            <w:shd w:val="clear" w:color="auto" w:fill="E5E5E5" w:themeFill="background1" w:themeFillTint="33"/>
            <w:noWrap/>
            <w:vAlign w:val="bottom"/>
            <w:hideMark/>
          </w:tcPr>
          <w:p w14:paraId="17E0D485"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1.9</w:t>
            </w:r>
          </w:p>
        </w:tc>
      </w:tr>
      <w:tr w:rsidR="00961617" w:rsidRPr="00824315" w14:paraId="5A37398E" w14:textId="77777777" w:rsidTr="0020771F">
        <w:trPr>
          <w:trHeight w:val="288"/>
        </w:trPr>
        <w:tc>
          <w:tcPr>
            <w:tcW w:w="1575" w:type="dxa"/>
            <w:shd w:val="clear" w:color="auto" w:fill="auto"/>
            <w:noWrap/>
            <w:vAlign w:val="bottom"/>
            <w:hideMark/>
          </w:tcPr>
          <w:p w14:paraId="3920C9F3"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9</w:t>
            </w:r>
          </w:p>
        </w:tc>
        <w:tc>
          <w:tcPr>
            <w:tcW w:w="1842" w:type="dxa"/>
            <w:shd w:val="clear" w:color="auto" w:fill="auto"/>
            <w:noWrap/>
            <w:vAlign w:val="bottom"/>
            <w:hideMark/>
          </w:tcPr>
          <w:p w14:paraId="39F03D6E"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8.7</w:t>
            </w:r>
          </w:p>
        </w:tc>
        <w:tc>
          <w:tcPr>
            <w:tcW w:w="1843" w:type="dxa"/>
            <w:shd w:val="clear" w:color="auto" w:fill="auto"/>
            <w:noWrap/>
            <w:vAlign w:val="bottom"/>
            <w:hideMark/>
          </w:tcPr>
          <w:p w14:paraId="507169BF"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7.9</w:t>
            </w:r>
          </w:p>
        </w:tc>
        <w:tc>
          <w:tcPr>
            <w:tcW w:w="1082" w:type="dxa"/>
            <w:shd w:val="clear" w:color="auto" w:fill="auto"/>
            <w:noWrap/>
            <w:vAlign w:val="bottom"/>
            <w:hideMark/>
          </w:tcPr>
          <w:p w14:paraId="29F2947D"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-0.9</w:t>
            </w:r>
          </w:p>
        </w:tc>
      </w:tr>
      <w:tr w:rsidR="00961617" w:rsidRPr="00824315" w14:paraId="50AC07D4" w14:textId="77777777" w:rsidTr="0020771F">
        <w:trPr>
          <w:trHeight w:val="288"/>
        </w:trPr>
        <w:tc>
          <w:tcPr>
            <w:tcW w:w="1575" w:type="dxa"/>
            <w:shd w:val="clear" w:color="auto" w:fill="E5E5E5" w:themeFill="background1" w:themeFillTint="33"/>
            <w:noWrap/>
            <w:vAlign w:val="bottom"/>
            <w:hideMark/>
          </w:tcPr>
          <w:p w14:paraId="13A7D4A1"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12</w:t>
            </w:r>
          </w:p>
        </w:tc>
        <w:tc>
          <w:tcPr>
            <w:tcW w:w="1842" w:type="dxa"/>
            <w:shd w:val="clear" w:color="auto" w:fill="E5E5E5" w:themeFill="background1" w:themeFillTint="33"/>
            <w:noWrap/>
            <w:vAlign w:val="bottom"/>
            <w:hideMark/>
          </w:tcPr>
          <w:p w14:paraId="2894E860"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12.5</w:t>
            </w:r>
          </w:p>
        </w:tc>
        <w:tc>
          <w:tcPr>
            <w:tcW w:w="1843" w:type="dxa"/>
            <w:shd w:val="clear" w:color="auto" w:fill="E5E5E5" w:themeFill="background1" w:themeFillTint="33"/>
            <w:noWrap/>
            <w:vAlign w:val="bottom"/>
            <w:hideMark/>
          </w:tcPr>
          <w:p w14:paraId="73A37414"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10.5</w:t>
            </w:r>
          </w:p>
        </w:tc>
        <w:tc>
          <w:tcPr>
            <w:tcW w:w="1082" w:type="dxa"/>
            <w:shd w:val="clear" w:color="auto" w:fill="E5E5E5" w:themeFill="background1" w:themeFillTint="33"/>
            <w:noWrap/>
            <w:vAlign w:val="bottom"/>
            <w:hideMark/>
          </w:tcPr>
          <w:p w14:paraId="60A90EDC"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-2.1</w:t>
            </w:r>
          </w:p>
        </w:tc>
      </w:tr>
      <w:tr w:rsidR="00961617" w:rsidRPr="00824315" w14:paraId="4D7CFE61" w14:textId="77777777" w:rsidTr="0020771F">
        <w:trPr>
          <w:trHeight w:val="288"/>
        </w:trPr>
        <w:tc>
          <w:tcPr>
            <w:tcW w:w="1575" w:type="dxa"/>
            <w:shd w:val="clear" w:color="auto" w:fill="auto"/>
            <w:noWrap/>
            <w:vAlign w:val="bottom"/>
            <w:hideMark/>
          </w:tcPr>
          <w:p w14:paraId="72B53E28"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15</w:t>
            </w:r>
          </w:p>
        </w:tc>
        <w:tc>
          <w:tcPr>
            <w:tcW w:w="1842" w:type="dxa"/>
            <w:shd w:val="clear" w:color="auto" w:fill="auto"/>
            <w:noWrap/>
            <w:vAlign w:val="bottom"/>
            <w:hideMark/>
          </w:tcPr>
          <w:p w14:paraId="2E1E852F"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16.3</w:t>
            </w:r>
          </w:p>
        </w:tc>
        <w:tc>
          <w:tcPr>
            <w:tcW w:w="1843" w:type="dxa"/>
            <w:shd w:val="clear" w:color="auto" w:fill="auto"/>
            <w:noWrap/>
            <w:vAlign w:val="bottom"/>
            <w:hideMark/>
          </w:tcPr>
          <w:p w14:paraId="63E83144"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12.7</w:t>
            </w:r>
          </w:p>
        </w:tc>
        <w:tc>
          <w:tcPr>
            <w:tcW w:w="1082" w:type="dxa"/>
            <w:shd w:val="clear" w:color="auto" w:fill="auto"/>
            <w:noWrap/>
            <w:vAlign w:val="bottom"/>
            <w:hideMark/>
          </w:tcPr>
          <w:p w14:paraId="5DB6EBB2"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-3.5</w:t>
            </w:r>
          </w:p>
        </w:tc>
      </w:tr>
      <w:tr w:rsidR="00961617" w:rsidRPr="00824315" w14:paraId="75D3EE5E" w14:textId="77777777" w:rsidTr="0020771F">
        <w:trPr>
          <w:trHeight w:val="288"/>
        </w:trPr>
        <w:tc>
          <w:tcPr>
            <w:tcW w:w="1575" w:type="dxa"/>
            <w:tcBorders>
              <w:bottom w:val="single" w:sz="4" w:space="0" w:color="auto"/>
            </w:tcBorders>
            <w:shd w:val="clear" w:color="auto" w:fill="E5E5E5" w:themeFill="background1" w:themeFillTint="33"/>
            <w:noWrap/>
            <w:vAlign w:val="bottom"/>
            <w:hideMark/>
          </w:tcPr>
          <w:p w14:paraId="4F37AC99" w14:textId="77777777" w:rsidR="00961617" w:rsidRPr="00824315" w:rsidRDefault="00961617" w:rsidP="0020771F">
            <w:pPr>
              <w:spacing w:after="0" w:line="240" w:lineRule="auto"/>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18</w:t>
            </w:r>
          </w:p>
        </w:tc>
        <w:tc>
          <w:tcPr>
            <w:tcW w:w="1842" w:type="dxa"/>
            <w:tcBorders>
              <w:bottom w:val="single" w:sz="4" w:space="0" w:color="auto"/>
            </w:tcBorders>
            <w:shd w:val="clear" w:color="auto" w:fill="E5E5E5" w:themeFill="background1" w:themeFillTint="33"/>
            <w:noWrap/>
            <w:vAlign w:val="bottom"/>
            <w:hideMark/>
          </w:tcPr>
          <w:p w14:paraId="25E54FDC" w14:textId="77777777" w:rsidR="00961617" w:rsidRPr="00824315" w:rsidRDefault="00961617" w:rsidP="0020771F">
            <w:pPr>
              <w:spacing w:after="0" w:line="240" w:lineRule="auto"/>
              <w:ind w:right="145"/>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18.4</w:t>
            </w:r>
          </w:p>
        </w:tc>
        <w:tc>
          <w:tcPr>
            <w:tcW w:w="1843" w:type="dxa"/>
            <w:tcBorders>
              <w:bottom w:val="single" w:sz="4" w:space="0" w:color="auto"/>
            </w:tcBorders>
            <w:shd w:val="clear" w:color="auto" w:fill="E5E5E5" w:themeFill="background1" w:themeFillTint="33"/>
            <w:noWrap/>
            <w:vAlign w:val="bottom"/>
            <w:hideMark/>
          </w:tcPr>
          <w:p w14:paraId="69358270" w14:textId="77777777" w:rsidR="00961617" w:rsidRPr="00824315" w:rsidRDefault="00961617" w:rsidP="0020771F">
            <w:pPr>
              <w:spacing w:after="0" w:line="240" w:lineRule="auto"/>
              <w:ind w:right="498"/>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14.4</w:t>
            </w:r>
          </w:p>
        </w:tc>
        <w:tc>
          <w:tcPr>
            <w:tcW w:w="1082" w:type="dxa"/>
            <w:tcBorders>
              <w:bottom w:val="single" w:sz="4" w:space="0" w:color="auto"/>
            </w:tcBorders>
            <w:shd w:val="clear" w:color="auto" w:fill="E5E5E5" w:themeFill="background1" w:themeFillTint="33"/>
            <w:noWrap/>
            <w:vAlign w:val="bottom"/>
            <w:hideMark/>
          </w:tcPr>
          <w:p w14:paraId="44D9E285" w14:textId="77777777" w:rsidR="00961617" w:rsidRPr="00824315" w:rsidRDefault="00961617" w:rsidP="0020771F">
            <w:pPr>
              <w:tabs>
                <w:tab w:val="left" w:pos="1440"/>
              </w:tabs>
              <w:spacing w:after="0" w:line="240" w:lineRule="auto"/>
              <w:ind w:left="-207" w:right="219"/>
              <w:jc w:val="right"/>
              <w:rPr>
                <w:rFonts w:ascii="Calibri" w:eastAsia="Times New Roman" w:hAnsi="Calibri" w:cs="Calibri"/>
                <w:color w:val="000000"/>
                <w:sz w:val="20"/>
                <w:szCs w:val="20"/>
                <w:lang w:eastAsia="en-AU"/>
              </w:rPr>
            </w:pPr>
            <w:r w:rsidRPr="00824315">
              <w:rPr>
                <w:rFonts w:ascii="Calibri" w:eastAsia="Times New Roman" w:hAnsi="Calibri" w:cs="Calibri"/>
                <w:color w:val="000000"/>
                <w:sz w:val="20"/>
                <w:szCs w:val="20"/>
                <w:lang w:eastAsia="en-AU"/>
              </w:rPr>
              <w:t>-4.0</w:t>
            </w:r>
          </w:p>
        </w:tc>
      </w:tr>
    </w:tbl>
    <w:p w14:paraId="5E6C751F" w14:textId="77777777" w:rsidR="00961617" w:rsidRPr="002F5864" w:rsidRDefault="00961617" w:rsidP="00E13B5E">
      <w:pPr>
        <w:pStyle w:val="Source"/>
      </w:pPr>
      <w:r w:rsidRPr="002F5864">
        <w:rPr>
          <w:b/>
        </w:rPr>
        <w:t>Source</w:t>
      </w:r>
      <w:r w:rsidRPr="002F5864">
        <w:t xml:space="preserve">: </w:t>
      </w:r>
      <w:r w:rsidR="00E13B5E">
        <w:tab/>
      </w:r>
      <w:r w:rsidRPr="002F5864">
        <w:t xml:space="preserve">Department of Employment </w:t>
      </w:r>
      <w:r>
        <w:t>a</w:t>
      </w:r>
      <w:r w:rsidRPr="002F5864">
        <w:t>dministrative data</w:t>
      </w:r>
      <w:r>
        <w:t xml:space="preserve"> and Research and Evaluation dataset (RED)</w:t>
      </w:r>
      <w:r w:rsidRPr="002F5864">
        <w:t>.</w:t>
      </w:r>
    </w:p>
    <w:p w14:paraId="01D6128A" w14:textId="77777777" w:rsidR="00961617" w:rsidRDefault="00864C5E" w:rsidP="00961617">
      <w:pPr>
        <w:spacing w:before="120"/>
        <w:rPr>
          <w:rFonts w:cstheme="minorHAnsi"/>
          <w:sz w:val="18"/>
          <w:szCs w:val="18"/>
        </w:rPr>
      </w:pPr>
      <w:hyperlink w:anchor="Place_A235" w:history="1">
        <w:r w:rsidR="00961617" w:rsidRPr="005F7891">
          <w:rPr>
            <w:rStyle w:val="Hyperlink"/>
            <w:sz w:val="18"/>
            <w:szCs w:val="18"/>
          </w:rPr>
          <w:t>Return to Figure 6.5</w:t>
        </w:r>
      </w:hyperlink>
      <w:r w:rsidR="00961617" w:rsidRPr="00775AAD">
        <w:rPr>
          <w:sz w:val="18"/>
          <w:szCs w:val="18"/>
        </w:rPr>
        <w:t xml:space="preserve"> where this data is referenced.</w:t>
      </w:r>
    </w:p>
    <w:p w14:paraId="0C91D74E" w14:textId="77777777" w:rsidR="00961617" w:rsidRDefault="00961617" w:rsidP="00961617">
      <w:pPr>
        <w:rPr>
          <w:rFonts w:cstheme="minorHAnsi"/>
          <w:b/>
          <w:i/>
          <w:sz w:val="20"/>
        </w:rPr>
      </w:pPr>
      <w:r>
        <w:rPr>
          <w:rFonts w:cstheme="minorHAnsi"/>
          <w:b/>
          <w:i/>
          <w:sz w:val="20"/>
        </w:rPr>
        <w:br w:type="page"/>
      </w:r>
    </w:p>
    <w:p w14:paraId="51FD9465" w14:textId="77777777" w:rsidR="00961617" w:rsidRPr="00706112" w:rsidRDefault="00961617" w:rsidP="00706112">
      <w:pPr>
        <w:pStyle w:val="TableheadingforappendixA1"/>
        <w:rPr>
          <w:rFonts w:cstheme="minorHAnsi"/>
        </w:rPr>
      </w:pPr>
      <w:bookmarkStart w:id="708" w:name="_Toc513129929"/>
      <w:r w:rsidRPr="00706112">
        <w:rPr>
          <w:rFonts w:cstheme="minorHAnsi"/>
        </w:rPr>
        <w:t>Table A2.36: Annual red tape estimates by activity ($ million)</w:t>
      </w:r>
      <w:bookmarkEnd w:id="708"/>
    </w:p>
    <w:tbl>
      <w:tblPr>
        <w:tblW w:w="7812" w:type="dxa"/>
        <w:tblInd w:w="93" w:type="dxa"/>
        <w:tblLook w:val="04A0" w:firstRow="1" w:lastRow="0" w:firstColumn="1" w:lastColumn="0" w:noHBand="0" w:noVBand="1"/>
      </w:tblPr>
      <w:tblGrid>
        <w:gridCol w:w="4784"/>
        <w:gridCol w:w="1327"/>
        <w:gridCol w:w="154"/>
        <w:gridCol w:w="1547"/>
      </w:tblGrid>
      <w:tr w:rsidR="00961617" w:rsidRPr="00961617" w14:paraId="40010D4C" w14:textId="77777777" w:rsidTr="00660C09">
        <w:trPr>
          <w:trHeight w:val="397"/>
          <w:tblHeader/>
        </w:trPr>
        <w:tc>
          <w:tcPr>
            <w:tcW w:w="4784" w:type="dxa"/>
            <w:tcBorders>
              <w:top w:val="nil"/>
              <w:left w:val="nil"/>
              <w:bottom w:val="nil"/>
              <w:right w:val="nil"/>
            </w:tcBorders>
            <w:shd w:val="clear" w:color="000000" w:fill="1E3D6B"/>
            <w:noWrap/>
            <w:vAlign w:val="center"/>
            <w:hideMark/>
          </w:tcPr>
          <w:p w14:paraId="0832B4FC" w14:textId="77777777" w:rsidR="00961617" w:rsidRPr="00961617" w:rsidRDefault="00961617" w:rsidP="0020771F">
            <w:pPr>
              <w:spacing w:after="0" w:line="240" w:lineRule="auto"/>
              <w:rPr>
                <w:rFonts w:eastAsia="Times New Roman" w:cstheme="minorHAnsi"/>
                <w:b/>
                <w:bCs/>
                <w:color w:val="FFFFFF"/>
                <w:sz w:val="20"/>
                <w:szCs w:val="20"/>
                <w:lang w:eastAsia="en-AU"/>
              </w:rPr>
            </w:pPr>
            <w:bookmarkStart w:id="709" w:name="Title_A236"/>
            <w:bookmarkEnd w:id="709"/>
            <w:r w:rsidRPr="00961617">
              <w:rPr>
                <w:rFonts w:eastAsia="Times New Roman" w:cstheme="minorHAnsi"/>
                <w:b/>
                <w:bCs/>
                <w:color w:val="FFFFFF"/>
                <w:sz w:val="20"/>
                <w:szCs w:val="20"/>
                <w:lang w:eastAsia="en-AU"/>
              </w:rPr>
              <w:t>Activity</w:t>
            </w:r>
          </w:p>
        </w:tc>
        <w:tc>
          <w:tcPr>
            <w:tcW w:w="1327" w:type="dxa"/>
            <w:tcBorders>
              <w:top w:val="nil"/>
              <w:left w:val="nil"/>
              <w:bottom w:val="nil"/>
              <w:right w:val="nil"/>
            </w:tcBorders>
            <w:shd w:val="clear" w:color="000000" w:fill="1E3D6B"/>
            <w:noWrap/>
            <w:vAlign w:val="center"/>
            <w:hideMark/>
          </w:tcPr>
          <w:p w14:paraId="1C55EAFC" w14:textId="77777777" w:rsidR="00961617" w:rsidRPr="00961617" w:rsidRDefault="00961617" w:rsidP="00660C09">
            <w:pPr>
              <w:spacing w:after="0" w:line="240" w:lineRule="auto"/>
              <w:ind w:left="187"/>
              <w:jc w:val="center"/>
              <w:rPr>
                <w:rFonts w:eastAsia="Times New Roman" w:cstheme="minorHAnsi"/>
                <w:b/>
                <w:bCs/>
                <w:color w:val="FFFFFF"/>
                <w:sz w:val="20"/>
                <w:szCs w:val="20"/>
                <w:lang w:eastAsia="en-AU"/>
              </w:rPr>
            </w:pPr>
            <w:r w:rsidRPr="00961617">
              <w:rPr>
                <w:rFonts w:eastAsia="Times New Roman" w:cstheme="minorHAnsi"/>
                <w:b/>
                <w:bCs/>
                <w:color w:val="FFFFFF"/>
                <w:sz w:val="20"/>
                <w:szCs w:val="20"/>
                <w:lang w:eastAsia="en-AU"/>
              </w:rPr>
              <w:t>JSA 2009</w:t>
            </w:r>
          </w:p>
        </w:tc>
        <w:tc>
          <w:tcPr>
            <w:tcW w:w="1701" w:type="dxa"/>
            <w:gridSpan w:val="2"/>
            <w:tcBorders>
              <w:top w:val="nil"/>
              <w:left w:val="nil"/>
              <w:bottom w:val="nil"/>
              <w:right w:val="nil"/>
            </w:tcBorders>
            <w:shd w:val="clear" w:color="000000" w:fill="1E3D6B"/>
            <w:noWrap/>
            <w:vAlign w:val="center"/>
            <w:hideMark/>
          </w:tcPr>
          <w:p w14:paraId="27248B4F" w14:textId="77777777" w:rsidR="00961617" w:rsidRPr="00961617" w:rsidRDefault="00961617" w:rsidP="00660C09">
            <w:pPr>
              <w:spacing w:after="0" w:line="240" w:lineRule="auto"/>
              <w:ind w:left="263"/>
              <w:jc w:val="center"/>
              <w:rPr>
                <w:rFonts w:eastAsia="Times New Roman" w:cstheme="minorHAnsi"/>
                <w:b/>
                <w:bCs/>
                <w:color w:val="FFFFFF"/>
                <w:sz w:val="20"/>
                <w:szCs w:val="20"/>
                <w:lang w:eastAsia="en-AU"/>
              </w:rPr>
            </w:pPr>
            <w:r w:rsidRPr="00961617">
              <w:rPr>
                <w:rFonts w:eastAsia="Times New Roman" w:cstheme="minorHAnsi"/>
                <w:b/>
                <w:bCs/>
                <w:color w:val="FFFFFF"/>
                <w:sz w:val="20"/>
                <w:szCs w:val="20"/>
                <w:lang w:eastAsia="en-AU"/>
              </w:rPr>
              <w:t>JSA 2012</w:t>
            </w:r>
          </w:p>
        </w:tc>
      </w:tr>
      <w:tr w:rsidR="000D5D9B" w:rsidRPr="000D5D9B" w14:paraId="2C8C2CBB" w14:textId="77777777" w:rsidTr="00660C09">
        <w:trPr>
          <w:trHeight w:val="397"/>
        </w:trPr>
        <w:tc>
          <w:tcPr>
            <w:tcW w:w="4784" w:type="dxa"/>
            <w:tcBorders>
              <w:top w:val="nil"/>
              <w:left w:val="nil"/>
              <w:bottom w:val="nil"/>
              <w:right w:val="nil"/>
            </w:tcBorders>
            <w:shd w:val="clear" w:color="auto" w:fill="auto"/>
            <w:noWrap/>
            <w:vAlign w:val="center"/>
            <w:hideMark/>
          </w:tcPr>
          <w:p w14:paraId="0367EDE9"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Stream Services Operations</w:t>
            </w:r>
          </w:p>
        </w:tc>
        <w:tc>
          <w:tcPr>
            <w:tcW w:w="1481" w:type="dxa"/>
            <w:gridSpan w:val="2"/>
            <w:tcBorders>
              <w:top w:val="nil"/>
              <w:left w:val="nil"/>
              <w:bottom w:val="nil"/>
              <w:right w:val="nil"/>
            </w:tcBorders>
            <w:shd w:val="clear" w:color="auto" w:fill="auto"/>
            <w:noWrap/>
            <w:vAlign w:val="center"/>
            <w:hideMark/>
          </w:tcPr>
          <w:p w14:paraId="451EBA31"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93.7</w:t>
            </w:r>
          </w:p>
        </w:tc>
        <w:tc>
          <w:tcPr>
            <w:tcW w:w="1547" w:type="dxa"/>
            <w:tcBorders>
              <w:top w:val="nil"/>
              <w:left w:val="nil"/>
              <w:bottom w:val="nil"/>
              <w:right w:val="nil"/>
            </w:tcBorders>
            <w:shd w:val="clear" w:color="auto" w:fill="auto"/>
            <w:noWrap/>
            <w:vAlign w:val="center"/>
            <w:hideMark/>
          </w:tcPr>
          <w:p w14:paraId="46D9CCA2"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37.9</w:t>
            </w:r>
          </w:p>
        </w:tc>
      </w:tr>
      <w:tr w:rsidR="000D5D9B" w:rsidRPr="000D5D9B" w14:paraId="6E09E09A"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189CDF86"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Outcomes</w:t>
            </w:r>
          </w:p>
        </w:tc>
        <w:tc>
          <w:tcPr>
            <w:tcW w:w="1481" w:type="dxa"/>
            <w:gridSpan w:val="2"/>
            <w:tcBorders>
              <w:top w:val="nil"/>
              <w:left w:val="nil"/>
              <w:bottom w:val="nil"/>
              <w:right w:val="nil"/>
            </w:tcBorders>
            <w:shd w:val="clear" w:color="auto" w:fill="E5E5E5" w:themeFill="background1" w:themeFillTint="33"/>
            <w:noWrap/>
            <w:vAlign w:val="center"/>
            <w:hideMark/>
          </w:tcPr>
          <w:p w14:paraId="5537C622"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87.6</w:t>
            </w:r>
          </w:p>
        </w:tc>
        <w:tc>
          <w:tcPr>
            <w:tcW w:w="1547" w:type="dxa"/>
            <w:tcBorders>
              <w:top w:val="nil"/>
              <w:left w:val="nil"/>
              <w:bottom w:val="nil"/>
              <w:right w:val="nil"/>
            </w:tcBorders>
            <w:shd w:val="clear" w:color="auto" w:fill="E5E5E5" w:themeFill="background1" w:themeFillTint="33"/>
            <w:noWrap/>
            <w:vAlign w:val="center"/>
            <w:hideMark/>
          </w:tcPr>
          <w:p w14:paraId="57B8F7DE"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77.9</w:t>
            </w:r>
          </w:p>
        </w:tc>
      </w:tr>
      <w:tr w:rsidR="000D5D9B" w:rsidRPr="000D5D9B" w14:paraId="76F67EB1" w14:textId="77777777" w:rsidTr="00660C09">
        <w:trPr>
          <w:trHeight w:val="397"/>
        </w:trPr>
        <w:tc>
          <w:tcPr>
            <w:tcW w:w="4784" w:type="dxa"/>
            <w:tcBorders>
              <w:top w:val="nil"/>
              <w:left w:val="nil"/>
              <w:bottom w:val="nil"/>
              <w:right w:val="nil"/>
            </w:tcBorders>
            <w:shd w:val="clear" w:color="auto" w:fill="auto"/>
            <w:noWrap/>
            <w:vAlign w:val="center"/>
            <w:hideMark/>
          </w:tcPr>
          <w:p w14:paraId="0BFA75CD"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Job Seeker Compliance and Participation</w:t>
            </w:r>
          </w:p>
        </w:tc>
        <w:tc>
          <w:tcPr>
            <w:tcW w:w="1481" w:type="dxa"/>
            <w:gridSpan w:val="2"/>
            <w:tcBorders>
              <w:top w:val="nil"/>
              <w:left w:val="nil"/>
              <w:bottom w:val="nil"/>
              <w:right w:val="nil"/>
            </w:tcBorders>
            <w:shd w:val="clear" w:color="auto" w:fill="auto"/>
            <w:noWrap/>
            <w:vAlign w:val="center"/>
            <w:hideMark/>
          </w:tcPr>
          <w:p w14:paraId="2285E4B5"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31.7</w:t>
            </w:r>
          </w:p>
        </w:tc>
        <w:tc>
          <w:tcPr>
            <w:tcW w:w="1547" w:type="dxa"/>
            <w:tcBorders>
              <w:top w:val="nil"/>
              <w:left w:val="nil"/>
              <w:bottom w:val="nil"/>
              <w:right w:val="nil"/>
            </w:tcBorders>
            <w:shd w:val="clear" w:color="auto" w:fill="auto"/>
            <w:noWrap/>
            <w:vAlign w:val="center"/>
            <w:hideMark/>
          </w:tcPr>
          <w:p w14:paraId="05A3C62E"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44.2</w:t>
            </w:r>
          </w:p>
        </w:tc>
      </w:tr>
      <w:tr w:rsidR="000D5D9B" w:rsidRPr="000D5D9B" w14:paraId="134DDEC5"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69673E0A"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JSA Provider Operations</w:t>
            </w:r>
          </w:p>
        </w:tc>
        <w:tc>
          <w:tcPr>
            <w:tcW w:w="1481" w:type="dxa"/>
            <w:gridSpan w:val="2"/>
            <w:tcBorders>
              <w:top w:val="nil"/>
              <w:left w:val="nil"/>
              <w:bottom w:val="nil"/>
              <w:right w:val="nil"/>
            </w:tcBorders>
            <w:shd w:val="clear" w:color="auto" w:fill="E5E5E5" w:themeFill="background1" w:themeFillTint="33"/>
            <w:noWrap/>
            <w:vAlign w:val="center"/>
            <w:hideMark/>
          </w:tcPr>
          <w:p w14:paraId="38C3FBA5"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30.0</w:t>
            </w:r>
          </w:p>
        </w:tc>
        <w:tc>
          <w:tcPr>
            <w:tcW w:w="1547" w:type="dxa"/>
            <w:tcBorders>
              <w:top w:val="nil"/>
              <w:left w:val="nil"/>
              <w:bottom w:val="nil"/>
              <w:right w:val="nil"/>
            </w:tcBorders>
            <w:shd w:val="clear" w:color="auto" w:fill="E5E5E5" w:themeFill="background1" w:themeFillTint="33"/>
            <w:noWrap/>
            <w:vAlign w:val="center"/>
            <w:hideMark/>
          </w:tcPr>
          <w:p w14:paraId="5199C600"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30.0</w:t>
            </w:r>
          </w:p>
        </w:tc>
      </w:tr>
      <w:tr w:rsidR="000D5D9B" w:rsidRPr="000D5D9B" w14:paraId="28DD6524" w14:textId="77777777" w:rsidTr="00660C09">
        <w:trPr>
          <w:trHeight w:val="397"/>
        </w:trPr>
        <w:tc>
          <w:tcPr>
            <w:tcW w:w="4784" w:type="dxa"/>
            <w:tcBorders>
              <w:top w:val="nil"/>
              <w:left w:val="nil"/>
              <w:bottom w:val="nil"/>
              <w:right w:val="nil"/>
            </w:tcBorders>
            <w:shd w:val="clear" w:color="auto" w:fill="auto"/>
            <w:noWrap/>
            <w:vAlign w:val="center"/>
            <w:hideMark/>
          </w:tcPr>
          <w:p w14:paraId="2D67ED34"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Employment Pathway Plans/Job Plans</w:t>
            </w:r>
          </w:p>
        </w:tc>
        <w:tc>
          <w:tcPr>
            <w:tcW w:w="1481" w:type="dxa"/>
            <w:gridSpan w:val="2"/>
            <w:tcBorders>
              <w:top w:val="nil"/>
              <w:left w:val="nil"/>
              <w:bottom w:val="nil"/>
              <w:right w:val="nil"/>
            </w:tcBorders>
            <w:shd w:val="clear" w:color="auto" w:fill="auto"/>
            <w:noWrap/>
            <w:vAlign w:val="center"/>
            <w:hideMark/>
          </w:tcPr>
          <w:p w14:paraId="0703C23B"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29.3</w:t>
            </w:r>
          </w:p>
        </w:tc>
        <w:tc>
          <w:tcPr>
            <w:tcW w:w="1547" w:type="dxa"/>
            <w:tcBorders>
              <w:top w:val="nil"/>
              <w:left w:val="nil"/>
              <w:bottom w:val="nil"/>
              <w:right w:val="nil"/>
            </w:tcBorders>
            <w:shd w:val="clear" w:color="auto" w:fill="auto"/>
            <w:noWrap/>
            <w:vAlign w:val="center"/>
            <w:hideMark/>
          </w:tcPr>
          <w:p w14:paraId="363EF8D9"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29.3</w:t>
            </w:r>
          </w:p>
        </w:tc>
      </w:tr>
      <w:tr w:rsidR="000D5D9B" w:rsidRPr="000D5D9B" w14:paraId="545C88C6"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507DD46B"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Work Experience Phase/Annual Activity Requirement</w:t>
            </w:r>
          </w:p>
        </w:tc>
        <w:tc>
          <w:tcPr>
            <w:tcW w:w="1481" w:type="dxa"/>
            <w:gridSpan w:val="2"/>
            <w:tcBorders>
              <w:top w:val="nil"/>
              <w:left w:val="nil"/>
              <w:bottom w:val="nil"/>
              <w:right w:val="nil"/>
            </w:tcBorders>
            <w:shd w:val="clear" w:color="auto" w:fill="E5E5E5" w:themeFill="background1" w:themeFillTint="33"/>
            <w:noWrap/>
            <w:vAlign w:val="center"/>
            <w:hideMark/>
          </w:tcPr>
          <w:p w14:paraId="064AEB82"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17.4</w:t>
            </w:r>
          </w:p>
        </w:tc>
        <w:tc>
          <w:tcPr>
            <w:tcW w:w="1547" w:type="dxa"/>
            <w:tcBorders>
              <w:top w:val="nil"/>
              <w:left w:val="nil"/>
              <w:bottom w:val="nil"/>
              <w:right w:val="nil"/>
            </w:tcBorders>
            <w:shd w:val="clear" w:color="auto" w:fill="E5E5E5" w:themeFill="background1" w:themeFillTint="33"/>
            <w:noWrap/>
            <w:vAlign w:val="center"/>
            <w:hideMark/>
          </w:tcPr>
          <w:p w14:paraId="03399D84"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18.7</w:t>
            </w:r>
          </w:p>
        </w:tc>
      </w:tr>
      <w:tr w:rsidR="000D5D9B" w:rsidRPr="000D5D9B" w14:paraId="0CCC3615" w14:textId="77777777" w:rsidTr="00660C09">
        <w:trPr>
          <w:trHeight w:val="397"/>
        </w:trPr>
        <w:tc>
          <w:tcPr>
            <w:tcW w:w="4784" w:type="dxa"/>
            <w:tcBorders>
              <w:top w:val="nil"/>
              <w:left w:val="nil"/>
              <w:bottom w:val="nil"/>
              <w:right w:val="nil"/>
            </w:tcBorders>
            <w:shd w:val="clear" w:color="auto" w:fill="auto"/>
            <w:noWrap/>
            <w:vAlign w:val="center"/>
            <w:hideMark/>
          </w:tcPr>
          <w:p w14:paraId="7CF7FA21"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Employment Pathway Fund/Employment Fund</w:t>
            </w:r>
          </w:p>
        </w:tc>
        <w:tc>
          <w:tcPr>
            <w:tcW w:w="1481" w:type="dxa"/>
            <w:gridSpan w:val="2"/>
            <w:tcBorders>
              <w:top w:val="nil"/>
              <w:left w:val="nil"/>
              <w:bottom w:val="nil"/>
              <w:right w:val="nil"/>
            </w:tcBorders>
            <w:shd w:val="clear" w:color="auto" w:fill="auto"/>
            <w:noWrap/>
            <w:vAlign w:val="center"/>
            <w:hideMark/>
          </w:tcPr>
          <w:p w14:paraId="5043D1E7"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13.3</w:t>
            </w:r>
          </w:p>
        </w:tc>
        <w:tc>
          <w:tcPr>
            <w:tcW w:w="1547" w:type="dxa"/>
            <w:tcBorders>
              <w:top w:val="nil"/>
              <w:left w:val="nil"/>
              <w:bottom w:val="nil"/>
              <w:right w:val="nil"/>
            </w:tcBorders>
            <w:shd w:val="clear" w:color="auto" w:fill="auto"/>
            <w:noWrap/>
            <w:vAlign w:val="center"/>
            <w:hideMark/>
          </w:tcPr>
          <w:p w14:paraId="54D865F4"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13.8</w:t>
            </w:r>
          </w:p>
        </w:tc>
      </w:tr>
      <w:tr w:rsidR="000D5D9B" w:rsidRPr="000D5D9B" w14:paraId="17EFE31D"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11438173"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Registration and Assessments</w:t>
            </w:r>
          </w:p>
        </w:tc>
        <w:tc>
          <w:tcPr>
            <w:tcW w:w="1481" w:type="dxa"/>
            <w:gridSpan w:val="2"/>
            <w:tcBorders>
              <w:top w:val="nil"/>
              <w:left w:val="nil"/>
              <w:bottom w:val="nil"/>
              <w:right w:val="nil"/>
            </w:tcBorders>
            <w:shd w:val="clear" w:color="auto" w:fill="E5E5E5" w:themeFill="background1" w:themeFillTint="33"/>
            <w:noWrap/>
            <w:vAlign w:val="center"/>
            <w:hideMark/>
          </w:tcPr>
          <w:p w14:paraId="65C9C6A2"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11.9</w:t>
            </w:r>
          </w:p>
        </w:tc>
        <w:tc>
          <w:tcPr>
            <w:tcW w:w="1547" w:type="dxa"/>
            <w:tcBorders>
              <w:top w:val="nil"/>
              <w:left w:val="nil"/>
              <w:bottom w:val="nil"/>
              <w:right w:val="nil"/>
            </w:tcBorders>
            <w:shd w:val="clear" w:color="auto" w:fill="E5E5E5" w:themeFill="background1" w:themeFillTint="33"/>
            <w:noWrap/>
            <w:vAlign w:val="center"/>
            <w:hideMark/>
          </w:tcPr>
          <w:p w14:paraId="08D614FD"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2.2</w:t>
            </w:r>
          </w:p>
        </w:tc>
      </w:tr>
      <w:tr w:rsidR="000D5D9B" w:rsidRPr="000D5D9B" w14:paraId="6D2D7F02" w14:textId="77777777" w:rsidTr="00660C09">
        <w:trPr>
          <w:trHeight w:val="397"/>
        </w:trPr>
        <w:tc>
          <w:tcPr>
            <w:tcW w:w="4784" w:type="dxa"/>
            <w:tcBorders>
              <w:top w:val="nil"/>
              <w:left w:val="nil"/>
              <w:bottom w:val="nil"/>
              <w:right w:val="nil"/>
            </w:tcBorders>
            <w:shd w:val="clear" w:color="auto" w:fill="auto"/>
            <w:noWrap/>
            <w:vAlign w:val="center"/>
            <w:hideMark/>
          </w:tcPr>
          <w:p w14:paraId="68E881A9"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Contract Management</w:t>
            </w:r>
          </w:p>
        </w:tc>
        <w:tc>
          <w:tcPr>
            <w:tcW w:w="1481" w:type="dxa"/>
            <w:gridSpan w:val="2"/>
            <w:tcBorders>
              <w:top w:val="nil"/>
              <w:left w:val="nil"/>
              <w:bottom w:val="nil"/>
              <w:right w:val="nil"/>
            </w:tcBorders>
            <w:shd w:val="clear" w:color="auto" w:fill="auto"/>
            <w:noWrap/>
            <w:vAlign w:val="center"/>
            <w:hideMark/>
          </w:tcPr>
          <w:p w14:paraId="3AC31E17"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6.0</w:t>
            </w:r>
          </w:p>
        </w:tc>
        <w:tc>
          <w:tcPr>
            <w:tcW w:w="1547" w:type="dxa"/>
            <w:tcBorders>
              <w:top w:val="nil"/>
              <w:left w:val="nil"/>
              <w:bottom w:val="nil"/>
              <w:right w:val="nil"/>
            </w:tcBorders>
            <w:shd w:val="clear" w:color="auto" w:fill="auto"/>
            <w:noWrap/>
            <w:vAlign w:val="center"/>
            <w:hideMark/>
          </w:tcPr>
          <w:p w14:paraId="6A662F32"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2.6</w:t>
            </w:r>
          </w:p>
        </w:tc>
      </w:tr>
      <w:tr w:rsidR="000D5D9B" w:rsidRPr="000D5D9B" w14:paraId="591D1AED"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056E5482"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Other</w:t>
            </w:r>
          </w:p>
        </w:tc>
        <w:tc>
          <w:tcPr>
            <w:tcW w:w="1481" w:type="dxa"/>
            <w:gridSpan w:val="2"/>
            <w:tcBorders>
              <w:top w:val="nil"/>
              <w:left w:val="nil"/>
              <w:bottom w:val="nil"/>
              <w:right w:val="nil"/>
            </w:tcBorders>
            <w:shd w:val="clear" w:color="auto" w:fill="E5E5E5" w:themeFill="background1" w:themeFillTint="33"/>
            <w:noWrap/>
            <w:vAlign w:val="center"/>
            <w:hideMark/>
          </w:tcPr>
          <w:p w14:paraId="74ACBE8A"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c>
          <w:tcPr>
            <w:tcW w:w="1547" w:type="dxa"/>
            <w:tcBorders>
              <w:top w:val="nil"/>
              <w:left w:val="nil"/>
              <w:bottom w:val="nil"/>
              <w:right w:val="nil"/>
            </w:tcBorders>
            <w:shd w:val="clear" w:color="auto" w:fill="E5E5E5" w:themeFill="background1" w:themeFillTint="33"/>
            <w:noWrap/>
            <w:vAlign w:val="center"/>
            <w:hideMark/>
          </w:tcPr>
          <w:p w14:paraId="2216A0A2" w14:textId="77777777" w:rsidR="000D5D9B" w:rsidRPr="00961617"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r>
      <w:tr w:rsidR="000D5D9B" w:rsidRPr="000D5D9B" w14:paraId="2035543B" w14:textId="77777777" w:rsidTr="00660C09">
        <w:trPr>
          <w:trHeight w:val="397"/>
        </w:trPr>
        <w:tc>
          <w:tcPr>
            <w:tcW w:w="4784" w:type="dxa"/>
            <w:tcBorders>
              <w:top w:val="nil"/>
              <w:left w:val="nil"/>
              <w:bottom w:val="nil"/>
              <w:right w:val="nil"/>
            </w:tcBorders>
            <w:shd w:val="clear" w:color="auto" w:fill="auto"/>
            <w:noWrap/>
            <w:vAlign w:val="center"/>
            <w:hideMark/>
          </w:tcPr>
          <w:p w14:paraId="4C9ED927"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Wage Connect</w:t>
            </w:r>
          </w:p>
        </w:tc>
        <w:tc>
          <w:tcPr>
            <w:tcW w:w="1481" w:type="dxa"/>
            <w:gridSpan w:val="2"/>
            <w:tcBorders>
              <w:top w:val="nil"/>
              <w:left w:val="nil"/>
              <w:bottom w:val="nil"/>
              <w:right w:val="nil"/>
            </w:tcBorders>
            <w:shd w:val="clear" w:color="auto" w:fill="auto"/>
            <w:noWrap/>
            <w:vAlign w:val="center"/>
            <w:hideMark/>
          </w:tcPr>
          <w:p w14:paraId="04FD8BF5"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c>
          <w:tcPr>
            <w:tcW w:w="1547" w:type="dxa"/>
            <w:tcBorders>
              <w:top w:val="nil"/>
              <w:left w:val="nil"/>
              <w:bottom w:val="nil"/>
              <w:right w:val="nil"/>
            </w:tcBorders>
            <w:shd w:val="clear" w:color="auto" w:fill="auto"/>
            <w:noWrap/>
            <w:vAlign w:val="center"/>
            <w:hideMark/>
          </w:tcPr>
          <w:p w14:paraId="0DEEE0DE" w14:textId="77777777" w:rsidR="000D5D9B" w:rsidRPr="00961617" w:rsidRDefault="004E0198" w:rsidP="00660C09">
            <w:pPr>
              <w:spacing w:after="0" w:line="240" w:lineRule="auto"/>
              <w:ind w:right="263"/>
              <w:jc w:val="right"/>
              <w:rPr>
                <w:rFonts w:eastAsia="Times New Roman" w:cstheme="minorHAnsi"/>
                <w:color w:val="000000"/>
                <w:sz w:val="20"/>
                <w:szCs w:val="20"/>
                <w:lang w:eastAsia="en-AU"/>
              </w:rPr>
            </w:pPr>
            <w:r w:rsidRPr="00DF5DFE">
              <w:rPr>
                <w:rFonts w:eastAsia="Times New Roman" w:cstheme="minorHAnsi"/>
                <w:color w:val="000000"/>
                <w:sz w:val="20"/>
                <w:szCs w:val="20"/>
                <w:lang w:eastAsia="en-AU"/>
              </w:rPr>
              <w:t>1.3</w:t>
            </w:r>
          </w:p>
        </w:tc>
      </w:tr>
      <w:tr w:rsidR="000D5D9B" w:rsidRPr="000D5D9B" w14:paraId="1DAA61A3"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hideMark/>
          </w:tcPr>
          <w:p w14:paraId="38ED1C06"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Indigenous Employment Strategy</w:t>
            </w:r>
          </w:p>
        </w:tc>
        <w:tc>
          <w:tcPr>
            <w:tcW w:w="1481" w:type="dxa"/>
            <w:gridSpan w:val="2"/>
            <w:tcBorders>
              <w:top w:val="nil"/>
              <w:left w:val="nil"/>
              <w:bottom w:val="nil"/>
              <w:right w:val="nil"/>
            </w:tcBorders>
            <w:shd w:val="clear" w:color="auto" w:fill="E5E5E5" w:themeFill="background1" w:themeFillTint="33"/>
            <w:noWrap/>
            <w:vAlign w:val="center"/>
            <w:hideMark/>
          </w:tcPr>
          <w:p w14:paraId="7B58DBAE"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c>
          <w:tcPr>
            <w:tcW w:w="1547" w:type="dxa"/>
            <w:tcBorders>
              <w:top w:val="nil"/>
              <w:left w:val="nil"/>
              <w:bottom w:val="nil"/>
              <w:right w:val="nil"/>
            </w:tcBorders>
            <w:shd w:val="clear" w:color="auto" w:fill="E5E5E5" w:themeFill="background1" w:themeFillTint="33"/>
            <w:noWrap/>
            <w:vAlign w:val="center"/>
            <w:hideMark/>
          </w:tcPr>
          <w:p w14:paraId="1AF0A9AF" w14:textId="77777777" w:rsidR="000D5D9B" w:rsidRPr="00961617" w:rsidRDefault="004E0198" w:rsidP="00660C09">
            <w:pPr>
              <w:spacing w:after="0" w:line="240" w:lineRule="auto"/>
              <w:ind w:right="263"/>
              <w:jc w:val="right"/>
              <w:rPr>
                <w:rFonts w:eastAsia="Times New Roman" w:cstheme="minorHAnsi"/>
                <w:color w:val="000000"/>
                <w:sz w:val="20"/>
                <w:szCs w:val="20"/>
                <w:lang w:eastAsia="en-AU"/>
              </w:rPr>
            </w:pPr>
            <w:r w:rsidRPr="004E0198">
              <w:rPr>
                <w:rFonts w:eastAsia="Times New Roman" w:cstheme="minorHAnsi"/>
                <w:color w:val="000000"/>
                <w:sz w:val="20"/>
                <w:szCs w:val="20"/>
                <w:lang w:eastAsia="en-AU"/>
              </w:rPr>
              <w:t>0.0</w:t>
            </w:r>
          </w:p>
        </w:tc>
      </w:tr>
      <w:tr w:rsidR="000D5D9B" w:rsidRPr="000D5D9B" w14:paraId="42338310" w14:textId="77777777" w:rsidTr="00660C09">
        <w:trPr>
          <w:trHeight w:val="397"/>
        </w:trPr>
        <w:tc>
          <w:tcPr>
            <w:tcW w:w="4784" w:type="dxa"/>
            <w:tcBorders>
              <w:top w:val="nil"/>
              <w:left w:val="nil"/>
              <w:bottom w:val="nil"/>
              <w:right w:val="nil"/>
            </w:tcBorders>
            <w:shd w:val="clear" w:color="auto" w:fill="FFFFFF" w:themeFill="background2"/>
            <w:noWrap/>
            <w:vAlign w:val="center"/>
            <w:hideMark/>
          </w:tcPr>
          <w:p w14:paraId="2C70737F"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Move to Work/Relocation Assistance</w:t>
            </w:r>
          </w:p>
        </w:tc>
        <w:tc>
          <w:tcPr>
            <w:tcW w:w="1481" w:type="dxa"/>
            <w:gridSpan w:val="2"/>
            <w:tcBorders>
              <w:top w:val="nil"/>
              <w:left w:val="nil"/>
              <w:bottom w:val="nil"/>
              <w:right w:val="nil"/>
            </w:tcBorders>
            <w:shd w:val="clear" w:color="auto" w:fill="FFFFFF" w:themeFill="background2"/>
            <w:noWrap/>
            <w:vAlign w:val="center"/>
            <w:hideMark/>
          </w:tcPr>
          <w:p w14:paraId="710B9B56" w14:textId="77777777" w:rsidR="000D5D9B" w:rsidRPr="00961617"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c>
          <w:tcPr>
            <w:tcW w:w="1547" w:type="dxa"/>
            <w:tcBorders>
              <w:top w:val="nil"/>
              <w:left w:val="nil"/>
              <w:bottom w:val="nil"/>
              <w:right w:val="nil"/>
            </w:tcBorders>
            <w:shd w:val="clear" w:color="auto" w:fill="FFFFFF" w:themeFill="background2"/>
            <w:noWrap/>
            <w:vAlign w:val="center"/>
            <w:hideMark/>
          </w:tcPr>
          <w:p w14:paraId="65532807" w14:textId="77777777" w:rsidR="000D5D9B" w:rsidRPr="00961617" w:rsidRDefault="004E0198" w:rsidP="00660C09">
            <w:pPr>
              <w:spacing w:after="0" w:line="240" w:lineRule="auto"/>
              <w:ind w:right="263"/>
              <w:jc w:val="right"/>
              <w:rPr>
                <w:rFonts w:eastAsia="Times New Roman" w:cstheme="minorHAnsi"/>
                <w:color w:val="000000"/>
                <w:sz w:val="20"/>
                <w:szCs w:val="20"/>
                <w:lang w:eastAsia="en-AU"/>
              </w:rPr>
            </w:pPr>
            <w:r w:rsidRPr="00DF5DFE">
              <w:rPr>
                <w:rFonts w:eastAsia="Times New Roman" w:cstheme="minorHAnsi"/>
                <w:color w:val="000000"/>
                <w:sz w:val="20"/>
                <w:szCs w:val="20"/>
                <w:lang w:eastAsia="en-AU"/>
              </w:rPr>
              <w:t>0.1</w:t>
            </w:r>
          </w:p>
        </w:tc>
      </w:tr>
      <w:tr w:rsidR="000D5D9B" w:rsidRPr="000D5D9B" w14:paraId="30630C8D"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tcPr>
          <w:p w14:paraId="4D37D394" w14:textId="77777777" w:rsidR="000D5D9B" w:rsidRPr="003B6498" w:rsidRDefault="000D5D9B" w:rsidP="000D5D9B">
            <w:pPr>
              <w:spacing w:after="0" w:line="240" w:lineRule="auto"/>
              <w:rPr>
                <w:rFonts w:eastAsia="Times New Roman" w:cstheme="minorHAnsi"/>
                <w:color w:val="000000"/>
                <w:sz w:val="20"/>
                <w:szCs w:val="20"/>
                <w:lang w:eastAsia="en-AU"/>
              </w:rPr>
            </w:pPr>
            <w:r w:rsidRPr="00660C09">
              <w:rPr>
                <w:rFonts w:eastAsia="Times New Roman" w:cstheme="minorHAnsi"/>
                <w:color w:val="000000"/>
                <w:sz w:val="20"/>
                <w:szCs w:val="20"/>
                <w:lang w:eastAsia="en-AU"/>
              </w:rPr>
              <w:t>Harvest Labour Services</w:t>
            </w:r>
          </w:p>
        </w:tc>
        <w:tc>
          <w:tcPr>
            <w:tcW w:w="1481" w:type="dxa"/>
            <w:gridSpan w:val="2"/>
            <w:tcBorders>
              <w:top w:val="nil"/>
              <w:left w:val="nil"/>
              <w:bottom w:val="nil"/>
              <w:right w:val="nil"/>
            </w:tcBorders>
            <w:shd w:val="clear" w:color="auto" w:fill="E5E5E5" w:themeFill="background1" w:themeFillTint="33"/>
            <w:noWrap/>
            <w:vAlign w:val="center"/>
          </w:tcPr>
          <w:p w14:paraId="71BCBBA4" w14:textId="77777777" w:rsidR="000D5D9B" w:rsidRPr="00660C09"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0.6</w:t>
            </w:r>
          </w:p>
        </w:tc>
        <w:tc>
          <w:tcPr>
            <w:tcW w:w="1547" w:type="dxa"/>
            <w:tcBorders>
              <w:top w:val="nil"/>
              <w:left w:val="nil"/>
              <w:bottom w:val="nil"/>
              <w:right w:val="nil"/>
            </w:tcBorders>
            <w:shd w:val="clear" w:color="auto" w:fill="E5E5E5" w:themeFill="background1" w:themeFillTint="33"/>
            <w:noWrap/>
            <w:vAlign w:val="center"/>
          </w:tcPr>
          <w:p w14:paraId="70776B7A" w14:textId="77777777" w:rsidR="000D5D9B" w:rsidRPr="00660C09"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0.6</w:t>
            </w:r>
          </w:p>
        </w:tc>
      </w:tr>
      <w:tr w:rsidR="000D5D9B" w:rsidRPr="000D5D9B" w14:paraId="7B0BF075" w14:textId="77777777" w:rsidTr="00660C09">
        <w:trPr>
          <w:trHeight w:val="397"/>
        </w:trPr>
        <w:tc>
          <w:tcPr>
            <w:tcW w:w="4784" w:type="dxa"/>
            <w:tcBorders>
              <w:top w:val="nil"/>
              <w:left w:val="nil"/>
              <w:bottom w:val="nil"/>
              <w:right w:val="nil"/>
            </w:tcBorders>
            <w:shd w:val="clear" w:color="auto" w:fill="FFFFFF" w:themeFill="background2"/>
            <w:noWrap/>
            <w:vAlign w:val="center"/>
          </w:tcPr>
          <w:p w14:paraId="62E53FFB" w14:textId="77777777" w:rsidR="000D5D9B" w:rsidRPr="003B6498" w:rsidRDefault="000D5D9B" w:rsidP="000D5D9B">
            <w:pPr>
              <w:spacing w:after="0" w:line="240" w:lineRule="auto"/>
              <w:rPr>
                <w:rFonts w:eastAsia="Times New Roman" w:cstheme="minorHAnsi"/>
                <w:color w:val="000000"/>
                <w:sz w:val="20"/>
                <w:szCs w:val="20"/>
                <w:lang w:eastAsia="en-AU"/>
              </w:rPr>
            </w:pPr>
            <w:r w:rsidRPr="00660C09">
              <w:rPr>
                <w:rFonts w:eastAsia="Times New Roman" w:cstheme="minorHAnsi"/>
                <w:color w:val="000000"/>
                <w:sz w:val="20"/>
                <w:szCs w:val="20"/>
                <w:lang w:eastAsia="en-AU"/>
              </w:rPr>
              <w:t>Harvest Labour Information Services</w:t>
            </w:r>
          </w:p>
        </w:tc>
        <w:tc>
          <w:tcPr>
            <w:tcW w:w="1481" w:type="dxa"/>
            <w:gridSpan w:val="2"/>
            <w:tcBorders>
              <w:top w:val="nil"/>
              <w:left w:val="nil"/>
              <w:bottom w:val="nil"/>
              <w:right w:val="nil"/>
            </w:tcBorders>
            <w:shd w:val="clear" w:color="auto" w:fill="FFFFFF" w:themeFill="background2"/>
            <w:noWrap/>
            <w:vAlign w:val="center"/>
          </w:tcPr>
          <w:p w14:paraId="0FD47A52" w14:textId="77777777" w:rsidR="000D5D9B" w:rsidRPr="00660C09"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c>
          <w:tcPr>
            <w:tcW w:w="1547" w:type="dxa"/>
            <w:tcBorders>
              <w:top w:val="nil"/>
              <w:left w:val="nil"/>
              <w:bottom w:val="nil"/>
              <w:right w:val="nil"/>
            </w:tcBorders>
            <w:shd w:val="clear" w:color="auto" w:fill="FFFFFF" w:themeFill="background2"/>
            <w:noWrap/>
            <w:vAlign w:val="center"/>
          </w:tcPr>
          <w:p w14:paraId="6565521C" w14:textId="77777777" w:rsidR="000D5D9B" w:rsidRPr="00660C09"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0.0</w:t>
            </w:r>
          </w:p>
        </w:tc>
      </w:tr>
      <w:tr w:rsidR="000D5D9B" w:rsidRPr="000D5D9B" w14:paraId="74089F71" w14:textId="77777777" w:rsidTr="00660C09">
        <w:trPr>
          <w:trHeight w:val="397"/>
        </w:trPr>
        <w:tc>
          <w:tcPr>
            <w:tcW w:w="4784" w:type="dxa"/>
            <w:tcBorders>
              <w:top w:val="nil"/>
              <w:left w:val="nil"/>
              <w:bottom w:val="nil"/>
              <w:right w:val="nil"/>
            </w:tcBorders>
            <w:shd w:val="clear" w:color="auto" w:fill="E5E5E5" w:themeFill="background1" w:themeFillTint="33"/>
            <w:noWrap/>
            <w:vAlign w:val="center"/>
          </w:tcPr>
          <w:p w14:paraId="1414B51D" w14:textId="77777777" w:rsidR="000D5D9B" w:rsidRPr="003B6498" w:rsidRDefault="000D5D9B" w:rsidP="000D5D9B">
            <w:pPr>
              <w:spacing w:after="0" w:line="240" w:lineRule="auto"/>
              <w:rPr>
                <w:rFonts w:eastAsia="Times New Roman" w:cstheme="minorHAnsi"/>
                <w:color w:val="000000"/>
                <w:sz w:val="20"/>
                <w:szCs w:val="20"/>
                <w:lang w:eastAsia="en-AU"/>
              </w:rPr>
            </w:pPr>
            <w:r w:rsidRPr="00660C09">
              <w:rPr>
                <w:rFonts w:eastAsia="Times New Roman" w:cstheme="minorHAnsi"/>
                <w:color w:val="000000"/>
                <w:sz w:val="20"/>
                <w:szCs w:val="20"/>
                <w:lang w:eastAsia="en-AU"/>
              </w:rPr>
              <w:t>New Enterprise Incentive Scheme</w:t>
            </w:r>
          </w:p>
        </w:tc>
        <w:tc>
          <w:tcPr>
            <w:tcW w:w="1481" w:type="dxa"/>
            <w:gridSpan w:val="2"/>
            <w:tcBorders>
              <w:top w:val="nil"/>
              <w:left w:val="nil"/>
              <w:bottom w:val="nil"/>
              <w:right w:val="nil"/>
            </w:tcBorders>
            <w:shd w:val="clear" w:color="auto" w:fill="E5E5E5" w:themeFill="background1" w:themeFillTint="33"/>
            <w:noWrap/>
            <w:vAlign w:val="center"/>
          </w:tcPr>
          <w:p w14:paraId="7974CFB5" w14:textId="77777777" w:rsidR="000D5D9B" w:rsidRPr="00660C09"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0.4</w:t>
            </w:r>
          </w:p>
        </w:tc>
        <w:tc>
          <w:tcPr>
            <w:tcW w:w="1547" w:type="dxa"/>
            <w:tcBorders>
              <w:top w:val="nil"/>
              <w:left w:val="nil"/>
              <w:bottom w:val="nil"/>
              <w:right w:val="nil"/>
            </w:tcBorders>
            <w:shd w:val="clear" w:color="auto" w:fill="E5E5E5" w:themeFill="background1" w:themeFillTint="33"/>
            <w:noWrap/>
            <w:vAlign w:val="center"/>
          </w:tcPr>
          <w:p w14:paraId="1151391C" w14:textId="77777777" w:rsidR="000D5D9B" w:rsidRPr="00660C09" w:rsidRDefault="000D5D9B" w:rsidP="00660C09">
            <w:pPr>
              <w:spacing w:after="0" w:line="240" w:lineRule="auto"/>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0.4</w:t>
            </w:r>
          </w:p>
        </w:tc>
      </w:tr>
      <w:tr w:rsidR="000D5D9B" w:rsidRPr="00961617" w14:paraId="0E1605C6" w14:textId="77777777" w:rsidTr="00660C09">
        <w:trPr>
          <w:trHeight w:val="397"/>
        </w:trPr>
        <w:tc>
          <w:tcPr>
            <w:tcW w:w="4784" w:type="dxa"/>
            <w:tcBorders>
              <w:top w:val="nil"/>
              <w:left w:val="nil"/>
              <w:bottom w:val="nil"/>
              <w:right w:val="nil"/>
            </w:tcBorders>
            <w:shd w:val="clear" w:color="auto" w:fill="8EAEDE"/>
            <w:noWrap/>
            <w:vAlign w:val="center"/>
            <w:hideMark/>
          </w:tcPr>
          <w:p w14:paraId="09D99BB4" w14:textId="77777777" w:rsidR="000D5D9B" w:rsidRPr="00961617" w:rsidRDefault="000D5D9B" w:rsidP="000D5D9B">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 xml:space="preserve">Total </w:t>
            </w:r>
          </w:p>
        </w:tc>
        <w:tc>
          <w:tcPr>
            <w:tcW w:w="1481" w:type="dxa"/>
            <w:gridSpan w:val="2"/>
            <w:tcBorders>
              <w:top w:val="nil"/>
              <w:left w:val="nil"/>
              <w:bottom w:val="nil"/>
              <w:right w:val="nil"/>
            </w:tcBorders>
            <w:shd w:val="clear" w:color="auto" w:fill="8EAEDE"/>
            <w:noWrap/>
            <w:vAlign w:val="center"/>
            <w:hideMark/>
          </w:tcPr>
          <w:p w14:paraId="7C37005C" w14:textId="77777777" w:rsidR="000D5D9B" w:rsidRPr="00660C09" w:rsidRDefault="000D5D9B" w:rsidP="00660C09">
            <w:pPr>
              <w:spacing w:after="0" w:line="240" w:lineRule="auto"/>
              <w:ind w:right="27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321.9</w:t>
            </w:r>
          </w:p>
        </w:tc>
        <w:tc>
          <w:tcPr>
            <w:tcW w:w="1547" w:type="dxa"/>
            <w:tcBorders>
              <w:top w:val="nil"/>
              <w:left w:val="nil"/>
              <w:bottom w:val="nil"/>
              <w:right w:val="nil"/>
            </w:tcBorders>
            <w:shd w:val="clear" w:color="auto" w:fill="8EAEDE"/>
            <w:noWrap/>
            <w:vAlign w:val="center"/>
            <w:hideMark/>
          </w:tcPr>
          <w:p w14:paraId="6515BD8F" w14:textId="77777777" w:rsidR="000D5D9B" w:rsidRPr="00660C09" w:rsidRDefault="000D5D9B" w:rsidP="00660C09">
            <w:pPr>
              <w:spacing w:after="0"/>
              <w:ind w:right="263"/>
              <w:jc w:val="right"/>
              <w:rPr>
                <w:rFonts w:eastAsia="Times New Roman" w:cstheme="minorHAnsi"/>
                <w:color w:val="000000"/>
                <w:sz w:val="20"/>
                <w:szCs w:val="20"/>
                <w:lang w:eastAsia="en-AU"/>
              </w:rPr>
            </w:pPr>
            <w:r w:rsidRPr="00660C09">
              <w:rPr>
                <w:rFonts w:eastAsia="Times New Roman" w:cstheme="minorHAnsi"/>
                <w:color w:val="000000"/>
                <w:sz w:val="20"/>
                <w:szCs w:val="20"/>
                <w:lang w:eastAsia="en-AU"/>
              </w:rPr>
              <w:t>259.3</w:t>
            </w:r>
          </w:p>
        </w:tc>
      </w:tr>
    </w:tbl>
    <w:p w14:paraId="7DE822D7" w14:textId="77777777" w:rsidR="00961617" w:rsidRPr="002F5864" w:rsidRDefault="00961617" w:rsidP="00E13B5E">
      <w:pPr>
        <w:pStyle w:val="Source"/>
      </w:pPr>
      <w:r w:rsidRPr="002F5864">
        <w:rPr>
          <w:b/>
        </w:rPr>
        <w:t>Source</w:t>
      </w:r>
      <w:r w:rsidRPr="002F5864">
        <w:t xml:space="preserve">: </w:t>
      </w:r>
      <w:r w:rsidR="00E13B5E">
        <w:tab/>
      </w:r>
      <w:r w:rsidRPr="00E13B5E">
        <w:t>Department</w:t>
      </w:r>
      <w:r w:rsidRPr="002F5864">
        <w:t xml:space="preserve"> of Employment </w:t>
      </w:r>
      <w:r>
        <w:t>a</w:t>
      </w:r>
      <w:r w:rsidRPr="002F5864">
        <w:t>dministrative data</w:t>
      </w:r>
      <w:r>
        <w:t>.</w:t>
      </w:r>
    </w:p>
    <w:p w14:paraId="4D8D8EDC" w14:textId="77777777" w:rsidR="00961617" w:rsidRDefault="00864C5E" w:rsidP="00961617">
      <w:pPr>
        <w:spacing w:before="120"/>
        <w:rPr>
          <w:rFonts w:cstheme="minorHAnsi"/>
          <w:sz w:val="18"/>
          <w:szCs w:val="18"/>
        </w:rPr>
      </w:pPr>
      <w:hyperlink w:anchor="Place_A236" w:history="1">
        <w:r w:rsidR="00961617" w:rsidRPr="00B15D38">
          <w:rPr>
            <w:rStyle w:val="Hyperlink"/>
            <w:sz w:val="18"/>
            <w:szCs w:val="18"/>
          </w:rPr>
          <w:t>Return to Figure 7.1</w:t>
        </w:r>
      </w:hyperlink>
      <w:r w:rsidR="00961617" w:rsidRPr="00775AAD">
        <w:rPr>
          <w:sz w:val="18"/>
          <w:szCs w:val="18"/>
        </w:rPr>
        <w:t xml:space="preserve"> where this data is referenced.</w:t>
      </w:r>
    </w:p>
    <w:p w14:paraId="4AAE7865" w14:textId="77777777" w:rsidR="00961617" w:rsidRDefault="00961617" w:rsidP="00961617">
      <w:pPr>
        <w:rPr>
          <w:rFonts w:cstheme="minorHAnsi"/>
          <w:b/>
          <w:i/>
          <w:sz w:val="20"/>
        </w:rPr>
      </w:pPr>
      <w:r>
        <w:rPr>
          <w:rFonts w:cstheme="minorHAnsi"/>
          <w:b/>
          <w:i/>
          <w:sz w:val="20"/>
        </w:rPr>
        <w:br w:type="page"/>
      </w:r>
    </w:p>
    <w:p w14:paraId="224D98CE" w14:textId="77777777" w:rsidR="00961617" w:rsidRPr="00706112" w:rsidRDefault="00961617" w:rsidP="00706112">
      <w:pPr>
        <w:pStyle w:val="TableheadingforappendixA1"/>
        <w:rPr>
          <w:rFonts w:cstheme="minorHAnsi"/>
        </w:rPr>
      </w:pPr>
      <w:bookmarkStart w:id="710" w:name="_Toc513129930"/>
      <w:r w:rsidRPr="00706112">
        <w:rPr>
          <w:rFonts w:cstheme="minorHAnsi"/>
        </w:rPr>
        <w:t>Table A2.37: Perceived distribution of time devoted to administrative tasks (per cent)</w:t>
      </w:r>
      <w:bookmarkEnd w:id="710"/>
    </w:p>
    <w:tbl>
      <w:tblPr>
        <w:tblW w:w="6962" w:type="dxa"/>
        <w:tblInd w:w="93" w:type="dxa"/>
        <w:tblLook w:val="04A0" w:firstRow="1" w:lastRow="0" w:firstColumn="1" w:lastColumn="0" w:noHBand="0" w:noVBand="1"/>
      </w:tblPr>
      <w:tblGrid>
        <w:gridCol w:w="2142"/>
        <w:gridCol w:w="1701"/>
        <w:gridCol w:w="1559"/>
        <w:gridCol w:w="1560"/>
      </w:tblGrid>
      <w:tr w:rsidR="00961617" w:rsidRPr="00961617" w14:paraId="33773C94" w14:textId="77777777" w:rsidTr="0020771F">
        <w:trPr>
          <w:trHeight w:val="509"/>
          <w:tblHeader/>
        </w:trPr>
        <w:tc>
          <w:tcPr>
            <w:tcW w:w="2142" w:type="dxa"/>
            <w:vMerge w:val="restart"/>
            <w:shd w:val="clear" w:color="000000" w:fill="1E3D6B"/>
            <w:vAlign w:val="center"/>
            <w:hideMark/>
          </w:tcPr>
          <w:p w14:paraId="15EBCFB6" w14:textId="77777777" w:rsidR="00961617" w:rsidRPr="00961617" w:rsidRDefault="00961617" w:rsidP="0020771F">
            <w:pPr>
              <w:spacing w:after="0" w:line="240" w:lineRule="auto"/>
              <w:rPr>
                <w:rFonts w:eastAsia="Times New Roman" w:cstheme="minorHAnsi"/>
                <w:b/>
                <w:bCs/>
                <w:color w:val="FFFFFF"/>
                <w:sz w:val="20"/>
                <w:szCs w:val="20"/>
                <w:lang w:eastAsia="en-AU"/>
              </w:rPr>
            </w:pPr>
            <w:bookmarkStart w:id="711" w:name="Title_A237"/>
            <w:bookmarkEnd w:id="711"/>
            <w:r w:rsidRPr="00961617">
              <w:rPr>
                <w:rFonts w:eastAsia="Times New Roman" w:cstheme="minorHAnsi"/>
                <w:b/>
                <w:bCs/>
                <w:color w:val="FFFFFF"/>
                <w:sz w:val="20"/>
                <w:szCs w:val="20"/>
                <w:lang w:eastAsia="en-AU"/>
              </w:rPr>
              <w:t>Proportion of time</w:t>
            </w:r>
          </w:p>
        </w:tc>
        <w:tc>
          <w:tcPr>
            <w:tcW w:w="1701" w:type="dxa"/>
            <w:vMerge w:val="restart"/>
            <w:shd w:val="clear" w:color="000000" w:fill="1E3D6B"/>
            <w:vAlign w:val="center"/>
            <w:hideMark/>
          </w:tcPr>
          <w:p w14:paraId="128C276D" w14:textId="77777777" w:rsidR="00961617" w:rsidRPr="00961617" w:rsidRDefault="00961617" w:rsidP="0020771F">
            <w:pPr>
              <w:spacing w:after="0" w:line="240" w:lineRule="auto"/>
              <w:jc w:val="center"/>
              <w:rPr>
                <w:rFonts w:eastAsia="Times New Roman" w:cstheme="minorHAnsi"/>
                <w:b/>
                <w:bCs/>
                <w:color w:val="FFFFFF"/>
                <w:sz w:val="20"/>
                <w:szCs w:val="20"/>
                <w:lang w:eastAsia="en-AU"/>
              </w:rPr>
            </w:pPr>
            <w:r w:rsidRPr="00961617">
              <w:rPr>
                <w:rFonts w:eastAsia="Times New Roman" w:cstheme="minorHAnsi"/>
                <w:b/>
                <w:bCs/>
                <w:color w:val="FFFFFF"/>
                <w:sz w:val="20"/>
                <w:szCs w:val="20"/>
                <w:lang w:eastAsia="en-AU"/>
              </w:rPr>
              <w:t>2011</w:t>
            </w:r>
          </w:p>
        </w:tc>
        <w:tc>
          <w:tcPr>
            <w:tcW w:w="1559" w:type="dxa"/>
            <w:vMerge w:val="restart"/>
            <w:shd w:val="clear" w:color="000000" w:fill="1E3D6B"/>
            <w:vAlign w:val="center"/>
            <w:hideMark/>
          </w:tcPr>
          <w:p w14:paraId="25D13DD1" w14:textId="77777777" w:rsidR="00961617" w:rsidRPr="00961617" w:rsidRDefault="00961617" w:rsidP="0020771F">
            <w:pPr>
              <w:spacing w:after="0" w:line="240" w:lineRule="auto"/>
              <w:jc w:val="center"/>
              <w:rPr>
                <w:rFonts w:eastAsia="Times New Roman" w:cstheme="minorHAnsi"/>
                <w:b/>
                <w:bCs/>
                <w:color w:val="FFFFFF"/>
                <w:sz w:val="20"/>
                <w:szCs w:val="20"/>
                <w:lang w:eastAsia="en-AU"/>
              </w:rPr>
            </w:pPr>
            <w:r w:rsidRPr="00961617">
              <w:rPr>
                <w:rFonts w:eastAsia="Times New Roman" w:cstheme="minorHAnsi"/>
                <w:b/>
                <w:bCs/>
                <w:color w:val="FFFFFF"/>
                <w:sz w:val="20"/>
                <w:szCs w:val="20"/>
                <w:lang w:eastAsia="en-AU"/>
              </w:rPr>
              <w:t>2012</w:t>
            </w:r>
          </w:p>
        </w:tc>
        <w:tc>
          <w:tcPr>
            <w:tcW w:w="1560" w:type="dxa"/>
            <w:vMerge w:val="restart"/>
            <w:shd w:val="clear" w:color="000000" w:fill="1E3D6B"/>
            <w:vAlign w:val="center"/>
            <w:hideMark/>
          </w:tcPr>
          <w:p w14:paraId="673D3DC2" w14:textId="77777777" w:rsidR="00961617" w:rsidRPr="00961617" w:rsidRDefault="00961617" w:rsidP="0020771F">
            <w:pPr>
              <w:spacing w:after="0" w:line="240" w:lineRule="auto"/>
              <w:jc w:val="center"/>
              <w:rPr>
                <w:rFonts w:eastAsia="Times New Roman" w:cstheme="minorHAnsi"/>
                <w:b/>
                <w:bCs/>
                <w:color w:val="FFFFFF"/>
                <w:sz w:val="20"/>
                <w:szCs w:val="20"/>
                <w:lang w:eastAsia="en-AU"/>
              </w:rPr>
            </w:pPr>
            <w:r w:rsidRPr="00961617">
              <w:rPr>
                <w:rFonts w:eastAsia="Times New Roman" w:cstheme="minorHAnsi"/>
                <w:b/>
                <w:bCs/>
                <w:color w:val="FFFFFF"/>
                <w:sz w:val="20"/>
                <w:szCs w:val="20"/>
                <w:lang w:eastAsia="en-AU"/>
              </w:rPr>
              <w:t>2014</w:t>
            </w:r>
          </w:p>
        </w:tc>
      </w:tr>
      <w:tr w:rsidR="00961617" w:rsidRPr="00961617" w14:paraId="37C90737" w14:textId="77777777" w:rsidTr="0020771F">
        <w:trPr>
          <w:trHeight w:val="509"/>
          <w:tblHeader/>
        </w:trPr>
        <w:tc>
          <w:tcPr>
            <w:tcW w:w="2142" w:type="dxa"/>
            <w:vMerge/>
            <w:vAlign w:val="center"/>
            <w:hideMark/>
          </w:tcPr>
          <w:p w14:paraId="005BD256" w14:textId="77777777" w:rsidR="00961617" w:rsidRPr="00961617" w:rsidRDefault="00961617" w:rsidP="0020771F">
            <w:pPr>
              <w:spacing w:after="0" w:line="240" w:lineRule="auto"/>
              <w:rPr>
                <w:rFonts w:eastAsia="Times New Roman" w:cstheme="minorHAnsi"/>
                <w:b/>
                <w:bCs/>
                <w:color w:val="FFFFFF"/>
                <w:sz w:val="20"/>
                <w:szCs w:val="20"/>
                <w:lang w:eastAsia="en-AU"/>
              </w:rPr>
            </w:pPr>
          </w:p>
        </w:tc>
        <w:tc>
          <w:tcPr>
            <w:tcW w:w="1701" w:type="dxa"/>
            <w:vMerge/>
            <w:vAlign w:val="center"/>
            <w:hideMark/>
          </w:tcPr>
          <w:p w14:paraId="5DA0D52D" w14:textId="77777777" w:rsidR="00961617" w:rsidRPr="00961617" w:rsidRDefault="00961617" w:rsidP="0020771F">
            <w:pPr>
              <w:spacing w:after="0" w:line="240" w:lineRule="auto"/>
              <w:rPr>
                <w:rFonts w:eastAsia="Times New Roman" w:cstheme="minorHAnsi"/>
                <w:b/>
                <w:bCs/>
                <w:color w:val="FFFFFF"/>
                <w:sz w:val="20"/>
                <w:szCs w:val="20"/>
                <w:lang w:eastAsia="en-AU"/>
              </w:rPr>
            </w:pPr>
          </w:p>
        </w:tc>
        <w:tc>
          <w:tcPr>
            <w:tcW w:w="1559" w:type="dxa"/>
            <w:vMerge/>
            <w:vAlign w:val="center"/>
            <w:hideMark/>
          </w:tcPr>
          <w:p w14:paraId="7E1F186E" w14:textId="77777777" w:rsidR="00961617" w:rsidRPr="00961617" w:rsidRDefault="00961617" w:rsidP="0020771F">
            <w:pPr>
              <w:spacing w:after="0" w:line="240" w:lineRule="auto"/>
              <w:rPr>
                <w:rFonts w:eastAsia="Times New Roman" w:cstheme="minorHAnsi"/>
                <w:b/>
                <w:bCs/>
                <w:color w:val="FFFFFF"/>
                <w:sz w:val="20"/>
                <w:szCs w:val="20"/>
                <w:lang w:eastAsia="en-AU"/>
              </w:rPr>
            </w:pPr>
          </w:p>
        </w:tc>
        <w:tc>
          <w:tcPr>
            <w:tcW w:w="1560" w:type="dxa"/>
            <w:vMerge/>
            <w:vAlign w:val="center"/>
            <w:hideMark/>
          </w:tcPr>
          <w:p w14:paraId="09F93092" w14:textId="77777777" w:rsidR="00961617" w:rsidRPr="00961617" w:rsidRDefault="00961617" w:rsidP="0020771F">
            <w:pPr>
              <w:spacing w:after="0" w:line="240" w:lineRule="auto"/>
              <w:rPr>
                <w:rFonts w:eastAsia="Times New Roman" w:cstheme="minorHAnsi"/>
                <w:b/>
                <w:bCs/>
                <w:color w:val="FFFFFF"/>
                <w:sz w:val="20"/>
                <w:szCs w:val="20"/>
                <w:lang w:eastAsia="en-AU"/>
              </w:rPr>
            </w:pPr>
          </w:p>
        </w:tc>
      </w:tr>
      <w:tr w:rsidR="00961617" w:rsidRPr="00961617" w14:paraId="65DF7BD6" w14:textId="77777777" w:rsidTr="0020771F">
        <w:trPr>
          <w:trHeight w:val="397"/>
        </w:trPr>
        <w:tc>
          <w:tcPr>
            <w:tcW w:w="2142" w:type="dxa"/>
            <w:shd w:val="clear" w:color="000000" w:fill="FFFFFF"/>
            <w:noWrap/>
            <w:vAlign w:val="center"/>
            <w:hideMark/>
          </w:tcPr>
          <w:p w14:paraId="362688F8"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0-9</w:t>
            </w:r>
          </w:p>
        </w:tc>
        <w:tc>
          <w:tcPr>
            <w:tcW w:w="1701" w:type="dxa"/>
            <w:shd w:val="clear" w:color="000000" w:fill="FFFFFF"/>
            <w:noWrap/>
            <w:vAlign w:val="center"/>
            <w:hideMark/>
          </w:tcPr>
          <w:p w14:paraId="7F617093"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2.3</w:t>
            </w:r>
          </w:p>
        </w:tc>
        <w:tc>
          <w:tcPr>
            <w:tcW w:w="1559" w:type="dxa"/>
            <w:shd w:val="clear" w:color="000000" w:fill="FFFFFF"/>
            <w:noWrap/>
            <w:vAlign w:val="center"/>
            <w:hideMark/>
          </w:tcPr>
          <w:p w14:paraId="5828B97A"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w:t>
            </w:r>
          </w:p>
        </w:tc>
        <w:tc>
          <w:tcPr>
            <w:tcW w:w="1560" w:type="dxa"/>
            <w:shd w:val="clear" w:color="000000" w:fill="FFFFFF"/>
            <w:noWrap/>
            <w:vAlign w:val="center"/>
            <w:hideMark/>
          </w:tcPr>
          <w:p w14:paraId="2D6063C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w:t>
            </w:r>
          </w:p>
        </w:tc>
      </w:tr>
      <w:tr w:rsidR="00961617" w:rsidRPr="00961617" w14:paraId="1AF7F533" w14:textId="77777777" w:rsidTr="0020771F">
        <w:trPr>
          <w:trHeight w:val="397"/>
        </w:trPr>
        <w:tc>
          <w:tcPr>
            <w:tcW w:w="2142" w:type="dxa"/>
            <w:shd w:val="clear" w:color="auto" w:fill="E5E5E5" w:themeFill="background1" w:themeFillTint="33"/>
            <w:noWrap/>
            <w:vAlign w:val="center"/>
            <w:hideMark/>
          </w:tcPr>
          <w:p w14:paraId="499EBEB2"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10-19</w:t>
            </w:r>
          </w:p>
        </w:tc>
        <w:tc>
          <w:tcPr>
            <w:tcW w:w="1701" w:type="dxa"/>
            <w:shd w:val="clear" w:color="auto" w:fill="E5E5E5" w:themeFill="background1" w:themeFillTint="33"/>
            <w:noWrap/>
            <w:vAlign w:val="center"/>
            <w:hideMark/>
          </w:tcPr>
          <w:p w14:paraId="6A069977"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3.3</w:t>
            </w:r>
          </w:p>
        </w:tc>
        <w:tc>
          <w:tcPr>
            <w:tcW w:w="1559" w:type="dxa"/>
            <w:shd w:val="clear" w:color="auto" w:fill="E5E5E5" w:themeFill="background1" w:themeFillTint="33"/>
            <w:noWrap/>
            <w:vAlign w:val="center"/>
            <w:hideMark/>
          </w:tcPr>
          <w:p w14:paraId="1A3A4C2A"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3.3</w:t>
            </w:r>
          </w:p>
        </w:tc>
        <w:tc>
          <w:tcPr>
            <w:tcW w:w="1560" w:type="dxa"/>
            <w:shd w:val="clear" w:color="auto" w:fill="E5E5E5" w:themeFill="background1" w:themeFillTint="33"/>
            <w:noWrap/>
            <w:vAlign w:val="center"/>
            <w:hideMark/>
          </w:tcPr>
          <w:p w14:paraId="4988AA3E"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3.0</w:t>
            </w:r>
          </w:p>
        </w:tc>
      </w:tr>
      <w:tr w:rsidR="00961617" w:rsidRPr="00961617" w14:paraId="11565B95" w14:textId="77777777" w:rsidTr="0020771F">
        <w:trPr>
          <w:trHeight w:val="397"/>
        </w:trPr>
        <w:tc>
          <w:tcPr>
            <w:tcW w:w="2142" w:type="dxa"/>
            <w:shd w:val="clear" w:color="000000" w:fill="FFFFFF"/>
            <w:noWrap/>
            <w:vAlign w:val="center"/>
            <w:hideMark/>
          </w:tcPr>
          <w:p w14:paraId="358675DA"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20-29</w:t>
            </w:r>
          </w:p>
        </w:tc>
        <w:tc>
          <w:tcPr>
            <w:tcW w:w="1701" w:type="dxa"/>
            <w:shd w:val="clear" w:color="000000" w:fill="FFFFFF"/>
            <w:noWrap/>
            <w:vAlign w:val="center"/>
            <w:hideMark/>
          </w:tcPr>
          <w:p w14:paraId="0263FB4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7.7</w:t>
            </w:r>
          </w:p>
        </w:tc>
        <w:tc>
          <w:tcPr>
            <w:tcW w:w="1559" w:type="dxa"/>
            <w:shd w:val="clear" w:color="000000" w:fill="FFFFFF"/>
            <w:noWrap/>
            <w:vAlign w:val="center"/>
            <w:hideMark/>
          </w:tcPr>
          <w:p w14:paraId="50AA6B9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w:t>
            </w:r>
          </w:p>
        </w:tc>
        <w:tc>
          <w:tcPr>
            <w:tcW w:w="1560" w:type="dxa"/>
            <w:shd w:val="clear" w:color="000000" w:fill="FFFFFF"/>
            <w:noWrap/>
            <w:vAlign w:val="center"/>
            <w:hideMark/>
          </w:tcPr>
          <w:p w14:paraId="34ED5EB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6.7</w:t>
            </w:r>
          </w:p>
        </w:tc>
      </w:tr>
      <w:tr w:rsidR="00961617" w:rsidRPr="00961617" w14:paraId="228C217A" w14:textId="77777777" w:rsidTr="0020771F">
        <w:trPr>
          <w:trHeight w:val="397"/>
        </w:trPr>
        <w:tc>
          <w:tcPr>
            <w:tcW w:w="2142" w:type="dxa"/>
            <w:shd w:val="clear" w:color="auto" w:fill="E5E5E5" w:themeFill="background1" w:themeFillTint="33"/>
            <w:noWrap/>
            <w:vAlign w:val="center"/>
            <w:hideMark/>
          </w:tcPr>
          <w:p w14:paraId="39042E35"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30-39</w:t>
            </w:r>
          </w:p>
        </w:tc>
        <w:tc>
          <w:tcPr>
            <w:tcW w:w="1701" w:type="dxa"/>
            <w:shd w:val="clear" w:color="auto" w:fill="E5E5E5" w:themeFill="background1" w:themeFillTint="33"/>
            <w:noWrap/>
            <w:vAlign w:val="center"/>
            <w:hideMark/>
          </w:tcPr>
          <w:p w14:paraId="706D813D"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9.5</w:t>
            </w:r>
          </w:p>
        </w:tc>
        <w:tc>
          <w:tcPr>
            <w:tcW w:w="1559" w:type="dxa"/>
            <w:shd w:val="clear" w:color="auto" w:fill="E5E5E5" w:themeFill="background1" w:themeFillTint="33"/>
            <w:noWrap/>
            <w:vAlign w:val="center"/>
            <w:hideMark/>
          </w:tcPr>
          <w:p w14:paraId="34040722"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8.1</w:t>
            </w:r>
          </w:p>
        </w:tc>
        <w:tc>
          <w:tcPr>
            <w:tcW w:w="1560" w:type="dxa"/>
            <w:shd w:val="clear" w:color="auto" w:fill="E5E5E5" w:themeFill="background1" w:themeFillTint="33"/>
            <w:noWrap/>
            <w:vAlign w:val="center"/>
            <w:hideMark/>
          </w:tcPr>
          <w:p w14:paraId="1992748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8.8</w:t>
            </w:r>
          </w:p>
        </w:tc>
      </w:tr>
      <w:tr w:rsidR="00961617" w:rsidRPr="00961617" w14:paraId="01E7001E" w14:textId="77777777" w:rsidTr="0020771F">
        <w:trPr>
          <w:trHeight w:val="397"/>
        </w:trPr>
        <w:tc>
          <w:tcPr>
            <w:tcW w:w="2142" w:type="dxa"/>
            <w:shd w:val="clear" w:color="000000" w:fill="FFFFFF"/>
            <w:noWrap/>
            <w:vAlign w:val="center"/>
            <w:hideMark/>
          </w:tcPr>
          <w:p w14:paraId="74ED0A07"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40-49</w:t>
            </w:r>
          </w:p>
        </w:tc>
        <w:tc>
          <w:tcPr>
            <w:tcW w:w="1701" w:type="dxa"/>
            <w:shd w:val="clear" w:color="000000" w:fill="FFFFFF"/>
            <w:noWrap/>
            <w:vAlign w:val="center"/>
            <w:hideMark/>
          </w:tcPr>
          <w:p w14:paraId="44A69E09"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13.0</w:t>
            </w:r>
          </w:p>
        </w:tc>
        <w:tc>
          <w:tcPr>
            <w:tcW w:w="1559" w:type="dxa"/>
            <w:shd w:val="clear" w:color="000000" w:fill="FFFFFF"/>
            <w:noWrap/>
            <w:vAlign w:val="center"/>
            <w:hideMark/>
          </w:tcPr>
          <w:p w14:paraId="4709A3E6"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10.3</w:t>
            </w:r>
          </w:p>
        </w:tc>
        <w:tc>
          <w:tcPr>
            <w:tcW w:w="1560" w:type="dxa"/>
            <w:shd w:val="clear" w:color="000000" w:fill="FFFFFF"/>
            <w:noWrap/>
            <w:vAlign w:val="center"/>
            <w:hideMark/>
          </w:tcPr>
          <w:p w14:paraId="57E18638"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6.7</w:t>
            </w:r>
          </w:p>
        </w:tc>
      </w:tr>
      <w:tr w:rsidR="00961617" w:rsidRPr="00961617" w14:paraId="253BA211" w14:textId="77777777" w:rsidTr="0020771F">
        <w:trPr>
          <w:trHeight w:val="397"/>
        </w:trPr>
        <w:tc>
          <w:tcPr>
            <w:tcW w:w="2142" w:type="dxa"/>
            <w:shd w:val="clear" w:color="auto" w:fill="E5E5E5" w:themeFill="background1" w:themeFillTint="33"/>
            <w:noWrap/>
            <w:vAlign w:val="center"/>
            <w:hideMark/>
          </w:tcPr>
          <w:p w14:paraId="15FC3659"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50-59</w:t>
            </w:r>
          </w:p>
        </w:tc>
        <w:tc>
          <w:tcPr>
            <w:tcW w:w="1701" w:type="dxa"/>
            <w:shd w:val="clear" w:color="auto" w:fill="E5E5E5" w:themeFill="background1" w:themeFillTint="33"/>
            <w:noWrap/>
            <w:vAlign w:val="center"/>
            <w:hideMark/>
          </w:tcPr>
          <w:p w14:paraId="07BDB7B3"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20.2</w:t>
            </w:r>
          </w:p>
        </w:tc>
        <w:tc>
          <w:tcPr>
            <w:tcW w:w="1559" w:type="dxa"/>
            <w:shd w:val="clear" w:color="auto" w:fill="E5E5E5" w:themeFill="background1" w:themeFillTint="33"/>
            <w:noWrap/>
            <w:vAlign w:val="center"/>
            <w:hideMark/>
          </w:tcPr>
          <w:p w14:paraId="143CFD76"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22.0</w:t>
            </w:r>
          </w:p>
        </w:tc>
        <w:tc>
          <w:tcPr>
            <w:tcW w:w="1560" w:type="dxa"/>
            <w:shd w:val="clear" w:color="auto" w:fill="E5E5E5" w:themeFill="background1" w:themeFillTint="33"/>
            <w:noWrap/>
            <w:vAlign w:val="center"/>
            <w:hideMark/>
          </w:tcPr>
          <w:p w14:paraId="02D44A86"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21.7</w:t>
            </w:r>
          </w:p>
        </w:tc>
      </w:tr>
      <w:tr w:rsidR="00961617" w:rsidRPr="00961617" w14:paraId="5F1DD08A" w14:textId="77777777" w:rsidTr="0020771F">
        <w:trPr>
          <w:trHeight w:val="397"/>
        </w:trPr>
        <w:tc>
          <w:tcPr>
            <w:tcW w:w="2142" w:type="dxa"/>
            <w:shd w:val="clear" w:color="000000" w:fill="FFFFFF"/>
            <w:noWrap/>
            <w:vAlign w:val="center"/>
            <w:hideMark/>
          </w:tcPr>
          <w:p w14:paraId="7BC5202B"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60-69</w:t>
            </w:r>
          </w:p>
        </w:tc>
        <w:tc>
          <w:tcPr>
            <w:tcW w:w="1701" w:type="dxa"/>
            <w:shd w:val="clear" w:color="000000" w:fill="FFFFFF"/>
            <w:noWrap/>
            <w:vAlign w:val="center"/>
            <w:hideMark/>
          </w:tcPr>
          <w:p w14:paraId="54701917"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15.5</w:t>
            </w:r>
          </w:p>
        </w:tc>
        <w:tc>
          <w:tcPr>
            <w:tcW w:w="1559" w:type="dxa"/>
            <w:shd w:val="clear" w:color="000000" w:fill="FFFFFF"/>
            <w:noWrap/>
            <w:vAlign w:val="center"/>
            <w:hideMark/>
          </w:tcPr>
          <w:p w14:paraId="6B7F70C7"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16.0</w:t>
            </w:r>
          </w:p>
        </w:tc>
        <w:tc>
          <w:tcPr>
            <w:tcW w:w="1560" w:type="dxa"/>
            <w:shd w:val="clear" w:color="000000" w:fill="FFFFFF"/>
            <w:noWrap/>
            <w:vAlign w:val="center"/>
            <w:hideMark/>
          </w:tcPr>
          <w:p w14:paraId="131671F0"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13.4</w:t>
            </w:r>
          </w:p>
        </w:tc>
      </w:tr>
      <w:tr w:rsidR="00961617" w:rsidRPr="00961617" w14:paraId="22EA9A54" w14:textId="77777777" w:rsidTr="0020771F">
        <w:trPr>
          <w:trHeight w:val="397"/>
        </w:trPr>
        <w:tc>
          <w:tcPr>
            <w:tcW w:w="2142" w:type="dxa"/>
            <w:shd w:val="clear" w:color="auto" w:fill="E5E5E5" w:themeFill="background1" w:themeFillTint="33"/>
            <w:noWrap/>
            <w:vAlign w:val="center"/>
            <w:hideMark/>
          </w:tcPr>
          <w:p w14:paraId="15D61B7F"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70-79</w:t>
            </w:r>
          </w:p>
        </w:tc>
        <w:tc>
          <w:tcPr>
            <w:tcW w:w="1701" w:type="dxa"/>
            <w:shd w:val="clear" w:color="auto" w:fill="E5E5E5" w:themeFill="background1" w:themeFillTint="33"/>
            <w:noWrap/>
            <w:vAlign w:val="center"/>
            <w:hideMark/>
          </w:tcPr>
          <w:p w14:paraId="51E9970D"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12.5</w:t>
            </w:r>
          </w:p>
        </w:tc>
        <w:tc>
          <w:tcPr>
            <w:tcW w:w="1559" w:type="dxa"/>
            <w:shd w:val="clear" w:color="auto" w:fill="E5E5E5" w:themeFill="background1" w:themeFillTint="33"/>
            <w:noWrap/>
            <w:vAlign w:val="center"/>
            <w:hideMark/>
          </w:tcPr>
          <w:p w14:paraId="0954A53E"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13.8</w:t>
            </w:r>
          </w:p>
        </w:tc>
        <w:tc>
          <w:tcPr>
            <w:tcW w:w="1560" w:type="dxa"/>
            <w:shd w:val="clear" w:color="auto" w:fill="E5E5E5" w:themeFill="background1" w:themeFillTint="33"/>
            <w:noWrap/>
            <w:vAlign w:val="center"/>
            <w:hideMark/>
          </w:tcPr>
          <w:p w14:paraId="0F53F4FF"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15.6</w:t>
            </w:r>
          </w:p>
        </w:tc>
      </w:tr>
      <w:tr w:rsidR="00961617" w:rsidRPr="00961617" w14:paraId="7EB16B99" w14:textId="77777777" w:rsidTr="0020771F">
        <w:trPr>
          <w:trHeight w:val="397"/>
        </w:trPr>
        <w:tc>
          <w:tcPr>
            <w:tcW w:w="2142" w:type="dxa"/>
            <w:shd w:val="clear" w:color="000000" w:fill="FFFFFF"/>
            <w:noWrap/>
            <w:vAlign w:val="center"/>
            <w:hideMark/>
          </w:tcPr>
          <w:p w14:paraId="1D2F4B21"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80-89</w:t>
            </w:r>
          </w:p>
        </w:tc>
        <w:tc>
          <w:tcPr>
            <w:tcW w:w="1701" w:type="dxa"/>
            <w:shd w:val="clear" w:color="000000" w:fill="FFFFFF"/>
            <w:noWrap/>
            <w:vAlign w:val="center"/>
            <w:hideMark/>
          </w:tcPr>
          <w:p w14:paraId="3A61F6D2"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8.2</w:t>
            </w:r>
          </w:p>
        </w:tc>
        <w:tc>
          <w:tcPr>
            <w:tcW w:w="1559" w:type="dxa"/>
            <w:shd w:val="clear" w:color="000000" w:fill="FFFFFF"/>
            <w:noWrap/>
            <w:vAlign w:val="center"/>
            <w:hideMark/>
          </w:tcPr>
          <w:p w14:paraId="5B46BB37"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8.8</w:t>
            </w:r>
          </w:p>
        </w:tc>
        <w:tc>
          <w:tcPr>
            <w:tcW w:w="1560" w:type="dxa"/>
            <w:shd w:val="clear" w:color="000000" w:fill="FFFFFF"/>
            <w:noWrap/>
            <w:vAlign w:val="center"/>
            <w:hideMark/>
          </w:tcPr>
          <w:p w14:paraId="43892085"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12.7</w:t>
            </w:r>
          </w:p>
        </w:tc>
      </w:tr>
      <w:tr w:rsidR="00961617" w:rsidRPr="00961617" w14:paraId="53ED319F" w14:textId="77777777" w:rsidTr="0020771F">
        <w:trPr>
          <w:trHeight w:val="397"/>
        </w:trPr>
        <w:tc>
          <w:tcPr>
            <w:tcW w:w="2142" w:type="dxa"/>
            <w:tcBorders>
              <w:bottom w:val="single" w:sz="4" w:space="0" w:color="auto"/>
            </w:tcBorders>
            <w:shd w:val="clear" w:color="auto" w:fill="E5E5E5" w:themeFill="background1" w:themeFillTint="33"/>
            <w:noWrap/>
            <w:vAlign w:val="center"/>
            <w:hideMark/>
          </w:tcPr>
          <w:p w14:paraId="7779D240" w14:textId="77777777" w:rsidR="00961617" w:rsidRPr="00961617" w:rsidRDefault="00961617" w:rsidP="0020771F">
            <w:pPr>
              <w:spacing w:after="0" w:line="240" w:lineRule="auto"/>
              <w:ind w:right="733"/>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90-100</w:t>
            </w:r>
          </w:p>
        </w:tc>
        <w:tc>
          <w:tcPr>
            <w:tcW w:w="1701" w:type="dxa"/>
            <w:tcBorders>
              <w:bottom w:val="single" w:sz="4" w:space="0" w:color="auto"/>
            </w:tcBorders>
            <w:shd w:val="clear" w:color="auto" w:fill="E5E5E5" w:themeFill="background1" w:themeFillTint="33"/>
            <w:noWrap/>
            <w:vAlign w:val="center"/>
            <w:hideMark/>
          </w:tcPr>
          <w:p w14:paraId="1783E341"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7.7</w:t>
            </w:r>
          </w:p>
        </w:tc>
        <w:tc>
          <w:tcPr>
            <w:tcW w:w="1559" w:type="dxa"/>
            <w:tcBorders>
              <w:bottom w:val="single" w:sz="4" w:space="0" w:color="auto"/>
            </w:tcBorders>
            <w:shd w:val="clear" w:color="auto" w:fill="E5E5E5" w:themeFill="background1" w:themeFillTint="33"/>
            <w:noWrap/>
            <w:vAlign w:val="center"/>
            <w:hideMark/>
          </w:tcPr>
          <w:p w14:paraId="39B1EDC9"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10.3</w:t>
            </w:r>
          </w:p>
        </w:tc>
        <w:tc>
          <w:tcPr>
            <w:tcW w:w="1560" w:type="dxa"/>
            <w:tcBorders>
              <w:bottom w:val="single" w:sz="4" w:space="0" w:color="auto"/>
            </w:tcBorders>
            <w:shd w:val="clear" w:color="auto" w:fill="E5E5E5" w:themeFill="background1" w:themeFillTint="33"/>
            <w:noWrap/>
            <w:vAlign w:val="center"/>
            <w:hideMark/>
          </w:tcPr>
          <w:p w14:paraId="79FC0232" w14:textId="77777777" w:rsidR="00961617" w:rsidRPr="00961617" w:rsidRDefault="00961617" w:rsidP="0020771F">
            <w:pPr>
              <w:tabs>
                <w:tab w:val="left" w:pos="1087"/>
              </w:tabs>
              <w:spacing w:after="0" w:line="240" w:lineRule="auto"/>
              <w:ind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10.2</w:t>
            </w:r>
          </w:p>
        </w:tc>
      </w:tr>
    </w:tbl>
    <w:p w14:paraId="4D958B89" w14:textId="77777777" w:rsidR="00961617" w:rsidRPr="002F5864" w:rsidRDefault="00961617" w:rsidP="0033478B">
      <w:pPr>
        <w:pStyle w:val="Source"/>
      </w:pPr>
      <w:r w:rsidRPr="002F5864">
        <w:rPr>
          <w:b/>
        </w:rPr>
        <w:t>Source</w:t>
      </w:r>
      <w:r w:rsidRPr="002F5864">
        <w:t xml:space="preserve">: </w:t>
      </w:r>
      <w:r w:rsidR="00E13B5E">
        <w:tab/>
      </w:r>
      <w:r w:rsidRPr="002F5864">
        <w:t xml:space="preserve">Department of Employment </w:t>
      </w:r>
      <w:r>
        <w:t>a</w:t>
      </w:r>
      <w:r w:rsidRPr="002F5864">
        <w:t>dministrative data</w:t>
      </w:r>
      <w:r>
        <w:t>.</w:t>
      </w:r>
    </w:p>
    <w:p w14:paraId="7D16DA63" w14:textId="77777777" w:rsidR="00961617" w:rsidRDefault="00864C5E" w:rsidP="00961617">
      <w:pPr>
        <w:spacing w:before="120"/>
        <w:rPr>
          <w:sz w:val="18"/>
          <w:szCs w:val="18"/>
        </w:rPr>
      </w:pPr>
      <w:hyperlink w:anchor="Place_A237" w:history="1">
        <w:r w:rsidR="00961617" w:rsidRPr="00B15D38">
          <w:rPr>
            <w:rStyle w:val="Hyperlink"/>
            <w:sz w:val="18"/>
            <w:szCs w:val="18"/>
          </w:rPr>
          <w:t>Return to Figure 7.2</w:t>
        </w:r>
      </w:hyperlink>
      <w:r w:rsidR="00961617" w:rsidRPr="00775AAD">
        <w:rPr>
          <w:sz w:val="18"/>
          <w:szCs w:val="18"/>
        </w:rPr>
        <w:t xml:space="preserve"> where this data is referenced.</w:t>
      </w:r>
    </w:p>
    <w:p w14:paraId="70C4FD13" w14:textId="77777777" w:rsidR="00961617" w:rsidRPr="003C4863" w:rsidRDefault="00961617" w:rsidP="00706112">
      <w:pPr>
        <w:pStyle w:val="TableheadingforappendixA1"/>
      </w:pPr>
      <w:bookmarkStart w:id="712" w:name="_Toc513129931"/>
      <w:r w:rsidRPr="003C4863">
        <w:t>Table A2.3</w:t>
      </w:r>
      <w:r>
        <w:t>8</w:t>
      </w:r>
      <w:r w:rsidRPr="003C4863">
        <w:t xml:space="preserve">: </w:t>
      </w:r>
      <w:r>
        <w:t>Net agreement on guideline changes, 2010 to 2014 (per cent)</w:t>
      </w:r>
      <w:bookmarkEnd w:id="712"/>
    </w:p>
    <w:tbl>
      <w:tblPr>
        <w:tblW w:w="6886" w:type="dxa"/>
        <w:tblInd w:w="93" w:type="dxa"/>
        <w:tblLook w:val="04A0" w:firstRow="1" w:lastRow="0" w:firstColumn="1" w:lastColumn="0" w:noHBand="0" w:noVBand="1"/>
      </w:tblPr>
      <w:tblGrid>
        <w:gridCol w:w="1433"/>
        <w:gridCol w:w="2248"/>
        <w:gridCol w:w="3205"/>
      </w:tblGrid>
      <w:tr w:rsidR="00961617" w:rsidRPr="00961617" w14:paraId="36EF7E49" w14:textId="77777777" w:rsidTr="0020771F">
        <w:trPr>
          <w:trHeight w:hRule="exact" w:val="397"/>
          <w:tblHeader/>
        </w:trPr>
        <w:tc>
          <w:tcPr>
            <w:tcW w:w="1433" w:type="dxa"/>
            <w:tcBorders>
              <w:top w:val="nil"/>
              <w:left w:val="nil"/>
              <w:bottom w:val="nil"/>
              <w:right w:val="nil"/>
            </w:tcBorders>
            <w:shd w:val="clear" w:color="auto" w:fill="1E3D6B"/>
            <w:noWrap/>
            <w:vAlign w:val="center"/>
            <w:hideMark/>
          </w:tcPr>
          <w:p w14:paraId="502DBE82" w14:textId="77777777" w:rsidR="00961617" w:rsidRPr="00961617" w:rsidRDefault="00961617" w:rsidP="0020771F">
            <w:pPr>
              <w:spacing w:after="0" w:line="240" w:lineRule="auto"/>
              <w:rPr>
                <w:rFonts w:ascii="Calibri" w:eastAsia="Times New Roman" w:hAnsi="Calibri" w:cs="Calibri"/>
                <w:b/>
                <w:color w:val="FFFFFF" w:themeColor="background2"/>
                <w:sz w:val="20"/>
                <w:szCs w:val="20"/>
                <w:lang w:eastAsia="en-AU"/>
              </w:rPr>
            </w:pPr>
            <w:bookmarkStart w:id="713" w:name="Title_A238"/>
            <w:bookmarkEnd w:id="713"/>
            <w:r w:rsidRPr="00961617">
              <w:rPr>
                <w:rFonts w:ascii="Calibri" w:eastAsia="Times New Roman" w:hAnsi="Calibri" w:cs="Calibri"/>
                <w:b/>
                <w:color w:val="FFFFFF" w:themeColor="background2"/>
                <w:sz w:val="20"/>
                <w:szCs w:val="20"/>
                <w:lang w:eastAsia="en-AU"/>
              </w:rPr>
              <w:t>Year</w:t>
            </w:r>
          </w:p>
        </w:tc>
        <w:tc>
          <w:tcPr>
            <w:tcW w:w="2248" w:type="dxa"/>
            <w:tcBorders>
              <w:top w:val="nil"/>
              <w:left w:val="nil"/>
              <w:bottom w:val="nil"/>
              <w:right w:val="nil"/>
            </w:tcBorders>
            <w:shd w:val="clear" w:color="auto" w:fill="1E3D6B"/>
            <w:noWrap/>
            <w:vAlign w:val="center"/>
            <w:hideMark/>
          </w:tcPr>
          <w:p w14:paraId="05F25DC4" w14:textId="77777777" w:rsidR="00961617" w:rsidRPr="00961617"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961617">
              <w:rPr>
                <w:rFonts w:ascii="Calibri" w:eastAsia="Times New Roman" w:hAnsi="Calibri" w:cs="Calibri"/>
                <w:b/>
                <w:color w:val="FFFFFF" w:themeColor="background2"/>
                <w:sz w:val="20"/>
                <w:szCs w:val="20"/>
                <w:lang w:eastAsia="en-AU"/>
              </w:rPr>
              <w:t>Reasonable notice</w:t>
            </w:r>
          </w:p>
        </w:tc>
        <w:tc>
          <w:tcPr>
            <w:tcW w:w="3205" w:type="dxa"/>
            <w:tcBorders>
              <w:top w:val="nil"/>
              <w:left w:val="nil"/>
              <w:bottom w:val="nil"/>
              <w:right w:val="nil"/>
            </w:tcBorders>
            <w:shd w:val="clear" w:color="auto" w:fill="1E3D6B"/>
            <w:noWrap/>
            <w:vAlign w:val="center"/>
            <w:hideMark/>
          </w:tcPr>
          <w:p w14:paraId="3E03E831" w14:textId="77777777" w:rsidR="00961617" w:rsidRPr="00961617"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961617">
              <w:rPr>
                <w:rFonts w:ascii="Calibri" w:eastAsia="Times New Roman" w:hAnsi="Calibri" w:cs="Calibri"/>
                <w:b/>
                <w:color w:val="FFFFFF" w:themeColor="background2"/>
                <w:sz w:val="20"/>
                <w:szCs w:val="20"/>
                <w:lang w:eastAsia="en-AU"/>
              </w:rPr>
              <w:t>Communicate change effectively</w:t>
            </w:r>
          </w:p>
        </w:tc>
      </w:tr>
      <w:tr w:rsidR="00961617" w:rsidRPr="00961617" w14:paraId="553BC29D" w14:textId="77777777" w:rsidTr="0020771F">
        <w:trPr>
          <w:trHeight w:hRule="exact" w:val="397"/>
        </w:trPr>
        <w:tc>
          <w:tcPr>
            <w:tcW w:w="1433" w:type="dxa"/>
            <w:tcBorders>
              <w:top w:val="nil"/>
              <w:left w:val="nil"/>
              <w:bottom w:val="nil"/>
              <w:right w:val="nil"/>
            </w:tcBorders>
            <w:shd w:val="clear" w:color="auto" w:fill="auto"/>
            <w:noWrap/>
            <w:vAlign w:val="center"/>
            <w:hideMark/>
          </w:tcPr>
          <w:p w14:paraId="1CCC923C"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2010</w:t>
            </w:r>
          </w:p>
        </w:tc>
        <w:tc>
          <w:tcPr>
            <w:tcW w:w="2248" w:type="dxa"/>
            <w:tcBorders>
              <w:top w:val="nil"/>
              <w:left w:val="nil"/>
              <w:bottom w:val="nil"/>
              <w:right w:val="nil"/>
            </w:tcBorders>
            <w:shd w:val="clear" w:color="auto" w:fill="auto"/>
            <w:noWrap/>
            <w:vAlign w:val="center"/>
            <w:hideMark/>
          </w:tcPr>
          <w:p w14:paraId="6F12C7DC" w14:textId="77777777" w:rsidR="00961617" w:rsidRPr="00961617" w:rsidRDefault="00961617" w:rsidP="0020771F">
            <w:pPr>
              <w:spacing w:after="0" w:line="240" w:lineRule="auto"/>
              <w:ind w:right="482"/>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60.0</w:t>
            </w:r>
          </w:p>
        </w:tc>
        <w:tc>
          <w:tcPr>
            <w:tcW w:w="3205" w:type="dxa"/>
            <w:tcBorders>
              <w:top w:val="nil"/>
              <w:left w:val="nil"/>
              <w:bottom w:val="nil"/>
              <w:right w:val="nil"/>
            </w:tcBorders>
            <w:shd w:val="clear" w:color="auto" w:fill="auto"/>
            <w:noWrap/>
            <w:vAlign w:val="center"/>
            <w:hideMark/>
          </w:tcPr>
          <w:p w14:paraId="3E8A2860" w14:textId="77777777" w:rsidR="00961617" w:rsidRPr="00961617" w:rsidRDefault="00961617" w:rsidP="0020771F">
            <w:pPr>
              <w:spacing w:after="0" w:line="240" w:lineRule="auto"/>
              <w:ind w:right="907"/>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68.9</w:t>
            </w:r>
          </w:p>
        </w:tc>
      </w:tr>
      <w:tr w:rsidR="00961617" w:rsidRPr="00961617" w14:paraId="2310DAA4" w14:textId="77777777" w:rsidTr="0020771F">
        <w:trPr>
          <w:trHeight w:hRule="exact" w:val="397"/>
        </w:trPr>
        <w:tc>
          <w:tcPr>
            <w:tcW w:w="1433" w:type="dxa"/>
            <w:tcBorders>
              <w:top w:val="nil"/>
              <w:left w:val="nil"/>
              <w:bottom w:val="nil"/>
              <w:right w:val="nil"/>
            </w:tcBorders>
            <w:shd w:val="clear" w:color="auto" w:fill="E5E5E5" w:themeFill="background1" w:themeFillTint="33"/>
            <w:noWrap/>
            <w:vAlign w:val="center"/>
            <w:hideMark/>
          </w:tcPr>
          <w:p w14:paraId="70A5F5C5"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2011</w:t>
            </w:r>
          </w:p>
        </w:tc>
        <w:tc>
          <w:tcPr>
            <w:tcW w:w="2248" w:type="dxa"/>
            <w:tcBorders>
              <w:top w:val="nil"/>
              <w:left w:val="nil"/>
              <w:bottom w:val="nil"/>
              <w:right w:val="nil"/>
            </w:tcBorders>
            <w:shd w:val="clear" w:color="auto" w:fill="E5E5E5" w:themeFill="background1" w:themeFillTint="33"/>
            <w:noWrap/>
            <w:vAlign w:val="center"/>
            <w:hideMark/>
          </w:tcPr>
          <w:p w14:paraId="29D2869F" w14:textId="77777777" w:rsidR="00961617" w:rsidRPr="00961617" w:rsidRDefault="00961617" w:rsidP="0020771F">
            <w:pPr>
              <w:spacing w:after="0" w:line="240" w:lineRule="auto"/>
              <w:ind w:right="482"/>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59.5</w:t>
            </w:r>
          </w:p>
        </w:tc>
        <w:tc>
          <w:tcPr>
            <w:tcW w:w="3205" w:type="dxa"/>
            <w:tcBorders>
              <w:top w:val="nil"/>
              <w:left w:val="nil"/>
              <w:bottom w:val="nil"/>
              <w:right w:val="nil"/>
            </w:tcBorders>
            <w:shd w:val="clear" w:color="auto" w:fill="E5E5E5" w:themeFill="background1" w:themeFillTint="33"/>
            <w:noWrap/>
            <w:vAlign w:val="center"/>
            <w:hideMark/>
          </w:tcPr>
          <w:p w14:paraId="0C834593" w14:textId="77777777" w:rsidR="00961617" w:rsidRPr="00961617" w:rsidRDefault="00961617" w:rsidP="0020771F">
            <w:pPr>
              <w:spacing w:after="0" w:line="240" w:lineRule="auto"/>
              <w:ind w:right="907"/>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59.4</w:t>
            </w:r>
          </w:p>
        </w:tc>
      </w:tr>
      <w:tr w:rsidR="00961617" w:rsidRPr="00961617" w14:paraId="21780415" w14:textId="77777777" w:rsidTr="0020771F">
        <w:trPr>
          <w:trHeight w:hRule="exact" w:val="397"/>
        </w:trPr>
        <w:tc>
          <w:tcPr>
            <w:tcW w:w="1433" w:type="dxa"/>
            <w:tcBorders>
              <w:top w:val="nil"/>
              <w:left w:val="nil"/>
              <w:bottom w:val="nil"/>
              <w:right w:val="nil"/>
            </w:tcBorders>
            <w:shd w:val="clear" w:color="auto" w:fill="auto"/>
            <w:noWrap/>
            <w:vAlign w:val="center"/>
            <w:hideMark/>
          </w:tcPr>
          <w:p w14:paraId="58A08EEF"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2012</w:t>
            </w:r>
          </w:p>
        </w:tc>
        <w:tc>
          <w:tcPr>
            <w:tcW w:w="2248" w:type="dxa"/>
            <w:tcBorders>
              <w:top w:val="nil"/>
              <w:left w:val="nil"/>
              <w:bottom w:val="nil"/>
              <w:right w:val="nil"/>
            </w:tcBorders>
            <w:shd w:val="clear" w:color="auto" w:fill="auto"/>
            <w:noWrap/>
            <w:vAlign w:val="center"/>
            <w:hideMark/>
          </w:tcPr>
          <w:p w14:paraId="229839FF" w14:textId="77777777" w:rsidR="00961617" w:rsidRPr="00961617" w:rsidRDefault="00961617" w:rsidP="0020771F">
            <w:pPr>
              <w:spacing w:after="0" w:line="240" w:lineRule="auto"/>
              <w:ind w:right="482"/>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62.5</w:t>
            </w:r>
          </w:p>
        </w:tc>
        <w:tc>
          <w:tcPr>
            <w:tcW w:w="3205" w:type="dxa"/>
            <w:tcBorders>
              <w:top w:val="nil"/>
              <w:left w:val="nil"/>
              <w:bottom w:val="nil"/>
              <w:right w:val="nil"/>
            </w:tcBorders>
            <w:shd w:val="clear" w:color="auto" w:fill="auto"/>
            <w:noWrap/>
            <w:vAlign w:val="center"/>
            <w:hideMark/>
          </w:tcPr>
          <w:p w14:paraId="44F5B6F1" w14:textId="77777777" w:rsidR="00961617" w:rsidRPr="00961617" w:rsidRDefault="00961617" w:rsidP="0020771F">
            <w:pPr>
              <w:spacing w:after="0" w:line="240" w:lineRule="auto"/>
              <w:ind w:right="907"/>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57.2</w:t>
            </w:r>
          </w:p>
        </w:tc>
      </w:tr>
      <w:tr w:rsidR="00961617" w:rsidRPr="00961617" w14:paraId="0756AB1B" w14:textId="77777777" w:rsidTr="0020771F">
        <w:trPr>
          <w:trHeight w:hRule="exact" w:val="397"/>
        </w:trPr>
        <w:tc>
          <w:tcPr>
            <w:tcW w:w="1433" w:type="dxa"/>
            <w:tcBorders>
              <w:top w:val="nil"/>
              <w:left w:val="nil"/>
              <w:right w:val="nil"/>
            </w:tcBorders>
            <w:shd w:val="clear" w:color="auto" w:fill="E5E5E5" w:themeFill="background1" w:themeFillTint="33"/>
            <w:noWrap/>
            <w:vAlign w:val="center"/>
            <w:hideMark/>
          </w:tcPr>
          <w:p w14:paraId="14416CE1"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2013</w:t>
            </w:r>
          </w:p>
        </w:tc>
        <w:tc>
          <w:tcPr>
            <w:tcW w:w="2248" w:type="dxa"/>
            <w:tcBorders>
              <w:top w:val="nil"/>
              <w:left w:val="nil"/>
              <w:right w:val="nil"/>
            </w:tcBorders>
            <w:shd w:val="clear" w:color="auto" w:fill="E5E5E5" w:themeFill="background1" w:themeFillTint="33"/>
            <w:noWrap/>
            <w:vAlign w:val="center"/>
            <w:hideMark/>
          </w:tcPr>
          <w:p w14:paraId="2CFA9FA6" w14:textId="77777777" w:rsidR="00961617" w:rsidRPr="00961617" w:rsidRDefault="00961617" w:rsidP="0020771F">
            <w:pPr>
              <w:spacing w:after="0" w:line="240" w:lineRule="auto"/>
              <w:ind w:right="482"/>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41.1</w:t>
            </w:r>
          </w:p>
        </w:tc>
        <w:tc>
          <w:tcPr>
            <w:tcW w:w="3205" w:type="dxa"/>
            <w:tcBorders>
              <w:top w:val="nil"/>
              <w:left w:val="nil"/>
              <w:right w:val="nil"/>
            </w:tcBorders>
            <w:shd w:val="clear" w:color="auto" w:fill="E5E5E5" w:themeFill="background1" w:themeFillTint="33"/>
            <w:noWrap/>
            <w:vAlign w:val="center"/>
            <w:hideMark/>
          </w:tcPr>
          <w:p w14:paraId="25CB67B7" w14:textId="77777777" w:rsidR="00961617" w:rsidRPr="00961617" w:rsidRDefault="00961617" w:rsidP="0020771F">
            <w:pPr>
              <w:spacing w:after="0" w:line="240" w:lineRule="auto"/>
              <w:ind w:right="907"/>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47.2</w:t>
            </w:r>
          </w:p>
        </w:tc>
      </w:tr>
      <w:tr w:rsidR="00961617" w:rsidRPr="00961617" w14:paraId="5C8D3D04" w14:textId="77777777" w:rsidTr="0020771F">
        <w:trPr>
          <w:trHeight w:hRule="exact" w:val="397"/>
        </w:trPr>
        <w:tc>
          <w:tcPr>
            <w:tcW w:w="1433" w:type="dxa"/>
            <w:tcBorders>
              <w:top w:val="nil"/>
              <w:left w:val="nil"/>
              <w:bottom w:val="single" w:sz="4" w:space="0" w:color="auto"/>
              <w:right w:val="nil"/>
            </w:tcBorders>
            <w:shd w:val="clear" w:color="auto" w:fill="auto"/>
            <w:noWrap/>
            <w:vAlign w:val="center"/>
            <w:hideMark/>
          </w:tcPr>
          <w:p w14:paraId="22EED332"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2014</w:t>
            </w:r>
          </w:p>
        </w:tc>
        <w:tc>
          <w:tcPr>
            <w:tcW w:w="2248" w:type="dxa"/>
            <w:tcBorders>
              <w:top w:val="nil"/>
              <w:left w:val="nil"/>
              <w:bottom w:val="single" w:sz="4" w:space="0" w:color="auto"/>
              <w:right w:val="nil"/>
            </w:tcBorders>
            <w:shd w:val="clear" w:color="auto" w:fill="auto"/>
            <w:noWrap/>
            <w:vAlign w:val="center"/>
            <w:hideMark/>
          </w:tcPr>
          <w:p w14:paraId="3F28FB55" w14:textId="77777777" w:rsidR="00961617" w:rsidRPr="00961617" w:rsidRDefault="00961617" w:rsidP="0020771F">
            <w:pPr>
              <w:spacing w:after="0" w:line="240" w:lineRule="auto"/>
              <w:ind w:right="482"/>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48.0</w:t>
            </w:r>
          </w:p>
        </w:tc>
        <w:tc>
          <w:tcPr>
            <w:tcW w:w="3205" w:type="dxa"/>
            <w:tcBorders>
              <w:top w:val="nil"/>
              <w:left w:val="nil"/>
              <w:bottom w:val="single" w:sz="4" w:space="0" w:color="auto"/>
              <w:right w:val="nil"/>
            </w:tcBorders>
            <w:shd w:val="clear" w:color="auto" w:fill="auto"/>
            <w:noWrap/>
            <w:vAlign w:val="center"/>
            <w:hideMark/>
          </w:tcPr>
          <w:p w14:paraId="223EC160" w14:textId="77777777" w:rsidR="00961617" w:rsidRPr="00961617" w:rsidRDefault="00961617" w:rsidP="0020771F">
            <w:pPr>
              <w:spacing w:after="0" w:line="240" w:lineRule="auto"/>
              <w:ind w:right="907"/>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53.2</w:t>
            </w:r>
          </w:p>
        </w:tc>
      </w:tr>
    </w:tbl>
    <w:p w14:paraId="316AA4AF" w14:textId="51CC07D4" w:rsidR="00961617" w:rsidRPr="002F5864" w:rsidRDefault="00961617" w:rsidP="0033478B">
      <w:pPr>
        <w:pStyle w:val="Source"/>
      </w:pPr>
      <w:r w:rsidRPr="002F5864">
        <w:rPr>
          <w:b/>
        </w:rPr>
        <w:t>Source</w:t>
      </w:r>
      <w:r w:rsidRPr="002F5864">
        <w:t xml:space="preserve">: </w:t>
      </w:r>
      <w:r w:rsidR="00E13B5E">
        <w:tab/>
      </w:r>
      <w:r w:rsidRPr="002F5864">
        <w:t xml:space="preserve">Department of Employment </w:t>
      </w:r>
      <w:r>
        <w:t>Service</w:t>
      </w:r>
      <w:r w:rsidR="00375698">
        <w:t>s</w:t>
      </w:r>
      <w:r>
        <w:t xml:space="preserve"> Provider Survey (2010 to 2014).</w:t>
      </w:r>
    </w:p>
    <w:p w14:paraId="633CAC6E" w14:textId="77777777" w:rsidR="00961617" w:rsidRDefault="00864C5E" w:rsidP="00961617">
      <w:pPr>
        <w:spacing w:before="120"/>
        <w:rPr>
          <w:sz w:val="18"/>
          <w:szCs w:val="18"/>
        </w:rPr>
      </w:pPr>
      <w:hyperlink w:anchor="Place_A238" w:history="1">
        <w:r w:rsidR="00961617" w:rsidRPr="00B15D38">
          <w:rPr>
            <w:rStyle w:val="Hyperlink"/>
            <w:sz w:val="18"/>
            <w:szCs w:val="18"/>
          </w:rPr>
          <w:t>Return to Figure 7.3</w:t>
        </w:r>
      </w:hyperlink>
      <w:r w:rsidR="00961617" w:rsidRPr="00775AAD">
        <w:rPr>
          <w:sz w:val="18"/>
          <w:szCs w:val="18"/>
        </w:rPr>
        <w:t xml:space="preserve"> where this data is referenced.</w:t>
      </w:r>
    </w:p>
    <w:p w14:paraId="29AFF684" w14:textId="77777777" w:rsidR="00961617" w:rsidRDefault="00961617" w:rsidP="00961617">
      <w:pPr>
        <w:rPr>
          <w:sz w:val="18"/>
          <w:szCs w:val="18"/>
        </w:rPr>
      </w:pPr>
      <w:r>
        <w:rPr>
          <w:sz w:val="18"/>
          <w:szCs w:val="18"/>
        </w:rPr>
        <w:br w:type="page"/>
      </w:r>
    </w:p>
    <w:p w14:paraId="5E90F7C6" w14:textId="77777777" w:rsidR="00961617" w:rsidRPr="00706112" w:rsidRDefault="00961617" w:rsidP="00961617">
      <w:pPr>
        <w:pStyle w:val="TableheadingforappendixA1"/>
        <w:rPr>
          <w:rFonts w:cstheme="minorHAnsi"/>
        </w:rPr>
      </w:pPr>
      <w:bookmarkStart w:id="714" w:name="_Toc513129932"/>
      <w:r w:rsidRPr="002F5864">
        <w:rPr>
          <w:rFonts w:cstheme="minorHAnsi"/>
        </w:rPr>
        <w:t>Table A2.</w:t>
      </w:r>
      <w:r>
        <w:rPr>
          <w:rFonts w:cstheme="minorHAnsi"/>
        </w:rPr>
        <w:t>39: Main reasons employers did not use a government funded employment services provider (per cent)</w:t>
      </w:r>
      <w:bookmarkEnd w:id="714"/>
    </w:p>
    <w:tbl>
      <w:tblPr>
        <w:tblW w:w="7066" w:type="dxa"/>
        <w:tblInd w:w="93" w:type="dxa"/>
        <w:tblLook w:val="04A0" w:firstRow="1" w:lastRow="0" w:firstColumn="1" w:lastColumn="0" w:noHBand="0" w:noVBand="1"/>
      </w:tblPr>
      <w:tblGrid>
        <w:gridCol w:w="5827"/>
        <w:gridCol w:w="1239"/>
      </w:tblGrid>
      <w:tr w:rsidR="00961617" w:rsidRPr="00961617" w14:paraId="6E444D04" w14:textId="77777777" w:rsidTr="0020771F">
        <w:trPr>
          <w:trHeight w:hRule="exact" w:val="397"/>
          <w:tblHeader/>
        </w:trPr>
        <w:tc>
          <w:tcPr>
            <w:tcW w:w="5827" w:type="dxa"/>
            <w:tcBorders>
              <w:top w:val="nil"/>
              <w:left w:val="nil"/>
              <w:right w:val="nil"/>
            </w:tcBorders>
            <w:shd w:val="clear" w:color="auto" w:fill="1E3D6B"/>
            <w:noWrap/>
            <w:vAlign w:val="center"/>
            <w:hideMark/>
          </w:tcPr>
          <w:p w14:paraId="7A7E4E41" w14:textId="77777777" w:rsidR="00961617" w:rsidRPr="00961617" w:rsidRDefault="00961617" w:rsidP="0020771F">
            <w:pPr>
              <w:spacing w:after="0" w:line="240" w:lineRule="auto"/>
              <w:rPr>
                <w:rFonts w:ascii="Calibri" w:eastAsia="Times New Roman" w:hAnsi="Calibri" w:cs="Calibri"/>
                <w:b/>
                <w:color w:val="FFFFFF" w:themeColor="background2"/>
                <w:sz w:val="20"/>
                <w:szCs w:val="20"/>
                <w:lang w:eastAsia="en-AU"/>
              </w:rPr>
            </w:pPr>
            <w:bookmarkStart w:id="715" w:name="Title_A239"/>
            <w:bookmarkEnd w:id="715"/>
            <w:r w:rsidRPr="00961617">
              <w:rPr>
                <w:rFonts w:ascii="Calibri" w:eastAsia="Times New Roman" w:hAnsi="Calibri" w:cs="Calibri"/>
                <w:b/>
                <w:color w:val="FFFFFF" w:themeColor="background2"/>
                <w:sz w:val="20"/>
                <w:szCs w:val="20"/>
                <w:lang w:eastAsia="en-AU"/>
              </w:rPr>
              <w:t>Main reason</w:t>
            </w:r>
          </w:p>
        </w:tc>
        <w:tc>
          <w:tcPr>
            <w:tcW w:w="1239" w:type="dxa"/>
            <w:tcBorders>
              <w:top w:val="nil"/>
              <w:left w:val="nil"/>
              <w:right w:val="nil"/>
            </w:tcBorders>
            <w:shd w:val="clear" w:color="auto" w:fill="1E3D6B"/>
            <w:noWrap/>
            <w:vAlign w:val="center"/>
            <w:hideMark/>
          </w:tcPr>
          <w:p w14:paraId="5A8CFFF5" w14:textId="77777777" w:rsidR="00961617" w:rsidRPr="00961617" w:rsidRDefault="00961617" w:rsidP="0020771F">
            <w:pPr>
              <w:spacing w:after="0" w:line="240" w:lineRule="auto"/>
              <w:jc w:val="center"/>
              <w:rPr>
                <w:rFonts w:ascii="Calibri" w:eastAsia="Times New Roman" w:hAnsi="Calibri" w:cs="Calibri"/>
                <w:b/>
                <w:color w:val="FFFFFF" w:themeColor="background2"/>
                <w:sz w:val="20"/>
                <w:szCs w:val="20"/>
                <w:lang w:eastAsia="en-AU"/>
              </w:rPr>
            </w:pPr>
            <w:r w:rsidRPr="00961617">
              <w:rPr>
                <w:rFonts w:ascii="Calibri" w:eastAsia="Times New Roman" w:hAnsi="Calibri" w:cs="Calibri"/>
                <w:b/>
                <w:color w:val="FFFFFF" w:themeColor="background2"/>
                <w:sz w:val="20"/>
                <w:szCs w:val="20"/>
                <w:lang w:eastAsia="en-AU"/>
              </w:rPr>
              <w:t>Per cent</w:t>
            </w:r>
          </w:p>
        </w:tc>
      </w:tr>
      <w:tr w:rsidR="00961617" w:rsidRPr="00961617" w14:paraId="753A02B0" w14:textId="77777777" w:rsidTr="0020771F">
        <w:trPr>
          <w:trHeight w:hRule="exact" w:val="397"/>
        </w:trPr>
        <w:tc>
          <w:tcPr>
            <w:tcW w:w="5827" w:type="dxa"/>
            <w:shd w:val="clear" w:color="auto" w:fill="auto"/>
            <w:noWrap/>
            <w:vAlign w:val="center"/>
            <w:hideMark/>
          </w:tcPr>
          <w:p w14:paraId="4D4B8BB0"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Don't know/not sure</w:t>
            </w:r>
          </w:p>
        </w:tc>
        <w:tc>
          <w:tcPr>
            <w:tcW w:w="1239" w:type="dxa"/>
            <w:shd w:val="clear" w:color="auto" w:fill="auto"/>
            <w:noWrap/>
            <w:vAlign w:val="center"/>
            <w:hideMark/>
          </w:tcPr>
          <w:p w14:paraId="663AB4E1"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w:t>
            </w:r>
          </w:p>
        </w:tc>
      </w:tr>
      <w:tr w:rsidR="00961617" w:rsidRPr="00961617" w14:paraId="02545ADA" w14:textId="77777777" w:rsidTr="0020771F">
        <w:trPr>
          <w:trHeight w:hRule="exact" w:val="397"/>
        </w:trPr>
        <w:tc>
          <w:tcPr>
            <w:tcW w:w="5827" w:type="dxa"/>
            <w:tcBorders>
              <w:top w:val="nil"/>
            </w:tcBorders>
            <w:shd w:val="clear" w:color="auto" w:fill="E5E5E5" w:themeFill="background1" w:themeFillTint="33"/>
            <w:noWrap/>
            <w:vAlign w:val="center"/>
            <w:hideMark/>
          </w:tcPr>
          <w:p w14:paraId="4D8609CE"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Other</w:t>
            </w:r>
          </w:p>
        </w:tc>
        <w:tc>
          <w:tcPr>
            <w:tcW w:w="1239" w:type="dxa"/>
            <w:tcBorders>
              <w:top w:val="nil"/>
            </w:tcBorders>
            <w:shd w:val="clear" w:color="auto" w:fill="E5E5E5" w:themeFill="background1" w:themeFillTint="33"/>
            <w:noWrap/>
            <w:vAlign w:val="center"/>
            <w:hideMark/>
          </w:tcPr>
          <w:p w14:paraId="2A330505"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3</w:t>
            </w:r>
          </w:p>
        </w:tc>
      </w:tr>
      <w:tr w:rsidR="00961617" w:rsidRPr="00961617" w14:paraId="65B88D2C" w14:textId="77777777" w:rsidTr="0020771F">
        <w:trPr>
          <w:trHeight w:hRule="exact" w:val="397"/>
        </w:trPr>
        <w:tc>
          <w:tcPr>
            <w:tcW w:w="5827" w:type="dxa"/>
            <w:tcBorders>
              <w:top w:val="nil"/>
            </w:tcBorders>
            <w:shd w:val="clear" w:color="auto" w:fill="auto"/>
            <w:noWrap/>
            <w:vAlign w:val="center"/>
            <w:hideMark/>
          </w:tcPr>
          <w:p w14:paraId="792DFBFD"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Don't listen to our needs/poor screening</w:t>
            </w:r>
          </w:p>
        </w:tc>
        <w:tc>
          <w:tcPr>
            <w:tcW w:w="1239" w:type="dxa"/>
            <w:tcBorders>
              <w:top w:val="nil"/>
            </w:tcBorders>
            <w:shd w:val="clear" w:color="auto" w:fill="auto"/>
            <w:noWrap/>
            <w:vAlign w:val="center"/>
            <w:hideMark/>
          </w:tcPr>
          <w:p w14:paraId="74290BDA"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1</w:t>
            </w:r>
          </w:p>
        </w:tc>
      </w:tr>
      <w:tr w:rsidR="00961617" w:rsidRPr="00961617" w14:paraId="39FE7A68" w14:textId="77777777" w:rsidTr="0020771F">
        <w:trPr>
          <w:trHeight w:hRule="exact" w:val="397"/>
        </w:trPr>
        <w:tc>
          <w:tcPr>
            <w:tcW w:w="5827" w:type="dxa"/>
            <w:tcBorders>
              <w:top w:val="nil"/>
            </w:tcBorders>
            <w:shd w:val="clear" w:color="auto" w:fill="E5E5E5" w:themeFill="background1" w:themeFillTint="33"/>
            <w:noWrap/>
            <w:vAlign w:val="center"/>
            <w:hideMark/>
          </w:tcPr>
          <w:p w14:paraId="740CCF3C"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Poor service/lack of support</w:t>
            </w:r>
          </w:p>
        </w:tc>
        <w:tc>
          <w:tcPr>
            <w:tcW w:w="1239" w:type="dxa"/>
            <w:tcBorders>
              <w:top w:val="nil"/>
            </w:tcBorders>
            <w:shd w:val="clear" w:color="auto" w:fill="E5E5E5" w:themeFill="background1" w:themeFillTint="33"/>
            <w:noWrap/>
            <w:vAlign w:val="center"/>
            <w:hideMark/>
          </w:tcPr>
          <w:p w14:paraId="2A773379"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3</w:t>
            </w:r>
          </w:p>
        </w:tc>
      </w:tr>
      <w:tr w:rsidR="00961617" w:rsidRPr="00961617" w14:paraId="3B1612F3" w14:textId="77777777" w:rsidTr="0020771F">
        <w:trPr>
          <w:trHeight w:hRule="exact" w:val="397"/>
        </w:trPr>
        <w:tc>
          <w:tcPr>
            <w:tcW w:w="5827" w:type="dxa"/>
            <w:tcBorders>
              <w:top w:val="nil"/>
            </w:tcBorders>
            <w:shd w:val="clear" w:color="auto" w:fill="auto"/>
            <w:noWrap/>
            <w:vAlign w:val="center"/>
            <w:hideMark/>
          </w:tcPr>
          <w:p w14:paraId="72AAAC43"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Too much effort/paperwork/administration</w:t>
            </w:r>
          </w:p>
        </w:tc>
        <w:tc>
          <w:tcPr>
            <w:tcW w:w="1239" w:type="dxa"/>
            <w:tcBorders>
              <w:top w:val="nil"/>
            </w:tcBorders>
            <w:shd w:val="clear" w:color="auto" w:fill="auto"/>
            <w:noWrap/>
            <w:vAlign w:val="center"/>
            <w:hideMark/>
          </w:tcPr>
          <w:p w14:paraId="189F874B"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4</w:t>
            </w:r>
          </w:p>
        </w:tc>
      </w:tr>
      <w:tr w:rsidR="00961617" w:rsidRPr="00961617" w14:paraId="4E27CD12" w14:textId="77777777" w:rsidTr="0020771F">
        <w:trPr>
          <w:trHeight w:hRule="exact" w:val="397"/>
        </w:trPr>
        <w:tc>
          <w:tcPr>
            <w:tcW w:w="5827" w:type="dxa"/>
            <w:tcBorders>
              <w:top w:val="nil"/>
            </w:tcBorders>
            <w:shd w:val="clear" w:color="auto" w:fill="E5E5E5" w:themeFill="background1" w:themeFillTint="33"/>
            <w:noWrap/>
            <w:vAlign w:val="center"/>
            <w:hideMark/>
          </w:tcPr>
          <w:p w14:paraId="58E1D1C9"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Applicants do not want to work/unproductive</w:t>
            </w:r>
          </w:p>
        </w:tc>
        <w:tc>
          <w:tcPr>
            <w:tcW w:w="1239" w:type="dxa"/>
            <w:tcBorders>
              <w:top w:val="nil"/>
            </w:tcBorders>
            <w:shd w:val="clear" w:color="auto" w:fill="E5E5E5" w:themeFill="background1" w:themeFillTint="33"/>
            <w:noWrap/>
            <w:vAlign w:val="center"/>
            <w:hideMark/>
          </w:tcPr>
          <w:p w14:paraId="6A3A003B"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7</w:t>
            </w:r>
          </w:p>
        </w:tc>
      </w:tr>
      <w:tr w:rsidR="00961617" w:rsidRPr="00961617" w14:paraId="0BBC9D32" w14:textId="77777777" w:rsidTr="0020771F">
        <w:trPr>
          <w:trHeight w:hRule="exact" w:val="397"/>
        </w:trPr>
        <w:tc>
          <w:tcPr>
            <w:tcW w:w="5827" w:type="dxa"/>
            <w:tcBorders>
              <w:top w:val="nil"/>
            </w:tcBorders>
            <w:shd w:val="clear" w:color="auto" w:fill="auto"/>
            <w:noWrap/>
            <w:vAlign w:val="center"/>
            <w:hideMark/>
          </w:tcPr>
          <w:p w14:paraId="67F30C1F"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Applicants lack personal traits or qualities</w:t>
            </w:r>
          </w:p>
        </w:tc>
        <w:tc>
          <w:tcPr>
            <w:tcW w:w="1239" w:type="dxa"/>
            <w:tcBorders>
              <w:top w:val="nil"/>
            </w:tcBorders>
            <w:shd w:val="clear" w:color="auto" w:fill="auto"/>
            <w:noWrap/>
            <w:vAlign w:val="center"/>
            <w:hideMark/>
          </w:tcPr>
          <w:p w14:paraId="7224E045"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7</w:t>
            </w:r>
          </w:p>
        </w:tc>
      </w:tr>
      <w:tr w:rsidR="00961617" w:rsidRPr="00961617" w14:paraId="3C731B47" w14:textId="77777777" w:rsidTr="0020771F">
        <w:trPr>
          <w:trHeight w:hRule="exact" w:val="397"/>
        </w:trPr>
        <w:tc>
          <w:tcPr>
            <w:tcW w:w="5827" w:type="dxa"/>
            <w:tcBorders>
              <w:top w:val="nil"/>
            </w:tcBorders>
            <w:shd w:val="clear" w:color="auto" w:fill="E5E5E5" w:themeFill="background1" w:themeFillTint="33"/>
            <w:noWrap/>
            <w:vAlign w:val="center"/>
            <w:hideMark/>
          </w:tcPr>
          <w:p w14:paraId="5DE750D1"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Agency lacked suitable applicants (non-specific)</w:t>
            </w:r>
          </w:p>
        </w:tc>
        <w:tc>
          <w:tcPr>
            <w:tcW w:w="1239" w:type="dxa"/>
            <w:tcBorders>
              <w:top w:val="nil"/>
            </w:tcBorders>
            <w:shd w:val="clear" w:color="auto" w:fill="E5E5E5" w:themeFill="background1" w:themeFillTint="33"/>
            <w:noWrap/>
            <w:vAlign w:val="center"/>
            <w:hideMark/>
          </w:tcPr>
          <w:p w14:paraId="0E1450F9"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8</w:t>
            </w:r>
          </w:p>
        </w:tc>
      </w:tr>
      <w:tr w:rsidR="00961617" w:rsidRPr="00961617" w14:paraId="51330B23" w14:textId="77777777" w:rsidTr="0020771F">
        <w:trPr>
          <w:trHeight w:hRule="exact" w:val="397"/>
        </w:trPr>
        <w:tc>
          <w:tcPr>
            <w:tcW w:w="5827" w:type="dxa"/>
            <w:tcBorders>
              <w:top w:val="nil"/>
            </w:tcBorders>
            <w:shd w:val="clear" w:color="auto" w:fill="auto"/>
            <w:noWrap/>
            <w:vAlign w:val="center"/>
            <w:hideMark/>
          </w:tcPr>
          <w:p w14:paraId="26EA3CD3"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Didn't know I/we could use them</w:t>
            </w:r>
          </w:p>
        </w:tc>
        <w:tc>
          <w:tcPr>
            <w:tcW w:w="1239" w:type="dxa"/>
            <w:tcBorders>
              <w:top w:val="nil"/>
            </w:tcBorders>
            <w:shd w:val="clear" w:color="auto" w:fill="auto"/>
            <w:noWrap/>
            <w:vAlign w:val="center"/>
            <w:hideMark/>
          </w:tcPr>
          <w:p w14:paraId="032C2FD1"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11</w:t>
            </w:r>
          </w:p>
        </w:tc>
      </w:tr>
      <w:tr w:rsidR="00961617" w:rsidRPr="00961617" w14:paraId="03D13206" w14:textId="77777777" w:rsidTr="0020771F">
        <w:trPr>
          <w:trHeight w:hRule="exact" w:val="397"/>
        </w:trPr>
        <w:tc>
          <w:tcPr>
            <w:tcW w:w="5827" w:type="dxa"/>
            <w:tcBorders>
              <w:top w:val="nil"/>
            </w:tcBorders>
            <w:shd w:val="clear" w:color="auto" w:fill="E5E5E5" w:themeFill="background1" w:themeFillTint="33"/>
            <w:noWrap/>
            <w:vAlign w:val="center"/>
            <w:hideMark/>
          </w:tcPr>
          <w:p w14:paraId="2E3F2FFC"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Applicants lack work skills/skills of applicants to not match job</w:t>
            </w:r>
          </w:p>
        </w:tc>
        <w:tc>
          <w:tcPr>
            <w:tcW w:w="1239" w:type="dxa"/>
            <w:tcBorders>
              <w:top w:val="nil"/>
            </w:tcBorders>
            <w:shd w:val="clear" w:color="auto" w:fill="E5E5E5" w:themeFill="background1" w:themeFillTint="33"/>
            <w:noWrap/>
            <w:vAlign w:val="center"/>
            <w:hideMark/>
          </w:tcPr>
          <w:p w14:paraId="4920A11A"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17</w:t>
            </w:r>
          </w:p>
        </w:tc>
      </w:tr>
      <w:tr w:rsidR="00961617" w:rsidRPr="00961617" w14:paraId="38B0853F" w14:textId="77777777" w:rsidTr="0020771F">
        <w:trPr>
          <w:trHeight w:hRule="exact" w:val="397"/>
        </w:trPr>
        <w:tc>
          <w:tcPr>
            <w:tcW w:w="5827" w:type="dxa"/>
            <w:tcBorders>
              <w:top w:val="nil"/>
              <w:bottom w:val="single" w:sz="4" w:space="0" w:color="auto"/>
            </w:tcBorders>
            <w:shd w:val="clear" w:color="auto" w:fill="auto"/>
            <w:noWrap/>
            <w:vAlign w:val="center"/>
            <w:hideMark/>
          </w:tcPr>
          <w:p w14:paraId="0B78BFEA" w14:textId="77777777" w:rsidR="00961617" w:rsidRPr="00961617" w:rsidRDefault="00961617" w:rsidP="0020771F">
            <w:pPr>
              <w:spacing w:after="0" w:line="240" w:lineRule="auto"/>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Didn't think about it</w:t>
            </w:r>
          </w:p>
        </w:tc>
        <w:tc>
          <w:tcPr>
            <w:tcW w:w="1239" w:type="dxa"/>
            <w:tcBorders>
              <w:top w:val="nil"/>
              <w:bottom w:val="single" w:sz="4" w:space="0" w:color="auto"/>
            </w:tcBorders>
            <w:shd w:val="clear" w:color="auto" w:fill="auto"/>
            <w:noWrap/>
            <w:vAlign w:val="center"/>
            <w:hideMark/>
          </w:tcPr>
          <w:p w14:paraId="32671C2C" w14:textId="77777777" w:rsidR="00961617" w:rsidRPr="00961617" w:rsidRDefault="00961617" w:rsidP="0020771F">
            <w:pPr>
              <w:spacing w:after="0" w:line="240" w:lineRule="auto"/>
              <w:ind w:left="-355" w:right="380"/>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50</w:t>
            </w:r>
          </w:p>
        </w:tc>
      </w:tr>
    </w:tbl>
    <w:p w14:paraId="66F4A3BE" w14:textId="77777777" w:rsidR="00961617" w:rsidRPr="002F5864" w:rsidRDefault="00961617" w:rsidP="0033478B">
      <w:pPr>
        <w:pStyle w:val="Source"/>
      </w:pPr>
      <w:r w:rsidRPr="002F5864">
        <w:rPr>
          <w:b/>
        </w:rPr>
        <w:t>Source</w:t>
      </w:r>
      <w:r w:rsidRPr="002F5864">
        <w:t>:</w:t>
      </w:r>
      <w:r w:rsidR="00E13B5E">
        <w:tab/>
      </w:r>
      <w:r w:rsidRPr="002F5864">
        <w:t xml:space="preserve"> Department of Employment </w:t>
      </w:r>
      <w:r>
        <w:t>2014-15 Survey of Employers</w:t>
      </w:r>
    </w:p>
    <w:p w14:paraId="523A9267" w14:textId="77777777" w:rsidR="00961617" w:rsidRDefault="00864C5E" w:rsidP="00961617">
      <w:pPr>
        <w:spacing w:before="120"/>
        <w:rPr>
          <w:sz w:val="18"/>
          <w:szCs w:val="18"/>
        </w:rPr>
      </w:pPr>
      <w:hyperlink w:anchor="Place_A239" w:history="1">
        <w:r w:rsidR="00961617" w:rsidRPr="00B15D38">
          <w:rPr>
            <w:rStyle w:val="Hyperlink"/>
            <w:sz w:val="18"/>
            <w:szCs w:val="18"/>
          </w:rPr>
          <w:t>Return to Figure 9.1</w:t>
        </w:r>
      </w:hyperlink>
      <w:r w:rsidR="00961617" w:rsidRPr="00775AAD">
        <w:rPr>
          <w:sz w:val="18"/>
          <w:szCs w:val="18"/>
        </w:rPr>
        <w:t xml:space="preserve"> where this data is referenced.</w:t>
      </w:r>
    </w:p>
    <w:p w14:paraId="2C0F6637" w14:textId="77777777" w:rsidR="00961617" w:rsidRDefault="00961617" w:rsidP="00961617">
      <w:pPr>
        <w:rPr>
          <w:rFonts w:cstheme="minorHAnsi"/>
        </w:rPr>
        <w:sectPr w:rsidR="00961617" w:rsidSect="00861BD8">
          <w:pgSz w:w="11907" w:h="16839" w:code="9"/>
          <w:pgMar w:top="1440" w:right="1440" w:bottom="1440" w:left="1440" w:header="709" w:footer="284" w:gutter="0"/>
          <w:cols w:space="708"/>
          <w:docGrid w:linePitch="360"/>
        </w:sectPr>
      </w:pPr>
    </w:p>
    <w:p w14:paraId="65D11BED" w14:textId="77777777" w:rsidR="00961617" w:rsidRDefault="00961617" w:rsidP="00961617">
      <w:pPr>
        <w:pStyle w:val="TableheadingforappendixA1"/>
        <w:rPr>
          <w:rFonts w:cstheme="minorHAnsi"/>
          <w:noProof/>
        </w:rPr>
      </w:pPr>
      <w:bookmarkStart w:id="716" w:name="_Toc513129933"/>
      <w:r w:rsidRPr="002F5864">
        <w:rPr>
          <w:rFonts w:cstheme="minorHAnsi"/>
        </w:rPr>
        <w:t>Table A2.</w:t>
      </w:r>
      <w:r>
        <w:rPr>
          <w:rFonts w:cstheme="minorHAnsi"/>
        </w:rPr>
        <w:t>40:</w:t>
      </w:r>
      <w:r w:rsidRPr="002F5864">
        <w:rPr>
          <w:rFonts w:cstheme="minorHAnsi"/>
          <w:noProof/>
        </w:rPr>
        <w:t xml:space="preserve"> Employer Statements for different job seekers groups </w:t>
      </w:r>
      <w:r>
        <w:rPr>
          <w:rFonts w:cstheme="minorHAnsi"/>
          <w:noProof/>
        </w:rPr>
        <w:t>(per cent)</w:t>
      </w:r>
      <w:bookmarkEnd w:id="716"/>
    </w:p>
    <w:p w14:paraId="22294C09" w14:textId="77777777" w:rsidR="00961617" w:rsidRPr="00D80191" w:rsidRDefault="00961617" w:rsidP="00961617">
      <w:pPr>
        <w:spacing w:before="120" w:after="0"/>
        <w:rPr>
          <w:b/>
        </w:rPr>
      </w:pPr>
      <w:r w:rsidRPr="00D80191">
        <w:rPr>
          <w:b/>
        </w:rPr>
        <w:t>Positive Statements</w:t>
      </w:r>
    </w:p>
    <w:tbl>
      <w:tblPr>
        <w:tblW w:w="13623" w:type="dxa"/>
        <w:tblInd w:w="93" w:type="dxa"/>
        <w:tblLook w:val="04A0" w:firstRow="1" w:lastRow="0" w:firstColumn="1" w:lastColumn="0" w:noHBand="0" w:noVBand="1"/>
      </w:tblPr>
      <w:tblGrid>
        <w:gridCol w:w="4693"/>
        <w:gridCol w:w="2127"/>
        <w:gridCol w:w="1417"/>
        <w:gridCol w:w="1417"/>
        <w:gridCol w:w="1134"/>
        <w:gridCol w:w="1418"/>
        <w:gridCol w:w="1417"/>
      </w:tblGrid>
      <w:tr w:rsidR="00961617" w:rsidRPr="002817E0" w14:paraId="55E30D76" w14:textId="77777777" w:rsidTr="0020771F">
        <w:trPr>
          <w:trHeight w:val="300"/>
          <w:tblHeader/>
        </w:trPr>
        <w:tc>
          <w:tcPr>
            <w:tcW w:w="4693" w:type="dxa"/>
            <w:shd w:val="clear" w:color="auto" w:fill="1E3D6B"/>
            <w:noWrap/>
            <w:hideMark/>
          </w:tcPr>
          <w:p w14:paraId="2556AF31" w14:textId="77777777" w:rsidR="00961617" w:rsidRPr="002817E0" w:rsidRDefault="00961617" w:rsidP="0020771F">
            <w:pPr>
              <w:spacing w:after="0" w:line="240" w:lineRule="auto"/>
              <w:rPr>
                <w:rFonts w:eastAsia="Times New Roman" w:cstheme="minorHAnsi"/>
                <w:b/>
                <w:color w:val="FFFFFF" w:themeColor="background2"/>
                <w:sz w:val="20"/>
                <w:szCs w:val="20"/>
                <w:lang w:eastAsia="en-AU"/>
              </w:rPr>
            </w:pPr>
            <w:bookmarkStart w:id="717" w:name="Title_A240a"/>
            <w:bookmarkEnd w:id="717"/>
            <w:r w:rsidRPr="002817E0">
              <w:rPr>
                <w:rFonts w:eastAsia="Times New Roman" w:cstheme="minorHAnsi"/>
                <w:b/>
                <w:color w:val="FFFFFF" w:themeColor="background2"/>
                <w:sz w:val="20"/>
                <w:szCs w:val="20"/>
                <w:lang w:eastAsia="en-AU"/>
              </w:rPr>
              <w:t>Per cent ‘Yes’</w:t>
            </w:r>
          </w:p>
        </w:tc>
        <w:tc>
          <w:tcPr>
            <w:tcW w:w="2127" w:type="dxa"/>
            <w:shd w:val="clear" w:color="auto" w:fill="1E3D6B"/>
            <w:noWrap/>
            <w:hideMark/>
          </w:tcPr>
          <w:p w14:paraId="098BADF1"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Average agreement across groups</w:t>
            </w:r>
            <w:r w:rsidRPr="002817E0">
              <w:rPr>
                <w:rFonts w:eastAsia="Times New Roman" w:cstheme="minorHAnsi"/>
                <w:b/>
                <w:color w:val="FFFFFF" w:themeColor="background2"/>
                <w:sz w:val="20"/>
                <w:szCs w:val="20"/>
                <w:lang w:eastAsia="en-AU"/>
              </w:rPr>
              <w:br/>
              <w:t>(%)</w:t>
            </w:r>
          </w:p>
        </w:tc>
        <w:tc>
          <w:tcPr>
            <w:tcW w:w="1417" w:type="dxa"/>
            <w:shd w:val="clear" w:color="auto" w:fill="1E3D6B"/>
            <w:noWrap/>
            <w:hideMark/>
          </w:tcPr>
          <w:p w14:paraId="4E9CA06F"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 xml:space="preserve">Indigenous Australians </w:t>
            </w:r>
            <w:r w:rsidRPr="002817E0">
              <w:rPr>
                <w:rFonts w:eastAsia="Times New Roman" w:cstheme="minorHAnsi"/>
                <w:b/>
                <w:color w:val="FFFFFF" w:themeColor="background2"/>
                <w:sz w:val="20"/>
                <w:szCs w:val="20"/>
                <w:lang w:eastAsia="en-AU"/>
              </w:rPr>
              <w:br/>
              <w:t>(%)</w:t>
            </w:r>
          </w:p>
        </w:tc>
        <w:tc>
          <w:tcPr>
            <w:tcW w:w="1417" w:type="dxa"/>
            <w:shd w:val="clear" w:color="auto" w:fill="1E3D6B"/>
            <w:noWrap/>
            <w:hideMark/>
          </w:tcPr>
          <w:p w14:paraId="69C3B0C4"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 xml:space="preserve">People with disability </w:t>
            </w:r>
            <w:r w:rsidRPr="002817E0">
              <w:rPr>
                <w:rFonts w:eastAsia="Times New Roman" w:cstheme="minorHAnsi"/>
                <w:b/>
                <w:color w:val="FFFFFF" w:themeColor="background2"/>
                <w:sz w:val="20"/>
                <w:szCs w:val="20"/>
                <w:lang w:eastAsia="en-AU"/>
              </w:rPr>
              <w:br/>
              <w:t>(%)</w:t>
            </w:r>
          </w:p>
        </w:tc>
        <w:tc>
          <w:tcPr>
            <w:tcW w:w="1134" w:type="dxa"/>
            <w:shd w:val="clear" w:color="auto" w:fill="1E3D6B"/>
            <w:noWrap/>
            <w:hideMark/>
          </w:tcPr>
          <w:p w14:paraId="1361455E"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Mature age people</w:t>
            </w:r>
            <w:r w:rsidRPr="002817E0">
              <w:rPr>
                <w:rFonts w:eastAsia="Times New Roman" w:cstheme="minorHAnsi"/>
                <w:b/>
                <w:color w:val="FFFFFF" w:themeColor="background2"/>
                <w:sz w:val="20"/>
                <w:szCs w:val="20"/>
                <w:lang w:eastAsia="en-AU"/>
              </w:rPr>
              <w:br/>
              <w:t>(%)</w:t>
            </w:r>
          </w:p>
        </w:tc>
        <w:tc>
          <w:tcPr>
            <w:tcW w:w="1418" w:type="dxa"/>
            <w:shd w:val="clear" w:color="auto" w:fill="1E3D6B"/>
            <w:noWrap/>
            <w:hideMark/>
          </w:tcPr>
          <w:p w14:paraId="15AEEBC9"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Long-term unemployed</w:t>
            </w:r>
            <w:r w:rsidRPr="002817E0">
              <w:rPr>
                <w:rFonts w:eastAsia="Times New Roman" w:cstheme="minorHAnsi"/>
                <w:b/>
                <w:color w:val="FFFFFF" w:themeColor="background2"/>
                <w:sz w:val="20"/>
                <w:szCs w:val="20"/>
                <w:lang w:eastAsia="en-AU"/>
              </w:rPr>
              <w:br/>
              <w:t>(%)</w:t>
            </w:r>
          </w:p>
        </w:tc>
        <w:tc>
          <w:tcPr>
            <w:tcW w:w="1417" w:type="dxa"/>
            <w:shd w:val="clear" w:color="auto" w:fill="1E3D6B"/>
            <w:noWrap/>
            <w:hideMark/>
          </w:tcPr>
          <w:p w14:paraId="7298402E"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Young people aged 18 to 24</w:t>
            </w:r>
            <w:r w:rsidRPr="002817E0">
              <w:rPr>
                <w:rFonts w:eastAsia="Times New Roman" w:cstheme="minorHAnsi"/>
                <w:b/>
                <w:color w:val="FFFFFF" w:themeColor="background2"/>
                <w:sz w:val="20"/>
                <w:szCs w:val="20"/>
                <w:lang w:eastAsia="en-AU"/>
              </w:rPr>
              <w:br/>
              <w:t>(%)</w:t>
            </w:r>
          </w:p>
        </w:tc>
      </w:tr>
      <w:tr w:rsidR="00961617" w:rsidRPr="002817E0" w14:paraId="03D11500" w14:textId="77777777" w:rsidTr="0020771F">
        <w:trPr>
          <w:trHeight w:val="300"/>
        </w:trPr>
        <w:tc>
          <w:tcPr>
            <w:tcW w:w="4693" w:type="dxa"/>
            <w:shd w:val="clear" w:color="auto" w:fill="auto"/>
            <w:noWrap/>
            <w:vAlign w:val="center"/>
            <w:hideMark/>
          </w:tcPr>
          <w:p w14:paraId="02883F50"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can be as productive as other staff</w:t>
            </w:r>
          </w:p>
        </w:tc>
        <w:tc>
          <w:tcPr>
            <w:tcW w:w="2127" w:type="dxa"/>
            <w:shd w:val="clear" w:color="auto" w:fill="auto"/>
            <w:noWrap/>
            <w:vAlign w:val="center"/>
            <w:hideMark/>
          </w:tcPr>
          <w:p w14:paraId="3FF19291"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66</w:t>
            </w:r>
          </w:p>
        </w:tc>
        <w:tc>
          <w:tcPr>
            <w:tcW w:w="1417" w:type="dxa"/>
            <w:shd w:val="clear" w:color="auto" w:fill="auto"/>
            <w:noWrap/>
            <w:vAlign w:val="center"/>
            <w:hideMark/>
          </w:tcPr>
          <w:p w14:paraId="3190887D"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60</w:t>
            </w:r>
          </w:p>
        </w:tc>
        <w:tc>
          <w:tcPr>
            <w:tcW w:w="1417" w:type="dxa"/>
            <w:shd w:val="clear" w:color="auto" w:fill="auto"/>
            <w:noWrap/>
            <w:vAlign w:val="center"/>
            <w:hideMark/>
          </w:tcPr>
          <w:p w14:paraId="10D0FCA7"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61</w:t>
            </w:r>
          </w:p>
        </w:tc>
        <w:tc>
          <w:tcPr>
            <w:tcW w:w="1134" w:type="dxa"/>
            <w:shd w:val="clear" w:color="auto" w:fill="auto"/>
            <w:noWrap/>
            <w:vAlign w:val="center"/>
            <w:hideMark/>
          </w:tcPr>
          <w:p w14:paraId="3C7952F5"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88</w:t>
            </w:r>
          </w:p>
        </w:tc>
        <w:tc>
          <w:tcPr>
            <w:tcW w:w="1418" w:type="dxa"/>
            <w:shd w:val="clear" w:color="auto" w:fill="auto"/>
            <w:noWrap/>
            <w:vAlign w:val="center"/>
            <w:hideMark/>
          </w:tcPr>
          <w:p w14:paraId="15705500"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59</w:t>
            </w:r>
          </w:p>
        </w:tc>
        <w:tc>
          <w:tcPr>
            <w:tcW w:w="1417" w:type="dxa"/>
            <w:shd w:val="clear" w:color="auto" w:fill="auto"/>
            <w:noWrap/>
            <w:vAlign w:val="center"/>
            <w:hideMark/>
          </w:tcPr>
          <w:p w14:paraId="1179AC3B"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62</w:t>
            </w:r>
          </w:p>
        </w:tc>
      </w:tr>
      <w:tr w:rsidR="00961617" w:rsidRPr="002817E0" w14:paraId="349156D3" w14:textId="77777777" w:rsidTr="0020771F">
        <w:trPr>
          <w:trHeight w:val="300"/>
        </w:trPr>
        <w:tc>
          <w:tcPr>
            <w:tcW w:w="4693" w:type="dxa"/>
            <w:shd w:val="clear" w:color="auto" w:fill="E5E5E5" w:themeFill="background1" w:themeFillTint="33"/>
            <w:noWrap/>
            <w:vAlign w:val="center"/>
            <w:hideMark/>
          </w:tcPr>
          <w:p w14:paraId="071F5202"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integrate well into the workplace</w:t>
            </w:r>
          </w:p>
        </w:tc>
        <w:tc>
          <w:tcPr>
            <w:tcW w:w="2127" w:type="dxa"/>
            <w:shd w:val="clear" w:color="auto" w:fill="E5E5E5" w:themeFill="background1" w:themeFillTint="33"/>
            <w:noWrap/>
            <w:vAlign w:val="center"/>
            <w:hideMark/>
          </w:tcPr>
          <w:p w14:paraId="5799C242"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58</w:t>
            </w:r>
          </w:p>
        </w:tc>
        <w:tc>
          <w:tcPr>
            <w:tcW w:w="1417" w:type="dxa"/>
            <w:shd w:val="clear" w:color="auto" w:fill="E5E5E5" w:themeFill="background1" w:themeFillTint="33"/>
            <w:noWrap/>
            <w:vAlign w:val="center"/>
            <w:hideMark/>
          </w:tcPr>
          <w:p w14:paraId="40BE4C45"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51</w:t>
            </w:r>
          </w:p>
        </w:tc>
        <w:tc>
          <w:tcPr>
            <w:tcW w:w="1417" w:type="dxa"/>
            <w:shd w:val="clear" w:color="auto" w:fill="E5E5E5" w:themeFill="background1" w:themeFillTint="33"/>
            <w:noWrap/>
            <w:vAlign w:val="center"/>
            <w:hideMark/>
          </w:tcPr>
          <w:p w14:paraId="5F80DB4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51</w:t>
            </w:r>
          </w:p>
        </w:tc>
        <w:tc>
          <w:tcPr>
            <w:tcW w:w="1134" w:type="dxa"/>
            <w:shd w:val="clear" w:color="auto" w:fill="E5E5E5" w:themeFill="background1" w:themeFillTint="33"/>
            <w:noWrap/>
            <w:vAlign w:val="center"/>
            <w:hideMark/>
          </w:tcPr>
          <w:p w14:paraId="6D69991F"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74</w:t>
            </w:r>
          </w:p>
        </w:tc>
        <w:tc>
          <w:tcPr>
            <w:tcW w:w="1418" w:type="dxa"/>
            <w:shd w:val="clear" w:color="auto" w:fill="E5E5E5" w:themeFill="background1" w:themeFillTint="33"/>
            <w:noWrap/>
            <w:vAlign w:val="center"/>
            <w:hideMark/>
          </w:tcPr>
          <w:p w14:paraId="0724220B"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47</w:t>
            </w:r>
          </w:p>
        </w:tc>
        <w:tc>
          <w:tcPr>
            <w:tcW w:w="1417" w:type="dxa"/>
            <w:shd w:val="clear" w:color="auto" w:fill="E5E5E5" w:themeFill="background1" w:themeFillTint="33"/>
            <w:noWrap/>
            <w:vAlign w:val="center"/>
            <w:hideMark/>
          </w:tcPr>
          <w:p w14:paraId="103AA324"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65</w:t>
            </w:r>
          </w:p>
        </w:tc>
      </w:tr>
      <w:tr w:rsidR="00961617" w:rsidRPr="002817E0" w14:paraId="2E1EAF32" w14:textId="77777777" w:rsidTr="0020771F">
        <w:trPr>
          <w:trHeight w:val="300"/>
        </w:trPr>
        <w:tc>
          <w:tcPr>
            <w:tcW w:w="4693" w:type="dxa"/>
            <w:tcBorders>
              <w:bottom w:val="single" w:sz="4" w:space="0" w:color="auto"/>
            </w:tcBorders>
            <w:shd w:val="clear" w:color="auto" w:fill="auto"/>
            <w:noWrap/>
            <w:vAlign w:val="center"/>
            <w:hideMark/>
          </w:tcPr>
          <w:p w14:paraId="46BC9FB7"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have a good attitude towards work</w:t>
            </w:r>
          </w:p>
        </w:tc>
        <w:tc>
          <w:tcPr>
            <w:tcW w:w="2127" w:type="dxa"/>
            <w:tcBorders>
              <w:bottom w:val="single" w:sz="4" w:space="0" w:color="auto"/>
            </w:tcBorders>
            <w:shd w:val="clear" w:color="auto" w:fill="auto"/>
            <w:noWrap/>
            <w:vAlign w:val="center"/>
            <w:hideMark/>
          </w:tcPr>
          <w:p w14:paraId="4D47F8C3"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55</w:t>
            </w:r>
          </w:p>
        </w:tc>
        <w:tc>
          <w:tcPr>
            <w:tcW w:w="1417" w:type="dxa"/>
            <w:tcBorders>
              <w:bottom w:val="single" w:sz="4" w:space="0" w:color="auto"/>
            </w:tcBorders>
            <w:shd w:val="clear" w:color="auto" w:fill="auto"/>
            <w:noWrap/>
            <w:vAlign w:val="center"/>
            <w:hideMark/>
          </w:tcPr>
          <w:p w14:paraId="5D1F1D0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42</w:t>
            </w:r>
          </w:p>
        </w:tc>
        <w:tc>
          <w:tcPr>
            <w:tcW w:w="1417" w:type="dxa"/>
            <w:tcBorders>
              <w:bottom w:val="single" w:sz="4" w:space="0" w:color="auto"/>
            </w:tcBorders>
            <w:shd w:val="clear" w:color="auto" w:fill="auto"/>
            <w:noWrap/>
            <w:vAlign w:val="center"/>
            <w:hideMark/>
          </w:tcPr>
          <w:p w14:paraId="0DA9FE6C"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72</w:t>
            </w:r>
          </w:p>
        </w:tc>
        <w:tc>
          <w:tcPr>
            <w:tcW w:w="1134" w:type="dxa"/>
            <w:tcBorders>
              <w:bottom w:val="single" w:sz="4" w:space="0" w:color="auto"/>
            </w:tcBorders>
            <w:shd w:val="clear" w:color="auto" w:fill="auto"/>
            <w:noWrap/>
            <w:vAlign w:val="center"/>
            <w:hideMark/>
          </w:tcPr>
          <w:p w14:paraId="4D923D64"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86</w:t>
            </w:r>
          </w:p>
        </w:tc>
        <w:tc>
          <w:tcPr>
            <w:tcW w:w="1418" w:type="dxa"/>
            <w:tcBorders>
              <w:bottom w:val="single" w:sz="4" w:space="0" w:color="auto"/>
            </w:tcBorders>
            <w:shd w:val="clear" w:color="auto" w:fill="auto"/>
            <w:noWrap/>
            <w:vAlign w:val="center"/>
            <w:hideMark/>
          </w:tcPr>
          <w:p w14:paraId="7E49FC17"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41</w:t>
            </w:r>
          </w:p>
        </w:tc>
        <w:tc>
          <w:tcPr>
            <w:tcW w:w="1417" w:type="dxa"/>
            <w:tcBorders>
              <w:bottom w:val="single" w:sz="4" w:space="0" w:color="auto"/>
            </w:tcBorders>
            <w:shd w:val="clear" w:color="auto" w:fill="auto"/>
            <w:noWrap/>
            <w:vAlign w:val="center"/>
            <w:hideMark/>
          </w:tcPr>
          <w:p w14:paraId="77590B98"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35</w:t>
            </w:r>
          </w:p>
        </w:tc>
      </w:tr>
    </w:tbl>
    <w:p w14:paraId="6A33D712" w14:textId="77777777" w:rsidR="00961617" w:rsidRPr="00961617" w:rsidRDefault="00961617" w:rsidP="00961617">
      <w:pPr>
        <w:spacing w:before="120" w:after="0"/>
        <w:rPr>
          <w:b/>
        </w:rPr>
      </w:pPr>
      <w:r w:rsidRPr="00961617">
        <w:rPr>
          <w:b/>
        </w:rPr>
        <w:t>Negative Statements</w:t>
      </w:r>
    </w:p>
    <w:tbl>
      <w:tblPr>
        <w:tblW w:w="13623" w:type="dxa"/>
        <w:tblInd w:w="93" w:type="dxa"/>
        <w:tblLook w:val="04A0" w:firstRow="1" w:lastRow="0" w:firstColumn="1" w:lastColumn="0" w:noHBand="0" w:noVBand="1"/>
      </w:tblPr>
      <w:tblGrid>
        <w:gridCol w:w="4835"/>
        <w:gridCol w:w="1984"/>
        <w:gridCol w:w="1418"/>
        <w:gridCol w:w="1417"/>
        <w:gridCol w:w="1134"/>
        <w:gridCol w:w="1418"/>
        <w:gridCol w:w="1417"/>
      </w:tblGrid>
      <w:tr w:rsidR="00961617" w:rsidRPr="002817E0" w14:paraId="08CCA1D6" w14:textId="77777777" w:rsidTr="0020771F">
        <w:trPr>
          <w:trHeight w:val="300"/>
          <w:tblHeader/>
        </w:trPr>
        <w:tc>
          <w:tcPr>
            <w:tcW w:w="4835" w:type="dxa"/>
            <w:shd w:val="clear" w:color="auto" w:fill="1E3D6B"/>
            <w:noWrap/>
            <w:hideMark/>
          </w:tcPr>
          <w:p w14:paraId="61CEB96F" w14:textId="77777777" w:rsidR="00961617" w:rsidRPr="002817E0" w:rsidRDefault="00961617" w:rsidP="0020771F">
            <w:pPr>
              <w:spacing w:after="0" w:line="240" w:lineRule="auto"/>
              <w:rPr>
                <w:rFonts w:eastAsia="Times New Roman" w:cstheme="minorHAnsi"/>
                <w:b/>
                <w:color w:val="FFFFFF" w:themeColor="background2"/>
                <w:sz w:val="20"/>
                <w:szCs w:val="20"/>
                <w:lang w:eastAsia="en-AU"/>
              </w:rPr>
            </w:pPr>
            <w:bookmarkStart w:id="718" w:name="Title_A240b"/>
            <w:bookmarkEnd w:id="718"/>
            <w:r w:rsidRPr="002817E0">
              <w:rPr>
                <w:rFonts w:eastAsia="Times New Roman" w:cstheme="minorHAnsi"/>
                <w:b/>
                <w:color w:val="FFFFFF" w:themeColor="background2"/>
                <w:sz w:val="20"/>
                <w:szCs w:val="20"/>
                <w:lang w:eastAsia="en-AU"/>
              </w:rPr>
              <w:t>Per cent ‘Yes’</w:t>
            </w:r>
          </w:p>
        </w:tc>
        <w:tc>
          <w:tcPr>
            <w:tcW w:w="1984" w:type="dxa"/>
            <w:shd w:val="clear" w:color="auto" w:fill="1E3D6B"/>
            <w:noWrap/>
            <w:hideMark/>
          </w:tcPr>
          <w:p w14:paraId="52ACC6BE"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Average agreement across groups</w:t>
            </w:r>
            <w:r w:rsidRPr="002817E0">
              <w:rPr>
                <w:rFonts w:eastAsia="Times New Roman" w:cstheme="minorHAnsi"/>
                <w:b/>
                <w:color w:val="FFFFFF" w:themeColor="background2"/>
                <w:sz w:val="20"/>
                <w:szCs w:val="20"/>
                <w:lang w:eastAsia="en-AU"/>
              </w:rPr>
              <w:br/>
              <w:t>(%)</w:t>
            </w:r>
          </w:p>
        </w:tc>
        <w:tc>
          <w:tcPr>
            <w:tcW w:w="1418" w:type="dxa"/>
            <w:shd w:val="clear" w:color="auto" w:fill="1E3D6B"/>
            <w:noWrap/>
            <w:hideMark/>
          </w:tcPr>
          <w:p w14:paraId="495144AF"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 xml:space="preserve">Indigenous Australians </w:t>
            </w:r>
            <w:r w:rsidRPr="002817E0">
              <w:rPr>
                <w:rFonts w:eastAsia="Times New Roman" w:cstheme="minorHAnsi"/>
                <w:b/>
                <w:color w:val="FFFFFF" w:themeColor="background2"/>
                <w:sz w:val="20"/>
                <w:szCs w:val="20"/>
                <w:lang w:eastAsia="en-AU"/>
              </w:rPr>
              <w:br/>
              <w:t>(%)</w:t>
            </w:r>
          </w:p>
        </w:tc>
        <w:tc>
          <w:tcPr>
            <w:tcW w:w="1417" w:type="dxa"/>
            <w:shd w:val="clear" w:color="auto" w:fill="1E3D6B"/>
            <w:noWrap/>
            <w:hideMark/>
          </w:tcPr>
          <w:p w14:paraId="4DC4C95C"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 xml:space="preserve">People with disability </w:t>
            </w:r>
            <w:r w:rsidRPr="002817E0">
              <w:rPr>
                <w:rFonts w:eastAsia="Times New Roman" w:cstheme="minorHAnsi"/>
                <w:b/>
                <w:color w:val="FFFFFF" w:themeColor="background2"/>
                <w:sz w:val="20"/>
                <w:szCs w:val="20"/>
                <w:lang w:eastAsia="en-AU"/>
              </w:rPr>
              <w:br/>
              <w:t>(%)</w:t>
            </w:r>
          </w:p>
        </w:tc>
        <w:tc>
          <w:tcPr>
            <w:tcW w:w="1134" w:type="dxa"/>
            <w:shd w:val="clear" w:color="auto" w:fill="1E3D6B"/>
            <w:noWrap/>
            <w:hideMark/>
          </w:tcPr>
          <w:p w14:paraId="116DBBD2"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Mature age people</w:t>
            </w:r>
            <w:r w:rsidRPr="002817E0">
              <w:rPr>
                <w:rFonts w:eastAsia="Times New Roman" w:cstheme="minorHAnsi"/>
                <w:b/>
                <w:color w:val="FFFFFF" w:themeColor="background2"/>
                <w:sz w:val="20"/>
                <w:szCs w:val="20"/>
                <w:lang w:eastAsia="en-AU"/>
              </w:rPr>
              <w:br/>
              <w:t>(%)</w:t>
            </w:r>
          </w:p>
        </w:tc>
        <w:tc>
          <w:tcPr>
            <w:tcW w:w="1418" w:type="dxa"/>
            <w:shd w:val="clear" w:color="auto" w:fill="1E3D6B"/>
            <w:noWrap/>
            <w:hideMark/>
          </w:tcPr>
          <w:p w14:paraId="39CB2242"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Long-term unemployed</w:t>
            </w:r>
            <w:r w:rsidRPr="002817E0">
              <w:rPr>
                <w:rFonts w:eastAsia="Times New Roman" w:cstheme="minorHAnsi"/>
                <w:b/>
                <w:color w:val="FFFFFF" w:themeColor="background2"/>
                <w:sz w:val="20"/>
                <w:szCs w:val="20"/>
                <w:lang w:eastAsia="en-AU"/>
              </w:rPr>
              <w:br/>
              <w:t>(%)</w:t>
            </w:r>
          </w:p>
        </w:tc>
        <w:tc>
          <w:tcPr>
            <w:tcW w:w="1417" w:type="dxa"/>
            <w:shd w:val="clear" w:color="auto" w:fill="1E3D6B"/>
            <w:noWrap/>
            <w:hideMark/>
          </w:tcPr>
          <w:p w14:paraId="40EE15F1" w14:textId="77777777" w:rsidR="00961617" w:rsidRPr="002817E0" w:rsidRDefault="00961617" w:rsidP="0020771F">
            <w:pPr>
              <w:spacing w:after="0" w:line="240" w:lineRule="auto"/>
              <w:jc w:val="center"/>
              <w:rPr>
                <w:rFonts w:eastAsia="Times New Roman" w:cstheme="minorHAnsi"/>
                <w:b/>
                <w:color w:val="FFFFFF" w:themeColor="background2"/>
                <w:sz w:val="20"/>
                <w:szCs w:val="20"/>
                <w:lang w:eastAsia="en-AU"/>
              </w:rPr>
            </w:pPr>
            <w:r w:rsidRPr="002817E0">
              <w:rPr>
                <w:rFonts w:eastAsia="Times New Roman" w:cstheme="minorHAnsi"/>
                <w:b/>
                <w:color w:val="FFFFFF" w:themeColor="background2"/>
                <w:sz w:val="20"/>
                <w:szCs w:val="20"/>
                <w:lang w:eastAsia="en-AU"/>
              </w:rPr>
              <w:t>Young people aged 18 to 24</w:t>
            </w:r>
            <w:r w:rsidRPr="002817E0">
              <w:rPr>
                <w:rFonts w:eastAsia="Times New Roman" w:cstheme="minorHAnsi"/>
                <w:b/>
                <w:color w:val="FFFFFF" w:themeColor="background2"/>
                <w:sz w:val="20"/>
                <w:szCs w:val="20"/>
                <w:lang w:eastAsia="en-AU"/>
              </w:rPr>
              <w:br/>
              <w:t>(%)</w:t>
            </w:r>
          </w:p>
        </w:tc>
      </w:tr>
      <w:tr w:rsidR="00961617" w:rsidRPr="002817E0" w14:paraId="2F3A8E24" w14:textId="77777777" w:rsidTr="0020771F">
        <w:trPr>
          <w:trHeight w:val="300"/>
        </w:trPr>
        <w:tc>
          <w:tcPr>
            <w:tcW w:w="4835" w:type="dxa"/>
            <w:shd w:val="clear" w:color="auto" w:fill="auto"/>
            <w:noWrap/>
            <w:vAlign w:val="center"/>
            <w:hideMark/>
          </w:tcPr>
          <w:p w14:paraId="2D6935B5"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don't tend to have the relevant skills or experience</w:t>
            </w:r>
          </w:p>
        </w:tc>
        <w:tc>
          <w:tcPr>
            <w:tcW w:w="1984" w:type="dxa"/>
            <w:shd w:val="clear" w:color="auto" w:fill="auto"/>
            <w:noWrap/>
            <w:vAlign w:val="center"/>
            <w:hideMark/>
          </w:tcPr>
          <w:p w14:paraId="383E259D"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29</w:t>
            </w:r>
          </w:p>
        </w:tc>
        <w:tc>
          <w:tcPr>
            <w:tcW w:w="1418" w:type="dxa"/>
            <w:shd w:val="clear" w:color="auto" w:fill="auto"/>
            <w:noWrap/>
            <w:vAlign w:val="center"/>
            <w:hideMark/>
          </w:tcPr>
          <w:p w14:paraId="4335CF1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31</w:t>
            </w:r>
          </w:p>
        </w:tc>
        <w:tc>
          <w:tcPr>
            <w:tcW w:w="1417" w:type="dxa"/>
            <w:shd w:val="clear" w:color="auto" w:fill="auto"/>
            <w:noWrap/>
            <w:vAlign w:val="center"/>
            <w:hideMark/>
          </w:tcPr>
          <w:p w14:paraId="0256F4D6"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31</w:t>
            </w:r>
          </w:p>
        </w:tc>
        <w:tc>
          <w:tcPr>
            <w:tcW w:w="1134" w:type="dxa"/>
            <w:shd w:val="clear" w:color="auto" w:fill="auto"/>
            <w:noWrap/>
            <w:vAlign w:val="center"/>
            <w:hideMark/>
          </w:tcPr>
          <w:p w14:paraId="5CFB67CB"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21</w:t>
            </w:r>
          </w:p>
        </w:tc>
        <w:tc>
          <w:tcPr>
            <w:tcW w:w="1418" w:type="dxa"/>
            <w:shd w:val="clear" w:color="auto" w:fill="auto"/>
            <w:noWrap/>
            <w:vAlign w:val="center"/>
            <w:hideMark/>
          </w:tcPr>
          <w:p w14:paraId="33C9BD7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36</w:t>
            </w:r>
          </w:p>
        </w:tc>
        <w:tc>
          <w:tcPr>
            <w:tcW w:w="1417" w:type="dxa"/>
            <w:shd w:val="clear" w:color="auto" w:fill="auto"/>
            <w:noWrap/>
            <w:vAlign w:val="center"/>
            <w:hideMark/>
          </w:tcPr>
          <w:p w14:paraId="5D76BCEC"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43</w:t>
            </w:r>
          </w:p>
        </w:tc>
      </w:tr>
      <w:tr w:rsidR="00961617" w:rsidRPr="002817E0" w14:paraId="07EDA32F" w14:textId="77777777" w:rsidTr="0020771F">
        <w:trPr>
          <w:trHeight w:val="300"/>
        </w:trPr>
        <w:tc>
          <w:tcPr>
            <w:tcW w:w="4835" w:type="dxa"/>
            <w:shd w:val="clear" w:color="auto" w:fill="E5E5E5" w:themeFill="background1" w:themeFillTint="33"/>
            <w:noWrap/>
            <w:vAlign w:val="center"/>
            <w:hideMark/>
          </w:tcPr>
          <w:p w14:paraId="746BBDD6"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take more time off than other staff</w:t>
            </w:r>
          </w:p>
        </w:tc>
        <w:tc>
          <w:tcPr>
            <w:tcW w:w="1984" w:type="dxa"/>
            <w:shd w:val="clear" w:color="auto" w:fill="E5E5E5" w:themeFill="background1" w:themeFillTint="33"/>
            <w:noWrap/>
            <w:vAlign w:val="center"/>
            <w:hideMark/>
          </w:tcPr>
          <w:p w14:paraId="645EB4E0"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25</w:t>
            </w:r>
          </w:p>
        </w:tc>
        <w:tc>
          <w:tcPr>
            <w:tcW w:w="1418" w:type="dxa"/>
            <w:shd w:val="clear" w:color="auto" w:fill="E5E5E5" w:themeFill="background1" w:themeFillTint="33"/>
            <w:noWrap/>
            <w:vAlign w:val="center"/>
            <w:hideMark/>
          </w:tcPr>
          <w:p w14:paraId="204DD237"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22</w:t>
            </w:r>
          </w:p>
        </w:tc>
        <w:tc>
          <w:tcPr>
            <w:tcW w:w="1417" w:type="dxa"/>
            <w:shd w:val="clear" w:color="auto" w:fill="E5E5E5" w:themeFill="background1" w:themeFillTint="33"/>
            <w:noWrap/>
            <w:vAlign w:val="center"/>
            <w:hideMark/>
          </w:tcPr>
          <w:p w14:paraId="64863D7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23</w:t>
            </w:r>
          </w:p>
        </w:tc>
        <w:tc>
          <w:tcPr>
            <w:tcW w:w="1134" w:type="dxa"/>
            <w:shd w:val="clear" w:color="auto" w:fill="E5E5E5" w:themeFill="background1" w:themeFillTint="33"/>
            <w:noWrap/>
            <w:vAlign w:val="center"/>
            <w:hideMark/>
          </w:tcPr>
          <w:p w14:paraId="0CF165B0"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w:t>
            </w:r>
          </w:p>
        </w:tc>
        <w:tc>
          <w:tcPr>
            <w:tcW w:w="1418" w:type="dxa"/>
            <w:shd w:val="clear" w:color="auto" w:fill="E5E5E5" w:themeFill="background1" w:themeFillTint="33"/>
            <w:noWrap/>
            <w:vAlign w:val="center"/>
            <w:hideMark/>
          </w:tcPr>
          <w:p w14:paraId="23D6C7C9"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27</w:t>
            </w:r>
          </w:p>
        </w:tc>
        <w:tc>
          <w:tcPr>
            <w:tcW w:w="1417" w:type="dxa"/>
            <w:shd w:val="clear" w:color="auto" w:fill="E5E5E5" w:themeFill="background1" w:themeFillTint="33"/>
            <w:noWrap/>
            <w:vAlign w:val="center"/>
            <w:hideMark/>
          </w:tcPr>
          <w:p w14:paraId="01BB425D"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47</w:t>
            </w:r>
          </w:p>
        </w:tc>
      </w:tr>
      <w:tr w:rsidR="00961617" w:rsidRPr="002817E0" w14:paraId="0B3C4446" w14:textId="77777777" w:rsidTr="0020771F">
        <w:trPr>
          <w:trHeight w:val="300"/>
        </w:trPr>
        <w:tc>
          <w:tcPr>
            <w:tcW w:w="4835" w:type="dxa"/>
            <w:shd w:val="clear" w:color="auto" w:fill="auto"/>
            <w:noWrap/>
            <w:vAlign w:val="center"/>
            <w:hideMark/>
          </w:tcPr>
          <w:p w14:paraId="4299FACC"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are only capable of taking on certain roles</w:t>
            </w:r>
          </w:p>
        </w:tc>
        <w:tc>
          <w:tcPr>
            <w:tcW w:w="1984" w:type="dxa"/>
            <w:shd w:val="clear" w:color="auto" w:fill="auto"/>
            <w:noWrap/>
            <w:vAlign w:val="center"/>
            <w:hideMark/>
          </w:tcPr>
          <w:p w14:paraId="283741D6"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32</w:t>
            </w:r>
          </w:p>
        </w:tc>
        <w:tc>
          <w:tcPr>
            <w:tcW w:w="1418" w:type="dxa"/>
            <w:shd w:val="clear" w:color="auto" w:fill="auto"/>
            <w:noWrap/>
            <w:vAlign w:val="center"/>
            <w:hideMark/>
          </w:tcPr>
          <w:p w14:paraId="6AE58236"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21</w:t>
            </w:r>
          </w:p>
        </w:tc>
        <w:tc>
          <w:tcPr>
            <w:tcW w:w="1417" w:type="dxa"/>
            <w:shd w:val="clear" w:color="auto" w:fill="auto"/>
            <w:noWrap/>
            <w:vAlign w:val="center"/>
            <w:hideMark/>
          </w:tcPr>
          <w:p w14:paraId="01C138CC"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52</w:t>
            </w:r>
          </w:p>
        </w:tc>
        <w:tc>
          <w:tcPr>
            <w:tcW w:w="1134" w:type="dxa"/>
            <w:shd w:val="clear" w:color="auto" w:fill="auto"/>
            <w:noWrap/>
            <w:vAlign w:val="center"/>
            <w:hideMark/>
          </w:tcPr>
          <w:p w14:paraId="6CACA23A"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31</w:t>
            </w:r>
          </w:p>
        </w:tc>
        <w:tc>
          <w:tcPr>
            <w:tcW w:w="1418" w:type="dxa"/>
            <w:shd w:val="clear" w:color="auto" w:fill="auto"/>
            <w:noWrap/>
            <w:vAlign w:val="center"/>
            <w:hideMark/>
          </w:tcPr>
          <w:p w14:paraId="35D88D26"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32</w:t>
            </w:r>
          </w:p>
        </w:tc>
        <w:tc>
          <w:tcPr>
            <w:tcW w:w="1417" w:type="dxa"/>
            <w:shd w:val="clear" w:color="auto" w:fill="auto"/>
            <w:noWrap/>
            <w:vAlign w:val="center"/>
            <w:hideMark/>
          </w:tcPr>
          <w:p w14:paraId="4FABC1F2"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39</w:t>
            </w:r>
          </w:p>
        </w:tc>
      </w:tr>
      <w:tr w:rsidR="00961617" w:rsidRPr="002817E0" w14:paraId="394E677F" w14:textId="77777777" w:rsidTr="0020771F">
        <w:trPr>
          <w:trHeight w:val="300"/>
        </w:trPr>
        <w:tc>
          <w:tcPr>
            <w:tcW w:w="4835" w:type="dxa"/>
            <w:shd w:val="clear" w:color="auto" w:fill="E5E5E5" w:themeFill="background1" w:themeFillTint="33"/>
            <w:noWrap/>
            <w:vAlign w:val="center"/>
            <w:hideMark/>
          </w:tcPr>
          <w:p w14:paraId="2213DF5D"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need more supervision than other staff</w:t>
            </w:r>
          </w:p>
        </w:tc>
        <w:tc>
          <w:tcPr>
            <w:tcW w:w="1984" w:type="dxa"/>
            <w:shd w:val="clear" w:color="auto" w:fill="E5E5E5" w:themeFill="background1" w:themeFillTint="33"/>
            <w:noWrap/>
            <w:vAlign w:val="center"/>
            <w:hideMark/>
          </w:tcPr>
          <w:p w14:paraId="6F6CB385"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33</w:t>
            </w:r>
          </w:p>
        </w:tc>
        <w:tc>
          <w:tcPr>
            <w:tcW w:w="1418" w:type="dxa"/>
            <w:shd w:val="clear" w:color="auto" w:fill="E5E5E5" w:themeFill="background1" w:themeFillTint="33"/>
            <w:noWrap/>
            <w:vAlign w:val="center"/>
            <w:hideMark/>
          </w:tcPr>
          <w:p w14:paraId="382FF31F"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19</w:t>
            </w:r>
          </w:p>
        </w:tc>
        <w:tc>
          <w:tcPr>
            <w:tcW w:w="1417" w:type="dxa"/>
            <w:shd w:val="clear" w:color="auto" w:fill="E5E5E5" w:themeFill="background1" w:themeFillTint="33"/>
            <w:noWrap/>
            <w:vAlign w:val="center"/>
            <w:hideMark/>
          </w:tcPr>
          <w:p w14:paraId="228EC534"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45</w:t>
            </w:r>
          </w:p>
        </w:tc>
        <w:tc>
          <w:tcPr>
            <w:tcW w:w="1134" w:type="dxa"/>
            <w:shd w:val="clear" w:color="auto" w:fill="E5E5E5" w:themeFill="background1" w:themeFillTint="33"/>
            <w:noWrap/>
            <w:vAlign w:val="center"/>
            <w:hideMark/>
          </w:tcPr>
          <w:p w14:paraId="5A3026AB"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w:t>
            </w:r>
          </w:p>
        </w:tc>
        <w:tc>
          <w:tcPr>
            <w:tcW w:w="1418" w:type="dxa"/>
            <w:shd w:val="clear" w:color="auto" w:fill="E5E5E5" w:themeFill="background1" w:themeFillTint="33"/>
            <w:noWrap/>
            <w:vAlign w:val="center"/>
            <w:hideMark/>
          </w:tcPr>
          <w:p w14:paraId="0448529B"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42</w:t>
            </w:r>
          </w:p>
        </w:tc>
        <w:tc>
          <w:tcPr>
            <w:tcW w:w="1417" w:type="dxa"/>
            <w:shd w:val="clear" w:color="auto" w:fill="E5E5E5" w:themeFill="background1" w:themeFillTint="33"/>
            <w:noWrap/>
            <w:vAlign w:val="center"/>
            <w:hideMark/>
          </w:tcPr>
          <w:p w14:paraId="6595A7AC"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57</w:t>
            </w:r>
          </w:p>
        </w:tc>
      </w:tr>
      <w:tr w:rsidR="00961617" w:rsidRPr="002817E0" w14:paraId="13E11C3F" w14:textId="77777777" w:rsidTr="0020771F">
        <w:trPr>
          <w:trHeight w:val="300"/>
        </w:trPr>
        <w:tc>
          <w:tcPr>
            <w:tcW w:w="4835" w:type="dxa"/>
            <w:tcBorders>
              <w:bottom w:val="single" w:sz="4" w:space="0" w:color="auto"/>
            </w:tcBorders>
            <w:shd w:val="clear" w:color="auto" w:fill="auto"/>
            <w:noWrap/>
            <w:vAlign w:val="center"/>
            <w:hideMark/>
          </w:tcPr>
          <w:p w14:paraId="0FE55033" w14:textId="77777777" w:rsidR="00961617" w:rsidRPr="002817E0" w:rsidRDefault="00961617" w:rsidP="0020771F">
            <w:pPr>
              <w:spacing w:after="0" w:line="240" w:lineRule="auto"/>
              <w:rPr>
                <w:rFonts w:eastAsia="Times New Roman" w:cstheme="minorHAnsi"/>
                <w:color w:val="000000"/>
                <w:sz w:val="20"/>
                <w:szCs w:val="20"/>
                <w:lang w:eastAsia="en-AU"/>
              </w:rPr>
            </w:pPr>
            <w:r w:rsidRPr="002817E0">
              <w:rPr>
                <w:rFonts w:eastAsia="Times New Roman" w:cstheme="minorHAnsi"/>
                <w:color w:val="000000"/>
                <w:sz w:val="20"/>
                <w:szCs w:val="20"/>
                <w:lang w:eastAsia="en-AU"/>
              </w:rPr>
              <w:t>They are hard to train/re-train</w:t>
            </w:r>
          </w:p>
        </w:tc>
        <w:tc>
          <w:tcPr>
            <w:tcW w:w="1984" w:type="dxa"/>
            <w:tcBorders>
              <w:bottom w:val="single" w:sz="4" w:space="0" w:color="auto"/>
            </w:tcBorders>
            <w:shd w:val="clear" w:color="auto" w:fill="auto"/>
            <w:noWrap/>
            <w:vAlign w:val="center"/>
            <w:hideMark/>
          </w:tcPr>
          <w:p w14:paraId="6B427EEE" w14:textId="77777777" w:rsidR="00961617" w:rsidRPr="002817E0" w:rsidRDefault="00961617" w:rsidP="0020771F">
            <w:pPr>
              <w:spacing w:after="0" w:line="240" w:lineRule="auto"/>
              <w:ind w:right="430"/>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20</w:t>
            </w:r>
          </w:p>
        </w:tc>
        <w:tc>
          <w:tcPr>
            <w:tcW w:w="1418" w:type="dxa"/>
            <w:tcBorders>
              <w:bottom w:val="single" w:sz="4" w:space="0" w:color="auto"/>
            </w:tcBorders>
            <w:shd w:val="clear" w:color="auto" w:fill="auto"/>
            <w:noWrap/>
            <w:vAlign w:val="center"/>
            <w:hideMark/>
          </w:tcPr>
          <w:p w14:paraId="710C5875"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16</w:t>
            </w:r>
          </w:p>
        </w:tc>
        <w:tc>
          <w:tcPr>
            <w:tcW w:w="1417" w:type="dxa"/>
            <w:tcBorders>
              <w:bottom w:val="single" w:sz="4" w:space="0" w:color="auto"/>
            </w:tcBorders>
            <w:shd w:val="clear" w:color="auto" w:fill="auto"/>
            <w:noWrap/>
            <w:vAlign w:val="center"/>
            <w:hideMark/>
          </w:tcPr>
          <w:p w14:paraId="01AA8535"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26</w:t>
            </w:r>
          </w:p>
        </w:tc>
        <w:tc>
          <w:tcPr>
            <w:tcW w:w="1134" w:type="dxa"/>
            <w:tcBorders>
              <w:bottom w:val="single" w:sz="4" w:space="0" w:color="auto"/>
            </w:tcBorders>
            <w:shd w:val="clear" w:color="auto" w:fill="auto"/>
            <w:noWrap/>
            <w:vAlign w:val="center"/>
            <w:hideMark/>
          </w:tcPr>
          <w:p w14:paraId="05C4E9BF"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25</w:t>
            </w:r>
          </w:p>
        </w:tc>
        <w:tc>
          <w:tcPr>
            <w:tcW w:w="1418" w:type="dxa"/>
            <w:tcBorders>
              <w:bottom w:val="single" w:sz="4" w:space="0" w:color="auto"/>
            </w:tcBorders>
            <w:shd w:val="clear" w:color="auto" w:fill="auto"/>
            <w:noWrap/>
            <w:vAlign w:val="center"/>
            <w:hideMark/>
          </w:tcPr>
          <w:p w14:paraId="6E47ED4C"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26</w:t>
            </w:r>
          </w:p>
        </w:tc>
        <w:tc>
          <w:tcPr>
            <w:tcW w:w="1417" w:type="dxa"/>
            <w:tcBorders>
              <w:bottom w:val="single" w:sz="4" w:space="0" w:color="auto"/>
            </w:tcBorders>
            <w:shd w:val="clear" w:color="auto" w:fill="auto"/>
            <w:noWrap/>
            <w:vAlign w:val="center"/>
            <w:hideMark/>
          </w:tcPr>
          <w:p w14:paraId="5867742F" w14:textId="77777777" w:rsidR="00961617" w:rsidRPr="002817E0" w:rsidRDefault="00961617" w:rsidP="0020771F">
            <w:pPr>
              <w:spacing w:after="0" w:line="240" w:lineRule="auto"/>
              <w:ind w:right="348"/>
              <w:jc w:val="right"/>
              <w:rPr>
                <w:rFonts w:eastAsia="Times New Roman" w:cstheme="minorHAnsi"/>
                <w:color w:val="000000"/>
                <w:sz w:val="20"/>
                <w:szCs w:val="20"/>
                <w:lang w:eastAsia="en-AU"/>
              </w:rPr>
            </w:pPr>
            <w:r w:rsidRPr="002817E0">
              <w:rPr>
                <w:rFonts w:eastAsia="Times New Roman" w:cstheme="minorHAnsi"/>
                <w:color w:val="000000"/>
                <w:sz w:val="20"/>
                <w:szCs w:val="20"/>
                <w:lang w:eastAsia="en-AU"/>
              </w:rPr>
              <w:t>17</w:t>
            </w:r>
          </w:p>
        </w:tc>
      </w:tr>
    </w:tbl>
    <w:p w14:paraId="3E056950" w14:textId="77777777" w:rsidR="00961617" w:rsidRPr="002F5864" w:rsidRDefault="00961617" w:rsidP="0033478B">
      <w:pPr>
        <w:pStyle w:val="Source"/>
      </w:pPr>
      <w:r w:rsidRPr="002F5864">
        <w:rPr>
          <w:b/>
        </w:rPr>
        <w:t>Source</w:t>
      </w:r>
      <w:r w:rsidRPr="002F5864">
        <w:t xml:space="preserve">: </w:t>
      </w:r>
      <w:r w:rsidR="00E13B5E">
        <w:tab/>
      </w:r>
      <w:r w:rsidRPr="002F5864">
        <w:t>Department of Employment, 2014-15 Survey of Employers</w:t>
      </w:r>
      <w:r>
        <w:t>.</w:t>
      </w:r>
    </w:p>
    <w:p w14:paraId="70A60664" w14:textId="77777777" w:rsidR="00961617" w:rsidRDefault="00864C5E" w:rsidP="00961617">
      <w:pPr>
        <w:spacing w:before="120"/>
        <w:rPr>
          <w:sz w:val="18"/>
          <w:szCs w:val="18"/>
        </w:rPr>
      </w:pPr>
      <w:hyperlink w:anchor="Place_A240" w:history="1">
        <w:r w:rsidR="00961617" w:rsidRPr="00B15D38">
          <w:rPr>
            <w:rStyle w:val="Hyperlink"/>
            <w:sz w:val="18"/>
            <w:szCs w:val="18"/>
          </w:rPr>
          <w:t xml:space="preserve">Return to </w:t>
        </w:r>
        <w:r w:rsidR="003649E1" w:rsidRPr="00B15D38">
          <w:rPr>
            <w:rStyle w:val="Hyperlink"/>
            <w:sz w:val="18"/>
            <w:szCs w:val="18"/>
          </w:rPr>
          <w:t>s</w:t>
        </w:r>
        <w:r w:rsidR="00961617" w:rsidRPr="00B15D38">
          <w:rPr>
            <w:rStyle w:val="Hyperlink"/>
            <w:sz w:val="18"/>
            <w:szCs w:val="18"/>
          </w:rPr>
          <w:t>ection 9.2.4</w:t>
        </w:r>
      </w:hyperlink>
      <w:r w:rsidR="00961617" w:rsidRPr="00775AAD">
        <w:rPr>
          <w:sz w:val="18"/>
          <w:szCs w:val="18"/>
        </w:rPr>
        <w:t xml:space="preserve"> where this data is referenced.</w:t>
      </w:r>
    </w:p>
    <w:p w14:paraId="2C500C7C" w14:textId="77777777" w:rsidR="00961617" w:rsidRDefault="00961617" w:rsidP="00961617">
      <w:pPr>
        <w:rPr>
          <w:rFonts w:cstheme="minorHAnsi"/>
        </w:rPr>
        <w:sectPr w:rsidR="00961617" w:rsidSect="00861BD8">
          <w:pgSz w:w="16839" w:h="11907" w:orient="landscape" w:code="9"/>
          <w:pgMar w:top="1440" w:right="1440" w:bottom="1440" w:left="1440" w:header="709" w:footer="284" w:gutter="0"/>
          <w:cols w:space="708"/>
          <w:docGrid w:linePitch="360"/>
        </w:sectPr>
      </w:pPr>
    </w:p>
    <w:p w14:paraId="15FBC917" w14:textId="77777777" w:rsidR="00961617" w:rsidRDefault="00961617" w:rsidP="00961617">
      <w:pPr>
        <w:pStyle w:val="TableheadingforappendixA1"/>
        <w:rPr>
          <w:rFonts w:cstheme="minorHAnsi"/>
          <w:noProof/>
        </w:rPr>
      </w:pPr>
      <w:bookmarkStart w:id="719" w:name="_Toc513129934"/>
      <w:r w:rsidRPr="002F5864">
        <w:rPr>
          <w:rFonts w:cstheme="minorHAnsi"/>
        </w:rPr>
        <w:t>Table A2.</w:t>
      </w:r>
      <w:r>
        <w:rPr>
          <w:rFonts w:cstheme="minorHAnsi"/>
        </w:rPr>
        <w:t>41:</w:t>
      </w:r>
      <w:r w:rsidRPr="002F5864">
        <w:rPr>
          <w:rFonts w:cstheme="minorHAnsi"/>
          <w:noProof/>
        </w:rPr>
        <w:t xml:space="preserve"> </w:t>
      </w:r>
      <w:r>
        <w:rPr>
          <w:rFonts w:cstheme="minorHAnsi"/>
          <w:noProof/>
        </w:rPr>
        <w:t>Commenced caseload (number) and service and outcome fees paid ($ million)</w:t>
      </w:r>
      <w:bookmarkEnd w:id="719"/>
    </w:p>
    <w:tbl>
      <w:tblPr>
        <w:tblW w:w="8076" w:type="dxa"/>
        <w:tblCellMar>
          <w:left w:w="0" w:type="dxa"/>
          <w:right w:w="0" w:type="dxa"/>
        </w:tblCellMar>
        <w:tblLook w:val="04A0" w:firstRow="1" w:lastRow="0" w:firstColumn="1" w:lastColumn="0" w:noHBand="0" w:noVBand="1"/>
      </w:tblPr>
      <w:tblGrid>
        <w:gridCol w:w="1840"/>
        <w:gridCol w:w="1436"/>
        <w:gridCol w:w="1701"/>
        <w:gridCol w:w="1559"/>
        <w:gridCol w:w="1540"/>
      </w:tblGrid>
      <w:tr w:rsidR="00961617" w:rsidRPr="00961617" w14:paraId="19D1FECD" w14:textId="77777777" w:rsidTr="0020771F">
        <w:trPr>
          <w:trHeight w:hRule="exact" w:val="870"/>
          <w:tblHeader/>
        </w:trPr>
        <w:tc>
          <w:tcPr>
            <w:tcW w:w="1840" w:type="dxa"/>
            <w:tcBorders>
              <w:top w:val="nil"/>
              <w:left w:val="nil"/>
              <w:bottom w:val="nil"/>
              <w:right w:val="nil"/>
            </w:tcBorders>
            <w:shd w:val="clear" w:color="auto" w:fill="1E3D6B"/>
            <w:noWrap/>
            <w:tcMar>
              <w:top w:w="15" w:type="dxa"/>
              <w:left w:w="15" w:type="dxa"/>
              <w:bottom w:w="0" w:type="dxa"/>
              <w:right w:w="15" w:type="dxa"/>
            </w:tcMar>
            <w:vAlign w:val="center"/>
            <w:hideMark/>
          </w:tcPr>
          <w:p w14:paraId="775E3B3D" w14:textId="77777777" w:rsidR="00961617" w:rsidRPr="00961617" w:rsidRDefault="00961617" w:rsidP="0020771F">
            <w:pPr>
              <w:spacing w:after="0"/>
              <w:rPr>
                <w:rFonts w:cstheme="minorHAnsi"/>
                <w:b/>
                <w:color w:val="FFFFFF" w:themeColor="background2"/>
                <w:sz w:val="20"/>
                <w:szCs w:val="20"/>
              </w:rPr>
            </w:pPr>
            <w:bookmarkStart w:id="720" w:name="Title_A241"/>
            <w:bookmarkEnd w:id="720"/>
            <w:r w:rsidRPr="00961617">
              <w:rPr>
                <w:rFonts w:cstheme="minorHAnsi"/>
                <w:b/>
                <w:color w:val="FFFFFF" w:themeColor="background2"/>
                <w:sz w:val="20"/>
                <w:szCs w:val="20"/>
              </w:rPr>
              <w:t>Month</w:t>
            </w:r>
          </w:p>
        </w:tc>
        <w:tc>
          <w:tcPr>
            <w:tcW w:w="1436" w:type="dxa"/>
            <w:tcBorders>
              <w:top w:val="nil"/>
              <w:left w:val="nil"/>
              <w:bottom w:val="nil"/>
              <w:right w:val="nil"/>
            </w:tcBorders>
            <w:shd w:val="clear" w:color="auto" w:fill="1E3D6B"/>
            <w:noWrap/>
            <w:tcMar>
              <w:top w:w="15" w:type="dxa"/>
              <w:left w:w="15" w:type="dxa"/>
              <w:bottom w:w="0" w:type="dxa"/>
              <w:right w:w="15" w:type="dxa"/>
            </w:tcMar>
            <w:vAlign w:val="center"/>
            <w:hideMark/>
          </w:tcPr>
          <w:p w14:paraId="751382BA"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Outcome fees</w:t>
            </w:r>
            <w:r w:rsidRPr="00961617">
              <w:rPr>
                <w:rFonts w:cstheme="minorHAnsi"/>
                <w:b/>
                <w:color w:val="FFFFFF" w:themeColor="background2"/>
                <w:sz w:val="20"/>
                <w:szCs w:val="20"/>
              </w:rPr>
              <w:br/>
              <w:t>$ million</w:t>
            </w:r>
          </w:p>
        </w:tc>
        <w:tc>
          <w:tcPr>
            <w:tcW w:w="1701" w:type="dxa"/>
            <w:tcBorders>
              <w:top w:val="nil"/>
              <w:left w:val="nil"/>
              <w:bottom w:val="nil"/>
              <w:right w:val="nil"/>
            </w:tcBorders>
            <w:shd w:val="clear" w:color="auto" w:fill="1E3D6B"/>
            <w:noWrap/>
            <w:tcMar>
              <w:top w:w="15" w:type="dxa"/>
              <w:left w:w="15" w:type="dxa"/>
              <w:bottom w:w="0" w:type="dxa"/>
              <w:right w:w="15" w:type="dxa"/>
            </w:tcMar>
            <w:vAlign w:val="center"/>
            <w:hideMark/>
          </w:tcPr>
          <w:p w14:paraId="088B053F"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Service fees</w:t>
            </w:r>
            <w:r w:rsidRPr="00961617">
              <w:rPr>
                <w:rFonts w:cstheme="minorHAnsi"/>
                <w:b/>
                <w:color w:val="FFFFFF" w:themeColor="background2"/>
                <w:sz w:val="20"/>
                <w:szCs w:val="20"/>
              </w:rPr>
              <w:br/>
              <w:t>$ million</w:t>
            </w:r>
          </w:p>
        </w:tc>
        <w:tc>
          <w:tcPr>
            <w:tcW w:w="1559" w:type="dxa"/>
            <w:tcBorders>
              <w:top w:val="nil"/>
              <w:left w:val="nil"/>
              <w:bottom w:val="nil"/>
              <w:right w:val="nil"/>
            </w:tcBorders>
            <w:shd w:val="clear" w:color="auto" w:fill="1E3D6B"/>
            <w:noWrap/>
            <w:tcMar>
              <w:top w:w="15" w:type="dxa"/>
              <w:left w:w="15" w:type="dxa"/>
              <w:bottom w:w="0" w:type="dxa"/>
              <w:right w:w="15" w:type="dxa"/>
            </w:tcMar>
            <w:vAlign w:val="center"/>
            <w:hideMark/>
          </w:tcPr>
          <w:p w14:paraId="5854F61C"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Total fees</w:t>
            </w:r>
            <w:r w:rsidRPr="00961617">
              <w:rPr>
                <w:rFonts w:cstheme="minorHAnsi"/>
                <w:b/>
                <w:color w:val="FFFFFF" w:themeColor="background2"/>
                <w:sz w:val="20"/>
                <w:szCs w:val="20"/>
              </w:rPr>
              <w:br/>
              <w:t>$ million</w:t>
            </w:r>
          </w:p>
        </w:tc>
        <w:tc>
          <w:tcPr>
            <w:tcW w:w="1540" w:type="dxa"/>
            <w:tcBorders>
              <w:top w:val="nil"/>
              <w:left w:val="nil"/>
              <w:bottom w:val="nil"/>
              <w:right w:val="nil"/>
            </w:tcBorders>
            <w:shd w:val="clear" w:color="auto" w:fill="1E3D6B"/>
            <w:noWrap/>
            <w:tcMar>
              <w:top w:w="15" w:type="dxa"/>
              <w:left w:w="15" w:type="dxa"/>
              <w:bottom w:w="0" w:type="dxa"/>
              <w:right w:w="15" w:type="dxa"/>
            </w:tcMar>
            <w:vAlign w:val="center"/>
            <w:hideMark/>
          </w:tcPr>
          <w:p w14:paraId="4E72812A"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Commenced caseload</w:t>
            </w:r>
          </w:p>
        </w:tc>
      </w:tr>
      <w:tr w:rsidR="00961617" w:rsidRPr="00961617" w14:paraId="2E7585E4" w14:textId="77777777" w:rsidTr="0020771F">
        <w:trPr>
          <w:trHeight w:hRule="exact" w:val="42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28D072"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40D1745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15.4</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E68052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58.8</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79B0FD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74.2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BCC24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555,656 </w:t>
            </w:r>
          </w:p>
        </w:tc>
      </w:tr>
      <w:tr w:rsidR="00961617" w:rsidRPr="00961617" w14:paraId="6A3D26B1"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D9E57D6"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E9CAF0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18.7</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BF40E0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54.7</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CCB75C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73.4</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471BBC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574,554 </w:t>
            </w:r>
          </w:p>
        </w:tc>
      </w:tr>
      <w:tr w:rsidR="00961617" w:rsidRPr="00961617" w14:paraId="26993E69"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0241FF"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CAAAA7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22.8</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A5AF82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57.9</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0EEF480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AB66F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589,152 </w:t>
            </w:r>
          </w:p>
        </w:tc>
      </w:tr>
      <w:tr w:rsidR="00961617" w:rsidRPr="00961617" w14:paraId="22C9048E"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FFC1C95"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April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5E1632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25.7</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2A6E0D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56.9</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70D292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82.6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EF0466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589,911 </w:t>
            </w:r>
          </w:p>
        </w:tc>
      </w:tr>
      <w:tr w:rsidR="00961617" w:rsidRPr="00961617" w14:paraId="17635D50"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C08518"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May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8BEA47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28.7</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4B82C4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58.5</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888028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D5C14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586,193 </w:t>
            </w:r>
          </w:p>
        </w:tc>
      </w:tr>
      <w:tr w:rsidR="00961617" w:rsidRPr="00961617" w14:paraId="002CF3F2"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9FF8E38"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June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BFFD11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32.2</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006060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57.6</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222E34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89.7</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F75403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580,582 </w:t>
            </w:r>
          </w:p>
        </w:tc>
      </w:tr>
      <w:tr w:rsidR="00961617" w:rsidRPr="00961617" w14:paraId="26B15A9C"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973180"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July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E52EA3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33.5</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2DF1469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54.5</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C2D97D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88.0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2731E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572,328 </w:t>
            </w:r>
          </w:p>
        </w:tc>
      </w:tr>
      <w:tr w:rsidR="00961617" w:rsidRPr="00961617" w14:paraId="2795BC84"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CEDCC4A"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August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9C326D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35.2</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EB719B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52.4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1637AF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87.6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07159F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559,236 </w:t>
            </w:r>
          </w:p>
        </w:tc>
      </w:tr>
      <w:tr w:rsidR="00961617" w:rsidRPr="00961617" w14:paraId="008F74F0"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6DCE9F"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September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D9C8C3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35.0</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9BC0DB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50.6</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E68243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4224E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545,093 </w:t>
            </w:r>
          </w:p>
        </w:tc>
      </w:tr>
      <w:tr w:rsidR="00961617" w:rsidRPr="00961617" w14:paraId="2D9845FD"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A85D0B0"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October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AA3BDF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36.9</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6BA88E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48.8</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D22C68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85.8</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A27A2A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532,854 </w:t>
            </w:r>
          </w:p>
        </w:tc>
      </w:tr>
      <w:tr w:rsidR="00961617" w:rsidRPr="00961617" w14:paraId="21C14691"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C1BE2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November 2010</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4A8F26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38.6</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068A1A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48.0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90D5E2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E1CEA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523,167 </w:t>
            </w:r>
          </w:p>
        </w:tc>
      </w:tr>
      <w:tr w:rsidR="00961617" w:rsidRPr="00961617" w14:paraId="44979346"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EBCEC31"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December 2010</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0BDBA2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41.2</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99BB71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48.3</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5CC0BC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89.6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FEBD00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519,525 </w:t>
            </w:r>
          </w:p>
        </w:tc>
      </w:tr>
      <w:tr w:rsidR="00961617" w:rsidRPr="00961617" w14:paraId="152123A9"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F9C744"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A5E1F3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41.4</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7E084E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49.0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B58734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90.4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4B5C4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526,347 </w:t>
            </w:r>
          </w:p>
        </w:tc>
      </w:tr>
      <w:tr w:rsidR="00961617" w:rsidRPr="00961617" w14:paraId="2C70C649"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361BFA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802E29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40.3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1BB315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47.4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560ADD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87.7</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8F93B9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535,366 </w:t>
            </w:r>
          </w:p>
        </w:tc>
      </w:tr>
      <w:tr w:rsidR="00961617" w:rsidRPr="00961617" w14:paraId="2409918E"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73A69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8CB31B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38.9</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640311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47.6</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7A8553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D9DD3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542,478 </w:t>
            </w:r>
          </w:p>
        </w:tc>
      </w:tr>
      <w:tr w:rsidR="00961617" w:rsidRPr="00961617" w14:paraId="7F11D0ED"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E21BBFF"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April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F35DD1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38.1</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06F585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45.4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A9D59D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83.5</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18CBBE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540,322 </w:t>
            </w:r>
          </w:p>
        </w:tc>
      </w:tr>
      <w:tr w:rsidR="00961617" w:rsidRPr="00961617" w14:paraId="7F4D034B"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891AE4"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May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4BD9945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40.7</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51C9C9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46.2</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5AFC4D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86.9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1F355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537,529 </w:t>
            </w:r>
          </w:p>
        </w:tc>
      </w:tr>
      <w:tr w:rsidR="00961617" w:rsidRPr="00961617" w14:paraId="0C1F7AB3"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8844E2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June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6B71C6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42.9</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9C8E33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44.7</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AC1D2B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87.6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8BD2AC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532,978 </w:t>
            </w:r>
          </w:p>
        </w:tc>
      </w:tr>
      <w:tr w:rsidR="00961617" w:rsidRPr="00961617" w14:paraId="08744E3D"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B2ED7C"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July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14D7A5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43.5</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45A988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44.7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29AF6E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88.2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FE865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529,217 </w:t>
            </w:r>
          </w:p>
        </w:tc>
      </w:tr>
      <w:tr w:rsidR="00961617" w:rsidRPr="00961617" w14:paraId="59E691D4"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0EA281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August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210E17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46.8</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CA61CF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43.5</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BB148C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90.2</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B41E47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522,092 </w:t>
            </w:r>
          </w:p>
        </w:tc>
      </w:tr>
      <w:tr w:rsidR="00961617" w:rsidRPr="00961617" w14:paraId="6BBEF3E9"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7561B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September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1B333C7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42.8</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7A3930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94D09D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7ED50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514,361 </w:t>
            </w:r>
          </w:p>
        </w:tc>
      </w:tr>
      <w:tr w:rsidR="00961617" w:rsidRPr="00961617" w14:paraId="0DAE2869"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7A01C58"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October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46C289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43.3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45F2EA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41.1</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28CD2C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84.4</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F7F9CC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505,977 </w:t>
            </w:r>
          </w:p>
        </w:tc>
      </w:tr>
      <w:tr w:rsidR="00961617" w:rsidRPr="00961617" w14:paraId="6385B75D"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50EB7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November 2011</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466B56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39.2</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349596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39.5</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FF888D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78.8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A726B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500,642 </w:t>
            </w:r>
          </w:p>
        </w:tc>
      </w:tr>
      <w:tr w:rsidR="00961617" w:rsidRPr="00961617" w14:paraId="63B63742"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BD84620"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December 2011</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306FD3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39.5</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E2CD45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37.4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8D9D6C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77.0</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81188B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500,613 </w:t>
            </w:r>
          </w:p>
        </w:tc>
      </w:tr>
      <w:tr w:rsidR="00961617" w:rsidRPr="00961617" w14:paraId="4719F8D2"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72BEF5"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D14B0F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39.2</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DD6E10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38.8</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0782D05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78.0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7E449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511,555 </w:t>
            </w:r>
          </w:p>
        </w:tc>
      </w:tr>
      <w:tr w:rsidR="00961617" w:rsidRPr="00961617" w14:paraId="4E8488A6"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A6B7152"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6E7393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36.7</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F8BF34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39.6</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70129B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76.3</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2A9FE1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525,378 </w:t>
            </w:r>
          </w:p>
        </w:tc>
      </w:tr>
      <w:tr w:rsidR="00961617" w:rsidRPr="00961617" w14:paraId="3544D1C2"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7B242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08276AA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34.9</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B32504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41.9</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043E403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76.8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32F74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535,481 </w:t>
            </w:r>
          </w:p>
        </w:tc>
      </w:tr>
      <w:tr w:rsidR="00961617" w:rsidRPr="00961617" w14:paraId="03789C00"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C2FC21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April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F35B23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A01C05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40.4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03DA35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72.7</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7AF847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534,923 </w:t>
            </w:r>
          </w:p>
        </w:tc>
      </w:tr>
      <w:tr w:rsidR="00961617" w:rsidRPr="00961617" w14:paraId="18EDCEA2"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056FA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May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7C99810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32.3</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27F8EE0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41.7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3D114D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19EED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532,599 </w:t>
            </w:r>
          </w:p>
        </w:tc>
      </w:tr>
      <w:tr w:rsidR="00961617" w:rsidRPr="00961617" w14:paraId="7ECFE083"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61CECB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June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EB2672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32.8</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D2CE77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40.7</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EB889F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73.6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891720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531,466 </w:t>
            </w:r>
          </w:p>
        </w:tc>
      </w:tr>
      <w:tr w:rsidR="00961617" w:rsidRPr="00961617" w14:paraId="4E5A0C2D"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E4F283"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July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753834D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32.7</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851527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39.3</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2D45D3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72.0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09E31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530,688 </w:t>
            </w:r>
          </w:p>
        </w:tc>
      </w:tr>
      <w:tr w:rsidR="00961617" w:rsidRPr="00961617" w14:paraId="4E691EC6"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F91E8DF"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August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B9F9AA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31.5</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4FC412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35.9</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C5C11C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67.4</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3235B1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529,593 </w:t>
            </w:r>
          </w:p>
        </w:tc>
      </w:tr>
      <w:tr w:rsidR="00961617" w:rsidRPr="00961617" w14:paraId="1BFAC3DC"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CE60F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September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56B48D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30.0</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FD70B4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32.9</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7D9214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DD686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527,807 </w:t>
            </w:r>
          </w:p>
        </w:tc>
      </w:tr>
      <w:tr w:rsidR="00961617" w:rsidRPr="00961617" w14:paraId="65511E5A"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E388863"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October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9D54A6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29.9</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693545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32.8</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D18478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62.8</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77DEF4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525,288 </w:t>
            </w:r>
          </w:p>
        </w:tc>
      </w:tr>
      <w:tr w:rsidR="00961617" w:rsidRPr="00961617" w14:paraId="09A680D6"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065F4C"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November 2012</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382E96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30.3</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04226D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4D9901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7A088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523,908 </w:t>
            </w:r>
          </w:p>
        </w:tc>
      </w:tr>
      <w:tr w:rsidR="00961617" w:rsidRPr="00961617" w14:paraId="1DA82A51"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3A93808"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December 2012</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DD75DC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29.0</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A35711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31.6</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F40320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60.6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CCB487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527,349 </w:t>
            </w:r>
          </w:p>
        </w:tc>
      </w:tr>
      <w:tr w:rsidR="00961617" w:rsidRPr="00961617" w14:paraId="2A70844F"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6C2FAE"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6C6E004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28.2</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30D640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33.1</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3C26DD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61.3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FC345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543,800 </w:t>
            </w:r>
          </w:p>
        </w:tc>
      </w:tr>
      <w:tr w:rsidR="00961617" w:rsidRPr="00961617" w14:paraId="207F77DC"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990A5F6"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D3BB15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24.8</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60F7B2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AF4362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58.2</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5CE257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561,112 </w:t>
            </w:r>
          </w:p>
        </w:tc>
      </w:tr>
      <w:tr w:rsidR="00961617" w:rsidRPr="00961617" w14:paraId="16CB6EFE"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25E68C"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A0A687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23.3</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C5694B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35.0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0950BF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FA20D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575,555 </w:t>
            </w:r>
          </w:p>
        </w:tc>
      </w:tr>
      <w:tr w:rsidR="00961617" w:rsidRPr="00961617" w14:paraId="5FDFF1B6"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56DBC4D"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April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DDD938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22.3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871710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33.5</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30B017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55.7</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843E61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578,610 </w:t>
            </w:r>
          </w:p>
        </w:tc>
      </w:tr>
      <w:tr w:rsidR="00961617" w:rsidRPr="00961617" w14:paraId="03EE38DD"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48CF6D"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May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D4A492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23.5</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5E67FF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34.4</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6C721A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57.9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63137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581,582 </w:t>
            </w:r>
          </w:p>
        </w:tc>
      </w:tr>
      <w:tr w:rsidR="00961617" w:rsidRPr="00961617" w14:paraId="1E928FDC"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508231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June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4371B0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1147DB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33.6</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A27825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58.9</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8C0FC0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575,573 </w:t>
            </w:r>
          </w:p>
        </w:tc>
      </w:tr>
      <w:tr w:rsidR="00961617" w:rsidRPr="00961617" w14:paraId="6D20A305"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A5BE9D"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July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C8E891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25.9</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32F15F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069BAC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59.6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2F6AC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568,515 </w:t>
            </w:r>
          </w:p>
        </w:tc>
      </w:tr>
      <w:tr w:rsidR="00961617" w:rsidRPr="00961617" w14:paraId="1CD1C942"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181AD64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August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89B252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25.0</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2ED2E5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32.5</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016E1D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57.6</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8E3F8E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558,587 </w:t>
            </w:r>
          </w:p>
        </w:tc>
      </w:tr>
      <w:tr w:rsidR="00961617" w:rsidRPr="00961617" w14:paraId="53ED3897"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22BA0D"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September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4A484CB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24.0</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2B46AC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32.4</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E70A9F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35042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554,228 </w:t>
            </w:r>
          </w:p>
        </w:tc>
      </w:tr>
      <w:tr w:rsidR="00961617" w:rsidRPr="00961617" w14:paraId="6867C7BA"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EA0CC66"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October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9CE533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24.5</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B5AA5D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31.9</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F98180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56.4</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8DF450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550,673 </w:t>
            </w:r>
          </w:p>
        </w:tc>
      </w:tr>
      <w:tr w:rsidR="00961617" w:rsidRPr="00961617" w14:paraId="30A2BEC9"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660E86"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November 2013</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1648105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24.6</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5A85FA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31.3</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076984E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55.9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1C241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550,839 </w:t>
            </w:r>
          </w:p>
        </w:tc>
      </w:tr>
      <w:tr w:rsidR="00961617" w:rsidRPr="00961617" w14:paraId="79A7AFF0"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E7DF2DE"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December 2013</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0DB244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25.5</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20BE54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30.8</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D66B54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56.3</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844FCE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554,700 </w:t>
            </w:r>
          </w:p>
        </w:tc>
      </w:tr>
      <w:tr w:rsidR="00961617" w:rsidRPr="00961617" w14:paraId="2441C902"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1591F5"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238D42F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24.8</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D4DD05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31.9</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D3EB40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8D7EA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569,601 </w:t>
            </w:r>
          </w:p>
        </w:tc>
      </w:tr>
      <w:tr w:rsidR="00961617" w:rsidRPr="00961617" w14:paraId="583901C5"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AC90581"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CE4ED0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24.0</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566AE4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32.3</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F38366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56.3</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A8CD7A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584,181 </w:t>
            </w:r>
          </w:p>
        </w:tc>
      </w:tr>
      <w:tr w:rsidR="00961617" w:rsidRPr="00961617" w14:paraId="33367523"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05CAF2"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F475A5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22.5</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F628151"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33.3</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107F0F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55.8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B42D3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595,362 </w:t>
            </w:r>
          </w:p>
        </w:tc>
      </w:tr>
      <w:tr w:rsidR="00961617" w:rsidRPr="00961617" w14:paraId="37BC6602"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B388C5E"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April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36DC50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21.3</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52C269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31.2</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9D207AF"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52.5</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97DBCB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594,969 </w:t>
            </w:r>
          </w:p>
        </w:tc>
      </w:tr>
      <w:tr w:rsidR="00961617" w:rsidRPr="00961617" w14:paraId="03F28731"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A22BCC"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May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55771F7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22.4</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5FF7A8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50BE2B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0521E7"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594,626 </w:t>
            </w:r>
          </w:p>
        </w:tc>
      </w:tr>
      <w:tr w:rsidR="00961617" w:rsidRPr="00961617" w14:paraId="5C7EF82B"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0A39286A"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June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DD0142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25.4</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2A28F29"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31.4</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15AF40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56.8</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4951A6F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589,506 </w:t>
            </w:r>
          </w:p>
        </w:tc>
      </w:tr>
      <w:tr w:rsidR="00961617" w:rsidRPr="00961617" w14:paraId="30E3FF8C"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036A6F"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July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416CB8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26.6</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98A3A5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32.7</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6ED7FC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59.2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4B395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588,799 </w:t>
            </w:r>
          </w:p>
        </w:tc>
      </w:tr>
      <w:tr w:rsidR="00961617" w:rsidRPr="00961617" w14:paraId="78AC5FE9"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5CF6D22"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August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19A91E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26.4</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1DD5CD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31.7</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43F3D8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58.1</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9276DCE"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583,929 </w:t>
            </w:r>
          </w:p>
        </w:tc>
      </w:tr>
      <w:tr w:rsidR="00961617" w:rsidRPr="00961617" w14:paraId="6A5249C3"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E8530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September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76C5DDE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26.6</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FDDCC4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31.6</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AF22A2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476DF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581,128 </w:t>
            </w:r>
          </w:p>
        </w:tc>
      </w:tr>
      <w:tr w:rsidR="00961617" w:rsidRPr="00961617" w14:paraId="00E4B06B"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1E49E0C"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October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A9014E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27.8</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347E434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31.7</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AE7A31A"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59.5</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369120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573,155 </w:t>
            </w:r>
          </w:p>
        </w:tc>
      </w:tr>
      <w:tr w:rsidR="00961617" w:rsidRPr="00961617" w14:paraId="5B65851E"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50BC9B"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November 2014</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146067F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28.0</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180617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31.3</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528E98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59.3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94AAB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570,285 </w:t>
            </w:r>
          </w:p>
        </w:tc>
      </w:tr>
      <w:tr w:rsidR="00961617" w:rsidRPr="00961617" w14:paraId="3D817390" w14:textId="77777777" w:rsidTr="0020771F">
        <w:trPr>
          <w:trHeight w:hRule="exact" w:val="340"/>
        </w:trPr>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60B0C5E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December 2014</w:t>
            </w:r>
          </w:p>
        </w:tc>
        <w:tc>
          <w:tcPr>
            <w:tcW w:w="1436"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8A558B4"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27.4</w:t>
            </w:r>
          </w:p>
        </w:tc>
        <w:tc>
          <w:tcPr>
            <w:tcW w:w="1701"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7A48E228"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31.0</w:t>
            </w:r>
          </w:p>
        </w:tc>
        <w:tc>
          <w:tcPr>
            <w:tcW w:w="1559" w:type="dxa"/>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5919009B"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58.5</w:t>
            </w:r>
          </w:p>
        </w:tc>
        <w:tc>
          <w:tcPr>
            <w:tcW w:w="0" w:type="auto"/>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14:paraId="2F391FB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572,970 </w:t>
            </w:r>
          </w:p>
        </w:tc>
      </w:tr>
      <w:tr w:rsidR="00961617" w:rsidRPr="00961617" w14:paraId="274494AF" w14:textId="77777777" w:rsidTr="0020771F">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3B1FE0"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January 2015</w:t>
            </w:r>
          </w:p>
        </w:tc>
        <w:tc>
          <w:tcPr>
            <w:tcW w:w="1436" w:type="dxa"/>
            <w:tcBorders>
              <w:top w:val="nil"/>
              <w:left w:val="nil"/>
              <w:bottom w:val="nil"/>
              <w:right w:val="nil"/>
            </w:tcBorders>
            <w:shd w:val="clear" w:color="auto" w:fill="auto"/>
            <w:noWrap/>
            <w:tcMar>
              <w:top w:w="15" w:type="dxa"/>
              <w:left w:w="15" w:type="dxa"/>
              <w:bottom w:w="0" w:type="dxa"/>
              <w:right w:w="15" w:type="dxa"/>
            </w:tcMar>
            <w:vAlign w:val="center"/>
            <w:hideMark/>
          </w:tcPr>
          <w:p w14:paraId="39428F9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27.4</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98A9A8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31.3</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557C3C6"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FE77B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587,955 </w:t>
            </w:r>
          </w:p>
        </w:tc>
      </w:tr>
      <w:tr w:rsidR="00961617" w:rsidRPr="00961617" w14:paraId="55C646B2" w14:textId="77777777" w:rsidTr="0020771F">
        <w:trPr>
          <w:trHeight w:hRule="exact" w:val="340"/>
        </w:trPr>
        <w:tc>
          <w:tcPr>
            <w:tcW w:w="0" w:type="auto"/>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14:paraId="0D08BD57"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February 2015</w:t>
            </w:r>
          </w:p>
        </w:tc>
        <w:tc>
          <w:tcPr>
            <w:tcW w:w="1436" w:type="dxa"/>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14:paraId="23547C30"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27.1</w:t>
            </w:r>
          </w:p>
        </w:tc>
        <w:tc>
          <w:tcPr>
            <w:tcW w:w="1701" w:type="dxa"/>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14:paraId="7B2CFF25"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32.0</w:t>
            </w:r>
          </w:p>
        </w:tc>
        <w:tc>
          <w:tcPr>
            <w:tcW w:w="1559" w:type="dxa"/>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14:paraId="08453A1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59.0</w:t>
            </w:r>
          </w:p>
        </w:tc>
        <w:tc>
          <w:tcPr>
            <w:tcW w:w="0" w:type="auto"/>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14:paraId="62D30DD3"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602,449 </w:t>
            </w:r>
          </w:p>
        </w:tc>
      </w:tr>
      <w:tr w:rsidR="00961617" w:rsidRPr="00961617" w14:paraId="42CAA956" w14:textId="77777777" w:rsidTr="0020771F">
        <w:trPr>
          <w:trHeight w:hRule="exact" w:val="34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92FBD9" w14:textId="77777777" w:rsidR="00961617" w:rsidRPr="00961617" w:rsidRDefault="00961617" w:rsidP="0020771F">
            <w:pPr>
              <w:spacing w:after="0"/>
              <w:rPr>
                <w:rFonts w:cstheme="minorHAnsi"/>
                <w:color w:val="000000"/>
                <w:sz w:val="20"/>
                <w:szCs w:val="20"/>
              </w:rPr>
            </w:pPr>
            <w:r w:rsidRPr="00961617">
              <w:rPr>
                <w:rFonts w:cstheme="minorHAnsi"/>
                <w:color w:val="000000"/>
                <w:sz w:val="20"/>
                <w:szCs w:val="20"/>
              </w:rPr>
              <w:t>March 2015</w:t>
            </w:r>
          </w:p>
        </w:tc>
        <w:tc>
          <w:tcPr>
            <w:tcW w:w="143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D47DD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25.2</w:t>
            </w:r>
          </w:p>
        </w:tc>
        <w:tc>
          <w:tcPr>
            <w:tcW w:w="170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ED4C72"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32.9</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9A7DFD"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58.0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E0452C" w14:textId="77777777" w:rsidR="00961617" w:rsidRPr="00961617" w:rsidRDefault="00961617" w:rsidP="0020771F">
            <w:pPr>
              <w:spacing w:after="0"/>
              <w:ind w:right="341"/>
              <w:jc w:val="right"/>
              <w:rPr>
                <w:rFonts w:cstheme="minorHAnsi"/>
                <w:color w:val="000000"/>
                <w:sz w:val="20"/>
                <w:szCs w:val="20"/>
              </w:rPr>
            </w:pPr>
            <w:r w:rsidRPr="00961617">
              <w:rPr>
                <w:rFonts w:cstheme="minorHAnsi"/>
                <w:color w:val="000000"/>
                <w:sz w:val="20"/>
                <w:szCs w:val="20"/>
              </w:rPr>
              <w:t xml:space="preserve">614,664 </w:t>
            </w:r>
          </w:p>
        </w:tc>
      </w:tr>
    </w:tbl>
    <w:p w14:paraId="73CF27EC" w14:textId="77777777" w:rsidR="00961617" w:rsidRPr="00130B88" w:rsidRDefault="00961617" w:rsidP="00130B88">
      <w:pPr>
        <w:pStyle w:val="Notes"/>
        <w:rPr>
          <w:b/>
        </w:rPr>
      </w:pPr>
      <w:r w:rsidRPr="00130B88">
        <w:rPr>
          <w:b/>
        </w:rPr>
        <w:t>Note</w:t>
      </w:r>
      <w:r w:rsidR="00130B88" w:rsidRPr="00130B88">
        <w:rPr>
          <w:b/>
        </w:rPr>
        <w:t>s</w:t>
      </w:r>
      <w:r w:rsidRPr="00130B88">
        <w:rPr>
          <w:b/>
        </w:rPr>
        <w:t xml:space="preserve">: </w:t>
      </w:r>
    </w:p>
    <w:p w14:paraId="6D3B8736" w14:textId="77777777" w:rsidR="00961617" w:rsidRPr="00AE501D" w:rsidRDefault="00961617" w:rsidP="00AE501D">
      <w:pPr>
        <w:pStyle w:val="Notesnumbered"/>
        <w:numPr>
          <w:ilvl w:val="0"/>
          <w:numId w:val="272"/>
        </w:numPr>
      </w:pPr>
      <w:r w:rsidRPr="00AE501D">
        <w:t>Commenced caseload is calculated at the end of each month.</w:t>
      </w:r>
    </w:p>
    <w:p w14:paraId="1FBF13D6" w14:textId="77777777" w:rsidR="00961617" w:rsidRPr="00896190" w:rsidRDefault="00961617" w:rsidP="00AE501D">
      <w:pPr>
        <w:pStyle w:val="Notesnumbered"/>
        <w:numPr>
          <w:ilvl w:val="0"/>
          <w:numId w:val="272"/>
        </w:numPr>
      </w:pPr>
      <w:r w:rsidRPr="00AE501D">
        <w:t>Running</w:t>
      </w:r>
      <w:r w:rsidRPr="00610632">
        <w:t xml:space="preserve"> averages calculated as the average of the current and previous two months.</w:t>
      </w:r>
    </w:p>
    <w:p w14:paraId="0068BDE8" w14:textId="77777777" w:rsidR="00961617" w:rsidRPr="002F5864" w:rsidRDefault="00961617" w:rsidP="0033478B">
      <w:pPr>
        <w:pStyle w:val="Source"/>
      </w:pPr>
      <w:r w:rsidRPr="002F5864">
        <w:rPr>
          <w:b/>
        </w:rPr>
        <w:t>Source</w:t>
      </w:r>
      <w:r w:rsidRPr="002F5864">
        <w:t xml:space="preserve">: </w:t>
      </w:r>
      <w:r w:rsidR="00E13B5E">
        <w:tab/>
      </w:r>
      <w:r w:rsidRPr="002F5864">
        <w:t>Department of Employment</w:t>
      </w:r>
      <w:r>
        <w:t xml:space="preserve"> administrative data.</w:t>
      </w:r>
    </w:p>
    <w:p w14:paraId="4D4A137F" w14:textId="77777777" w:rsidR="00961617" w:rsidRDefault="00864C5E" w:rsidP="00961617">
      <w:pPr>
        <w:rPr>
          <w:sz w:val="18"/>
          <w:szCs w:val="18"/>
        </w:rPr>
      </w:pPr>
      <w:hyperlink w:anchor="Place_A241" w:history="1">
        <w:r w:rsidR="00961617" w:rsidRPr="008C50A7">
          <w:rPr>
            <w:rStyle w:val="Hyperlink"/>
            <w:sz w:val="18"/>
            <w:szCs w:val="18"/>
          </w:rPr>
          <w:t>Return to Figure 10.1</w:t>
        </w:r>
      </w:hyperlink>
      <w:r w:rsidR="00961617" w:rsidRPr="00775AAD">
        <w:rPr>
          <w:sz w:val="18"/>
          <w:szCs w:val="18"/>
        </w:rPr>
        <w:t xml:space="preserve"> where this data is referenced</w:t>
      </w:r>
      <w:r w:rsidR="00961617">
        <w:rPr>
          <w:sz w:val="18"/>
          <w:szCs w:val="18"/>
        </w:rPr>
        <w:t>.</w:t>
      </w:r>
    </w:p>
    <w:p w14:paraId="2DDABB0B" w14:textId="77777777" w:rsidR="00961617" w:rsidRDefault="00961617" w:rsidP="00961617">
      <w:pPr>
        <w:rPr>
          <w:sz w:val="18"/>
          <w:szCs w:val="18"/>
        </w:rPr>
      </w:pPr>
      <w:r>
        <w:rPr>
          <w:sz w:val="18"/>
          <w:szCs w:val="18"/>
        </w:rPr>
        <w:br w:type="page"/>
      </w:r>
    </w:p>
    <w:p w14:paraId="3B4656EF" w14:textId="77777777" w:rsidR="00961617" w:rsidRDefault="00961617" w:rsidP="00961617">
      <w:pPr>
        <w:pStyle w:val="TableheadingforappendixA1"/>
        <w:rPr>
          <w:rFonts w:cstheme="minorHAnsi"/>
          <w:noProof/>
        </w:rPr>
      </w:pPr>
      <w:bookmarkStart w:id="721" w:name="_Toc513129935"/>
      <w:r w:rsidRPr="002F5864">
        <w:rPr>
          <w:rFonts w:cstheme="minorHAnsi"/>
        </w:rPr>
        <w:t>Table A2.</w:t>
      </w:r>
      <w:r>
        <w:rPr>
          <w:rFonts w:cstheme="minorHAnsi"/>
        </w:rPr>
        <w:t>42:</w:t>
      </w:r>
      <w:r w:rsidRPr="002F5864">
        <w:rPr>
          <w:rFonts w:cstheme="minorHAnsi"/>
          <w:noProof/>
        </w:rPr>
        <w:t xml:space="preserve"> </w:t>
      </w:r>
      <w:r>
        <w:rPr>
          <w:rFonts w:cstheme="minorHAnsi"/>
          <w:noProof/>
        </w:rPr>
        <w:t>Service and outcome fees paid per job seeker ($)</w:t>
      </w:r>
      <w:bookmarkEnd w:id="721"/>
    </w:p>
    <w:tbl>
      <w:tblPr>
        <w:tblW w:w="9057" w:type="dxa"/>
        <w:tblCellMar>
          <w:left w:w="0" w:type="dxa"/>
          <w:right w:w="0" w:type="dxa"/>
        </w:tblCellMar>
        <w:tblLook w:val="04A0" w:firstRow="1" w:lastRow="0" w:firstColumn="1" w:lastColumn="0" w:noHBand="0" w:noVBand="1"/>
      </w:tblPr>
      <w:tblGrid>
        <w:gridCol w:w="1682"/>
        <w:gridCol w:w="2869"/>
        <w:gridCol w:w="74"/>
        <w:gridCol w:w="2216"/>
        <w:gridCol w:w="2216"/>
      </w:tblGrid>
      <w:tr w:rsidR="00961617" w:rsidRPr="00961617" w14:paraId="6AFC59F7" w14:textId="77777777" w:rsidTr="0020771F">
        <w:trPr>
          <w:trHeight w:hRule="exact" w:val="586"/>
          <w:tblHeader/>
        </w:trPr>
        <w:tc>
          <w:tcPr>
            <w:tcW w:w="1682" w:type="dxa"/>
            <w:shd w:val="clear" w:color="auto" w:fill="1E3D6B"/>
            <w:noWrap/>
            <w:tcMar>
              <w:top w:w="15" w:type="dxa"/>
              <w:left w:w="15" w:type="dxa"/>
              <w:bottom w:w="0" w:type="dxa"/>
              <w:right w:w="15" w:type="dxa"/>
            </w:tcMar>
            <w:hideMark/>
          </w:tcPr>
          <w:p w14:paraId="1481E2AC" w14:textId="77777777" w:rsidR="00961617" w:rsidRPr="00961617" w:rsidRDefault="00961617" w:rsidP="0020771F">
            <w:pPr>
              <w:spacing w:after="0"/>
              <w:ind w:left="117"/>
              <w:rPr>
                <w:rFonts w:cstheme="minorHAnsi"/>
                <w:b/>
                <w:color w:val="FFFFFF" w:themeColor="background2"/>
                <w:sz w:val="20"/>
                <w:szCs w:val="20"/>
              </w:rPr>
            </w:pPr>
            <w:bookmarkStart w:id="722" w:name="Title_A242"/>
            <w:bookmarkEnd w:id="722"/>
            <w:r w:rsidRPr="00961617">
              <w:rPr>
                <w:rFonts w:cstheme="minorHAnsi"/>
                <w:b/>
                <w:color w:val="FFFFFF" w:themeColor="background2"/>
                <w:sz w:val="20"/>
                <w:szCs w:val="20"/>
              </w:rPr>
              <w:t>Month</w:t>
            </w:r>
          </w:p>
        </w:tc>
        <w:tc>
          <w:tcPr>
            <w:tcW w:w="2943" w:type="dxa"/>
            <w:gridSpan w:val="2"/>
            <w:shd w:val="clear" w:color="auto" w:fill="1E3D6B"/>
            <w:noWrap/>
            <w:tcMar>
              <w:top w:w="15" w:type="dxa"/>
              <w:left w:w="15" w:type="dxa"/>
              <w:bottom w:w="0" w:type="dxa"/>
              <w:right w:w="15" w:type="dxa"/>
            </w:tcMar>
            <w:hideMark/>
          </w:tcPr>
          <w:p w14:paraId="55E19DC6"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Outcome fees/job seeker</w:t>
            </w:r>
            <w:r w:rsidRPr="00961617">
              <w:rPr>
                <w:rFonts w:cstheme="minorHAnsi"/>
                <w:b/>
                <w:color w:val="FFFFFF" w:themeColor="background2"/>
                <w:sz w:val="20"/>
                <w:szCs w:val="20"/>
              </w:rPr>
              <w:br/>
              <w:t xml:space="preserve">$  </w:t>
            </w:r>
          </w:p>
        </w:tc>
        <w:tc>
          <w:tcPr>
            <w:tcW w:w="2216" w:type="dxa"/>
            <w:shd w:val="clear" w:color="auto" w:fill="1E3D6B"/>
            <w:noWrap/>
            <w:tcMar>
              <w:top w:w="15" w:type="dxa"/>
              <w:left w:w="15" w:type="dxa"/>
              <w:bottom w:w="0" w:type="dxa"/>
              <w:right w:w="15" w:type="dxa"/>
            </w:tcMar>
            <w:hideMark/>
          </w:tcPr>
          <w:p w14:paraId="4B6EA519"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Service fees/job seeker</w:t>
            </w:r>
            <w:r w:rsidRPr="00961617">
              <w:rPr>
                <w:rFonts w:cstheme="minorHAnsi"/>
                <w:b/>
                <w:color w:val="FFFFFF" w:themeColor="background2"/>
                <w:sz w:val="20"/>
                <w:szCs w:val="20"/>
              </w:rPr>
              <w:br/>
              <w:t xml:space="preserve">$ </w:t>
            </w:r>
          </w:p>
        </w:tc>
        <w:tc>
          <w:tcPr>
            <w:tcW w:w="2216" w:type="dxa"/>
            <w:shd w:val="clear" w:color="auto" w:fill="1E3D6B"/>
            <w:noWrap/>
            <w:tcMar>
              <w:top w:w="15" w:type="dxa"/>
              <w:left w:w="15" w:type="dxa"/>
              <w:bottom w:w="0" w:type="dxa"/>
              <w:right w:w="15" w:type="dxa"/>
            </w:tcMar>
            <w:hideMark/>
          </w:tcPr>
          <w:p w14:paraId="6EC086B2" w14:textId="77777777" w:rsidR="00961617" w:rsidRPr="00961617" w:rsidRDefault="00961617" w:rsidP="0020771F">
            <w:pPr>
              <w:spacing w:after="0"/>
              <w:jc w:val="center"/>
              <w:rPr>
                <w:rFonts w:cstheme="minorHAnsi"/>
                <w:b/>
                <w:color w:val="FFFFFF" w:themeColor="background2"/>
                <w:sz w:val="20"/>
                <w:szCs w:val="20"/>
              </w:rPr>
            </w:pPr>
            <w:r w:rsidRPr="00961617">
              <w:rPr>
                <w:rFonts w:cstheme="minorHAnsi"/>
                <w:b/>
                <w:color w:val="FFFFFF" w:themeColor="background2"/>
                <w:sz w:val="20"/>
                <w:szCs w:val="20"/>
              </w:rPr>
              <w:t>Total fees/job seeker</w:t>
            </w:r>
            <w:r w:rsidRPr="00961617">
              <w:rPr>
                <w:rFonts w:cstheme="minorHAnsi"/>
                <w:b/>
                <w:color w:val="FFFFFF" w:themeColor="background2"/>
                <w:sz w:val="20"/>
                <w:szCs w:val="20"/>
              </w:rPr>
              <w:br/>
              <w:t xml:space="preserve">$ </w:t>
            </w:r>
          </w:p>
        </w:tc>
      </w:tr>
      <w:tr w:rsidR="00961617" w:rsidRPr="00961617" w14:paraId="70038B1C" w14:textId="77777777" w:rsidTr="0020771F">
        <w:tblPrEx>
          <w:tblCellMar>
            <w:left w:w="108" w:type="dxa"/>
            <w:right w:w="108" w:type="dxa"/>
          </w:tblCellMar>
        </w:tblPrEx>
        <w:trPr>
          <w:trHeight w:val="340"/>
        </w:trPr>
        <w:tc>
          <w:tcPr>
            <w:tcW w:w="1682" w:type="dxa"/>
            <w:shd w:val="clear" w:color="auto" w:fill="auto"/>
            <w:noWrap/>
            <w:vAlign w:val="center"/>
            <w:hideMark/>
          </w:tcPr>
          <w:p w14:paraId="6E1449F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2010</w:t>
            </w:r>
          </w:p>
        </w:tc>
        <w:tc>
          <w:tcPr>
            <w:tcW w:w="2869" w:type="dxa"/>
            <w:shd w:val="clear" w:color="auto" w:fill="auto"/>
            <w:noWrap/>
            <w:vAlign w:val="center"/>
            <w:hideMark/>
          </w:tcPr>
          <w:p w14:paraId="1B65B47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27.7</w:t>
            </w:r>
          </w:p>
        </w:tc>
        <w:tc>
          <w:tcPr>
            <w:tcW w:w="2290" w:type="dxa"/>
            <w:gridSpan w:val="2"/>
            <w:shd w:val="clear" w:color="auto" w:fill="auto"/>
            <w:noWrap/>
            <w:vAlign w:val="center"/>
            <w:hideMark/>
          </w:tcPr>
          <w:p w14:paraId="27C7F95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105.8</w:t>
            </w:r>
          </w:p>
        </w:tc>
        <w:tc>
          <w:tcPr>
            <w:tcW w:w="2216" w:type="dxa"/>
            <w:shd w:val="clear" w:color="auto" w:fill="auto"/>
            <w:noWrap/>
            <w:vAlign w:val="center"/>
            <w:hideMark/>
          </w:tcPr>
          <w:p w14:paraId="3DB5517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133.5</w:t>
            </w:r>
          </w:p>
        </w:tc>
      </w:tr>
      <w:tr w:rsidR="00961617" w:rsidRPr="00961617" w14:paraId="1F157D04" w14:textId="77777777" w:rsidTr="0020771F">
        <w:tblPrEx>
          <w:tblCellMar>
            <w:left w:w="108" w:type="dxa"/>
            <w:right w:w="108" w:type="dxa"/>
          </w:tblCellMar>
        </w:tblPrEx>
        <w:trPr>
          <w:trHeight w:val="340"/>
        </w:trPr>
        <w:tc>
          <w:tcPr>
            <w:tcW w:w="1682" w:type="dxa"/>
            <w:tcBorders>
              <w:left w:val="nil"/>
              <w:bottom w:val="nil"/>
              <w:right w:val="nil"/>
            </w:tcBorders>
            <w:shd w:val="clear" w:color="auto" w:fill="E5E5E5" w:themeFill="background1" w:themeFillTint="33"/>
            <w:noWrap/>
            <w:vAlign w:val="center"/>
            <w:hideMark/>
          </w:tcPr>
          <w:p w14:paraId="52FCB08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2010</w:t>
            </w:r>
          </w:p>
        </w:tc>
        <w:tc>
          <w:tcPr>
            <w:tcW w:w="2869" w:type="dxa"/>
            <w:tcBorders>
              <w:left w:val="nil"/>
              <w:bottom w:val="nil"/>
              <w:right w:val="nil"/>
            </w:tcBorders>
            <w:shd w:val="clear" w:color="auto" w:fill="E5E5E5" w:themeFill="background1" w:themeFillTint="33"/>
            <w:noWrap/>
            <w:vAlign w:val="center"/>
            <w:hideMark/>
          </w:tcPr>
          <w:p w14:paraId="430DE2F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32.5</w:t>
            </w:r>
          </w:p>
        </w:tc>
        <w:tc>
          <w:tcPr>
            <w:tcW w:w="2290" w:type="dxa"/>
            <w:gridSpan w:val="2"/>
            <w:tcBorders>
              <w:left w:val="nil"/>
              <w:bottom w:val="nil"/>
              <w:right w:val="nil"/>
            </w:tcBorders>
            <w:shd w:val="clear" w:color="auto" w:fill="E5E5E5" w:themeFill="background1" w:themeFillTint="33"/>
            <w:noWrap/>
            <w:vAlign w:val="center"/>
            <w:hideMark/>
          </w:tcPr>
          <w:p w14:paraId="06C9247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95.1</w:t>
            </w:r>
          </w:p>
        </w:tc>
        <w:tc>
          <w:tcPr>
            <w:tcW w:w="2216" w:type="dxa"/>
            <w:tcBorders>
              <w:left w:val="nil"/>
              <w:bottom w:val="nil"/>
              <w:right w:val="nil"/>
            </w:tcBorders>
            <w:shd w:val="clear" w:color="auto" w:fill="E5E5E5" w:themeFill="background1" w:themeFillTint="33"/>
            <w:noWrap/>
            <w:vAlign w:val="center"/>
            <w:hideMark/>
          </w:tcPr>
          <w:p w14:paraId="6D88403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127.6</w:t>
            </w:r>
          </w:p>
        </w:tc>
      </w:tr>
      <w:tr w:rsidR="00961617" w:rsidRPr="00961617" w14:paraId="3983074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1669CAE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2010</w:t>
            </w:r>
          </w:p>
        </w:tc>
        <w:tc>
          <w:tcPr>
            <w:tcW w:w="2869" w:type="dxa"/>
            <w:tcBorders>
              <w:top w:val="nil"/>
              <w:left w:val="nil"/>
              <w:bottom w:val="nil"/>
              <w:right w:val="nil"/>
            </w:tcBorders>
            <w:shd w:val="clear" w:color="auto" w:fill="auto"/>
            <w:noWrap/>
            <w:vAlign w:val="center"/>
            <w:hideMark/>
          </w:tcPr>
          <w:p w14:paraId="739A18E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38.6</w:t>
            </w:r>
          </w:p>
        </w:tc>
        <w:tc>
          <w:tcPr>
            <w:tcW w:w="2290" w:type="dxa"/>
            <w:gridSpan w:val="2"/>
            <w:tcBorders>
              <w:top w:val="nil"/>
              <w:left w:val="nil"/>
              <w:bottom w:val="nil"/>
              <w:right w:val="nil"/>
            </w:tcBorders>
            <w:shd w:val="clear" w:color="auto" w:fill="auto"/>
            <w:noWrap/>
            <w:vAlign w:val="center"/>
            <w:hideMark/>
          </w:tcPr>
          <w:p w14:paraId="79BAEC2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98.3</w:t>
            </w:r>
          </w:p>
        </w:tc>
        <w:tc>
          <w:tcPr>
            <w:tcW w:w="2216" w:type="dxa"/>
            <w:tcBorders>
              <w:top w:val="nil"/>
              <w:left w:val="nil"/>
              <w:bottom w:val="nil"/>
              <w:right w:val="nil"/>
            </w:tcBorders>
            <w:shd w:val="clear" w:color="auto" w:fill="auto"/>
            <w:noWrap/>
            <w:vAlign w:val="center"/>
            <w:hideMark/>
          </w:tcPr>
          <w:p w14:paraId="1301721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136.9</w:t>
            </w:r>
          </w:p>
        </w:tc>
      </w:tr>
      <w:tr w:rsidR="00961617" w:rsidRPr="00961617" w14:paraId="0FA76BD4"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72BAA1E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April 2010</w:t>
            </w:r>
          </w:p>
        </w:tc>
        <w:tc>
          <w:tcPr>
            <w:tcW w:w="2869" w:type="dxa"/>
            <w:tcBorders>
              <w:top w:val="nil"/>
              <w:left w:val="nil"/>
              <w:bottom w:val="nil"/>
              <w:right w:val="nil"/>
            </w:tcBorders>
            <w:shd w:val="clear" w:color="auto" w:fill="E5E5E5" w:themeFill="background1" w:themeFillTint="33"/>
            <w:noWrap/>
            <w:vAlign w:val="center"/>
            <w:hideMark/>
          </w:tcPr>
          <w:p w14:paraId="7CE211D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43.6</w:t>
            </w:r>
          </w:p>
        </w:tc>
        <w:tc>
          <w:tcPr>
            <w:tcW w:w="2290" w:type="dxa"/>
            <w:gridSpan w:val="2"/>
            <w:tcBorders>
              <w:top w:val="nil"/>
              <w:left w:val="nil"/>
              <w:bottom w:val="nil"/>
              <w:right w:val="nil"/>
            </w:tcBorders>
            <w:shd w:val="clear" w:color="auto" w:fill="E5E5E5" w:themeFill="background1" w:themeFillTint="33"/>
            <w:noWrap/>
            <w:vAlign w:val="center"/>
            <w:hideMark/>
          </w:tcPr>
          <w:p w14:paraId="07D2D60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96.4</w:t>
            </w:r>
          </w:p>
        </w:tc>
        <w:tc>
          <w:tcPr>
            <w:tcW w:w="2216" w:type="dxa"/>
            <w:tcBorders>
              <w:top w:val="nil"/>
              <w:left w:val="nil"/>
              <w:bottom w:val="nil"/>
              <w:right w:val="nil"/>
            </w:tcBorders>
            <w:shd w:val="clear" w:color="auto" w:fill="E5E5E5" w:themeFill="background1" w:themeFillTint="33"/>
            <w:noWrap/>
            <w:vAlign w:val="center"/>
            <w:hideMark/>
          </w:tcPr>
          <w:p w14:paraId="3E6A50B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140.0</w:t>
            </w:r>
          </w:p>
        </w:tc>
      </w:tr>
      <w:tr w:rsidR="00961617" w:rsidRPr="00961617" w14:paraId="670C1911"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4E0545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May 2010</w:t>
            </w:r>
          </w:p>
        </w:tc>
        <w:tc>
          <w:tcPr>
            <w:tcW w:w="2869" w:type="dxa"/>
            <w:tcBorders>
              <w:top w:val="nil"/>
              <w:left w:val="nil"/>
              <w:bottom w:val="nil"/>
              <w:right w:val="nil"/>
            </w:tcBorders>
            <w:shd w:val="clear" w:color="auto" w:fill="auto"/>
            <w:noWrap/>
            <w:vAlign w:val="center"/>
            <w:hideMark/>
          </w:tcPr>
          <w:p w14:paraId="4D1093E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48.9</w:t>
            </w:r>
          </w:p>
        </w:tc>
        <w:tc>
          <w:tcPr>
            <w:tcW w:w="2290" w:type="dxa"/>
            <w:gridSpan w:val="2"/>
            <w:tcBorders>
              <w:top w:val="nil"/>
              <w:left w:val="nil"/>
              <w:bottom w:val="nil"/>
              <w:right w:val="nil"/>
            </w:tcBorders>
            <w:shd w:val="clear" w:color="auto" w:fill="auto"/>
            <w:noWrap/>
            <w:vAlign w:val="center"/>
            <w:hideMark/>
          </w:tcPr>
          <w:p w14:paraId="1005E56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99.9</w:t>
            </w:r>
          </w:p>
        </w:tc>
        <w:tc>
          <w:tcPr>
            <w:tcW w:w="2216" w:type="dxa"/>
            <w:tcBorders>
              <w:top w:val="nil"/>
              <w:left w:val="nil"/>
              <w:bottom w:val="nil"/>
              <w:right w:val="nil"/>
            </w:tcBorders>
            <w:shd w:val="clear" w:color="auto" w:fill="auto"/>
            <w:noWrap/>
            <w:vAlign w:val="center"/>
            <w:hideMark/>
          </w:tcPr>
          <w:p w14:paraId="4D3E388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148.8</w:t>
            </w:r>
          </w:p>
        </w:tc>
      </w:tr>
      <w:tr w:rsidR="00961617" w:rsidRPr="00961617" w14:paraId="7076513B"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562A829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2010</w:t>
            </w:r>
          </w:p>
        </w:tc>
        <w:tc>
          <w:tcPr>
            <w:tcW w:w="2869" w:type="dxa"/>
            <w:tcBorders>
              <w:top w:val="nil"/>
              <w:left w:val="nil"/>
              <w:bottom w:val="nil"/>
              <w:right w:val="nil"/>
            </w:tcBorders>
            <w:shd w:val="clear" w:color="auto" w:fill="E5E5E5" w:themeFill="background1" w:themeFillTint="33"/>
            <w:noWrap/>
            <w:vAlign w:val="center"/>
            <w:hideMark/>
          </w:tcPr>
          <w:p w14:paraId="37E06D1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55.5</w:t>
            </w:r>
          </w:p>
        </w:tc>
        <w:tc>
          <w:tcPr>
            <w:tcW w:w="2290" w:type="dxa"/>
            <w:gridSpan w:val="2"/>
            <w:tcBorders>
              <w:top w:val="nil"/>
              <w:left w:val="nil"/>
              <w:bottom w:val="nil"/>
              <w:right w:val="nil"/>
            </w:tcBorders>
            <w:shd w:val="clear" w:color="auto" w:fill="E5E5E5" w:themeFill="background1" w:themeFillTint="33"/>
            <w:noWrap/>
            <w:vAlign w:val="center"/>
            <w:hideMark/>
          </w:tcPr>
          <w:p w14:paraId="37C4DDF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99.1</w:t>
            </w:r>
          </w:p>
        </w:tc>
        <w:tc>
          <w:tcPr>
            <w:tcW w:w="2216" w:type="dxa"/>
            <w:tcBorders>
              <w:top w:val="nil"/>
              <w:left w:val="nil"/>
              <w:bottom w:val="nil"/>
              <w:right w:val="nil"/>
            </w:tcBorders>
            <w:shd w:val="clear" w:color="auto" w:fill="E5E5E5" w:themeFill="background1" w:themeFillTint="33"/>
            <w:noWrap/>
            <w:vAlign w:val="center"/>
            <w:hideMark/>
          </w:tcPr>
          <w:p w14:paraId="1684672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154.6</w:t>
            </w:r>
          </w:p>
        </w:tc>
      </w:tr>
      <w:tr w:rsidR="00961617" w:rsidRPr="00961617" w14:paraId="1316C1DA"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6172D43"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 xml:space="preserve"> July 2010</w:t>
            </w:r>
          </w:p>
        </w:tc>
        <w:tc>
          <w:tcPr>
            <w:tcW w:w="2869" w:type="dxa"/>
            <w:tcBorders>
              <w:top w:val="nil"/>
              <w:left w:val="nil"/>
              <w:bottom w:val="nil"/>
              <w:right w:val="nil"/>
            </w:tcBorders>
            <w:shd w:val="clear" w:color="auto" w:fill="auto"/>
            <w:noWrap/>
            <w:vAlign w:val="center"/>
            <w:hideMark/>
          </w:tcPr>
          <w:p w14:paraId="42301B5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58.6</w:t>
            </w:r>
          </w:p>
        </w:tc>
        <w:tc>
          <w:tcPr>
            <w:tcW w:w="2290" w:type="dxa"/>
            <w:gridSpan w:val="2"/>
            <w:tcBorders>
              <w:top w:val="nil"/>
              <w:left w:val="nil"/>
              <w:bottom w:val="nil"/>
              <w:right w:val="nil"/>
            </w:tcBorders>
            <w:shd w:val="clear" w:color="auto" w:fill="auto"/>
            <w:noWrap/>
            <w:vAlign w:val="center"/>
            <w:hideMark/>
          </w:tcPr>
          <w:p w14:paraId="4A9499D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95.1</w:t>
            </w:r>
          </w:p>
        </w:tc>
        <w:tc>
          <w:tcPr>
            <w:tcW w:w="2216" w:type="dxa"/>
            <w:tcBorders>
              <w:top w:val="nil"/>
              <w:left w:val="nil"/>
              <w:bottom w:val="nil"/>
              <w:right w:val="nil"/>
            </w:tcBorders>
            <w:shd w:val="clear" w:color="auto" w:fill="auto"/>
            <w:noWrap/>
            <w:vAlign w:val="center"/>
            <w:hideMark/>
          </w:tcPr>
          <w:p w14:paraId="41DE956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153.7</w:t>
            </w:r>
          </w:p>
        </w:tc>
      </w:tr>
      <w:tr w:rsidR="00961617" w:rsidRPr="00961617" w14:paraId="71880576"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6B17807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August 2010</w:t>
            </w:r>
          </w:p>
        </w:tc>
        <w:tc>
          <w:tcPr>
            <w:tcW w:w="2869" w:type="dxa"/>
            <w:tcBorders>
              <w:top w:val="nil"/>
              <w:left w:val="nil"/>
              <w:bottom w:val="nil"/>
              <w:right w:val="nil"/>
            </w:tcBorders>
            <w:shd w:val="clear" w:color="auto" w:fill="E5E5E5" w:themeFill="background1" w:themeFillTint="33"/>
            <w:noWrap/>
            <w:vAlign w:val="center"/>
            <w:hideMark/>
          </w:tcPr>
          <w:p w14:paraId="7FA83EE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62.9</w:t>
            </w:r>
          </w:p>
        </w:tc>
        <w:tc>
          <w:tcPr>
            <w:tcW w:w="2290" w:type="dxa"/>
            <w:gridSpan w:val="2"/>
            <w:tcBorders>
              <w:top w:val="nil"/>
              <w:left w:val="nil"/>
              <w:bottom w:val="nil"/>
              <w:right w:val="nil"/>
            </w:tcBorders>
            <w:shd w:val="clear" w:color="auto" w:fill="E5E5E5" w:themeFill="background1" w:themeFillTint="33"/>
            <w:noWrap/>
            <w:vAlign w:val="center"/>
            <w:hideMark/>
          </w:tcPr>
          <w:p w14:paraId="74811C12"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93.8</w:t>
            </w:r>
          </w:p>
        </w:tc>
        <w:tc>
          <w:tcPr>
            <w:tcW w:w="2216" w:type="dxa"/>
            <w:tcBorders>
              <w:top w:val="nil"/>
              <w:left w:val="nil"/>
              <w:bottom w:val="nil"/>
              <w:right w:val="nil"/>
            </w:tcBorders>
            <w:shd w:val="clear" w:color="auto" w:fill="E5E5E5" w:themeFill="background1" w:themeFillTint="33"/>
            <w:noWrap/>
            <w:vAlign w:val="center"/>
            <w:hideMark/>
          </w:tcPr>
          <w:p w14:paraId="181ED2C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156.7</w:t>
            </w:r>
          </w:p>
        </w:tc>
      </w:tr>
      <w:tr w:rsidR="00961617" w:rsidRPr="00961617" w14:paraId="1E8DF367"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A46676C"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2010</w:t>
            </w:r>
          </w:p>
        </w:tc>
        <w:tc>
          <w:tcPr>
            <w:tcW w:w="2869" w:type="dxa"/>
            <w:tcBorders>
              <w:top w:val="nil"/>
              <w:left w:val="nil"/>
              <w:bottom w:val="nil"/>
              <w:right w:val="nil"/>
            </w:tcBorders>
            <w:shd w:val="clear" w:color="auto" w:fill="auto"/>
            <w:noWrap/>
            <w:vAlign w:val="center"/>
            <w:hideMark/>
          </w:tcPr>
          <w:p w14:paraId="49FA4EE9"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64.5</w:t>
            </w:r>
          </w:p>
        </w:tc>
        <w:tc>
          <w:tcPr>
            <w:tcW w:w="2290" w:type="dxa"/>
            <w:gridSpan w:val="2"/>
            <w:tcBorders>
              <w:top w:val="nil"/>
              <w:left w:val="nil"/>
              <w:bottom w:val="nil"/>
              <w:right w:val="nil"/>
            </w:tcBorders>
            <w:shd w:val="clear" w:color="auto" w:fill="auto"/>
            <w:noWrap/>
            <w:vAlign w:val="center"/>
            <w:hideMark/>
          </w:tcPr>
          <w:p w14:paraId="22B20EB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92.9</w:t>
            </w:r>
          </w:p>
        </w:tc>
        <w:tc>
          <w:tcPr>
            <w:tcW w:w="2216" w:type="dxa"/>
            <w:tcBorders>
              <w:top w:val="nil"/>
              <w:left w:val="nil"/>
              <w:bottom w:val="nil"/>
              <w:right w:val="nil"/>
            </w:tcBorders>
            <w:shd w:val="clear" w:color="auto" w:fill="auto"/>
            <w:noWrap/>
            <w:vAlign w:val="center"/>
            <w:hideMark/>
          </w:tcPr>
          <w:p w14:paraId="23EB8D0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157.4</w:t>
            </w:r>
          </w:p>
        </w:tc>
      </w:tr>
      <w:tr w:rsidR="00961617" w:rsidRPr="00961617" w14:paraId="3A1B90A7"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6BF7030"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October 2010</w:t>
            </w:r>
          </w:p>
        </w:tc>
        <w:tc>
          <w:tcPr>
            <w:tcW w:w="2869" w:type="dxa"/>
            <w:tcBorders>
              <w:top w:val="nil"/>
              <w:left w:val="nil"/>
              <w:bottom w:val="nil"/>
              <w:right w:val="nil"/>
            </w:tcBorders>
            <w:shd w:val="clear" w:color="auto" w:fill="E5E5E5" w:themeFill="background1" w:themeFillTint="33"/>
            <w:noWrap/>
            <w:vAlign w:val="center"/>
            <w:hideMark/>
          </w:tcPr>
          <w:p w14:paraId="393FBD0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69.3</w:t>
            </w:r>
          </w:p>
        </w:tc>
        <w:tc>
          <w:tcPr>
            <w:tcW w:w="2290" w:type="dxa"/>
            <w:gridSpan w:val="2"/>
            <w:tcBorders>
              <w:top w:val="nil"/>
              <w:left w:val="nil"/>
              <w:bottom w:val="nil"/>
              <w:right w:val="nil"/>
            </w:tcBorders>
            <w:shd w:val="clear" w:color="auto" w:fill="E5E5E5" w:themeFill="background1" w:themeFillTint="33"/>
            <w:noWrap/>
            <w:vAlign w:val="center"/>
            <w:hideMark/>
          </w:tcPr>
          <w:p w14:paraId="5D42817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91.6</w:t>
            </w:r>
          </w:p>
        </w:tc>
        <w:tc>
          <w:tcPr>
            <w:tcW w:w="2216" w:type="dxa"/>
            <w:tcBorders>
              <w:top w:val="nil"/>
              <w:left w:val="nil"/>
              <w:bottom w:val="nil"/>
              <w:right w:val="nil"/>
            </w:tcBorders>
            <w:shd w:val="clear" w:color="auto" w:fill="E5E5E5" w:themeFill="background1" w:themeFillTint="33"/>
            <w:noWrap/>
            <w:vAlign w:val="center"/>
            <w:hideMark/>
          </w:tcPr>
          <w:p w14:paraId="5B6E861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160.9</w:t>
            </w:r>
          </w:p>
        </w:tc>
      </w:tr>
      <w:tr w:rsidR="00961617" w:rsidRPr="00961617" w14:paraId="1A2B1981"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4E891E2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November 2010</w:t>
            </w:r>
          </w:p>
        </w:tc>
        <w:tc>
          <w:tcPr>
            <w:tcW w:w="2869" w:type="dxa"/>
            <w:tcBorders>
              <w:top w:val="nil"/>
              <w:left w:val="nil"/>
              <w:bottom w:val="nil"/>
              <w:right w:val="nil"/>
            </w:tcBorders>
            <w:shd w:val="clear" w:color="auto" w:fill="auto"/>
            <w:noWrap/>
            <w:vAlign w:val="center"/>
            <w:hideMark/>
          </w:tcPr>
          <w:p w14:paraId="7D567C9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73.8</w:t>
            </w:r>
          </w:p>
        </w:tc>
        <w:tc>
          <w:tcPr>
            <w:tcW w:w="2290" w:type="dxa"/>
            <w:gridSpan w:val="2"/>
            <w:tcBorders>
              <w:top w:val="nil"/>
              <w:left w:val="nil"/>
              <w:bottom w:val="nil"/>
              <w:right w:val="nil"/>
            </w:tcBorders>
            <w:shd w:val="clear" w:color="auto" w:fill="auto"/>
            <w:noWrap/>
            <w:vAlign w:val="center"/>
            <w:hideMark/>
          </w:tcPr>
          <w:p w14:paraId="79F645B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91.7</w:t>
            </w:r>
          </w:p>
        </w:tc>
        <w:tc>
          <w:tcPr>
            <w:tcW w:w="2216" w:type="dxa"/>
            <w:tcBorders>
              <w:top w:val="nil"/>
              <w:left w:val="nil"/>
              <w:bottom w:val="nil"/>
              <w:right w:val="nil"/>
            </w:tcBorders>
            <w:shd w:val="clear" w:color="auto" w:fill="auto"/>
            <w:noWrap/>
            <w:vAlign w:val="center"/>
            <w:hideMark/>
          </w:tcPr>
          <w:p w14:paraId="77DDFC7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165.6</w:t>
            </w:r>
          </w:p>
        </w:tc>
      </w:tr>
      <w:tr w:rsidR="00961617" w:rsidRPr="00961617" w14:paraId="661D163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027E2D3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2010</w:t>
            </w:r>
          </w:p>
        </w:tc>
        <w:tc>
          <w:tcPr>
            <w:tcW w:w="2869" w:type="dxa"/>
            <w:tcBorders>
              <w:top w:val="nil"/>
              <w:left w:val="nil"/>
              <w:bottom w:val="nil"/>
              <w:right w:val="nil"/>
            </w:tcBorders>
            <w:shd w:val="clear" w:color="auto" w:fill="E5E5E5" w:themeFill="background1" w:themeFillTint="33"/>
            <w:noWrap/>
            <w:vAlign w:val="center"/>
            <w:hideMark/>
          </w:tcPr>
          <w:p w14:paraId="3D99C8D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79.4</w:t>
            </w:r>
          </w:p>
        </w:tc>
        <w:tc>
          <w:tcPr>
            <w:tcW w:w="2290" w:type="dxa"/>
            <w:gridSpan w:val="2"/>
            <w:tcBorders>
              <w:top w:val="nil"/>
              <w:left w:val="nil"/>
              <w:bottom w:val="nil"/>
              <w:right w:val="nil"/>
            </w:tcBorders>
            <w:shd w:val="clear" w:color="auto" w:fill="E5E5E5" w:themeFill="background1" w:themeFillTint="33"/>
            <w:noWrap/>
            <w:vAlign w:val="center"/>
            <w:hideMark/>
          </w:tcPr>
          <w:p w14:paraId="4FBB820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93.1</w:t>
            </w:r>
          </w:p>
        </w:tc>
        <w:tc>
          <w:tcPr>
            <w:tcW w:w="2216" w:type="dxa"/>
            <w:tcBorders>
              <w:top w:val="nil"/>
              <w:left w:val="nil"/>
              <w:bottom w:val="nil"/>
              <w:right w:val="nil"/>
            </w:tcBorders>
            <w:shd w:val="clear" w:color="auto" w:fill="E5E5E5" w:themeFill="background1" w:themeFillTint="33"/>
            <w:noWrap/>
            <w:vAlign w:val="center"/>
            <w:hideMark/>
          </w:tcPr>
          <w:p w14:paraId="6777484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172.5</w:t>
            </w:r>
          </w:p>
        </w:tc>
      </w:tr>
      <w:tr w:rsidR="00961617" w:rsidRPr="00961617" w14:paraId="3603145D"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4EB672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2011</w:t>
            </w:r>
          </w:p>
        </w:tc>
        <w:tc>
          <w:tcPr>
            <w:tcW w:w="2869" w:type="dxa"/>
            <w:tcBorders>
              <w:top w:val="nil"/>
              <w:left w:val="nil"/>
              <w:bottom w:val="nil"/>
              <w:right w:val="nil"/>
            </w:tcBorders>
            <w:shd w:val="clear" w:color="auto" w:fill="auto"/>
            <w:noWrap/>
            <w:vAlign w:val="center"/>
            <w:hideMark/>
          </w:tcPr>
          <w:p w14:paraId="55E0E4B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78.9</w:t>
            </w:r>
          </w:p>
        </w:tc>
        <w:tc>
          <w:tcPr>
            <w:tcW w:w="2290" w:type="dxa"/>
            <w:gridSpan w:val="2"/>
            <w:tcBorders>
              <w:top w:val="nil"/>
              <w:left w:val="nil"/>
              <w:bottom w:val="nil"/>
              <w:right w:val="nil"/>
            </w:tcBorders>
            <w:shd w:val="clear" w:color="auto" w:fill="auto"/>
            <w:noWrap/>
            <w:vAlign w:val="center"/>
            <w:hideMark/>
          </w:tcPr>
          <w:p w14:paraId="2FB3E88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93.2</w:t>
            </w:r>
          </w:p>
        </w:tc>
        <w:tc>
          <w:tcPr>
            <w:tcW w:w="2216" w:type="dxa"/>
            <w:tcBorders>
              <w:top w:val="nil"/>
              <w:left w:val="nil"/>
              <w:bottom w:val="nil"/>
              <w:right w:val="nil"/>
            </w:tcBorders>
            <w:shd w:val="clear" w:color="auto" w:fill="auto"/>
            <w:noWrap/>
            <w:vAlign w:val="center"/>
            <w:hideMark/>
          </w:tcPr>
          <w:p w14:paraId="23EC298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172.1</w:t>
            </w:r>
          </w:p>
        </w:tc>
      </w:tr>
      <w:tr w:rsidR="00961617" w:rsidRPr="00961617" w14:paraId="3C439083"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F30FD3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2011</w:t>
            </w:r>
          </w:p>
        </w:tc>
        <w:tc>
          <w:tcPr>
            <w:tcW w:w="2869" w:type="dxa"/>
            <w:tcBorders>
              <w:top w:val="nil"/>
              <w:left w:val="nil"/>
              <w:bottom w:val="nil"/>
              <w:right w:val="nil"/>
            </w:tcBorders>
            <w:shd w:val="clear" w:color="auto" w:fill="E5E5E5" w:themeFill="background1" w:themeFillTint="33"/>
            <w:noWrap/>
            <w:vAlign w:val="center"/>
            <w:hideMark/>
          </w:tcPr>
          <w:p w14:paraId="056F012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75.5</w:t>
            </w:r>
          </w:p>
        </w:tc>
        <w:tc>
          <w:tcPr>
            <w:tcW w:w="2290" w:type="dxa"/>
            <w:gridSpan w:val="2"/>
            <w:tcBorders>
              <w:top w:val="nil"/>
              <w:left w:val="nil"/>
              <w:bottom w:val="nil"/>
              <w:right w:val="nil"/>
            </w:tcBorders>
            <w:shd w:val="clear" w:color="auto" w:fill="E5E5E5" w:themeFill="background1" w:themeFillTint="33"/>
            <w:noWrap/>
            <w:vAlign w:val="center"/>
            <w:hideMark/>
          </w:tcPr>
          <w:p w14:paraId="0E8AC972"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88.7</w:t>
            </w:r>
          </w:p>
        </w:tc>
        <w:tc>
          <w:tcPr>
            <w:tcW w:w="2216" w:type="dxa"/>
            <w:tcBorders>
              <w:top w:val="nil"/>
              <w:left w:val="nil"/>
              <w:bottom w:val="nil"/>
              <w:right w:val="nil"/>
            </w:tcBorders>
            <w:shd w:val="clear" w:color="auto" w:fill="E5E5E5" w:themeFill="background1" w:themeFillTint="33"/>
            <w:noWrap/>
            <w:vAlign w:val="center"/>
            <w:hideMark/>
          </w:tcPr>
          <w:p w14:paraId="7D5EE35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164.2</w:t>
            </w:r>
          </w:p>
        </w:tc>
      </w:tr>
      <w:tr w:rsidR="00961617" w:rsidRPr="00961617" w14:paraId="1A03EF8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70BD59F"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2011</w:t>
            </w:r>
          </w:p>
        </w:tc>
        <w:tc>
          <w:tcPr>
            <w:tcW w:w="2869" w:type="dxa"/>
            <w:tcBorders>
              <w:top w:val="nil"/>
              <w:left w:val="nil"/>
              <w:bottom w:val="nil"/>
              <w:right w:val="nil"/>
            </w:tcBorders>
            <w:shd w:val="clear" w:color="auto" w:fill="auto"/>
            <w:noWrap/>
            <w:vAlign w:val="center"/>
            <w:hideMark/>
          </w:tcPr>
          <w:p w14:paraId="6C0EFB0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71.7</w:t>
            </w:r>
          </w:p>
        </w:tc>
        <w:tc>
          <w:tcPr>
            <w:tcW w:w="2290" w:type="dxa"/>
            <w:gridSpan w:val="2"/>
            <w:tcBorders>
              <w:top w:val="nil"/>
              <w:left w:val="nil"/>
              <w:bottom w:val="nil"/>
              <w:right w:val="nil"/>
            </w:tcBorders>
            <w:shd w:val="clear" w:color="auto" w:fill="auto"/>
            <w:noWrap/>
            <w:vAlign w:val="center"/>
            <w:hideMark/>
          </w:tcPr>
          <w:p w14:paraId="15C1BD6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87.7</w:t>
            </w:r>
          </w:p>
        </w:tc>
        <w:tc>
          <w:tcPr>
            <w:tcW w:w="2216" w:type="dxa"/>
            <w:tcBorders>
              <w:top w:val="nil"/>
              <w:left w:val="nil"/>
              <w:bottom w:val="nil"/>
              <w:right w:val="nil"/>
            </w:tcBorders>
            <w:shd w:val="clear" w:color="auto" w:fill="auto"/>
            <w:noWrap/>
            <w:vAlign w:val="center"/>
            <w:hideMark/>
          </w:tcPr>
          <w:p w14:paraId="448AC06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159.4</w:t>
            </w:r>
          </w:p>
        </w:tc>
      </w:tr>
      <w:tr w:rsidR="00961617" w:rsidRPr="00961617" w14:paraId="75BD5A32"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40A070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April 2011</w:t>
            </w:r>
          </w:p>
        </w:tc>
        <w:tc>
          <w:tcPr>
            <w:tcW w:w="2869" w:type="dxa"/>
            <w:tcBorders>
              <w:top w:val="nil"/>
              <w:left w:val="nil"/>
              <w:bottom w:val="nil"/>
              <w:right w:val="nil"/>
            </w:tcBorders>
            <w:shd w:val="clear" w:color="auto" w:fill="E5E5E5" w:themeFill="background1" w:themeFillTint="33"/>
            <w:noWrap/>
            <w:vAlign w:val="center"/>
            <w:hideMark/>
          </w:tcPr>
          <w:p w14:paraId="2FBBAB3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70.6</w:t>
            </w:r>
          </w:p>
        </w:tc>
        <w:tc>
          <w:tcPr>
            <w:tcW w:w="2290" w:type="dxa"/>
            <w:gridSpan w:val="2"/>
            <w:tcBorders>
              <w:top w:val="nil"/>
              <w:left w:val="nil"/>
              <w:bottom w:val="nil"/>
              <w:right w:val="nil"/>
            </w:tcBorders>
            <w:shd w:val="clear" w:color="auto" w:fill="E5E5E5" w:themeFill="background1" w:themeFillTint="33"/>
            <w:noWrap/>
            <w:vAlign w:val="center"/>
            <w:hideMark/>
          </w:tcPr>
          <w:p w14:paraId="4DA3845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83.9</w:t>
            </w:r>
          </w:p>
        </w:tc>
        <w:tc>
          <w:tcPr>
            <w:tcW w:w="2216" w:type="dxa"/>
            <w:tcBorders>
              <w:top w:val="nil"/>
              <w:left w:val="nil"/>
              <w:bottom w:val="nil"/>
              <w:right w:val="nil"/>
            </w:tcBorders>
            <w:shd w:val="clear" w:color="auto" w:fill="E5E5E5" w:themeFill="background1" w:themeFillTint="33"/>
            <w:noWrap/>
            <w:vAlign w:val="center"/>
            <w:hideMark/>
          </w:tcPr>
          <w:p w14:paraId="1518DC0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154.5</w:t>
            </w:r>
          </w:p>
        </w:tc>
      </w:tr>
      <w:tr w:rsidR="00961617" w:rsidRPr="00961617" w14:paraId="79578618"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7C3A1AB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May 2011</w:t>
            </w:r>
          </w:p>
        </w:tc>
        <w:tc>
          <w:tcPr>
            <w:tcW w:w="2869" w:type="dxa"/>
            <w:tcBorders>
              <w:top w:val="nil"/>
              <w:left w:val="nil"/>
              <w:bottom w:val="nil"/>
              <w:right w:val="nil"/>
            </w:tcBorders>
            <w:shd w:val="clear" w:color="auto" w:fill="auto"/>
            <w:noWrap/>
            <w:vAlign w:val="center"/>
            <w:hideMark/>
          </w:tcPr>
          <w:p w14:paraId="5C1F9D5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75.8</w:t>
            </w:r>
          </w:p>
        </w:tc>
        <w:tc>
          <w:tcPr>
            <w:tcW w:w="2290" w:type="dxa"/>
            <w:gridSpan w:val="2"/>
            <w:tcBorders>
              <w:top w:val="nil"/>
              <w:left w:val="nil"/>
              <w:bottom w:val="nil"/>
              <w:right w:val="nil"/>
            </w:tcBorders>
            <w:shd w:val="clear" w:color="auto" w:fill="auto"/>
            <w:noWrap/>
            <w:vAlign w:val="center"/>
            <w:hideMark/>
          </w:tcPr>
          <w:p w14:paraId="43E4221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85.9</w:t>
            </w:r>
          </w:p>
        </w:tc>
        <w:tc>
          <w:tcPr>
            <w:tcW w:w="2216" w:type="dxa"/>
            <w:tcBorders>
              <w:top w:val="nil"/>
              <w:left w:val="nil"/>
              <w:bottom w:val="nil"/>
              <w:right w:val="nil"/>
            </w:tcBorders>
            <w:shd w:val="clear" w:color="auto" w:fill="auto"/>
            <w:noWrap/>
            <w:vAlign w:val="center"/>
            <w:hideMark/>
          </w:tcPr>
          <w:p w14:paraId="21FCC67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161.7</w:t>
            </w:r>
          </w:p>
        </w:tc>
      </w:tr>
      <w:tr w:rsidR="00961617" w:rsidRPr="00961617" w14:paraId="2C7165B3"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DC03B0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2011</w:t>
            </w:r>
          </w:p>
        </w:tc>
        <w:tc>
          <w:tcPr>
            <w:tcW w:w="2869" w:type="dxa"/>
            <w:tcBorders>
              <w:top w:val="nil"/>
              <w:left w:val="nil"/>
              <w:bottom w:val="nil"/>
              <w:right w:val="nil"/>
            </w:tcBorders>
            <w:shd w:val="clear" w:color="auto" w:fill="E5E5E5" w:themeFill="background1" w:themeFillTint="33"/>
            <w:noWrap/>
            <w:vAlign w:val="center"/>
            <w:hideMark/>
          </w:tcPr>
          <w:p w14:paraId="42A491F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80.7</w:t>
            </w:r>
          </w:p>
        </w:tc>
        <w:tc>
          <w:tcPr>
            <w:tcW w:w="2290" w:type="dxa"/>
            <w:gridSpan w:val="2"/>
            <w:tcBorders>
              <w:top w:val="nil"/>
              <w:left w:val="nil"/>
              <w:bottom w:val="nil"/>
              <w:right w:val="nil"/>
            </w:tcBorders>
            <w:shd w:val="clear" w:color="auto" w:fill="E5E5E5" w:themeFill="background1" w:themeFillTint="33"/>
            <w:noWrap/>
            <w:vAlign w:val="center"/>
            <w:hideMark/>
          </w:tcPr>
          <w:p w14:paraId="3E80B38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83.9</w:t>
            </w:r>
          </w:p>
        </w:tc>
        <w:tc>
          <w:tcPr>
            <w:tcW w:w="2216" w:type="dxa"/>
            <w:tcBorders>
              <w:top w:val="nil"/>
              <w:left w:val="nil"/>
              <w:bottom w:val="nil"/>
              <w:right w:val="nil"/>
            </w:tcBorders>
            <w:shd w:val="clear" w:color="auto" w:fill="E5E5E5" w:themeFill="background1" w:themeFillTint="33"/>
            <w:noWrap/>
            <w:vAlign w:val="center"/>
            <w:hideMark/>
          </w:tcPr>
          <w:p w14:paraId="6A752DF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164.6</w:t>
            </w:r>
          </w:p>
        </w:tc>
      </w:tr>
      <w:tr w:rsidR="00961617" w:rsidRPr="00961617" w14:paraId="32BD1652"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15575F5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July 2011</w:t>
            </w:r>
          </w:p>
        </w:tc>
        <w:tc>
          <w:tcPr>
            <w:tcW w:w="2869" w:type="dxa"/>
            <w:tcBorders>
              <w:top w:val="nil"/>
              <w:left w:val="nil"/>
              <w:bottom w:val="nil"/>
              <w:right w:val="nil"/>
            </w:tcBorders>
            <w:shd w:val="clear" w:color="auto" w:fill="auto"/>
            <w:noWrap/>
            <w:vAlign w:val="center"/>
            <w:hideMark/>
          </w:tcPr>
          <w:p w14:paraId="53F25CB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82.2</w:t>
            </w:r>
          </w:p>
        </w:tc>
        <w:tc>
          <w:tcPr>
            <w:tcW w:w="2290" w:type="dxa"/>
            <w:gridSpan w:val="2"/>
            <w:tcBorders>
              <w:top w:val="nil"/>
              <w:left w:val="nil"/>
              <w:bottom w:val="nil"/>
              <w:right w:val="nil"/>
            </w:tcBorders>
            <w:shd w:val="clear" w:color="auto" w:fill="auto"/>
            <w:noWrap/>
            <w:vAlign w:val="center"/>
            <w:hideMark/>
          </w:tcPr>
          <w:p w14:paraId="13DC6BF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84.5</w:t>
            </w:r>
          </w:p>
        </w:tc>
        <w:tc>
          <w:tcPr>
            <w:tcW w:w="2216" w:type="dxa"/>
            <w:tcBorders>
              <w:top w:val="nil"/>
              <w:left w:val="nil"/>
              <w:bottom w:val="nil"/>
              <w:right w:val="nil"/>
            </w:tcBorders>
            <w:shd w:val="clear" w:color="auto" w:fill="auto"/>
            <w:noWrap/>
            <w:vAlign w:val="center"/>
            <w:hideMark/>
          </w:tcPr>
          <w:p w14:paraId="0A27C4F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166.7</w:t>
            </w:r>
          </w:p>
        </w:tc>
      </w:tr>
      <w:tr w:rsidR="00961617" w:rsidRPr="00961617" w14:paraId="23B8F396"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1B0E1DA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August 2011</w:t>
            </w:r>
          </w:p>
        </w:tc>
        <w:tc>
          <w:tcPr>
            <w:tcW w:w="2869" w:type="dxa"/>
            <w:tcBorders>
              <w:top w:val="nil"/>
              <w:left w:val="nil"/>
              <w:bottom w:val="nil"/>
              <w:right w:val="nil"/>
            </w:tcBorders>
            <w:shd w:val="clear" w:color="auto" w:fill="E5E5E5" w:themeFill="background1" w:themeFillTint="33"/>
            <w:noWrap/>
            <w:vAlign w:val="center"/>
            <w:hideMark/>
          </w:tcPr>
          <w:p w14:paraId="07949605"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89.7</w:t>
            </w:r>
          </w:p>
        </w:tc>
        <w:tc>
          <w:tcPr>
            <w:tcW w:w="2290" w:type="dxa"/>
            <w:gridSpan w:val="2"/>
            <w:tcBorders>
              <w:top w:val="nil"/>
              <w:left w:val="nil"/>
              <w:bottom w:val="nil"/>
              <w:right w:val="nil"/>
            </w:tcBorders>
            <w:shd w:val="clear" w:color="auto" w:fill="E5E5E5" w:themeFill="background1" w:themeFillTint="33"/>
            <w:noWrap/>
            <w:vAlign w:val="center"/>
            <w:hideMark/>
          </w:tcPr>
          <w:p w14:paraId="6A4BE514"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83.3</w:t>
            </w:r>
          </w:p>
        </w:tc>
        <w:tc>
          <w:tcPr>
            <w:tcW w:w="2216" w:type="dxa"/>
            <w:tcBorders>
              <w:top w:val="nil"/>
              <w:left w:val="nil"/>
              <w:bottom w:val="nil"/>
              <w:right w:val="nil"/>
            </w:tcBorders>
            <w:shd w:val="clear" w:color="auto" w:fill="E5E5E5" w:themeFill="background1" w:themeFillTint="33"/>
            <w:noWrap/>
            <w:vAlign w:val="center"/>
            <w:hideMark/>
          </w:tcPr>
          <w:p w14:paraId="7CA010F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173.0</w:t>
            </w:r>
          </w:p>
        </w:tc>
      </w:tr>
      <w:tr w:rsidR="00961617" w:rsidRPr="00961617" w14:paraId="6C67B1D4"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965792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2011</w:t>
            </w:r>
          </w:p>
        </w:tc>
        <w:tc>
          <w:tcPr>
            <w:tcW w:w="2869" w:type="dxa"/>
            <w:tcBorders>
              <w:top w:val="nil"/>
              <w:left w:val="nil"/>
              <w:bottom w:val="nil"/>
              <w:right w:val="nil"/>
            </w:tcBorders>
            <w:shd w:val="clear" w:color="auto" w:fill="auto"/>
            <w:noWrap/>
            <w:vAlign w:val="center"/>
            <w:hideMark/>
          </w:tcPr>
          <w:p w14:paraId="14E61887"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83.3</w:t>
            </w:r>
          </w:p>
        </w:tc>
        <w:tc>
          <w:tcPr>
            <w:tcW w:w="2290" w:type="dxa"/>
            <w:gridSpan w:val="2"/>
            <w:tcBorders>
              <w:top w:val="nil"/>
              <w:left w:val="nil"/>
              <w:bottom w:val="nil"/>
              <w:right w:val="nil"/>
            </w:tcBorders>
            <w:shd w:val="clear" w:color="auto" w:fill="auto"/>
            <w:noWrap/>
            <w:vAlign w:val="center"/>
            <w:hideMark/>
          </w:tcPr>
          <w:p w14:paraId="5A47A57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81.1</w:t>
            </w:r>
          </w:p>
        </w:tc>
        <w:tc>
          <w:tcPr>
            <w:tcW w:w="2216" w:type="dxa"/>
            <w:tcBorders>
              <w:top w:val="nil"/>
              <w:left w:val="nil"/>
              <w:bottom w:val="nil"/>
              <w:right w:val="nil"/>
            </w:tcBorders>
            <w:shd w:val="clear" w:color="auto" w:fill="auto"/>
            <w:noWrap/>
            <w:vAlign w:val="center"/>
            <w:hideMark/>
          </w:tcPr>
          <w:p w14:paraId="09A3CFC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164.4</w:t>
            </w:r>
          </w:p>
        </w:tc>
      </w:tr>
      <w:tr w:rsidR="00961617" w:rsidRPr="00961617" w14:paraId="59710CCC"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611E015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October 2011</w:t>
            </w:r>
          </w:p>
        </w:tc>
        <w:tc>
          <w:tcPr>
            <w:tcW w:w="2869" w:type="dxa"/>
            <w:tcBorders>
              <w:top w:val="nil"/>
              <w:left w:val="nil"/>
              <w:bottom w:val="nil"/>
              <w:right w:val="nil"/>
            </w:tcBorders>
            <w:shd w:val="clear" w:color="auto" w:fill="E5E5E5" w:themeFill="background1" w:themeFillTint="33"/>
            <w:noWrap/>
            <w:vAlign w:val="center"/>
            <w:hideMark/>
          </w:tcPr>
          <w:p w14:paraId="5726FD4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85.4</w:t>
            </w:r>
          </w:p>
        </w:tc>
        <w:tc>
          <w:tcPr>
            <w:tcW w:w="2290" w:type="dxa"/>
            <w:gridSpan w:val="2"/>
            <w:tcBorders>
              <w:top w:val="nil"/>
              <w:left w:val="nil"/>
              <w:bottom w:val="nil"/>
              <w:right w:val="nil"/>
            </w:tcBorders>
            <w:shd w:val="clear" w:color="auto" w:fill="E5E5E5" w:themeFill="background1" w:themeFillTint="33"/>
            <w:noWrap/>
            <w:vAlign w:val="center"/>
            <w:hideMark/>
          </w:tcPr>
          <w:p w14:paraId="0DCEE13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81.2</w:t>
            </w:r>
          </w:p>
        </w:tc>
        <w:tc>
          <w:tcPr>
            <w:tcW w:w="2216" w:type="dxa"/>
            <w:tcBorders>
              <w:top w:val="nil"/>
              <w:left w:val="nil"/>
              <w:bottom w:val="nil"/>
              <w:right w:val="nil"/>
            </w:tcBorders>
            <w:shd w:val="clear" w:color="auto" w:fill="E5E5E5" w:themeFill="background1" w:themeFillTint="33"/>
            <w:noWrap/>
            <w:vAlign w:val="center"/>
            <w:hideMark/>
          </w:tcPr>
          <w:p w14:paraId="54A1ACD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166.6</w:t>
            </w:r>
          </w:p>
        </w:tc>
      </w:tr>
      <w:tr w:rsidR="00961617" w:rsidRPr="00961617" w14:paraId="0B918EA7"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6104D3A3"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November 2011</w:t>
            </w:r>
          </w:p>
        </w:tc>
        <w:tc>
          <w:tcPr>
            <w:tcW w:w="2869" w:type="dxa"/>
            <w:tcBorders>
              <w:top w:val="nil"/>
              <w:left w:val="nil"/>
              <w:bottom w:val="nil"/>
              <w:right w:val="nil"/>
            </w:tcBorders>
            <w:shd w:val="clear" w:color="auto" w:fill="auto"/>
            <w:noWrap/>
            <w:vAlign w:val="center"/>
            <w:hideMark/>
          </w:tcPr>
          <w:p w14:paraId="1137F2C7"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78.4</w:t>
            </w:r>
          </w:p>
        </w:tc>
        <w:tc>
          <w:tcPr>
            <w:tcW w:w="2290" w:type="dxa"/>
            <w:gridSpan w:val="2"/>
            <w:tcBorders>
              <w:top w:val="nil"/>
              <w:left w:val="nil"/>
              <w:bottom w:val="nil"/>
              <w:right w:val="nil"/>
            </w:tcBorders>
            <w:shd w:val="clear" w:color="auto" w:fill="auto"/>
            <w:noWrap/>
            <w:vAlign w:val="center"/>
            <w:hideMark/>
          </w:tcPr>
          <w:p w14:paraId="2A69789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79.0</w:t>
            </w:r>
          </w:p>
        </w:tc>
        <w:tc>
          <w:tcPr>
            <w:tcW w:w="2216" w:type="dxa"/>
            <w:tcBorders>
              <w:top w:val="nil"/>
              <w:left w:val="nil"/>
              <w:bottom w:val="nil"/>
              <w:right w:val="nil"/>
            </w:tcBorders>
            <w:shd w:val="clear" w:color="auto" w:fill="auto"/>
            <w:noWrap/>
            <w:vAlign w:val="center"/>
            <w:hideMark/>
          </w:tcPr>
          <w:p w14:paraId="2B44DAF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157.4</w:t>
            </w:r>
          </w:p>
        </w:tc>
      </w:tr>
      <w:tr w:rsidR="00961617" w:rsidRPr="00961617" w14:paraId="66CDD891"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6A1A4A5F"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2011</w:t>
            </w:r>
          </w:p>
        </w:tc>
        <w:tc>
          <w:tcPr>
            <w:tcW w:w="2869" w:type="dxa"/>
            <w:tcBorders>
              <w:top w:val="nil"/>
              <w:left w:val="nil"/>
              <w:bottom w:val="nil"/>
              <w:right w:val="nil"/>
            </w:tcBorders>
            <w:shd w:val="clear" w:color="auto" w:fill="E5E5E5" w:themeFill="background1" w:themeFillTint="33"/>
            <w:noWrap/>
            <w:vAlign w:val="center"/>
            <w:hideMark/>
          </w:tcPr>
          <w:p w14:paraId="0DA4171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79.0</w:t>
            </w:r>
          </w:p>
        </w:tc>
        <w:tc>
          <w:tcPr>
            <w:tcW w:w="2290" w:type="dxa"/>
            <w:gridSpan w:val="2"/>
            <w:tcBorders>
              <w:top w:val="nil"/>
              <w:left w:val="nil"/>
              <w:bottom w:val="nil"/>
              <w:right w:val="nil"/>
            </w:tcBorders>
            <w:shd w:val="clear" w:color="auto" w:fill="E5E5E5" w:themeFill="background1" w:themeFillTint="33"/>
            <w:noWrap/>
            <w:vAlign w:val="center"/>
            <w:hideMark/>
          </w:tcPr>
          <w:p w14:paraId="6B15F15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74.8</w:t>
            </w:r>
          </w:p>
        </w:tc>
        <w:tc>
          <w:tcPr>
            <w:tcW w:w="2216" w:type="dxa"/>
            <w:tcBorders>
              <w:top w:val="nil"/>
              <w:left w:val="nil"/>
              <w:bottom w:val="nil"/>
              <w:right w:val="nil"/>
            </w:tcBorders>
            <w:shd w:val="clear" w:color="auto" w:fill="E5E5E5" w:themeFill="background1" w:themeFillTint="33"/>
            <w:noWrap/>
            <w:vAlign w:val="center"/>
            <w:hideMark/>
          </w:tcPr>
          <w:p w14:paraId="43D894B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153.8</w:t>
            </w:r>
          </w:p>
        </w:tc>
      </w:tr>
      <w:tr w:rsidR="00961617" w:rsidRPr="00961617" w14:paraId="69A3893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1FA135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2012</w:t>
            </w:r>
          </w:p>
        </w:tc>
        <w:tc>
          <w:tcPr>
            <w:tcW w:w="2869" w:type="dxa"/>
            <w:tcBorders>
              <w:top w:val="nil"/>
              <w:left w:val="nil"/>
              <w:bottom w:val="nil"/>
              <w:right w:val="nil"/>
            </w:tcBorders>
            <w:shd w:val="clear" w:color="auto" w:fill="auto"/>
            <w:noWrap/>
            <w:vAlign w:val="center"/>
            <w:hideMark/>
          </w:tcPr>
          <w:p w14:paraId="71C489D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76.9</w:t>
            </w:r>
          </w:p>
        </w:tc>
        <w:tc>
          <w:tcPr>
            <w:tcW w:w="2290" w:type="dxa"/>
            <w:gridSpan w:val="2"/>
            <w:tcBorders>
              <w:top w:val="nil"/>
              <w:left w:val="nil"/>
              <w:bottom w:val="nil"/>
              <w:right w:val="nil"/>
            </w:tcBorders>
            <w:shd w:val="clear" w:color="auto" w:fill="auto"/>
            <w:noWrap/>
            <w:vAlign w:val="center"/>
            <w:hideMark/>
          </w:tcPr>
          <w:p w14:paraId="1BE97892"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75.9</w:t>
            </w:r>
          </w:p>
        </w:tc>
        <w:tc>
          <w:tcPr>
            <w:tcW w:w="2216" w:type="dxa"/>
            <w:tcBorders>
              <w:top w:val="nil"/>
              <w:left w:val="nil"/>
              <w:bottom w:val="nil"/>
              <w:right w:val="nil"/>
            </w:tcBorders>
            <w:shd w:val="clear" w:color="auto" w:fill="auto"/>
            <w:noWrap/>
            <w:vAlign w:val="center"/>
            <w:hideMark/>
          </w:tcPr>
          <w:p w14:paraId="66C333B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152.8</w:t>
            </w:r>
          </w:p>
        </w:tc>
      </w:tr>
      <w:tr w:rsidR="00961617" w:rsidRPr="00961617" w14:paraId="416C8FD6"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1D3AA0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2012</w:t>
            </w:r>
          </w:p>
        </w:tc>
        <w:tc>
          <w:tcPr>
            <w:tcW w:w="2869" w:type="dxa"/>
            <w:tcBorders>
              <w:top w:val="nil"/>
              <w:left w:val="nil"/>
              <w:bottom w:val="nil"/>
              <w:right w:val="nil"/>
            </w:tcBorders>
            <w:shd w:val="clear" w:color="auto" w:fill="E5E5E5" w:themeFill="background1" w:themeFillTint="33"/>
            <w:noWrap/>
            <w:vAlign w:val="center"/>
            <w:hideMark/>
          </w:tcPr>
          <w:p w14:paraId="702E4DA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70.0</w:t>
            </w:r>
          </w:p>
        </w:tc>
        <w:tc>
          <w:tcPr>
            <w:tcW w:w="2290" w:type="dxa"/>
            <w:gridSpan w:val="2"/>
            <w:tcBorders>
              <w:top w:val="nil"/>
              <w:left w:val="nil"/>
              <w:bottom w:val="nil"/>
              <w:right w:val="nil"/>
            </w:tcBorders>
            <w:shd w:val="clear" w:color="auto" w:fill="E5E5E5" w:themeFill="background1" w:themeFillTint="33"/>
            <w:noWrap/>
            <w:vAlign w:val="center"/>
            <w:hideMark/>
          </w:tcPr>
          <w:p w14:paraId="3B6585E3"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75.2</w:t>
            </w:r>
          </w:p>
        </w:tc>
        <w:tc>
          <w:tcPr>
            <w:tcW w:w="2216" w:type="dxa"/>
            <w:tcBorders>
              <w:top w:val="nil"/>
              <w:left w:val="nil"/>
              <w:bottom w:val="nil"/>
              <w:right w:val="nil"/>
            </w:tcBorders>
            <w:shd w:val="clear" w:color="auto" w:fill="E5E5E5" w:themeFill="background1" w:themeFillTint="33"/>
            <w:noWrap/>
            <w:vAlign w:val="center"/>
            <w:hideMark/>
          </w:tcPr>
          <w:p w14:paraId="40CE324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145.3</w:t>
            </w:r>
          </w:p>
        </w:tc>
      </w:tr>
      <w:tr w:rsidR="00961617" w:rsidRPr="00961617" w14:paraId="7D290D0A"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7CD6D2B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2012</w:t>
            </w:r>
          </w:p>
        </w:tc>
        <w:tc>
          <w:tcPr>
            <w:tcW w:w="2869" w:type="dxa"/>
            <w:tcBorders>
              <w:top w:val="nil"/>
              <w:left w:val="nil"/>
              <w:bottom w:val="nil"/>
              <w:right w:val="nil"/>
            </w:tcBorders>
            <w:shd w:val="clear" w:color="auto" w:fill="auto"/>
            <w:noWrap/>
            <w:vAlign w:val="center"/>
            <w:hideMark/>
          </w:tcPr>
          <w:p w14:paraId="585FA03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65.3</w:t>
            </w:r>
          </w:p>
        </w:tc>
        <w:tc>
          <w:tcPr>
            <w:tcW w:w="2290" w:type="dxa"/>
            <w:gridSpan w:val="2"/>
            <w:tcBorders>
              <w:top w:val="nil"/>
              <w:left w:val="nil"/>
              <w:bottom w:val="nil"/>
              <w:right w:val="nil"/>
            </w:tcBorders>
            <w:shd w:val="clear" w:color="auto" w:fill="auto"/>
            <w:noWrap/>
            <w:vAlign w:val="center"/>
            <w:hideMark/>
          </w:tcPr>
          <w:p w14:paraId="6792F623"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78.2</w:t>
            </w:r>
          </w:p>
        </w:tc>
        <w:tc>
          <w:tcPr>
            <w:tcW w:w="2216" w:type="dxa"/>
            <w:tcBorders>
              <w:top w:val="nil"/>
              <w:left w:val="nil"/>
              <w:bottom w:val="nil"/>
              <w:right w:val="nil"/>
            </w:tcBorders>
            <w:shd w:val="clear" w:color="auto" w:fill="auto"/>
            <w:noWrap/>
            <w:vAlign w:val="center"/>
            <w:hideMark/>
          </w:tcPr>
          <w:p w14:paraId="0BF97C7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143.4</w:t>
            </w:r>
          </w:p>
        </w:tc>
      </w:tr>
      <w:tr w:rsidR="00961617" w:rsidRPr="00961617" w14:paraId="42B04851"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AE625B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April 2012</w:t>
            </w:r>
          </w:p>
        </w:tc>
        <w:tc>
          <w:tcPr>
            <w:tcW w:w="2869" w:type="dxa"/>
            <w:tcBorders>
              <w:top w:val="nil"/>
              <w:left w:val="nil"/>
              <w:bottom w:val="nil"/>
              <w:right w:val="nil"/>
            </w:tcBorders>
            <w:shd w:val="clear" w:color="auto" w:fill="E5E5E5" w:themeFill="background1" w:themeFillTint="33"/>
            <w:noWrap/>
            <w:vAlign w:val="center"/>
            <w:hideMark/>
          </w:tcPr>
          <w:p w14:paraId="5A423C6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60.4</w:t>
            </w:r>
          </w:p>
        </w:tc>
        <w:tc>
          <w:tcPr>
            <w:tcW w:w="2290" w:type="dxa"/>
            <w:gridSpan w:val="2"/>
            <w:tcBorders>
              <w:top w:val="nil"/>
              <w:left w:val="nil"/>
              <w:bottom w:val="nil"/>
              <w:right w:val="nil"/>
            </w:tcBorders>
            <w:shd w:val="clear" w:color="auto" w:fill="E5E5E5" w:themeFill="background1" w:themeFillTint="33"/>
            <w:noWrap/>
            <w:vAlign w:val="center"/>
            <w:hideMark/>
          </w:tcPr>
          <w:p w14:paraId="3A13B0C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75.5</w:t>
            </w:r>
          </w:p>
        </w:tc>
        <w:tc>
          <w:tcPr>
            <w:tcW w:w="2216" w:type="dxa"/>
            <w:tcBorders>
              <w:top w:val="nil"/>
              <w:left w:val="nil"/>
              <w:bottom w:val="nil"/>
              <w:right w:val="nil"/>
            </w:tcBorders>
            <w:shd w:val="clear" w:color="auto" w:fill="E5E5E5" w:themeFill="background1" w:themeFillTint="33"/>
            <w:noWrap/>
            <w:vAlign w:val="center"/>
            <w:hideMark/>
          </w:tcPr>
          <w:p w14:paraId="2071A414"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135.9</w:t>
            </w:r>
          </w:p>
        </w:tc>
      </w:tr>
      <w:tr w:rsidR="00961617" w:rsidRPr="00961617" w14:paraId="2E954BB9"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7FD315F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May 2012</w:t>
            </w:r>
          </w:p>
        </w:tc>
        <w:tc>
          <w:tcPr>
            <w:tcW w:w="2869" w:type="dxa"/>
            <w:tcBorders>
              <w:top w:val="nil"/>
              <w:left w:val="nil"/>
              <w:bottom w:val="nil"/>
              <w:right w:val="nil"/>
            </w:tcBorders>
            <w:shd w:val="clear" w:color="auto" w:fill="auto"/>
            <w:noWrap/>
            <w:vAlign w:val="center"/>
            <w:hideMark/>
          </w:tcPr>
          <w:p w14:paraId="5FFF0DC1"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60.7</w:t>
            </w:r>
          </w:p>
        </w:tc>
        <w:tc>
          <w:tcPr>
            <w:tcW w:w="2290" w:type="dxa"/>
            <w:gridSpan w:val="2"/>
            <w:tcBorders>
              <w:top w:val="nil"/>
              <w:left w:val="nil"/>
              <w:bottom w:val="nil"/>
              <w:right w:val="nil"/>
            </w:tcBorders>
            <w:shd w:val="clear" w:color="auto" w:fill="auto"/>
            <w:noWrap/>
            <w:vAlign w:val="center"/>
            <w:hideMark/>
          </w:tcPr>
          <w:p w14:paraId="56BFA1B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78.3</w:t>
            </w:r>
          </w:p>
        </w:tc>
        <w:tc>
          <w:tcPr>
            <w:tcW w:w="2216" w:type="dxa"/>
            <w:tcBorders>
              <w:top w:val="nil"/>
              <w:left w:val="nil"/>
              <w:bottom w:val="nil"/>
              <w:right w:val="nil"/>
            </w:tcBorders>
            <w:shd w:val="clear" w:color="auto" w:fill="auto"/>
            <w:noWrap/>
            <w:vAlign w:val="center"/>
            <w:hideMark/>
          </w:tcPr>
          <w:p w14:paraId="10ABEC4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139.0</w:t>
            </w:r>
          </w:p>
        </w:tc>
      </w:tr>
      <w:tr w:rsidR="00961617" w:rsidRPr="00961617" w14:paraId="2A3C4FBE"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3086B473"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2012</w:t>
            </w:r>
          </w:p>
        </w:tc>
        <w:tc>
          <w:tcPr>
            <w:tcW w:w="2869" w:type="dxa"/>
            <w:tcBorders>
              <w:top w:val="nil"/>
              <w:left w:val="nil"/>
              <w:bottom w:val="nil"/>
              <w:right w:val="nil"/>
            </w:tcBorders>
            <w:shd w:val="clear" w:color="auto" w:fill="E5E5E5" w:themeFill="background1" w:themeFillTint="33"/>
            <w:noWrap/>
            <w:vAlign w:val="center"/>
            <w:hideMark/>
          </w:tcPr>
          <w:p w14:paraId="3AC57B1E"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61.8</w:t>
            </w:r>
          </w:p>
        </w:tc>
        <w:tc>
          <w:tcPr>
            <w:tcW w:w="2290" w:type="dxa"/>
            <w:gridSpan w:val="2"/>
            <w:tcBorders>
              <w:top w:val="nil"/>
              <w:left w:val="nil"/>
              <w:bottom w:val="nil"/>
              <w:right w:val="nil"/>
            </w:tcBorders>
            <w:shd w:val="clear" w:color="auto" w:fill="E5E5E5" w:themeFill="background1" w:themeFillTint="33"/>
            <w:noWrap/>
            <w:vAlign w:val="center"/>
            <w:hideMark/>
          </w:tcPr>
          <w:p w14:paraId="4510F17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76.6</w:t>
            </w:r>
          </w:p>
        </w:tc>
        <w:tc>
          <w:tcPr>
            <w:tcW w:w="2216" w:type="dxa"/>
            <w:tcBorders>
              <w:top w:val="nil"/>
              <w:left w:val="nil"/>
              <w:bottom w:val="nil"/>
              <w:right w:val="nil"/>
            </w:tcBorders>
            <w:shd w:val="clear" w:color="auto" w:fill="E5E5E5" w:themeFill="background1" w:themeFillTint="33"/>
            <w:noWrap/>
            <w:vAlign w:val="center"/>
            <w:hideMark/>
          </w:tcPr>
          <w:p w14:paraId="360CF5B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138.4</w:t>
            </w:r>
          </w:p>
        </w:tc>
      </w:tr>
      <w:tr w:rsidR="00961617" w:rsidRPr="00961617" w14:paraId="540984B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66CBFE11"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July 2012</w:t>
            </w:r>
          </w:p>
        </w:tc>
        <w:tc>
          <w:tcPr>
            <w:tcW w:w="2869" w:type="dxa"/>
            <w:tcBorders>
              <w:top w:val="nil"/>
              <w:left w:val="nil"/>
              <w:bottom w:val="nil"/>
              <w:right w:val="nil"/>
            </w:tcBorders>
            <w:shd w:val="clear" w:color="auto" w:fill="auto"/>
            <w:noWrap/>
            <w:vAlign w:val="center"/>
            <w:hideMark/>
          </w:tcPr>
          <w:p w14:paraId="3ADECE6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61.6</w:t>
            </w:r>
          </w:p>
        </w:tc>
        <w:tc>
          <w:tcPr>
            <w:tcW w:w="2290" w:type="dxa"/>
            <w:gridSpan w:val="2"/>
            <w:tcBorders>
              <w:top w:val="nil"/>
              <w:left w:val="nil"/>
              <w:bottom w:val="nil"/>
              <w:right w:val="nil"/>
            </w:tcBorders>
            <w:shd w:val="clear" w:color="auto" w:fill="auto"/>
            <w:noWrap/>
            <w:vAlign w:val="center"/>
            <w:hideMark/>
          </w:tcPr>
          <w:p w14:paraId="10A14BC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74.0</w:t>
            </w:r>
          </w:p>
        </w:tc>
        <w:tc>
          <w:tcPr>
            <w:tcW w:w="2216" w:type="dxa"/>
            <w:tcBorders>
              <w:top w:val="nil"/>
              <w:left w:val="nil"/>
              <w:bottom w:val="nil"/>
              <w:right w:val="nil"/>
            </w:tcBorders>
            <w:shd w:val="clear" w:color="auto" w:fill="auto"/>
            <w:noWrap/>
            <w:vAlign w:val="center"/>
            <w:hideMark/>
          </w:tcPr>
          <w:p w14:paraId="16E46BD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135.6</w:t>
            </w:r>
          </w:p>
        </w:tc>
      </w:tr>
      <w:tr w:rsidR="00961617" w:rsidRPr="00961617" w14:paraId="4D2C582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0C36805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August 2012</w:t>
            </w:r>
          </w:p>
        </w:tc>
        <w:tc>
          <w:tcPr>
            <w:tcW w:w="2869" w:type="dxa"/>
            <w:tcBorders>
              <w:top w:val="nil"/>
              <w:left w:val="nil"/>
              <w:bottom w:val="nil"/>
              <w:right w:val="nil"/>
            </w:tcBorders>
            <w:shd w:val="clear" w:color="auto" w:fill="E5E5E5" w:themeFill="background1" w:themeFillTint="33"/>
            <w:noWrap/>
            <w:vAlign w:val="center"/>
            <w:hideMark/>
          </w:tcPr>
          <w:p w14:paraId="21E61AC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59.5</w:t>
            </w:r>
          </w:p>
        </w:tc>
        <w:tc>
          <w:tcPr>
            <w:tcW w:w="2290" w:type="dxa"/>
            <w:gridSpan w:val="2"/>
            <w:tcBorders>
              <w:top w:val="nil"/>
              <w:left w:val="nil"/>
              <w:bottom w:val="nil"/>
              <w:right w:val="nil"/>
            </w:tcBorders>
            <w:shd w:val="clear" w:color="auto" w:fill="E5E5E5" w:themeFill="background1" w:themeFillTint="33"/>
            <w:noWrap/>
            <w:vAlign w:val="center"/>
            <w:hideMark/>
          </w:tcPr>
          <w:p w14:paraId="139D9B8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67.7</w:t>
            </w:r>
          </w:p>
        </w:tc>
        <w:tc>
          <w:tcPr>
            <w:tcW w:w="2216" w:type="dxa"/>
            <w:tcBorders>
              <w:top w:val="nil"/>
              <w:left w:val="nil"/>
              <w:bottom w:val="nil"/>
              <w:right w:val="nil"/>
            </w:tcBorders>
            <w:shd w:val="clear" w:color="auto" w:fill="E5E5E5" w:themeFill="background1" w:themeFillTint="33"/>
            <w:noWrap/>
            <w:vAlign w:val="center"/>
            <w:hideMark/>
          </w:tcPr>
          <w:p w14:paraId="2064917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127.2</w:t>
            </w:r>
          </w:p>
        </w:tc>
      </w:tr>
      <w:tr w:rsidR="00961617" w:rsidRPr="00961617" w14:paraId="347AC73A"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393E50D8"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2012</w:t>
            </w:r>
          </w:p>
        </w:tc>
        <w:tc>
          <w:tcPr>
            <w:tcW w:w="2869" w:type="dxa"/>
            <w:tcBorders>
              <w:top w:val="nil"/>
              <w:left w:val="nil"/>
              <w:bottom w:val="nil"/>
              <w:right w:val="nil"/>
            </w:tcBorders>
            <w:shd w:val="clear" w:color="auto" w:fill="auto"/>
            <w:noWrap/>
            <w:vAlign w:val="center"/>
            <w:hideMark/>
          </w:tcPr>
          <w:p w14:paraId="26B03A4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56.8</w:t>
            </w:r>
          </w:p>
        </w:tc>
        <w:tc>
          <w:tcPr>
            <w:tcW w:w="2290" w:type="dxa"/>
            <w:gridSpan w:val="2"/>
            <w:tcBorders>
              <w:top w:val="nil"/>
              <w:left w:val="nil"/>
              <w:bottom w:val="nil"/>
              <w:right w:val="nil"/>
            </w:tcBorders>
            <w:shd w:val="clear" w:color="auto" w:fill="auto"/>
            <w:noWrap/>
            <w:vAlign w:val="center"/>
            <w:hideMark/>
          </w:tcPr>
          <w:p w14:paraId="51B9488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62.4</w:t>
            </w:r>
          </w:p>
        </w:tc>
        <w:tc>
          <w:tcPr>
            <w:tcW w:w="2216" w:type="dxa"/>
            <w:tcBorders>
              <w:top w:val="nil"/>
              <w:left w:val="nil"/>
              <w:bottom w:val="nil"/>
              <w:right w:val="nil"/>
            </w:tcBorders>
            <w:shd w:val="clear" w:color="auto" w:fill="auto"/>
            <w:noWrap/>
            <w:vAlign w:val="center"/>
            <w:hideMark/>
          </w:tcPr>
          <w:p w14:paraId="4C214C5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119.1</w:t>
            </w:r>
          </w:p>
        </w:tc>
      </w:tr>
      <w:tr w:rsidR="00961617" w:rsidRPr="00961617" w14:paraId="688BC9A7"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6539CE31"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October 2012</w:t>
            </w:r>
          </w:p>
        </w:tc>
        <w:tc>
          <w:tcPr>
            <w:tcW w:w="2869" w:type="dxa"/>
            <w:tcBorders>
              <w:top w:val="nil"/>
              <w:left w:val="nil"/>
              <w:bottom w:val="nil"/>
              <w:right w:val="nil"/>
            </w:tcBorders>
            <w:shd w:val="clear" w:color="auto" w:fill="E5E5E5" w:themeFill="background1" w:themeFillTint="33"/>
            <w:noWrap/>
            <w:vAlign w:val="center"/>
            <w:hideMark/>
          </w:tcPr>
          <w:p w14:paraId="75A80AA2"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57.0</w:t>
            </w:r>
          </w:p>
        </w:tc>
        <w:tc>
          <w:tcPr>
            <w:tcW w:w="2290" w:type="dxa"/>
            <w:gridSpan w:val="2"/>
            <w:tcBorders>
              <w:top w:val="nil"/>
              <w:left w:val="nil"/>
              <w:bottom w:val="nil"/>
              <w:right w:val="nil"/>
            </w:tcBorders>
            <w:shd w:val="clear" w:color="auto" w:fill="E5E5E5" w:themeFill="background1" w:themeFillTint="33"/>
            <w:noWrap/>
            <w:vAlign w:val="center"/>
            <w:hideMark/>
          </w:tcPr>
          <w:p w14:paraId="4AACEB14"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62.5</w:t>
            </w:r>
          </w:p>
        </w:tc>
        <w:tc>
          <w:tcPr>
            <w:tcW w:w="2216" w:type="dxa"/>
            <w:tcBorders>
              <w:top w:val="nil"/>
              <w:left w:val="nil"/>
              <w:bottom w:val="nil"/>
              <w:right w:val="nil"/>
            </w:tcBorders>
            <w:shd w:val="clear" w:color="auto" w:fill="E5E5E5" w:themeFill="background1" w:themeFillTint="33"/>
            <w:noWrap/>
            <w:vAlign w:val="center"/>
            <w:hideMark/>
          </w:tcPr>
          <w:p w14:paraId="66C32C6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119.5</w:t>
            </w:r>
          </w:p>
        </w:tc>
      </w:tr>
      <w:tr w:rsidR="00961617" w:rsidRPr="00961617" w14:paraId="7BDB5AC9"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55C40221"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November 2012</w:t>
            </w:r>
          </w:p>
        </w:tc>
        <w:tc>
          <w:tcPr>
            <w:tcW w:w="2869" w:type="dxa"/>
            <w:tcBorders>
              <w:top w:val="nil"/>
              <w:left w:val="nil"/>
              <w:bottom w:val="nil"/>
              <w:right w:val="nil"/>
            </w:tcBorders>
            <w:shd w:val="clear" w:color="auto" w:fill="auto"/>
            <w:noWrap/>
            <w:vAlign w:val="center"/>
            <w:hideMark/>
          </w:tcPr>
          <w:p w14:paraId="5B928C7F"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57.8</w:t>
            </w:r>
          </w:p>
        </w:tc>
        <w:tc>
          <w:tcPr>
            <w:tcW w:w="2290" w:type="dxa"/>
            <w:gridSpan w:val="2"/>
            <w:tcBorders>
              <w:top w:val="nil"/>
              <w:left w:val="nil"/>
              <w:bottom w:val="nil"/>
              <w:right w:val="nil"/>
            </w:tcBorders>
            <w:shd w:val="clear" w:color="auto" w:fill="auto"/>
            <w:noWrap/>
            <w:vAlign w:val="center"/>
            <w:hideMark/>
          </w:tcPr>
          <w:p w14:paraId="2024BC2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61.0</w:t>
            </w:r>
          </w:p>
        </w:tc>
        <w:tc>
          <w:tcPr>
            <w:tcW w:w="2216" w:type="dxa"/>
            <w:tcBorders>
              <w:top w:val="nil"/>
              <w:left w:val="nil"/>
              <w:bottom w:val="nil"/>
              <w:right w:val="nil"/>
            </w:tcBorders>
            <w:shd w:val="clear" w:color="auto" w:fill="auto"/>
            <w:noWrap/>
            <w:vAlign w:val="center"/>
            <w:hideMark/>
          </w:tcPr>
          <w:p w14:paraId="3C53F49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118.8</w:t>
            </w:r>
          </w:p>
        </w:tc>
      </w:tr>
      <w:tr w:rsidR="00961617" w:rsidRPr="00961617" w14:paraId="511BB2D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936BC9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2012</w:t>
            </w:r>
          </w:p>
        </w:tc>
        <w:tc>
          <w:tcPr>
            <w:tcW w:w="2869" w:type="dxa"/>
            <w:tcBorders>
              <w:top w:val="nil"/>
              <w:left w:val="nil"/>
              <w:bottom w:val="nil"/>
              <w:right w:val="nil"/>
            </w:tcBorders>
            <w:shd w:val="clear" w:color="auto" w:fill="E5E5E5" w:themeFill="background1" w:themeFillTint="33"/>
            <w:noWrap/>
            <w:vAlign w:val="center"/>
            <w:hideMark/>
          </w:tcPr>
          <w:p w14:paraId="33EECCF2"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55.0</w:t>
            </w:r>
          </w:p>
        </w:tc>
        <w:tc>
          <w:tcPr>
            <w:tcW w:w="2290" w:type="dxa"/>
            <w:gridSpan w:val="2"/>
            <w:tcBorders>
              <w:top w:val="nil"/>
              <w:left w:val="nil"/>
              <w:bottom w:val="nil"/>
              <w:right w:val="nil"/>
            </w:tcBorders>
            <w:shd w:val="clear" w:color="auto" w:fill="E5E5E5" w:themeFill="background1" w:themeFillTint="33"/>
            <w:noWrap/>
            <w:vAlign w:val="center"/>
            <w:hideMark/>
          </w:tcPr>
          <w:p w14:paraId="6B3927B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60.0</w:t>
            </w:r>
          </w:p>
        </w:tc>
        <w:tc>
          <w:tcPr>
            <w:tcW w:w="2216" w:type="dxa"/>
            <w:tcBorders>
              <w:top w:val="nil"/>
              <w:left w:val="nil"/>
              <w:bottom w:val="nil"/>
              <w:right w:val="nil"/>
            </w:tcBorders>
            <w:shd w:val="clear" w:color="auto" w:fill="E5E5E5" w:themeFill="background1" w:themeFillTint="33"/>
            <w:noWrap/>
            <w:vAlign w:val="center"/>
            <w:hideMark/>
          </w:tcPr>
          <w:p w14:paraId="0AB4B1F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115.0</w:t>
            </w:r>
          </w:p>
        </w:tc>
      </w:tr>
      <w:tr w:rsidR="00961617" w:rsidRPr="00961617" w14:paraId="3698F1AD"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EA88360"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2013</w:t>
            </w:r>
          </w:p>
        </w:tc>
        <w:tc>
          <w:tcPr>
            <w:tcW w:w="2869" w:type="dxa"/>
            <w:tcBorders>
              <w:top w:val="nil"/>
              <w:left w:val="nil"/>
              <w:bottom w:val="nil"/>
              <w:right w:val="nil"/>
            </w:tcBorders>
            <w:shd w:val="clear" w:color="auto" w:fill="auto"/>
            <w:noWrap/>
            <w:vAlign w:val="center"/>
            <w:hideMark/>
          </w:tcPr>
          <w:p w14:paraId="11C4C63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52.2</w:t>
            </w:r>
          </w:p>
        </w:tc>
        <w:tc>
          <w:tcPr>
            <w:tcW w:w="2290" w:type="dxa"/>
            <w:gridSpan w:val="2"/>
            <w:tcBorders>
              <w:top w:val="nil"/>
              <w:left w:val="nil"/>
              <w:bottom w:val="nil"/>
              <w:right w:val="nil"/>
            </w:tcBorders>
            <w:shd w:val="clear" w:color="auto" w:fill="auto"/>
            <w:noWrap/>
            <w:vAlign w:val="center"/>
            <w:hideMark/>
          </w:tcPr>
          <w:p w14:paraId="44F57C6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60.8</w:t>
            </w:r>
          </w:p>
        </w:tc>
        <w:tc>
          <w:tcPr>
            <w:tcW w:w="2216" w:type="dxa"/>
            <w:tcBorders>
              <w:top w:val="nil"/>
              <w:left w:val="nil"/>
              <w:bottom w:val="nil"/>
              <w:right w:val="nil"/>
            </w:tcBorders>
            <w:shd w:val="clear" w:color="auto" w:fill="auto"/>
            <w:noWrap/>
            <w:vAlign w:val="center"/>
            <w:hideMark/>
          </w:tcPr>
          <w:p w14:paraId="18B36E3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112.9</w:t>
            </w:r>
          </w:p>
        </w:tc>
      </w:tr>
      <w:tr w:rsidR="00961617" w:rsidRPr="00961617" w14:paraId="4FC3BEE8"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247C59AF"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2013</w:t>
            </w:r>
          </w:p>
        </w:tc>
        <w:tc>
          <w:tcPr>
            <w:tcW w:w="2869" w:type="dxa"/>
            <w:tcBorders>
              <w:top w:val="nil"/>
              <w:left w:val="nil"/>
              <w:bottom w:val="nil"/>
              <w:right w:val="nil"/>
            </w:tcBorders>
            <w:shd w:val="clear" w:color="auto" w:fill="E5E5E5" w:themeFill="background1" w:themeFillTint="33"/>
            <w:noWrap/>
            <w:vAlign w:val="center"/>
            <w:hideMark/>
          </w:tcPr>
          <w:p w14:paraId="51894E4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44.4</w:t>
            </w:r>
          </w:p>
        </w:tc>
        <w:tc>
          <w:tcPr>
            <w:tcW w:w="2290" w:type="dxa"/>
            <w:gridSpan w:val="2"/>
            <w:tcBorders>
              <w:top w:val="nil"/>
              <w:left w:val="nil"/>
              <w:bottom w:val="nil"/>
              <w:right w:val="nil"/>
            </w:tcBorders>
            <w:shd w:val="clear" w:color="auto" w:fill="E5E5E5" w:themeFill="background1" w:themeFillTint="33"/>
            <w:noWrap/>
            <w:vAlign w:val="center"/>
            <w:hideMark/>
          </w:tcPr>
          <w:p w14:paraId="1B8C495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59.4</w:t>
            </w:r>
          </w:p>
        </w:tc>
        <w:tc>
          <w:tcPr>
            <w:tcW w:w="2216" w:type="dxa"/>
            <w:tcBorders>
              <w:top w:val="nil"/>
              <w:left w:val="nil"/>
              <w:bottom w:val="nil"/>
              <w:right w:val="nil"/>
            </w:tcBorders>
            <w:shd w:val="clear" w:color="auto" w:fill="E5E5E5" w:themeFill="background1" w:themeFillTint="33"/>
            <w:noWrap/>
            <w:vAlign w:val="center"/>
            <w:hideMark/>
          </w:tcPr>
          <w:p w14:paraId="6FE56E42"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103.8</w:t>
            </w:r>
          </w:p>
        </w:tc>
      </w:tr>
      <w:tr w:rsidR="00961617" w:rsidRPr="00961617" w14:paraId="18674EE3"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37F978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2013</w:t>
            </w:r>
          </w:p>
        </w:tc>
        <w:tc>
          <w:tcPr>
            <w:tcW w:w="2869" w:type="dxa"/>
            <w:tcBorders>
              <w:top w:val="nil"/>
              <w:left w:val="nil"/>
              <w:bottom w:val="nil"/>
              <w:right w:val="nil"/>
            </w:tcBorders>
            <w:shd w:val="clear" w:color="auto" w:fill="auto"/>
            <w:noWrap/>
            <w:vAlign w:val="center"/>
            <w:hideMark/>
          </w:tcPr>
          <w:p w14:paraId="70E520A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40.5</w:t>
            </w:r>
          </w:p>
        </w:tc>
        <w:tc>
          <w:tcPr>
            <w:tcW w:w="2290" w:type="dxa"/>
            <w:gridSpan w:val="2"/>
            <w:tcBorders>
              <w:top w:val="nil"/>
              <w:left w:val="nil"/>
              <w:bottom w:val="nil"/>
              <w:right w:val="nil"/>
            </w:tcBorders>
            <w:shd w:val="clear" w:color="auto" w:fill="auto"/>
            <w:noWrap/>
            <w:vAlign w:val="center"/>
            <w:hideMark/>
          </w:tcPr>
          <w:p w14:paraId="2122CE9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60.8</w:t>
            </w:r>
          </w:p>
        </w:tc>
        <w:tc>
          <w:tcPr>
            <w:tcW w:w="2216" w:type="dxa"/>
            <w:tcBorders>
              <w:top w:val="nil"/>
              <w:left w:val="nil"/>
              <w:bottom w:val="nil"/>
              <w:right w:val="nil"/>
            </w:tcBorders>
            <w:shd w:val="clear" w:color="auto" w:fill="auto"/>
            <w:noWrap/>
            <w:vAlign w:val="center"/>
            <w:hideMark/>
          </w:tcPr>
          <w:p w14:paraId="4F5C063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101.3</w:t>
            </w:r>
          </w:p>
        </w:tc>
      </w:tr>
      <w:tr w:rsidR="00961617" w:rsidRPr="00961617" w14:paraId="4B4F7019"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E4A2B50"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April 2013</w:t>
            </w:r>
          </w:p>
        </w:tc>
        <w:tc>
          <w:tcPr>
            <w:tcW w:w="2869" w:type="dxa"/>
            <w:tcBorders>
              <w:top w:val="nil"/>
              <w:left w:val="nil"/>
              <w:bottom w:val="nil"/>
              <w:right w:val="nil"/>
            </w:tcBorders>
            <w:shd w:val="clear" w:color="auto" w:fill="E5E5E5" w:themeFill="background1" w:themeFillTint="33"/>
            <w:noWrap/>
            <w:vAlign w:val="center"/>
            <w:hideMark/>
          </w:tcPr>
          <w:p w14:paraId="0E6C758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38.5</w:t>
            </w:r>
          </w:p>
        </w:tc>
        <w:tc>
          <w:tcPr>
            <w:tcW w:w="2290" w:type="dxa"/>
            <w:gridSpan w:val="2"/>
            <w:tcBorders>
              <w:top w:val="nil"/>
              <w:left w:val="nil"/>
              <w:bottom w:val="nil"/>
              <w:right w:val="nil"/>
            </w:tcBorders>
            <w:shd w:val="clear" w:color="auto" w:fill="E5E5E5" w:themeFill="background1" w:themeFillTint="33"/>
            <w:noWrap/>
            <w:vAlign w:val="center"/>
            <w:hideMark/>
          </w:tcPr>
          <w:p w14:paraId="71E5913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57.9</w:t>
            </w:r>
          </w:p>
        </w:tc>
        <w:tc>
          <w:tcPr>
            <w:tcW w:w="2216" w:type="dxa"/>
            <w:tcBorders>
              <w:top w:val="nil"/>
              <w:left w:val="nil"/>
              <w:bottom w:val="nil"/>
              <w:right w:val="nil"/>
            </w:tcBorders>
            <w:shd w:val="clear" w:color="auto" w:fill="E5E5E5" w:themeFill="background1" w:themeFillTint="33"/>
            <w:noWrap/>
            <w:vAlign w:val="center"/>
            <w:hideMark/>
          </w:tcPr>
          <w:p w14:paraId="0F0198C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96.3</w:t>
            </w:r>
          </w:p>
        </w:tc>
      </w:tr>
      <w:tr w:rsidR="00961617" w:rsidRPr="00961617" w14:paraId="003A55B7"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418C4C71"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May 2013</w:t>
            </w:r>
          </w:p>
        </w:tc>
        <w:tc>
          <w:tcPr>
            <w:tcW w:w="2869" w:type="dxa"/>
            <w:tcBorders>
              <w:top w:val="nil"/>
              <w:left w:val="nil"/>
              <w:bottom w:val="nil"/>
              <w:right w:val="nil"/>
            </w:tcBorders>
            <w:shd w:val="clear" w:color="auto" w:fill="auto"/>
            <w:noWrap/>
            <w:vAlign w:val="center"/>
            <w:hideMark/>
          </w:tcPr>
          <w:p w14:paraId="3E5D715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40.4</w:t>
            </w:r>
          </w:p>
        </w:tc>
        <w:tc>
          <w:tcPr>
            <w:tcW w:w="2290" w:type="dxa"/>
            <w:gridSpan w:val="2"/>
            <w:tcBorders>
              <w:top w:val="nil"/>
              <w:left w:val="nil"/>
              <w:bottom w:val="nil"/>
              <w:right w:val="nil"/>
            </w:tcBorders>
            <w:shd w:val="clear" w:color="auto" w:fill="auto"/>
            <w:noWrap/>
            <w:vAlign w:val="center"/>
            <w:hideMark/>
          </w:tcPr>
          <w:p w14:paraId="21D17B0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59.2</w:t>
            </w:r>
          </w:p>
        </w:tc>
        <w:tc>
          <w:tcPr>
            <w:tcW w:w="2216" w:type="dxa"/>
            <w:tcBorders>
              <w:top w:val="nil"/>
              <w:left w:val="nil"/>
              <w:bottom w:val="nil"/>
              <w:right w:val="nil"/>
            </w:tcBorders>
            <w:shd w:val="clear" w:color="auto" w:fill="auto"/>
            <w:noWrap/>
            <w:vAlign w:val="center"/>
            <w:hideMark/>
          </w:tcPr>
          <w:p w14:paraId="7C69C1B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99.5</w:t>
            </w:r>
          </w:p>
        </w:tc>
      </w:tr>
      <w:tr w:rsidR="00961617" w:rsidRPr="00961617" w14:paraId="3179B400"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58F7103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2013</w:t>
            </w:r>
          </w:p>
        </w:tc>
        <w:tc>
          <w:tcPr>
            <w:tcW w:w="2869" w:type="dxa"/>
            <w:tcBorders>
              <w:top w:val="nil"/>
              <w:left w:val="nil"/>
              <w:bottom w:val="nil"/>
              <w:right w:val="nil"/>
            </w:tcBorders>
            <w:shd w:val="clear" w:color="auto" w:fill="E5E5E5" w:themeFill="background1" w:themeFillTint="33"/>
            <w:noWrap/>
            <w:vAlign w:val="center"/>
            <w:hideMark/>
          </w:tcPr>
          <w:p w14:paraId="1936EE4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44.0</w:t>
            </w:r>
          </w:p>
        </w:tc>
        <w:tc>
          <w:tcPr>
            <w:tcW w:w="2290" w:type="dxa"/>
            <w:gridSpan w:val="2"/>
            <w:tcBorders>
              <w:top w:val="nil"/>
              <w:left w:val="nil"/>
              <w:bottom w:val="nil"/>
              <w:right w:val="nil"/>
            </w:tcBorders>
            <w:shd w:val="clear" w:color="auto" w:fill="E5E5E5" w:themeFill="background1" w:themeFillTint="33"/>
            <w:noWrap/>
            <w:vAlign w:val="center"/>
            <w:hideMark/>
          </w:tcPr>
          <w:p w14:paraId="6B609E5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58.3</w:t>
            </w:r>
          </w:p>
        </w:tc>
        <w:tc>
          <w:tcPr>
            <w:tcW w:w="2216" w:type="dxa"/>
            <w:tcBorders>
              <w:top w:val="nil"/>
              <w:left w:val="nil"/>
              <w:bottom w:val="nil"/>
              <w:right w:val="nil"/>
            </w:tcBorders>
            <w:shd w:val="clear" w:color="auto" w:fill="E5E5E5" w:themeFill="background1" w:themeFillTint="33"/>
            <w:noWrap/>
            <w:vAlign w:val="center"/>
            <w:hideMark/>
          </w:tcPr>
          <w:p w14:paraId="74A678E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102.4</w:t>
            </w:r>
          </w:p>
        </w:tc>
      </w:tr>
      <w:tr w:rsidR="00961617" w:rsidRPr="00961617" w14:paraId="7C1BBDE4"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4FB3BB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July 2013</w:t>
            </w:r>
          </w:p>
        </w:tc>
        <w:tc>
          <w:tcPr>
            <w:tcW w:w="2869" w:type="dxa"/>
            <w:tcBorders>
              <w:top w:val="nil"/>
              <w:left w:val="nil"/>
              <w:bottom w:val="nil"/>
              <w:right w:val="nil"/>
            </w:tcBorders>
            <w:shd w:val="clear" w:color="auto" w:fill="auto"/>
            <w:noWrap/>
            <w:vAlign w:val="center"/>
            <w:hideMark/>
          </w:tcPr>
          <w:p w14:paraId="552FB666"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45.5</w:t>
            </w:r>
          </w:p>
        </w:tc>
        <w:tc>
          <w:tcPr>
            <w:tcW w:w="2290" w:type="dxa"/>
            <w:gridSpan w:val="2"/>
            <w:tcBorders>
              <w:top w:val="nil"/>
              <w:left w:val="nil"/>
              <w:bottom w:val="nil"/>
              <w:right w:val="nil"/>
            </w:tcBorders>
            <w:shd w:val="clear" w:color="auto" w:fill="auto"/>
            <w:noWrap/>
            <w:vAlign w:val="center"/>
            <w:hideMark/>
          </w:tcPr>
          <w:p w14:paraId="227540B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59.3</w:t>
            </w:r>
          </w:p>
        </w:tc>
        <w:tc>
          <w:tcPr>
            <w:tcW w:w="2216" w:type="dxa"/>
            <w:tcBorders>
              <w:top w:val="nil"/>
              <w:left w:val="nil"/>
              <w:bottom w:val="nil"/>
              <w:right w:val="nil"/>
            </w:tcBorders>
            <w:shd w:val="clear" w:color="auto" w:fill="auto"/>
            <w:noWrap/>
            <w:vAlign w:val="center"/>
            <w:hideMark/>
          </w:tcPr>
          <w:p w14:paraId="0741A32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104.8</w:t>
            </w:r>
          </w:p>
        </w:tc>
      </w:tr>
      <w:tr w:rsidR="00961617" w:rsidRPr="00961617" w14:paraId="6C8E71B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F50C7A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August 2013</w:t>
            </w:r>
          </w:p>
        </w:tc>
        <w:tc>
          <w:tcPr>
            <w:tcW w:w="2869" w:type="dxa"/>
            <w:tcBorders>
              <w:top w:val="nil"/>
              <w:left w:val="nil"/>
              <w:bottom w:val="nil"/>
              <w:right w:val="nil"/>
            </w:tcBorders>
            <w:shd w:val="clear" w:color="auto" w:fill="E5E5E5" w:themeFill="background1" w:themeFillTint="33"/>
            <w:noWrap/>
            <w:vAlign w:val="center"/>
            <w:hideMark/>
          </w:tcPr>
          <w:p w14:paraId="6908BE11"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44.8</w:t>
            </w:r>
          </w:p>
        </w:tc>
        <w:tc>
          <w:tcPr>
            <w:tcW w:w="2290" w:type="dxa"/>
            <w:gridSpan w:val="2"/>
            <w:tcBorders>
              <w:top w:val="nil"/>
              <w:left w:val="nil"/>
              <w:bottom w:val="nil"/>
              <w:right w:val="nil"/>
            </w:tcBorders>
            <w:shd w:val="clear" w:color="auto" w:fill="E5E5E5" w:themeFill="background1" w:themeFillTint="33"/>
            <w:noWrap/>
            <w:vAlign w:val="center"/>
            <w:hideMark/>
          </w:tcPr>
          <w:p w14:paraId="0F706EF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58.3</w:t>
            </w:r>
          </w:p>
        </w:tc>
        <w:tc>
          <w:tcPr>
            <w:tcW w:w="2216" w:type="dxa"/>
            <w:tcBorders>
              <w:top w:val="nil"/>
              <w:left w:val="nil"/>
              <w:bottom w:val="nil"/>
              <w:right w:val="nil"/>
            </w:tcBorders>
            <w:shd w:val="clear" w:color="auto" w:fill="E5E5E5" w:themeFill="background1" w:themeFillTint="33"/>
            <w:noWrap/>
            <w:vAlign w:val="center"/>
            <w:hideMark/>
          </w:tcPr>
          <w:p w14:paraId="675CC214"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103.0</w:t>
            </w:r>
          </w:p>
        </w:tc>
      </w:tr>
      <w:tr w:rsidR="00961617" w:rsidRPr="00961617" w14:paraId="682DEDF0"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FAEAF9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2013</w:t>
            </w:r>
          </w:p>
        </w:tc>
        <w:tc>
          <w:tcPr>
            <w:tcW w:w="2869" w:type="dxa"/>
            <w:tcBorders>
              <w:top w:val="nil"/>
              <w:left w:val="nil"/>
              <w:bottom w:val="nil"/>
              <w:right w:val="nil"/>
            </w:tcBorders>
            <w:shd w:val="clear" w:color="auto" w:fill="auto"/>
            <w:noWrap/>
            <w:vAlign w:val="center"/>
            <w:hideMark/>
          </w:tcPr>
          <w:p w14:paraId="5B92E96E"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43.4</w:t>
            </w:r>
          </w:p>
        </w:tc>
        <w:tc>
          <w:tcPr>
            <w:tcW w:w="2290" w:type="dxa"/>
            <w:gridSpan w:val="2"/>
            <w:tcBorders>
              <w:top w:val="nil"/>
              <w:left w:val="nil"/>
              <w:bottom w:val="nil"/>
              <w:right w:val="nil"/>
            </w:tcBorders>
            <w:shd w:val="clear" w:color="auto" w:fill="auto"/>
            <w:noWrap/>
            <w:vAlign w:val="center"/>
            <w:hideMark/>
          </w:tcPr>
          <w:p w14:paraId="2E11F5E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58.5</w:t>
            </w:r>
          </w:p>
        </w:tc>
        <w:tc>
          <w:tcPr>
            <w:tcW w:w="2216" w:type="dxa"/>
            <w:tcBorders>
              <w:top w:val="nil"/>
              <w:left w:val="nil"/>
              <w:bottom w:val="nil"/>
              <w:right w:val="nil"/>
            </w:tcBorders>
            <w:shd w:val="clear" w:color="auto" w:fill="auto"/>
            <w:noWrap/>
            <w:vAlign w:val="center"/>
            <w:hideMark/>
          </w:tcPr>
          <w:p w14:paraId="0214848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101.8</w:t>
            </w:r>
          </w:p>
        </w:tc>
      </w:tr>
      <w:tr w:rsidR="00961617" w:rsidRPr="00961617" w14:paraId="4ED84978"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50DEC6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October 2013</w:t>
            </w:r>
          </w:p>
        </w:tc>
        <w:tc>
          <w:tcPr>
            <w:tcW w:w="2869" w:type="dxa"/>
            <w:tcBorders>
              <w:top w:val="nil"/>
              <w:left w:val="nil"/>
              <w:bottom w:val="nil"/>
              <w:right w:val="nil"/>
            </w:tcBorders>
            <w:shd w:val="clear" w:color="auto" w:fill="E5E5E5" w:themeFill="background1" w:themeFillTint="33"/>
            <w:noWrap/>
            <w:vAlign w:val="center"/>
            <w:hideMark/>
          </w:tcPr>
          <w:p w14:paraId="4233F314"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44.5</w:t>
            </w:r>
          </w:p>
        </w:tc>
        <w:tc>
          <w:tcPr>
            <w:tcW w:w="2290" w:type="dxa"/>
            <w:gridSpan w:val="2"/>
            <w:tcBorders>
              <w:top w:val="nil"/>
              <w:left w:val="nil"/>
              <w:bottom w:val="nil"/>
              <w:right w:val="nil"/>
            </w:tcBorders>
            <w:shd w:val="clear" w:color="auto" w:fill="E5E5E5" w:themeFill="background1" w:themeFillTint="33"/>
            <w:noWrap/>
            <w:vAlign w:val="center"/>
            <w:hideMark/>
          </w:tcPr>
          <w:p w14:paraId="5E012C2B"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58.0</w:t>
            </w:r>
          </w:p>
        </w:tc>
        <w:tc>
          <w:tcPr>
            <w:tcW w:w="2216" w:type="dxa"/>
            <w:tcBorders>
              <w:top w:val="nil"/>
              <w:left w:val="nil"/>
              <w:bottom w:val="nil"/>
              <w:right w:val="nil"/>
            </w:tcBorders>
            <w:shd w:val="clear" w:color="auto" w:fill="E5E5E5" w:themeFill="background1" w:themeFillTint="33"/>
            <w:noWrap/>
            <w:vAlign w:val="center"/>
            <w:hideMark/>
          </w:tcPr>
          <w:p w14:paraId="6E0848A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102.5</w:t>
            </w:r>
          </w:p>
        </w:tc>
      </w:tr>
      <w:tr w:rsidR="00961617" w:rsidRPr="00961617" w14:paraId="0B8D93FB"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5A8764EC"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November 2013</w:t>
            </w:r>
          </w:p>
        </w:tc>
        <w:tc>
          <w:tcPr>
            <w:tcW w:w="2869" w:type="dxa"/>
            <w:tcBorders>
              <w:top w:val="nil"/>
              <w:left w:val="nil"/>
              <w:bottom w:val="nil"/>
              <w:right w:val="nil"/>
            </w:tcBorders>
            <w:shd w:val="clear" w:color="auto" w:fill="auto"/>
            <w:noWrap/>
            <w:vAlign w:val="center"/>
            <w:hideMark/>
          </w:tcPr>
          <w:p w14:paraId="173793E5"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44.6</w:t>
            </w:r>
          </w:p>
        </w:tc>
        <w:tc>
          <w:tcPr>
            <w:tcW w:w="2290" w:type="dxa"/>
            <w:gridSpan w:val="2"/>
            <w:tcBorders>
              <w:top w:val="nil"/>
              <w:left w:val="nil"/>
              <w:bottom w:val="nil"/>
              <w:right w:val="nil"/>
            </w:tcBorders>
            <w:shd w:val="clear" w:color="auto" w:fill="auto"/>
            <w:noWrap/>
            <w:vAlign w:val="center"/>
            <w:hideMark/>
          </w:tcPr>
          <w:p w14:paraId="4A3169B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56.8</w:t>
            </w:r>
          </w:p>
        </w:tc>
        <w:tc>
          <w:tcPr>
            <w:tcW w:w="2216" w:type="dxa"/>
            <w:tcBorders>
              <w:top w:val="nil"/>
              <w:left w:val="nil"/>
              <w:bottom w:val="nil"/>
              <w:right w:val="nil"/>
            </w:tcBorders>
            <w:shd w:val="clear" w:color="auto" w:fill="auto"/>
            <w:noWrap/>
            <w:vAlign w:val="center"/>
            <w:hideMark/>
          </w:tcPr>
          <w:p w14:paraId="64B1942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101.4</w:t>
            </w:r>
          </w:p>
        </w:tc>
      </w:tr>
      <w:tr w:rsidR="00961617" w:rsidRPr="00961617" w14:paraId="4920376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5172C8A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2013</w:t>
            </w:r>
          </w:p>
        </w:tc>
        <w:tc>
          <w:tcPr>
            <w:tcW w:w="2869" w:type="dxa"/>
            <w:tcBorders>
              <w:top w:val="nil"/>
              <w:left w:val="nil"/>
              <w:bottom w:val="nil"/>
              <w:right w:val="nil"/>
            </w:tcBorders>
            <w:shd w:val="clear" w:color="auto" w:fill="E5E5E5" w:themeFill="background1" w:themeFillTint="33"/>
            <w:noWrap/>
            <w:vAlign w:val="center"/>
            <w:hideMark/>
          </w:tcPr>
          <w:p w14:paraId="3B8922B6"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46.0</w:t>
            </w:r>
          </w:p>
        </w:tc>
        <w:tc>
          <w:tcPr>
            <w:tcW w:w="2290" w:type="dxa"/>
            <w:gridSpan w:val="2"/>
            <w:tcBorders>
              <w:top w:val="nil"/>
              <w:left w:val="nil"/>
              <w:bottom w:val="nil"/>
              <w:right w:val="nil"/>
            </w:tcBorders>
            <w:shd w:val="clear" w:color="auto" w:fill="E5E5E5" w:themeFill="background1" w:themeFillTint="33"/>
            <w:noWrap/>
            <w:vAlign w:val="center"/>
            <w:hideMark/>
          </w:tcPr>
          <w:p w14:paraId="17056AC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55.5</w:t>
            </w:r>
          </w:p>
        </w:tc>
        <w:tc>
          <w:tcPr>
            <w:tcW w:w="2216" w:type="dxa"/>
            <w:tcBorders>
              <w:top w:val="nil"/>
              <w:left w:val="nil"/>
              <w:bottom w:val="nil"/>
              <w:right w:val="nil"/>
            </w:tcBorders>
            <w:shd w:val="clear" w:color="auto" w:fill="E5E5E5" w:themeFill="background1" w:themeFillTint="33"/>
            <w:noWrap/>
            <w:vAlign w:val="center"/>
            <w:hideMark/>
          </w:tcPr>
          <w:p w14:paraId="45DCF7E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101.5</w:t>
            </w:r>
          </w:p>
        </w:tc>
      </w:tr>
      <w:tr w:rsidR="00961617" w:rsidRPr="00961617" w14:paraId="2017AA1E"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73FB6C3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2014</w:t>
            </w:r>
          </w:p>
        </w:tc>
        <w:tc>
          <w:tcPr>
            <w:tcW w:w="2869" w:type="dxa"/>
            <w:tcBorders>
              <w:top w:val="nil"/>
              <w:left w:val="nil"/>
              <w:bottom w:val="nil"/>
              <w:right w:val="nil"/>
            </w:tcBorders>
            <w:shd w:val="clear" w:color="auto" w:fill="auto"/>
            <w:noWrap/>
            <w:vAlign w:val="center"/>
            <w:hideMark/>
          </w:tcPr>
          <w:p w14:paraId="0F73AAD1"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43.8</w:t>
            </w:r>
          </w:p>
        </w:tc>
        <w:tc>
          <w:tcPr>
            <w:tcW w:w="2290" w:type="dxa"/>
            <w:gridSpan w:val="2"/>
            <w:tcBorders>
              <w:top w:val="nil"/>
              <w:left w:val="nil"/>
              <w:bottom w:val="nil"/>
              <w:right w:val="nil"/>
            </w:tcBorders>
            <w:shd w:val="clear" w:color="auto" w:fill="auto"/>
            <w:noWrap/>
            <w:vAlign w:val="center"/>
            <w:hideMark/>
          </w:tcPr>
          <w:p w14:paraId="636CBAD0"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55.9</w:t>
            </w:r>
          </w:p>
        </w:tc>
        <w:tc>
          <w:tcPr>
            <w:tcW w:w="2216" w:type="dxa"/>
            <w:tcBorders>
              <w:top w:val="nil"/>
              <w:left w:val="nil"/>
              <w:bottom w:val="nil"/>
              <w:right w:val="nil"/>
            </w:tcBorders>
            <w:shd w:val="clear" w:color="auto" w:fill="auto"/>
            <w:noWrap/>
            <w:vAlign w:val="center"/>
            <w:hideMark/>
          </w:tcPr>
          <w:p w14:paraId="5D47A1D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99.7</w:t>
            </w:r>
          </w:p>
        </w:tc>
      </w:tr>
      <w:tr w:rsidR="00961617" w:rsidRPr="00961617" w14:paraId="03A19698"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46E5F68C"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2014</w:t>
            </w:r>
          </w:p>
        </w:tc>
        <w:tc>
          <w:tcPr>
            <w:tcW w:w="2869" w:type="dxa"/>
            <w:tcBorders>
              <w:top w:val="nil"/>
              <w:left w:val="nil"/>
              <w:bottom w:val="nil"/>
              <w:right w:val="nil"/>
            </w:tcBorders>
            <w:shd w:val="clear" w:color="auto" w:fill="E5E5E5" w:themeFill="background1" w:themeFillTint="33"/>
            <w:noWrap/>
            <w:vAlign w:val="center"/>
            <w:hideMark/>
          </w:tcPr>
          <w:p w14:paraId="7F3034C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41.3</w:t>
            </w:r>
          </w:p>
        </w:tc>
        <w:tc>
          <w:tcPr>
            <w:tcW w:w="2290" w:type="dxa"/>
            <w:gridSpan w:val="2"/>
            <w:tcBorders>
              <w:top w:val="nil"/>
              <w:left w:val="nil"/>
              <w:bottom w:val="nil"/>
              <w:right w:val="nil"/>
            </w:tcBorders>
            <w:shd w:val="clear" w:color="auto" w:fill="E5E5E5" w:themeFill="background1" w:themeFillTint="33"/>
            <w:noWrap/>
            <w:vAlign w:val="center"/>
            <w:hideMark/>
          </w:tcPr>
          <w:p w14:paraId="77664B13"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55.2</w:t>
            </w:r>
          </w:p>
        </w:tc>
        <w:tc>
          <w:tcPr>
            <w:tcW w:w="2216" w:type="dxa"/>
            <w:tcBorders>
              <w:top w:val="nil"/>
              <w:left w:val="nil"/>
              <w:bottom w:val="nil"/>
              <w:right w:val="nil"/>
            </w:tcBorders>
            <w:shd w:val="clear" w:color="auto" w:fill="E5E5E5" w:themeFill="background1" w:themeFillTint="33"/>
            <w:noWrap/>
            <w:vAlign w:val="center"/>
            <w:hideMark/>
          </w:tcPr>
          <w:p w14:paraId="2A5B1782"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96.5</w:t>
            </w:r>
          </w:p>
        </w:tc>
      </w:tr>
      <w:tr w:rsidR="00961617" w:rsidRPr="00961617" w14:paraId="4C15948D"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691AF9D1"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2014</w:t>
            </w:r>
          </w:p>
        </w:tc>
        <w:tc>
          <w:tcPr>
            <w:tcW w:w="2869" w:type="dxa"/>
            <w:tcBorders>
              <w:top w:val="nil"/>
              <w:left w:val="nil"/>
              <w:bottom w:val="nil"/>
              <w:right w:val="nil"/>
            </w:tcBorders>
            <w:shd w:val="clear" w:color="auto" w:fill="auto"/>
            <w:noWrap/>
            <w:vAlign w:val="center"/>
            <w:hideMark/>
          </w:tcPr>
          <w:p w14:paraId="4AEEB465"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37.9</w:t>
            </w:r>
          </w:p>
        </w:tc>
        <w:tc>
          <w:tcPr>
            <w:tcW w:w="2290" w:type="dxa"/>
            <w:gridSpan w:val="2"/>
            <w:tcBorders>
              <w:top w:val="nil"/>
              <w:left w:val="nil"/>
              <w:bottom w:val="nil"/>
              <w:right w:val="nil"/>
            </w:tcBorders>
            <w:shd w:val="clear" w:color="auto" w:fill="auto"/>
            <w:noWrap/>
            <w:vAlign w:val="center"/>
            <w:hideMark/>
          </w:tcPr>
          <w:p w14:paraId="428B6EF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55.9</w:t>
            </w:r>
          </w:p>
        </w:tc>
        <w:tc>
          <w:tcPr>
            <w:tcW w:w="2216" w:type="dxa"/>
            <w:tcBorders>
              <w:top w:val="nil"/>
              <w:left w:val="nil"/>
              <w:bottom w:val="nil"/>
              <w:right w:val="nil"/>
            </w:tcBorders>
            <w:shd w:val="clear" w:color="auto" w:fill="auto"/>
            <w:noWrap/>
            <w:vAlign w:val="center"/>
            <w:hideMark/>
          </w:tcPr>
          <w:p w14:paraId="7A2DDA1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93.7</w:t>
            </w:r>
          </w:p>
        </w:tc>
      </w:tr>
      <w:tr w:rsidR="00961617" w:rsidRPr="00961617" w14:paraId="5EC8F13D"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72F0D58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April 2014</w:t>
            </w:r>
          </w:p>
        </w:tc>
        <w:tc>
          <w:tcPr>
            <w:tcW w:w="2869" w:type="dxa"/>
            <w:tcBorders>
              <w:top w:val="nil"/>
              <w:left w:val="nil"/>
              <w:bottom w:val="nil"/>
              <w:right w:val="nil"/>
            </w:tcBorders>
            <w:shd w:val="clear" w:color="auto" w:fill="E5E5E5" w:themeFill="background1" w:themeFillTint="33"/>
            <w:noWrap/>
            <w:vAlign w:val="center"/>
            <w:hideMark/>
          </w:tcPr>
          <w:p w14:paraId="1C3CF3B0"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35.8</w:t>
            </w:r>
          </w:p>
        </w:tc>
        <w:tc>
          <w:tcPr>
            <w:tcW w:w="2290" w:type="dxa"/>
            <w:gridSpan w:val="2"/>
            <w:tcBorders>
              <w:top w:val="nil"/>
              <w:left w:val="nil"/>
              <w:bottom w:val="nil"/>
              <w:right w:val="nil"/>
            </w:tcBorders>
            <w:shd w:val="clear" w:color="auto" w:fill="E5E5E5" w:themeFill="background1" w:themeFillTint="33"/>
            <w:noWrap/>
            <w:vAlign w:val="center"/>
            <w:hideMark/>
          </w:tcPr>
          <w:p w14:paraId="695D77C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52.4</w:t>
            </w:r>
          </w:p>
        </w:tc>
        <w:tc>
          <w:tcPr>
            <w:tcW w:w="2216" w:type="dxa"/>
            <w:tcBorders>
              <w:top w:val="nil"/>
              <w:left w:val="nil"/>
              <w:bottom w:val="nil"/>
              <w:right w:val="nil"/>
            </w:tcBorders>
            <w:shd w:val="clear" w:color="auto" w:fill="E5E5E5" w:themeFill="background1" w:themeFillTint="33"/>
            <w:noWrap/>
            <w:vAlign w:val="center"/>
            <w:hideMark/>
          </w:tcPr>
          <w:p w14:paraId="41C9337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88.3</w:t>
            </w:r>
          </w:p>
        </w:tc>
      </w:tr>
      <w:tr w:rsidR="00961617" w:rsidRPr="00961617" w14:paraId="6C8017F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5DDB9F2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May 2014</w:t>
            </w:r>
          </w:p>
        </w:tc>
        <w:tc>
          <w:tcPr>
            <w:tcW w:w="2869" w:type="dxa"/>
            <w:tcBorders>
              <w:top w:val="nil"/>
              <w:left w:val="nil"/>
              <w:bottom w:val="nil"/>
              <w:right w:val="nil"/>
            </w:tcBorders>
            <w:shd w:val="clear" w:color="auto" w:fill="auto"/>
            <w:noWrap/>
            <w:vAlign w:val="center"/>
            <w:hideMark/>
          </w:tcPr>
          <w:p w14:paraId="4D758DE2"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37.6</w:t>
            </w:r>
          </w:p>
        </w:tc>
        <w:tc>
          <w:tcPr>
            <w:tcW w:w="2290" w:type="dxa"/>
            <w:gridSpan w:val="2"/>
            <w:tcBorders>
              <w:top w:val="nil"/>
              <w:left w:val="nil"/>
              <w:bottom w:val="nil"/>
              <w:right w:val="nil"/>
            </w:tcBorders>
            <w:shd w:val="clear" w:color="auto" w:fill="auto"/>
            <w:noWrap/>
            <w:vAlign w:val="center"/>
            <w:hideMark/>
          </w:tcPr>
          <w:p w14:paraId="31D0F477"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53.2</w:t>
            </w:r>
          </w:p>
        </w:tc>
        <w:tc>
          <w:tcPr>
            <w:tcW w:w="2216" w:type="dxa"/>
            <w:tcBorders>
              <w:top w:val="nil"/>
              <w:left w:val="nil"/>
              <w:bottom w:val="nil"/>
              <w:right w:val="nil"/>
            </w:tcBorders>
            <w:shd w:val="clear" w:color="auto" w:fill="auto"/>
            <w:noWrap/>
            <w:vAlign w:val="center"/>
            <w:hideMark/>
          </w:tcPr>
          <w:p w14:paraId="383F392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90.8</w:t>
            </w:r>
          </w:p>
        </w:tc>
      </w:tr>
      <w:tr w:rsidR="00961617" w:rsidRPr="00961617" w14:paraId="471B5FC4"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0923F1D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2014</w:t>
            </w:r>
          </w:p>
        </w:tc>
        <w:tc>
          <w:tcPr>
            <w:tcW w:w="2869" w:type="dxa"/>
            <w:tcBorders>
              <w:top w:val="nil"/>
              <w:left w:val="nil"/>
              <w:bottom w:val="nil"/>
              <w:right w:val="nil"/>
            </w:tcBorders>
            <w:shd w:val="clear" w:color="auto" w:fill="E5E5E5" w:themeFill="background1" w:themeFillTint="33"/>
            <w:noWrap/>
            <w:vAlign w:val="center"/>
            <w:hideMark/>
          </w:tcPr>
          <w:p w14:paraId="430184DF"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43.1</w:t>
            </w:r>
          </w:p>
        </w:tc>
        <w:tc>
          <w:tcPr>
            <w:tcW w:w="2290" w:type="dxa"/>
            <w:gridSpan w:val="2"/>
            <w:tcBorders>
              <w:top w:val="nil"/>
              <w:left w:val="nil"/>
              <w:bottom w:val="nil"/>
              <w:right w:val="nil"/>
            </w:tcBorders>
            <w:shd w:val="clear" w:color="auto" w:fill="E5E5E5" w:themeFill="background1" w:themeFillTint="33"/>
            <w:noWrap/>
            <w:vAlign w:val="center"/>
            <w:hideMark/>
          </w:tcPr>
          <w:p w14:paraId="2C53289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53.3</w:t>
            </w:r>
          </w:p>
        </w:tc>
        <w:tc>
          <w:tcPr>
            <w:tcW w:w="2216" w:type="dxa"/>
            <w:tcBorders>
              <w:top w:val="nil"/>
              <w:left w:val="nil"/>
              <w:bottom w:val="nil"/>
              <w:right w:val="nil"/>
            </w:tcBorders>
            <w:shd w:val="clear" w:color="auto" w:fill="E5E5E5" w:themeFill="background1" w:themeFillTint="33"/>
            <w:noWrap/>
            <w:vAlign w:val="center"/>
            <w:hideMark/>
          </w:tcPr>
          <w:p w14:paraId="0D4910EF"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96.5</w:t>
            </w:r>
          </w:p>
        </w:tc>
      </w:tr>
      <w:tr w:rsidR="00961617" w:rsidRPr="00961617" w14:paraId="642D7025"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0035ABD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July 2014</w:t>
            </w:r>
          </w:p>
        </w:tc>
        <w:tc>
          <w:tcPr>
            <w:tcW w:w="2869" w:type="dxa"/>
            <w:tcBorders>
              <w:top w:val="nil"/>
              <w:left w:val="nil"/>
              <w:bottom w:val="nil"/>
              <w:right w:val="nil"/>
            </w:tcBorders>
            <w:shd w:val="clear" w:color="auto" w:fill="auto"/>
            <w:noWrap/>
            <w:vAlign w:val="center"/>
            <w:hideMark/>
          </w:tcPr>
          <w:p w14:paraId="260EDF9B"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45.2</w:t>
            </w:r>
          </w:p>
        </w:tc>
        <w:tc>
          <w:tcPr>
            <w:tcW w:w="2290" w:type="dxa"/>
            <w:gridSpan w:val="2"/>
            <w:tcBorders>
              <w:top w:val="nil"/>
              <w:left w:val="nil"/>
              <w:bottom w:val="nil"/>
              <w:right w:val="nil"/>
            </w:tcBorders>
            <w:shd w:val="clear" w:color="auto" w:fill="auto"/>
            <w:noWrap/>
            <w:vAlign w:val="center"/>
            <w:hideMark/>
          </w:tcPr>
          <w:p w14:paraId="23A4F82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55.5</w:t>
            </w:r>
          </w:p>
        </w:tc>
        <w:tc>
          <w:tcPr>
            <w:tcW w:w="2216" w:type="dxa"/>
            <w:tcBorders>
              <w:top w:val="nil"/>
              <w:left w:val="nil"/>
              <w:bottom w:val="nil"/>
              <w:right w:val="nil"/>
            </w:tcBorders>
            <w:shd w:val="clear" w:color="auto" w:fill="auto"/>
            <w:noWrap/>
            <w:vAlign w:val="center"/>
            <w:hideMark/>
          </w:tcPr>
          <w:p w14:paraId="0ACFE268"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100.7</w:t>
            </w:r>
          </w:p>
        </w:tc>
      </w:tr>
      <w:tr w:rsidR="00961617" w:rsidRPr="00961617" w14:paraId="4DD64503"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3E341668"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August 2014</w:t>
            </w:r>
          </w:p>
        </w:tc>
        <w:tc>
          <w:tcPr>
            <w:tcW w:w="2869" w:type="dxa"/>
            <w:tcBorders>
              <w:top w:val="nil"/>
              <w:left w:val="nil"/>
              <w:bottom w:val="nil"/>
              <w:right w:val="nil"/>
            </w:tcBorders>
            <w:shd w:val="clear" w:color="auto" w:fill="E5E5E5" w:themeFill="background1" w:themeFillTint="33"/>
            <w:noWrap/>
            <w:vAlign w:val="center"/>
            <w:hideMark/>
          </w:tcPr>
          <w:p w14:paraId="6F4C5AE3"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45.3</w:t>
            </w:r>
          </w:p>
        </w:tc>
        <w:tc>
          <w:tcPr>
            <w:tcW w:w="2290" w:type="dxa"/>
            <w:gridSpan w:val="2"/>
            <w:tcBorders>
              <w:top w:val="nil"/>
              <w:left w:val="nil"/>
              <w:bottom w:val="nil"/>
              <w:right w:val="nil"/>
            </w:tcBorders>
            <w:shd w:val="clear" w:color="auto" w:fill="E5E5E5" w:themeFill="background1" w:themeFillTint="33"/>
            <w:noWrap/>
            <w:vAlign w:val="center"/>
            <w:hideMark/>
          </w:tcPr>
          <w:p w14:paraId="5F479EC3"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54.3</w:t>
            </w:r>
          </w:p>
        </w:tc>
        <w:tc>
          <w:tcPr>
            <w:tcW w:w="2216" w:type="dxa"/>
            <w:tcBorders>
              <w:top w:val="nil"/>
              <w:left w:val="nil"/>
              <w:bottom w:val="nil"/>
              <w:right w:val="nil"/>
            </w:tcBorders>
            <w:shd w:val="clear" w:color="auto" w:fill="E5E5E5" w:themeFill="background1" w:themeFillTint="33"/>
            <w:noWrap/>
            <w:vAlign w:val="center"/>
            <w:hideMark/>
          </w:tcPr>
          <w:p w14:paraId="59A2990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99.6</w:t>
            </w:r>
          </w:p>
        </w:tc>
      </w:tr>
      <w:tr w:rsidR="00961617" w:rsidRPr="00961617" w14:paraId="7C2873F6"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3022744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2014</w:t>
            </w:r>
          </w:p>
        </w:tc>
        <w:tc>
          <w:tcPr>
            <w:tcW w:w="2869" w:type="dxa"/>
            <w:tcBorders>
              <w:top w:val="nil"/>
              <w:left w:val="nil"/>
              <w:bottom w:val="nil"/>
              <w:right w:val="nil"/>
            </w:tcBorders>
            <w:shd w:val="clear" w:color="auto" w:fill="auto"/>
            <w:noWrap/>
            <w:vAlign w:val="center"/>
            <w:hideMark/>
          </w:tcPr>
          <w:p w14:paraId="34D2DE98"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45.9</w:t>
            </w:r>
          </w:p>
        </w:tc>
        <w:tc>
          <w:tcPr>
            <w:tcW w:w="2290" w:type="dxa"/>
            <w:gridSpan w:val="2"/>
            <w:tcBorders>
              <w:top w:val="nil"/>
              <w:left w:val="nil"/>
              <w:bottom w:val="nil"/>
              <w:right w:val="nil"/>
            </w:tcBorders>
            <w:shd w:val="clear" w:color="auto" w:fill="auto"/>
            <w:noWrap/>
            <w:vAlign w:val="center"/>
            <w:hideMark/>
          </w:tcPr>
          <w:p w14:paraId="18B24629"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54.3</w:t>
            </w:r>
          </w:p>
        </w:tc>
        <w:tc>
          <w:tcPr>
            <w:tcW w:w="2216" w:type="dxa"/>
            <w:tcBorders>
              <w:top w:val="nil"/>
              <w:left w:val="nil"/>
              <w:bottom w:val="nil"/>
              <w:right w:val="nil"/>
            </w:tcBorders>
            <w:shd w:val="clear" w:color="auto" w:fill="auto"/>
            <w:noWrap/>
            <w:vAlign w:val="center"/>
            <w:hideMark/>
          </w:tcPr>
          <w:p w14:paraId="0A3A5DAD"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100.3</w:t>
            </w:r>
          </w:p>
        </w:tc>
      </w:tr>
      <w:tr w:rsidR="00961617" w:rsidRPr="00961617" w14:paraId="4E41878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36F5947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October 2014</w:t>
            </w:r>
          </w:p>
        </w:tc>
        <w:tc>
          <w:tcPr>
            <w:tcW w:w="2869" w:type="dxa"/>
            <w:tcBorders>
              <w:top w:val="nil"/>
              <w:left w:val="nil"/>
              <w:bottom w:val="nil"/>
              <w:right w:val="nil"/>
            </w:tcBorders>
            <w:shd w:val="clear" w:color="auto" w:fill="E5E5E5" w:themeFill="background1" w:themeFillTint="33"/>
            <w:noWrap/>
            <w:vAlign w:val="center"/>
            <w:hideMark/>
          </w:tcPr>
          <w:p w14:paraId="064D4285"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48.5</w:t>
            </w:r>
          </w:p>
        </w:tc>
        <w:tc>
          <w:tcPr>
            <w:tcW w:w="2290" w:type="dxa"/>
            <w:gridSpan w:val="2"/>
            <w:tcBorders>
              <w:top w:val="nil"/>
              <w:left w:val="nil"/>
              <w:bottom w:val="nil"/>
              <w:right w:val="nil"/>
            </w:tcBorders>
            <w:shd w:val="clear" w:color="auto" w:fill="E5E5E5" w:themeFill="background1" w:themeFillTint="33"/>
            <w:noWrap/>
            <w:vAlign w:val="center"/>
            <w:hideMark/>
          </w:tcPr>
          <w:p w14:paraId="5CFD9F03"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55.4</w:t>
            </w:r>
          </w:p>
        </w:tc>
        <w:tc>
          <w:tcPr>
            <w:tcW w:w="2216" w:type="dxa"/>
            <w:tcBorders>
              <w:top w:val="nil"/>
              <w:left w:val="nil"/>
              <w:bottom w:val="nil"/>
              <w:right w:val="nil"/>
            </w:tcBorders>
            <w:shd w:val="clear" w:color="auto" w:fill="E5E5E5" w:themeFill="background1" w:themeFillTint="33"/>
            <w:noWrap/>
            <w:vAlign w:val="center"/>
            <w:hideMark/>
          </w:tcPr>
          <w:p w14:paraId="08CA26D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103.8</w:t>
            </w:r>
          </w:p>
        </w:tc>
      </w:tr>
      <w:tr w:rsidR="00961617" w:rsidRPr="00961617" w14:paraId="41F3A5C0"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42FA574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November 2014</w:t>
            </w:r>
          </w:p>
        </w:tc>
        <w:tc>
          <w:tcPr>
            <w:tcW w:w="2869" w:type="dxa"/>
            <w:tcBorders>
              <w:top w:val="nil"/>
              <w:left w:val="nil"/>
              <w:bottom w:val="nil"/>
              <w:right w:val="nil"/>
            </w:tcBorders>
            <w:shd w:val="clear" w:color="auto" w:fill="auto"/>
            <w:noWrap/>
            <w:vAlign w:val="center"/>
            <w:hideMark/>
          </w:tcPr>
          <w:p w14:paraId="18F3594C"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49.2</w:t>
            </w:r>
          </w:p>
        </w:tc>
        <w:tc>
          <w:tcPr>
            <w:tcW w:w="2290" w:type="dxa"/>
            <w:gridSpan w:val="2"/>
            <w:tcBorders>
              <w:top w:val="nil"/>
              <w:left w:val="nil"/>
              <w:bottom w:val="nil"/>
              <w:right w:val="nil"/>
            </w:tcBorders>
            <w:shd w:val="clear" w:color="auto" w:fill="auto"/>
            <w:noWrap/>
            <w:vAlign w:val="center"/>
            <w:hideMark/>
          </w:tcPr>
          <w:p w14:paraId="4AB580E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54.9</w:t>
            </w:r>
          </w:p>
        </w:tc>
        <w:tc>
          <w:tcPr>
            <w:tcW w:w="2216" w:type="dxa"/>
            <w:tcBorders>
              <w:top w:val="nil"/>
              <w:left w:val="nil"/>
              <w:bottom w:val="nil"/>
              <w:right w:val="nil"/>
            </w:tcBorders>
            <w:shd w:val="clear" w:color="auto" w:fill="auto"/>
            <w:noWrap/>
            <w:vAlign w:val="center"/>
            <w:hideMark/>
          </w:tcPr>
          <w:p w14:paraId="301F75B6"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104.1</w:t>
            </w:r>
          </w:p>
        </w:tc>
      </w:tr>
      <w:tr w:rsidR="00961617" w:rsidRPr="00961617" w14:paraId="0B329DE9"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E5E5E5" w:themeFill="background1" w:themeFillTint="33"/>
            <w:noWrap/>
            <w:vAlign w:val="center"/>
            <w:hideMark/>
          </w:tcPr>
          <w:p w14:paraId="3B2AA066"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2014</w:t>
            </w:r>
          </w:p>
        </w:tc>
        <w:tc>
          <w:tcPr>
            <w:tcW w:w="2869" w:type="dxa"/>
            <w:tcBorders>
              <w:top w:val="nil"/>
              <w:left w:val="nil"/>
              <w:bottom w:val="nil"/>
              <w:right w:val="nil"/>
            </w:tcBorders>
            <w:shd w:val="clear" w:color="auto" w:fill="E5E5E5" w:themeFill="background1" w:themeFillTint="33"/>
            <w:noWrap/>
            <w:vAlign w:val="center"/>
            <w:hideMark/>
          </w:tcPr>
          <w:p w14:paraId="6D58473D"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47.9</w:t>
            </w:r>
          </w:p>
        </w:tc>
        <w:tc>
          <w:tcPr>
            <w:tcW w:w="2290" w:type="dxa"/>
            <w:gridSpan w:val="2"/>
            <w:tcBorders>
              <w:top w:val="nil"/>
              <w:left w:val="nil"/>
              <w:bottom w:val="nil"/>
              <w:right w:val="nil"/>
            </w:tcBorders>
            <w:shd w:val="clear" w:color="auto" w:fill="E5E5E5" w:themeFill="background1" w:themeFillTint="33"/>
            <w:noWrap/>
            <w:vAlign w:val="center"/>
            <w:hideMark/>
          </w:tcPr>
          <w:p w14:paraId="6EB1D55C"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54.2</w:t>
            </w:r>
          </w:p>
        </w:tc>
        <w:tc>
          <w:tcPr>
            <w:tcW w:w="2216" w:type="dxa"/>
            <w:tcBorders>
              <w:top w:val="nil"/>
              <w:left w:val="nil"/>
              <w:bottom w:val="nil"/>
              <w:right w:val="nil"/>
            </w:tcBorders>
            <w:shd w:val="clear" w:color="auto" w:fill="E5E5E5" w:themeFill="background1" w:themeFillTint="33"/>
            <w:noWrap/>
            <w:vAlign w:val="center"/>
            <w:hideMark/>
          </w:tcPr>
          <w:p w14:paraId="3753215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102.0</w:t>
            </w:r>
          </w:p>
        </w:tc>
      </w:tr>
      <w:tr w:rsidR="00961617" w:rsidRPr="00961617" w14:paraId="750D619F" w14:textId="77777777" w:rsidTr="0020771F">
        <w:tblPrEx>
          <w:tblCellMar>
            <w:left w:w="108" w:type="dxa"/>
            <w:right w:w="108" w:type="dxa"/>
          </w:tblCellMar>
        </w:tblPrEx>
        <w:trPr>
          <w:trHeight w:val="340"/>
        </w:trPr>
        <w:tc>
          <w:tcPr>
            <w:tcW w:w="1682" w:type="dxa"/>
            <w:tcBorders>
              <w:top w:val="nil"/>
              <w:left w:val="nil"/>
              <w:bottom w:val="nil"/>
              <w:right w:val="nil"/>
            </w:tcBorders>
            <w:shd w:val="clear" w:color="auto" w:fill="auto"/>
            <w:noWrap/>
            <w:vAlign w:val="center"/>
            <w:hideMark/>
          </w:tcPr>
          <w:p w14:paraId="2FE0B9E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January 2015</w:t>
            </w:r>
          </w:p>
        </w:tc>
        <w:tc>
          <w:tcPr>
            <w:tcW w:w="2869" w:type="dxa"/>
            <w:tcBorders>
              <w:top w:val="nil"/>
              <w:left w:val="nil"/>
              <w:bottom w:val="nil"/>
              <w:right w:val="nil"/>
            </w:tcBorders>
            <w:shd w:val="clear" w:color="auto" w:fill="auto"/>
            <w:noWrap/>
            <w:vAlign w:val="center"/>
            <w:hideMark/>
          </w:tcPr>
          <w:p w14:paraId="5B49A179"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46.7</w:t>
            </w:r>
          </w:p>
        </w:tc>
        <w:tc>
          <w:tcPr>
            <w:tcW w:w="2290" w:type="dxa"/>
            <w:gridSpan w:val="2"/>
            <w:tcBorders>
              <w:top w:val="nil"/>
              <w:left w:val="nil"/>
              <w:bottom w:val="nil"/>
              <w:right w:val="nil"/>
            </w:tcBorders>
            <w:shd w:val="clear" w:color="auto" w:fill="auto"/>
            <w:noWrap/>
            <w:vAlign w:val="center"/>
            <w:hideMark/>
          </w:tcPr>
          <w:p w14:paraId="32C479C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53.2</w:t>
            </w:r>
          </w:p>
        </w:tc>
        <w:tc>
          <w:tcPr>
            <w:tcW w:w="2216" w:type="dxa"/>
            <w:tcBorders>
              <w:top w:val="nil"/>
              <w:left w:val="nil"/>
              <w:bottom w:val="nil"/>
              <w:right w:val="nil"/>
            </w:tcBorders>
            <w:shd w:val="clear" w:color="auto" w:fill="auto"/>
            <w:noWrap/>
            <w:vAlign w:val="center"/>
            <w:hideMark/>
          </w:tcPr>
          <w:p w14:paraId="36805A1A"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99.9</w:t>
            </w:r>
          </w:p>
        </w:tc>
      </w:tr>
      <w:tr w:rsidR="00961617" w:rsidRPr="00961617" w14:paraId="0A6D2259" w14:textId="77777777" w:rsidTr="0020771F">
        <w:tblPrEx>
          <w:tblCellMar>
            <w:left w:w="108" w:type="dxa"/>
            <w:right w:w="108" w:type="dxa"/>
          </w:tblCellMar>
        </w:tblPrEx>
        <w:trPr>
          <w:trHeight w:val="340"/>
        </w:trPr>
        <w:tc>
          <w:tcPr>
            <w:tcW w:w="1682" w:type="dxa"/>
            <w:tcBorders>
              <w:top w:val="nil"/>
              <w:left w:val="nil"/>
              <w:right w:val="nil"/>
            </w:tcBorders>
            <w:shd w:val="clear" w:color="auto" w:fill="E5E5E5" w:themeFill="background1" w:themeFillTint="33"/>
            <w:noWrap/>
            <w:vAlign w:val="center"/>
            <w:hideMark/>
          </w:tcPr>
          <w:p w14:paraId="1D670A3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February 2015</w:t>
            </w:r>
          </w:p>
        </w:tc>
        <w:tc>
          <w:tcPr>
            <w:tcW w:w="2869" w:type="dxa"/>
            <w:tcBorders>
              <w:top w:val="nil"/>
              <w:left w:val="nil"/>
              <w:right w:val="nil"/>
            </w:tcBorders>
            <w:shd w:val="clear" w:color="auto" w:fill="E5E5E5" w:themeFill="background1" w:themeFillTint="33"/>
            <w:noWrap/>
            <w:vAlign w:val="center"/>
            <w:hideMark/>
          </w:tcPr>
          <w:p w14:paraId="14FFF11F"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45.1</w:t>
            </w:r>
          </w:p>
        </w:tc>
        <w:tc>
          <w:tcPr>
            <w:tcW w:w="2290" w:type="dxa"/>
            <w:gridSpan w:val="2"/>
            <w:tcBorders>
              <w:top w:val="nil"/>
              <w:left w:val="nil"/>
              <w:right w:val="nil"/>
            </w:tcBorders>
            <w:shd w:val="clear" w:color="auto" w:fill="E5E5E5" w:themeFill="background1" w:themeFillTint="33"/>
            <w:noWrap/>
            <w:vAlign w:val="center"/>
            <w:hideMark/>
          </w:tcPr>
          <w:p w14:paraId="39D1DF8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53.1</w:t>
            </w:r>
          </w:p>
        </w:tc>
        <w:tc>
          <w:tcPr>
            <w:tcW w:w="2216" w:type="dxa"/>
            <w:tcBorders>
              <w:top w:val="nil"/>
              <w:left w:val="nil"/>
              <w:right w:val="nil"/>
            </w:tcBorders>
            <w:shd w:val="clear" w:color="auto" w:fill="E5E5E5" w:themeFill="background1" w:themeFillTint="33"/>
            <w:noWrap/>
            <w:vAlign w:val="center"/>
            <w:hideMark/>
          </w:tcPr>
          <w:p w14:paraId="4378C011"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98.1</w:t>
            </w:r>
          </w:p>
        </w:tc>
      </w:tr>
      <w:tr w:rsidR="00961617" w:rsidRPr="00961617" w14:paraId="2B7B282A" w14:textId="77777777" w:rsidTr="0020771F">
        <w:tblPrEx>
          <w:tblCellMar>
            <w:left w:w="108" w:type="dxa"/>
            <w:right w:w="108" w:type="dxa"/>
          </w:tblCellMar>
        </w:tblPrEx>
        <w:trPr>
          <w:trHeight w:val="340"/>
        </w:trPr>
        <w:tc>
          <w:tcPr>
            <w:tcW w:w="1682" w:type="dxa"/>
            <w:tcBorders>
              <w:top w:val="nil"/>
              <w:left w:val="nil"/>
              <w:bottom w:val="single" w:sz="4" w:space="0" w:color="auto"/>
              <w:right w:val="nil"/>
            </w:tcBorders>
            <w:shd w:val="clear" w:color="auto" w:fill="auto"/>
            <w:noWrap/>
            <w:vAlign w:val="center"/>
            <w:hideMark/>
          </w:tcPr>
          <w:p w14:paraId="17CB5F7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2015</w:t>
            </w:r>
          </w:p>
        </w:tc>
        <w:tc>
          <w:tcPr>
            <w:tcW w:w="2869" w:type="dxa"/>
            <w:tcBorders>
              <w:top w:val="nil"/>
              <w:left w:val="nil"/>
              <w:bottom w:val="single" w:sz="4" w:space="0" w:color="auto"/>
              <w:right w:val="nil"/>
            </w:tcBorders>
            <w:shd w:val="clear" w:color="auto" w:fill="auto"/>
            <w:noWrap/>
            <w:vAlign w:val="center"/>
            <w:hideMark/>
          </w:tcPr>
          <w:p w14:paraId="701A155F" w14:textId="77777777" w:rsidR="00961617" w:rsidRPr="00961617" w:rsidRDefault="00961617" w:rsidP="0020771F">
            <w:pPr>
              <w:spacing w:after="0" w:line="240" w:lineRule="auto"/>
              <w:ind w:right="851"/>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41.0</w:t>
            </w:r>
          </w:p>
        </w:tc>
        <w:tc>
          <w:tcPr>
            <w:tcW w:w="2290" w:type="dxa"/>
            <w:gridSpan w:val="2"/>
            <w:tcBorders>
              <w:top w:val="nil"/>
              <w:left w:val="nil"/>
              <w:bottom w:val="single" w:sz="4" w:space="0" w:color="auto"/>
              <w:right w:val="nil"/>
            </w:tcBorders>
            <w:shd w:val="clear" w:color="auto" w:fill="auto"/>
            <w:noWrap/>
            <w:vAlign w:val="center"/>
            <w:hideMark/>
          </w:tcPr>
          <w:p w14:paraId="33B2BFBE"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53.5</w:t>
            </w:r>
          </w:p>
        </w:tc>
        <w:tc>
          <w:tcPr>
            <w:tcW w:w="2216" w:type="dxa"/>
            <w:tcBorders>
              <w:top w:val="nil"/>
              <w:left w:val="nil"/>
              <w:bottom w:val="single" w:sz="4" w:space="0" w:color="auto"/>
              <w:right w:val="nil"/>
            </w:tcBorders>
            <w:shd w:val="clear" w:color="auto" w:fill="auto"/>
            <w:noWrap/>
            <w:vAlign w:val="center"/>
            <w:hideMark/>
          </w:tcPr>
          <w:p w14:paraId="6B72BAF5" w14:textId="77777777" w:rsidR="00961617" w:rsidRPr="00961617" w:rsidRDefault="00961617" w:rsidP="0020771F">
            <w:pPr>
              <w:spacing w:after="0" w:line="240" w:lineRule="auto"/>
              <w:ind w:right="634"/>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94.4</w:t>
            </w:r>
          </w:p>
        </w:tc>
      </w:tr>
    </w:tbl>
    <w:p w14:paraId="2EC0A11C" w14:textId="77777777" w:rsidR="00961617" w:rsidRDefault="00961617" w:rsidP="00130B88">
      <w:pPr>
        <w:pStyle w:val="Notes"/>
      </w:pPr>
      <w:r w:rsidRPr="00130B88">
        <w:rPr>
          <w:b/>
        </w:rPr>
        <w:t>Notes</w:t>
      </w:r>
      <w:r>
        <w:t xml:space="preserve">: </w:t>
      </w:r>
    </w:p>
    <w:p w14:paraId="2EF17E73" w14:textId="77777777" w:rsidR="00961617" w:rsidRPr="00AE501D" w:rsidRDefault="00961617" w:rsidP="00AE501D">
      <w:pPr>
        <w:pStyle w:val="Notesnumbered"/>
        <w:numPr>
          <w:ilvl w:val="0"/>
          <w:numId w:val="273"/>
        </w:numPr>
      </w:pPr>
      <w:r>
        <w:t>T</w:t>
      </w:r>
      <w:r w:rsidRPr="00AE501D">
        <w:t>he number of job seekers used in the calculations is the commenced caseload at the end of the month.</w:t>
      </w:r>
    </w:p>
    <w:p w14:paraId="018CBC00" w14:textId="77777777" w:rsidR="00961617" w:rsidRPr="00896190" w:rsidRDefault="00961617" w:rsidP="00AE501D">
      <w:pPr>
        <w:pStyle w:val="Notesnumbered"/>
        <w:numPr>
          <w:ilvl w:val="0"/>
          <w:numId w:val="273"/>
        </w:numPr>
      </w:pPr>
      <w:r w:rsidRPr="00AE501D">
        <w:t xml:space="preserve">Running averages </w:t>
      </w:r>
      <w:r w:rsidRPr="00610632">
        <w:t>calculated as the average of the current and previous two months.</w:t>
      </w:r>
    </w:p>
    <w:p w14:paraId="0F1504A6" w14:textId="77777777" w:rsidR="00961617" w:rsidRPr="002F5864" w:rsidRDefault="00961617" w:rsidP="0033478B">
      <w:pPr>
        <w:pStyle w:val="Source"/>
      </w:pPr>
      <w:r w:rsidRPr="002F5864">
        <w:rPr>
          <w:b/>
        </w:rPr>
        <w:t>Source</w:t>
      </w:r>
      <w:r w:rsidRPr="002F5864">
        <w:t xml:space="preserve">: </w:t>
      </w:r>
      <w:r w:rsidR="00E13B5E">
        <w:tab/>
      </w:r>
      <w:r w:rsidRPr="002F5864">
        <w:t>Department of Employment</w:t>
      </w:r>
      <w:r>
        <w:t xml:space="preserve"> administrative data.</w:t>
      </w:r>
    </w:p>
    <w:p w14:paraId="34601412" w14:textId="77777777" w:rsidR="00961617" w:rsidRDefault="00864C5E" w:rsidP="00961617">
      <w:pPr>
        <w:rPr>
          <w:sz w:val="18"/>
          <w:szCs w:val="18"/>
        </w:rPr>
      </w:pPr>
      <w:hyperlink w:anchor="Place_A242" w:history="1">
        <w:r w:rsidR="00961617" w:rsidRPr="008C50A7">
          <w:rPr>
            <w:rStyle w:val="Hyperlink"/>
            <w:sz w:val="18"/>
            <w:szCs w:val="18"/>
          </w:rPr>
          <w:t>Return to Figure 10.2</w:t>
        </w:r>
      </w:hyperlink>
      <w:r w:rsidR="00961617" w:rsidRPr="00775AAD">
        <w:rPr>
          <w:sz w:val="18"/>
          <w:szCs w:val="18"/>
        </w:rPr>
        <w:t xml:space="preserve"> where this data is referenced</w:t>
      </w:r>
      <w:r w:rsidR="00961617">
        <w:rPr>
          <w:sz w:val="18"/>
          <w:szCs w:val="18"/>
        </w:rPr>
        <w:t>.</w:t>
      </w:r>
    </w:p>
    <w:p w14:paraId="64EECB9E" w14:textId="77777777" w:rsidR="00961617" w:rsidRDefault="00961617" w:rsidP="00961617">
      <w:pPr>
        <w:rPr>
          <w:sz w:val="18"/>
          <w:szCs w:val="18"/>
        </w:rPr>
        <w:sectPr w:rsidR="00961617" w:rsidSect="00861BD8">
          <w:pgSz w:w="11907" w:h="16839" w:code="9"/>
          <w:pgMar w:top="1440" w:right="1440" w:bottom="1440" w:left="1418" w:header="709" w:footer="284" w:gutter="0"/>
          <w:cols w:space="708"/>
          <w:docGrid w:linePitch="360"/>
        </w:sectPr>
      </w:pPr>
    </w:p>
    <w:p w14:paraId="38066320" w14:textId="77777777" w:rsidR="00961617" w:rsidRDefault="00961617" w:rsidP="00961617">
      <w:pPr>
        <w:pStyle w:val="TableheadingforappendixA1"/>
        <w:rPr>
          <w:rFonts w:cstheme="minorHAnsi"/>
          <w:noProof/>
        </w:rPr>
      </w:pPr>
      <w:bookmarkStart w:id="723" w:name="_Toc513129936"/>
      <w:r w:rsidRPr="002F5864">
        <w:rPr>
          <w:rFonts w:cstheme="minorHAnsi"/>
        </w:rPr>
        <w:t>Table A2.</w:t>
      </w:r>
      <w:r>
        <w:rPr>
          <w:rFonts w:cstheme="minorHAnsi"/>
        </w:rPr>
        <w:t>43:</w:t>
      </w:r>
      <w:r w:rsidRPr="002F5864">
        <w:rPr>
          <w:rFonts w:cstheme="minorHAnsi"/>
          <w:noProof/>
        </w:rPr>
        <w:t xml:space="preserve"> </w:t>
      </w:r>
      <w:r w:rsidRPr="002A49E8">
        <w:t>EPF expenditure by category</w:t>
      </w:r>
      <w:r>
        <w:t>, JSA 2009 and JSA 2012, and by year (per cent)</w:t>
      </w:r>
      <w:bookmarkEnd w:id="723"/>
    </w:p>
    <w:tbl>
      <w:tblPr>
        <w:tblW w:w="12914" w:type="dxa"/>
        <w:tblInd w:w="93" w:type="dxa"/>
        <w:tblLook w:val="04A0" w:firstRow="1" w:lastRow="0" w:firstColumn="1" w:lastColumn="0" w:noHBand="0" w:noVBand="1"/>
      </w:tblPr>
      <w:tblGrid>
        <w:gridCol w:w="3559"/>
        <w:gridCol w:w="1134"/>
        <w:gridCol w:w="1275"/>
        <w:gridCol w:w="1134"/>
        <w:gridCol w:w="1134"/>
        <w:gridCol w:w="1134"/>
        <w:gridCol w:w="1134"/>
        <w:gridCol w:w="1276"/>
        <w:gridCol w:w="1134"/>
      </w:tblGrid>
      <w:tr w:rsidR="00961617" w:rsidRPr="00961617" w14:paraId="74DA6EF5" w14:textId="77777777" w:rsidTr="0020771F">
        <w:trPr>
          <w:trHeight w:hRule="exact" w:val="340"/>
          <w:tblHeader/>
        </w:trPr>
        <w:tc>
          <w:tcPr>
            <w:tcW w:w="3559" w:type="dxa"/>
            <w:tcBorders>
              <w:top w:val="nil"/>
              <w:left w:val="nil"/>
              <w:bottom w:val="nil"/>
              <w:right w:val="nil"/>
            </w:tcBorders>
            <w:shd w:val="clear" w:color="auto" w:fill="1E3D6B"/>
            <w:noWrap/>
            <w:vAlign w:val="center"/>
            <w:hideMark/>
          </w:tcPr>
          <w:p w14:paraId="68158203" w14:textId="77777777" w:rsidR="00961617" w:rsidRPr="00961617" w:rsidRDefault="00961617" w:rsidP="0064166F">
            <w:pPr>
              <w:spacing w:after="0" w:line="240" w:lineRule="auto"/>
              <w:rPr>
                <w:rFonts w:eastAsia="Times New Roman" w:cstheme="minorHAnsi"/>
                <w:b/>
                <w:color w:val="FFFFFF" w:themeColor="background2"/>
                <w:sz w:val="20"/>
                <w:szCs w:val="20"/>
                <w:lang w:eastAsia="en-AU"/>
              </w:rPr>
            </w:pPr>
            <w:bookmarkStart w:id="724" w:name="Title_A243"/>
            <w:bookmarkEnd w:id="724"/>
            <w:r w:rsidRPr="00961617">
              <w:rPr>
                <w:rFonts w:eastAsia="Times New Roman" w:cstheme="minorHAnsi"/>
                <w:b/>
                <w:color w:val="FFFFFF" w:themeColor="background2"/>
                <w:sz w:val="20"/>
                <w:szCs w:val="20"/>
                <w:lang w:eastAsia="en-AU"/>
              </w:rPr>
              <w:t>EPF expenditure category</w:t>
            </w:r>
          </w:p>
        </w:tc>
        <w:tc>
          <w:tcPr>
            <w:tcW w:w="1134" w:type="dxa"/>
            <w:tcBorders>
              <w:top w:val="nil"/>
              <w:left w:val="nil"/>
              <w:bottom w:val="nil"/>
              <w:right w:val="nil"/>
            </w:tcBorders>
            <w:shd w:val="clear" w:color="auto" w:fill="1E3D6B"/>
            <w:noWrap/>
            <w:vAlign w:val="center"/>
            <w:hideMark/>
          </w:tcPr>
          <w:p w14:paraId="1C29A08F"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2009-10</w:t>
            </w:r>
          </w:p>
        </w:tc>
        <w:tc>
          <w:tcPr>
            <w:tcW w:w="1275" w:type="dxa"/>
            <w:tcBorders>
              <w:top w:val="nil"/>
              <w:left w:val="nil"/>
              <w:bottom w:val="nil"/>
              <w:right w:val="nil"/>
            </w:tcBorders>
            <w:shd w:val="clear" w:color="auto" w:fill="1E3D6B"/>
            <w:noWrap/>
            <w:vAlign w:val="center"/>
            <w:hideMark/>
          </w:tcPr>
          <w:p w14:paraId="04013DE8"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2010-11</w:t>
            </w:r>
          </w:p>
        </w:tc>
        <w:tc>
          <w:tcPr>
            <w:tcW w:w="1134" w:type="dxa"/>
            <w:tcBorders>
              <w:top w:val="nil"/>
              <w:left w:val="nil"/>
              <w:bottom w:val="nil"/>
              <w:right w:val="nil"/>
            </w:tcBorders>
            <w:shd w:val="clear" w:color="auto" w:fill="1E3D6B"/>
            <w:noWrap/>
            <w:vAlign w:val="center"/>
            <w:hideMark/>
          </w:tcPr>
          <w:p w14:paraId="3EB0AA59"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2011-12</w:t>
            </w:r>
          </w:p>
        </w:tc>
        <w:tc>
          <w:tcPr>
            <w:tcW w:w="1134" w:type="dxa"/>
            <w:tcBorders>
              <w:top w:val="nil"/>
              <w:left w:val="nil"/>
              <w:bottom w:val="nil"/>
              <w:right w:val="nil"/>
            </w:tcBorders>
            <w:shd w:val="clear" w:color="auto" w:fill="1E3D6B"/>
            <w:noWrap/>
            <w:vAlign w:val="center"/>
            <w:hideMark/>
          </w:tcPr>
          <w:p w14:paraId="1A83F399"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2012-13</w:t>
            </w:r>
          </w:p>
        </w:tc>
        <w:tc>
          <w:tcPr>
            <w:tcW w:w="1134" w:type="dxa"/>
            <w:tcBorders>
              <w:top w:val="nil"/>
              <w:left w:val="nil"/>
              <w:bottom w:val="nil"/>
              <w:right w:val="nil"/>
            </w:tcBorders>
            <w:shd w:val="clear" w:color="auto" w:fill="1E3D6B"/>
            <w:noWrap/>
            <w:vAlign w:val="center"/>
            <w:hideMark/>
          </w:tcPr>
          <w:p w14:paraId="5324F133"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2013-14</w:t>
            </w:r>
          </w:p>
        </w:tc>
        <w:tc>
          <w:tcPr>
            <w:tcW w:w="1134" w:type="dxa"/>
            <w:tcBorders>
              <w:top w:val="nil"/>
              <w:left w:val="nil"/>
              <w:bottom w:val="nil"/>
              <w:right w:val="nil"/>
            </w:tcBorders>
            <w:shd w:val="clear" w:color="auto" w:fill="1E3D6B"/>
            <w:noWrap/>
            <w:vAlign w:val="center"/>
            <w:hideMark/>
          </w:tcPr>
          <w:p w14:paraId="4B460958"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2014-15</w:t>
            </w:r>
          </w:p>
        </w:tc>
        <w:tc>
          <w:tcPr>
            <w:tcW w:w="1276" w:type="dxa"/>
            <w:tcBorders>
              <w:top w:val="nil"/>
              <w:left w:val="nil"/>
              <w:bottom w:val="nil"/>
              <w:right w:val="nil"/>
            </w:tcBorders>
            <w:shd w:val="clear" w:color="auto" w:fill="1E3D6B"/>
            <w:noWrap/>
            <w:vAlign w:val="center"/>
            <w:hideMark/>
          </w:tcPr>
          <w:p w14:paraId="58E14A50"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JSA 2009</w:t>
            </w:r>
          </w:p>
        </w:tc>
        <w:tc>
          <w:tcPr>
            <w:tcW w:w="1134" w:type="dxa"/>
            <w:tcBorders>
              <w:top w:val="nil"/>
              <w:left w:val="nil"/>
              <w:bottom w:val="nil"/>
              <w:right w:val="nil"/>
            </w:tcBorders>
            <w:shd w:val="clear" w:color="auto" w:fill="1E3D6B"/>
            <w:noWrap/>
            <w:vAlign w:val="center"/>
            <w:hideMark/>
          </w:tcPr>
          <w:p w14:paraId="55ECB4A1"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JSA 2012</w:t>
            </w:r>
          </w:p>
        </w:tc>
      </w:tr>
      <w:tr w:rsidR="00961617" w:rsidRPr="00961617" w14:paraId="718B0277" w14:textId="77777777" w:rsidTr="0020771F">
        <w:trPr>
          <w:trHeight w:hRule="exact" w:val="340"/>
        </w:trPr>
        <w:tc>
          <w:tcPr>
            <w:tcW w:w="3559" w:type="dxa"/>
            <w:tcBorders>
              <w:top w:val="nil"/>
              <w:left w:val="nil"/>
              <w:bottom w:val="nil"/>
              <w:right w:val="nil"/>
            </w:tcBorders>
            <w:shd w:val="clear" w:color="auto" w:fill="auto"/>
            <w:noWrap/>
            <w:vAlign w:val="center"/>
            <w:hideMark/>
          </w:tcPr>
          <w:p w14:paraId="7ADFB17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Training course</w:t>
            </w:r>
          </w:p>
        </w:tc>
        <w:tc>
          <w:tcPr>
            <w:tcW w:w="1134" w:type="dxa"/>
            <w:tcBorders>
              <w:top w:val="nil"/>
              <w:left w:val="nil"/>
              <w:bottom w:val="nil"/>
              <w:right w:val="nil"/>
            </w:tcBorders>
            <w:shd w:val="clear" w:color="auto" w:fill="auto"/>
            <w:noWrap/>
            <w:vAlign w:val="center"/>
            <w:hideMark/>
          </w:tcPr>
          <w:p w14:paraId="72A8748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37.9</w:t>
            </w:r>
          </w:p>
        </w:tc>
        <w:tc>
          <w:tcPr>
            <w:tcW w:w="1275" w:type="dxa"/>
            <w:tcBorders>
              <w:top w:val="nil"/>
              <w:left w:val="nil"/>
              <w:bottom w:val="nil"/>
              <w:right w:val="nil"/>
            </w:tcBorders>
            <w:shd w:val="clear" w:color="auto" w:fill="auto"/>
            <w:noWrap/>
            <w:vAlign w:val="center"/>
            <w:hideMark/>
          </w:tcPr>
          <w:p w14:paraId="438C4054"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33.2</w:t>
            </w:r>
          </w:p>
        </w:tc>
        <w:tc>
          <w:tcPr>
            <w:tcW w:w="1134" w:type="dxa"/>
            <w:tcBorders>
              <w:top w:val="nil"/>
              <w:left w:val="nil"/>
              <w:bottom w:val="nil"/>
              <w:right w:val="nil"/>
            </w:tcBorders>
            <w:shd w:val="clear" w:color="auto" w:fill="auto"/>
            <w:noWrap/>
            <w:vAlign w:val="center"/>
            <w:hideMark/>
          </w:tcPr>
          <w:p w14:paraId="768CC12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32.7</w:t>
            </w:r>
          </w:p>
        </w:tc>
        <w:tc>
          <w:tcPr>
            <w:tcW w:w="1134" w:type="dxa"/>
            <w:tcBorders>
              <w:top w:val="nil"/>
              <w:left w:val="nil"/>
              <w:bottom w:val="nil"/>
              <w:right w:val="nil"/>
            </w:tcBorders>
            <w:shd w:val="clear" w:color="auto" w:fill="auto"/>
            <w:noWrap/>
            <w:vAlign w:val="center"/>
            <w:hideMark/>
          </w:tcPr>
          <w:p w14:paraId="10DA47C4"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42.0</w:t>
            </w:r>
          </w:p>
        </w:tc>
        <w:tc>
          <w:tcPr>
            <w:tcW w:w="1134" w:type="dxa"/>
            <w:tcBorders>
              <w:top w:val="nil"/>
              <w:left w:val="nil"/>
              <w:bottom w:val="nil"/>
              <w:right w:val="nil"/>
            </w:tcBorders>
            <w:shd w:val="clear" w:color="auto" w:fill="auto"/>
            <w:noWrap/>
            <w:vAlign w:val="center"/>
            <w:hideMark/>
          </w:tcPr>
          <w:p w14:paraId="20FFDAFC"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45.8</w:t>
            </w:r>
          </w:p>
        </w:tc>
        <w:tc>
          <w:tcPr>
            <w:tcW w:w="1134" w:type="dxa"/>
            <w:tcBorders>
              <w:top w:val="nil"/>
              <w:left w:val="nil"/>
              <w:bottom w:val="nil"/>
              <w:right w:val="nil"/>
            </w:tcBorders>
            <w:shd w:val="clear" w:color="auto" w:fill="auto"/>
            <w:noWrap/>
            <w:vAlign w:val="center"/>
            <w:hideMark/>
          </w:tcPr>
          <w:p w14:paraId="1280B28B"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40.4</w:t>
            </w:r>
          </w:p>
        </w:tc>
        <w:tc>
          <w:tcPr>
            <w:tcW w:w="1276" w:type="dxa"/>
            <w:tcBorders>
              <w:top w:val="nil"/>
              <w:left w:val="nil"/>
              <w:bottom w:val="nil"/>
              <w:right w:val="nil"/>
            </w:tcBorders>
            <w:shd w:val="clear" w:color="000000" w:fill="FFFFFF"/>
            <w:noWrap/>
            <w:vAlign w:val="center"/>
            <w:hideMark/>
          </w:tcPr>
          <w:p w14:paraId="6E4E2C6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34.3</w:t>
            </w:r>
          </w:p>
        </w:tc>
        <w:tc>
          <w:tcPr>
            <w:tcW w:w="1134" w:type="dxa"/>
            <w:tcBorders>
              <w:top w:val="nil"/>
              <w:left w:val="nil"/>
              <w:bottom w:val="nil"/>
              <w:right w:val="nil"/>
            </w:tcBorders>
            <w:shd w:val="clear" w:color="000000" w:fill="FFFFFF"/>
            <w:noWrap/>
            <w:vAlign w:val="center"/>
            <w:hideMark/>
          </w:tcPr>
          <w:p w14:paraId="480B38B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42.6</w:t>
            </w:r>
          </w:p>
        </w:tc>
      </w:tr>
      <w:tr w:rsidR="00961617" w:rsidRPr="00961617" w14:paraId="0F755C37" w14:textId="77777777" w:rsidTr="0020771F">
        <w:trPr>
          <w:trHeight w:hRule="exact" w:val="340"/>
        </w:trPr>
        <w:tc>
          <w:tcPr>
            <w:tcW w:w="3559" w:type="dxa"/>
            <w:tcBorders>
              <w:top w:val="nil"/>
              <w:left w:val="nil"/>
              <w:bottom w:val="nil"/>
              <w:right w:val="nil"/>
            </w:tcBorders>
            <w:shd w:val="clear" w:color="auto" w:fill="E5E5E5" w:themeFill="background1" w:themeFillTint="33"/>
            <w:noWrap/>
            <w:vAlign w:val="center"/>
            <w:hideMark/>
          </w:tcPr>
          <w:p w14:paraId="7CEA8E7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Wage subsidy</w:t>
            </w:r>
          </w:p>
        </w:tc>
        <w:tc>
          <w:tcPr>
            <w:tcW w:w="1134" w:type="dxa"/>
            <w:tcBorders>
              <w:top w:val="nil"/>
              <w:left w:val="nil"/>
              <w:bottom w:val="nil"/>
              <w:right w:val="nil"/>
            </w:tcBorders>
            <w:shd w:val="clear" w:color="auto" w:fill="E5E5E5" w:themeFill="background1" w:themeFillTint="33"/>
            <w:noWrap/>
            <w:vAlign w:val="center"/>
            <w:hideMark/>
          </w:tcPr>
          <w:p w14:paraId="4D6808D4"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13.7</w:t>
            </w:r>
          </w:p>
        </w:tc>
        <w:tc>
          <w:tcPr>
            <w:tcW w:w="1275" w:type="dxa"/>
            <w:tcBorders>
              <w:top w:val="nil"/>
              <w:left w:val="nil"/>
              <w:bottom w:val="nil"/>
              <w:right w:val="nil"/>
            </w:tcBorders>
            <w:shd w:val="clear" w:color="auto" w:fill="E5E5E5" w:themeFill="background1" w:themeFillTint="33"/>
            <w:noWrap/>
            <w:vAlign w:val="center"/>
            <w:hideMark/>
          </w:tcPr>
          <w:p w14:paraId="2B277D44"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22.5</w:t>
            </w:r>
          </w:p>
        </w:tc>
        <w:tc>
          <w:tcPr>
            <w:tcW w:w="1134" w:type="dxa"/>
            <w:tcBorders>
              <w:top w:val="nil"/>
              <w:left w:val="nil"/>
              <w:bottom w:val="nil"/>
              <w:right w:val="nil"/>
            </w:tcBorders>
            <w:shd w:val="clear" w:color="auto" w:fill="E5E5E5" w:themeFill="background1" w:themeFillTint="33"/>
            <w:noWrap/>
            <w:vAlign w:val="center"/>
            <w:hideMark/>
          </w:tcPr>
          <w:p w14:paraId="24FD61C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22.1</w:t>
            </w:r>
          </w:p>
        </w:tc>
        <w:tc>
          <w:tcPr>
            <w:tcW w:w="1134" w:type="dxa"/>
            <w:tcBorders>
              <w:top w:val="nil"/>
              <w:left w:val="nil"/>
              <w:bottom w:val="nil"/>
              <w:right w:val="nil"/>
            </w:tcBorders>
            <w:shd w:val="clear" w:color="auto" w:fill="E5E5E5" w:themeFill="background1" w:themeFillTint="33"/>
            <w:noWrap/>
            <w:vAlign w:val="center"/>
            <w:hideMark/>
          </w:tcPr>
          <w:p w14:paraId="279D2BD2"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14.4</w:t>
            </w:r>
          </w:p>
        </w:tc>
        <w:tc>
          <w:tcPr>
            <w:tcW w:w="1134" w:type="dxa"/>
            <w:tcBorders>
              <w:top w:val="nil"/>
              <w:left w:val="nil"/>
              <w:bottom w:val="nil"/>
              <w:right w:val="nil"/>
            </w:tcBorders>
            <w:shd w:val="clear" w:color="auto" w:fill="E5E5E5" w:themeFill="background1" w:themeFillTint="33"/>
            <w:noWrap/>
            <w:vAlign w:val="center"/>
            <w:hideMark/>
          </w:tcPr>
          <w:p w14:paraId="53A6DBEC"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17.7</w:t>
            </w:r>
          </w:p>
        </w:tc>
        <w:tc>
          <w:tcPr>
            <w:tcW w:w="1134" w:type="dxa"/>
            <w:tcBorders>
              <w:top w:val="nil"/>
              <w:left w:val="nil"/>
              <w:bottom w:val="nil"/>
              <w:right w:val="nil"/>
            </w:tcBorders>
            <w:shd w:val="clear" w:color="auto" w:fill="E5E5E5" w:themeFill="background1" w:themeFillTint="33"/>
            <w:noWrap/>
            <w:vAlign w:val="center"/>
            <w:hideMark/>
          </w:tcPr>
          <w:p w14:paraId="434FD542"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24.3</w:t>
            </w:r>
          </w:p>
        </w:tc>
        <w:tc>
          <w:tcPr>
            <w:tcW w:w="1276" w:type="dxa"/>
            <w:tcBorders>
              <w:top w:val="nil"/>
              <w:left w:val="nil"/>
              <w:bottom w:val="nil"/>
              <w:right w:val="nil"/>
            </w:tcBorders>
            <w:shd w:val="clear" w:color="auto" w:fill="E5E5E5" w:themeFill="background1" w:themeFillTint="33"/>
            <w:noWrap/>
            <w:vAlign w:val="center"/>
            <w:hideMark/>
          </w:tcPr>
          <w:p w14:paraId="68B52DB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20.0</w:t>
            </w:r>
          </w:p>
        </w:tc>
        <w:tc>
          <w:tcPr>
            <w:tcW w:w="1134" w:type="dxa"/>
            <w:tcBorders>
              <w:top w:val="nil"/>
              <w:left w:val="nil"/>
              <w:bottom w:val="nil"/>
              <w:right w:val="nil"/>
            </w:tcBorders>
            <w:shd w:val="clear" w:color="auto" w:fill="E5E5E5" w:themeFill="background1" w:themeFillTint="33"/>
            <w:noWrap/>
            <w:vAlign w:val="center"/>
            <w:hideMark/>
          </w:tcPr>
          <w:p w14:paraId="09A80FDE"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19.2</w:t>
            </w:r>
          </w:p>
        </w:tc>
      </w:tr>
      <w:tr w:rsidR="00961617" w:rsidRPr="00961617" w14:paraId="0232FED4" w14:textId="77777777" w:rsidTr="0020771F">
        <w:trPr>
          <w:trHeight w:hRule="exact" w:val="340"/>
        </w:trPr>
        <w:tc>
          <w:tcPr>
            <w:tcW w:w="3559" w:type="dxa"/>
            <w:tcBorders>
              <w:top w:val="nil"/>
              <w:left w:val="nil"/>
              <w:bottom w:val="nil"/>
              <w:right w:val="nil"/>
            </w:tcBorders>
            <w:shd w:val="clear" w:color="auto" w:fill="auto"/>
            <w:noWrap/>
            <w:vAlign w:val="center"/>
            <w:hideMark/>
          </w:tcPr>
          <w:p w14:paraId="245F7609"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Provider services</w:t>
            </w:r>
          </w:p>
        </w:tc>
        <w:tc>
          <w:tcPr>
            <w:tcW w:w="1134" w:type="dxa"/>
            <w:tcBorders>
              <w:top w:val="nil"/>
              <w:left w:val="nil"/>
              <w:bottom w:val="nil"/>
              <w:right w:val="nil"/>
            </w:tcBorders>
            <w:shd w:val="clear" w:color="auto" w:fill="auto"/>
            <w:noWrap/>
            <w:vAlign w:val="center"/>
            <w:hideMark/>
          </w:tcPr>
          <w:p w14:paraId="7D3FF8C1"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13.4</w:t>
            </w:r>
          </w:p>
        </w:tc>
        <w:tc>
          <w:tcPr>
            <w:tcW w:w="1275" w:type="dxa"/>
            <w:tcBorders>
              <w:top w:val="nil"/>
              <w:left w:val="nil"/>
              <w:bottom w:val="nil"/>
              <w:right w:val="nil"/>
            </w:tcBorders>
            <w:shd w:val="clear" w:color="auto" w:fill="auto"/>
            <w:noWrap/>
            <w:vAlign w:val="center"/>
            <w:hideMark/>
          </w:tcPr>
          <w:p w14:paraId="1A36FAE1"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12.3</w:t>
            </w:r>
          </w:p>
        </w:tc>
        <w:tc>
          <w:tcPr>
            <w:tcW w:w="1134" w:type="dxa"/>
            <w:tcBorders>
              <w:top w:val="nil"/>
              <w:left w:val="nil"/>
              <w:bottom w:val="nil"/>
              <w:right w:val="nil"/>
            </w:tcBorders>
            <w:shd w:val="clear" w:color="auto" w:fill="auto"/>
            <w:noWrap/>
            <w:vAlign w:val="center"/>
            <w:hideMark/>
          </w:tcPr>
          <w:p w14:paraId="4A433978"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13.1</w:t>
            </w:r>
          </w:p>
        </w:tc>
        <w:tc>
          <w:tcPr>
            <w:tcW w:w="1134" w:type="dxa"/>
            <w:tcBorders>
              <w:top w:val="nil"/>
              <w:left w:val="nil"/>
              <w:bottom w:val="nil"/>
              <w:right w:val="nil"/>
            </w:tcBorders>
            <w:shd w:val="clear" w:color="auto" w:fill="auto"/>
            <w:noWrap/>
            <w:vAlign w:val="center"/>
            <w:hideMark/>
          </w:tcPr>
          <w:p w14:paraId="10007F1F"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11.0</w:t>
            </w:r>
          </w:p>
        </w:tc>
        <w:tc>
          <w:tcPr>
            <w:tcW w:w="1134" w:type="dxa"/>
            <w:tcBorders>
              <w:top w:val="nil"/>
              <w:left w:val="nil"/>
              <w:bottom w:val="nil"/>
              <w:right w:val="nil"/>
            </w:tcBorders>
            <w:shd w:val="clear" w:color="auto" w:fill="auto"/>
            <w:noWrap/>
            <w:vAlign w:val="center"/>
            <w:hideMark/>
          </w:tcPr>
          <w:p w14:paraId="7E198985"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w:t>
            </w:r>
          </w:p>
        </w:tc>
        <w:tc>
          <w:tcPr>
            <w:tcW w:w="1134" w:type="dxa"/>
            <w:tcBorders>
              <w:top w:val="nil"/>
              <w:left w:val="nil"/>
              <w:bottom w:val="nil"/>
              <w:right w:val="nil"/>
            </w:tcBorders>
            <w:shd w:val="clear" w:color="auto" w:fill="auto"/>
            <w:noWrap/>
            <w:vAlign w:val="center"/>
            <w:hideMark/>
          </w:tcPr>
          <w:p w14:paraId="34BDBB8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3.5</w:t>
            </w:r>
          </w:p>
        </w:tc>
        <w:tc>
          <w:tcPr>
            <w:tcW w:w="1276" w:type="dxa"/>
            <w:tcBorders>
              <w:top w:val="nil"/>
              <w:left w:val="nil"/>
              <w:bottom w:val="nil"/>
              <w:right w:val="nil"/>
            </w:tcBorders>
            <w:shd w:val="clear" w:color="000000" w:fill="FFFFFF"/>
            <w:noWrap/>
            <w:vAlign w:val="center"/>
            <w:hideMark/>
          </w:tcPr>
          <w:p w14:paraId="6DD0594C"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12.9</w:t>
            </w:r>
          </w:p>
        </w:tc>
        <w:tc>
          <w:tcPr>
            <w:tcW w:w="1134" w:type="dxa"/>
            <w:tcBorders>
              <w:top w:val="nil"/>
              <w:left w:val="nil"/>
              <w:bottom w:val="nil"/>
              <w:right w:val="nil"/>
            </w:tcBorders>
            <w:shd w:val="clear" w:color="000000" w:fill="FFFFFF"/>
            <w:noWrap/>
            <w:vAlign w:val="center"/>
            <w:hideMark/>
          </w:tcPr>
          <w:p w14:paraId="6CFEB357"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6.3</w:t>
            </w:r>
          </w:p>
        </w:tc>
      </w:tr>
      <w:tr w:rsidR="00961617" w:rsidRPr="00961617" w14:paraId="5E1DB414" w14:textId="77777777" w:rsidTr="0020771F">
        <w:trPr>
          <w:trHeight w:hRule="exact" w:val="340"/>
        </w:trPr>
        <w:tc>
          <w:tcPr>
            <w:tcW w:w="3559" w:type="dxa"/>
            <w:tcBorders>
              <w:top w:val="nil"/>
              <w:left w:val="nil"/>
              <w:bottom w:val="nil"/>
              <w:right w:val="nil"/>
            </w:tcBorders>
            <w:shd w:val="clear" w:color="auto" w:fill="E5E5E5" w:themeFill="background1" w:themeFillTint="33"/>
            <w:noWrap/>
            <w:vAlign w:val="center"/>
            <w:hideMark/>
          </w:tcPr>
          <w:p w14:paraId="7966C5F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Professional services</w:t>
            </w:r>
          </w:p>
        </w:tc>
        <w:tc>
          <w:tcPr>
            <w:tcW w:w="1134" w:type="dxa"/>
            <w:tcBorders>
              <w:top w:val="nil"/>
              <w:left w:val="nil"/>
              <w:bottom w:val="nil"/>
              <w:right w:val="nil"/>
            </w:tcBorders>
            <w:shd w:val="clear" w:color="auto" w:fill="E5E5E5" w:themeFill="background1" w:themeFillTint="33"/>
            <w:noWrap/>
            <w:vAlign w:val="center"/>
            <w:hideMark/>
          </w:tcPr>
          <w:p w14:paraId="76C62C8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9.5</w:t>
            </w:r>
          </w:p>
        </w:tc>
        <w:tc>
          <w:tcPr>
            <w:tcW w:w="1275" w:type="dxa"/>
            <w:tcBorders>
              <w:top w:val="nil"/>
              <w:left w:val="nil"/>
              <w:bottom w:val="nil"/>
              <w:right w:val="nil"/>
            </w:tcBorders>
            <w:shd w:val="clear" w:color="auto" w:fill="E5E5E5" w:themeFill="background1" w:themeFillTint="33"/>
            <w:noWrap/>
            <w:vAlign w:val="center"/>
            <w:hideMark/>
          </w:tcPr>
          <w:p w14:paraId="2BA697F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w:t>
            </w:r>
          </w:p>
        </w:tc>
        <w:tc>
          <w:tcPr>
            <w:tcW w:w="1134" w:type="dxa"/>
            <w:tcBorders>
              <w:top w:val="nil"/>
              <w:left w:val="nil"/>
              <w:bottom w:val="nil"/>
              <w:right w:val="nil"/>
            </w:tcBorders>
            <w:shd w:val="clear" w:color="auto" w:fill="E5E5E5" w:themeFill="background1" w:themeFillTint="33"/>
            <w:noWrap/>
            <w:vAlign w:val="center"/>
            <w:hideMark/>
          </w:tcPr>
          <w:p w14:paraId="31201095"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7.3</w:t>
            </w:r>
          </w:p>
        </w:tc>
        <w:tc>
          <w:tcPr>
            <w:tcW w:w="1134" w:type="dxa"/>
            <w:tcBorders>
              <w:top w:val="nil"/>
              <w:left w:val="nil"/>
              <w:bottom w:val="nil"/>
              <w:right w:val="nil"/>
            </w:tcBorders>
            <w:shd w:val="clear" w:color="auto" w:fill="E5E5E5" w:themeFill="background1" w:themeFillTint="33"/>
            <w:noWrap/>
            <w:vAlign w:val="center"/>
            <w:hideMark/>
          </w:tcPr>
          <w:p w14:paraId="3628ECA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w:t>
            </w:r>
          </w:p>
        </w:tc>
        <w:tc>
          <w:tcPr>
            <w:tcW w:w="1134" w:type="dxa"/>
            <w:tcBorders>
              <w:top w:val="nil"/>
              <w:left w:val="nil"/>
              <w:bottom w:val="nil"/>
              <w:right w:val="nil"/>
            </w:tcBorders>
            <w:shd w:val="clear" w:color="auto" w:fill="E5E5E5" w:themeFill="background1" w:themeFillTint="33"/>
            <w:noWrap/>
            <w:vAlign w:val="center"/>
            <w:hideMark/>
          </w:tcPr>
          <w:p w14:paraId="5B0BE2A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7.5</w:t>
            </w:r>
          </w:p>
        </w:tc>
        <w:tc>
          <w:tcPr>
            <w:tcW w:w="1134" w:type="dxa"/>
            <w:tcBorders>
              <w:top w:val="nil"/>
              <w:left w:val="nil"/>
              <w:bottom w:val="nil"/>
              <w:right w:val="nil"/>
            </w:tcBorders>
            <w:shd w:val="clear" w:color="auto" w:fill="E5E5E5" w:themeFill="background1" w:themeFillTint="33"/>
            <w:noWrap/>
            <w:vAlign w:val="center"/>
            <w:hideMark/>
          </w:tcPr>
          <w:p w14:paraId="72027FD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w:t>
            </w:r>
          </w:p>
        </w:tc>
        <w:tc>
          <w:tcPr>
            <w:tcW w:w="1276" w:type="dxa"/>
            <w:tcBorders>
              <w:top w:val="nil"/>
              <w:left w:val="nil"/>
              <w:bottom w:val="nil"/>
              <w:right w:val="nil"/>
            </w:tcBorders>
            <w:shd w:val="clear" w:color="auto" w:fill="E5E5E5" w:themeFill="background1" w:themeFillTint="33"/>
            <w:noWrap/>
            <w:vAlign w:val="center"/>
            <w:hideMark/>
          </w:tcPr>
          <w:p w14:paraId="64EF929A"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w:t>
            </w:r>
          </w:p>
        </w:tc>
        <w:tc>
          <w:tcPr>
            <w:tcW w:w="1134" w:type="dxa"/>
            <w:tcBorders>
              <w:top w:val="nil"/>
              <w:left w:val="nil"/>
              <w:bottom w:val="nil"/>
              <w:right w:val="nil"/>
            </w:tcBorders>
            <w:shd w:val="clear" w:color="auto" w:fill="E5E5E5" w:themeFill="background1" w:themeFillTint="33"/>
            <w:noWrap/>
            <w:vAlign w:val="center"/>
            <w:hideMark/>
          </w:tcPr>
          <w:p w14:paraId="55D81801"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w:t>
            </w:r>
          </w:p>
        </w:tc>
      </w:tr>
      <w:tr w:rsidR="00961617" w:rsidRPr="00961617" w14:paraId="15A3CF21" w14:textId="77777777" w:rsidTr="0020771F">
        <w:trPr>
          <w:trHeight w:hRule="exact" w:val="340"/>
        </w:trPr>
        <w:tc>
          <w:tcPr>
            <w:tcW w:w="3559" w:type="dxa"/>
            <w:tcBorders>
              <w:top w:val="nil"/>
              <w:left w:val="nil"/>
              <w:bottom w:val="nil"/>
              <w:right w:val="nil"/>
            </w:tcBorders>
            <w:shd w:val="clear" w:color="auto" w:fill="auto"/>
            <w:noWrap/>
            <w:vAlign w:val="center"/>
            <w:hideMark/>
          </w:tcPr>
          <w:p w14:paraId="34925BA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Work experience group based activities</w:t>
            </w:r>
          </w:p>
        </w:tc>
        <w:tc>
          <w:tcPr>
            <w:tcW w:w="1134" w:type="dxa"/>
            <w:tcBorders>
              <w:top w:val="nil"/>
              <w:left w:val="nil"/>
              <w:bottom w:val="nil"/>
              <w:right w:val="nil"/>
            </w:tcBorders>
            <w:shd w:val="clear" w:color="auto" w:fill="auto"/>
            <w:noWrap/>
            <w:vAlign w:val="center"/>
            <w:hideMark/>
          </w:tcPr>
          <w:p w14:paraId="6DD3D1B7"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w:t>
            </w:r>
          </w:p>
        </w:tc>
        <w:tc>
          <w:tcPr>
            <w:tcW w:w="1275" w:type="dxa"/>
            <w:tcBorders>
              <w:top w:val="nil"/>
              <w:left w:val="nil"/>
              <w:bottom w:val="nil"/>
              <w:right w:val="nil"/>
            </w:tcBorders>
            <w:shd w:val="clear" w:color="auto" w:fill="auto"/>
            <w:noWrap/>
            <w:vAlign w:val="center"/>
            <w:hideMark/>
          </w:tcPr>
          <w:p w14:paraId="72213976"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w:t>
            </w:r>
          </w:p>
        </w:tc>
        <w:tc>
          <w:tcPr>
            <w:tcW w:w="1134" w:type="dxa"/>
            <w:tcBorders>
              <w:top w:val="nil"/>
              <w:left w:val="nil"/>
              <w:bottom w:val="nil"/>
              <w:right w:val="nil"/>
            </w:tcBorders>
            <w:shd w:val="clear" w:color="auto" w:fill="auto"/>
            <w:noWrap/>
            <w:vAlign w:val="center"/>
            <w:hideMark/>
          </w:tcPr>
          <w:p w14:paraId="7FA657E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c>
          <w:tcPr>
            <w:tcW w:w="1134" w:type="dxa"/>
            <w:tcBorders>
              <w:top w:val="nil"/>
              <w:left w:val="nil"/>
              <w:bottom w:val="nil"/>
              <w:right w:val="nil"/>
            </w:tcBorders>
            <w:shd w:val="clear" w:color="auto" w:fill="auto"/>
            <w:noWrap/>
            <w:vAlign w:val="center"/>
            <w:hideMark/>
          </w:tcPr>
          <w:p w14:paraId="2B882D3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8.0</w:t>
            </w:r>
          </w:p>
        </w:tc>
        <w:tc>
          <w:tcPr>
            <w:tcW w:w="1134" w:type="dxa"/>
            <w:tcBorders>
              <w:top w:val="nil"/>
              <w:left w:val="nil"/>
              <w:bottom w:val="nil"/>
              <w:right w:val="nil"/>
            </w:tcBorders>
            <w:shd w:val="clear" w:color="auto" w:fill="auto"/>
            <w:noWrap/>
            <w:vAlign w:val="center"/>
            <w:hideMark/>
          </w:tcPr>
          <w:p w14:paraId="223C46AB"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8.5</w:t>
            </w:r>
          </w:p>
        </w:tc>
        <w:tc>
          <w:tcPr>
            <w:tcW w:w="1134" w:type="dxa"/>
            <w:tcBorders>
              <w:top w:val="nil"/>
              <w:left w:val="nil"/>
              <w:bottom w:val="nil"/>
              <w:right w:val="nil"/>
            </w:tcBorders>
            <w:shd w:val="clear" w:color="auto" w:fill="auto"/>
            <w:noWrap/>
            <w:vAlign w:val="center"/>
            <w:hideMark/>
          </w:tcPr>
          <w:p w14:paraId="7D6FC8D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12.2</w:t>
            </w:r>
          </w:p>
        </w:tc>
        <w:tc>
          <w:tcPr>
            <w:tcW w:w="1276" w:type="dxa"/>
            <w:tcBorders>
              <w:top w:val="nil"/>
              <w:left w:val="nil"/>
              <w:bottom w:val="nil"/>
              <w:right w:val="nil"/>
            </w:tcBorders>
            <w:shd w:val="clear" w:color="000000" w:fill="FFFFFF"/>
            <w:noWrap/>
            <w:vAlign w:val="center"/>
            <w:hideMark/>
          </w:tcPr>
          <w:p w14:paraId="4479AFB6"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c>
          <w:tcPr>
            <w:tcW w:w="1134" w:type="dxa"/>
            <w:tcBorders>
              <w:top w:val="nil"/>
              <w:left w:val="nil"/>
              <w:bottom w:val="nil"/>
              <w:right w:val="nil"/>
            </w:tcBorders>
            <w:shd w:val="clear" w:color="000000" w:fill="FFFFFF"/>
            <w:noWrap/>
            <w:vAlign w:val="center"/>
            <w:hideMark/>
          </w:tcPr>
          <w:p w14:paraId="0B56A27A"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9.7</w:t>
            </w:r>
          </w:p>
        </w:tc>
      </w:tr>
      <w:tr w:rsidR="00961617" w:rsidRPr="00961617" w14:paraId="60216E1D" w14:textId="77777777" w:rsidTr="0020771F">
        <w:trPr>
          <w:trHeight w:hRule="exact" w:val="340"/>
        </w:trPr>
        <w:tc>
          <w:tcPr>
            <w:tcW w:w="3559" w:type="dxa"/>
            <w:tcBorders>
              <w:top w:val="nil"/>
              <w:left w:val="nil"/>
              <w:bottom w:val="nil"/>
              <w:right w:val="nil"/>
            </w:tcBorders>
            <w:shd w:val="clear" w:color="auto" w:fill="E5E5E5" w:themeFill="background1" w:themeFillTint="33"/>
            <w:noWrap/>
            <w:vAlign w:val="center"/>
            <w:hideMark/>
          </w:tcPr>
          <w:p w14:paraId="484DF04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Transport &amp; licensing assistance</w:t>
            </w:r>
          </w:p>
        </w:tc>
        <w:tc>
          <w:tcPr>
            <w:tcW w:w="1134" w:type="dxa"/>
            <w:tcBorders>
              <w:top w:val="nil"/>
              <w:left w:val="nil"/>
              <w:bottom w:val="nil"/>
              <w:right w:val="nil"/>
            </w:tcBorders>
            <w:shd w:val="clear" w:color="auto" w:fill="E5E5E5" w:themeFill="background1" w:themeFillTint="33"/>
            <w:noWrap/>
            <w:vAlign w:val="center"/>
            <w:hideMark/>
          </w:tcPr>
          <w:p w14:paraId="710835C6"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w:t>
            </w:r>
          </w:p>
        </w:tc>
        <w:tc>
          <w:tcPr>
            <w:tcW w:w="1275" w:type="dxa"/>
            <w:tcBorders>
              <w:top w:val="nil"/>
              <w:left w:val="nil"/>
              <w:bottom w:val="nil"/>
              <w:right w:val="nil"/>
            </w:tcBorders>
            <w:shd w:val="clear" w:color="auto" w:fill="E5E5E5" w:themeFill="background1" w:themeFillTint="33"/>
            <w:noWrap/>
            <w:vAlign w:val="center"/>
            <w:hideMark/>
          </w:tcPr>
          <w:p w14:paraId="6303E68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w:t>
            </w:r>
          </w:p>
        </w:tc>
        <w:tc>
          <w:tcPr>
            <w:tcW w:w="1134" w:type="dxa"/>
            <w:tcBorders>
              <w:top w:val="nil"/>
              <w:left w:val="nil"/>
              <w:bottom w:val="nil"/>
              <w:right w:val="nil"/>
            </w:tcBorders>
            <w:shd w:val="clear" w:color="auto" w:fill="E5E5E5" w:themeFill="background1" w:themeFillTint="33"/>
            <w:noWrap/>
            <w:vAlign w:val="center"/>
            <w:hideMark/>
          </w:tcPr>
          <w:p w14:paraId="27B00E7B"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w:t>
            </w:r>
          </w:p>
        </w:tc>
        <w:tc>
          <w:tcPr>
            <w:tcW w:w="1134" w:type="dxa"/>
            <w:tcBorders>
              <w:top w:val="nil"/>
              <w:left w:val="nil"/>
              <w:bottom w:val="nil"/>
              <w:right w:val="nil"/>
            </w:tcBorders>
            <w:shd w:val="clear" w:color="auto" w:fill="E5E5E5" w:themeFill="background1" w:themeFillTint="33"/>
            <w:noWrap/>
            <w:vAlign w:val="center"/>
            <w:hideMark/>
          </w:tcPr>
          <w:p w14:paraId="2828501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w:t>
            </w:r>
          </w:p>
        </w:tc>
        <w:tc>
          <w:tcPr>
            <w:tcW w:w="1134" w:type="dxa"/>
            <w:tcBorders>
              <w:top w:val="nil"/>
              <w:left w:val="nil"/>
              <w:bottom w:val="nil"/>
              <w:right w:val="nil"/>
            </w:tcBorders>
            <w:shd w:val="clear" w:color="auto" w:fill="E5E5E5" w:themeFill="background1" w:themeFillTint="33"/>
            <w:noWrap/>
            <w:vAlign w:val="center"/>
            <w:hideMark/>
          </w:tcPr>
          <w:p w14:paraId="2D94455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c>
          <w:tcPr>
            <w:tcW w:w="1134" w:type="dxa"/>
            <w:tcBorders>
              <w:top w:val="nil"/>
              <w:left w:val="nil"/>
              <w:bottom w:val="nil"/>
              <w:right w:val="nil"/>
            </w:tcBorders>
            <w:shd w:val="clear" w:color="auto" w:fill="E5E5E5" w:themeFill="background1" w:themeFillTint="33"/>
            <w:noWrap/>
            <w:vAlign w:val="center"/>
            <w:hideMark/>
          </w:tcPr>
          <w:p w14:paraId="2C33DD3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4.6</w:t>
            </w:r>
          </w:p>
        </w:tc>
        <w:tc>
          <w:tcPr>
            <w:tcW w:w="1276" w:type="dxa"/>
            <w:tcBorders>
              <w:top w:val="nil"/>
              <w:left w:val="nil"/>
              <w:bottom w:val="nil"/>
              <w:right w:val="nil"/>
            </w:tcBorders>
            <w:shd w:val="clear" w:color="auto" w:fill="E5E5E5" w:themeFill="background1" w:themeFillTint="33"/>
            <w:noWrap/>
            <w:vAlign w:val="center"/>
            <w:hideMark/>
          </w:tcPr>
          <w:p w14:paraId="5CB94D15"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w:t>
            </w:r>
          </w:p>
        </w:tc>
        <w:tc>
          <w:tcPr>
            <w:tcW w:w="1134" w:type="dxa"/>
            <w:tcBorders>
              <w:top w:val="nil"/>
              <w:left w:val="nil"/>
              <w:bottom w:val="nil"/>
              <w:right w:val="nil"/>
            </w:tcBorders>
            <w:shd w:val="clear" w:color="auto" w:fill="E5E5E5" w:themeFill="background1" w:themeFillTint="33"/>
            <w:noWrap/>
            <w:vAlign w:val="center"/>
            <w:hideMark/>
          </w:tcPr>
          <w:p w14:paraId="4BCF05E1"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5.2</w:t>
            </w:r>
          </w:p>
        </w:tc>
      </w:tr>
      <w:tr w:rsidR="00961617" w:rsidRPr="00961617" w14:paraId="461F93A0" w14:textId="77777777" w:rsidTr="0020771F">
        <w:trPr>
          <w:trHeight w:hRule="exact" w:val="340"/>
        </w:trPr>
        <w:tc>
          <w:tcPr>
            <w:tcW w:w="3559" w:type="dxa"/>
            <w:tcBorders>
              <w:top w:val="nil"/>
              <w:left w:val="nil"/>
              <w:bottom w:val="nil"/>
              <w:right w:val="nil"/>
            </w:tcBorders>
            <w:shd w:val="clear" w:color="auto" w:fill="FFFFFF" w:themeFill="background2"/>
            <w:noWrap/>
            <w:vAlign w:val="center"/>
            <w:hideMark/>
          </w:tcPr>
          <w:p w14:paraId="7D8A458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Clothing and presentation</w:t>
            </w:r>
          </w:p>
        </w:tc>
        <w:tc>
          <w:tcPr>
            <w:tcW w:w="1134" w:type="dxa"/>
            <w:tcBorders>
              <w:top w:val="nil"/>
              <w:left w:val="nil"/>
              <w:bottom w:val="nil"/>
              <w:right w:val="nil"/>
            </w:tcBorders>
            <w:shd w:val="clear" w:color="auto" w:fill="FFFFFF" w:themeFill="background2"/>
            <w:noWrap/>
            <w:vAlign w:val="center"/>
            <w:hideMark/>
          </w:tcPr>
          <w:p w14:paraId="3C99EA3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6.3</w:t>
            </w:r>
          </w:p>
        </w:tc>
        <w:tc>
          <w:tcPr>
            <w:tcW w:w="1275" w:type="dxa"/>
            <w:tcBorders>
              <w:top w:val="nil"/>
              <w:left w:val="nil"/>
              <w:bottom w:val="nil"/>
              <w:right w:val="nil"/>
            </w:tcBorders>
            <w:shd w:val="clear" w:color="auto" w:fill="FFFFFF" w:themeFill="background2"/>
            <w:noWrap/>
            <w:vAlign w:val="center"/>
            <w:hideMark/>
          </w:tcPr>
          <w:p w14:paraId="77BC07CA"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w:t>
            </w:r>
          </w:p>
        </w:tc>
        <w:tc>
          <w:tcPr>
            <w:tcW w:w="1134" w:type="dxa"/>
            <w:tcBorders>
              <w:top w:val="nil"/>
              <w:left w:val="nil"/>
              <w:bottom w:val="nil"/>
              <w:right w:val="nil"/>
            </w:tcBorders>
            <w:shd w:val="clear" w:color="auto" w:fill="FFFFFF" w:themeFill="background2"/>
            <w:noWrap/>
            <w:vAlign w:val="center"/>
            <w:hideMark/>
          </w:tcPr>
          <w:p w14:paraId="0383C43A"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c>
          <w:tcPr>
            <w:tcW w:w="1134" w:type="dxa"/>
            <w:tcBorders>
              <w:top w:val="nil"/>
              <w:left w:val="nil"/>
              <w:bottom w:val="nil"/>
              <w:right w:val="nil"/>
            </w:tcBorders>
            <w:shd w:val="clear" w:color="auto" w:fill="FFFFFF" w:themeFill="background2"/>
            <w:noWrap/>
            <w:vAlign w:val="center"/>
            <w:hideMark/>
          </w:tcPr>
          <w:p w14:paraId="710B91A6"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4.9</w:t>
            </w:r>
          </w:p>
        </w:tc>
        <w:tc>
          <w:tcPr>
            <w:tcW w:w="1134" w:type="dxa"/>
            <w:tcBorders>
              <w:top w:val="nil"/>
              <w:left w:val="nil"/>
              <w:bottom w:val="nil"/>
              <w:right w:val="nil"/>
            </w:tcBorders>
            <w:shd w:val="clear" w:color="auto" w:fill="FFFFFF" w:themeFill="background2"/>
            <w:noWrap/>
            <w:vAlign w:val="center"/>
            <w:hideMark/>
          </w:tcPr>
          <w:p w14:paraId="63DF906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w:t>
            </w:r>
          </w:p>
        </w:tc>
        <w:tc>
          <w:tcPr>
            <w:tcW w:w="1134" w:type="dxa"/>
            <w:tcBorders>
              <w:top w:val="nil"/>
              <w:left w:val="nil"/>
              <w:bottom w:val="nil"/>
              <w:right w:val="nil"/>
            </w:tcBorders>
            <w:shd w:val="clear" w:color="auto" w:fill="FFFFFF" w:themeFill="background2"/>
            <w:noWrap/>
            <w:vAlign w:val="center"/>
            <w:hideMark/>
          </w:tcPr>
          <w:p w14:paraId="12B4A102"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3.4</w:t>
            </w:r>
          </w:p>
        </w:tc>
        <w:tc>
          <w:tcPr>
            <w:tcW w:w="1276" w:type="dxa"/>
            <w:tcBorders>
              <w:top w:val="nil"/>
              <w:left w:val="nil"/>
              <w:bottom w:val="nil"/>
              <w:right w:val="nil"/>
            </w:tcBorders>
            <w:shd w:val="clear" w:color="auto" w:fill="FFFFFF" w:themeFill="background2"/>
            <w:noWrap/>
            <w:vAlign w:val="center"/>
            <w:hideMark/>
          </w:tcPr>
          <w:p w14:paraId="3691836C"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5.9</w:t>
            </w:r>
          </w:p>
        </w:tc>
        <w:tc>
          <w:tcPr>
            <w:tcW w:w="1134" w:type="dxa"/>
            <w:tcBorders>
              <w:top w:val="nil"/>
              <w:left w:val="nil"/>
              <w:bottom w:val="nil"/>
              <w:right w:val="nil"/>
            </w:tcBorders>
            <w:shd w:val="clear" w:color="auto" w:fill="FFFFFF" w:themeFill="background2"/>
            <w:noWrap/>
            <w:vAlign w:val="center"/>
            <w:hideMark/>
          </w:tcPr>
          <w:p w14:paraId="076B9AD5"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4.1</w:t>
            </w:r>
          </w:p>
        </w:tc>
      </w:tr>
      <w:tr w:rsidR="00961617" w:rsidRPr="00961617" w14:paraId="0901CE7E" w14:textId="77777777" w:rsidTr="0020771F">
        <w:trPr>
          <w:trHeight w:hRule="exact" w:val="340"/>
        </w:trPr>
        <w:tc>
          <w:tcPr>
            <w:tcW w:w="3559" w:type="dxa"/>
            <w:tcBorders>
              <w:top w:val="nil"/>
              <w:left w:val="nil"/>
              <w:bottom w:val="nil"/>
              <w:right w:val="nil"/>
            </w:tcBorders>
            <w:shd w:val="clear" w:color="auto" w:fill="E5E5E5" w:themeFill="background1" w:themeFillTint="33"/>
            <w:noWrap/>
            <w:vAlign w:val="center"/>
            <w:hideMark/>
          </w:tcPr>
          <w:p w14:paraId="446F4E7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Other</w:t>
            </w:r>
          </w:p>
        </w:tc>
        <w:tc>
          <w:tcPr>
            <w:tcW w:w="1134" w:type="dxa"/>
            <w:tcBorders>
              <w:top w:val="nil"/>
              <w:left w:val="nil"/>
              <w:bottom w:val="nil"/>
              <w:right w:val="nil"/>
            </w:tcBorders>
            <w:shd w:val="clear" w:color="auto" w:fill="E5E5E5" w:themeFill="background1" w:themeFillTint="33"/>
            <w:noWrap/>
            <w:vAlign w:val="center"/>
            <w:hideMark/>
          </w:tcPr>
          <w:p w14:paraId="7D2145C6"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w:t>
            </w:r>
          </w:p>
        </w:tc>
        <w:tc>
          <w:tcPr>
            <w:tcW w:w="1275" w:type="dxa"/>
            <w:tcBorders>
              <w:top w:val="nil"/>
              <w:left w:val="nil"/>
              <w:bottom w:val="nil"/>
              <w:right w:val="nil"/>
            </w:tcBorders>
            <w:shd w:val="clear" w:color="auto" w:fill="E5E5E5" w:themeFill="background1" w:themeFillTint="33"/>
            <w:noWrap/>
            <w:vAlign w:val="center"/>
            <w:hideMark/>
          </w:tcPr>
          <w:p w14:paraId="007EBF62"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8.1</w:t>
            </w:r>
          </w:p>
        </w:tc>
        <w:tc>
          <w:tcPr>
            <w:tcW w:w="1134" w:type="dxa"/>
            <w:tcBorders>
              <w:top w:val="nil"/>
              <w:left w:val="nil"/>
              <w:bottom w:val="nil"/>
              <w:right w:val="nil"/>
            </w:tcBorders>
            <w:shd w:val="clear" w:color="auto" w:fill="E5E5E5" w:themeFill="background1" w:themeFillTint="33"/>
            <w:noWrap/>
            <w:vAlign w:val="center"/>
            <w:hideMark/>
          </w:tcPr>
          <w:p w14:paraId="1980CF3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8.2</w:t>
            </w:r>
          </w:p>
        </w:tc>
        <w:tc>
          <w:tcPr>
            <w:tcW w:w="1134" w:type="dxa"/>
            <w:tcBorders>
              <w:top w:val="nil"/>
              <w:left w:val="nil"/>
              <w:bottom w:val="nil"/>
              <w:right w:val="nil"/>
            </w:tcBorders>
            <w:shd w:val="clear" w:color="auto" w:fill="E5E5E5" w:themeFill="background1" w:themeFillTint="33"/>
            <w:noWrap/>
            <w:vAlign w:val="center"/>
            <w:hideMark/>
          </w:tcPr>
          <w:p w14:paraId="7D9A6F28"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w:t>
            </w:r>
          </w:p>
        </w:tc>
        <w:tc>
          <w:tcPr>
            <w:tcW w:w="1134" w:type="dxa"/>
            <w:tcBorders>
              <w:top w:val="nil"/>
              <w:left w:val="nil"/>
              <w:bottom w:val="nil"/>
              <w:right w:val="nil"/>
            </w:tcBorders>
            <w:shd w:val="clear" w:color="auto" w:fill="E5E5E5" w:themeFill="background1" w:themeFillTint="33"/>
            <w:noWrap/>
            <w:vAlign w:val="center"/>
            <w:hideMark/>
          </w:tcPr>
          <w:p w14:paraId="28A758BE"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c>
          <w:tcPr>
            <w:tcW w:w="1134" w:type="dxa"/>
            <w:tcBorders>
              <w:top w:val="nil"/>
              <w:left w:val="nil"/>
              <w:bottom w:val="nil"/>
              <w:right w:val="nil"/>
            </w:tcBorders>
            <w:shd w:val="clear" w:color="auto" w:fill="E5E5E5" w:themeFill="background1" w:themeFillTint="33"/>
            <w:noWrap/>
            <w:vAlign w:val="center"/>
            <w:hideMark/>
          </w:tcPr>
          <w:p w14:paraId="37042EFD"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5.0</w:t>
            </w:r>
          </w:p>
        </w:tc>
        <w:tc>
          <w:tcPr>
            <w:tcW w:w="1276" w:type="dxa"/>
            <w:tcBorders>
              <w:top w:val="nil"/>
              <w:left w:val="nil"/>
              <w:bottom w:val="nil"/>
              <w:right w:val="nil"/>
            </w:tcBorders>
            <w:shd w:val="clear" w:color="auto" w:fill="E5E5E5" w:themeFill="background1" w:themeFillTint="33"/>
            <w:noWrap/>
            <w:vAlign w:val="center"/>
            <w:hideMark/>
          </w:tcPr>
          <w:p w14:paraId="368B8211"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8.2</w:t>
            </w:r>
          </w:p>
        </w:tc>
        <w:tc>
          <w:tcPr>
            <w:tcW w:w="1134" w:type="dxa"/>
            <w:tcBorders>
              <w:top w:val="nil"/>
              <w:left w:val="nil"/>
              <w:bottom w:val="nil"/>
              <w:right w:val="nil"/>
            </w:tcBorders>
            <w:shd w:val="clear" w:color="auto" w:fill="E5E5E5" w:themeFill="background1" w:themeFillTint="33"/>
            <w:noWrap/>
            <w:vAlign w:val="center"/>
            <w:hideMark/>
          </w:tcPr>
          <w:p w14:paraId="21099E12"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w:t>
            </w:r>
          </w:p>
        </w:tc>
      </w:tr>
      <w:tr w:rsidR="00961617" w:rsidRPr="00961617" w14:paraId="55A9F4EB" w14:textId="77777777" w:rsidTr="0020771F">
        <w:trPr>
          <w:trHeight w:hRule="exact" w:val="340"/>
        </w:trPr>
        <w:tc>
          <w:tcPr>
            <w:tcW w:w="3559" w:type="dxa"/>
            <w:tcBorders>
              <w:top w:val="nil"/>
              <w:left w:val="nil"/>
              <w:bottom w:val="nil"/>
              <w:right w:val="nil"/>
            </w:tcBorders>
            <w:shd w:val="clear" w:color="auto" w:fill="8EAEDE"/>
            <w:noWrap/>
            <w:vAlign w:val="center"/>
            <w:hideMark/>
          </w:tcPr>
          <w:p w14:paraId="255B62DC"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Total</w:t>
            </w:r>
          </w:p>
        </w:tc>
        <w:tc>
          <w:tcPr>
            <w:tcW w:w="1134" w:type="dxa"/>
            <w:tcBorders>
              <w:top w:val="nil"/>
              <w:left w:val="nil"/>
              <w:bottom w:val="nil"/>
              <w:right w:val="nil"/>
            </w:tcBorders>
            <w:shd w:val="clear" w:color="auto" w:fill="8EAEDE"/>
            <w:noWrap/>
            <w:vAlign w:val="center"/>
            <w:hideMark/>
          </w:tcPr>
          <w:p w14:paraId="3DEC5668"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275" w:type="dxa"/>
            <w:tcBorders>
              <w:top w:val="nil"/>
              <w:left w:val="nil"/>
              <w:bottom w:val="nil"/>
              <w:right w:val="nil"/>
            </w:tcBorders>
            <w:shd w:val="clear" w:color="auto" w:fill="8EAEDE"/>
            <w:noWrap/>
            <w:vAlign w:val="center"/>
            <w:hideMark/>
          </w:tcPr>
          <w:p w14:paraId="2EBBAE5F"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134" w:type="dxa"/>
            <w:tcBorders>
              <w:top w:val="nil"/>
              <w:left w:val="nil"/>
              <w:bottom w:val="nil"/>
              <w:right w:val="nil"/>
            </w:tcBorders>
            <w:shd w:val="clear" w:color="auto" w:fill="8EAEDE"/>
            <w:noWrap/>
            <w:vAlign w:val="center"/>
            <w:hideMark/>
          </w:tcPr>
          <w:p w14:paraId="711D3D23"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134" w:type="dxa"/>
            <w:tcBorders>
              <w:top w:val="nil"/>
              <w:left w:val="nil"/>
              <w:bottom w:val="nil"/>
              <w:right w:val="nil"/>
            </w:tcBorders>
            <w:shd w:val="clear" w:color="auto" w:fill="8EAEDE"/>
            <w:noWrap/>
            <w:vAlign w:val="center"/>
            <w:hideMark/>
          </w:tcPr>
          <w:p w14:paraId="09BF64A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134" w:type="dxa"/>
            <w:tcBorders>
              <w:top w:val="nil"/>
              <w:left w:val="nil"/>
              <w:bottom w:val="nil"/>
              <w:right w:val="nil"/>
            </w:tcBorders>
            <w:shd w:val="clear" w:color="auto" w:fill="8EAEDE"/>
            <w:noWrap/>
            <w:vAlign w:val="center"/>
            <w:hideMark/>
          </w:tcPr>
          <w:p w14:paraId="0E83F9D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134" w:type="dxa"/>
            <w:tcBorders>
              <w:top w:val="nil"/>
              <w:left w:val="nil"/>
              <w:bottom w:val="nil"/>
              <w:right w:val="nil"/>
            </w:tcBorders>
            <w:shd w:val="clear" w:color="auto" w:fill="8EAEDE"/>
            <w:noWrap/>
            <w:vAlign w:val="center"/>
            <w:hideMark/>
          </w:tcPr>
          <w:p w14:paraId="78135010"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276" w:type="dxa"/>
            <w:tcBorders>
              <w:top w:val="nil"/>
              <w:left w:val="nil"/>
              <w:bottom w:val="nil"/>
              <w:right w:val="nil"/>
            </w:tcBorders>
            <w:shd w:val="clear" w:color="auto" w:fill="8EAEDE"/>
            <w:noWrap/>
            <w:vAlign w:val="center"/>
            <w:hideMark/>
          </w:tcPr>
          <w:p w14:paraId="17F37C29"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c>
          <w:tcPr>
            <w:tcW w:w="1134" w:type="dxa"/>
            <w:tcBorders>
              <w:top w:val="nil"/>
              <w:left w:val="nil"/>
              <w:bottom w:val="nil"/>
              <w:right w:val="nil"/>
            </w:tcBorders>
            <w:shd w:val="clear" w:color="auto" w:fill="8EAEDE"/>
            <w:noWrap/>
            <w:vAlign w:val="center"/>
            <w:hideMark/>
          </w:tcPr>
          <w:p w14:paraId="72EEFE98" w14:textId="77777777" w:rsidR="00961617" w:rsidRPr="00961617" w:rsidRDefault="00961617" w:rsidP="0020771F">
            <w:pPr>
              <w:spacing w:after="0" w:line="240" w:lineRule="auto"/>
              <w:ind w:left="-62" w:right="102"/>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100.0</w:t>
            </w:r>
          </w:p>
        </w:tc>
      </w:tr>
    </w:tbl>
    <w:p w14:paraId="7425C431" w14:textId="77777777" w:rsidR="00961617" w:rsidRDefault="00961617" w:rsidP="00130B88">
      <w:pPr>
        <w:pStyle w:val="Notes"/>
      </w:pPr>
      <w:r w:rsidRPr="00130B88">
        <w:rPr>
          <w:b/>
        </w:rPr>
        <w:t>Notes</w:t>
      </w:r>
      <w:r>
        <w:t xml:space="preserve">: </w:t>
      </w:r>
    </w:p>
    <w:p w14:paraId="67E4906C" w14:textId="77777777" w:rsidR="00961617" w:rsidRPr="00AE501D" w:rsidRDefault="00961617" w:rsidP="00AE501D">
      <w:pPr>
        <w:pStyle w:val="Notesnumbered"/>
        <w:numPr>
          <w:ilvl w:val="0"/>
          <w:numId w:val="274"/>
        </w:numPr>
      </w:pPr>
      <w:r>
        <w:t>J</w:t>
      </w:r>
      <w:r w:rsidRPr="00AF3E0D">
        <w:t xml:space="preserve">ob </w:t>
      </w:r>
      <w:r w:rsidRPr="00AE501D">
        <w:t>seekers may be assisted in more than one category. They may be assisted in more than one financial year, but only once in each three year model.</w:t>
      </w:r>
    </w:p>
    <w:p w14:paraId="46856C8E" w14:textId="77777777" w:rsidR="00961617" w:rsidRPr="00AE501D" w:rsidRDefault="00961617" w:rsidP="00AE501D">
      <w:pPr>
        <w:pStyle w:val="Notesnumbered"/>
        <w:numPr>
          <w:ilvl w:val="0"/>
          <w:numId w:val="274"/>
        </w:numPr>
      </w:pPr>
      <w:r w:rsidRPr="00AE501D">
        <w:t>Excludes a small amount of EPF commitments (less than 0.5 per cent of total EPF expenditure) that had not been reimbursed at the time that data was extracted.</w:t>
      </w:r>
    </w:p>
    <w:p w14:paraId="07A25DF4" w14:textId="77777777" w:rsidR="00961617" w:rsidRPr="00AE501D" w:rsidRDefault="00961617" w:rsidP="00AE501D">
      <w:pPr>
        <w:pStyle w:val="Notesnumbered"/>
        <w:numPr>
          <w:ilvl w:val="0"/>
          <w:numId w:val="274"/>
        </w:numPr>
      </w:pPr>
      <w:r w:rsidRPr="00AE501D">
        <w:t>Excludes funds not allocated to specific job seekers such as assistance provided under work experience group based activities, labour market assistance packages (LAP) and other batch purchases.</w:t>
      </w:r>
    </w:p>
    <w:p w14:paraId="7AFB0F5C" w14:textId="77777777" w:rsidR="00961617" w:rsidRPr="005459EC" w:rsidRDefault="00961617" w:rsidP="00AE501D">
      <w:pPr>
        <w:pStyle w:val="Notesnumbered"/>
        <w:numPr>
          <w:ilvl w:val="0"/>
          <w:numId w:val="274"/>
        </w:numPr>
      </w:pPr>
      <w:r w:rsidRPr="00AE501D">
        <w:t>Percentages may not add to exactly</w:t>
      </w:r>
      <w:r w:rsidRPr="005459EC">
        <w:t xml:space="preserve"> one hundred as a result of rounding.</w:t>
      </w:r>
    </w:p>
    <w:p w14:paraId="0C8945B2" w14:textId="77777777" w:rsidR="00961617" w:rsidRPr="002F5864" w:rsidRDefault="00961617" w:rsidP="0033478B">
      <w:pPr>
        <w:pStyle w:val="Source"/>
      </w:pPr>
      <w:r w:rsidRPr="002F5864">
        <w:rPr>
          <w:b/>
        </w:rPr>
        <w:t>Source</w:t>
      </w:r>
      <w:r w:rsidRPr="002F5864">
        <w:t xml:space="preserve">: </w:t>
      </w:r>
      <w:r w:rsidR="00E13B5E">
        <w:tab/>
      </w:r>
      <w:r w:rsidRPr="002F5864">
        <w:t>Department of Employment</w:t>
      </w:r>
      <w:r>
        <w:t xml:space="preserve"> administrative data.</w:t>
      </w:r>
    </w:p>
    <w:p w14:paraId="09436827" w14:textId="77777777" w:rsidR="00961617" w:rsidRDefault="00864C5E" w:rsidP="00961617">
      <w:pPr>
        <w:rPr>
          <w:sz w:val="18"/>
          <w:szCs w:val="18"/>
        </w:rPr>
      </w:pPr>
      <w:hyperlink w:anchor="Place_A243" w:history="1">
        <w:r w:rsidR="00961617" w:rsidRPr="008C50A7">
          <w:rPr>
            <w:rStyle w:val="Hyperlink"/>
            <w:sz w:val="18"/>
            <w:szCs w:val="18"/>
          </w:rPr>
          <w:t>Return to Figure 10.3</w:t>
        </w:r>
      </w:hyperlink>
      <w:r w:rsidR="00961617" w:rsidRPr="00775AAD">
        <w:rPr>
          <w:sz w:val="18"/>
          <w:szCs w:val="18"/>
        </w:rPr>
        <w:t xml:space="preserve"> where this data is referenced</w:t>
      </w:r>
      <w:r w:rsidR="00961617">
        <w:rPr>
          <w:sz w:val="18"/>
          <w:szCs w:val="18"/>
        </w:rPr>
        <w:t>.</w:t>
      </w:r>
    </w:p>
    <w:p w14:paraId="79FF5344" w14:textId="77777777" w:rsidR="00961617" w:rsidRDefault="00961617" w:rsidP="00961617">
      <w:pPr>
        <w:rPr>
          <w:sz w:val="18"/>
          <w:szCs w:val="18"/>
        </w:rPr>
        <w:sectPr w:rsidR="00961617" w:rsidSect="00861BD8">
          <w:pgSz w:w="16839" w:h="11907" w:orient="landscape" w:code="9"/>
          <w:pgMar w:top="1440" w:right="1440" w:bottom="1440" w:left="1440" w:header="709" w:footer="284" w:gutter="0"/>
          <w:cols w:space="708"/>
          <w:docGrid w:linePitch="360"/>
        </w:sectPr>
      </w:pPr>
    </w:p>
    <w:p w14:paraId="532A5342" w14:textId="77777777" w:rsidR="00961617" w:rsidRDefault="00961617" w:rsidP="00961617">
      <w:pPr>
        <w:pStyle w:val="TableheadingforappendixA1"/>
        <w:rPr>
          <w:rFonts w:cstheme="minorHAnsi"/>
        </w:rPr>
      </w:pPr>
      <w:bookmarkStart w:id="725" w:name="_Toc513129937"/>
      <w:r w:rsidRPr="00DC29FC">
        <w:rPr>
          <w:rFonts w:cstheme="minorHAnsi"/>
        </w:rPr>
        <w:t>Table A2.44: Number of job seekers assisted, selected Employment Pathway Fund (EPF) expenditure categories JSA 2009 and JSA 2012 (number)</w:t>
      </w:r>
      <w:bookmarkEnd w:id="725"/>
    </w:p>
    <w:tbl>
      <w:tblPr>
        <w:tblW w:w="7245" w:type="dxa"/>
        <w:tblInd w:w="93" w:type="dxa"/>
        <w:shd w:val="clear" w:color="auto" w:fill="FFFFFF" w:themeFill="background2"/>
        <w:tblLook w:val="04A0" w:firstRow="1" w:lastRow="0" w:firstColumn="1" w:lastColumn="0" w:noHBand="0" w:noVBand="1"/>
      </w:tblPr>
      <w:tblGrid>
        <w:gridCol w:w="3417"/>
        <w:gridCol w:w="1560"/>
        <w:gridCol w:w="2268"/>
      </w:tblGrid>
      <w:tr w:rsidR="00961617" w:rsidRPr="00961617" w14:paraId="289C926E" w14:textId="77777777" w:rsidTr="0020771F">
        <w:trPr>
          <w:trHeight w:val="288"/>
          <w:tblHeader/>
        </w:trPr>
        <w:tc>
          <w:tcPr>
            <w:tcW w:w="3417" w:type="dxa"/>
            <w:shd w:val="clear" w:color="auto" w:fill="1E3D6B"/>
            <w:noWrap/>
            <w:vAlign w:val="bottom"/>
            <w:hideMark/>
          </w:tcPr>
          <w:p w14:paraId="19C8F90D" w14:textId="77777777" w:rsidR="00961617" w:rsidRPr="00961617" w:rsidRDefault="00961617" w:rsidP="0020771F">
            <w:pPr>
              <w:spacing w:after="0" w:line="240" w:lineRule="auto"/>
              <w:rPr>
                <w:rFonts w:ascii="Calibri" w:eastAsia="Times New Roman" w:hAnsi="Calibri" w:cs="Calibri"/>
                <w:b/>
                <w:color w:val="FFFFFF" w:themeColor="background2"/>
                <w:sz w:val="20"/>
                <w:szCs w:val="20"/>
                <w:lang w:eastAsia="en-AU"/>
              </w:rPr>
            </w:pPr>
            <w:bookmarkStart w:id="726" w:name="Title_A244"/>
            <w:bookmarkEnd w:id="726"/>
            <w:r w:rsidRPr="00961617">
              <w:rPr>
                <w:rFonts w:ascii="Calibri" w:eastAsia="Times New Roman" w:hAnsi="Calibri" w:cs="Calibri"/>
                <w:b/>
                <w:color w:val="FFFFFF" w:themeColor="background2"/>
                <w:sz w:val="20"/>
                <w:szCs w:val="20"/>
                <w:lang w:eastAsia="en-AU"/>
              </w:rPr>
              <w:t>Number of job seekers</w:t>
            </w:r>
          </w:p>
        </w:tc>
        <w:tc>
          <w:tcPr>
            <w:tcW w:w="1560" w:type="dxa"/>
            <w:shd w:val="clear" w:color="auto" w:fill="1E3D6B"/>
            <w:noWrap/>
            <w:vAlign w:val="bottom"/>
            <w:hideMark/>
          </w:tcPr>
          <w:p w14:paraId="4E0714AE" w14:textId="77777777" w:rsidR="00961617" w:rsidRPr="00961617" w:rsidRDefault="00961617" w:rsidP="0020771F">
            <w:pPr>
              <w:spacing w:after="0" w:line="240" w:lineRule="auto"/>
              <w:jc w:val="center"/>
              <w:rPr>
                <w:rFonts w:ascii="Calibri" w:eastAsia="Times New Roman" w:hAnsi="Calibri" w:cs="Calibri"/>
                <w:b/>
                <w:bCs/>
                <w:color w:val="FFFFFF" w:themeColor="background2"/>
                <w:sz w:val="20"/>
                <w:szCs w:val="20"/>
                <w:lang w:eastAsia="en-AU"/>
              </w:rPr>
            </w:pPr>
            <w:r w:rsidRPr="00961617">
              <w:rPr>
                <w:rFonts w:ascii="Calibri" w:eastAsia="Times New Roman" w:hAnsi="Calibri" w:cs="Calibri"/>
                <w:b/>
                <w:bCs/>
                <w:color w:val="FFFFFF" w:themeColor="background2"/>
                <w:sz w:val="20"/>
                <w:szCs w:val="20"/>
                <w:lang w:eastAsia="en-AU"/>
              </w:rPr>
              <w:t>JSA 2009</w:t>
            </w:r>
          </w:p>
        </w:tc>
        <w:tc>
          <w:tcPr>
            <w:tcW w:w="2268" w:type="dxa"/>
            <w:shd w:val="clear" w:color="auto" w:fill="1E3D6B"/>
            <w:noWrap/>
            <w:vAlign w:val="bottom"/>
            <w:hideMark/>
          </w:tcPr>
          <w:p w14:paraId="00B13074" w14:textId="77777777" w:rsidR="00961617" w:rsidRPr="00961617" w:rsidRDefault="00961617" w:rsidP="0020771F">
            <w:pPr>
              <w:spacing w:after="0" w:line="240" w:lineRule="auto"/>
              <w:jc w:val="center"/>
              <w:rPr>
                <w:rFonts w:ascii="Calibri" w:eastAsia="Times New Roman" w:hAnsi="Calibri" w:cs="Calibri"/>
                <w:b/>
                <w:bCs/>
                <w:color w:val="FFFFFF" w:themeColor="background2"/>
                <w:sz w:val="20"/>
                <w:szCs w:val="20"/>
                <w:lang w:eastAsia="en-AU"/>
              </w:rPr>
            </w:pPr>
            <w:r w:rsidRPr="00961617">
              <w:rPr>
                <w:rFonts w:ascii="Calibri" w:eastAsia="Times New Roman" w:hAnsi="Calibri" w:cs="Calibri"/>
                <w:b/>
                <w:bCs/>
                <w:color w:val="FFFFFF" w:themeColor="background2"/>
                <w:sz w:val="20"/>
                <w:szCs w:val="20"/>
                <w:lang w:eastAsia="en-AU"/>
              </w:rPr>
              <w:t>JSA 2012</w:t>
            </w:r>
          </w:p>
        </w:tc>
      </w:tr>
      <w:tr w:rsidR="00961617" w:rsidRPr="00961617" w14:paraId="2148510B" w14:textId="77777777" w:rsidTr="0020771F">
        <w:tblPrEx>
          <w:shd w:val="clear" w:color="auto" w:fill="auto"/>
        </w:tblPrEx>
        <w:trPr>
          <w:trHeight w:val="288"/>
        </w:trPr>
        <w:tc>
          <w:tcPr>
            <w:tcW w:w="3417" w:type="dxa"/>
            <w:shd w:val="clear" w:color="auto" w:fill="FFFFFF" w:themeFill="background2"/>
            <w:noWrap/>
            <w:vAlign w:val="bottom"/>
            <w:hideMark/>
          </w:tcPr>
          <w:p w14:paraId="19AA59F6" w14:textId="77777777" w:rsidR="00961617" w:rsidRPr="00961617" w:rsidRDefault="00961617" w:rsidP="00074985">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 xml:space="preserve">Training </w:t>
            </w:r>
            <w:r w:rsidR="00074985">
              <w:rPr>
                <w:rFonts w:ascii="Calibri" w:eastAsia="Times New Roman" w:hAnsi="Calibri" w:cs="Calibri"/>
                <w:bCs/>
                <w:color w:val="000000"/>
                <w:sz w:val="20"/>
                <w:szCs w:val="20"/>
                <w:lang w:eastAsia="en-AU"/>
              </w:rPr>
              <w:t>c</w:t>
            </w:r>
            <w:r w:rsidR="00074985" w:rsidRPr="00961617">
              <w:rPr>
                <w:rFonts w:ascii="Calibri" w:eastAsia="Times New Roman" w:hAnsi="Calibri" w:cs="Calibri"/>
                <w:bCs/>
                <w:color w:val="000000"/>
                <w:sz w:val="20"/>
                <w:szCs w:val="20"/>
                <w:lang w:eastAsia="en-AU"/>
              </w:rPr>
              <w:t>ourse</w:t>
            </w:r>
          </w:p>
        </w:tc>
        <w:tc>
          <w:tcPr>
            <w:tcW w:w="1560" w:type="dxa"/>
            <w:shd w:val="clear" w:color="auto" w:fill="FFFFFF" w:themeFill="background2"/>
            <w:noWrap/>
            <w:vAlign w:val="bottom"/>
            <w:hideMark/>
          </w:tcPr>
          <w:p w14:paraId="3749E2BC"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500,301</w:t>
            </w:r>
          </w:p>
        </w:tc>
        <w:tc>
          <w:tcPr>
            <w:tcW w:w="2268" w:type="dxa"/>
            <w:shd w:val="clear" w:color="auto" w:fill="FFFFFF" w:themeFill="background2"/>
            <w:noWrap/>
            <w:vAlign w:val="bottom"/>
            <w:hideMark/>
          </w:tcPr>
          <w:p w14:paraId="288C1682"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523,779 </w:t>
            </w:r>
          </w:p>
        </w:tc>
      </w:tr>
      <w:tr w:rsidR="00961617" w:rsidRPr="00961617" w14:paraId="357AFF5B" w14:textId="77777777" w:rsidTr="0020771F">
        <w:tblPrEx>
          <w:shd w:val="clear" w:color="auto" w:fill="auto"/>
        </w:tblPrEx>
        <w:trPr>
          <w:trHeight w:val="288"/>
        </w:trPr>
        <w:tc>
          <w:tcPr>
            <w:tcW w:w="3417" w:type="dxa"/>
            <w:shd w:val="clear" w:color="auto" w:fill="E5E5E5" w:themeFill="background1" w:themeFillTint="33"/>
            <w:noWrap/>
            <w:vAlign w:val="bottom"/>
            <w:hideMark/>
          </w:tcPr>
          <w:p w14:paraId="6E59E856" w14:textId="77777777" w:rsidR="00961617" w:rsidRPr="00961617" w:rsidRDefault="00961617" w:rsidP="00074985">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 xml:space="preserve">Wage </w:t>
            </w:r>
            <w:r w:rsidR="00074985">
              <w:rPr>
                <w:rFonts w:ascii="Calibri" w:eastAsia="Times New Roman" w:hAnsi="Calibri" w:cs="Calibri"/>
                <w:bCs/>
                <w:color w:val="000000"/>
                <w:sz w:val="20"/>
                <w:szCs w:val="20"/>
                <w:lang w:eastAsia="en-AU"/>
              </w:rPr>
              <w:t>s</w:t>
            </w:r>
            <w:r w:rsidRPr="00961617">
              <w:rPr>
                <w:rFonts w:ascii="Calibri" w:eastAsia="Times New Roman" w:hAnsi="Calibri" w:cs="Calibri"/>
                <w:bCs/>
                <w:color w:val="000000"/>
                <w:sz w:val="20"/>
                <w:szCs w:val="20"/>
                <w:lang w:eastAsia="en-AU"/>
              </w:rPr>
              <w:t>ubsidy</w:t>
            </w:r>
          </w:p>
        </w:tc>
        <w:tc>
          <w:tcPr>
            <w:tcW w:w="1560" w:type="dxa"/>
            <w:shd w:val="clear" w:color="auto" w:fill="E5E5E5" w:themeFill="background1" w:themeFillTint="33"/>
            <w:noWrap/>
            <w:vAlign w:val="bottom"/>
            <w:hideMark/>
          </w:tcPr>
          <w:p w14:paraId="0A33272D"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65,972</w:t>
            </w:r>
          </w:p>
        </w:tc>
        <w:tc>
          <w:tcPr>
            <w:tcW w:w="2268" w:type="dxa"/>
            <w:shd w:val="clear" w:color="auto" w:fill="E5E5E5" w:themeFill="background1" w:themeFillTint="33"/>
            <w:noWrap/>
            <w:vAlign w:val="bottom"/>
            <w:hideMark/>
          </w:tcPr>
          <w:p w14:paraId="6772AD9B"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62,373 </w:t>
            </w:r>
          </w:p>
        </w:tc>
      </w:tr>
      <w:tr w:rsidR="00961617" w:rsidRPr="00961617" w14:paraId="5186A376" w14:textId="77777777" w:rsidTr="0020771F">
        <w:tblPrEx>
          <w:shd w:val="clear" w:color="auto" w:fill="auto"/>
        </w:tblPrEx>
        <w:trPr>
          <w:trHeight w:val="288"/>
        </w:trPr>
        <w:tc>
          <w:tcPr>
            <w:tcW w:w="3417" w:type="dxa"/>
            <w:tcBorders>
              <w:top w:val="nil"/>
            </w:tcBorders>
            <w:shd w:val="clear" w:color="auto" w:fill="FFFFFF" w:themeFill="background2"/>
            <w:noWrap/>
            <w:vAlign w:val="bottom"/>
            <w:hideMark/>
          </w:tcPr>
          <w:p w14:paraId="4AA31D0D" w14:textId="77777777" w:rsidR="00961617" w:rsidRPr="00961617" w:rsidRDefault="00961617" w:rsidP="00074985">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 xml:space="preserve">Provider </w:t>
            </w:r>
            <w:r w:rsidR="00074985">
              <w:rPr>
                <w:rFonts w:ascii="Calibri" w:eastAsia="Times New Roman" w:hAnsi="Calibri" w:cs="Calibri"/>
                <w:bCs/>
                <w:color w:val="000000"/>
                <w:sz w:val="20"/>
                <w:szCs w:val="20"/>
                <w:lang w:eastAsia="en-AU"/>
              </w:rPr>
              <w:t>s</w:t>
            </w:r>
            <w:r w:rsidRPr="00961617">
              <w:rPr>
                <w:rFonts w:ascii="Calibri" w:eastAsia="Times New Roman" w:hAnsi="Calibri" w:cs="Calibri"/>
                <w:bCs/>
                <w:color w:val="000000"/>
                <w:sz w:val="20"/>
                <w:szCs w:val="20"/>
                <w:lang w:eastAsia="en-AU"/>
              </w:rPr>
              <w:t>ervices</w:t>
            </w:r>
          </w:p>
        </w:tc>
        <w:tc>
          <w:tcPr>
            <w:tcW w:w="1560" w:type="dxa"/>
            <w:tcBorders>
              <w:top w:val="nil"/>
            </w:tcBorders>
            <w:shd w:val="clear" w:color="auto" w:fill="FFFFFF" w:themeFill="background2"/>
            <w:noWrap/>
            <w:vAlign w:val="bottom"/>
            <w:hideMark/>
          </w:tcPr>
          <w:p w14:paraId="6E9E5123"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421,428</w:t>
            </w:r>
          </w:p>
        </w:tc>
        <w:tc>
          <w:tcPr>
            <w:tcW w:w="2268" w:type="dxa"/>
            <w:tcBorders>
              <w:top w:val="nil"/>
            </w:tcBorders>
            <w:shd w:val="clear" w:color="auto" w:fill="FFFFFF" w:themeFill="background2"/>
            <w:noWrap/>
            <w:vAlign w:val="bottom"/>
            <w:hideMark/>
          </w:tcPr>
          <w:p w14:paraId="4A9BAE9D"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359,279 </w:t>
            </w:r>
          </w:p>
        </w:tc>
      </w:tr>
      <w:tr w:rsidR="00961617" w:rsidRPr="00961617" w14:paraId="7B76F190" w14:textId="77777777" w:rsidTr="0020771F">
        <w:tblPrEx>
          <w:shd w:val="clear" w:color="auto" w:fill="auto"/>
        </w:tblPrEx>
        <w:trPr>
          <w:trHeight w:val="288"/>
        </w:trPr>
        <w:tc>
          <w:tcPr>
            <w:tcW w:w="3417" w:type="dxa"/>
            <w:tcBorders>
              <w:top w:val="nil"/>
            </w:tcBorders>
            <w:shd w:val="clear" w:color="auto" w:fill="E5E5E5" w:themeFill="background1" w:themeFillTint="33"/>
            <w:noWrap/>
            <w:vAlign w:val="bottom"/>
            <w:hideMark/>
          </w:tcPr>
          <w:p w14:paraId="3539CB52" w14:textId="77777777" w:rsidR="00961617" w:rsidRPr="00961617" w:rsidRDefault="00961617" w:rsidP="00074985">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 xml:space="preserve">Professional </w:t>
            </w:r>
            <w:r w:rsidR="00074985">
              <w:rPr>
                <w:rFonts w:ascii="Calibri" w:eastAsia="Times New Roman" w:hAnsi="Calibri" w:cs="Calibri"/>
                <w:bCs/>
                <w:color w:val="000000"/>
                <w:sz w:val="20"/>
                <w:szCs w:val="20"/>
                <w:lang w:eastAsia="en-AU"/>
              </w:rPr>
              <w:t>s</w:t>
            </w:r>
            <w:r w:rsidRPr="00961617">
              <w:rPr>
                <w:rFonts w:ascii="Calibri" w:eastAsia="Times New Roman" w:hAnsi="Calibri" w:cs="Calibri"/>
                <w:bCs/>
                <w:color w:val="000000"/>
                <w:sz w:val="20"/>
                <w:szCs w:val="20"/>
                <w:lang w:eastAsia="en-AU"/>
              </w:rPr>
              <w:t>ervices</w:t>
            </w:r>
          </w:p>
        </w:tc>
        <w:tc>
          <w:tcPr>
            <w:tcW w:w="1560" w:type="dxa"/>
            <w:tcBorders>
              <w:top w:val="nil"/>
            </w:tcBorders>
            <w:shd w:val="clear" w:color="auto" w:fill="E5E5E5" w:themeFill="background1" w:themeFillTint="33"/>
            <w:noWrap/>
            <w:vAlign w:val="bottom"/>
            <w:hideMark/>
          </w:tcPr>
          <w:p w14:paraId="0539E062"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148,670</w:t>
            </w:r>
          </w:p>
        </w:tc>
        <w:tc>
          <w:tcPr>
            <w:tcW w:w="2268" w:type="dxa"/>
            <w:tcBorders>
              <w:top w:val="nil"/>
            </w:tcBorders>
            <w:shd w:val="clear" w:color="auto" w:fill="E5E5E5" w:themeFill="background1" w:themeFillTint="33"/>
            <w:noWrap/>
            <w:vAlign w:val="bottom"/>
            <w:hideMark/>
          </w:tcPr>
          <w:p w14:paraId="1861D00B"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153,801 </w:t>
            </w:r>
          </w:p>
        </w:tc>
      </w:tr>
      <w:tr w:rsidR="00961617" w:rsidRPr="00961617" w14:paraId="3060491E" w14:textId="77777777" w:rsidTr="0020771F">
        <w:tblPrEx>
          <w:shd w:val="clear" w:color="auto" w:fill="auto"/>
        </w:tblPrEx>
        <w:trPr>
          <w:trHeight w:val="288"/>
        </w:trPr>
        <w:tc>
          <w:tcPr>
            <w:tcW w:w="3417" w:type="dxa"/>
            <w:tcBorders>
              <w:top w:val="nil"/>
            </w:tcBorders>
            <w:shd w:val="clear" w:color="auto" w:fill="FFFFFF" w:themeFill="background2"/>
            <w:noWrap/>
            <w:vAlign w:val="bottom"/>
            <w:hideMark/>
          </w:tcPr>
          <w:p w14:paraId="1D1E0AAA" w14:textId="77777777" w:rsidR="00961617" w:rsidRPr="00961617" w:rsidRDefault="00961617" w:rsidP="00074985">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 xml:space="preserve">Transport and </w:t>
            </w:r>
            <w:r w:rsidR="00074985">
              <w:rPr>
                <w:rFonts w:ascii="Calibri" w:eastAsia="Times New Roman" w:hAnsi="Calibri" w:cs="Calibri"/>
                <w:bCs/>
                <w:color w:val="000000"/>
                <w:sz w:val="20"/>
                <w:szCs w:val="20"/>
                <w:lang w:eastAsia="en-AU"/>
              </w:rPr>
              <w:t>l</w:t>
            </w:r>
            <w:r w:rsidRPr="00961617">
              <w:rPr>
                <w:rFonts w:ascii="Calibri" w:eastAsia="Times New Roman" w:hAnsi="Calibri" w:cs="Calibri"/>
                <w:bCs/>
                <w:color w:val="000000"/>
                <w:sz w:val="20"/>
                <w:szCs w:val="20"/>
                <w:lang w:eastAsia="en-AU"/>
              </w:rPr>
              <w:t xml:space="preserve">icensing </w:t>
            </w:r>
            <w:r w:rsidR="00074985">
              <w:rPr>
                <w:rFonts w:ascii="Calibri" w:eastAsia="Times New Roman" w:hAnsi="Calibri" w:cs="Calibri"/>
                <w:bCs/>
                <w:color w:val="000000"/>
                <w:sz w:val="20"/>
                <w:szCs w:val="20"/>
                <w:lang w:eastAsia="en-AU"/>
              </w:rPr>
              <w:t>a</w:t>
            </w:r>
            <w:r w:rsidRPr="00961617">
              <w:rPr>
                <w:rFonts w:ascii="Calibri" w:eastAsia="Times New Roman" w:hAnsi="Calibri" w:cs="Calibri"/>
                <w:bCs/>
                <w:color w:val="000000"/>
                <w:sz w:val="20"/>
                <w:szCs w:val="20"/>
                <w:lang w:eastAsia="en-AU"/>
              </w:rPr>
              <w:t>ssistance</w:t>
            </w:r>
          </w:p>
        </w:tc>
        <w:tc>
          <w:tcPr>
            <w:tcW w:w="1560" w:type="dxa"/>
            <w:tcBorders>
              <w:top w:val="nil"/>
            </w:tcBorders>
            <w:shd w:val="clear" w:color="auto" w:fill="FFFFFF" w:themeFill="background2"/>
            <w:noWrap/>
            <w:vAlign w:val="bottom"/>
            <w:hideMark/>
          </w:tcPr>
          <w:p w14:paraId="248BDE39"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248,838</w:t>
            </w:r>
          </w:p>
        </w:tc>
        <w:tc>
          <w:tcPr>
            <w:tcW w:w="2268" w:type="dxa"/>
            <w:tcBorders>
              <w:top w:val="nil"/>
            </w:tcBorders>
            <w:shd w:val="clear" w:color="auto" w:fill="FFFFFF" w:themeFill="background2"/>
            <w:noWrap/>
            <w:vAlign w:val="bottom"/>
            <w:hideMark/>
          </w:tcPr>
          <w:p w14:paraId="24D8E89B"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255,673 </w:t>
            </w:r>
          </w:p>
        </w:tc>
      </w:tr>
      <w:tr w:rsidR="00961617" w:rsidRPr="00961617" w14:paraId="784003DD" w14:textId="77777777" w:rsidTr="0020771F">
        <w:tblPrEx>
          <w:shd w:val="clear" w:color="auto" w:fill="auto"/>
        </w:tblPrEx>
        <w:trPr>
          <w:trHeight w:val="288"/>
        </w:trPr>
        <w:tc>
          <w:tcPr>
            <w:tcW w:w="3417" w:type="dxa"/>
            <w:tcBorders>
              <w:top w:val="nil"/>
            </w:tcBorders>
            <w:shd w:val="clear" w:color="auto" w:fill="E5E5E5" w:themeFill="background1" w:themeFillTint="33"/>
            <w:noWrap/>
            <w:vAlign w:val="bottom"/>
            <w:hideMark/>
          </w:tcPr>
          <w:p w14:paraId="78E1D052" w14:textId="77777777" w:rsidR="00961617" w:rsidRPr="00961617" w:rsidRDefault="00961617" w:rsidP="0020771F">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Clothing and presentation</w:t>
            </w:r>
          </w:p>
        </w:tc>
        <w:tc>
          <w:tcPr>
            <w:tcW w:w="1560" w:type="dxa"/>
            <w:tcBorders>
              <w:top w:val="nil"/>
            </w:tcBorders>
            <w:shd w:val="clear" w:color="auto" w:fill="E5E5E5" w:themeFill="background1" w:themeFillTint="33"/>
            <w:noWrap/>
            <w:vAlign w:val="bottom"/>
            <w:hideMark/>
          </w:tcPr>
          <w:p w14:paraId="0A01E47C"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328,135</w:t>
            </w:r>
          </w:p>
        </w:tc>
        <w:tc>
          <w:tcPr>
            <w:tcW w:w="2268" w:type="dxa"/>
            <w:tcBorders>
              <w:top w:val="nil"/>
            </w:tcBorders>
            <w:shd w:val="clear" w:color="auto" w:fill="E5E5E5" w:themeFill="background1" w:themeFillTint="33"/>
            <w:noWrap/>
            <w:vAlign w:val="bottom"/>
            <w:hideMark/>
          </w:tcPr>
          <w:p w14:paraId="05A724EB"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272,498 </w:t>
            </w:r>
          </w:p>
        </w:tc>
      </w:tr>
      <w:tr w:rsidR="00961617" w:rsidRPr="00961617" w14:paraId="561B7478" w14:textId="77777777" w:rsidTr="0020771F">
        <w:tblPrEx>
          <w:shd w:val="clear" w:color="auto" w:fill="auto"/>
        </w:tblPrEx>
        <w:trPr>
          <w:trHeight w:val="288"/>
        </w:trPr>
        <w:tc>
          <w:tcPr>
            <w:tcW w:w="3417" w:type="dxa"/>
            <w:tcBorders>
              <w:top w:val="nil"/>
              <w:bottom w:val="nil"/>
            </w:tcBorders>
            <w:shd w:val="clear" w:color="auto" w:fill="8EAEDE"/>
            <w:noWrap/>
            <w:vAlign w:val="bottom"/>
            <w:hideMark/>
          </w:tcPr>
          <w:p w14:paraId="4AE133D7" w14:textId="77777777" w:rsidR="00961617" w:rsidRPr="00961617" w:rsidRDefault="00961617" w:rsidP="0020771F">
            <w:pPr>
              <w:spacing w:after="0" w:line="240" w:lineRule="auto"/>
              <w:rPr>
                <w:rFonts w:ascii="Calibri" w:eastAsia="Times New Roman" w:hAnsi="Calibri" w:cs="Calibri"/>
                <w:bCs/>
                <w:color w:val="000000"/>
                <w:sz w:val="20"/>
                <w:szCs w:val="20"/>
                <w:lang w:eastAsia="en-AU"/>
              </w:rPr>
            </w:pPr>
            <w:r w:rsidRPr="00961617">
              <w:rPr>
                <w:rFonts w:ascii="Calibri" w:eastAsia="Times New Roman" w:hAnsi="Calibri" w:cs="Calibri"/>
                <w:bCs/>
                <w:color w:val="000000"/>
                <w:sz w:val="20"/>
                <w:szCs w:val="20"/>
                <w:lang w:eastAsia="en-AU"/>
              </w:rPr>
              <w:t>Overall</w:t>
            </w:r>
          </w:p>
        </w:tc>
        <w:tc>
          <w:tcPr>
            <w:tcW w:w="1560" w:type="dxa"/>
            <w:tcBorders>
              <w:top w:val="nil"/>
              <w:bottom w:val="nil"/>
            </w:tcBorders>
            <w:shd w:val="clear" w:color="auto" w:fill="8EAEDE"/>
            <w:noWrap/>
            <w:vAlign w:val="bottom"/>
            <w:hideMark/>
          </w:tcPr>
          <w:p w14:paraId="3C8E9101" w14:textId="77777777" w:rsidR="00961617" w:rsidRPr="00961617" w:rsidRDefault="00961617" w:rsidP="0020771F">
            <w:pPr>
              <w:spacing w:after="0" w:line="240" w:lineRule="auto"/>
              <w:ind w:right="263"/>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925,148</w:t>
            </w:r>
          </w:p>
        </w:tc>
        <w:tc>
          <w:tcPr>
            <w:tcW w:w="2268" w:type="dxa"/>
            <w:tcBorders>
              <w:top w:val="nil"/>
              <w:bottom w:val="nil"/>
              <w:right w:val="nil"/>
            </w:tcBorders>
            <w:shd w:val="clear" w:color="auto" w:fill="8EAEDE"/>
            <w:noWrap/>
            <w:vAlign w:val="bottom"/>
            <w:hideMark/>
          </w:tcPr>
          <w:p w14:paraId="445D9B4B" w14:textId="77777777" w:rsidR="00961617" w:rsidRPr="00961617" w:rsidRDefault="00961617" w:rsidP="0020771F">
            <w:pPr>
              <w:spacing w:after="0" w:line="240" w:lineRule="auto"/>
              <w:ind w:right="498"/>
              <w:jc w:val="right"/>
              <w:rPr>
                <w:rFonts w:ascii="Calibri" w:eastAsia="Times New Roman" w:hAnsi="Calibri" w:cs="Calibri"/>
                <w:color w:val="000000"/>
                <w:sz w:val="20"/>
                <w:szCs w:val="20"/>
                <w:lang w:eastAsia="en-AU"/>
              </w:rPr>
            </w:pPr>
            <w:r w:rsidRPr="00961617">
              <w:rPr>
                <w:rFonts w:ascii="Calibri" w:eastAsia="Times New Roman" w:hAnsi="Calibri" w:cs="Calibri"/>
                <w:color w:val="000000"/>
                <w:sz w:val="20"/>
                <w:szCs w:val="20"/>
                <w:lang w:eastAsia="en-AU"/>
              </w:rPr>
              <w:t xml:space="preserve">875,599 </w:t>
            </w:r>
          </w:p>
        </w:tc>
      </w:tr>
    </w:tbl>
    <w:p w14:paraId="765012D5" w14:textId="77777777" w:rsidR="00961617" w:rsidRPr="00130B88" w:rsidRDefault="00961617" w:rsidP="00130B88">
      <w:pPr>
        <w:pStyle w:val="Notes"/>
        <w:rPr>
          <w:b/>
        </w:rPr>
      </w:pPr>
      <w:r w:rsidRPr="00130B88">
        <w:rPr>
          <w:b/>
        </w:rPr>
        <w:t xml:space="preserve">Notes: </w:t>
      </w:r>
    </w:p>
    <w:p w14:paraId="78EF5D27" w14:textId="77777777" w:rsidR="00961617" w:rsidRPr="00AE501D" w:rsidRDefault="00961617" w:rsidP="00AE501D">
      <w:pPr>
        <w:pStyle w:val="Notesnumbered"/>
        <w:numPr>
          <w:ilvl w:val="0"/>
          <w:numId w:val="275"/>
        </w:numPr>
      </w:pPr>
      <w:r w:rsidRPr="00AE501D">
        <w:t>Job seekers may be assisted in more than one category.</w:t>
      </w:r>
    </w:p>
    <w:p w14:paraId="11D5910A" w14:textId="77777777" w:rsidR="00961617" w:rsidRPr="00AE501D" w:rsidRDefault="00961617" w:rsidP="00AE501D">
      <w:pPr>
        <w:pStyle w:val="Notesnumbered"/>
        <w:numPr>
          <w:ilvl w:val="0"/>
          <w:numId w:val="275"/>
        </w:numPr>
      </w:pPr>
      <w:r w:rsidRPr="00AE501D">
        <w:t>Excludes a small amount of EPF commitments (less than 0.5 per cent of total EPF expenditure) that had not been reimbursed at the time that data was accessed.</w:t>
      </w:r>
    </w:p>
    <w:p w14:paraId="4929E774" w14:textId="77777777" w:rsidR="00961617" w:rsidRPr="00B45E85" w:rsidRDefault="00961617" w:rsidP="00AE501D">
      <w:pPr>
        <w:pStyle w:val="Notesnumbered"/>
        <w:numPr>
          <w:ilvl w:val="0"/>
          <w:numId w:val="275"/>
        </w:numPr>
      </w:pPr>
      <w:r w:rsidRPr="00AE501D">
        <w:t>Excludes funds not allocated to specific job seekers such as assistance provided under work experience group based activities, labour</w:t>
      </w:r>
      <w:r w:rsidRPr="00B45E85">
        <w:t xml:space="preserve"> market assistance packages (LAP) and other batch purchases.</w:t>
      </w:r>
    </w:p>
    <w:p w14:paraId="67A1172B" w14:textId="77777777" w:rsidR="00961617" w:rsidRPr="002F5864" w:rsidRDefault="00961617" w:rsidP="0033478B">
      <w:pPr>
        <w:pStyle w:val="Source"/>
      </w:pPr>
      <w:r w:rsidRPr="002F5864">
        <w:rPr>
          <w:b/>
        </w:rPr>
        <w:t>Source</w:t>
      </w:r>
      <w:r w:rsidRPr="002F5864">
        <w:t xml:space="preserve">: </w:t>
      </w:r>
      <w:r w:rsidR="00E13B5E">
        <w:tab/>
      </w:r>
      <w:r w:rsidRPr="002F5864">
        <w:t>Department of Employment</w:t>
      </w:r>
      <w:r>
        <w:t xml:space="preserve"> administrative data.</w:t>
      </w:r>
    </w:p>
    <w:p w14:paraId="2A02B825" w14:textId="77777777" w:rsidR="00961617" w:rsidRPr="00DC29FC" w:rsidRDefault="00864C5E" w:rsidP="00961617">
      <w:pPr>
        <w:spacing w:before="120"/>
        <w:rPr>
          <w:sz w:val="18"/>
          <w:szCs w:val="18"/>
        </w:rPr>
      </w:pPr>
      <w:hyperlink w:anchor="Place_A244" w:history="1">
        <w:r w:rsidR="00961617" w:rsidRPr="008C50A7">
          <w:rPr>
            <w:rStyle w:val="Hyperlink"/>
            <w:sz w:val="18"/>
            <w:szCs w:val="18"/>
          </w:rPr>
          <w:t>Return to Figure 10.4</w:t>
        </w:r>
      </w:hyperlink>
      <w:r w:rsidR="00961617" w:rsidRPr="00DC29FC">
        <w:rPr>
          <w:sz w:val="18"/>
          <w:szCs w:val="18"/>
        </w:rPr>
        <w:t xml:space="preserve"> where this data is referenced.</w:t>
      </w:r>
    </w:p>
    <w:p w14:paraId="455F3005" w14:textId="77777777" w:rsidR="00961617" w:rsidRPr="00DC29FC" w:rsidRDefault="00961617" w:rsidP="003C1A65">
      <w:pPr>
        <w:pStyle w:val="TableheadingforappendixA1"/>
      </w:pPr>
      <w:bookmarkStart w:id="727" w:name="_Toc513129938"/>
      <w:r w:rsidRPr="00DC29FC">
        <w:t>Table A2.4</w:t>
      </w:r>
      <w:r>
        <w:t>5</w:t>
      </w:r>
      <w:r w:rsidRPr="00DC29FC">
        <w:t>:</w:t>
      </w:r>
      <w:r>
        <w:t xml:space="preserve"> </w:t>
      </w:r>
      <w:r w:rsidRPr="00DC29FC">
        <w:t>Average amount of Employment Pathway Fund (EPF) dollars allocated to job seekers, selec</w:t>
      </w:r>
      <w:r w:rsidR="00BE4344">
        <w:t>ted EPF expenditure categories</w:t>
      </w:r>
      <w:r w:rsidRPr="00DC29FC">
        <w:t xml:space="preserve"> ($)</w:t>
      </w:r>
      <w:bookmarkEnd w:id="727"/>
    </w:p>
    <w:tbl>
      <w:tblPr>
        <w:tblW w:w="7245" w:type="dxa"/>
        <w:tblInd w:w="93" w:type="dxa"/>
        <w:shd w:val="clear" w:color="auto" w:fill="FFFFFF" w:themeFill="background2"/>
        <w:tblLook w:val="04A0" w:firstRow="1" w:lastRow="0" w:firstColumn="1" w:lastColumn="0" w:noHBand="0" w:noVBand="1"/>
      </w:tblPr>
      <w:tblGrid>
        <w:gridCol w:w="3417"/>
        <w:gridCol w:w="1560"/>
        <w:gridCol w:w="2268"/>
      </w:tblGrid>
      <w:tr w:rsidR="00961617" w:rsidRPr="000C69E0" w14:paraId="0C88663F" w14:textId="77777777" w:rsidTr="0020771F">
        <w:trPr>
          <w:trHeight w:val="288"/>
          <w:tblHeader/>
        </w:trPr>
        <w:tc>
          <w:tcPr>
            <w:tcW w:w="3417" w:type="dxa"/>
            <w:shd w:val="clear" w:color="auto" w:fill="1E3D6B"/>
            <w:noWrap/>
            <w:vAlign w:val="bottom"/>
            <w:hideMark/>
          </w:tcPr>
          <w:p w14:paraId="6FC1FBB7" w14:textId="77777777" w:rsidR="00961617" w:rsidRPr="000C69E0" w:rsidRDefault="00961617" w:rsidP="0020771F">
            <w:pPr>
              <w:spacing w:after="0" w:line="240" w:lineRule="auto"/>
              <w:rPr>
                <w:rFonts w:ascii="Calibri" w:eastAsia="Times New Roman" w:hAnsi="Calibri" w:cs="Calibri"/>
                <w:b/>
                <w:color w:val="FFFFFF" w:themeColor="background2"/>
                <w:sz w:val="20"/>
                <w:szCs w:val="20"/>
                <w:lang w:eastAsia="en-AU"/>
              </w:rPr>
            </w:pPr>
            <w:bookmarkStart w:id="728" w:name="Title_A245"/>
            <w:bookmarkEnd w:id="728"/>
            <w:r w:rsidRPr="000C69E0">
              <w:rPr>
                <w:rFonts w:ascii="Calibri" w:eastAsia="Times New Roman" w:hAnsi="Calibri" w:cs="Calibri"/>
                <w:b/>
                <w:color w:val="FFFFFF" w:themeColor="background2"/>
                <w:sz w:val="20"/>
                <w:szCs w:val="20"/>
                <w:lang w:eastAsia="en-AU"/>
              </w:rPr>
              <w:t>Average amount</w:t>
            </w:r>
          </w:p>
        </w:tc>
        <w:tc>
          <w:tcPr>
            <w:tcW w:w="1560" w:type="dxa"/>
            <w:shd w:val="clear" w:color="auto" w:fill="1E3D6B"/>
            <w:noWrap/>
            <w:vAlign w:val="bottom"/>
            <w:hideMark/>
          </w:tcPr>
          <w:p w14:paraId="7FE29BC1" w14:textId="77777777" w:rsidR="00961617" w:rsidRPr="000C69E0" w:rsidRDefault="00961617" w:rsidP="0020771F">
            <w:pPr>
              <w:spacing w:after="0" w:line="240" w:lineRule="auto"/>
              <w:jc w:val="center"/>
              <w:rPr>
                <w:rFonts w:ascii="Calibri" w:eastAsia="Times New Roman" w:hAnsi="Calibri" w:cs="Calibri"/>
                <w:b/>
                <w:bCs/>
                <w:color w:val="FFFFFF" w:themeColor="background2"/>
                <w:sz w:val="20"/>
                <w:szCs w:val="20"/>
                <w:lang w:eastAsia="en-AU"/>
              </w:rPr>
            </w:pPr>
            <w:r w:rsidRPr="000C69E0">
              <w:rPr>
                <w:rFonts w:ascii="Calibri" w:eastAsia="Times New Roman" w:hAnsi="Calibri" w:cs="Calibri"/>
                <w:b/>
                <w:bCs/>
                <w:color w:val="FFFFFF" w:themeColor="background2"/>
                <w:sz w:val="20"/>
                <w:szCs w:val="20"/>
                <w:lang w:eastAsia="en-AU"/>
              </w:rPr>
              <w:t>JSA 2009</w:t>
            </w:r>
          </w:p>
        </w:tc>
        <w:tc>
          <w:tcPr>
            <w:tcW w:w="2268" w:type="dxa"/>
            <w:shd w:val="clear" w:color="auto" w:fill="1E3D6B"/>
            <w:noWrap/>
            <w:vAlign w:val="bottom"/>
            <w:hideMark/>
          </w:tcPr>
          <w:p w14:paraId="337E3A1E" w14:textId="77777777" w:rsidR="00961617" w:rsidRPr="000C69E0" w:rsidRDefault="00961617" w:rsidP="0020771F">
            <w:pPr>
              <w:spacing w:after="0" w:line="240" w:lineRule="auto"/>
              <w:jc w:val="center"/>
              <w:rPr>
                <w:rFonts w:ascii="Calibri" w:eastAsia="Times New Roman" w:hAnsi="Calibri" w:cs="Calibri"/>
                <w:b/>
                <w:bCs/>
                <w:color w:val="FFFFFF" w:themeColor="background2"/>
                <w:sz w:val="20"/>
                <w:szCs w:val="20"/>
                <w:lang w:eastAsia="en-AU"/>
              </w:rPr>
            </w:pPr>
            <w:r w:rsidRPr="000C69E0">
              <w:rPr>
                <w:rFonts w:ascii="Calibri" w:eastAsia="Times New Roman" w:hAnsi="Calibri" w:cs="Calibri"/>
                <w:b/>
                <w:bCs/>
                <w:color w:val="FFFFFF" w:themeColor="background2"/>
                <w:sz w:val="20"/>
                <w:szCs w:val="20"/>
                <w:lang w:eastAsia="en-AU"/>
              </w:rPr>
              <w:t>JSA 2012</w:t>
            </w:r>
          </w:p>
        </w:tc>
      </w:tr>
      <w:tr w:rsidR="00961617" w:rsidRPr="000C69E0" w14:paraId="1F1303DC" w14:textId="77777777" w:rsidTr="0020771F">
        <w:trPr>
          <w:trHeight w:val="288"/>
        </w:trPr>
        <w:tc>
          <w:tcPr>
            <w:tcW w:w="3417" w:type="dxa"/>
            <w:shd w:val="clear" w:color="auto" w:fill="FFFFFF" w:themeFill="background2"/>
            <w:noWrap/>
            <w:vAlign w:val="bottom"/>
            <w:hideMark/>
          </w:tcPr>
          <w:p w14:paraId="67C72E17" w14:textId="77777777" w:rsidR="00961617" w:rsidRPr="000C69E0" w:rsidRDefault="00961617" w:rsidP="00074985">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 xml:space="preserve">Training </w:t>
            </w:r>
            <w:r w:rsidR="00074985">
              <w:rPr>
                <w:rFonts w:ascii="Calibri" w:eastAsia="Times New Roman" w:hAnsi="Calibri" w:cs="Calibri"/>
                <w:bCs/>
                <w:color w:val="000000"/>
                <w:sz w:val="20"/>
                <w:szCs w:val="20"/>
                <w:lang w:eastAsia="en-AU"/>
              </w:rPr>
              <w:t>c</w:t>
            </w:r>
            <w:r w:rsidRPr="000C69E0">
              <w:rPr>
                <w:rFonts w:ascii="Calibri" w:eastAsia="Times New Roman" w:hAnsi="Calibri" w:cs="Calibri"/>
                <w:bCs/>
                <w:color w:val="000000"/>
                <w:sz w:val="20"/>
                <w:szCs w:val="20"/>
                <w:lang w:eastAsia="en-AU"/>
              </w:rPr>
              <w:t>ourse</w:t>
            </w:r>
          </w:p>
        </w:tc>
        <w:tc>
          <w:tcPr>
            <w:tcW w:w="1560" w:type="dxa"/>
            <w:shd w:val="clear" w:color="auto" w:fill="FFFFFF" w:themeFill="background2"/>
            <w:noWrap/>
            <w:vAlign w:val="bottom"/>
            <w:hideMark/>
          </w:tcPr>
          <w:p w14:paraId="5F4012D4"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751</w:t>
            </w:r>
          </w:p>
        </w:tc>
        <w:tc>
          <w:tcPr>
            <w:tcW w:w="2268" w:type="dxa"/>
            <w:shd w:val="clear" w:color="auto" w:fill="FFFFFF" w:themeFill="background2"/>
            <w:noWrap/>
            <w:vAlign w:val="bottom"/>
            <w:hideMark/>
          </w:tcPr>
          <w:p w14:paraId="381F2D20"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1,004 </w:t>
            </w:r>
          </w:p>
        </w:tc>
      </w:tr>
      <w:tr w:rsidR="00961617" w:rsidRPr="000C69E0" w14:paraId="32D4816B" w14:textId="77777777" w:rsidTr="0020771F">
        <w:trPr>
          <w:trHeight w:val="288"/>
        </w:trPr>
        <w:tc>
          <w:tcPr>
            <w:tcW w:w="3417" w:type="dxa"/>
            <w:shd w:val="clear" w:color="auto" w:fill="E5E5E5" w:themeFill="background1" w:themeFillTint="33"/>
            <w:noWrap/>
            <w:vAlign w:val="bottom"/>
            <w:hideMark/>
          </w:tcPr>
          <w:p w14:paraId="3787E397" w14:textId="77777777" w:rsidR="00961617" w:rsidRPr="000C69E0" w:rsidRDefault="00961617" w:rsidP="00074985">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 xml:space="preserve">Wage </w:t>
            </w:r>
            <w:r w:rsidR="00074985">
              <w:rPr>
                <w:rFonts w:ascii="Calibri" w:eastAsia="Times New Roman" w:hAnsi="Calibri" w:cs="Calibri"/>
                <w:bCs/>
                <w:color w:val="000000"/>
                <w:sz w:val="20"/>
                <w:szCs w:val="20"/>
                <w:lang w:eastAsia="en-AU"/>
              </w:rPr>
              <w:t>s</w:t>
            </w:r>
            <w:r w:rsidRPr="000C69E0">
              <w:rPr>
                <w:rFonts w:ascii="Calibri" w:eastAsia="Times New Roman" w:hAnsi="Calibri" w:cs="Calibri"/>
                <w:bCs/>
                <w:color w:val="000000"/>
                <w:sz w:val="20"/>
                <w:szCs w:val="20"/>
                <w:lang w:eastAsia="en-AU"/>
              </w:rPr>
              <w:t>ubsidy</w:t>
            </w:r>
          </w:p>
        </w:tc>
        <w:tc>
          <w:tcPr>
            <w:tcW w:w="1560" w:type="dxa"/>
            <w:shd w:val="clear" w:color="auto" w:fill="E5E5E5" w:themeFill="background1" w:themeFillTint="33"/>
            <w:noWrap/>
            <w:vAlign w:val="bottom"/>
            <w:hideMark/>
          </w:tcPr>
          <w:p w14:paraId="7332FB6F"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3,327</w:t>
            </w:r>
          </w:p>
        </w:tc>
        <w:tc>
          <w:tcPr>
            <w:tcW w:w="2268" w:type="dxa"/>
            <w:shd w:val="clear" w:color="auto" w:fill="E5E5E5" w:themeFill="background1" w:themeFillTint="33"/>
            <w:noWrap/>
            <w:vAlign w:val="bottom"/>
            <w:hideMark/>
          </w:tcPr>
          <w:p w14:paraId="05E4BA87"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3,803 </w:t>
            </w:r>
          </w:p>
        </w:tc>
      </w:tr>
      <w:tr w:rsidR="00961617" w:rsidRPr="000C69E0" w14:paraId="3A30D6B5" w14:textId="77777777" w:rsidTr="0020771F">
        <w:trPr>
          <w:trHeight w:val="288"/>
        </w:trPr>
        <w:tc>
          <w:tcPr>
            <w:tcW w:w="3417" w:type="dxa"/>
            <w:shd w:val="clear" w:color="auto" w:fill="FFFFFF" w:themeFill="background2"/>
            <w:noWrap/>
            <w:vAlign w:val="bottom"/>
            <w:hideMark/>
          </w:tcPr>
          <w:p w14:paraId="1D75BE70" w14:textId="77777777" w:rsidR="00961617" w:rsidRPr="000C69E0" w:rsidRDefault="00961617" w:rsidP="00074985">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 xml:space="preserve">Provider </w:t>
            </w:r>
            <w:r w:rsidR="00074985">
              <w:rPr>
                <w:rFonts w:ascii="Calibri" w:eastAsia="Times New Roman" w:hAnsi="Calibri" w:cs="Calibri"/>
                <w:bCs/>
                <w:color w:val="000000"/>
                <w:sz w:val="20"/>
                <w:szCs w:val="20"/>
                <w:lang w:eastAsia="en-AU"/>
              </w:rPr>
              <w:t>s</w:t>
            </w:r>
            <w:r w:rsidRPr="000C69E0">
              <w:rPr>
                <w:rFonts w:ascii="Calibri" w:eastAsia="Times New Roman" w:hAnsi="Calibri" w:cs="Calibri"/>
                <w:bCs/>
                <w:color w:val="000000"/>
                <w:sz w:val="20"/>
                <w:szCs w:val="20"/>
                <w:lang w:eastAsia="en-AU"/>
              </w:rPr>
              <w:t>ervices</w:t>
            </w:r>
          </w:p>
        </w:tc>
        <w:tc>
          <w:tcPr>
            <w:tcW w:w="1560" w:type="dxa"/>
            <w:shd w:val="clear" w:color="auto" w:fill="FFFFFF" w:themeFill="background2"/>
            <w:noWrap/>
            <w:vAlign w:val="bottom"/>
            <w:hideMark/>
          </w:tcPr>
          <w:p w14:paraId="49179CFD"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335</w:t>
            </w:r>
          </w:p>
        </w:tc>
        <w:tc>
          <w:tcPr>
            <w:tcW w:w="2268" w:type="dxa"/>
            <w:shd w:val="clear" w:color="auto" w:fill="FFFFFF" w:themeFill="background2"/>
            <w:noWrap/>
            <w:vAlign w:val="bottom"/>
            <w:hideMark/>
          </w:tcPr>
          <w:p w14:paraId="29EE68A2"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217 </w:t>
            </w:r>
          </w:p>
        </w:tc>
      </w:tr>
      <w:tr w:rsidR="00961617" w:rsidRPr="000C69E0" w14:paraId="1FBA7584" w14:textId="77777777" w:rsidTr="0020771F">
        <w:trPr>
          <w:trHeight w:val="288"/>
        </w:trPr>
        <w:tc>
          <w:tcPr>
            <w:tcW w:w="3417" w:type="dxa"/>
            <w:shd w:val="clear" w:color="auto" w:fill="E5E5E5" w:themeFill="background1" w:themeFillTint="33"/>
            <w:noWrap/>
            <w:vAlign w:val="bottom"/>
            <w:hideMark/>
          </w:tcPr>
          <w:p w14:paraId="7EA9BF02" w14:textId="77777777" w:rsidR="00961617" w:rsidRPr="000C69E0" w:rsidRDefault="00961617" w:rsidP="00074985">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 xml:space="preserve">Professional </w:t>
            </w:r>
            <w:r w:rsidR="00074985">
              <w:rPr>
                <w:rFonts w:ascii="Calibri" w:eastAsia="Times New Roman" w:hAnsi="Calibri" w:cs="Calibri"/>
                <w:bCs/>
                <w:color w:val="000000"/>
                <w:sz w:val="20"/>
                <w:szCs w:val="20"/>
                <w:lang w:eastAsia="en-AU"/>
              </w:rPr>
              <w:t>s</w:t>
            </w:r>
            <w:r w:rsidRPr="000C69E0">
              <w:rPr>
                <w:rFonts w:ascii="Calibri" w:eastAsia="Times New Roman" w:hAnsi="Calibri" w:cs="Calibri"/>
                <w:bCs/>
                <w:color w:val="000000"/>
                <w:sz w:val="20"/>
                <w:szCs w:val="20"/>
                <w:lang w:eastAsia="en-AU"/>
              </w:rPr>
              <w:t>ervices</w:t>
            </w:r>
          </w:p>
        </w:tc>
        <w:tc>
          <w:tcPr>
            <w:tcW w:w="1560" w:type="dxa"/>
            <w:shd w:val="clear" w:color="auto" w:fill="E5E5E5" w:themeFill="background1" w:themeFillTint="33"/>
            <w:noWrap/>
            <w:vAlign w:val="bottom"/>
            <w:hideMark/>
          </w:tcPr>
          <w:p w14:paraId="5111A716"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573</w:t>
            </w:r>
          </w:p>
        </w:tc>
        <w:tc>
          <w:tcPr>
            <w:tcW w:w="2268" w:type="dxa"/>
            <w:shd w:val="clear" w:color="auto" w:fill="E5E5E5" w:themeFill="background1" w:themeFillTint="33"/>
            <w:noWrap/>
            <w:vAlign w:val="bottom"/>
            <w:hideMark/>
          </w:tcPr>
          <w:p w14:paraId="2D43DE78"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580 </w:t>
            </w:r>
          </w:p>
        </w:tc>
      </w:tr>
      <w:tr w:rsidR="00961617" w:rsidRPr="000C69E0" w14:paraId="10FA472C" w14:textId="77777777" w:rsidTr="0020771F">
        <w:trPr>
          <w:trHeight w:val="288"/>
        </w:trPr>
        <w:tc>
          <w:tcPr>
            <w:tcW w:w="3417" w:type="dxa"/>
            <w:shd w:val="clear" w:color="auto" w:fill="FFFFFF" w:themeFill="background2"/>
            <w:noWrap/>
            <w:vAlign w:val="bottom"/>
            <w:hideMark/>
          </w:tcPr>
          <w:p w14:paraId="4F3B0D36" w14:textId="77777777" w:rsidR="00961617" w:rsidRPr="000C69E0" w:rsidRDefault="00961617" w:rsidP="00074985">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 xml:space="preserve">Transport and </w:t>
            </w:r>
            <w:r w:rsidR="00074985">
              <w:rPr>
                <w:rFonts w:ascii="Calibri" w:eastAsia="Times New Roman" w:hAnsi="Calibri" w:cs="Calibri"/>
                <w:bCs/>
                <w:color w:val="000000"/>
                <w:sz w:val="20"/>
                <w:szCs w:val="20"/>
                <w:lang w:eastAsia="en-AU"/>
              </w:rPr>
              <w:t>l</w:t>
            </w:r>
            <w:r w:rsidRPr="000C69E0">
              <w:rPr>
                <w:rFonts w:ascii="Calibri" w:eastAsia="Times New Roman" w:hAnsi="Calibri" w:cs="Calibri"/>
                <w:bCs/>
                <w:color w:val="000000"/>
                <w:sz w:val="20"/>
                <w:szCs w:val="20"/>
                <w:lang w:eastAsia="en-AU"/>
              </w:rPr>
              <w:t xml:space="preserve">icensing </w:t>
            </w:r>
            <w:r w:rsidR="00074985">
              <w:rPr>
                <w:rFonts w:ascii="Calibri" w:eastAsia="Times New Roman" w:hAnsi="Calibri" w:cs="Calibri"/>
                <w:bCs/>
                <w:color w:val="000000"/>
                <w:sz w:val="20"/>
                <w:szCs w:val="20"/>
                <w:lang w:eastAsia="en-AU"/>
              </w:rPr>
              <w:t>a</w:t>
            </w:r>
            <w:r w:rsidRPr="000C69E0">
              <w:rPr>
                <w:rFonts w:ascii="Calibri" w:eastAsia="Times New Roman" w:hAnsi="Calibri" w:cs="Calibri"/>
                <w:bCs/>
                <w:color w:val="000000"/>
                <w:sz w:val="20"/>
                <w:szCs w:val="20"/>
                <w:lang w:eastAsia="en-AU"/>
              </w:rPr>
              <w:t>ssistance</w:t>
            </w:r>
          </w:p>
        </w:tc>
        <w:tc>
          <w:tcPr>
            <w:tcW w:w="1560" w:type="dxa"/>
            <w:shd w:val="clear" w:color="auto" w:fill="FFFFFF" w:themeFill="background2"/>
            <w:noWrap/>
            <w:vAlign w:val="bottom"/>
            <w:hideMark/>
          </w:tcPr>
          <w:p w14:paraId="2776BCAA"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239</w:t>
            </w:r>
          </w:p>
        </w:tc>
        <w:tc>
          <w:tcPr>
            <w:tcW w:w="2268" w:type="dxa"/>
            <w:shd w:val="clear" w:color="auto" w:fill="FFFFFF" w:themeFill="background2"/>
            <w:noWrap/>
            <w:vAlign w:val="bottom"/>
            <w:hideMark/>
          </w:tcPr>
          <w:p w14:paraId="11309CC1"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250 </w:t>
            </w:r>
          </w:p>
        </w:tc>
      </w:tr>
      <w:tr w:rsidR="00961617" w:rsidRPr="000C69E0" w14:paraId="1069E2F3" w14:textId="77777777" w:rsidTr="0020771F">
        <w:trPr>
          <w:trHeight w:val="288"/>
        </w:trPr>
        <w:tc>
          <w:tcPr>
            <w:tcW w:w="3417" w:type="dxa"/>
            <w:shd w:val="clear" w:color="auto" w:fill="E5E5E5" w:themeFill="background1" w:themeFillTint="33"/>
            <w:noWrap/>
            <w:vAlign w:val="bottom"/>
            <w:hideMark/>
          </w:tcPr>
          <w:p w14:paraId="6C891928" w14:textId="77777777" w:rsidR="00961617" w:rsidRPr="000C69E0" w:rsidRDefault="00961617" w:rsidP="0020771F">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Clothing and presentation</w:t>
            </w:r>
          </w:p>
        </w:tc>
        <w:tc>
          <w:tcPr>
            <w:tcW w:w="1560" w:type="dxa"/>
            <w:shd w:val="clear" w:color="auto" w:fill="E5E5E5" w:themeFill="background1" w:themeFillTint="33"/>
            <w:noWrap/>
            <w:vAlign w:val="bottom"/>
            <w:hideMark/>
          </w:tcPr>
          <w:p w14:paraId="6296F9E2"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197</w:t>
            </w:r>
          </w:p>
        </w:tc>
        <w:tc>
          <w:tcPr>
            <w:tcW w:w="2268" w:type="dxa"/>
            <w:shd w:val="clear" w:color="auto" w:fill="E5E5E5" w:themeFill="background1" w:themeFillTint="33"/>
            <w:noWrap/>
            <w:vAlign w:val="bottom"/>
            <w:hideMark/>
          </w:tcPr>
          <w:p w14:paraId="54FD31BC"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184 </w:t>
            </w:r>
          </w:p>
        </w:tc>
      </w:tr>
      <w:tr w:rsidR="00961617" w:rsidRPr="000C69E0" w14:paraId="4F1E4634" w14:textId="77777777" w:rsidTr="0020771F">
        <w:trPr>
          <w:trHeight w:val="288"/>
        </w:trPr>
        <w:tc>
          <w:tcPr>
            <w:tcW w:w="3417" w:type="dxa"/>
            <w:shd w:val="clear" w:color="auto" w:fill="8EAEDE"/>
            <w:noWrap/>
            <w:vAlign w:val="bottom"/>
            <w:hideMark/>
          </w:tcPr>
          <w:p w14:paraId="49343C19" w14:textId="77777777" w:rsidR="00961617" w:rsidRPr="000C69E0" w:rsidRDefault="00961617" w:rsidP="0020771F">
            <w:pPr>
              <w:spacing w:after="0" w:line="240" w:lineRule="auto"/>
              <w:rPr>
                <w:rFonts w:ascii="Calibri" w:eastAsia="Times New Roman" w:hAnsi="Calibri" w:cs="Calibri"/>
                <w:bCs/>
                <w:color w:val="000000"/>
                <w:sz w:val="20"/>
                <w:szCs w:val="20"/>
                <w:lang w:eastAsia="en-AU"/>
              </w:rPr>
            </w:pPr>
            <w:r w:rsidRPr="000C69E0">
              <w:rPr>
                <w:rFonts w:ascii="Calibri" w:eastAsia="Times New Roman" w:hAnsi="Calibri" w:cs="Calibri"/>
                <w:bCs/>
                <w:color w:val="000000"/>
                <w:sz w:val="20"/>
                <w:szCs w:val="20"/>
                <w:lang w:eastAsia="en-AU"/>
              </w:rPr>
              <w:t>Overall</w:t>
            </w:r>
          </w:p>
        </w:tc>
        <w:tc>
          <w:tcPr>
            <w:tcW w:w="1560" w:type="dxa"/>
            <w:shd w:val="clear" w:color="auto" w:fill="8EAEDE"/>
            <w:noWrap/>
            <w:vAlign w:val="bottom"/>
            <w:hideMark/>
          </w:tcPr>
          <w:p w14:paraId="73F27148" w14:textId="77777777" w:rsidR="00961617" w:rsidRPr="000C69E0" w:rsidRDefault="00961617" w:rsidP="0020771F">
            <w:pPr>
              <w:spacing w:after="0" w:line="240" w:lineRule="auto"/>
              <w:ind w:right="380"/>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1,185</w:t>
            </w:r>
          </w:p>
        </w:tc>
        <w:tc>
          <w:tcPr>
            <w:tcW w:w="2268" w:type="dxa"/>
            <w:shd w:val="clear" w:color="auto" w:fill="8EAEDE"/>
            <w:noWrap/>
            <w:vAlign w:val="bottom"/>
            <w:hideMark/>
          </w:tcPr>
          <w:p w14:paraId="36F0CE11" w14:textId="77777777" w:rsidR="00961617" w:rsidRPr="000C69E0" w:rsidRDefault="00961617" w:rsidP="0020771F">
            <w:pPr>
              <w:spacing w:after="0" w:line="240" w:lineRule="auto"/>
              <w:ind w:right="616"/>
              <w:jc w:val="right"/>
              <w:rPr>
                <w:rFonts w:ascii="Calibri" w:eastAsia="Times New Roman" w:hAnsi="Calibri" w:cs="Calibri"/>
                <w:color w:val="000000"/>
                <w:sz w:val="20"/>
                <w:szCs w:val="20"/>
                <w:lang w:eastAsia="en-AU"/>
              </w:rPr>
            </w:pPr>
            <w:r w:rsidRPr="000C69E0">
              <w:rPr>
                <w:rFonts w:ascii="Calibri" w:eastAsia="Times New Roman" w:hAnsi="Calibri" w:cs="Calibri"/>
                <w:color w:val="000000"/>
                <w:sz w:val="20"/>
                <w:szCs w:val="20"/>
                <w:lang w:eastAsia="en-AU"/>
              </w:rPr>
              <w:t xml:space="preserve">1,409 </w:t>
            </w:r>
          </w:p>
        </w:tc>
      </w:tr>
    </w:tbl>
    <w:p w14:paraId="57782589" w14:textId="77777777" w:rsidR="00961617" w:rsidRPr="00DC29FC" w:rsidRDefault="00961617" w:rsidP="00130B88">
      <w:pPr>
        <w:pStyle w:val="Notes"/>
      </w:pPr>
      <w:r w:rsidRPr="00130B88">
        <w:rPr>
          <w:b/>
        </w:rPr>
        <w:t>Notes</w:t>
      </w:r>
      <w:r w:rsidRPr="00DC29FC">
        <w:t>:</w:t>
      </w:r>
    </w:p>
    <w:p w14:paraId="3744E125" w14:textId="77777777" w:rsidR="00961617" w:rsidRPr="00AE501D" w:rsidRDefault="00961617" w:rsidP="00AE501D">
      <w:pPr>
        <w:pStyle w:val="Notesnumbered"/>
        <w:numPr>
          <w:ilvl w:val="0"/>
          <w:numId w:val="276"/>
        </w:numPr>
      </w:pPr>
      <w:r w:rsidRPr="00AE501D">
        <w:t>Job seekers may be assisted in more than one category.</w:t>
      </w:r>
    </w:p>
    <w:p w14:paraId="687E2341" w14:textId="77777777" w:rsidR="00961617" w:rsidRPr="00AE501D" w:rsidRDefault="00961617" w:rsidP="00AE501D">
      <w:pPr>
        <w:pStyle w:val="Notesnumbered"/>
        <w:numPr>
          <w:ilvl w:val="0"/>
          <w:numId w:val="276"/>
        </w:numPr>
      </w:pPr>
      <w:r w:rsidRPr="00AE501D">
        <w:t>Excludes a small amount of EPF commitments (less than 0.5 per cent of total EPF expenditure) that had not been reimbursed at the time that data was accessed.</w:t>
      </w:r>
    </w:p>
    <w:p w14:paraId="4A1B5426" w14:textId="77777777" w:rsidR="00961617" w:rsidRPr="00DC29FC" w:rsidRDefault="00961617" w:rsidP="00AE501D">
      <w:pPr>
        <w:pStyle w:val="Notesnumbered"/>
        <w:numPr>
          <w:ilvl w:val="0"/>
          <w:numId w:val="276"/>
        </w:numPr>
      </w:pPr>
      <w:r w:rsidRPr="00AE501D">
        <w:t>Excludes funds not allocated to specific job seekers such as assistance provided under work experience group based activities, labour market</w:t>
      </w:r>
      <w:r w:rsidRPr="00DC29FC">
        <w:t xml:space="preserve"> assistance packages (LAP) and other batch purchases.</w:t>
      </w:r>
    </w:p>
    <w:p w14:paraId="1577FFFD" w14:textId="77777777" w:rsidR="00961617" w:rsidRPr="00DC29FC" w:rsidRDefault="00961617" w:rsidP="00961617">
      <w:pPr>
        <w:spacing w:after="0"/>
        <w:rPr>
          <w:rFonts w:cstheme="minorHAnsi"/>
          <w:sz w:val="18"/>
          <w:szCs w:val="20"/>
        </w:rPr>
      </w:pPr>
      <w:r w:rsidRPr="00DC29FC">
        <w:rPr>
          <w:rFonts w:cstheme="minorHAnsi"/>
          <w:b/>
          <w:sz w:val="18"/>
          <w:szCs w:val="20"/>
        </w:rPr>
        <w:t>Source:</w:t>
      </w:r>
      <w:r w:rsidR="00E13B5E">
        <w:rPr>
          <w:rFonts w:cstheme="minorHAnsi"/>
          <w:b/>
          <w:sz w:val="18"/>
          <w:szCs w:val="20"/>
        </w:rPr>
        <w:tab/>
      </w:r>
      <w:r w:rsidRPr="00DC29FC">
        <w:rPr>
          <w:rFonts w:cstheme="minorHAnsi"/>
          <w:sz w:val="18"/>
          <w:szCs w:val="20"/>
        </w:rPr>
        <w:t>Department of Employment administrative data.</w:t>
      </w:r>
    </w:p>
    <w:p w14:paraId="37A439A5" w14:textId="77777777" w:rsidR="00961617" w:rsidRPr="00DC29FC" w:rsidRDefault="00864C5E" w:rsidP="00961617">
      <w:pPr>
        <w:spacing w:before="120"/>
        <w:rPr>
          <w:sz w:val="18"/>
          <w:szCs w:val="18"/>
        </w:rPr>
      </w:pPr>
      <w:hyperlink w:anchor="Place_A245" w:history="1">
        <w:r w:rsidR="00961617" w:rsidRPr="008C50A7">
          <w:rPr>
            <w:rStyle w:val="Hyperlink"/>
            <w:sz w:val="18"/>
            <w:szCs w:val="18"/>
          </w:rPr>
          <w:t>Return to Figure 10.5</w:t>
        </w:r>
      </w:hyperlink>
      <w:r w:rsidR="00961617" w:rsidRPr="00DC29FC">
        <w:rPr>
          <w:sz w:val="18"/>
          <w:szCs w:val="18"/>
        </w:rPr>
        <w:t xml:space="preserve"> where this data is referenced.</w:t>
      </w:r>
    </w:p>
    <w:p w14:paraId="32443347" w14:textId="77777777" w:rsidR="00961617" w:rsidRDefault="00961617" w:rsidP="00961617">
      <w:pPr>
        <w:rPr>
          <w:sz w:val="18"/>
          <w:szCs w:val="18"/>
        </w:rPr>
      </w:pPr>
      <w:r>
        <w:rPr>
          <w:sz w:val="18"/>
          <w:szCs w:val="18"/>
        </w:rPr>
        <w:br w:type="page"/>
      </w:r>
    </w:p>
    <w:p w14:paraId="7D6FF771" w14:textId="77777777" w:rsidR="00961617" w:rsidRPr="00DC29FC" w:rsidRDefault="00961617" w:rsidP="003C1A65">
      <w:pPr>
        <w:pStyle w:val="TableheadingforappendixA1"/>
      </w:pPr>
      <w:bookmarkStart w:id="729" w:name="_Toc513129939"/>
      <w:r w:rsidRPr="00DC29FC">
        <w:t>Table A2.46: Service and Outcome fees (per job seeker), Internet Vacancy Index (quarterly) and job seeker satisfaction (quarterly), September 2010 – March 2015 ($, index and per cent)</w:t>
      </w:r>
      <w:bookmarkEnd w:id="729"/>
    </w:p>
    <w:tbl>
      <w:tblPr>
        <w:tblW w:w="8804" w:type="dxa"/>
        <w:tblInd w:w="93" w:type="dxa"/>
        <w:shd w:val="clear" w:color="auto" w:fill="FFFFFF" w:themeFill="background2"/>
        <w:tblLook w:val="04A0" w:firstRow="1" w:lastRow="0" w:firstColumn="1" w:lastColumn="0" w:noHBand="0" w:noVBand="1"/>
      </w:tblPr>
      <w:tblGrid>
        <w:gridCol w:w="2142"/>
        <w:gridCol w:w="1559"/>
        <w:gridCol w:w="1701"/>
        <w:gridCol w:w="1701"/>
        <w:gridCol w:w="1701"/>
      </w:tblGrid>
      <w:tr w:rsidR="00961617" w:rsidRPr="00961617" w14:paraId="5EB18F90" w14:textId="77777777" w:rsidTr="0020771F">
        <w:trPr>
          <w:trHeight w:hRule="exact" w:val="787"/>
          <w:tblHeader/>
        </w:trPr>
        <w:tc>
          <w:tcPr>
            <w:tcW w:w="2142" w:type="dxa"/>
            <w:tcBorders>
              <w:top w:val="nil"/>
              <w:left w:val="nil"/>
              <w:bottom w:val="nil"/>
              <w:right w:val="nil"/>
            </w:tcBorders>
            <w:shd w:val="clear" w:color="auto" w:fill="1E3D6B"/>
            <w:noWrap/>
            <w:vAlign w:val="center"/>
            <w:hideMark/>
          </w:tcPr>
          <w:p w14:paraId="4B74A349" w14:textId="77777777" w:rsidR="00961617" w:rsidRPr="00961617" w:rsidRDefault="00961617" w:rsidP="0020771F">
            <w:pPr>
              <w:spacing w:after="0" w:line="240" w:lineRule="auto"/>
              <w:rPr>
                <w:rFonts w:eastAsia="Times New Roman" w:cstheme="minorHAnsi"/>
                <w:b/>
                <w:color w:val="FFFFFF" w:themeColor="background2"/>
                <w:sz w:val="20"/>
                <w:szCs w:val="20"/>
                <w:lang w:eastAsia="en-AU"/>
              </w:rPr>
            </w:pPr>
            <w:bookmarkStart w:id="730" w:name="Title_A246"/>
            <w:bookmarkEnd w:id="730"/>
            <w:r w:rsidRPr="00961617">
              <w:rPr>
                <w:rFonts w:eastAsia="Times New Roman" w:cstheme="minorHAnsi"/>
                <w:b/>
                <w:color w:val="FFFFFF" w:themeColor="background2"/>
                <w:sz w:val="20"/>
                <w:szCs w:val="20"/>
                <w:lang w:eastAsia="en-AU"/>
              </w:rPr>
              <w:t>Month</w:t>
            </w:r>
          </w:p>
        </w:tc>
        <w:tc>
          <w:tcPr>
            <w:tcW w:w="1559" w:type="dxa"/>
            <w:tcBorders>
              <w:top w:val="nil"/>
              <w:left w:val="nil"/>
              <w:bottom w:val="nil"/>
              <w:right w:val="nil"/>
            </w:tcBorders>
            <w:shd w:val="clear" w:color="auto" w:fill="1E3D6B"/>
            <w:noWrap/>
            <w:vAlign w:val="center"/>
            <w:hideMark/>
          </w:tcPr>
          <w:p w14:paraId="54A8FD76"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Job seeker satisfaction</w:t>
            </w:r>
            <w:r w:rsidRPr="00961617">
              <w:rPr>
                <w:rFonts w:eastAsia="Times New Roman" w:cstheme="minorHAnsi"/>
                <w:b/>
                <w:color w:val="FFFFFF" w:themeColor="background2"/>
                <w:sz w:val="20"/>
                <w:szCs w:val="20"/>
                <w:lang w:eastAsia="en-AU"/>
              </w:rPr>
              <w:br/>
              <w:t>(%)</w:t>
            </w:r>
          </w:p>
        </w:tc>
        <w:tc>
          <w:tcPr>
            <w:tcW w:w="1701" w:type="dxa"/>
            <w:tcBorders>
              <w:top w:val="nil"/>
              <w:left w:val="nil"/>
              <w:bottom w:val="nil"/>
              <w:right w:val="nil"/>
            </w:tcBorders>
            <w:shd w:val="clear" w:color="auto" w:fill="1E3D6B"/>
            <w:noWrap/>
            <w:vAlign w:val="center"/>
            <w:hideMark/>
          </w:tcPr>
          <w:p w14:paraId="72107ED1"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Internet vacancy index Australia</w:t>
            </w:r>
            <w:r w:rsidRPr="00961617">
              <w:rPr>
                <w:rFonts w:eastAsia="Times New Roman" w:cstheme="minorHAnsi"/>
                <w:b/>
                <w:color w:val="FFFFFF" w:themeColor="background2"/>
                <w:sz w:val="20"/>
                <w:szCs w:val="20"/>
                <w:lang w:eastAsia="en-AU"/>
              </w:rPr>
              <w:br/>
              <w:t xml:space="preserve">(index) </w:t>
            </w:r>
          </w:p>
        </w:tc>
        <w:tc>
          <w:tcPr>
            <w:tcW w:w="1701" w:type="dxa"/>
            <w:tcBorders>
              <w:top w:val="nil"/>
              <w:left w:val="nil"/>
              <w:bottom w:val="nil"/>
              <w:right w:val="nil"/>
            </w:tcBorders>
            <w:shd w:val="clear" w:color="auto" w:fill="1E3D6B"/>
            <w:noWrap/>
            <w:vAlign w:val="center"/>
            <w:hideMark/>
          </w:tcPr>
          <w:p w14:paraId="7DDE07CA"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Outcome fees per job seeker</w:t>
            </w:r>
            <w:r w:rsidRPr="00961617">
              <w:rPr>
                <w:rFonts w:eastAsia="Times New Roman" w:cstheme="minorHAnsi"/>
                <w:b/>
                <w:color w:val="FFFFFF" w:themeColor="background2"/>
                <w:sz w:val="20"/>
                <w:szCs w:val="20"/>
                <w:lang w:eastAsia="en-AU"/>
              </w:rPr>
              <w:br/>
              <w:t>($)</w:t>
            </w:r>
          </w:p>
        </w:tc>
        <w:tc>
          <w:tcPr>
            <w:tcW w:w="1701" w:type="dxa"/>
            <w:tcBorders>
              <w:top w:val="nil"/>
              <w:left w:val="nil"/>
              <w:bottom w:val="nil"/>
              <w:right w:val="nil"/>
            </w:tcBorders>
            <w:shd w:val="clear" w:color="auto" w:fill="1E3D6B"/>
            <w:noWrap/>
            <w:vAlign w:val="center"/>
            <w:hideMark/>
          </w:tcPr>
          <w:p w14:paraId="49DDD7EE" w14:textId="77777777" w:rsidR="00961617" w:rsidRPr="00961617" w:rsidRDefault="00961617" w:rsidP="0020771F">
            <w:pPr>
              <w:spacing w:after="0" w:line="240" w:lineRule="auto"/>
              <w:jc w:val="center"/>
              <w:rPr>
                <w:rFonts w:eastAsia="Times New Roman" w:cstheme="minorHAnsi"/>
                <w:b/>
                <w:color w:val="FFFFFF" w:themeColor="background2"/>
                <w:sz w:val="20"/>
                <w:szCs w:val="20"/>
                <w:lang w:eastAsia="en-AU"/>
              </w:rPr>
            </w:pPr>
            <w:r w:rsidRPr="00961617">
              <w:rPr>
                <w:rFonts w:eastAsia="Times New Roman" w:cstheme="minorHAnsi"/>
                <w:b/>
                <w:color w:val="FFFFFF" w:themeColor="background2"/>
                <w:sz w:val="20"/>
                <w:szCs w:val="20"/>
                <w:lang w:eastAsia="en-AU"/>
              </w:rPr>
              <w:t>Service fees per job seeker</w:t>
            </w:r>
            <w:r w:rsidRPr="00961617">
              <w:rPr>
                <w:rFonts w:eastAsia="Times New Roman" w:cstheme="minorHAnsi"/>
                <w:b/>
                <w:color w:val="FFFFFF" w:themeColor="background2"/>
                <w:sz w:val="20"/>
                <w:szCs w:val="20"/>
                <w:lang w:eastAsia="en-AU"/>
              </w:rPr>
              <w:br/>
              <w:t>($)</w:t>
            </w:r>
          </w:p>
        </w:tc>
      </w:tr>
      <w:tr w:rsidR="00961617" w:rsidRPr="00961617" w14:paraId="64958654"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5CDD79C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2010</w:t>
            </w:r>
          </w:p>
        </w:tc>
        <w:tc>
          <w:tcPr>
            <w:tcW w:w="1559" w:type="dxa"/>
            <w:tcBorders>
              <w:top w:val="nil"/>
              <w:left w:val="nil"/>
              <w:bottom w:val="nil"/>
              <w:right w:val="nil"/>
            </w:tcBorders>
            <w:shd w:val="clear" w:color="auto" w:fill="FFFFFF" w:themeFill="background2"/>
            <w:noWrap/>
            <w:vAlign w:val="center"/>
            <w:hideMark/>
          </w:tcPr>
          <w:p w14:paraId="37969C4B"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71.3</w:t>
            </w:r>
          </w:p>
        </w:tc>
        <w:tc>
          <w:tcPr>
            <w:tcW w:w="1701" w:type="dxa"/>
            <w:tcBorders>
              <w:top w:val="nil"/>
              <w:left w:val="nil"/>
              <w:bottom w:val="nil"/>
              <w:right w:val="nil"/>
            </w:tcBorders>
            <w:shd w:val="clear" w:color="auto" w:fill="FFFFFF" w:themeFill="background2"/>
            <w:noWrap/>
            <w:vAlign w:val="center"/>
            <w:hideMark/>
          </w:tcPr>
          <w:p w14:paraId="27F6B586"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90.9</w:t>
            </w:r>
          </w:p>
        </w:tc>
        <w:tc>
          <w:tcPr>
            <w:tcW w:w="1701" w:type="dxa"/>
            <w:tcBorders>
              <w:top w:val="nil"/>
              <w:left w:val="nil"/>
              <w:bottom w:val="nil"/>
              <w:right w:val="nil"/>
            </w:tcBorders>
            <w:shd w:val="clear" w:color="auto" w:fill="FFFFFF" w:themeFill="background2"/>
            <w:noWrap/>
            <w:vAlign w:val="center"/>
            <w:hideMark/>
          </w:tcPr>
          <w:p w14:paraId="3E9EAC13"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64.5</w:t>
            </w:r>
          </w:p>
        </w:tc>
        <w:tc>
          <w:tcPr>
            <w:tcW w:w="1701" w:type="dxa"/>
            <w:tcBorders>
              <w:top w:val="nil"/>
              <w:left w:val="nil"/>
              <w:bottom w:val="nil"/>
              <w:right w:val="nil"/>
            </w:tcBorders>
            <w:shd w:val="clear" w:color="auto" w:fill="FFFFFF" w:themeFill="background2"/>
            <w:noWrap/>
            <w:vAlign w:val="center"/>
            <w:hideMark/>
          </w:tcPr>
          <w:p w14:paraId="683C18EF"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92.9</w:t>
            </w:r>
          </w:p>
        </w:tc>
      </w:tr>
      <w:tr w:rsidR="00961617" w:rsidRPr="00961617" w14:paraId="737DF43D"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574F27DF"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2010</w:t>
            </w:r>
          </w:p>
        </w:tc>
        <w:tc>
          <w:tcPr>
            <w:tcW w:w="1559" w:type="dxa"/>
            <w:tcBorders>
              <w:top w:val="nil"/>
              <w:left w:val="nil"/>
              <w:bottom w:val="nil"/>
              <w:right w:val="nil"/>
            </w:tcBorders>
            <w:shd w:val="clear" w:color="auto" w:fill="E5E5E5" w:themeFill="background1" w:themeFillTint="33"/>
            <w:noWrap/>
            <w:vAlign w:val="center"/>
            <w:hideMark/>
          </w:tcPr>
          <w:p w14:paraId="12B96A4F"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72.0</w:t>
            </w:r>
          </w:p>
        </w:tc>
        <w:tc>
          <w:tcPr>
            <w:tcW w:w="1701" w:type="dxa"/>
            <w:tcBorders>
              <w:top w:val="nil"/>
              <w:left w:val="nil"/>
              <w:bottom w:val="nil"/>
              <w:right w:val="nil"/>
            </w:tcBorders>
            <w:shd w:val="clear" w:color="auto" w:fill="E5E5E5" w:themeFill="background1" w:themeFillTint="33"/>
            <w:noWrap/>
            <w:vAlign w:val="center"/>
            <w:hideMark/>
          </w:tcPr>
          <w:p w14:paraId="6E30196F"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97.0</w:t>
            </w:r>
          </w:p>
        </w:tc>
        <w:tc>
          <w:tcPr>
            <w:tcW w:w="1701" w:type="dxa"/>
            <w:tcBorders>
              <w:top w:val="nil"/>
              <w:left w:val="nil"/>
              <w:bottom w:val="nil"/>
              <w:right w:val="nil"/>
            </w:tcBorders>
            <w:shd w:val="clear" w:color="auto" w:fill="E5E5E5" w:themeFill="background1" w:themeFillTint="33"/>
            <w:noWrap/>
            <w:vAlign w:val="center"/>
            <w:hideMark/>
          </w:tcPr>
          <w:p w14:paraId="464CB52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79.4</w:t>
            </w:r>
          </w:p>
        </w:tc>
        <w:tc>
          <w:tcPr>
            <w:tcW w:w="1701" w:type="dxa"/>
            <w:tcBorders>
              <w:top w:val="nil"/>
              <w:left w:val="nil"/>
              <w:bottom w:val="nil"/>
              <w:right w:val="nil"/>
            </w:tcBorders>
            <w:shd w:val="clear" w:color="auto" w:fill="E5E5E5" w:themeFill="background1" w:themeFillTint="33"/>
            <w:noWrap/>
            <w:vAlign w:val="center"/>
            <w:hideMark/>
          </w:tcPr>
          <w:p w14:paraId="07CD8BEF"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93.1</w:t>
            </w:r>
          </w:p>
        </w:tc>
      </w:tr>
      <w:tr w:rsidR="00961617" w:rsidRPr="00961617" w14:paraId="4C26E316"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420FACA4"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2011</w:t>
            </w:r>
          </w:p>
        </w:tc>
        <w:tc>
          <w:tcPr>
            <w:tcW w:w="1559" w:type="dxa"/>
            <w:tcBorders>
              <w:top w:val="nil"/>
              <w:left w:val="nil"/>
              <w:bottom w:val="nil"/>
              <w:right w:val="nil"/>
            </w:tcBorders>
            <w:shd w:val="clear" w:color="auto" w:fill="FFFFFF" w:themeFill="background2"/>
            <w:noWrap/>
            <w:vAlign w:val="center"/>
            <w:hideMark/>
          </w:tcPr>
          <w:p w14:paraId="6E5ED961"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72.2</w:t>
            </w:r>
          </w:p>
        </w:tc>
        <w:tc>
          <w:tcPr>
            <w:tcW w:w="1701" w:type="dxa"/>
            <w:tcBorders>
              <w:top w:val="nil"/>
              <w:left w:val="nil"/>
              <w:bottom w:val="nil"/>
              <w:right w:val="nil"/>
            </w:tcBorders>
            <w:shd w:val="clear" w:color="auto" w:fill="FFFFFF" w:themeFill="background2"/>
            <w:noWrap/>
            <w:vAlign w:val="center"/>
            <w:hideMark/>
          </w:tcPr>
          <w:p w14:paraId="47C65B38"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99.9</w:t>
            </w:r>
          </w:p>
        </w:tc>
        <w:tc>
          <w:tcPr>
            <w:tcW w:w="1701" w:type="dxa"/>
            <w:tcBorders>
              <w:top w:val="nil"/>
              <w:left w:val="nil"/>
              <w:bottom w:val="nil"/>
              <w:right w:val="nil"/>
            </w:tcBorders>
            <w:shd w:val="clear" w:color="auto" w:fill="FFFFFF" w:themeFill="background2"/>
            <w:noWrap/>
            <w:vAlign w:val="center"/>
            <w:hideMark/>
          </w:tcPr>
          <w:p w14:paraId="1FA64C49"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71.7</w:t>
            </w:r>
          </w:p>
        </w:tc>
        <w:tc>
          <w:tcPr>
            <w:tcW w:w="1701" w:type="dxa"/>
            <w:tcBorders>
              <w:top w:val="nil"/>
              <w:left w:val="nil"/>
              <w:bottom w:val="nil"/>
              <w:right w:val="nil"/>
            </w:tcBorders>
            <w:shd w:val="clear" w:color="auto" w:fill="FFFFFF" w:themeFill="background2"/>
            <w:noWrap/>
            <w:vAlign w:val="center"/>
            <w:hideMark/>
          </w:tcPr>
          <w:p w14:paraId="49C9574C"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87.7</w:t>
            </w:r>
          </w:p>
        </w:tc>
      </w:tr>
      <w:tr w:rsidR="00961617" w:rsidRPr="00961617" w14:paraId="08BD316A"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0AE2B31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2011</w:t>
            </w:r>
          </w:p>
        </w:tc>
        <w:tc>
          <w:tcPr>
            <w:tcW w:w="1559" w:type="dxa"/>
            <w:tcBorders>
              <w:top w:val="nil"/>
              <w:left w:val="nil"/>
              <w:bottom w:val="nil"/>
              <w:right w:val="nil"/>
            </w:tcBorders>
            <w:shd w:val="clear" w:color="auto" w:fill="E5E5E5" w:themeFill="background1" w:themeFillTint="33"/>
            <w:noWrap/>
            <w:vAlign w:val="center"/>
            <w:hideMark/>
          </w:tcPr>
          <w:p w14:paraId="35FD22A4"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71.8</w:t>
            </w:r>
          </w:p>
        </w:tc>
        <w:tc>
          <w:tcPr>
            <w:tcW w:w="1701" w:type="dxa"/>
            <w:tcBorders>
              <w:top w:val="nil"/>
              <w:left w:val="nil"/>
              <w:bottom w:val="nil"/>
              <w:right w:val="nil"/>
            </w:tcBorders>
            <w:shd w:val="clear" w:color="auto" w:fill="E5E5E5" w:themeFill="background1" w:themeFillTint="33"/>
            <w:noWrap/>
            <w:vAlign w:val="center"/>
            <w:hideMark/>
          </w:tcPr>
          <w:p w14:paraId="4B26CAA4"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99.1</w:t>
            </w:r>
          </w:p>
        </w:tc>
        <w:tc>
          <w:tcPr>
            <w:tcW w:w="1701" w:type="dxa"/>
            <w:tcBorders>
              <w:top w:val="nil"/>
              <w:left w:val="nil"/>
              <w:bottom w:val="nil"/>
              <w:right w:val="nil"/>
            </w:tcBorders>
            <w:shd w:val="clear" w:color="auto" w:fill="E5E5E5" w:themeFill="background1" w:themeFillTint="33"/>
            <w:noWrap/>
            <w:vAlign w:val="center"/>
            <w:hideMark/>
          </w:tcPr>
          <w:p w14:paraId="2A38BFFC"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80.7</w:t>
            </w:r>
          </w:p>
        </w:tc>
        <w:tc>
          <w:tcPr>
            <w:tcW w:w="1701" w:type="dxa"/>
            <w:tcBorders>
              <w:top w:val="nil"/>
              <w:left w:val="nil"/>
              <w:bottom w:val="nil"/>
              <w:right w:val="nil"/>
            </w:tcBorders>
            <w:shd w:val="clear" w:color="auto" w:fill="E5E5E5" w:themeFill="background1" w:themeFillTint="33"/>
            <w:noWrap/>
            <w:vAlign w:val="center"/>
            <w:hideMark/>
          </w:tcPr>
          <w:p w14:paraId="5E29E82F"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83.9</w:t>
            </w:r>
          </w:p>
        </w:tc>
      </w:tr>
      <w:tr w:rsidR="00961617" w:rsidRPr="00961617" w14:paraId="61399483"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5D1D56E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2011</w:t>
            </w:r>
          </w:p>
        </w:tc>
        <w:tc>
          <w:tcPr>
            <w:tcW w:w="1559" w:type="dxa"/>
            <w:tcBorders>
              <w:top w:val="nil"/>
              <w:left w:val="nil"/>
              <w:bottom w:val="nil"/>
              <w:right w:val="nil"/>
            </w:tcBorders>
            <w:shd w:val="clear" w:color="auto" w:fill="FFFFFF" w:themeFill="background2"/>
            <w:noWrap/>
            <w:vAlign w:val="center"/>
            <w:hideMark/>
          </w:tcPr>
          <w:p w14:paraId="499C640A"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72.5</w:t>
            </w:r>
          </w:p>
        </w:tc>
        <w:tc>
          <w:tcPr>
            <w:tcW w:w="1701" w:type="dxa"/>
            <w:tcBorders>
              <w:top w:val="nil"/>
              <w:left w:val="nil"/>
              <w:bottom w:val="nil"/>
              <w:right w:val="nil"/>
            </w:tcBorders>
            <w:shd w:val="clear" w:color="auto" w:fill="FFFFFF" w:themeFill="background2"/>
            <w:noWrap/>
            <w:vAlign w:val="center"/>
            <w:hideMark/>
          </w:tcPr>
          <w:p w14:paraId="0FB6B857"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94.8</w:t>
            </w:r>
          </w:p>
        </w:tc>
        <w:tc>
          <w:tcPr>
            <w:tcW w:w="1701" w:type="dxa"/>
            <w:tcBorders>
              <w:top w:val="nil"/>
              <w:left w:val="nil"/>
              <w:bottom w:val="nil"/>
              <w:right w:val="nil"/>
            </w:tcBorders>
            <w:shd w:val="clear" w:color="auto" w:fill="FFFFFF" w:themeFill="background2"/>
            <w:noWrap/>
            <w:vAlign w:val="center"/>
            <w:hideMark/>
          </w:tcPr>
          <w:p w14:paraId="6FCA99E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83.3</w:t>
            </w:r>
          </w:p>
        </w:tc>
        <w:tc>
          <w:tcPr>
            <w:tcW w:w="1701" w:type="dxa"/>
            <w:tcBorders>
              <w:top w:val="nil"/>
              <w:left w:val="nil"/>
              <w:bottom w:val="nil"/>
              <w:right w:val="nil"/>
            </w:tcBorders>
            <w:shd w:val="clear" w:color="auto" w:fill="FFFFFF" w:themeFill="background2"/>
            <w:noWrap/>
            <w:vAlign w:val="center"/>
            <w:hideMark/>
          </w:tcPr>
          <w:p w14:paraId="4A7E1006"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81.1</w:t>
            </w:r>
          </w:p>
        </w:tc>
      </w:tr>
      <w:tr w:rsidR="00961617" w:rsidRPr="00961617" w14:paraId="1A388235"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790359B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2011</w:t>
            </w:r>
          </w:p>
        </w:tc>
        <w:tc>
          <w:tcPr>
            <w:tcW w:w="1559" w:type="dxa"/>
            <w:tcBorders>
              <w:top w:val="nil"/>
              <w:left w:val="nil"/>
              <w:bottom w:val="nil"/>
              <w:right w:val="nil"/>
            </w:tcBorders>
            <w:shd w:val="clear" w:color="auto" w:fill="E5E5E5" w:themeFill="background1" w:themeFillTint="33"/>
            <w:noWrap/>
            <w:vAlign w:val="center"/>
            <w:hideMark/>
          </w:tcPr>
          <w:p w14:paraId="1096233E"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71.8</w:t>
            </w:r>
          </w:p>
        </w:tc>
        <w:tc>
          <w:tcPr>
            <w:tcW w:w="1701" w:type="dxa"/>
            <w:tcBorders>
              <w:top w:val="nil"/>
              <w:left w:val="nil"/>
              <w:bottom w:val="nil"/>
              <w:right w:val="nil"/>
            </w:tcBorders>
            <w:shd w:val="clear" w:color="auto" w:fill="E5E5E5" w:themeFill="background1" w:themeFillTint="33"/>
            <w:noWrap/>
            <w:vAlign w:val="center"/>
            <w:hideMark/>
          </w:tcPr>
          <w:p w14:paraId="6AD2BFF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91.9</w:t>
            </w:r>
          </w:p>
        </w:tc>
        <w:tc>
          <w:tcPr>
            <w:tcW w:w="1701" w:type="dxa"/>
            <w:tcBorders>
              <w:top w:val="nil"/>
              <w:left w:val="nil"/>
              <w:bottom w:val="nil"/>
              <w:right w:val="nil"/>
            </w:tcBorders>
            <w:shd w:val="clear" w:color="auto" w:fill="E5E5E5" w:themeFill="background1" w:themeFillTint="33"/>
            <w:noWrap/>
            <w:vAlign w:val="center"/>
            <w:hideMark/>
          </w:tcPr>
          <w:p w14:paraId="321A3FCB"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79.0</w:t>
            </w:r>
          </w:p>
        </w:tc>
        <w:tc>
          <w:tcPr>
            <w:tcW w:w="1701" w:type="dxa"/>
            <w:tcBorders>
              <w:top w:val="nil"/>
              <w:left w:val="nil"/>
              <w:bottom w:val="nil"/>
              <w:right w:val="nil"/>
            </w:tcBorders>
            <w:shd w:val="clear" w:color="auto" w:fill="E5E5E5" w:themeFill="background1" w:themeFillTint="33"/>
            <w:noWrap/>
            <w:vAlign w:val="center"/>
            <w:hideMark/>
          </w:tcPr>
          <w:p w14:paraId="340E0DE9"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74.8</w:t>
            </w:r>
          </w:p>
        </w:tc>
      </w:tr>
      <w:tr w:rsidR="00961617" w:rsidRPr="00961617" w14:paraId="6CD35329"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04E7E793"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2012</w:t>
            </w:r>
          </w:p>
        </w:tc>
        <w:tc>
          <w:tcPr>
            <w:tcW w:w="1559" w:type="dxa"/>
            <w:tcBorders>
              <w:top w:val="nil"/>
              <w:left w:val="nil"/>
              <w:bottom w:val="nil"/>
              <w:right w:val="nil"/>
            </w:tcBorders>
            <w:shd w:val="clear" w:color="auto" w:fill="FFFFFF" w:themeFill="background2"/>
            <w:noWrap/>
            <w:vAlign w:val="center"/>
            <w:hideMark/>
          </w:tcPr>
          <w:p w14:paraId="4FABAE58"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71.1</w:t>
            </w:r>
          </w:p>
        </w:tc>
        <w:tc>
          <w:tcPr>
            <w:tcW w:w="1701" w:type="dxa"/>
            <w:tcBorders>
              <w:top w:val="nil"/>
              <w:left w:val="nil"/>
              <w:bottom w:val="nil"/>
              <w:right w:val="nil"/>
            </w:tcBorders>
            <w:shd w:val="clear" w:color="auto" w:fill="FFFFFF" w:themeFill="background2"/>
            <w:noWrap/>
            <w:vAlign w:val="center"/>
            <w:hideMark/>
          </w:tcPr>
          <w:p w14:paraId="084C4BCD"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90.1</w:t>
            </w:r>
          </w:p>
        </w:tc>
        <w:tc>
          <w:tcPr>
            <w:tcW w:w="1701" w:type="dxa"/>
            <w:tcBorders>
              <w:top w:val="nil"/>
              <w:left w:val="nil"/>
              <w:bottom w:val="nil"/>
              <w:right w:val="nil"/>
            </w:tcBorders>
            <w:shd w:val="clear" w:color="auto" w:fill="FFFFFF" w:themeFill="background2"/>
            <w:noWrap/>
            <w:vAlign w:val="center"/>
            <w:hideMark/>
          </w:tcPr>
          <w:p w14:paraId="7204A52D"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65.3</w:t>
            </w:r>
          </w:p>
        </w:tc>
        <w:tc>
          <w:tcPr>
            <w:tcW w:w="1701" w:type="dxa"/>
            <w:tcBorders>
              <w:top w:val="nil"/>
              <w:left w:val="nil"/>
              <w:bottom w:val="nil"/>
              <w:right w:val="nil"/>
            </w:tcBorders>
            <w:shd w:val="clear" w:color="auto" w:fill="FFFFFF" w:themeFill="background2"/>
            <w:noWrap/>
            <w:vAlign w:val="center"/>
            <w:hideMark/>
          </w:tcPr>
          <w:p w14:paraId="3741A7E8"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78.2</w:t>
            </w:r>
          </w:p>
        </w:tc>
      </w:tr>
      <w:tr w:rsidR="00961617" w:rsidRPr="00961617" w14:paraId="5446ED67"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022A2A9C"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2012</w:t>
            </w:r>
          </w:p>
        </w:tc>
        <w:tc>
          <w:tcPr>
            <w:tcW w:w="1559" w:type="dxa"/>
            <w:tcBorders>
              <w:top w:val="nil"/>
              <w:left w:val="nil"/>
              <w:bottom w:val="nil"/>
              <w:right w:val="nil"/>
            </w:tcBorders>
            <w:shd w:val="clear" w:color="auto" w:fill="E5E5E5" w:themeFill="background1" w:themeFillTint="33"/>
            <w:noWrap/>
            <w:vAlign w:val="center"/>
            <w:hideMark/>
          </w:tcPr>
          <w:p w14:paraId="26B14690"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70.2</w:t>
            </w:r>
          </w:p>
        </w:tc>
        <w:tc>
          <w:tcPr>
            <w:tcW w:w="1701" w:type="dxa"/>
            <w:tcBorders>
              <w:top w:val="nil"/>
              <w:left w:val="nil"/>
              <w:bottom w:val="nil"/>
              <w:right w:val="nil"/>
            </w:tcBorders>
            <w:shd w:val="clear" w:color="auto" w:fill="E5E5E5" w:themeFill="background1" w:themeFillTint="33"/>
            <w:noWrap/>
            <w:vAlign w:val="center"/>
            <w:hideMark/>
          </w:tcPr>
          <w:p w14:paraId="79ECDC6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84.9</w:t>
            </w:r>
          </w:p>
        </w:tc>
        <w:tc>
          <w:tcPr>
            <w:tcW w:w="1701" w:type="dxa"/>
            <w:tcBorders>
              <w:top w:val="nil"/>
              <w:left w:val="nil"/>
              <w:bottom w:val="nil"/>
              <w:right w:val="nil"/>
            </w:tcBorders>
            <w:shd w:val="clear" w:color="auto" w:fill="E5E5E5" w:themeFill="background1" w:themeFillTint="33"/>
            <w:noWrap/>
            <w:vAlign w:val="center"/>
            <w:hideMark/>
          </w:tcPr>
          <w:p w14:paraId="0ECF4C75"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61.8</w:t>
            </w:r>
          </w:p>
        </w:tc>
        <w:tc>
          <w:tcPr>
            <w:tcW w:w="1701" w:type="dxa"/>
            <w:tcBorders>
              <w:top w:val="nil"/>
              <w:left w:val="nil"/>
              <w:bottom w:val="nil"/>
              <w:right w:val="nil"/>
            </w:tcBorders>
            <w:shd w:val="clear" w:color="auto" w:fill="E5E5E5" w:themeFill="background1" w:themeFillTint="33"/>
            <w:noWrap/>
            <w:vAlign w:val="center"/>
            <w:hideMark/>
          </w:tcPr>
          <w:p w14:paraId="41B4E877"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76.6</w:t>
            </w:r>
          </w:p>
        </w:tc>
      </w:tr>
      <w:tr w:rsidR="00961617" w:rsidRPr="00961617" w14:paraId="3E64F514"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400E6FE5"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2012</w:t>
            </w:r>
          </w:p>
        </w:tc>
        <w:tc>
          <w:tcPr>
            <w:tcW w:w="1559" w:type="dxa"/>
            <w:tcBorders>
              <w:top w:val="nil"/>
              <w:left w:val="nil"/>
              <w:bottom w:val="nil"/>
              <w:right w:val="nil"/>
            </w:tcBorders>
            <w:shd w:val="clear" w:color="auto" w:fill="FFFFFF" w:themeFill="background2"/>
            <w:noWrap/>
            <w:vAlign w:val="center"/>
            <w:hideMark/>
          </w:tcPr>
          <w:p w14:paraId="04E7781D"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69.2</w:t>
            </w:r>
          </w:p>
        </w:tc>
        <w:tc>
          <w:tcPr>
            <w:tcW w:w="1701" w:type="dxa"/>
            <w:tcBorders>
              <w:top w:val="nil"/>
              <w:left w:val="nil"/>
              <w:bottom w:val="nil"/>
              <w:right w:val="nil"/>
            </w:tcBorders>
            <w:shd w:val="clear" w:color="auto" w:fill="FFFFFF" w:themeFill="background2"/>
            <w:noWrap/>
            <w:vAlign w:val="center"/>
            <w:hideMark/>
          </w:tcPr>
          <w:p w14:paraId="3EF7B4CC"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78.8</w:t>
            </w:r>
          </w:p>
        </w:tc>
        <w:tc>
          <w:tcPr>
            <w:tcW w:w="1701" w:type="dxa"/>
            <w:tcBorders>
              <w:top w:val="nil"/>
              <w:left w:val="nil"/>
              <w:bottom w:val="nil"/>
              <w:right w:val="nil"/>
            </w:tcBorders>
            <w:shd w:val="clear" w:color="auto" w:fill="FFFFFF" w:themeFill="background2"/>
            <w:noWrap/>
            <w:vAlign w:val="center"/>
            <w:hideMark/>
          </w:tcPr>
          <w:p w14:paraId="3FDFBBCB"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56.8</w:t>
            </w:r>
          </w:p>
        </w:tc>
        <w:tc>
          <w:tcPr>
            <w:tcW w:w="1701" w:type="dxa"/>
            <w:tcBorders>
              <w:top w:val="nil"/>
              <w:left w:val="nil"/>
              <w:bottom w:val="nil"/>
              <w:right w:val="nil"/>
            </w:tcBorders>
            <w:shd w:val="clear" w:color="auto" w:fill="FFFFFF" w:themeFill="background2"/>
            <w:noWrap/>
            <w:vAlign w:val="center"/>
            <w:hideMark/>
          </w:tcPr>
          <w:p w14:paraId="053431BE"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62.4</w:t>
            </w:r>
          </w:p>
        </w:tc>
      </w:tr>
      <w:tr w:rsidR="00961617" w:rsidRPr="00961617" w14:paraId="101F1CA3"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421ADCCD"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2012</w:t>
            </w:r>
          </w:p>
        </w:tc>
        <w:tc>
          <w:tcPr>
            <w:tcW w:w="1559" w:type="dxa"/>
            <w:tcBorders>
              <w:top w:val="nil"/>
              <w:left w:val="nil"/>
              <w:bottom w:val="nil"/>
              <w:right w:val="nil"/>
            </w:tcBorders>
            <w:shd w:val="clear" w:color="auto" w:fill="E5E5E5" w:themeFill="background1" w:themeFillTint="33"/>
            <w:noWrap/>
            <w:vAlign w:val="center"/>
            <w:hideMark/>
          </w:tcPr>
          <w:p w14:paraId="1B958AD4"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69.1</w:t>
            </w:r>
          </w:p>
        </w:tc>
        <w:tc>
          <w:tcPr>
            <w:tcW w:w="1701" w:type="dxa"/>
            <w:tcBorders>
              <w:top w:val="nil"/>
              <w:left w:val="nil"/>
              <w:bottom w:val="nil"/>
              <w:right w:val="nil"/>
            </w:tcBorders>
            <w:shd w:val="clear" w:color="auto" w:fill="E5E5E5" w:themeFill="background1" w:themeFillTint="33"/>
            <w:noWrap/>
            <w:vAlign w:val="center"/>
            <w:hideMark/>
          </w:tcPr>
          <w:p w14:paraId="52FB9F23"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73.1</w:t>
            </w:r>
          </w:p>
        </w:tc>
        <w:tc>
          <w:tcPr>
            <w:tcW w:w="1701" w:type="dxa"/>
            <w:tcBorders>
              <w:top w:val="nil"/>
              <w:left w:val="nil"/>
              <w:bottom w:val="nil"/>
              <w:right w:val="nil"/>
            </w:tcBorders>
            <w:shd w:val="clear" w:color="auto" w:fill="E5E5E5" w:themeFill="background1" w:themeFillTint="33"/>
            <w:noWrap/>
            <w:vAlign w:val="center"/>
            <w:hideMark/>
          </w:tcPr>
          <w:p w14:paraId="1A14DD6E"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55.0</w:t>
            </w:r>
          </w:p>
        </w:tc>
        <w:tc>
          <w:tcPr>
            <w:tcW w:w="1701" w:type="dxa"/>
            <w:tcBorders>
              <w:top w:val="nil"/>
              <w:left w:val="nil"/>
              <w:bottom w:val="nil"/>
              <w:right w:val="nil"/>
            </w:tcBorders>
            <w:shd w:val="clear" w:color="auto" w:fill="E5E5E5" w:themeFill="background1" w:themeFillTint="33"/>
            <w:noWrap/>
            <w:vAlign w:val="center"/>
            <w:hideMark/>
          </w:tcPr>
          <w:p w14:paraId="2D7F8507"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60.0</w:t>
            </w:r>
          </w:p>
        </w:tc>
      </w:tr>
      <w:tr w:rsidR="00961617" w:rsidRPr="00961617" w14:paraId="441F8391"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149A4A72"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2013</w:t>
            </w:r>
          </w:p>
        </w:tc>
        <w:tc>
          <w:tcPr>
            <w:tcW w:w="1559" w:type="dxa"/>
            <w:tcBorders>
              <w:top w:val="nil"/>
              <w:left w:val="nil"/>
              <w:bottom w:val="nil"/>
              <w:right w:val="nil"/>
            </w:tcBorders>
            <w:shd w:val="clear" w:color="auto" w:fill="FFFFFF" w:themeFill="background2"/>
            <w:noWrap/>
            <w:vAlign w:val="center"/>
            <w:hideMark/>
          </w:tcPr>
          <w:p w14:paraId="7E26B7D9"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68.8</w:t>
            </w:r>
          </w:p>
        </w:tc>
        <w:tc>
          <w:tcPr>
            <w:tcW w:w="1701" w:type="dxa"/>
            <w:tcBorders>
              <w:top w:val="nil"/>
              <w:left w:val="nil"/>
              <w:bottom w:val="nil"/>
              <w:right w:val="nil"/>
            </w:tcBorders>
            <w:shd w:val="clear" w:color="auto" w:fill="FFFFFF" w:themeFill="background2"/>
            <w:noWrap/>
            <w:vAlign w:val="center"/>
            <w:hideMark/>
          </w:tcPr>
          <w:p w14:paraId="2E68082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68.5</w:t>
            </w:r>
          </w:p>
        </w:tc>
        <w:tc>
          <w:tcPr>
            <w:tcW w:w="1701" w:type="dxa"/>
            <w:tcBorders>
              <w:top w:val="nil"/>
              <w:left w:val="nil"/>
              <w:bottom w:val="nil"/>
              <w:right w:val="nil"/>
            </w:tcBorders>
            <w:shd w:val="clear" w:color="auto" w:fill="FFFFFF" w:themeFill="background2"/>
            <w:noWrap/>
            <w:vAlign w:val="center"/>
            <w:hideMark/>
          </w:tcPr>
          <w:p w14:paraId="680C9D0C"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40.5</w:t>
            </w:r>
          </w:p>
        </w:tc>
        <w:tc>
          <w:tcPr>
            <w:tcW w:w="1701" w:type="dxa"/>
            <w:tcBorders>
              <w:top w:val="nil"/>
              <w:left w:val="nil"/>
              <w:bottom w:val="nil"/>
              <w:right w:val="nil"/>
            </w:tcBorders>
            <w:shd w:val="clear" w:color="auto" w:fill="FFFFFF" w:themeFill="background2"/>
            <w:noWrap/>
            <w:vAlign w:val="center"/>
            <w:hideMark/>
          </w:tcPr>
          <w:p w14:paraId="46F1C50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60.8</w:t>
            </w:r>
          </w:p>
        </w:tc>
      </w:tr>
      <w:tr w:rsidR="00961617" w:rsidRPr="00961617" w14:paraId="5825DA36"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0807211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2013</w:t>
            </w:r>
          </w:p>
        </w:tc>
        <w:tc>
          <w:tcPr>
            <w:tcW w:w="1559" w:type="dxa"/>
            <w:tcBorders>
              <w:top w:val="nil"/>
              <w:left w:val="nil"/>
              <w:bottom w:val="nil"/>
              <w:right w:val="nil"/>
            </w:tcBorders>
            <w:shd w:val="clear" w:color="auto" w:fill="E5E5E5" w:themeFill="background1" w:themeFillTint="33"/>
            <w:noWrap/>
            <w:vAlign w:val="center"/>
            <w:hideMark/>
          </w:tcPr>
          <w:p w14:paraId="148DAA9B"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68.7</w:t>
            </w:r>
          </w:p>
        </w:tc>
        <w:tc>
          <w:tcPr>
            <w:tcW w:w="1701" w:type="dxa"/>
            <w:tcBorders>
              <w:top w:val="nil"/>
              <w:left w:val="nil"/>
              <w:bottom w:val="nil"/>
              <w:right w:val="nil"/>
            </w:tcBorders>
            <w:shd w:val="clear" w:color="auto" w:fill="E5E5E5" w:themeFill="background1" w:themeFillTint="33"/>
            <w:noWrap/>
            <w:vAlign w:val="center"/>
            <w:hideMark/>
          </w:tcPr>
          <w:p w14:paraId="19D6ACB7"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66.4</w:t>
            </w:r>
          </w:p>
        </w:tc>
        <w:tc>
          <w:tcPr>
            <w:tcW w:w="1701" w:type="dxa"/>
            <w:tcBorders>
              <w:top w:val="nil"/>
              <w:left w:val="nil"/>
              <w:bottom w:val="nil"/>
              <w:right w:val="nil"/>
            </w:tcBorders>
            <w:shd w:val="clear" w:color="auto" w:fill="E5E5E5" w:themeFill="background1" w:themeFillTint="33"/>
            <w:noWrap/>
            <w:vAlign w:val="center"/>
            <w:hideMark/>
          </w:tcPr>
          <w:p w14:paraId="5BACA8FE"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44.0</w:t>
            </w:r>
          </w:p>
        </w:tc>
        <w:tc>
          <w:tcPr>
            <w:tcW w:w="1701" w:type="dxa"/>
            <w:tcBorders>
              <w:top w:val="nil"/>
              <w:left w:val="nil"/>
              <w:bottom w:val="nil"/>
              <w:right w:val="nil"/>
            </w:tcBorders>
            <w:shd w:val="clear" w:color="auto" w:fill="E5E5E5" w:themeFill="background1" w:themeFillTint="33"/>
            <w:noWrap/>
            <w:vAlign w:val="center"/>
            <w:hideMark/>
          </w:tcPr>
          <w:p w14:paraId="09DC012D"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58.3</w:t>
            </w:r>
          </w:p>
        </w:tc>
      </w:tr>
      <w:tr w:rsidR="00961617" w:rsidRPr="00961617" w14:paraId="2B80C255"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3F3132AB"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2013</w:t>
            </w:r>
          </w:p>
        </w:tc>
        <w:tc>
          <w:tcPr>
            <w:tcW w:w="1559" w:type="dxa"/>
            <w:tcBorders>
              <w:top w:val="nil"/>
              <w:left w:val="nil"/>
              <w:bottom w:val="nil"/>
              <w:right w:val="nil"/>
            </w:tcBorders>
            <w:shd w:val="clear" w:color="auto" w:fill="FFFFFF" w:themeFill="background2"/>
            <w:noWrap/>
            <w:vAlign w:val="center"/>
            <w:hideMark/>
          </w:tcPr>
          <w:p w14:paraId="5D7196EC"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68.6</w:t>
            </w:r>
          </w:p>
        </w:tc>
        <w:tc>
          <w:tcPr>
            <w:tcW w:w="1701" w:type="dxa"/>
            <w:tcBorders>
              <w:top w:val="nil"/>
              <w:left w:val="nil"/>
              <w:bottom w:val="nil"/>
              <w:right w:val="nil"/>
            </w:tcBorders>
            <w:shd w:val="clear" w:color="auto" w:fill="FFFFFF" w:themeFill="background2"/>
            <w:noWrap/>
            <w:vAlign w:val="center"/>
            <w:hideMark/>
          </w:tcPr>
          <w:p w14:paraId="69B7BC8A"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65.5</w:t>
            </w:r>
          </w:p>
        </w:tc>
        <w:tc>
          <w:tcPr>
            <w:tcW w:w="1701" w:type="dxa"/>
            <w:tcBorders>
              <w:top w:val="nil"/>
              <w:left w:val="nil"/>
              <w:bottom w:val="nil"/>
              <w:right w:val="nil"/>
            </w:tcBorders>
            <w:shd w:val="clear" w:color="auto" w:fill="FFFFFF" w:themeFill="background2"/>
            <w:noWrap/>
            <w:vAlign w:val="center"/>
            <w:hideMark/>
          </w:tcPr>
          <w:p w14:paraId="48C8EE0C"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43.4</w:t>
            </w:r>
          </w:p>
        </w:tc>
        <w:tc>
          <w:tcPr>
            <w:tcW w:w="1701" w:type="dxa"/>
            <w:tcBorders>
              <w:top w:val="nil"/>
              <w:left w:val="nil"/>
              <w:bottom w:val="nil"/>
              <w:right w:val="nil"/>
            </w:tcBorders>
            <w:shd w:val="clear" w:color="auto" w:fill="FFFFFF" w:themeFill="background2"/>
            <w:noWrap/>
            <w:vAlign w:val="center"/>
            <w:hideMark/>
          </w:tcPr>
          <w:p w14:paraId="5F611C1F"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58.5</w:t>
            </w:r>
          </w:p>
        </w:tc>
      </w:tr>
      <w:tr w:rsidR="00961617" w:rsidRPr="00961617" w14:paraId="1E0E6D8A"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05ABEE08"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2013</w:t>
            </w:r>
          </w:p>
        </w:tc>
        <w:tc>
          <w:tcPr>
            <w:tcW w:w="1559" w:type="dxa"/>
            <w:tcBorders>
              <w:top w:val="nil"/>
              <w:left w:val="nil"/>
              <w:bottom w:val="nil"/>
              <w:right w:val="nil"/>
            </w:tcBorders>
            <w:shd w:val="clear" w:color="auto" w:fill="E5E5E5" w:themeFill="background1" w:themeFillTint="33"/>
            <w:noWrap/>
            <w:vAlign w:val="center"/>
            <w:hideMark/>
          </w:tcPr>
          <w:p w14:paraId="2FD75065"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68.0</w:t>
            </w:r>
          </w:p>
        </w:tc>
        <w:tc>
          <w:tcPr>
            <w:tcW w:w="1701" w:type="dxa"/>
            <w:tcBorders>
              <w:top w:val="nil"/>
              <w:left w:val="nil"/>
              <w:bottom w:val="nil"/>
              <w:right w:val="nil"/>
            </w:tcBorders>
            <w:shd w:val="clear" w:color="auto" w:fill="E5E5E5" w:themeFill="background1" w:themeFillTint="33"/>
            <w:noWrap/>
            <w:vAlign w:val="center"/>
            <w:hideMark/>
          </w:tcPr>
          <w:p w14:paraId="723401F6"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65.9</w:t>
            </w:r>
          </w:p>
        </w:tc>
        <w:tc>
          <w:tcPr>
            <w:tcW w:w="1701" w:type="dxa"/>
            <w:tcBorders>
              <w:top w:val="nil"/>
              <w:left w:val="nil"/>
              <w:bottom w:val="nil"/>
              <w:right w:val="nil"/>
            </w:tcBorders>
            <w:shd w:val="clear" w:color="auto" w:fill="E5E5E5" w:themeFill="background1" w:themeFillTint="33"/>
            <w:noWrap/>
            <w:vAlign w:val="center"/>
            <w:hideMark/>
          </w:tcPr>
          <w:p w14:paraId="503C415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46.0</w:t>
            </w:r>
          </w:p>
        </w:tc>
        <w:tc>
          <w:tcPr>
            <w:tcW w:w="1701" w:type="dxa"/>
            <w:tcBorders>
              <w:top w:val="nil"/>
              <w:left w:val="nil"/>
              <w:bottom w:val="nil"/>
              <w:right w:val="nil"/>
            </w:tcBorders>
            <w:shd w:val="clear" w:color="auto" w:fill="E5E5E5" w:themeFill="background1" w:themeFillTint="33"/>
            <w:noWrap/>
            <w:vAlign w:val="center"/>
            <w:hideMark/>
          </w:tcPr>
          <w:p w14:paraId="32A27926"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55.5</w:t>
            </w:r>
          </w:p>
        </w:tc>
      </w:tr>
      <w:tr w:rsidR="00961617" w:rsidRPr="00961617" w14:paraId="1DF92825"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2A8D0C98"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2014</w:t>
            </w:r>
          </w:p>
        </w:tc>
        <w:tc>
          <w:tcPr>
            <w:tcW w:w="1559" w:type="dxa"/>
            <w:tcBorders>
              <w:top w:val="nil"/>
              <w:left w:val="nil"/>
              <w:bottom w:val="nil"/>
              <w:right w:val="nil"/>
            </w:tcBorders>
            <w:shd w:val="clear" w:color="auto" w:fill="FFFFFF" w:themeFill="background2"/>
            <w:noWrap/>
            <w:vAlign w:val="center"/>
            <w:hideMark/>
          </w:tcPr>
          <w:p w14:paraId="0028E54F"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67.0</w:t>
            </w:r>
          </w:p>
        </w:tc>
        <w:tc>
          <w:tcPr>
            <w:tcW w:w="1701" w:type="dxa"/>
            <w:tcBorders>
              <w:top w:val="nil"/>
              <w:left w:val="nil"/>
              <w:bottom w:val="nil"/>
              <w:right w:val="nil"/>
            </w:tcBorders>
            <w:shd w:val="clear" w:color="auto" w:fill="FFFFFF" w:themeFill="background2"/>
            <w:noWrap/>
            <w:vAlign w:val="center"/>
            <w:hideMark/>
          </w:tcPr>
          <w:p w14:paraId="3BF1C31E"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67.9</w:t>
            </w:r>
          </w:p>
        </w:tc>
        <w:tc>
          <w:tcPr>
            <w:tcW w:w="1701" w:type="dxa"/>
            <w:tcBorders>
              <w:top w:val="nil"/>
              <w:left w:val="nil"/>
              <w:bottom w:val="nil"/>
              <w:right w:val="nil"/>
            </w:tcBorders>
            <w:shd w:val="clear" w:color="auto" w:fill="FFFFFF" w:themeFill="background2"/>
            <w:noWrap/>
            <w:vAlign w:val="center"/>
            <w:hideMark/>
          </w:tcPr>
          <w:p w14:paraId="44D7315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37.9</w:t>
            </w:r>
          </w:p>
        </w:tc>
        <w:tc>
          <w:tcPr>
            <w:tcW w:w="1701" w:type="dxa"/>
            <w:tcBorders>
              <w:top w:val="nil"/>
              <w:left w:val="nil"/>
              <w:bottom w:val="nil"/>
              <w:right w:val="nil"/>
            </w:tcBorders>
            <w:shd w:val="clear" w:color="auto" w:fill="FFFFFF" w:themeFill="background2"/>
            <w:noWrap/>
            <w:vAlign w:val="center"/>
            <w:hideMark/>
          </w:tcPr>
          <w:p w14:paraId="0E8BA30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55.9</w:t>
            </w:r>
          </w:p>
        </w:tc>
      </w:tr>
      <w:tr w:rsidR="00961617" w:rsidRPr="00961617" w14:paraId="7F061709" w14:textId="77777777" w:rsidTr="0020771F">
        <w:trPr>
          <w:trHeight w:hRule="exact" w:val="340"/>
        </w:trPr>
        <w:tc>
          <w:tcPr>
            <w:tcW w:w="2142" w:type="dxa"/>
            <w:tcBorders>
              <w:top w:val="nil"/>
              <w:left w:val="nil"/>
              <w:bottom w:val="nil"/>
              <w:right w:val="nil"/>
            </w:tcBorders>
            <w:shd w:val="clear" w:color="auto" w:fill="E5E5E5" w:themeFill="background1" w:themeFillTint="33"/>
            <w:noWrap/>
            <w:vAlign w:val="center"/>
            <w:hideMark/>
          </w:tcPr>
          <w:p w14:paraId="7A85D18E"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June 2014</w:t>
            </w:r>
          </w:p>
        </w:tc>
        <w:tc>
          <w:tcPr>
            <w:tcW w:w="1559" w:type="dxa"/>
            <w:tcBorders>
              <w:top w:val="nil"/>
              <w:left w:val="nil"/>
              <w:bottom w:val="nil"/>
              <w:right w:val="nil"/>
            </w:tcBorders>
            <w:shd w:val="clear" w:color="auto" w:fill="E5E5E5" w:themeFill="background1" w:themeFillTint="33"/>
            <w:noWrap/>
            <w:vAlign w:val="center"/>
            <w:hideMark/>
          </w:tcPr>
          <w:p w14:paraId="7AC524AD"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66.7</w:t>
            </w:r>
          </w:p>
        </w:tc>
        <w:tc>
          <w:tcPr>
            <w:tcW w:w="1701" w:type="dxa"/>
            <w:tcBorders>
              <w:top w:val="nil"/>
              <w:left w:val="nil"/>
              <w:bottom w:val="nil"/>
              <w:right w:val="nil"/>
            </w:tcBorders>
            <w:shd w:val="clear" w:color="auto" w:fill="E5E5E5" w:themeFill="background1" w:themeFillTint="33"/>
            <w:noWrap/>
            <w:vAlign w:val="center"/>
            <w:hideMark/>
          </w:tcPr>
          <w:p w14:paraId="781CF6DB"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70.7</w:t>
            </w:r>
          </w:p>
        </w:tc>
        <w:tc>
          <w:tcPr>
            <w:tcW w:w="1701" w:type="dxa"/>
            <w:tcBorders>
              <w:top w:val="nil"/>
              <w:left w:val="nil"/>
              <w:bottom w:val="nil"/>
              <w:right w:val="nil"/>
            </w:tcBorders>
            <w:shd w:val="clear" w:color="auto" w:fill="E5E5E5" w:themeFill="background1" w:themeFillTint="33"/>
            <w:noWrap/>
            <w:vAlign w:val="center"/>
            <w:hideMark/>
          </w:tcPr>
          <w:p w14:paraId="0A373310"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43.1</w:t>
            </w:r>
          </w:p>
        </w:tc>
        <w:tc>
          <w:tcPr>
            <w:tcW w:w="1701" w:type="dxa"/>
            <w:tcBorders>
              <w:top w:val="nil"/>
              <w:left w:val="nil"/>
              <w:bottom w:val="nil"/>
              <w:right w:val="nil"/>
            </w:tcBorders>
            <w:shd w:val="clear" w:color="auto" w:fill="E5E5E5" w:themeFill="background1" w:themeFillTint="33"/>
            <w:noWrap/>
            <w:vAlign w:val="center"/>
            <w:hideMark/>
          </w:tcPr>
          <w:p w14:paraId="02AE97E6"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53.3</w:t>
            </w:r>
          </w:p>
        </w:tc>
      </w:tr>
      <w:tr w:rsidR="00961617" w:rsidRPr="00961617" w14:paraId="6D4D9C26" w14:textId="77777777" w:rsidTr="0020771F">
        <w:trPr>
          <w:trHeight w:hRule="exact" w:val="340"/>
        </w:trPr>
        <w:tc>
          <w:tcPr>
            <w:tcW w:w="2142" w:type="dxa"/>
            <w:tcBorders>
              <w:top w:val="nil"/>
              <w:left w:val="nil"/>
              <w:bottom w:val="nil"/>
              <w:right w:val="nil"/>
            </w:tcBorders>
            <w:shd w:val="clear" w:color="auto" w:fill="FFFFFF" w:themeFill="background2"/>
            <w:noWrap/>
            <w:vAlign w:val="center"/>
            <w:hideMark/>
          </w:tcPr>
          <w:p w14:paraId="27AEB53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September 2014</w:t>
            </w:r>
          </w:p>
        </w:tc>
        <w:tc>
          <w:tcPr>
            <w:tcW w:w="1559" w:type="dxa"/>
            <w:tcBorders>
              <w:top w:val="nil"/>
              <w:left w:val="nil"/>
              <w:bottom w:val="nil"/>
              <w:right w:val="nil"/>
            </w:tcBorders>
            <w:shd w:val="clear" w:color="auto" w:fill="FFFFFF" w:themeFill="background2"/>
            <w:noWrap/>
            <w:vAlign w:val="center"/>
            <w:hideMark/>
          </w:tcPr>
          <w:p w14:paraId="746B2D56"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66.3</w:t>
            </w:r>
          </w:p>
        </w:tc>
        <w:tc>
          <w:tcPr>
            <w:tcW w:w="1701" w:type="dxa"/>
            <w:tcBorders>
              <w:top w:val="nil"/>
              <w:left w:val="nil"/>
              <w:bottom w:val="nil"/>
              <w:right w:val="nil"/>
            </w:tcBorders>
            <w:shd w:val="clear" w:color="auto" w:fill="FFFFFF" w:themeFill="background2"/>
            <w:noWrap/>
            <w:vAlign w:val="center"/>
            <w:hideMark/>
          </w:tcPr>
          <w:p w14:paraId="4EB73015"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72.5</w:t>
            </w:r>
          </w:p>
        </w:tc>
        <w:tc>
          <w:tcPr>
            <w:tcW w:w="1701" w:type="dxa"/>
            <w:tcBorders>
              <w:top w:val="nil"/>
              <w:left w:val="nil"/>
              <w:bottom w:val="nil"/>
              <w:right w:val="nil"/>
            </w:tcBorders>
            <w:shd w:val="clear" w:color="auto" w:fill="FFFFFF" w:themeFill="background2"/>
            <w:noWrap/>
            <w:vAlign w:val="center"/>
            <w:hideMark/>
          </w:tcPr>
          <w:p w14:paraId="64BC6893"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45.9</w:t>
            </w:r>
          </w:p>
        </w:tc>
        <w:tc>
          <w:tcPr>
            <w:tcW w:w="1701" w:type="dxa"/>
            <w:tcBorders>
              <w:top w:val="nil"/>
              <w:left w:val="nil"/>
              <w:bottom w:val="nil"/>
              <w:right w:val="nil"/>
            </w:tcBorders>
            <w:shd w:val="clear" w:color="auto" w:fill="FFFFFF" w:themeFill="background2"/>
            <w:noWrap/>
            <w:vAlign w:val="center"/>
            <w:hideMark/>
          </w:tcPr>
          <w:p w14:paraId="2B04AC2A"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54.3</w:t>
            </w:r>
          </w:p>
        </w:tc>
      </w:tr>
      <w:tr w:rsidR="00961617" w:rsidRPr="00961617" w14:paraId="4DEF897E" w14:textId="77777777" w:rsidTr="0020771F">
        <w:trPr>
          <w:trHeight w:hRule="exact" w:val="340"/>
        </w:trPr>
        <w:tc>
          <w:tcPr>
            <w:tcW w:w="2142" w:type="dxa"/>
            <w:tcBorders>
              <w:top w:val="nil"/>
              <w:left w:val="nil"/>
              <w:right w:val="nil"/>
            </w:tcBorders>
            <w:shd w:val="clear" w:color="auto" w:fill="E5E5E5" w:themeFill="background1" w:themeFillTint="33"/>
            <w:noWrap/>
            <w:vAlign w:val="center"/>
            <w:hideMark/>
          </w:tcPr>
          <w:p w14:paraId="556C564A"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December 2014</w:t>
            </w:r>
          </w:p>
        </w:tc>
        <w:tc>
          <w:tcPr>
            <w:tcW w:w="1559" w:type="dxa"/>
            <w:tcBorders>
              <w:top w:val="nil"/>
              <w:left w:val="nil"/>
              <w:right w:val="nil"/>
            </w:tcBorders>
            <w:shd w:val="clear" w:color="auto" w:fill="E5E5E5" w:themeFill="background1" w:themeFillTint="33"/>
            <w:noWrap/>
            <w:vAlign w:val="center"/>
            <w:hideMark/>
          </w:tcPr>
          <w:p w14:paraId="383731B8"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66.7</w:t>
            </w:r>
          </w:p>
        </w:tc>
        <w:tc>
          <w:tcPr>
            <w:tcW w:w="1701" w:type="dxa"/>
            <w:tcBorders>
              <w:top w:val="nil"/>
              <w:left w:val="nil"/>
              <w:right w:val="nil"/>
            </w:tcBorders>
            <w:shd w:val="clear" w:color="auto" w:fill="E5E5E5" w:themeFill="background1" w:themeFillTint="33"/>
            <w:noWrap/>
            <w:vAlign w:val="center"/>
            <w:hideMark/>
          </w:tcPr>
          <w:p w14:paraId="387B3BB5"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72.0</w:t>
            </w:r>
          </w:p>
        </w:tc>
        <w:tc>
          <w:tcPr>
            <w:tcW w:w="1701" w:type="dxa"/>
            <w:tcBorders>
              <w:top w:val="nil"/>
              <w:left w:val="nil"/>
              <w:right w:val="nil"/>
            </w:tcBorders>
            <w:shd w:val="clear" w:color="auto" w:fill="E5E5E5" w:themeFill="background1" w:themeFillTint="33"/>
            <w:noWrap/>
            <w:vAlign w:val="center"/>
            <w:hideMark/>
          </w:tcPr>
          <w:p w14:paraId="6AAE5CC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47.9</w:t>
            </w:r>
          </w:p>
        </w:tc>
        <w:tc>
          <w:tcPr>
            <w:tcW w:w="1701" w:type="dxa"/>
            <w:tcBorders>
              <w:top w:val="nil"/>
              <w:left w:val="nil"/>
              <w:right w:val="nil"/>
            </w:tcBorders>
            <w:shd w:val="clear" w:color="auto" w:fill="E5E5E5" w:themeFill="background1" w:themeFillTint="33"/>
            <w:noWrap/>
            <w:vAlign w:val="center"/>
            <w:hideMark/>
          </w:tcPr>
          <w:p w14:paraId="3E293553"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54.2</w:t>
            </w:r>
          </w:p>
        </w:tc>
      </w:tr>
      <w:tr w:rsidR="00961617" w:rsidRPr="00961617" w14:paraId="5B0FB20E" w14:textId="77777777" w:rsidTr="0020771F">
        <w:trPr>
          <w:trHeight w:hRule="exact" w:val="340"/>
        </w:trPr>
        <w:tc>
          <w:tcPr>
            <w:tcW w:w="2142" w:type="dxa"/>
            <w:tcBorders>
              <w:top w:val="nil"/>
              <w:left w:val="nil"/>
              <w:bottom w:val="single" w:sz="4" w:space="0" w:color="auto"/>
              <w:right w:val="nil"/>
            </w:tcBorders>
            <w:shd w:val="clear" w:color="auto" w:fill="FFFFFF" w:themeFill="background2"/>
            <w:noWrap/>
            <w:vAlign w:val="center"/>
            <w:hideMark/>
          </w:tcPr>
          <w:p w14:paraId="797A8687" w14:textId="77777777" w:rsidR="00961617" w:rsidRPr="00961617" w:rsidRDefault="00961617" w:rsidP="0020771F">
            <w:pPr>
              <w:spacing w:after="0" w:line="240" w:lineRule="auto"/>
              <w:rPr>
                <w:rFonts w:eastAsia="Times New Roman" w:cstheme="minorHAnsi"/>
                <w:color w:val="000000"/>
                <w:sz w:val="20"/>
                <w:szCs w:val="20"/>
                <w:lang w:eastAsia="en-AU"/>
              </w:rPr>
            </w:pPr>
            <w:r w:rsidRPr="00961617">
              <w:rPr>
                <w:rFonts w:eastAsia="Times New Roman" w:cstheme="minorHAnsi"/>
                <w:color w:val="000000"/>
                <w:sz w:val="20"/>
                <w:szCs w:val="20"/>
                <w:lang w:eastAsia="en-AU"/>
              </w:rPr>
              <w:t>March 2015</w:t>
            </w:r>
          </w:p>
        </w:tc>
        <w:tc>
          <w:tcPr>
            <w:tcW w:w="1559" w:type="dxa"/>
            <w:tcBorders>
              <w:top w:val="nil"/>
              <w:left w:val="nil"/>
              <w:bottom w:val="single" w:sz="4" w:space="0" w:color="auto"/>
              <w:right w:val="nil"/>
            </w:tcBorders>
            <w:shd w:val="clear" w:color="auto" w:fill="FFFFFF" w:themeFill="background2"/>
            <w:noWrap/>
            <w:vAlign w:val="center"/>
            <w:hideMark/>
          </w:tcPr>
          <w:p w14:paraId="6C87EE7D" w14:textId="77777777" w:rsidR="00961617" w:rsidRPr="00961617" w:rsidRDefault="00961617" w:rsidP="0020771F">
            <w:pPr>
              <w:tabs>
                <w:tab w:val="left" w:pos="733"/>
                <w:tab w:val="left" w:pos="1086"/>
              </w:tabs>
              <w:spacing w:after="0" w:line="240" w:lineRule="auto"/>
              <w:ind w:left="-89" w:right="380"/>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66.0</w:t>
            </w:r>
          </w:p>
        </w:tc>
        <w:tc>
          <w:tcPr>
            <w:tcW w:w="1701" w:type="dxa"/>
            <w:tcBorders>
              <w:top w:val="nil"/>
              <w:left w:val="nil"/>
              <w:bottom w:val="single" w:sz="4" w:space="0" w:color="auto"/>
              <w:right w:val="nil"/>
            </w:tcBorders>
            <w:shd w:val="clear" w:color="auto" w:fill="FFFFFF" w:themeFill="background2"/>
            <w:noWrap/>
            <w:vAlign w:val="center"/>
            <w:hideMark/>
          </w:tcPr>
          <w:p w14:paraId="35D51E95"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72.6</w:t>
            </w:r>
          </w:p>
        </w:tc>
        <w:tc>
          <w:tcPr>
            <w:tcW w:w="1701" w:type="dxa"/>
            <w:tcBorders>
              <w:top w:val="nil"/>
              <w:left w:val="nil"/>
              <w:bottom w:val="single" w:sz="4" w:space="0" w:color="auto"/>
              <w:right w:val="nil"/>
            </w:tcBorders>
            <w:shd w:val="clear" w:color="auto" w:fill="FFFFFF" w:themeFill="background2"/>
            <w:noWrap/>
            <w:vAlign w:val="center"/>
            <w:hideMark/>
          </w:tcPr>
          <w:p w14:paraId="4C0306A1"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41.0</w:t>
            </w:r>
          </w:p>
        </w:tc>
        <w:tc>
          <w:tcPr>
            <w:tcW w:w="1701" w:type="dxa"/>
            <w:tcBorders>
              <w:top w:val="nil"/>
              <w:left w:val="nil"/>
              <w:bottom w:val="single" w:sz="4" w:space="0" w:color="auto"/>
              <w:right w:val="nil"/>
            </w:tcBorders>
            <w:shd w:val="clear" w:color="auto" w:fill="FFFFFF" w:themeFill="background2"/>
            <w:noWrap/>
            <w:vAlign w:val="center"/>
            <w:hideMark/>
          </w:tcPr>
          <w:p w14:paraId="2B2239CA" w14:textId="77777777" w:rsidR="00961617" w:rsidRPr="00961617" w:rsidRDefault="00961617" w:rsidP="0020771F">
            <w:pPr>
              <w:tabs>
                <w:tab w:val="left" w:pos="1086"/>
              </w:tabs>
              <w:spacing w:after="0" w:line="240" w:lineRule="auto"/>
              <w:ind w:left="-89" w:right="498"/>
              <w:jc w:val="right"/>
              <w:rPr>
                <w:rFonts w:eastAsia="Times New Roman" w:cstheme="minorHAnsi"/>
                <w:color w:val="000000"/>
                <w:sz w:val="20"/>
                <w:szCs w:val="20"/>
                <w:lang w:eastAsia="en-AU"/>
              </w:rPr>
            </w:pPr>
            <w:r w:rsidRPr="00961617">
              <w:rPr>
                <w:rFonts w:eastAsia="Times New Roman" w:cstheme="minorHAnsi"/>
                <w:color w:val="000000"/>
                <w:sz w:val="20"/>
                <w:szCs w:val="20"/>
                <w:lang w:eastAsia="en-AU"/>
              </w:rPr>
              <w:t>53.5</w:t>
            </w:r>
          </w:p>
        </w:tc>
      </w:tr>
    </w:tbl>
    <w:p w14:paraId="042E9B5B" w14:textId="77777777" w:rsidR="00961617" w:rsidRPr="00DC29FC" w:rsidRDefault="00961617" w:rsidP="00130B88">
      <w:pPr>
        <w:pStyle w:val="Source"/>
      </w:pPr>
      <w:r w:rsidRPr="00DC29FC">
        <w:rPr>
          <w:b/>
        </w:rPr>
        <w:t>Source</w:t>
      </w:r>
      <w:r w:rsidRPr="00DC29FC">
        <w:t>:</w:t>
      </w:r>
      <w:r w:rsidR="00E13B5E">
        <w:tab/>
      </w:r>
      <w:r w:rsidRPr="00DC29FC">
        <w:t>Department of Employment Administrative data, Department of Employment Internet Vacancy Index Measure and Post Programme Monitoring Survey Data.</w:t>
      </w:r>
    </w:p>
    <w:p w14:paraId="0B0AA47D" w14:textId="77777777" w:rsidR="00961617" w:rsidRPr="00DC29FC" w:rsidRDefault="00864C5E" w:rsidP="00961617">
      <w:pPr>
        <w:rPr>
          <w:sz w:val="18"/>
          <w:szCs w:val="18"/>
        </w:rPr>
      </w:pPr>
      <w:hyperlink w:anchor="Place_A246" w:history="1">
        <w:r w:rsidR="00961617" w:rsidRPr="008C50A7">
          <w:rPr>
            <w:rStyle w:val="Hyperlink"/>
            <w:sz w:val="18"/>
            <w:szCs w:val="18"/>
          </w:rPr>
          <w:t>Return to Figure 10.6</w:t>
        </w:r>
      </w:hyperlink>
      <w:r w:rsidR="00961617" w:rsidRPr="00DC29FC">
        <w:rPr>
          <w:sz w:val="18"/>
          <w:szCs w:val="18"/>
        </w:rPr>
        <w:t xml:space="preserve"> where this data is referenced.</w:t>
      </w:r>
    </w:p>
    <w:p w14:paraId="32550C41" w14:textId="77777777" w:rsidR="00961617" w:rsidRDefault="00961617">
      <w:pPr>
        <w:rPr>
          <w:rFonts w:ascii="Calibri" w:eastAsiaTheme="majorEastAsia" w:hAnsi="Calibri" w:cstheme="majorBidi"/>
          <w:b/>
          <w:bCs/>
          <w:color w:val="1E3D6B"/>
          <w:sz w:val="36"/>
          <w:szCs w:val="28"/>
        </w:rPr>
      </w:pPr>
      <w:r>
        <w:br w:type="page"/>
      </w:r>
    </w:p>
    <w:p w14:paraId="03C3DFFA" w14:textId="77777777" w:rsidR="00364746" w:rsidRPr="004E3480" w:rsidRDefault="004541A6" w:rsidP="004E3480">
      <w:pPr>
        <w:pStyle w:val="Heading1"/>
      </w:pPr>
      <w:bookmarkStart w:id="731" w:name="_Toc22543182"/>
      <w:r>
        <w:t xml:space="preserve">Appendix </w:t>
      </w:r>
      <w:r w:rsidR="005E1B5A">
        <w:t>B</w:t>
      </w:r>
      <w:r>
        <w:tab/>
      </w:r>
      <w:bookmarkEnd w:id="568"/>
      <w:r w:rsidR="005E1B5A">
        <w:t>Methodology</w:t>
      </w:r>
      <w:bookmarkEnd w:id="731"/>
    </w:p>
    <w:p w14:paraId="0C741C71" w14:textId="77777777" w:rsidR="003877A2" w:rsidRPr="000709A5" w:rsidRDefault="003877A2" w:rsidP="00A12E8A">
      <w:pPr>
        <w:pStyle w:val="Heading2"/>
        <w:rPr>
          <w:rStyle w:val="Hyperlink"/>
          <w:color w:val="auto"/>
          <w:u w:val="none"/>
        </w:rPr>
      </w:pPr>
      <w:bookmarkStart w:id="732" w:name="_Toc22543183"/>
      <w:r w:rsidRPr="000709A5">
        <w:rPr>
          <w:rStyle w:val="Hyperlink"/>
          <w:color w:val="auto"/>
          <w:u w:val="none"/>
        </w:rPr>
        <w:t>List of Tables</w:t>
      </w:r>
      <w:bookmarkEnd w:id="732"/>
    </w:p>
    <w:p w14:paraId="0F8E1C0A" w14:textId="5E812DC0" w:rsidR="00EF47FB" w:rsidRDefault="003877A2">
      <w:pPr>
        <w:pStyle w:val="TableofFigures"/>
        <w:tabs>
          <w:tab w:val="right" w:leader="dot" w:pos="9017"/>
        </w:tabs>
        <w:rPr>
          <w:rFonts w:cstheme="minorBidi"/>
          <w:noProof/>
          <w:sz w:val="22"/>
          <w:szCs w:val="22"/>
          <w:lang w:eastAsia="en-AU"/>
        </w:rPr>
      </w:pPr>
      <w:r>
        <w:rPr>
          <w:rStyle w:val="Hyperlink"/>
          <w:noProof/>
        </w:rPr>
        <w:fldChar w:fldCharType="begin"/>
      </w:r>
      <w:r>
        <w:rPr>
          <w:rStyle w:val="Hyperlink"/>
          <w:noProof/>
        </w:rPr>
        <w:instrText xml:space="preserve"> TOC \h \z \t "Table Heading text" \c </w:instrText>
      </w:r>
      <w:r>
        <w:rPr>
          <w:rStyle w:val="Hyperlink"/>
          <w:noProof/>
        </w:rPr>
        <w:fldChar w:fldCharType="separate"/>
      </w:r>
      <w:hyperlink w:anchor="_Toc513129940" w:history="1">
        <w:r w:rsidR="00EF47FB" w:rsidRPr="00F64F81">
          <w:rPr>
            <w:rStyle w:val="Hyperlink"/>
            <w:rFonts w:eastAsiaTheme="majorEastAsia"/>
            <w:noProof/>
          </w:rPr>
          <w:t>Table B1.1: Definitions of study populations used to assess the effectiveness of JSA 2012 for the new entrant job seekers in compared with JSA 2009</w:t>
        </w:r>
        <w:r w:rsidR="00EF47FB">
          <w:rPr>
            <w:noProof/>
            <w:webHidden/>
          </w:rPr>
          <w:tab/>
        </w:r>
        <w:r w:rsidR="00EF47FB">
          <w:rPr>
            <w:noProof/>
            <w:webHidden/>
          </w:rPr>
          <w:fldChar w:fldCharType="begin"/>
        </w:r>
        <w:r w:rsidR="00EF47FB">
          <w:rPr>
            <w:noProof/>
            <w:webHidden/>
          </w:rPr>
          <w:instrText xml:space="preserve"> PAGEREF _Toc513129940 \h </w:instrText>
        </w:r>
        <w:r w:rsidR="00EF47FB">
          <w:rPr>
            <w:noProof/>
            <w:webHidden/>
          </w:rPr>
        </w:r>
        <w:r w:rsidR="00EF47FB">
          <w:rPr>
            <w:noProof/>
            <w:webHidden/>
          </w:rPr>
          <w:fldChar w:fldCharType="separate"/>
        </w:r>
        <w:r w:rsidR="00D87DBB">
          <w:rPr>
            <w:noProof/>
            <w:webHidden/>
          </w:rPr>
          <w:t>226</w:t>
        </w:r>
        <w:r w:rsidR="00EF47FB">
          <w:rPr>
            <w:noProof/>
            <w:webHidden/>
          </w:rPr>
          <w:fldChar w:fldCharType="end"/>
        </w:r>
      </w:hyperlink>
    </w:p>
    <w:p w14:paraId="59D66BB2" w14:textId="504A136F" w:rsidR="00EF47FB" w:rsidRDefault="00864C5E">
      <w:pPr>
        <w:pStyle w:val="TableofFigures"/>
        <w:tabs>
          <w:tab w:val="right" w:leader="dot" w:pos="9017"/>
        </w:tabs>
        <w:rPr>
          <w:rFonts w:cstheme="minorBidi"/>
          <w:noProof/>
          <w:sz w:val="22"/>
          <w:szCs w:val="22"/>
          <w:lang w:eastAsia="en-AU"/>
        </w:rPr>
      </w:pPr>
      <w:hyperlink w:anchor="_Toc513129941" w:history="1">
        <w:r w:rsidR="00EF47FB" w:rsidRPr="00F64F81">
          <w:rPr>
            <w:rStyle w:val="Hyperlink"/>
            <w:rFonts w:eastAsiaTheme="majorEastAsia"/>
            <w:noProof/>
          </w:rPr>
          <w:t>Table B1.2: Definitions of additional super population used to assess the effectiveness of JSA 2012 for the new entrant job seekers compared with JSA 2009</w:t>
        </w:r>
        <w:r w:rsidR="00EF47FB">
          <w:rPr>
            <w:noProof/>
            <w:webHidden/>
          </w:rPr>
          <w:tab/>
        </w:r>
        <w:r w:rsidR="00EF47FB">
          <w:rPr>
            <w:noProof/>
            <w:webHidden/>
          </w:rPr>
          <w:fldChar w:fldCharType="begin"/>
        </w:r>
        <w:r w:rsidR="00EF47FB">
          <w:rPr>
            <w:noProof/>
            <w:webHidden/>
          </w:rPr>
          <w:instrText xml:space="preserve"> PAGEREF _Toc513129941 \h </w:instrText>
        </w:r>
        <w:r w:rsidR="00EF47FB">
          <w:rPr>
            <w:noProof/>
            <w:webHidden/>
          </w:rPr>
        </w:r>
        <w:r w:rsidR="00EF47FB">
          <w:rPr>
            <w:noProof/>
            <w:webHidden/>
          </w:rPr>
          <w:fldChar w:fldCharType="separate"/>
        </w:r>
        <w:r w:rsidR="00D87DBB">
          <w:rPr>
            <w:noProof/>
            <w:webHidden/>
          </w:rPr>
          <w:t>226</w:t>
        </w:r>
        <w:r w:rsidR="00EF47FB">
          <w:rPr>
            <w:noProof/>
            <w:webHidden/>
          </w:rPr>
          <w:fldChar w:fldCharType="end"/>
        </w:r>
      </w:hyperlink>
    </w:p>
    <w:p w14:paraId="11EE711F" w14:textId="3DAE84EE" w:rsidR="00EF47FB" w:rsidRDefault="00864C5E">
      <w:pPr>
        <w:pStyle w:val="TableofFigures"/>
        <w:tabs>
          <w:tab w:val="right" w:leader="dot" w:pos="9017"/>
        </w:tabs>
        <w:rPr>
          <w:rFonts w:cstheme="minorBidi"/>
          <w:noProof/>
          <w:sz w:val="22"/>
          <w:szCs w:val="22"/>
          <w:lang w:eastAsia="en-AU"/>
        </w:rPr>
      </w:pPr>
      <w:hyperlink w:anchor="_Toc513129942" w:history="1">
        <w:r w:rsidR="00EF47FB" w:rsidRPr="00F64F81">
          <w:rPr>
            <w:rStyle w:val="Hyperlink"/>
            <w:rFonts w:eastAsiaTheme="majorEastAsia"/>
            <w:noProof/>
          </w:rPr>
          <w:t>Table B1.3: Definition of Strengthening the Job Seeker Compliance Framework study populations</w:t>
        </w:r>
        <w:r w:rsidR="00EF47FB">
          <w:rPr>
            <w:noProof/>
            <w:webHidden/>
          </w:rPr>
          <w:tab/>
        </w:r>
        <w:r w:rsidR="00EF47FB">
          <w:rPr>
            <w:noProof/>
            <w:webHidden/>
          </w:rPr>
          <w:fldChar w:fldCharType="begin"/>
        </w:r>
        <w:r w:rsidR="00EF47FB">
          <w:rPr>
            <w:noProof/>
            <w:webHidden/>
          </w:rPr>
          <w:instrText xml:space="preserve"> PAGEREF _Toc513129942 \h </w:instrText>
        </w:r>
        <w:r w:rsidR="00EF47FB">
          <w:rPr>
            <w:noProof/>
            <w:webHidden/>
          </w:rPr>
        </w:r>
        <w:r w:rsidR="00EF47FB">
          <w:rPr>
            <w:noProof/>
            <w:webHidden/>
          </w:rPr>
          <w:fldChar w:fldCharType="separate"/>
        </w:r>
        <w:r w:rsidR="00D87DBB">
          <w:rPr>
            <w:noProof/>
            <w:webHidden/>
          </w:rPr>
          <w:t>226</w:t>
        </w:r>
        <w:r w:rsidR="00EF47FB">
          <w:rPr>
            <w:noProof/>
            <w:webHidden/>
          </w:rPr>
          <w:fldChar w:fldCharType="end"/>
        </w:r>
      </w:hyperlink>
    </w:p>
    <w:p w14:paraId="0376637E" w14:textId="6E1252F0" w:rsidR="00EF47FB" w:rsidRDefault="00864C5E">
      <w:pPr>
        <w:pStyle w:val="TableofFigures"/>
        <w:tabs>
          <w:tab w:val="right" w:leader="dot" w:pos="9017"/>
        </w:tabs>
        <w:rPr>
          <w:rFonts w:cstheme="minorBidi"/>
          <w:noProof/>
          <w:sz w:val="22"/>
          <w:szCs w:val="22"/>
          <w:lang w:eastAsia="en-AU"/>
        </w:rPr>
      </w:pPr>
      <w:hyperlink w:anchor="_Toc513129943" w:history="1">
        <w:r w:rsidR="00EF47FB" w:rsidRPr="00F64F81">
          <w:rPr>
            <w:rStyle w:val="Hyperlink"/>
            <w:rFonts w:eastAsiaTheme="majorEastAsia"/>
            <w:noProof/>
          </w:rPr>
          <w:t>Table B1.4: Definitions of study populations used to assess the effectiveness of JSA 2012 for the LTU job seekers in compared with JSA 2009</w:t>
        </w:r>
        <w:r w:rsidR="00EF47FB">
          <w:rPr>
            <w:noProof/>
            <w:webHidden/>
          </w:rPr>
          <w:tab/>
        </w:r>
        <w:r w:rsidR="00EF47FB">
          <w:rPr>
            <w:noProof/>
            <w:webHidden/>
          </w:rPr>
          <w:fldChar w:fldCharType="begin"/>
        </w:r>
        <w:r w:rsidR="00EF47FB">
          <w:rPr>
            <w:noProof/>
            <w:webHidden/>
          </w:rPr>
          <w:instrText xml:space="preserve"> PAGEREF _Toc513129943 \h </w:instrText>
        </w:r>
        <w:r w:rsidR="00EF47FB">
          <w:rPr>
            <w:noProof/>
            <w:webHidden/>
          </w:rPr>
        </w:r>
        <w:r w:rsidR="00EF47FB">
          <w:rPr>
            <w:noProof/>
            <w:webHidden/>
          </w:rPr>
          <w:fldChar w:fldCharType="separate"/>
        </w:r>
        <w:r w:rsidR="00D87DBB">
          <w:rPr>
            <w:noProof/>
            <w:webHidden/>
          </w:rPr>
          <w:t>229</w:t>
        </w:r>
        <w:r w:rsidR="00EF47FB">
          <w:rPr>
            <w:noProof/>
            <w:webHidden/>
          </w:rPr>
          <w:fldChar w:fldCharType="end"/>
        </w:r>
      </w:hyperlink>
    </w:p>
    <w:p w14:paraId="6FD39936" w14:textId="6164EC1C" w:rsidR="00EF47FB" w:rsidRDefault="00864C5E">
      <w:pPr>
        <w:pStyle w:val="TableofFigures"/>
        <w:tabs>
          <w:tab w:val="right" w:leader="dot" w:pos="9017"/>
        </w:tabs>
        <w:rPr>
          <w:rFonts w:cstheme="minorBidi"/>
          <w:noProof/>
          <w:sz w:val="22"/>
          <w:szCs w:val="22"/>
          <w:lang w:eastAsia="en-AU"/>
        </w:rPr>
      </w:pPr>
      <w:hyperlink w:anchor="_Toc513129944" w:history="1">
        <w:r w:rsidR="00EF47FB" w:rsidRPr="00F64F81">
          <w:rPr>
            <w:rStyle w:val="Hyperlink"/>
            <w:noProof/>
          </w:rPr>
          <w:t>Table B2.1: Time periods used for derivation of the 2009 and 2012 Stream 1 servicing study populations</w:t>
        </w:r>
        <w:r w:rsidR="00EF47FB">
          <w:rPr>
            <w:noProof/>
            <w:webHidden/>
          </w:rPr>
          <w:tab/>
        </w:r>
        <w:r w:rsidR="00EF47FB">
          <w:rPr>
            <w:noProof/>
            <w:webHidden/>
          </w:rPr>
          <w:fldChar w:fldCharType="begin"/>
        </w:r>
        <w:r w:rsidR="00EF47FB">
          <w:rPr>
            <w:noProof/>
            <w:webHidden/>
          </w:rPr>
          <w:instrText xml:space="preserve"> PAGEREF _Toc513129944 \h </w:instrText>
        </w:r>
        <w:r w:rsidR="00EF47FB">
          <w:rPr>
            <w:noProof/>
            <w:webHidden/>
          </w:rPr>
        </w:r>
        <w:r w:rsidR="00EF47FB">
          <w:rPr>
            <w:noProof/>
            <w:webHidden/>
          </w:rPr>
          <w:fldChar w:fldCharType="separate"/>
        </w:r>
        <w:r w:rsidR="00D87DBB">
          <w:rPr>
            <w:noProof/>
            <w:webHidden/>
          </w:rPr>
          <w:t>233</w:t>
        </w:r>
        <w:r w:rsidR="00EF47FB">
          <w:rPr>
            <w:noProof/>
            <w:webHidden/>
          </w:rPr>
          <w:fldChar w:fldCharType="end"/>
        </w:r>
      </w:hyperlink>
    </w:p>
    <w:p w14:paraId="23A98E8D" w14:textId="06AB0AD3" w:rsidR="00EF47FB" w:rsidRDefault="00864C5E">
      <w:pPr>
        <w:pStyle w:val="TableofFigures"/>
        <w:tabs>
          <w:tab w:val="right" w:leader="dot" w:pos="9017"/>
        </w:tabs>
        <w:rPr>
          <w:rFonts w:cstheme="minorBidi"/>
          <w:noProof/>
          <w:sz w:val="22"/>
          <w:szCs w:val="22"/>
          <w:lang w:eastAsia="en-AU"/>
        </w:rPr>
      </w:pPr>
      <w:hyperlink w:anchor="_Toc513129945" w:history="1">
        <w:r w:rsidR="00EF47FB" w:rsidRPr="00F64F81">
          <w:rPr>
            <w:rStyle w:val="Hyperlink"/>
            <w:rFonts w:eastAsiaTheme="majorEastAsia"/>
            <w:noProof/>
          </w:rPr>
          <w:t>Table B3.1: Time periods used for derivation of the 2009 and 2012 SSR study populations</w:t>
        </w:r>
        <w:r w:rsidR="00EF47FB">
          <w:rPr>
            <w:noProof/>
            <w:webHidden/>
          </w:rPr>
          <w:tab/>
        </w:r>
        <w:r w:rsidR="00EF47FB">
          <w:rPr>
            <w:noProof/>
            <w:webHidden/>
          </w:rPr>
          <w:fldChar w:fldCharType="begin"/>
        </w:r>
        <w:r w:rsidR="00EF47FB">
          <w:rPr>
            <w:noProof/>
            <w:webHidden/>
          </w:rPr>
          <w:instrText xml:space="preserve"> PAGEREF _Toc513129945 \h </w:instrText>
        </w:r>
        <w:r w:rsidR="00EF47FB">
          <w:rPr>
            <w:noProof/>
            <w:webHidden/>
          </w:rPr>
        </w:r>
        <w:r w:rsidR="00EF47FB">
          <w:rPr>
            <w:noProof/>
            <w:webHidden/>
          </w:rPr>
          <w:fldChar w:fldCharType="separate"/>
        </w:r>
        <w:r w:rsidR="00D87DBB">
          <w:rPr>
            <w:noProof/>
            <w:webHidden/>
          </w:rPr>
          <w:t>234</w:t>
        </w:r>
        <w:r w:rsidR="00EF47FB">
          <w:rPr>
            <w:noProof/>
            <w:webHidden/>
          </w:rPr>
          <w:fldChar w:fldCharType="end"/>
        </w:r>
      </w:hyperlink>
    </w:p>
    <w:p w14:paraId="3ACE7A49" w14:textId="09320E93" w:rsidR="00EF47FB" w:rsidRDefault="00864C5E">
      <w:pPr>
        <w:pStyle w:val="TableofFigures"/>
        <w:tabs>
          <w:tab w:val="right" w:leader="dot" w:pos="9017"/>
        </w:tabs>
        <w:rPr>
          <w:rFonts w:cstheme="minorBidi"/>
          <w:noProof/>
          <w:sz w:val="22"/>
          <w:szCs w:val="22"/>
          <w:lang w:eastAsia="en-AU"/>
        </w:rPr>
      </w:pPr>
      <w:hyperlink w:anchor="_Toc513129946" w:history="1">
        <w:r w:rsidR="00EF47FB" w:rsidRPr="00F64F81">
          <w:rPr>
            <w:rStyle w:val="Hyperlink"/>
            <w:rFonts w:eastAsiaTheme="majorEastAsia"/>
            <w:noProof/>
          </w:rPr>
          <w:t>Table B3.2: Job seekers in the 2009 and 2012 SSR study populations by commencement by stream (number and per cent)</w:t>
        </w:r>
        <w:r w:rsidR="00EF47FB">
          <w:rPr>
            <w:noProof/>
            <w:webHidden/>
          </w:rPr>
          <w:tab/>
        </w:r>
        <w:r w:rsidR="00EF47FB">
          <w:rPr>
            <w:noProof/>
            <w:webHidden/>
          </w:rPr>
          <w:fldChar w:fldCharType="begin"/>
        </w:r>
        <w:r w:rsidR="00EF47FB">
          <w:rPr>
            <w:noProof/>
            <w:webHidden/>
          </w:rPr>
          <w:instrText xml:space="preserve"> PAGEREF _Toc513129946 \h </w:instrText>
        </w:r>
        <w:r w:rsidR="00EF47FB">
          <w:rPr>
            <w:noProof/>
            <w:webHidden/>
          </w:rPr>
        </w:r>
        <w:r w:rsidR="00EF47FB">
          <w:rPr>
            <w:noProof/>
            <w:webHidden/>
          </w:rPr>
          <w:fldChar w:fldCharType="separate"/>
        </w:r>
        <w:r w:rsidR="00D87DBB">
          <w:rPr>
            <w:noProof/>
            <w:webHidden/>
          </w:rPr>
          <w:t>235</w:t>
        </w:r>
        <w:r w:rsidR="00EF47FB">
          <w:rPr>
            <w:noProof/>
            <w:webHidden/>
          </w:rPr>
          <w:fldChar w:fldCharType="end"/>
        </w:r>
      </w:hyperlink>
    </w:p>
    <w:p w14:paraId="1E360BCD" w14:textId="3DE58F95" w:rsidR="00EF47FB" w:rsidRDefault="00864C5E">
      <w:pPr>
        <w:pStyle w:val="TableofFigures"/>
        <w:tabs>
          <w:tab w:val="right" w:leader="dot" w:pos="9017"/>
        </w:tabs>
        <w:rPr>
          <w:rFonts w:cstheme="minorBidi"/>
          <w:noProof/>
          <w:sz w:val="22"/>
          <w:szCs w:val="22"/>
          <w:lang w:eastAsia="en-AU"/>
        </w:rPr>
      </w:pPr>
      <w:hyperlink w:anchor="_Toc513129947" w:history="1">
        <w:r w:rsidR="00EF47FB" w:rsidRPr="00F64F81">
          <w:rPr>
            <w:rStyle w:val="Hyperlink"/>
            <w:noProof/>
          </w:rPr>
          <w:t>Table B4.1: Treatment and comparison groups used in Compulsory Activity Phase (CAP) study</w:t>
        </w:r>
        <w:r w:rsidR="00EF47FB">
          <w:rPr>
            <w:noProof/>
            <w:webHidden/>
          </w:rPr>
          <w:tab/>
        </w:r>
        <w:r w:rsidR="00EF47FB">
          <w:rPr>
            <w:noProof/>
            <w:webHidden/>
          </w:rPr>
          <w:fldChar w:fldCharType="begin"/>
        </w:r>
        <w:r w:rsidR="00EF47FB">
          <w:rPr>
            <w:noProof/>
            <w:webHidden/>
          </w:rPr>
          <w:instrText xml:space="preserve"> PAGEREF _Toc513129947 \h </w:instrText>
        </w:r>
        <w:r w:rsidR="00EF47FB">
          <w:rPr>
            <w:noProof/>
            <w:webHidden/>
          </w:rPr>
        </w:r>
        <w:r w:rsidR="00EF47FB">
          <w:rPr>
            <w:noProof/>
            <w:webHidden/>
          </w:rPr>
          <w:fldChar w:fldCharType="separate"/>
        </w:r>
        <w:r w:rsidR="00D87DBB">
          <w:rPr>
            <w:noProof/>
            <w:webHidden/>
          </w:rPr>
          <w:t>236</w:t>
        </w:r>
        <w:r w:rsidR="00EF47FB">
          <w:rPr>
            <w:noProof/>
            <w:webHidden/>
          </w:rPr>
          <w:fldChar w:fldCharType="end"/>
        </w:r>
      </w:hyperlink>
    </w:p>
    <w:p w14:paraId="1A6F83AD" w14:textId="7374E767" w:rsidR="00EF47FB" w:rsidRDefault="00864C5E">
      <w:pPr>
        <w:pStyle w:val="TableofFigures"/>
        <w:tabs>
          <w:tab w:val="right" w:leader="dot" w:pos="9017"/>
        </w:tabs>
        <w:rPr>
          <w:rFonts w:cstheme="minorBidi"/>
          <w:noProof/>
          <w:sz w:val="22"/>
          <w:szCs w:val="22"/>
          <w:lang w:eastAsia="en-AU"/>
        </w:rPr>
      </w:pPr>
      <w:hyperlink w:anchor="_Toc513129948" w:history="1">
        <w:r w:rsidR="00EF47FB" w:rsidRPr="00F64F81">
          <w:rPr>
            <w:rStyle w:val="Hyperlink"/>
            <w:noProof/>
          </w:rPr>
          <w:t>Table B4.2: Caseload detail on treatment and comparison groups</w:t>
        </w:r>
        <w:r w:rsidR="00EF47FB">
          <w:rPr>
            <w:noProof/>
            <w:webHidden/>
          </w:rPr>
          <w:tab/>
        </w:r>
        <w:r w:rsidR="00EF47FB">
          <w:rPr>
            <w:noProof/>
            <w:webHidden/>
          </w:rPr>
          <w:fldChar w:fldCharType="begin"/>
        </w:r>
        <w:r w:rsidR="00EF47FB">
          <w:rPr>
            <w:noProof/>
            <w:webHidden/>
          </w:rPr>
          <w:instrText xml:space="preserve"> PAGEREF _Toc513129948 \h </w:instrText>
        </w:r>
        <w:r w:rsidR="00EF47FB">
          <w:rPr>
            <w:noProof/>
            <w:webHidden/>
          </w:rPr>
        </w:r>
        <w:r w:rsidR="00EF47FB">
          <w:rPr>
            <w:noProof/>
            <w:webHidden/>
          </w:rPr>
          <w:fldChar w:fldCharType="separate"/>
        </w:r>
        <w:r w:rsidR="00D87DBB">
          <w:rPr>
            <w:noProof/>
            <w:webHidden/>
          </w:rPr>
          <w:t>236</w:t>
        </w:r>
        <w:r w:rsidR="00EF47FB">
          <w:rPr>
            <w:noProof/>
            <w:webHidden/>
          </w:rPr>
          <w:fldChar w:fldCharType="end"/>
        </w:r>
      </w:hyperlink>
    </w:p>
    <w:p w14:paraId="431B5346" w14:textId="794D6E44" w:rsidR="00EF47FB" w:rsidRDefault="00864C5E">
      <w:pPr>
        <w:pStyle w:val="TableofFigures"/>
        <w:tabs>
          <w:tab w:val="right" w:leader="dot" w:pos="9017"/>
        </w:tabs>
        <w:rPr>
          <w:rFonts w:cstheme="minorBidi"/>
          <w:noProof/>
          <w:sz w:val="22"/>
          <w:szCs w:val="22"/>
          <w:lang w:eastAsia="en-AU"/>
        </w:rPr>
      </w:pPr>
      <w:hyperlink w:anchor="_Toc513129949" w:history="1">
        <w:r w:rsidR="00EF47FB" w:rsidRPr="00F64F81">
          <w:rPr>
            <w:rStyle w:val="Hyperlink"/>
            <w:noProof/>
          </w:rPr>
          <w:t>Table B7.1: Definitions of study populations used to assess the effect of the Strengthening the Job Seeker Compliance Framework measure</w:t>
        </w:r>
        <w:r w:rsidR="00EF47FB">
          <w:rPr>
            <w:noProof/>
            <w:webHidden/>
          </w:rPr>
          <w:tab/>
        </w:r>
        <w:r w:rsidR="00EF47FB">
          <w:rPr>
            <w:noProof/>
            <w:webHidden/>
          </w:rPr>
          <w:fldChar w:fldCharType="begin"/>
        </w:r>
        <w:r w:rsidR="00EF47FB">
          <w:rPr>
            <w:noProof/>
            <w:webHidden/>
          </w:rPr>
          <w:instrText xml:space="preserve"> PAGEREF _Toc513129949 \h </w:instrText>
        </w:r>
        <w:r w:rsidR="00EF47FB">
          <w:rPr>
            <w:noProof/>
            <w:webHidden/>
          </w:rPr>
        </w:r>
        <w:r w:rsidR="00EF47FB">
          <w:rPr>
            <w:noProof/>
            <w:webHidden/>
          </w:rPr>
          <w:fldChar w:fldCharType="separate"/>
        </w:r>
        <w:r w:rsidR="00D87DBB">
          <w:rPr>
            <w:noProof/>
            <w:webHidden/>
          </w:rPr>
          <w:t>241</w:t>
        </w:r>
        <w:r w:rsidR="00EF47FB">
          <w:rPr>
            <w:noProof/>
            <w:webHidden/>
          </w:rPr>
          <w:fldChar w:fldCharType="end"/>
        </w:r>
      </w:hyperlink>
    </w:p>
    <w:p w14:paraId="50E88AF3" w14:textId="062D3670" w:rsidR="003877A2" w:rsidRDefault="003877A2">
      <w:pPr>
        <w:rPr>
          <w:rStyle w:val="Hyperlink"/>
          <w:rFonts w:cstheme="minorHAnsi"/>
          <w:noProof/>
          <w:sz w:val="20"/>
          <w:szCs w:val="20"/>
        </w:rPr>
      </w:pPr>
      <w:r>
        <w:rPr>
          <w:rStyle w:val="Hyperlink"/>
          <w:rFonts w:cstheme="minorHAnsi"/>
          <w:noProof/>
          <w:sz w:val="20"/>
          <w:szCs w:val="20"/>
        </w:rPr>
        <w:fldChar w:fldCharType="end"/>
      </w:r>
      <w:r>
        <w:rPr>
          <w:rStyle w:val="Hyperlink"/>
          <w:rFonts w:cstheme="minorHAnsi"/>
          <w:noProof/>
          <w:sz w:val="20"/>
          <w:szCs w:val="20"/>
        </w:rPr>
        <w:br w:type="page"/>
      </w:r>
    </w:p>
    <w:p w14:paraId="04276A8B" w14:textId="77777777" w:rsidR="008C4FD8" w:rsidRDefault="008C4FD8" w:rsidP="008C4FD8">
      <w:r>
        <w:t>Although a net impact study is sometimes used for this type of evaluation, it was found not to be feasible for JSA. Net impact studies are possible for smaller types or phases of programmes, but only where non-participants can be used as ‘control groups’.</w:t>
      </w:r>
      <w:r>
        <w:rPr>
          <w:rStyle w:val="FootnoteReference"/>
        </w:rPr>
        <w:footnoteReference w:id="97"/>
      </w:r>
      <w:r>
        <w:t xml:space="preserve"> </w:t>
      </w:r>
      <w:r>
        <w:rPr>
          <w:rStyle w:val="FootnoteReference"/>
        </w:rPr>
        <w:footnoteReference w:id="98"/>
      </w:r>
      <w:r>
        <w:t xml:space="preserve"> This is the case where programmes are separate and distinct. For programmes which are universal and consist of such a broad suite of individualised interventions as JSA, a net impact study is not possible.</w:t>
      </w:r>
    </w:p>
    <w:p w14:paraId="772EF6F0" w14:textId="77777777" w:rsidR="008C4FD8" w:rsidRDefault="008C4FD8" w:rsidP="008C4FD8">
      <w:pPr>
        <w:pStyle w:val="Normalafter12pt"/>
      </w:pPr>
      <w:r>
        <w:t>Given that the objectives of JSA remained largely unchanged between the 2009 and 2012 models and the evaluation of JSA 2009</w:t>
      </w:r>
      <w:r>
        <w:rPr>
          <w:rStyle w:val="FootnoteReference"/>
        </w:rPr>
        <w:footnoteReference w:id="99"/>
      </w:r>
      <w:r>
        <w:t xml:space="preserve"> addressed the performance of JSA in terms of effectiveness, efficiency and appropriateness against these objectives, this evaluation will focus mainly on the changes between contracts. </w:t>
      </w:r>
    </w:p>
    <w:p w14:paraId="5FC447FA" w14:textId="77777777" w:rsidR="002930E2" w:rsidRDefault="005E1B5A" w:rsidP="00BC4DAE">
      <w:pPr>
        <w:pStyle w:val="Heading2"/>
      </w:pPr>
      <w:bookmarkStart w:id="733" w:name="_Toc450919359"/>
      <w:bookmarkStart w:id="734" w:name="_Toc22543184"/>
      <w:r>
        <w:t>B1</w:t>
      </w:r>
      <w:r w:rsidR="002930E2">
        <w:tab/>
      </w:r>
      <w:r w:rsidR="002D41E2">
        <w:t>M</w:t>
      </w:r>
      <w:r w:rsidR="002930E2">
        <w:t>easur</w:t>
      </w:r>
      <w:r w:rsidR="002D41E2">
        <w:t>ing overall effectivenes</w:t>
      </w:r>
      <w:r w:rsidR="002930E2">
        <w:t>s</w:t>
      </w:r>
      <w:bookmarkEnd w:id="733"/>
      <w:bookmarkEnd w:id="734"/>
    </w:p>
    <w:p w14:paraId="080A2627" w14:textId="77777777" w:rsidR="00904F45" w:rsidRDefault="005E1B5A" w:rsidP="005E1B5A">
      <w:pPr>
        <w:pStyle w:val="Heading3"/>
      </w:pPr>
      <w:bookmarkStart w:id="735" w:name="_Toc22543185"/>
      <w:r>
        <w:t>B1.1</w:t>
      </w:r>
      <w:r>
        <w:tab/>
        <w:t xml:space="preserve">New </w:t>
      </w:r>
      <w:r w:rsidR="003205F4">
        <w:t>e</w:t>
      </w:r>
      <w:r>
        <w:t>ntrants</w:t>
      </w:r>
      <w:bookmarkEnd w:id="735"/>
    </w:p>
    <w:p w14:paraId="086661F7" w14:textId="77777777" w:rsidR="00E73668" w:rsidRPr="00E73668" w:rsidRDefault="00E73668" w:rsidP="00FB6F35">
      <w:pPr>
        <w:pStyle w:val="Heading4"/>
      </w:pPr>
      <w:r>
        <w:t>B1.1.1</w:t>
      </w:r>
      <w:r>
        <w:tab/>
      </w:r>
      <w:r w:rsidRPr="00E73668">
        <w:t>Measures</w:t>
      </w:r>
    </w:p>
    <w:p w14:paraId="5AC8F242" w14:textId="77777777" w:rsidR="00E73668" w:rsidRPr="00E73668" w:rsidRDefault="00E73668" w:rsidP="00E73668">
      <w:r w:rsidRPr="00E73668">
        <w:rPr>
          <w:noProof/>
          <w:lang w:eastAsia="en-AU"/>
        </w:rPr>
        <w:t xml:space="preserve">To assess </w:t>
      </w:r>
      <w:r w:rsidRPr="00E73668">
        <w:t>the overall effectiveness of changes</w:t>
      </w:r>
      <w:r w:rsidR="008A3E42">
        <w:t xml:space="preserve"> to the JSA model</w:t>
      </w:r>
      <w:r w:rsidRPr="00E73668">
        <w:t xml:space="preserve"> for new entrant job seekers the following measures are used:</w:t>
      </w:r>
    </w:p>
    <w:p w14:paraId="6A02AA49" w14:textId="77777777" w:rsidR="00E73668" w:rsidRPr="00E73668" w:rsidRDefault="00E73668" w:rsidP="00961617">
      <w:pPr>
        <w:numPr>
          <w:ilvl w:val="0"/>
          <w:numId w:val="34"/>
        </w:numPr>
        <w:tabs>
          <w:tab w:val="left" w:pos="227"/>
        </w:tabs>
        <w:suppressAutoHyphens/>
        <w:autoSpaceDE w:val="0"/>
        <w:autoSpaceDN w:val="0"/>
        <w:adjustRightInd w:val="0"/>
        <w:spacing w:before="20" w:after="198" w:line="300" w:lineRule="atLeast"/>
        <w:contextualSpacing/>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time to commencement in service</w:t>
      </w:r>
    </w:p>
    <w:p w14:paraId="034BAA55" w14:textId="77777777" w:rsidR="00E73668" w:rsidRPr="00E73668" w:rsidRDefault="00E73668" w:rsidP="00961617">
      <w:pPr>
        <w:numPr>
          <w:ilvl w:val="0"/>
          <w:numId w:val="34"/>
        </w:numPr>
        <w:tabs>
          <w:tab w:val="left" w:pos="227"/>
        </w:tabs>
        <w:suppressAutoHyphens/>
        <w:autoSpaceDE w:val="0"/>
        <w:autoSpaceDN w:val="0"/>
        <w:adjustRightInd w:val="0"/>
        <w:spacing w:before="20" w:after="198" w:line="300" w:lineRule="atLeast"/>
        <w:contextualSpacing/>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compliance</w:t>
      </w:r>
    </w:p>
    <w:p w14:paraId="08D2435E" w14:textId="77777777" w:rsidR="00E73668" w:rsidRPr="00E73668" w:rsidRDefault="00E73668" w:rsidP="00961617">
      <w:pPr>
        <w:numPr>
          <w:ilvl w:val="0"/>
          <w:numId w:val="34"/>
        </w:numPr>
        <w:tabs>
          <w:tab w:val="left" w:pos="227"/>
        </w:tabs>
        <w:suppressAutoHyphens/>
        <w:autoSpaceDE w:val="0"/>
        <w:autoSpaceDN w:val="0"/>
        <w:adjustRightInd w:val="0"/>
        <w:spacing w:before="20" w:after="198" w:line="300" w:lineRule="atLeast"/>
        <w:contextualSpacing/>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 xml:space="preserve">employment and education outcomes </w:t>
      </w:r>
    </w:p>
    <w:p w14:paraId="056F2161" w14:textId="77777777" w:rsidR="00E73668" w:rsidRPr="00E73668" w:rsidRDefault="00E73668" w:rsidP="00961617">
      <w:pPr>
        <w:numPr>
          <w:ilvl w:val="0"/>
          <w:numId w:val="34"/>
        </w:numPr>
        <w:tabs>
          <w:tab w:val="left" w:pos="227"/>
        </w:tabs>
        <w:suppressAutoHyphens/>
        <w:autoSpaceDE w:val="0"/>
        <w:autoSpaceDN w:val="0"/>
        <w:adjustRightInd w:val="0"/>
        <w:spacing w:before="20" w:after="198" w:line="300" w:lineRule="atLeast"/>
        <w:contextualSpacing/>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reliance on income support 12 months after registering for service</w:t>
      </w:r>
    </w:p>
    <w:p w14:paraId="13604180" w14:textId="77777777" w:rsidR="00E73668" w:rsidRPr="00E73668" w:rsidRDefault="00E73668" w:rsidP="00961617">
      <w:pPr>
        <w:numPr>
          <w:ilvl w:val="0"/>
          <w:numId w:val="34"/>
        </w:numPr>
        <w:tabs>
          <w:tab w:val="left" w:pos="227"/>
        </w:tabs>
        <w:suppressAutoHyphens/>
        <w:autoSpaceDE w:val="0"/>
        <w:autoSpaceDN w:val="0"/>
        <w:adjustRightInd w:val="0"/>
        <w:spacing w:before="20" w:after="198" w:line="300" w:lineRule="atLeast"/>
        <w:contextualSpacing/>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length of time on income support.</w:t>
      </w:r>
    </w:p>
    <w:p w14:paraId="6EBD89B7" w14:textId="77777777" w:rsidR="00E73668" w:rsidRPr="00E73668" w:rsidRDefault="00E73668" w:rsidP="00FB6F35">
      <w:pPr>
        <w:pStyle w:val="Heading5"/>
      </w:pPr>
      <w:r w:rsidRPr="00E73668">
        <w:t xml:space="preserve">Employment and education outcomes </w:t>
      </w:r>
    </w:p>
    <w:p w14:paraId="78592FF5" w14:textId="77777777" w:rsidR="00E73668" w:rsidRPr="00E73668" w:rsidRDefault="00E73668" w:rsidP="00E73668">
      <w:r w:rsidRPr="00E73668">
        <w:t xml:space="preserve">Since 1987 the Department has conducted the Post Programme Monitoring Survey (PPM) to measure the labour market and education status of job seekers who participated in employment services. In most cases, outcomes are measured around three months post-assistance. </w:t>
      </w:r>
    </w:p>
    <w:p w14:paraId="1091BB39" w14:textId="77777777" w:rsidR="00E73668" w:rsidRPr="00E73668" w:rsidRDefault="00E73668" w:rsidP="00E73668">
      <w:r w:rsidRPr="00E73668">
        <w:t xml:space="preserve">This report uses PPM results for job seekers in the </w:t>
      </w:r>
      <w:r w:rsidRPr="00E73668">
        <w:rPr>
          <w:u w:val="single"/>
        </w:rPr>
        <w:t>new entrant</w:t>
      </w:r>
      <w:r w:rsidRPr="00E73668">
        <w:t xml:space="preserve"> study populations to compare outcome rates between JSA 2009 and JSA 2012. These outcome rates cannot be compared with other published outcome rates which typically include all job seekers (not just new entrants). Because PPM results are not regressed, they do not account for differences in economic conditions and characteristics of the job seekers. </w:t>
      </w:r>
    </w:p>
    <w:p w14:paraId="41C83EDE" w14:textId="77777777" w:rsidR="00E73668" w:rsidRPr="00E73668" w:rsidRDefault="00E73668" w:rsidP="00FB6F35">
      <w:pPr>
        <w:pStyle w:val="Heading5"/>
      </w:pPr>
      <w:r w:rsidRPr="00E73668">
        <w:t xml:space="preserve">Income </w:t>
      </w:r>
      <w:r w:rsidR="008A3E42">
        <w:t>s</w:t>
      </w:r>
      <w:r w:rsidR="008A3E42" w:rsidRPr="00E73668">
        <w:t xml:space="preserve">upport </w:t>
      </w:r>
      <w:r w:rsidR="008A3E42">
        <w:t>r</w:t>
      </w:r>
      <w:r w:rsidR="008A3E42" w:rsidRPr="00E73668">
        <w:t>eliance</w:t>
      </w:r>
    </w:p>
    <w:p w14:paraId="3A20973A" w14:textId="77777777" w:rsidR="00E73668" w:rsidRPr="00E73668" w:rsidRDefault="00E73668" w:rsidP="00E73668">
      <w:r w:rsidRPr="00E73668">
        <w:t>Reliance on income support 12 months after registering with JSA is one measure used to assess the effectiveness of JSA 2012, compared to JSA 2009. Three outcomes are considered for this measure, whether at 12 months after registration the job seeker is:</w:t>
      </w:r>
    </w:p>
    <w:p w14:paraId="0F5657FA" w14:textId="77777777" w:rsidR="00E73668" w:rsidRPr="00E73668" w:rsidRDefault="00E73668" w:rsidP="00961617">
      <w:pPr>
        <w:numPr>
          <w:ilvl w:val="0"/>
          <w:numId w:val="33"/>
        </w:numPr>
        <w:contextualSpacing/>
      </w:pPr>
      <w:r w:rsidRPr="00E73668">
        <w:t xml:space="preserve">off income support  </w:t>
      </w:r>
    </w:p>
    <w:p w14:paraId="7E79C55E" w14:textId="77777777" w:rsidR="00E73668" w:rsidRPr="00E73668" w:rsidRDefault="00E73668" w:rsidP="00961617">
      <w:pPr>
        <w:numPr>
          <w:ilvl w:val="0"/>
          <w:numId w:val="33"/>
        </w:numPr>
        <w:contextualSpacing/>
      </w:pPr>
      <w:r w:rsidRPr="00E73668">
        <w:t xml:space="preserve">on a partial rate of income support  </w:t>
      </w:r>
    </w:p>
    <w:p w14:paraId="2095A627" w14:textId="77777777" w:rsidR="00E73668" w:rsidRPr="00E73668" w:rsidRDefault="00E73668" w:rsidP="00961617">
      <w:pPr>
        <w:numPr>
          <w:ilvl w:val="0"/>
          <w:numId w:val="33"/>
        </w:numPr>
        <w:contextualSpacing/>
      </w:pPr>
      <w:r w:rsidRPr="00E73668">
        <w:t>on a full rate of income support.</w:t>
      </w:r>
    </w:p>
    <w:p w14:paraId="2813FB83" w14:textId="77777777" w:rsidR="00E73668" w:rsidRPr="00E73668" w:rsidRDefault="00E73668" w:rsidP="00E73668">
      <w:r w:rsidRPr="00E73668">
        <w:t xml:space="preserve">The partial rate of income support outcome for this measure is used as some job seeker groups are more likely than others to reduce their reliance on, rather than move off, income support. These job seekers include those with disability with employment restrictions, mature aged (50 years or more) job seekers and </w:t>
      </w:r>
      <w:r w:rsidR="002952A7">
        <w:t>single parents</w:t>
      </w:r>
      <w:r w:rsidRPr="00E73668">
        <w:t>.</w:t>
      </w:r>
    </w:p>
    <w:p w14:paraId="21A4A629" w14:textId="77777777" w:rsidR="00E73668" w:rsidRPr="00E73668" w:rsidRDefault="00E73668" w:rsidP="00FB6F35">
      <w:pPr>
        <w:pStyle w:val="Heading5"/>
      </w:pPr>
      <w:r w:rsidRPr="00E73668">
        <w:t>Income support exit rates</w:t>
      </w:r>
    </w:p>
    <w:p w14:paraId="44873701" w14:textId="77777777" w:rsidR="00E73668" w:rsidRPr="00E73668" w:rsidRDefault="00E73668" w:rsidP="00E73668">
      <w:r w:rsidRPr="00E73668">
        <w:t>This report uses actual and predicted income support exit rates. One of the primary objectives of JSA was to assist job seekers obtain sustainable employment thereby reducing welfare dependence. The time taken for job seekers to exit income support after registration is an indicator directly addressing this key objective. Predicted income support exit rates use calculations of actual exit leve</w:t>
      </w:r>
      <w:r w:rsidR="00FB7DA2">
        <w:t>ls for the JSA 2009 and compare</w:t>
      </w:r>
      <w:r w:rsidRPr="00E73668">
        <w:t xml:space="preserve"> them to predicted exit rates. These are derived using regression modelling based on JSA 2012 new entrant study population exit data. The difference between actual and predicted exits is a measure of the relative effectiveness of JSA 2012, controlling for participant characteristics and labour market conditions. </w:t>
      </w:r>
    </w:p>
    <w:p w14:paraId="1255FF7A" w14:textId="77777777" w:rsidR="00E73668" w:rsidRPr="00E73668" w:rsidRDefault="00E73668" w:rsidP="00FB6F35">
      <w:pPr>
        <w:pStyle w:val="Heading5"/>
      </w:pPr>
      <w:r w:rsidRPr="00E73668">
        <w:t>Sustainability of exits from income support rates</w:t>
      </w:r>
    </w:p>
    <w:p w14:paraId="0836A432" w14:textId="77777777" w:rsidR="00E73668" w:rsidRPr="00E73668" w:rsidRDefault="00E73668" w:rsidP="00E73668">
      <w:r w:rsidRPr="00E73668">
        <w:t xml:space="preserve">As noted above, one of the primary objectives of JSA was to assist job seekers obtain </w:t>
      </w:r>
      <w:r w:rsidRPr="0099598E">
        <w:t>sustainable</w:t>
      </w:r>
      <w:r w:rsidRPr="00E73668">
        <w:t xml:space="preserve"> employment thereby reducing welfare dependence. One measure which can be used to assess the sustainability of employment is the sustainability of exit from income support. The sustainability indicator takes the income support status 12 months after the job seeker exited income support, with three possible outcomes considered: </w:t>
      </w:r>
    </w:p>
    <w:p w14:paraId="3345C079" w14:textId="77777777" w:rsidR="00E73668" w:rsidRPr="00E73668" w:rsidRDefault="00E73668" w:rsidP="00056533">
      <w:pPr>
        <w:pStyle w:val="bullet"/>
      </w:pPr>
      <w:r w:rsidRPr="00E73668">
        <w:t xml:space="preserve">full rate of income support </w:t>
      </w:r>
    </w:p>
    <w:p w14:paraId="15F59F2D" w14:textId="77777777" w:rsidR="00E73668" w:rsidRPr="00E73668" w:rsidRDefault="00E73668" w:rsidP="00056533">
      <w:pPr>
        <w:pStyle w:val="bullet"/>
      </w:pPr>
      <w:r w:rsidRPr="00E73668">
        <w:t xml:space="preserve">partial rate </w:t>
      </w:r>
    </w:p>
    <w:p w14:paraId="0AE84430" w14:textId="77777777" w:rsidR="00E73668" w:rsidRPr="00E73668" w:rsidRDefault="00E73668" w:rsidP="00056533">
      <w:pPr>
        <w:pStyle w:val="bullet"/>
      </w:pPr>
      <w:r w:rsidRPr="00E73668">
        <w:t xml:space="preserve">off income support (as used for the reliance on income support measure). </w:t>
      </w:r>
    </w:p>
    <w:p w14:paraId="0B8C99D1" w14:textId="77777777" w:rsidR="00E73668" w:rsidRPr="00E73668" w:rsidRDefault="00E73668" w:rsidP="00E73668">
      <w:r w:rsidRPr="00E73668">
        <w:t xml:space="preserve">Because all job seekers in scope for this measure had left income support the extent to which they have returned to service is a measure of the sustainability of outcomes. </w:t>
      </w:r>
    </w:p>
    <w:p w14:paraId="2BF59921" w14:textId="77777777" w:rsidR="00E73668" w:rsidRPr="00E73668" w:rsidRDefault="00056533" w:rsidP="00FB6F35">
      <w:pPr>
        <w:pStyle w:val="Heading4"/>
      </w:pPr>
      <w:r>
        <w:t>B1.1.2</w:t>
      </w:r>
      <w:r>
        <w:tab/>
      </w:r>
      <w:r w:rsidR="00E73668" w:rsidRPr="00E73668">
        <w:t>Study populations</w:t>
      </w:r>
    </w:p>
    <w:p w14:paraId="0800554B" w14:textId="77777777" w:rsidR="00E73668" w:rsidRPr="00E73668" w:rsidRDefault="00E73668" w:rsidP="00E73668">
      <w:r w:rsidRPr="00E73668">
        <w:t>Two new entrant study populations of comparable job seekers assisted under JSA 2009 and JSA 2012 are used to compare the effec</w:t>
      </w:r>
      <w:r w:rsidR="00FB7DA2">
        <w:t>tiveness of the programmes (</w:t>
      </w:r>
      <w:r w:rsidRPr="00056533">
        <w:t xml:space="preserve">Table </w:t>
      </w:r>
      <w:r w:rsidR="00056533" w:rsidRPr="00056533">
        <w:t>B1</w:t>
      </w:r>
      <w:r w:rsidRPr="00056533">
        <w:t>.1). These</w:t>
      </w:r>
      <w:r w:rsidRPr="00E73668">
        <w:t xml:space="preserve"> groups comprise job seekers who:</w:t>
      </w:r>
    </w:p>
    <w:p w14:paraId="0FD4CA9B" w14:textId="77777777" w:rsidR="00651B53" w:rsidRPr="00E73668" w:rsidRDefault="00651B53" w:rsidP="00651B53">
      <w:pPr>
        <w:pStyle w:val="bullet"/>
      </w:pPr>
      <w:r w:rsidRPr="00E73668">
        <w:t>registered in the inflow interval</w:t>
      </w:r>
    </w:p>
    <w:p w14:paraId="716D642A" w14:textId="77777777" w:rsidR="00651B53" w:rsidRPr="00E73668" w:rsidRDefault="00651B53" w:rsidP="00651B53">
      <w:pPr>
        <w:pStyle w:val="bullet"/>
      </w:pPr>
      <w:r w:rsidRPr="00E73668">
        <w:t>had no periods of assistance in the quarantine period</w:t>
      </w:r>
    </w:p>
    <w:p w14:paraId="0CA88085" w14:textId="77777777" w:rsidR="00651B53" w:rsidRPr="00E73668" w:rsidRDefault="00651B53" w:rsidP="00651B53">
      <w:pPr>
        <w:pStyle w:val="bullet"/>
        <w:rPr>
          <w:rFonts w:eastAsia="Univers"/>
          <w:lang w:eastAsia="en-AU"/>
        </w:rPr>
      </w:pPr>
      <w:r w:rsidRPr="00E73668">
        <w:rPr>
          <w:rFonts w:eastAsia="Univers"/>
          <w:lang w:eastAsia="en-AU"/>
        </w:rPr>
        <w:t>had commenced in employment services over a given six-month period</w:t>
      </w:r>
    </w:p>
    <w:p w14:paraId="3757191A" w14:textId="77777777" w:rsidR="00651B53" w:rsidRPr="00E73668" w:rsidRDefault="00651B53" w:rsidP="00651B53">
      <w:pPr>
        <w:pStyle w:val="bullet"/>
      </w:pPr>
      <w:r w:rsidRPr="00E73668">
        <w:t>had not lived in a community that was subsequently transferred to the RJCP</w:t>
      </w:r>
      <w:r>
        <w:t>.</w:t>
      </w:r>
      <w:r w:rsidRPr="00E73668">
        <w:rPr>
          <w:vertAlign w:val="superscript"/>
        </w:rPr>
        <w:footnoteReference w:id="100"/>
      </w:r>
    </w:p>
    <w:p w14:paraId="236AC96C" w14:textId="77777777" w:rsidR="00E73668" w:rsidRPr="008D1D34" w:rsidRDefault="00E73668" w:rsidP="00C661D4">
      <w:pPr>
        <w:pStyle w:val="TableheadingforappendixA1"/>
        <w:rPr>
          <w:rFonts w:eastAsiaTheme="majorEastAsia"/>
        </w:rPr>
      </w:pPr>
      <w:bookmarkStart w:id="736" w:name="_Toc430765630"/>
      <w:bookmarkStart w:id="737" w:name="_Toc513129940"/>
      <w:r w:rsidRPr="008D1D34">
        <w:rPr>
          <w:rFonts w:eastAsiaTheme="majorEastAsia"/>
        </w:rPr>
        <w:t xml:space="preserve">Table </w:t>
      </w:r>
      <w:r w:rsidR="00056533" w:rsidRPr="008D1D34">
        <w:rPr>
          <w:rFonts w:eastAsiaTheme="majorEastAsia"/>
        </w:rPr>
        <w:t>B1</w:t>
      </w:r>
      <w:r w:rsidR="00FB7DA2">
        <w:rPr>
          <w:rFonts w:eastAsiaTheme="majorEastAsia"/>
        </w:rPr>
        <w:t xml:space="preserve">.1: </w:t>
      </w:r>
      <w:r w:rsidRPr="008D1D34">
        <w:rPr>
          <w:rFonts w:eastAsiaTheme="majorEastAsia"/>
        </w:rPr>
        <w:t>Definit</w:t>
      </w:r>
      <w:r w:rsidR="00FB7DA2">
        <w:rPr>
          <w:rFonts w:eastAsiaTheme="majorEastAsia"/>
        </w:rPr>
        <w:t xml:space="preserve">ions of study populations used </w:t>
      </w:r>
      <w:r w:rsidRPr="008D1D34">
        <w:rPr>
          <w:rFonts w:eastAsiaTheme="majorEastAsia"/>
        </w:rPr>
        <w:t xml:space="preserve">to assess the effectiveness of JSA 2012 for the new entrant </w:t>
      </w:r>
      <w:bookmarkEnd w:id="736"/>
      <w:r w:rsidRPr="008D1D34">
        <w:rPr>
          <w:rFonts w:eastAsiaTheme="majorEastAsia"/>
        </w:rPr>
        <w:t>job seekers in compared with JSA 2009</w:t>
      </w:r>
      <w:bookmarkEnd w:id="737"/>
    </w:p>
    <w:tbl>
      <w:tblPr>
        <w:tblStyle w:val="TableGrid7"/>
        <w:tblW w:w="8647" w:type="dxa"/>
        <w:tblInd w:w="250" w:type="dxa"/>
        <w:tblLook w:val="04A0" w:firstRow="1" w:lastRow="0" w:firstColumn="1" w:lastColumn="0" w:noHBand="0" w:noVBand="1"/>
      </w:tblPr>
      <w:tblGrid>
        <w:gridCol w:w="1843"/>
        <w:gridCol w:w="3402"/>
        <w:gridCol w:w="3402"/>
      </w:tblGrid>
      <w:tr w:rsidR="00E73668" w:rsidRPr="006A1F08" w14:paraId="4A7B00CA" w14:textId="77777777" w:rsidTr="00D20CB6">
        <w:trPr>
          <w:cantSplit/>
          <w:trHeight w:hRule="exact" w:val="397"/>
          <w:tblHeader/>
        </w:trPr>
        <w:tc>
          <w:tcPr>
            <w:tcW w:w="1843" w:type="dxa"/>
            <w:tcBorders>
              <w:top w:val="nil"/>
              <w:left w:val="nil"/>
              <w:bottom w:val="nil"/>
              <w:right w:val="nil"/>
            </w:tcBorders>
            <w:shd w:val="clear" w:color="auto" w:fill="002060"/>
            <w:vAlign w:val="center"/>
          </w:tcPr>
          <w:p w14:paraId="52BDF8F1" w14:textId="77777777" w:rsidR="00E73668" w:rsidRPr="006A1F08" w:rsidRDefault="008364E8" w:rsidP="00E73668">
            <w:pPr>
              <w:keepNext/>
              <w:keepLines/>
              <w:rPr>
                <w:b/>
                <w:sz w:val="20"/>
                <w:szCs w:val="20"/>
              </w:rPr>
            </w:pPr>
            <w:bookmarkStart w:id="738" w:name="ColumnTitle_b11"/>
            <w:bookmarkEnd w:id="738"/>
            <w:r>
              <w:rPr>
                <w:b/>
                <w:sz w:val="20"/>
                <w:szCs w:val="20"/>
              </w:rPr>
              <w:t>Period</w:t>
            </w:r>
          </w:p>
        </w:tc>
        <w:tc>
          <w:tcPr>
            <w:tcW w:w="3402" w:type="dxa"/>
            <w:tcBorders>
              <w:top w:val="nil"/>
              <w:left w:val="nil"/>
              <w:bottom w:val="nil"/>
              <w:right w:val="nil"/>
            </w:tcBorders>
            <w:shd w:val="clear" w:color="auto" w:fill="002060"/>
            <w:vAlign w:val="center"/>
            <w:hideMark/>
          </w:tcPr>
          <w:p w14:paraId="5D04250B" w14:textId="77777777" w:rsidR="00E73668" w:rsidRPr="006A1F08" w:rsidRDefault="008364E8" w:rsidP="008364E8">
            <w:pPr>
              <w:keepNext/>
              <w:jc w:val="center"/>
              <w:rPr>
                <w:b/>
                <w:sz w:val="20"/>
                <w:szCs w:val="20"/>
              </w:rPr>
            </w:pPr>
            <w:r>
              <w:rPr>
                <w:b/>
                <w:sz w:val="20"/>
                <w:szCs w:val="20"/>
              </w:rPr>
              <w:t xml:space="preserve">JSA </w:t>
            </w:r>
            <w:r w:rsidR="00E73668" w:rsidRPr="006A1F08">
              <w:rPr>
                <w:b/>
                <w:sz w:val="20"/>
                <w:szCs w:val="20"/>
              </w:rPr>
              <w:t xml:space="preserve">2009 </w:t>
            </w:r>
          </w:p>
        </w:tc>
        <w:tc>
          <w:tcPr>
            <w:tcW w:w="3402" w:type="dxa"/>
            <w:tcBorders>
              <w:top w:val="nil"/>
              <w:left w:val="nil"/>
              <w:bottom w:val="nil"/>
              <w:right w:val="nil"/>
            </w:tcBorders>
            <w:shd w:val="clear" w:color="auto" w:fill="002060"/>
            <w:vAlign w:val="center"/>
            <w:hideMark/>
          </w:tcPr>
          <w:p w14:paraId="030DFBA1" w14:textId="77777777" w:rsidR="00E73668" w:rsidRPr="006A1F08" w:rsidRDefault="008364E8" w:rsidP="008364E8">
            <w:pPr>
              <w:keepNext/>
              <w:jc w:val="center"/>
              <w:rPr>
                <w:b/>
                <w:sz w:val="20"/>
                <w:szCs w:val="20"/>
              </w:rPr>
            </w:pPr>
            <w:r>
              <w:rPr>
                <w:b/>
                <w:sz w:val="20"/>
                <w:szCs w:val="20"/>
              </w:rPr>
              <w:t xml:space="preserve">JSA </w:t>
            </w:r>
            <w:r w:rsidR="00E73668" w:rsidRPr="006A1F08">
              <w:rPr>
                <w:b/>
                <w:sz w:val="20"/>
                <w:szCs w:val="20"/>
              </w:rPr>
              <w:t xml:space="preserve">2012 </w:t>
            </w:r>
          </w:p>
        </w:tc>
      </w:tr>
      <w:tr w:rsidR="00E73668" w:rsidRPr="00E73668" w14:paraId="6D8E91F3" w14:textId="77777777" w:rsidTr="00EF15CB">
        <w:trPr>
          <w:cantSplit/>
          <w:trHeight w:hRule="exact" w:val="397"/>
        </w:trPr>
        <w:tc>
          <w:tcPr>
            <w:tcW w:w="1843" w:type="dxa"/>
            <w:tcBorders>
              <w:top w:val="nil"/>
              <w:left w:val="nil"/>
              <w:bottom w:val="nil"/>
              <w:right w:val="nil"/>
            </w:tcBorders>
            <w:vAlign w:val="center"/>
            <w:hideMark/>
          </w:tcPr>
          <w:p w14:paraId="6BDA3327" w14:textId="77777777" w:rsidR="00E73668" w:rsidRPr="00E73668" w:rsidRDefault="00E73668" w:rsidP="00E73668">
            <w:pPr>
              <w:keepNext/>
              <w:rPr>
                <w:sz w:val="20"/>
                <w:szCs w:val="20"/>
              </w:rPr>
            </w:pPr>
            <w:r w:rsidRPr="00E73668">
              <w:rPr>
                <w:sz w:val="20"/>
                <w:szCs w:val="20"/>
              </w:rPr>
              <w:t xml:space="preserve">Inflow interval </w:t>
            </w:r>
          </w:p>
        </w:tc>
        <w:tc>
          <w:tcPr>
            <w:tcW w:w="3402" w:type="dxa"/>
            <w:tcBorders>
              <w:top w:val="nil"/>
              <w:left w:val="nil"/>
              <w:bottom w:val="nil"/>
              <w:right w:val="nil"/>
            </w:tcBorders>
            <w:vAlign w:val="center"/>
            <w:hideMark/>
          </w:tcPr>
          <w:p w14:paraId="2CE953FC" w14:textId="77777777" w:rsidR="00E73668" w:rsidRPr="00E73668" w:rsidRDefault="00E73668" w:rsidP="00E73668">
            <w:pPr>
              <w:keepNext/>
              <w:rPr>
                <w:sz w:val="20"/>
              </w:rPr>
            </w:pPr>
            <w:r w:rsidRPr="00E73668">
              <w:rPr>
                <w:sz w:val="20"/>
              </w:rPr>
              <w:t>1 October 2009 to 31 March 2010</w:t>
            </w:r>
          </w:p>
        </w:tc>
        <w:tc>
          <w:tcPr>
            <w:tcW w:w="3402" w:type="dxa"/>
            <w:tcBorders>
              <w:top w:val="nil"/>
              <w:left w:val="nil"/>
              <w:bottom w:val="nil"/>
              <w:right w:val="nil"/>
            </w:tcBorders>
            <w:vAlign w:val="center"/>
            <w:hideMark/>
          </w:tcPr>
          <w:p w14:paraId="0E47A4EB" w14:textId="77777777" w:rsidR="00E73668" w:rsidRPr="00E73668" w:rsidRDefault="00E73668" w:rsidP="00EF15CB">
            <w:pPr>
              <w:keepNext/>
              <w:rPr>
                <w:sz w:val="20"/>
              </w:rPr>
            </w:pPr>
            <w:r w:rsidRPr="00E73668">
              <w:rPr>
                <w:sz w:val="20"/>
              </w:rPr>
              <w:t>1 October 2012 to 31 March 2013</w:t>
            </w:r>
          </w:p>
        </w:tc>
      </w:tr>
      <w:tr w:rsidR="00E73668" w:rsidRPr="00E73668" w14:paraId="0ED01DD9" w14:textId="77777777" w:rsidTr="00EF15CB">
        <w:trPr>
          <w:cantSplit/>
          <w:trHeight w:hRule="exact" w:val="397"/>
        </w:trPr>
        <w:tc>
          <w:tcPr>
            <w:tcW w:w="1843" w:type="dxa"/>
            <w:tcBorders>
              <w:top w:val="nil"/>
              <w:left w:val="nil"/>
              <w:bottom w:val="nil"/>
              <w:right w:val="nil"/>
            </w:tcBorders>
            <w:shd w:val="clear" w:color="auto" w:fill="E5E5E5" w:themeFill="background1" w:themeFillTint="33"/>
            <w:vAlign w:val="center"/>
            <w:hideMark/>
          </w:tcPr>
          <w:p w14:paraId="11821B87" w14:textId="77777777" w:rsidR="00E73668" w:rsidRPr="00E73668" w:rsidRDefault="00E73668" w:rsidP="00E73668">
            <w:pPr>
              <w:keepNext/>
              <w:rPr>
                <w:sz w:val="20"/>
                <w:szCs w:val="20"/>
              </w:rPr>
            </w:pPr>
            <w:r w:rsidRPr="00E73668">
              <w:rPr>
                <w:sz w:val="20"/>
                <w:szCs w:val="20"/>
              </w:rPr>
              <w:t xml:space="preserve">Reference period </w:t>
            </w:r>
          </w:p>
        </w:tc>
        <w:tc>
          <w:tcPr>
            <w:tcW w:w="3402" w:type="dxa"/>
            <w:tcBorders>
              <w:top w:val="nil"/>
              <w:left w:val="nil"/>
              <w:bottom w:val="nil"/>
              <w:right w:val="nil"/>
            </w:tcBorders>
            <w:shd w:val="clear" w:color="auto" w:fill="E5E5E5" w:themeFill="background1" w:themeFillTint="33"/>
            <w:vAlign w:val="center"/>
            <w:hideMark/>
          </w:tcPr>
          <w:p w14:paraId="4766D472" w14:textId="77777777" w:rsidR="00E73668" w:rsidRPr="00E73668" w:rsidRDefault="00E73668" w:rsidP="00E73668">
            <w:pPr>
              <w:keepNext/>
              <w:rPr>
                <w:sz w:val="20"/>
              </w:rPr>
            </w:pPr>
            <w:r w:rsidRPr="00E73668">
              <w:rPr>
                <w:sz w:val="20"/>
              </w:rPr>
              <w:t>1 October 2009 to 30 September 2011</w:t>
            </w:r>
          </w:p>
        </w:tc>
        <w:tc>
          <w:tcPr>
            <w:tcW w:w="3402" w:type="dxa"/>
            <w:tcBorders>
              <w:top w:val="nil"/>
              <w:left w:val="nil"/>
              <w:bottom w:val="nil"/>
              <w:right w:val="nil"/>
            </w:tcBorders>
            <w:shd w:val="clear" w:color="auto" w:fill="E5E5E5" w:themeFill="background1" w:themeFillTint="33"/>
            <w:vAlign w:val="center"/>
            <w:hideMark/>
          </w:tcPr>
          <w:p w14:paraId="4EF1016A" w14:textId="77777777" w:rsidR="00E73668" w:rsidRPr="00E73668" w:rsidRDefault="00E73668" w:rsidP="00EF15CB">
            <w:pPr>
              <w:keepNext/>
              <w:rPr>
                <w:sz w:val="20"/>
              </w:rPr>
            </w:pPr>
            <w:r w:rsidRPr="00E73668">
              <w:rPr>
                <w:sz w:val="20"/>
              </w:rPr>
              <w:t>1 October 2012 to 30 September 2014</w:t>
            </w:r>
          </w:p>
        </w:tc>
      </w:tr>
      <w:tr w:rsidR="00E73668" w:rsidRPr="00E73668" w14:paraId="2FBE4980" w14:textId="77777777" w:rsidTr="00EF15CB">
        <w:trPr>
          <w:cantSplit/>
          <w:trHeight w:hRule="exact" w:val="397"/>
        </w:trPr>
        <w:tc>
          <w:tcPr>
            <w:tcW w:w="1843" w:type="dxa"/>
            <w:tcBorders>
              <w:top w:val="nil"/>
              <w:left w:val="nil"/>
              <w:bottom w:val="single" w:sz="4" w:space="0" w:color="auto"/>
              <w:right w:val="nil"/>
            </w:tcBorders>
            <w:vAlign w:val="center"/>
            <w:hideMark/>
          </w:tcPr>
          <w:p w14:paraId="6115B53E" w14:textId="77777777" w:rsidR="00E73668" w:rsidRPr="00E73668" w:rsidRDefault="00E73668" w:rsidP="00E73668">
            <w:pPr>
              <w:keepNext/>
              <w:rPr>
                <w:sz w:val="20"/>
                <w:szCs w:val="20"/>
              </w:rPr>
            </w:pPr>
            <w:r w:rsidRPr="00E73668">
              <w:rPr>
                <w:sz w:val="20"/>
                <w:szCs w:val="20"/>
              </w:rPr>
              <w:t xml:space="preserve">Quarantine period </w:t>
            </w:r>
          </w:p>
        </w:tc>
        <w:tc>
          <w:tcPr>
            <w:tcW w:w="3402" w:type="dxa"/>
            <w:tcBorders>
              <w:top w:val="nil"/>
              <w:left w:val="nil"/>
              <w:bottom w:val="single" w:sz="4" w:space="0" w:color="auto"/>
              <w:right w:val="nil"/>
            </w:tcBorders>
            <w:vAlign w:val="center"/>
            <w:hideMark/>
          </w:tcPr>
          <w:p w14:paraId="18D6FA32" w14:textId="77777777" w:rsidR="00E73668" w:rsidRPr="00E73668" w:rsidRDefault="00E73668" w:rsidP="00E73668">
            <w:pPr>
              <w:keepNext/>
              <w:rPr>
                <w:sz w:val="20"/>
              </w:rPr>
            </w:pPr>
            <w:r w:rsidRPr="00E73668">
              <w:rPr>
                <w:sz w:val="20"/>
              </w:rPr>
              <w:t xml:space="preserve">1 July 2009 to 30 September 2009 </w:t>
            </w:r>
          </w:p>
        </w:tc>
        <w:tc>
          <w:tcPr>
            <w:tcW w:w="3402" w:type="dxa"/>
            <w:tcBorders>
              <w:top w:val="nil"/>
              <w:left w:val="nil"/>
              <w:bottom w:val="single" w:sz="4" w:space="0" w:color="auto"/>
              <w:right w:val="nil"/>
            </w:tcBorders>
            <w:vAlign w:val="center"/>
            <w:hideMark/>
          </w:tcPr>
          <w:p w14:paraId="0A490E82" w14:textId="77777777" w:rsidR="00E73668" w:rsidRPr="00E73668" w:rsidRDefault="00E73668" w:rsidP="00EF15CB">
            <w:pPr>
              <w:keepNext/>
              <w:rPr>
                <w:sz w:val="20"/>
              </w:rPr>
            </w:pPr>
            <w:r w:rsidRPr="00E73668">
              <w:rPr>
                <w:sz w:val="20"/>
              </w:rPr>
              <w:t xml:space="preserve">1 July 2012 to 30 September 2012 </w:t>
            </w:r>
          </w:p>
        </w:tc>
      </w:tr>
    </w:tbl>
    <w:p w14:paraId="321676C9" w14:textId="77777777" w:rsidR="00651B53" w:rsidRPr="00651B53" w:rsidRDefault="00651B53" w:rsidP="00E46F61">
      <w:pPr>
        <w:spacing w:before="240"/>
      </w:pPr>
      <w:r w:rsidRPr="00651B53">
        <w:t>For these job seekers the first periods of assistance that started within the reference period were selected.</w:t>
      </w:r>
    </w:p>
    <w:p w14:paraId="22D7DB35" w14:textId="77777777" w:rsidR="00E73668" w:rsidRDefault="00E73668" w:rsidP="00E73668">
      <w:r w:rsidRPr="00E73668">
        <w:t>A further ‘super’ population is also used to verify that differences found in income support rates between the two JSA periods are a result of a programme effect, rather than a conflation of variance in economic conditions between the contracts that may not have been fully accounted for in the regression analyses. This ‘super’ new entrant population is drawn over an extended inflow period of four-and-a-half years, which allows for a longer reference perio</w:t>
      </w:r>
      <w:r w:rsidR="00FB7DA2">
        <w:t>d of five-and-a-half years (</w:t>
      </w:r>
      <w:r w:rsidRPr="00056533">
        <w:t>Table </w:t>
      </w:r>
      <w:r w:rsidR="00056533" w:rsidRPr="00056533">
        <w:t>B1</w:t>
      </w:r>
      <w:r w:rsidRPr="00056533">
        <w:t>.2).</w:t>
      </w:r>
      <w:r w:rsidR="00651B53">
        <w:t xml:space="preserve"> It comprised job seekers who:</w:t>
      </w:r>
    </w:p>
    <w:p w14:paraId="4E014018" w14:textId="77777777" w:rsidR="00651B53" w:rsidRPr="00651B53" w:rsidRDefault="00651B53" w:rsidP="00651B53">
      <w:pPr>
        <w:pStyle w:val="bullet"/>
        <w:rPr>
          <w:rFonts w:eastAsia="Univers"/>
          <w:lang w:eastAsia="en-AU"/>
        </w:rPr>
      </w:pPr>
      <w:r w:rsidRPr="00651B53">
        <w:rPr>
          <w:rFonts w:eastAsia="Univers"/>
          <w:lang w:eastAsia="en-AU"/>
        </w:rPr>
        <w:t xml:space="preserve">registered in the </w:t>
      </w:r>
      <w:r w:rsidR="007824E5">
        <w:rPr>
          <w:rFonts w:eastAsia="Univers"/>
          <w:lang w:eastAsia="en-AU"/>
        </w:rPr>
        <w:t>inflow i</w:t>
      </w:r>
      <w:r w:rsidRPr="00651B53">
        <w:rPr>
          <w:rFonts w:eastAsia="Univers"/>
          <w:lang w:eastAsia="en-AU"/>
        </w:rPr>
        <w:t>nterval</w:t>
      </w:r>
    </w:p>
    <w:p w14:paraId="2104A945" w14:textId="77777777" w:rsidR="00651B53" w:rsidRPr="00651B53" w:rsidRDefault="00651B53" w:rsidP="00651B53">
      <w:pPr>
        <w:pStyle w:val="bullet"/>
        <w:rPr>
          <w:rFonts w:eastAsia="Univers"/>
          <w:lang w:eastAsia="en-AU"/>
        </w:rPr>
      </w:pPr>
      <w:r w:rsidRPr="00651B53">
        <w:rPr>
          <w:rFonts w:eastAsia="Univers"/>
          <w:lang w:eastAsia="en-AU"/>
        </w:rPr>
        <w:t>were in receipt of income support within 28 days of registration</w:t>
      </w:r>
    </w:p>
    <w:p w14:paraId="4ADE79A8" w14:textId="77777777" w:rsidR="00651B53" w:rsidRPr="00651B53" w:rsidRDefault="00651B53" w:rsidP="00651B53">
      <w:pPr>
        <w:pStyle w:val="bullet"/>
        <w:rPr>
          <w:rFonts w:eastAsia="Univers"/>
          <w:lang w:eastAsia="en-AU"/>
        </w:rPr>
      </w:pPr>
      <w:r w:rsidRPr="00651B53">
        <w:rPr>
          <w:rFonts w:eastAsia="Univers"/>
          <w:lang w:eastAsia="en-AU"/>
        </w:rPr>
        <w:t>had not lived in a community that was subsequently transferred to the RJCP.</w:t>
      </w:r>
    </w:p>
    <w:p w14:paraId="53EE07B5" w14:textId="77777777" w:rsidR="00E73668" w:rsidRPr="008D1D34" w:rsidRDefault="00E73668" w:rsidP="00C661D4">
      <w:pPr>
        <w:pStyle w:val="TableheadingforappendixA1"/>
        <w:rPr>
          <w:rFonts w:eastAsiaTheme="majorEastAsia"/>
        </w:rPr>
      </w:pPr>
      <w:bookmarkStart w:id="739" w:name="_Toc513129941"/>
      <w:r w:rsidRPr="008D1D34">
        <w:rPr>
          <w:rFonts w:eastAsiaTheme="majorEastAsia"/>
        </w:rPr>
        <w:t xml:space="preserve">Table </w:t>
      </w:r>
      <w:r w:rsidR="00056533" w:rsidRPr="008D1D34">
        <w:rPr>
          <w:rFonts w:eastAsiaTheme="majorEastAsia"/>
        </w:rPr>
        <w:t>B1</w:t>
      </w:r>
      <w:r w:rsidR="00FB7DA2">
        <w:rPr>
          <w:rFonts w:eastAsiaTheme="majorEastAsia"/>
        </w:rPr>
        <w:t xml:space="preserve">.2: </w:t>
      </w:r>
      <w:r w:rsidRPr="008D1D34">
        <w:rPr>
          <w:rFonts w:eastAsiaTheme="majorEastAsia"/>
        </w:rPr>
        <w:t>Definitions of additional super population used to assess the effectiveness of JSA 2012 for the new entrant job seekers compared with JSA 2009</w:t>
      </w:r>
      <w:bookmarkEnd w:id="739"/>
    </w:p>
    <w:tbl>
      <w:tblPr>
        <w:tblStyle w:val="TableGrid7"/>
        <w:tblW w:w="0" w:type="auto"/>
        <w:tblInd w:w="250" w:type="dxa"/>
        <w:tblLook w:val="04A0" w:firstRow="1" w:lastRow="0" w:firstColumn="1" w:lastColumn="0" w:noHBand="0" w:noVBand="1"/>
      </w:tblPr>
      <w:tblGrid>
        <w:gridCol w:w="2533"/>
        <w:gridCol w:w="3230"/>
      </w:tblGrid>
      <w:tr w:rsidR="00EF15CB" w:rsidRPr="003C1317" w14:paraId="7C7FDF10" w14:textId="77777777" w:rsidTr="00EF15CB">
        <w:trPr>
          <w:cantSplit/>
          <w:trHeight w:hRule="exact" w:val="397"/>
          <w:tblHeader/>
        </w:trPr>
        <w:tc>
          <w:tcPr>
            <w:tcW w:w="2533" w:type="dxa"/>
            <w:tcBorders>
              <w:top w:val="nil"/>
              <w:left w:val="nil"/>
              <w:bottom w:val="nil"/>
              <w:right w:val="nil"/>
            </w:tcBorders>
            <w:shd w:val="clear" w:color="auto" w:fill="1E3D6B"/>
            <w:vAlign w:val="center"/>
          </w:tcPr>
          <w:p w14:paraId="6DAA973F" w14:textId="77777777" w:rsidR="00EF15CB" w:rsidRPr="003C1317" w:rsidRDefault="00EF15CB" w:rsidP="00E73668">
            <w:pPr>
              <w:keepNext/>
              <w:keepLines/>
              <w:rPr>
                <w:b/>
                <w:color w:val="FFFFFF" w:themeColor="background2"/>
                <w:sz w:val="20"/>
                <w:szCs w:val="20"/>
              </w:rPr>
            </w:pPr>
            <w:bookmarkStart w:id="740" w:name="ColumnTitle_b12"/>
            <w:bookmarkEnd w:id="740"/>
            <w:r w:rsidRPr="003C1317">
              <w:rPr>
                <w:b/>
                <w:color w:val="FFFFFF" w:themeColor="background2"/>
                <w:sz w:val="20"/>
                <w:szCs w:val="20"/>
              </w:rPr>
              <w:t>Period</w:t>
            </w:r>
          </w:p>
        </w:tc>
        <w:tc>
          <w:tcPr>
            <w:tcW w:w="3230" w:type="dxa"/>
            <w:tcBorders>
              <w:top w:val="nil"/>
              <w:left w:val="nil"/>
              <w:bottom w:val="nil"/>
              <w:right w:val="nil"/>
            </w:tcBorders>
            <w:shd w:val="clear" w:color="auto" w:fill="1E3D6B"/>
            <w:vAlign w:val="center"/>
          </w:tcPr>
          <w:p w14:paraId="44794CB0" w14:textId="77777777" w:rsidR="00EF15CB" w:rsidRPr="003C1317" w:rsidRDefault="00EF15CB" w:rsidP="00E73668">
            <w:pPr>
              <w:keepNext/>
              <w:jc w:val="center"/>
              <w:rPr>
                <w:b/>
                <w:color w:val="FFFFFF" w:themeColor="background2"/>
                <w:sz w:val="20"/>
                <w:szCs w:val="20"/>
              </w:rPr>
            </w:pPr>
            <w:r>
              <w:rPr>
                <w:b/>
                <w:color w:val="FFFFFF" w:themeColor="background2"/>
                <w:sz w:val="20"/>
                <w:szCs w:val="20"/>
              </w:rPr>
              <w:t>Definitions</w:t>
            </w:r>
          </w:p>
        </w:tc>
      </w:tr>
      <w:tr w:rsidR="00E73668" w:rsidRPr="00E73668" w14:paraId="43B1795F" w14:textId="77777777" w:rsidTr="00EF15CB">
        <w:trPr>
          <w:cantSplit/>
          <w:trHeight w:hRule="exact" w:val="397"/>
        </w:trPr>
        <w:tc>
          <w:tcPr>
            <w:tcW w:w="2533" w:type="dxa"/>
            <w:tcBorders>
              <w:top w:val="nil"/>
              <w:left w:val="nil"/>
              <w:bottom w:val="nil"/>
              <w:right w:val="nil"/>
            </w:tcBorders>
            <w:vAlign w:val="center"/>
            <w:hideMark/>
          </w:tcPr>
          <w:p w14:paraId="509D74ED" w14:textId="77777777" w:rsidR="00E73668" w:rsidRPr="00E73668" w:rsidRDefault="00E73668" w:rsidP="00E73668">
            <w:pPr>
              <w:keepNext/>
              <w:rPr>
                <w:sz w:val="20"/>
                <w:szCs w:val="20"/>
              </w:rPr>
            </w:pPr>
            <w:r w:rsidRPr="00E73668">
              <w:rPr>
                <w:sz w:val="20"/>
                <w:szCs w:val="20"/>
              </w:rPr>
              <w:t xml:space="preserve">Inflow interval </w:t>
            </w:r>
          </w:p>
        </w:tc>
        <w:tc>
          <w:tcPr>
            <w:tcW w:w="3230" w:type="dxa"/>
            <w:tcBorders>
              <w:top w:val="nil"/>
              <w:left w:val="nil"/>
              <w:bottom w:val="nil"/>
              <w:right w:val="nil"/>
            </w:tcBorders>
            <w:vAlign w:val="center"/>
            <w:hideMark/>
          </w:tcPr>
          <w:p w14:paraId="439B9BB6" w14:textId="77777777" w:rsidR="00E73668" w:rsidRPr="00E73668" w:rsidRDefault="00E73668" w:rsidP="00EF15CB">
            <w:pPr>
              <w:keepNext/>
              <w:rPr>
                <w:sz w:val="20"/>
              </w:rPr>
            </w:pPr>
            <w:r w:rsidRPr="00E73668">
              <w:rPr>
                <w:sz w:val="20"/>
              </w:rPr>
              <w:t>1 July 2009 to 31 December 2013</w:t>
            </w:r>
          </w:p>
        </w:tc>
      </w:tr>
      <w:tr w:rsidR="00E73668" w:rsidRPr="00E73668" w14:paraId="01B25A93" w14:textId="77777777" w:rsidTr="00EF15CB">
        <w:trPr>
          <w:cantSplit/>
          <w:trHeight w:hRule="exact" w:val="397"/>
        </w:trPr>
        <w:tc>
          <w:tcPr>
            <w:tcW w:w="2533" w:type="dxa"/>
            <w:tcBorders>
              <w:top w:val="nil"/>
              <w:left w:val="nil"/>
              <w:bottom w:val="single" w:sz="4" w:space="0" w:color="auto"/>
              <w:right w:val="nil"/>
            </w:tcBorders>
            <w:shd w:val="clear" w:color="auto" w:fill="E5E5E5" w:themeFill="background1" w:themeFillTint="33"/>
            <w:vAlign w:val="center"/>
            <w:hideMark/>
          </w:tcPr>
          <w:p w14:paraId="0A8A0CB4" w14:textId="77777777" w:rsidR="00E73668" w:rsidRPr="00E73668" w:rsidRDefault="00E73668" w:rsidP="00E73668">
            <w:pPr>
              <w:keepNext/>
              <w:rPr>
                <w:sz w:val="20"/>
                <w:szCs w:val="20"/>
              </w:rPr>
            </w:pPr>
            <w:r w:rsidRPr="00E73668">
              <w:rPr>
                <w:sz w:val="20"/>
                <w:szCs w:val="20"/>
              </w:rPr>
              <w:t xml:space="preserve">Reference period </w:t>
            </w:r>
          </w:p>
        </w:tc>
        <w:tc>
          <w:tcPr>
            <w:tcW w:w="3230" w:type="dxa"/>
            <w:tcBorders>
              <w:top w:val="nil"/>
              <w:left w:val="nil"/>
              <w:bottom w:val="single" w:sz="4" w:space="0" w:color="auto"/>
              <w:right w:val="nil"/>
            </w:tcBorders>
            <w:shd w:val="clear" w:color="auto" w:fill="E5E5E5" w:themeFill="background1" w:themeFillTint="33"/>
            <w:vAlign w:val="center"/>
            <w:hideMark/>
          </w:tcPr>
          <w:p w14:paraId="6D160B09" w14:textId="77777777" w:rsidR="00E73668" w:rsidRPr="00E73668" w:rsidRDefault="00E73668" w:rsidP="00EF15CB">
            <w:pPr>
              <w:keepNext/>
              <w:rPr>
                <w:sz w:val="20"/>
              </w:rPr>
            </w:pPr>
            <w:r w:rsidRPr="00E73668">
              <w:rPr>
                <w:sz w:val="20"/>
              </w:rPr>
              <w:t xml:space="preserve">1 July 2009 to 31 December 2014 </w:t>
            </w:r>
          </w:p>
        </w:tc>
      </w:tr>
    </w:tbl>
    <w:p w14:paraId="32496815" w14:textId="77777777" w:rsidR="00E73668" w:rsidRPr="00E73668" w:rsidRDefault="00E73668" w:rsidP="00E46F61">
      <w:pPr>
        <w:spacing w:before="240"/>
      </w:pPr>
      <w:r w:rsidRPr="00E73668">
        <w:t>Two other</w:t>
      </w:r>
      <w:r w:rsidRPr="00E73668">
        <w:rPr>
          <w:rFonts w:cstheme="minorHAnsi"/>
        </w:rPr>
        <w:t xml:space="preserve"> inflow populations are used to compare </w:t>
      </w:r>
      <w:r w:rsidR="00230418">
        <w:rPr>
          <w:rFonts w:cstheme="minorHAnsi"/>
        </w:rPr>
        <w:t xml:space="preserve">appointment </w:t>
      </w:r>
      <w:r w:rsidRPr="00E73668">
        <w:rPr>
          <w:rFonts w:cstheme="minorHAnsi"/>
        </w:rPr>
        <w:t xml:space="preserve">attendance rates three months before and three months </w:t>
      </w:r>
      <w:r w:rsidR="00230418">
        <w:rPr>
          <w:rFonts w:cstheme="minorHAnsi"/>
        </w:rPr>
        <w:t xml:space="preserve">after implementation </w:t>
      </w:r>
      <w:r w:rsidRPr="00E73668">
        <w:rPr>
          <w:rFonts w:cstheme="minorHAnsi"/>
        </w:rPr>
        <w:t xml:space="preserve">to assess the impact of the </w:t>
      </w:r>
      <w:r w:rsidRPr="00E73668">
        <w:t>Strengthening the Job Seeker Compliance Framework Measure</w:t>
      </w:r>
      <w:r w:rsidR="008714FE">
        <w:t xml:space="preserve">. These populations comprised </w:t>
      </w:r>
      <w:r w:rsidRPr="00E73668">
        <w:t>all job seekers who entered employment ser</w:t>
      </w:r>
      <w:r w:rsidR="00FB7DA2">
        <w:t>vices during these periods (</w:t>
      </w:r>
      <w:r w:rsidRPr="00E73668">
        <w:t xml:space="preserve">Table </w:t>
      </w:r>
      <w:r w:rsidR="00056533" w:rsidRPr="00CC3369">
        <w:t>B1</w:t>
      </w:r>
      <w:r w:rsidRPr="00CC3369">
        <w:t>.3</w:t>
      </w:r>
      <w:r w:rsidRPr="00E73668">
        <w:t>).</w:t>
      </w:r>
    </w:p>
    <w:p w14:paraId="452ACDB0" w14:textId="77777777" w:rsidR="00E73668" w:rsidRPr="008D1D34" w:rsidRDefault="00E73668" w:rsidP="00C661D4">
      <w:pPr>
        <w:pStyle w:val="TableheadingforappendixA1"/>
        <w:rPr>
          <w:rFonts w:eastAsiaTheme="majorEastAsia"/>
        </w:rPr>
      </w:pPr>
      <w:bookmarkStart w:id="741" w:name="_Toc430765631"/>
      <w:bookmarkStart w:id="742" w:name="_Toc513129942"/>
      <w:r w:rsidRPr="008D1D34">
        <w:rPr>
          <w:rFonts w:eastAsiaTheme="majorEastAsia"/>
        </w:rPr>
        <w:t xml:space="preserve">Table </w:t>
      </w:r>
      <w:r w:rsidR="00056533" w:rsidRPr="008D1D34">
        <w:rPr>
          <w:rFonts w:eastAsiaTheme="majorEastAsia"/>
        </w:rPr>
        <w:t>B1</w:t>
      </w:r>
      <w:r w:rsidR="00FB7DA2">
        <w:rPr>
          <w:rFonts w:eastAsiaTheme="majorEastAsia"/>
        </w:rPr>
        <w:t xml:space="preserve">.3: </w:t>
      </w:r>
      <w:r w:rsidRPr="008D1D34">
        <w:rPr>
          <w:rFonts w:eastAsiaTheme="majorEastAsia"/>
        </w:rPr>
        <w:t>Definition of</w:t>
      </w:r>
      <w:r w:rsidR="00261D3D">
        <w:rPr>
          <w:rFonts w:eastAsiaTheme="majorEastAsia"/>
        </w:rPr>
        <w:t xml:space="preserve"> </w:t>
      </w:r>
      <w:r w:rsidR="008A3E42">
        <w:rPr>
          <w:rFonts w:eastAsiaTheme="majorEastAsia"/>
        </w:rPr>
        <w:t xml:space="preserve">Strengthening the </w:t>
      </w:r>
      <w:r w:rsidR="00261D3D">
        <w:rPr>
          <w:rFonts w:eastAsiaTheme="majorEastAsia"/>
        </w:rPr>
        <w:t>Job Seeker</w:t>
      </w:r>
      <w:r w:rsidRPr="008D1D34">
        <w:rPr>
          <w:rFonts w:eastAsiaTheme="majorEastAsia"/>
        </w:rPr>
        <w:t xml:space="preserve"> Compliance Framework study populations</w:t>
      </w:r>
      <w:bookmarkEnd w:id="741"/>
      <w:bookmarkEnd w:id="742"/>
    </w:p>
    <w:tbl>
      <w:tblPr>
        <w:tblStyle w:val="TableGrid7"/>
        <w:tblW w:w="0" w:type="auto"/>
        <w:tblInd w:w="250" w:type="dxa"/>
        <w:tblLook w:val="04A0" w:firstRow="1" w:lastRow="0" w:firstColumn="1" w:lastColumn="0" w:noHBand="0" w:noVBand="1"/>
      </w:tblPr>
      <w:tblGrid>
        <w:gridCol w:w="2470"/>
        <w:gridCol w:w="3154"/>
        <w:gridCol w:w="3153"/>
      </w:tblGrid>
      <w:tr w:rsidR="00E73668" w:rsidRPr="006A1F08" w14:paraId="542C718B" w14:textId="77777777" w:rsidTr="00EF15CB">
        <w:trPr>
          <w:cantSplit/>
          <w:trHeight w:hRule="exact" w:val="397"/>
          <w:tblHeader/>
        </w:trPr>
        <w:tc>
          <w:tcPr>
            <w:tcW w:w="2533" w:type="dxa"/>
            <w:tcBorders>
              <w:top w:val="single" w:sz="4" w:space="0" w:color="auto"/>
              <w:left w:val="nil"/>
              <w:bottom w:val="single" w:sz="4" w:space="0" w:color="auto"/>
              <w:right w:val="nil"/>
            </w:tcBorders>
            <w:shd w:val="clear" w:color="auto" w:fill="1E3D6B"/>
            <w:vAlign w:val="center"/>
          </w:tcPr>
          <w:p w14:paraId="1621C48A" w14:textId="77777777" w:rsidR="00E73668" w:rsidRPr="006A1F08" w:rsidRDefault="008364E8" w:rsidP="00E73668">
            <w:pPr>
              <w:keepNext/>
              <w:keepLines/>
              <w:rPr>
                <w:b/>
                <w:sz w:val="20"/>
                <w:szCs w:val="20"/>
              </w:rPr>
            </w:pPr>
            <w:bookmarkStart w:id="743" w:name="ColumnTitle_b13"/>
            <w:bookmarkEnd w:id="743"/>
            <w:r>
              <w:rPr>
                <w:b/>
                <w:sz w:val="20"/>
                <w:szCs w:val="20"/>
              </w:rPr>
              <w:t>Period</w:t>
            </w:r>
          </w:p>
        </w:tc>
        <w:tc>
          <w:tcPr>
            <w:tcW w:w="3230" w:type="dxa"/>
            <w:tcBorders>
              <w:top w:val="single" w:sz="4" w:space="0" w:color="auto"/>
              <w:left w:val="nil"/>
              <w:bottom w:val="single" w:sz="4" w:space="0" w:color="auto"/>
              <w:right w:val="nil"/>
            </w:tcBorders>
            <w:shd w:val="clear" w:color="auto" w:fill="1E3D6B"/>
            <w:vAlign w:val="center"/>
            <w:hideMark/>
          </w:tcPr>
          <w:p w14:paraId="287D8F51" w14:textId="77777777" w:rsidR="00E73668" w:rsidRPr="006A1F08" w:rsidRDefault="00E73668" w:rsidP="00E73668">
            <w:pPr>
              <w:jc w:val="center"/>
              <w:rPr>
                <w:sz w:val="20"/>
                <w:szCs w:val="20"/>
              </w:rPr>
            </w:pPr>
            <w:r w:rsidRPr="006A1F08">
              <w:rPr>
                <w:b/>
                <w:sz w:val="20"/>
                <w:szCs w:val="20"/>
              </w:rPr>
              <w:t>Pre-compliance period</w:t>
            </w:r>
          </w:p>
        </w:tc>
        <w:tc>
          <w:tcPr>
            <w:tcW w:w="3229" w:type="dxa"/>
            <w:tcBorders>
              <w:top w:val="single" w:sz="4" w:space="0" w:color="auto"/>
              <w:left w:val="nil"/>
              <w:bottom w:val="single" w:sz="4" w:space="0" w:color="auto"/>
              <w:right w:val="nil"/>
            </w:tcBorders>
            <w:shd w:val="clear" w:color="auto" w:fill="1E3D6B"/>
            <w:vAlign w:val="center"/>
            <w:hideMark/>
          </w:tcPr>
          <w:p w14:paraId="73EFDE34" w14:textId="77777777" w:rsidR="00E73668" w:rsidRPr="006A1F08" w:rsidRDefault="00E73668" w:rsidP="00E73668">
            <w:pPr>
              <w:jc w:val="center"/>
              <w:rPr>
                <w:sz w:val="20"/>
                <w:szCs w:val="20"/>
              </w:rPr>
            </w:pPr>
            <w:r w:rsidRPr="006A1F08">
              <w:rPr>
                <w:b/>
                <w:sz w:val="20"/>
                <w:szCs w:val="20"/>
              </w:rPr>
              <w:t>Post compliance period</w:t>
            </w:r>
          </w:p>
        </w:tc>
      </w:tr>
      <w:tr w:rsidR="00E73668" w:rsidRPr="00E73668" w14:paraId="542EA7B5" w14:textId="77777777" w:rsidTr="00EF15CB">
        <w:trPr>
          <w:cantSplit/>
          <w:trHeight w:hRule="exact" w:val="397"/>
        </w:trPr>
        <w:tc>
          <w:tcPr>
            <w:tcW w:w="2533" w:type="dxa"/>
            <w:tcBorders>
              <w:top w:val="nil"/>
              <w:left w:val="nil"/>
              <w:bottom w:val="single" w:sz="4" w:space="0" w:color="auto"/>
              <w:right w:val="nil"/>
            </w:tcBorders>
            <w:vAlign w:val="center"/>
            <w:hideMark/>
          </w:tcPr>
          <w:p w14:paraId="480CB6B0" w14:textId="77777777" w:rsidR="00E73668" w:rsidRPr="00E73668" w:rsidRDefault="00E73668" w:rsidP="00E73668">
            <w:pPr>
              <w:rPr>
                <w:sz w:val="20"/>
                <w:szCs w:val="20"/>
              </w:rPr>
            </w:pPr>
            <w:r w:rsidRPr="00E73668">
              <w:rPr>
                <w:sz w:val="20"/>
                <w:szCs w:val="20"/>
              </w:rPr>
              <w:t xml:space="preserve">Inflow interval </w:t>
            </w:r>
          </w:p>
        </w:tc>
        <w:tc>
          <w:tcPr>
            <w:tcW w:w="3230" w:type="dxa"/>
            <w:tcBorders>
              <w:top w:val="nil"/>
              <w:left w:val="nil"/>
              <w:bottom w:val="single" w:sz="4" w:space="0" w:color="auto"/>
              <w:right w:val="nil"/>
            </w:tcBorders>
            <w:vAlign w:val="center"/>
            <w:hideMark/>
          </w:tcPr>
          <w:p w14:paraId="2AC96BEF" w14:textId="77777777" w:rsidR="00E73668" w:rsidRPr="00E73668" w:rsidRDefault="00E73668" w:rsidP="00E73668">
            <w:pPr>
              <w:rPr>
                <w:sz w:val="20"/>
              </w:rPr>
            </w:pPr>
            <w:r w:rsidRPr="00E73668">
              <w:rPr>
                <w:sz w:val="20"/>
              </w:rPr>
              <w:t>1 January 2014 to 31 March 2014</w:t>
            </w:r>
          </w:p>
        </w:tc>
        <w:tc>
          <w:tcPr>
            <w:tcW w:w="3229" w:type="dxa"/>
            <w:tcBorders>
              <w:top w:val="nil"/>
              <w:left w:val="nil"/>
              <w:bottom w:val="single" w:sz="4" w:space="0" w:color="auto"/>
              <w:right w:val="nil"/>
            </w:tcBorders>
            <w:vAlign w:val="center"/>
            <w:hideMark/>
          </w:tcPr>
          <w:p w14:paraId="0C3E7C2E" w14:textId="77777777" w:rsidR="008364E8" w:rsidRPr="00E73668" w:rsidRDefault="008364E8" w:rsidP="00EF15CB">
            <w:pPr>
              <w:rPr>
                <w:sz w:val="20"/>
              </w:rPr>
            </w:pPr>
            <w:r>
              <w:rPr>
                <w:sz w:val="20"/>
              </w:rPr>
              <w:t>1 January 2015 to 31 March 2015</w:t>
            </w:r>
          </w:p>
        </w:tc>
      </w:tr>
    </w:tbl>
    <w:p w14:paraId="1CE4B109" w14:textId="77777777" w:rsidR="00E73668" w:rsidRPr="00E73668" w:rsidRDefault="00056533" w:rsidP="00FB6F35">
      <w:pPr>
        <w:pStyle w:val="Heading4"/>
      </w:pPr>
      <w:r>
        <w:t>B1.1.3</w:t>
      </w:r>
      <w:r>
        <w:tab/>
      </w:r>
      <w:r w:rsidR="00E73668" w:rsidRPr="00E73668">
        <w:t>Statistical techniques used</w:t>
      </w:r>
    </w:p>
    <w:p w14:paraId="0C68576D" w14:textId="77777777" w:rsidR="00E73668" w:rsidRDefault="00E73668" w:rsidP="008F388B">
      <w:r w:rsidRPr="00E73668">
        <w:t>Regression analyses are conducted where possible to</w:t>
      </w:r>
      <w:r w:rsidR="008F388B">
        <w:t xml:space="preserve"> account for differences in</w:t>
      </w:r>
      <w:r w:rsidRPr="00E73668">
        <w:t xml:space="preserve"> the demographic compositions of the two study populations and the macroeconomic conditions of the two time periods.</w:t>
      </w:r>
    </w:p>
    <w:p w14:paraId="19EEAA12" w14:textId="77777777" w:rsidR="00E73668" w:rsidRPr="00E73668" w:rsidRDefault="00E73668" w:rsidP="008F388B">
      <w:r w:rsidRPr="00E73668">
        <w:t xml:space="preserve">Propensity score matching is used in the compliance analysis to select job seekers from both of the </w:t>
      </w:r>
      <w:r w:rsidR="00261D3D">
        <w:t xml:space="preserve">Job Seeker </w:t>
      </w:r>
      <w:r w:rsidRPr="00E73668">
        <w:t>Compliance Framework study populations with similar characteristics</w:t>
      </w:r>
      <w:r w:rsidR="00056533">
        <w:t>.</w:t>
      </w:r>
      <w:r w:rsidR="00286FCC">
        <w:t xml:space="preserve"> See </w:t>
      </w:r>
      <w:r w:rsidR="003649E1">
        <w:t>s</w:t>
      </w:r>
      <w:r w:rsidR="00286FCC">
        <w:t xml:space="preserve">ection </w:t>
      </w:r>
      <w:r w:rsidR="008A3E42">
        <w:t>B</w:t>
      </w:r>
      <w:r w:rsidR="0040043C">
        <w:t>7</w:t>
      </w:r>
      <w:r w:rsidR="008A3E42">
        <w:t xml:space="preserve"> </w:t>
      </w:r>
      <w:r w:rsidR="00286FCC">
        <w:t>for further explanation of this statistical technique.</w:t>
      </w:r>
    </w:p>
    <w:p w14:paraId="73FF343A" w14:textId="77777777" w:rsidR="00E73668" w:rsidRPr="00E73668" w:rsidRDefault="00E73668" w:rsidP="008F388B">
      <w:r w:rsidRPr="00E73668">
        <w:t xml:space="preserve">Survival analysis techniques are used </w:t>
      </w:r>
      <w:r w:rsidR="005921FD">
        <w:t>in this report.</w:t>
      </w:r>
    </w:p>
    <w:p w14:paraId="20837E0C" w14:textId="77777777" w:rsidR="005E1B5A" w:rsidRDefault="005E1B5A" w:rsidP="00056533">
      <w:pPr>
        <w:pStyle w:val="Heading3"/>
      </w:pPr>
      <w:bookmarkStart w:id="744" w:name="_Toc22543186"/>
      <w:r>
        <w:t>B1.2</w:t>
      </w:r>
      <w:r>
        <w:tab/>
        <w:t xml:space="preserve">Long-term </w:t>
      </w:r>
      <w:r w:rsidR="003205F4">
        <w:t>u</w:t>
      </w:r>
      <w:r>
        <w:t>nemployed</w:t>
      </w:r>
      <w:bookmarkEnd w:id="744"/>
      <w:r>
        <w:t xml:space="preserve"> </w:t>
      </w:r>
    </w:p>
    <w:p w14:paraId="6F875844" w14:textId="77777777" w:rsidR="00E73668" w:rsidRPr="00E63D7C" w:rsidRDefault="00056533" w:rsidP="00FB6F35">
      <w:pPr>
        <w:pStyle w:val="Heading4"/>
      </w:pPr>
      <w:r w:rsidRPr="00E63D7C">
        <w:t>B1.2.1</w:t>
      </w:r>
      <w:r w:rsidRPr="00E63D7C">
        <w:tab/>
      </w:r>
      <w:r w:rsidR="00E73668" w:rsidRPr="00E63D7C">
        <w:t>Measures</w:t>
      </w:r>
    </w:p>
    <w:p w14:paraId="3652149A" w14:textId="77777777" w:rsidR="00E73668" w:rsidRPr="00E73668" w:rsidRDefault="00E73668" w:rsidP="00E73668">
      <w:r w:rsidRPr="00E73668">
        <w:t>This study is similar in structure to the effectiveness of JSA 2012 for new entrants</w:t>
      </w:r>
      <w:r w:rsidRPr="00C661D4">
        <w:t xml:space="preserve"> s</w:t>
      </w:r>
      <w:r w:rsidRPr="00E73668">
        <w:t>tudy. It excludes some less relevant measures, and includes additional measures more relevant to the study of the long-term unemployed. The measures used are:</w:t>
      </w:r>
    </w:p>
    <w:p w14:paraId="05ED2101" w14:textId="77777777" w:rsidR="00E73668" w:rsidRPr="00E73668" w:rsidRDefault="00E73668" w:rsidP="00961617">
      <w:pPr>
        <w:numPr>
          <w:ilvl w:val="0"/>
          <w:numId w:val="38"/>
        </w:numPr>
        <w:contextualSpacing/>
      </w:pPr>
      <w:r w:rsidRPr="00E73668">
        <w:t xml:space="preserve">rates of exit from service </w:t>
      </w:r>
    </w:p>
    <w:p w14:paraId="7517DAA8" w14:textId="77777777" w:rsidR="00E73668" w:rsidRPr="00E73668" w:rsidRDefault="00E73668" w:rsidP="00961617">
      <w:pPr>
        <w:numPr>
          <w:ilvl w:val="0"/>
          <w:numId w:val="38"/>
        </w:numPr>
        <w:contextualSpacing/>
      </w:pPr>
      <w:r w:rsidRPr="00E73668">
        <w:t xml:space="preserve">predicted vs actual rates of exit from services </w:t>
      </w:r>
    </w:p>
    <w:p w14:paraId="2F2C612F" w14:textId="77777777" w:rsidR="00E73668" w:rsidRPr="00E73668" w:rsidRDefault="00E73668" w:rsidP="00961617">
      <w:pPr>
        <w:numPr>
          <w:ilvl w:val="0"/>
          <w:numId w:val="38"/>
        </w:numPr>
        <w:contextualSpacing/>
      </w:pPr>
      <w:r w:rsidRPr="00E73668">
        <w:t>income support status 12 months after the snapshot date</w:t>
      </w:r>
    </w:p>
    <w:p w14:paraId="54990F2E" w14:textId="77777777" w:rsidR="00E73668" w:rsidRPr="00E73668" w:rsidRDefault="00E73668" w:rsidP="00961617">
      <w:pPr>
        <w:numPr>
          <w:ilvl w:val="0"/>
          <w:numId w:val="38"/>
        </w:numPr>
        <w:contextualSpacing/>
      </w:pPr>
      <w:r w:rsidRPr="00E73668">
        <w:t>employment and education outcome rates</w:t>
      </w:r>
    </w:p>
    <w:p w14:paraId="0EE84004" w14:textId="77777777" w:rsidR="00E73668" w:rsidRPr="00E73668" w:rsidRDefault="00E73668" w:rsidP="00961617">
      <w:pPr>
        <w:numPr>
          <w:ilvl w:val="0"/>
          <w:numId w:val="38"/>
        </w:numPr>
        <w:contextualSpacing/>
      </w:pPr>
      <w:r w:rsidRPr="00E73668">
        <w:t>sustainability of exit measure – income support status 12 months after exit from services</w:t>
      </w:r>
      <w:r w:rsidR="008A3E42">
        <w:t>.</w:t>
      </w:r>
    </w:p>
    <w:p w14:paraId="7EEC86EE" w14:textId="77777777" w:rsidR="00E73668" w:rsidRPr="00E73668" w:rsidRDefault="00E73668" w:rsidP="00FB6F35">
      <w:pPr>
        <w:pStyle w:val="Heading5"/>
      </w:pPr>
      <w:r w:rsidRPr="00E73668">
        <w:t xml:space="preserve">Exits from service </w:t>
      </w:r>
    </w:p>
    <w:p w14:paraId="5301627A" w14:textId="77777777" w:rsidR="00E73668" w:rsidRPr="00E73668" w:rsidRDefault="00E73668" w:rsidP="00E73668">
      <w:r w:rsidRPr="00E73668">
        <w:t xml:space="preserve">Rates of, and reasons for exit from employment services provide an indication of the efficiency and effectiveness of services. There is limited information on the reasons for exit for a substantial proportion of the LTU study populations; however information is available for job seekers who exit to Disability Employment Services (DES) or the Disability Support Payment (DSP). </w:t>
      </w:r>
    </w:p>
    <w:p w14:paraId="772BD2A3" w14:textId="77777777" w:rsidR="00E73668" w:rsidRPr="00E73668" w:rsidRDefault="00E73668" w:rsidP="00E73668">
      <w:r w:rsidRPr="00E73668">
        <w:t>Exit rates and exits to disability provide context to the other measures used in the report. In this report, they are not regressed to account for differences in job seeker characteristics or macroeconomic conditions between the LTU study populations.</w:t>
      </w:r>
    </w:p>
    <w:p w14:paraId="673C9BC4" w14:textId="77777777" w:rsidR="00E73668" w:rsidRPr="00E73668" w:rsidRDefault="00E73668" w:rsidP="00FB6F35">
      <w:pPr>
        <w:pStyle w:val="Heading5"/>
      </w:pPr>
      <w:bookmarkStart w:id="745" w:name="_Toc435107053"/>
      <w:r w:rsidRPr="00E73668">
        <w:t>Predicted exits from services</w:t>
      </w:r>
      <w:bookmarkEnd w:id="745"/>
      <w:r w:rsidRPr="00E73668">
        <w:t xml:space="preserve"> </w:t>
      </w:r>
    </w:p>
    <w:p w14:paraId="1B30A56B" w14:textId="77777777" w:rsidR="00E73668" w:rsidRPr="00E73668" w:rsidRDefault="00E73668" w:rsidP="00E73668">
      <w:r w:rsidRPr="00E73668">
        <w:t xml:space="preserve">This measure compares the </w:t>
      </w:r>
      <w:r w:rsidRPr="00C661D4">
        <w:t>actual</w:t>
      </w:r>
      <w:r w:rsidRPr="00E73668">
        <w:t xml:space="preserve"> number of exits experienced by a group of job seekers under one employment services model with a </w:t>
      </w:r>
      <w:r w:rsidRPr="00C661D4">
        <w:t>predicted</w:t>
      </w:r>
      <w:r w:rsidRPr="00E73668">
        <w:t xml:space="preserve"> number of exits the same job seekers might have experienced had they participated in a different employment services model. It is one way to answer the question</w:t>
      </w:r>
      <w:r w:rsidRPr="00C661D4">
        <w:t>: How would the JSA 2009 LTU study population participants have fared under the JSA 2012 employment services delivery model?</w:t>
      </w:r>
      <w:r w:rsidRPr="00E73668">
        <w:t xml:space="preserve"> Regression techniques are used to account for different job seeker characteristics between the cohorts and changing macroeconomic circumstances.</w:t>
      </w:r>
    </w:p>
    <w:p w14:paraId="3446ACF9" w14:textId="77777777" w:rsidR="00E73668" w:rsidRPr="00E73668" w:rsidRDefault="00E73668" w:rsidP="00E73668">
      <w:r w:rsidRPr="00E73668">
        <w:t>Job seekers exit services for a variety of reasons, including:</w:t>
      </w:r>
    </w:p>
    <w:p w14:paraId="1666A1A7" w14:textId="77777777" w:rsidR="00E73668" w:rsidRPr="00E73668" w:rsidRDefault="00E73668" w:rsidP="00961617">
      <w:pPr>
        <w:numPr>
          <w:ilvl w:val="0"/>
          <w:numId w:val="37"/>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entering employment</w:t>
      </w:r>
    </w:p>
    <w:p w14:paraId="7A544B4C" w14:textId="77777777" w:rsidR="00E73668" w:rsidRPr="00E73668" w:rsidRDefault="00E73668" w:rsidP="00961617">
      <w:pPr>
        <w:numPr>
          <w:ilvl w:val="0"/>
          <w:numId w:val="37"/>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taking up study or parenting responsibilities</w:t>
      </w:r>
    </w:p>
    <w:p w14:paraId="0ED99554" w14:textId="77777777" w:rsidR="00E73668" w:rsidRDefault="00E73668" w:rsidP="00961617">
      <w:pPr>
        <w:numPr>
          <w:ilvl w:val="0"/>
          <w:numId w:val="37"/>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entering DES or in receipt of DSP. Though this measure is an indicator of programme success (through exits from service) it does not directly reflect labour market outcomes</w:t>
      </w:r>
    </w:p>
    <w:p w14:paraId="4C426E96" w14:textId="77777777" w:rsidR="00DE6E91" w:rsidRPr="00E73668" w:rsidRDefault="00DE6E91" w:rsidP="00961617">
      <w:pPr>
        <w:numPr>
          <w:ilvl w:val="0"/>
          <w:numId w:val="37"/>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Pr>
          <w:rFonts w:ascii="Calibri" w:eastAsia="Univers" w:hAnsi="Calibri" w:cs="Garamond"/>
          <w:color w:val="000000"/>
          <w:lang w:val="en-GB" w:eastAsia="en-AU"/>
        </w:rPr>
        <w:t xml:space="preserve">becoming ineligible due to changes in partner circumstances, becoming partnered. </w:t>
      </w:r>
    </w:p>
    <w:p w14:paraId="2B995DBD" w14:textId="77777777" w:rsidR="00E73668" w:rsidRPr="00E73668" w:rsidRDefault="00E73668" w:rsidP="00FB6F35">
      <w:pPr>
        <w:pStyle w:val="Heading5"/>
      </w:pPr>
      <w:bookmarkStart w:id="746" w:name="_Toc435107054"/>
      <w:r w:rsidRPr="00E73668">
        <w:t>Income support status 12 months after the snapshot date</w:t>
      </w:r>
      <w:bookmarkEnd w:id="746"/>
      <w:r w:rsidRPr="00E73668">
        <w:tab/>
      </w:r>
    </w:p>
    <w:p w14:paraId="35ADEF0E" w14:textId="77777777" w:rsidR="00E73668" w:rsidRPr="00E73668" w:rsidRDefault="00E73668" w:rsidP="00E73668">
      <w:r w:rsidRPr="00E73668">
        <w:t xml:space="preserve">This measure assesses the effectiveness of employment services in assisting job seekers to reduce or move off income support. It captures a job seeker’s income support status 12 months after the snapshot date. It applies to all job seekers in the study population, irrespective of whether or not they exit services, and uses regression techniques to account for differences in characteristics between the job seeker cohorts and changing macroeconomic circumstances. </w:t>
      </w:r>
    </w:p>
    <w:p w14:paraId="6CB8CC4B" w14:textId="77777777" w:rsidR="00E73668" w:rsidRPr="00E73668" w:rsidRDefault="00E73668" w:rsidP="008364E8">
      <w:pPr>
        <w:keepNext/>
      </w:pPr>
      <w:r w:rsidRPr="00E73668">
        <w:t>In this measure, income support status may be:</w:t>
      </w:r>
    </w:p>
    <w:p w14:paraId="08823BC8" w14:textId="77777777" w:rsidR="00E73668" w:rsidRPr="00E73668" w:rsidRDefault="00E73668" w:rsidP="00961617">
      <w:pPr>
        <w:numPr>
          <w:ilvl w:val="0"/>
          <w:numId w:val="36"/>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fully off income support</w:t>
      </w:r>
    </w:p>
    <w:p w14:paraId="073C15BE" w14:textId="77777777" w:rsidR="00E73668" w:rsidRPr="00E73668" w:rsidRDefault="00E73668" w:rsidP="00961617">
      <w:pPr>
        <w:numPr>
          <w:ilvl w:val="0"/>
          <w:numId w:val="36"/>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 xml:space="preserve">receiving partial income support, or </w:t>
      </w:r>
    </w:p>
    <w:p w14:paraId="271AC256" w14:textId="77777777" w:rsidR="00E73668" w:rsidRPr="00E73668" w:rsidRDefault="00E73668" w:rsidP="00961617">
      <w:pPr>
        <w:numPr>
          <w:ilvl w:val="0"/>
          <w:numId w:val="36"/>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receiving full income support.</w:t>
      </w:r>
    </w:p>
    <w:p w14:paraId="489E2C71" w14:textId="77777777" w:rsidR="00E73668" w:rsidRPr="00E73668" w:rsidRDefault="00E73668" w:rsidP="00E73668">
      <w:r w:rsidRPr="00E73668">
        <w:t xml:space="preserve">This measure captures outcomes that are relevant for both full and partial capacity job seekers, in that it incorporates both off income support and on partial income support measures. Transfers between income support payment types are not captured using this measure. </w:t>
      </w:r>
    </w:p>
    <w:p w14:paraId="771BC4A9" w14:textId="77777777" w:rsidR="00E73668" w:rsidRPr="00E73668" w:rsidRDefault="00E73668" w:rsidP="00FB6F35">
      <w:pPr>
        <w:pStyle w:val="Heading5"/>
      </w:pPr>
      <w:r w:rsidRPr="00E73668">
        <w:t>Employment and education outcome rates</w:t>
      </w:r>
    </w:p>
    <w:p w14:paraId="7F5490E2" w14:textId="77777777" w:rsidR="00E73668" w:rsidRPr="00E73668" w:rsidRDefault="00E73668" w:rsidP="00E73668">
      <w:r w:rsidRPr="00E73668">
        <w:t xml:space="preserve">The Post Programme Monitoring (PPM) survey measures job seeker outcomes three months after leaving assistance and at various points during service. It provides information on actual employment and education outcomes for job seekers who do or do not exit services. </w:t>
      </w:r>
    </w:p>
    <w:p w14:paraId="6A473A4A" w14:textId="77777777" w:rsidR="00E73668" w:rsidRPr="00E73668" w:rsidRDefault="00E73668" w:rsidP="00E73668">
      <w:r w:rsidRPr="00E73668">
        <w:t xml:space="preserve">The PPM survey offers a more complete and consistent assessment of employment and education outcomes than any other measure, as under JSA, provider outcome payments for employment outcomes were only available for some job seekers and some job placements. However PPM results cannot be regressed and are therefore likely to be influenced by differences in the composition of the job seeker cohort and changes in macroeconomic circumstances between the two models. </w:t>
      </w:r>
    </w:p>
    <w:p w14:paraId="49942364" w14:textId="77777777" w:rsidR="00E73668" w:rsidRPr="00E73668" w:rsidRDefault="00E73668" w:rsidP="00FB6F35">
      <w:pPr>
        <w:pStyle w:val="Heading5"/>
      </w:pPr>
      <w:bookmarkStart w:id="747" w:name="_Toc435107056"/>
      <w:r w:rsidRPr="00E73668">
        <w:t>Sustainability of exit measure–income support status 12 months after exit from services</w:t>
      </w:r>
      <w:bookmarkEnd w:id="747"/>
    </w:p>
    <w:p w14:paraId="531E8C7E" w14:textId="77777777" w:rsidR="00E73668" w:rsidRPr="00E73668" w:rsidRDefault="00E73668" w:rsidP="00E73668">
      <w:r w:rsidRPr="00E73668">
        <w:t xml:space="preserve">This measure assesses the longer-term sustainability of outcomes associated with exits from services. Income support status (as described above) is measured 12 months after exit from employment services for those job seekers who exited during the study period. This measure gauges a job seeker’s reliance on the income support system sometime after exiting assistance, and can be regressed to account for differences in cohort composition and macroeconomic conditions. </w:t>
      </w:r>
    </w:p>
    <w:p w14:paraId="56009D75" w14:textId="77777777" w:rsidR="00E73668" w:rsidRPr="00E73668" w:rsidRDefault="00E73668" w:rsidP="00E73668">
      <w:r w:rsidRPr="00E73668">
        <w:t xml:space="preserve">Many job seekers will likely remain at least on partial income support after exiting employment services. They include those with partial capacity to participate in the labour force because of disability or caring responsibilities. Other job seekers may exit both services and the labour force but remain on income support, for instance on the DSP, the </w:t>
      </w:r>
      <w:r w:rsidR="008A3E42">
        <w:t>a</w:t>
      </w:r>
      <w:r w:rsidR="008A3E42" w:rsidRPr="00E73668">
        <w:t xml:space="preserve">ge </w:t>
      </w:r>
      <w:r w:rsidR="008A3E42">
        <w:t>p</w:t>
      </w:r>
      <w:r w:rsidR="008A3E42" w:rsidRPr="00E73668">
        <w:t xml:space="preserve">ension </w:t>
      </w:r>
      <w:r w:rsidRPr="00E73668">
        <w:t>or study-related payments. This measure therefore provides an indication of the effectiveness of employment services in reducing income support reliance.</w:t>
      </w:r>
    </w:p>
    <w:p w14:paraId="70A5699E" w14:textId="77777777" w:rsidR="00E73668" w:rsidRPr="00E73668" w:rsidRDefault="00056533" w:rsidP="00FB6F35">
      <w:pPr>
        <w:pStyle w:val="Heading4"/>
      </w:pPr>
      <w:r>
        <w:t>B1.2.2</w:t>
      </w:r>
      <w:r>
        <w:tab/>
      </w:r>
      <w:r w:rsidR="00E73668" w:rsidRPr="00E73668">
        <w:t>Study populations</w:t>
      </w:r>
    </w:p>
    <w:p w14:paraId="14D1C39E" w14:textId="77777777" w:rsidR="00E73668" w:rsidRPr="00E73668" w:rsidRDefault="00E73668" w:rsidP="00E73668">
      <w:r w:rsidRPr="00E73668">
        <w:t>Two LTU study populations are used to compare the effectiveness of the JSA 2009 and JSA 2012 programmes. Both study populations include all job seekers who:</w:t>
      </w:r>
    </w:p>
    <w:p w14:paraId="4E4A498F" w14:textId="77777777" w:rsidR="00E73668" w:rsidRPr="00E73668" w:rsidRDefault="00E73668"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were registered with employment services for one year or longer at the relevant snapshot date</w:t>
      </w:r>
    </w:p>
    <w:p w14:paraId="12F4BF87" w14:textId="77777777" w:rsidR="00E73668" w:rsidRPr="00E73668" w:rsidRDefault="00E73668"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had an active registration at the snapshot date</w:t>
      </w:r>
    </w:p>
    <w:p w14:paraId="526469F2" w14:textId="77777777" w:rsidR="007824E5" w:rsidRDefault="00E73668"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E73668">
        <w:rPr>
          <w:rFonts w:ascii="Calibri" w:eastAsia="Univers" w:hAnsi="Calibri" w:cs="Garamond"/>
          <w:color w:val="000000"/>
          <w:lang w:val="en-GB" w:eastAsia="en-AU"/>
        </w:rPr>
        <w:t>had commenced with JSA at the snapshot date</w:t>
      </w:r>
    </w:p>
    <w:p w14:paraId="714142D3" w14:textId="77777777" w:rsidR="007824E5" w:rsidRPr="007824E5" w:rsidRDefault="007824E5"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7824E5">
        <w:rPr>
          <w:rFonts w:ascii="Calibri" w:eastAsia="Univers" w:hAnsi="Calibri" w:cs="Garamond"/>
          <w:color w:val="000000"/>
          <w:lang w:val="en-GB" w:eastAsia="en-AU"/>
        </w:rPr>
        <w:t>had not lived in a community that was subsequently transferred to the RJCP.</w:t>
      </w:r>
    </w:p>
    <w:p w14:paraId="6FAD97A7" w14:textId="77777777" w:rsidR="00E73668" w:rsidRPr="007824E5" w:rsidRDefault="007824E5" w:rsidP="007824E5">
      <w:r w:rsidRPr="007824E5">
        <w:t>These job seekers are followed throughout the reference period until they leave employment services, or to the end of the reference period, whichever comes first</w:t>
      </w:r>
      <w:r w:rsidR="00750FA4" w:rsidRPr="007824E5">
        <w:t>.</w:t>
      </w:r>
    </w:p>
    <w:p w14:paraId="719FDD5F" w14:textId="77777777" w:rsidR="00E73668" w:rsidRPr="00E73668" w:rsidRDefault="00750FA4" w:rsidP="00E73668">
      <w:r w:rsidRPr="00E73668">
        <w:t>The snapshot</w:t>
      </w:r>
      <w:r w:rsidR="00E73668" w:rsidRPr="00E73668">
        <w:t xml:space="preserve"> dates were selected to coincide with the end of the inflow period for effectiveness of JSA 2012 for new entrants study (</w:t>
      </w:r>
      <w:r w:rsidR="00E73668" w:rsidRPr="00056533">
        <w:t xml:space="preserve">section </w:t>
      </w:r>
      <w:r w:rsidR="00056533" w:rsidRPr="00056533">
        <w:t>B1.1</w:t>
      </w:r>
      <w:r w:rsidR="00E73668" w:rsidRPr="00056533">
        <w:t>)</w:t>
      </w:r>
      <w:r w:rsidR="00E73668" w:rsidRPr="00E73668">
        <w:t xml:space="preserve"> </w:t>
      </w:r>
    </w:p>
    <w:p w14:paraId="1CFC8185" w14:textId="77777777" w:rsidR="00E73668" w:rsidRPr="008D1D34" w:rsidRDefault="00E73668" w:rsidP="00C661D4">
      <w:pPr>
        <w:pStyle w:val="TableheadingforappendixA1"/>
        <w:rPr>
          <w:rFonts w:eastAsiaTheme="majorEastAsia"/>
        </w:rPr>
      </w:pPr>
      <w:bookmarkStart w:id="748" w:name="_Toc513129943"/>
      <w:r w:rsidRPr="008D1D34">
        <w:rPr>
          <w:rFonts w:eastAsiaTheme="majorEastAsia"/>
        </w:rPr>
        <w:t xml:space="preserve">Table </w:t>
      </w:r>
      <w:r w:rsidR="00AA5E2E" w:rsidRPr="008D1D34">
        <w:rPr>
          <w:rFonts w:eastAsiaTheme="majorEastAsia"/>
        </w:rPr>
        <w:t>B1.4</w:t>
      </w:r>
      <w:r w:rsidR="00FB7DA2">
        <w:rPr>
          <w:rFonts w:eastAsiaTheme="majorEastAsia"/>
        </w:rPr>
        <w:t xml:space="preserve">: </w:t>
      </w:r>
      <w:r w:rsidRPr="008D1D34">
        <w:rPr>
          <w:rFonts w:eastAsiaTheme="majorEastAsia"/>
        </w:rPr>
        <w:t>Definitions of study populations used to assess the effecti</w:t>
      </w:r>
      <w:r w:rsidR="003D0397">
        <w:rPr>
          <w:rFonts w:eastAsiaTheme="majorEastAsia"/>
        </w:rPr>
        <w:t xml:space="preserve">veness of JSA 2012 for the LTU </w:t>
      </w:r>
      <w:r w:rsidRPr="008D1D34">
        <w:rPr>
          <w:rFonts w:eastAsiaTheme="majorEastAsia"/>
        </w:rPr>
        <w:t>job seekers in compared with JSA 2009</w:t>
      </w:r>
      <w:bookmarkEnd w:id="748"/>
    </w:p>
    <w:tbl>
      <w:tblPr>
        <w:tblStyle w:val="TableGrid8"/>
        <w:tblW w:w="822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977"/>
        <w:gridCol w:w="3119"/>
      </w:tblGrid>
      <w:tr w:rsidR="00E73668" w:rsidRPr="006A1F08" w14:paraId="2EC74DA4" w14:textId="77777777" w:rsidTr="00F32576">
        <w:trPr>
          <w:cantSplit/>
          <w:trHeight w:hRule="exact" w:val="397"/>
          <w:tblHeader/>
        </w:trPr>
        <w:tc>
          <w:tcPr>
            <w:tcW w:w="2126" w:type="dxa"/>
            <w:shd w:val="clear" w:color="auto" w:fill="1E3D6B"/>
            <w:vAlign w:val="center"/>
          </w:tcPr>
          <w:p w14:paraId="1E019679" w14:textId="77777777" w:rsidR="00E73668" w:rsidRPr="006A1F08" w:rsidRDefault="008364E8" w:rsidP="00E73668">
            <w:pPr>
              <w:keepNext/>
              <w:keepLines/>
              <w:rPr>
                <w:b/>
                <w:sz w:val="20"/>
                <w:szCs w:val="20"/>
              </w:rPr>
            </w:pPr>
            <w:bookmarkStart w:id="749" w:name="ColumnTitle_b14"/>
            <w:bookmarkEnd w:id="749"/>
            <w:r>
              <w:rPr>
                <w:b/>
                <w:sz w:val="20"/>
                <w:szCs w:val="20"/>
              </w:rPr>
              <w:t>Period</w:t>
            </w:r>
          </w:p>
        </w:tc>
        <w:tc>
          <w:tcPr>
            <w:tcW w:w="2977" w:type="dxa"/>
            <w:shd w:val="clear" w:color="auto" w:fill="1E3D6B"/>
            <w:vAlign w:val="center"/>
          </w:tcPr>
          <w:p w14:paraId="3DF65A8D" w14:textId="77777777" w:rsidR="00E73668" w:rsidRPr="006A1F08" w:rsidRDefault="00E73668" w:rsidP="00F32576">
            <w:pPr>
              <w:ind w:left="498"/>
              <w:rPr>
                <w:b/>
                <w:bCs/>
                <w:sz w:val="20"/>
                <w:szCs w:val="20"/>
              </w:rPr>
            </w:pPr>
            <w:r w:rsidRPr="006A1F08">
              <w:rPr>
                <w:b/>
                <w:bCs/>
                <w:sz w:val="20"/>
                <w:szCs w:val="20"/>
              </w:rPr>
              <w:t>JSA 2009</w:t>
            </w:r>
          </w:p>
        </w:tc>
        <w:tc>
          <w:tcPr>
            <w:tcW w:w="3119" w:type="dxa"/>
            <w:shd w:val="clear" w:color="auto" w:fill="1E3D6B"/>
            <w:vAlign w:val="center"/>
          </w:tcPr>
          <w:p w14:paraId="2EFCAEB6" w14:textId="77777777" w:rsidR="00E73668" w:rsidRPr="006A1F08" w:rsidRDefault="00E73668" w:rsidP="00F32576">
            <w:pPr>
              <w:ind w:left="498"/>
              <w:rPr>
                <w:b/>
                <w:bCs/>
                <w:sz w:val="20"/>
                <w:szCs w:val="20"/>
              </w:rPr>
            </w:pPr>
            <w:r w:rsidRPr="006A1F08">
              <w:rPr>
                <w:b/>
                <w:bCs/>
                <w:sz w:val="20"/>
                <w:szCs w:val="20"/>
              </w:rPr>
              <w:t>JSA 2012</w:t>
            </w:r>
          </w:p>
        </w:tc>
      </w:tr>
      <w:tr w:rsidR="00E73668" w:rsidRPr="00E73668" w14:paraId="5609ACC2" w14:textId="77777777" w:rsidTr="0064166F">
        <w:trPr>
          <w:cantSplit/>
          <w:trHeight w:hRule="exact" w:val="397"/>
        </w:trPr>
        <w:tc>
          <w:tcPr>
            <w:tcW w:w="2126" w:type="dxa"/>
            <w:vAlign w:val="center"/>
          </w:tcPr>
          <w:p w14:paraId="2EFA5808" w14:textId="77777777" w:rsidR="00E73668" w:rsidRPr="00E73668" w:rsidRDefault="00E73668" w:rsidP="00EF15CB">
            <w:pPr>
              <w:keepNext/>
              <w:keepLines/>
              <w:rPr>
                <w:sz w:val="20"/>
                <w:szCs w:val="20"/>
              </w:rPr>
            </w:pPr>
            <w:r w:rsidRPr="00E73668">
              <w:rPr>
                <w:sz w:val="20"/>
                <w:szCs w:val="20"/>
              </w:rPr>
              <w:t>Snapshot date</w:t>
            </w:r>
          </w:p>
        </w:tc>
        <w:tc>
          <w:tcPr>
            <w:tcW w:w="2977" w:type="dxa"/>
            <w:vAlign w:val="center"/>
          </w:tcPr>
          <w:p w14:paraId="5510015F" w14:textId="77777777" w:rsidR="00E73668" w:rsidRPr="00E73668" w:rsidRDefault="00E73668" w:rsidP="00EF15CB">
            <w:pPr>
              <w:rPr>
                <w:sz w:val="20"/>
                <w:szCs w:val="20"/>
              </w:rPr>
            </w:pPr>
            <w:r w:rsidRPr="00E73668">
              <w:rPr>
                <w:sz w:val="20"/>
                <w:szCs w:val="20"/>
              </w:rPr>
              <w:t>31 March 2010</w:t>
            </w:r>
          </w:p>
        </w:tc>
        <w:tc>
          <w:tcPr>
            <w:tcW w:w="3119" w:type="dxa"/>
            <w:vAlign w:val="center"/>
          </w:tcPr>
          <w:p w14:paraId="62118AE0" w14:textId="77777777" w:rsidR="00E73668" w:rsidRPr="00E73668" w:rsidRDefault="00E73668" w:rsidP="00F32576">
            <w:pPr>
              <w:ind w:left="146"/>
              <w:rPr>
                <w:sz w:val="20"/>
                <w:szCs w:val="20"/>
              </w:rPr>
            </w:pPr>
            <w:r w:rsidRPr="00E73668">
              <w:rPr>
                <w:sz w:val="20"/>
                <w:szCs w:val="20"/>
              </w:rPr>
              <w:t>31 March 2013</w:t>
            </w:r>
          </w:p>
        </w:tc>
      </w:tr>
      <w:tr w:rsidR="00E73668" w:rsidRPr="00E73668" w14:paraId="06D3E7F3" w14:textId="77777777" w:rsidTr="0064166F">
        <w:trPr>
          <w:cantSplit/>
          <w:trHeight w:hRule="exact" w:val="397"/>
        </w:trPr>
        <w:tc>
          <w:tcPr>
            <w:tcW w:w="2126" w:type="dxa"/>
            <w:tcBorders>
              <w:bottom w:val="single" w:sz="4" w:space="0" w:color="auto"/>
            </w:tcBorders>
            <w:shd w:val="clear" w:color="auto" w:fill="E5E5E5" w:themeFill="background1" w:themeFillTint="33"/>
            <w:vAlign w:val="center"/>
          </w:tcPr>
          <w:p w14:paraId="4C357235" w14:textId="77777777" w:rsidR="00E73668" w:rsidRPr="00E73668" w:rsidRDefault="00E73668" w:rsidP="00EF15CB">
            <w:pPr>
              <w:keepNext/>
              <w:keepLines/>
              <w:rPr>
                <w:sz w:val="20"/>
                <w:szCs w:val="20"/>
              </w:rPr>
            </w:pPr>
            <w:r w:rsidRPr="00E73668">
              <w:rPr>
                <w:sz w:val="20"/>
                <w:szCs w:val="20"/>
              </w:rPr>
              <w:t xml:space="preserve">Reference period </w:t>
            </w:r>
          </w:p>
        </w:tc>
        <w:tc>
          <w:tcPr>
            <w:tcW w:w="2977" w:type="dxa"/>
            <w:tcBorders>
              <w:bottom w:val="single" w:sz="4" w:space="0" w:color="auto"/>
            </w:tcBorders>
            <w:shd w:val="clear" w:color="auto" w:fill="E5E5E5" w:themeFill="background1" w:themeFillTint="33"/>
            <w:vAlign w:val="center"/>
          </w:tcPr>
          <w:p w14:paraId="396B2C07" w14:textId="77777777" w:rsidR="00E73668" w:rsidRPr="00E73668" w:rsidRDefault="00E73668" w:rsidP="00EF15CB">
            <w:pPr>
              <w:rPr>
                <w:sz w:val="20"/>
                <w:szCs w:val="20"/>
              </w:rPr>
            </w:pPr>
            <w:r w:rsidRPr="00E73668">
              <w:rPr>
                <w:sz w:val="20"/>
                <w:szCs w:val="20"/>
              </w:rPr>
              <w:t>31 March 2010 to 31 March 2011</w:t>
            </w:r>
          </w:p>
        </w:tc>
        <w:tc>
          <w:tcPr>
            <w:tcW w:w="3119" w:type="dxa"/>
            <w:tcBorders>
              <w:bottom w:val="single" w:sz="4" w:space="0" w:color="auto"/>
            </w:tcBorders>
            <w:shd w:val="clear" w:color="auto" w:fill="E5E5E5" w:themeFill="background1" w:themeFillTint="33"/>
            <w:vAlign w:val="center"/>
          </w:tcPr>
          <w:p w14:paraId="5F84DB0A" w14:textId="77777777" w:rsidR="00E73668" w:rsidRPr="00E73668" w:rsidRDefault="00E73668" w:rsidP="00EF15CB">
            <w:pPr>
              <w:ind w:left="145" w:right="-207"/>
              <w:rPr>
                <w:sz w:val="20"/>
                <w:szCs w:val="20"/>
              </w:rPr>
            </w:pPr>
            <w:r w:rsidRPr="00E73668">
              <w:rPr>
                <w:sz w:val="20"/>
                <w:szCs w:val="20"/>
              </w:rPr>
              <w:t>31 March 2013 to 31 March 2014</w:t>
            </w:r>
          </w:p>
        </w:tc>
      </w:tr>
    </w:tbl>
    <w:p w14:paraId="0A761C8A" w14:textId="77777777" w:rsidR="00E73668" w:rsidRPr="00E73668" w:rsidRDefault="00E73668" w:rsidP="00E46F61">
      <w:pPr>
        <w:spacing w:before="240"/>
      </w:pPr>
      <w:r w:rsidRPr="00E73668">
        <w:t>The reference period extends for 12 months to ensure that the JSA 2012 period ended before any possible effects were felt from the introduction of new policies and programmes (from 1 July 2014), such as Work for the Dole (WfD) 2014-15.</w:t>
      </w:r>
    </w:p>
    <w:p w14:paraId="703183A4" w14:textId="77777777" w:rsidR="00E73668" w:rsidRPr="00E73668" w:rsidRDefault="00E73668" w:rsidP="00E73668">
      <w:r w:rsidRPr="00E73668">
        <w:t xml:space="preserve">The method of assessing job seekers and assigning them to </w:t>
      </w:r>
      <w:r w:rsidR="00702C0E">
        <w:t>s</w:t>
      </w:r>
      <w:r w:rsidRPr="00E73668">
        <w:t xml:space="preserve">treams of service did not change substantially between JSA 2009 and 2012. Therefore, the </w:t>
      </w:r>
      <w:r w:rsidR="00702C0E">
        <w:t>s</w:t>
      </w:r>
      <w:r w:rsidRPr="00E73668">
        <w:t xml:space="preserve">tream in which job seekers were placed at the snapshot dates was used to classify job seekers. This study presents analyses based on the job seeker’s </w:t>
      </w:r>
      <w:r w:rsidR="00702C0E">
        <w:t>s</w:t>
      </w:r>
      <w:r w:rsidRPr="00E73668">
        <w:t>tream at the snapshot date.</w:t>
      </w:r>
    </w:p>
    <w:p w14:paraId="36941C8C" w14:textId="77777777" w:rsidR="00E73668" w:rsidRPr="00E73668" w:rsidRDefault="00327578" w:rsidP="00FB6F35">
      <w:pPr>
        <w:pStyle w:val="Heading4"/>
      </w:pPr>
      <w:r>
        <w:t>B1.2.3</w:t>
      </w:r>
      <w:r>
        <w:tab/>
      </w:r>
      <w:r w:rsidR="00E73668" w:rsidRPr="00E73668">
        <w:t>Statistical techniques used</w:t>
      </w:r>
    </w:p>
    <w:p w14:paraId="6B17E4F9" w14:textId="77777777" w:rsidR="00D978A8" w:rsidRPr="00D978A8" w:rsidRDefault="00E73668" w:rsidP="002841AB">
      <w:pPr>
        <w:rPr>
          <w:color w:val="000000" w:themeColor="text1"/>
        </w:rPr>
      </w:pPr>
      <w:r w:rsidRPr="0040043C">
        <w:t xml:space="preserve">Logistic regression </w:t>
      </w:r>
      <w:r w:rsidR="00327578" w:rsidRPr="0040043C">
        <w:t>is used in</w:t>
      </w:r>
      <w:r w:rsidR="002841AB" w:rsidRPr="0040043C">
        <w:t xml:space="preserve"> </w:t>
      </w:r>
      <w:r w:rsidR="00327578" w:rsidRPr="0040043C">
        <w:t>this study,</w:t>
      </w:r>
      <w:r w:rsidRPr="0040043C">
        <w:t xml:space="preserve"> </w:t>
      </w:r>
      <w:r w:rsidR="00327578" w:rsidRPr="0040043C">
        <w:t>f</w:t>
      </w:r>
      <w:r w:rsidRPr="0040043C">
        <w:t>or instance</w:t>
      </w:r>
      <w:r w:rsidR="00327578" w:rsidRPr="0040043C">
        <w:t xml:space="preserve"> to </w:t>
      </w:r>
      <w:r w:rsidRPr="0040043C">
        <w:t>determine the odds that job seekers exited services (measure 2)</w:t>
      </w:r>
      <w:r w:rsidR="00327578" w:rsidRPr="0040043C">
        <w:t>. M</w:t>
      </w:r>
      <w:r w:rsidRPr="0040043C">
        <w:t xml:space="preserve">ultinomial logistic regression is </w:t>
      </w:r>
      <w:r w:rsidR="002841AB" w:rsidRPr="0040043C">
        <w:t xml:space="preserve">also </w:t>
      </w:r>
      <w:r w:rsidRPr="0040043C">
        <w:t>used to determine the predicted probability for the income support status of job seekers 12 months after the snapshot date (measure 3) and the 12 months after exiting services (measure 5).</w:t>
      </w:r>
      <w:r w:rsidR="00D978A8">
        <w:t xml:space="preserve"> </w:t>
      </w:r>
      <w:r w:rsidR="00D978A8">
        <w:rPr>
          <w:color w:val="000000" w:themeColor="text1"/>
        </w:rPr>
        <w:t>Appendix B</w:t>
      </w:r>
      <w:r w:rsidR="003114A5">
        <w:rPr>
          <w:color w:val="000000" w:themeColor="text1"/>
        </w:rPr>
        <w:t>8</w:t>
      </w:r>
      <w:r w:rsidR="00D978A8">
        <w:rPr>
          <w:color w:val="000000" w:themeColor="text1"/>
        </w:rPr>
        <w:t xml:space="preserve"> provides information about these techniques.</w:t>
      </w:r>
    </w:p>
    <w:p w14:paraId="0EB8148E" w14:textId="77777777" w:rsidR="00BC46CC" w:rsidRDefault="00BC46CC" w:rsidP="00BC46CC">
      <w:pPr>
        <w:pStyle w:val="normalbody"/>
      </w:pPr>
      <w:r>
        <w:t xml:space="preserve">Detailed results of individual regressions are provided in Appendix A, </w:t>
      </w:r>
      <w:r w:rsidR="003649E1">
        <w:t>s</w:t>
      </w:r>
      <w:r>
        <w:t>ection A2. These tables show the independent variables used in each regression. Generally, the variables used were obtained from JSCI factors, such as age, gender, geographic location of residence, country of birth, highest level of education, ex-offender status, whether the job seeker identifies as Indigenous and if a job seeker with disability.</w:t>
      </w:r>
    </w:p>
    <w:p w14:paraId="46F934DF" w14:textId="77777777" w:rsidR="00BC46CC" w:rsidRDefault="00BC46CC" w:rsidP="00BC46CC">
      <w:pPr>
        <w:pStyle w:val="normalbody"/>
      </w:pPr>
      <w:r>
        <w:t>To control for macro-economic conditions a number of measures were explored, in both lagged and contemporaneous forms, including various ABS labour market status indicators such as unemployment and participation rates, measures based on Gross Domestic Product and the Department’s vacancy rate series. The macro-economic variable used in regressions was the ABS unadjusted unemployment rate (derived from the Labour Force Survey) by gender at the local labour market region (SA4), averaged over the period of analysis e.g. the job seeker’s time in services or the twelve months after exiting service.</w:t>
      </w:r>
    </w:p>
    <w:p w14:paraId="616E2C12" w14:textId="77777777" w:rsidR="00D978A8" w:rsidRDefault="00D978A8" w:rsidP="00BC46CC">
      <w:pPr>
        <w:pStyle w:val="normalbody"/>
      </w:pPr>
    </w:p>
    <w:p w14:paraId="5A9D9F4E" w14:textId="77777777" w:rsidR="00E63D7C" w:rsidRDefault="00E63D7C" w:rsidP="0040043C">
      <w:pPr>
        <w:pStyle w:val="Heading3"/>
      </w:pPr>
      <w:bookmarkStart w:id="750" w:name="_Toc22543187"/>
      <w:r>
        <w:t>B1.3</w:t>
      </w:r>
      <w:r>
        <w:tab/>
        <w:t>Cost Effectiveness</w:t>
      </w:r>
      <w:bookmarkEnd w:id="750"/>
      <w:r>
        <w:t xml:space="preserve"> </w:t>
      </w:r>
    </w:p>
    <w:p w14:paraId="6BF55B56" w14:textId="77777777" w:rsidR="00E63D7C" w:rsidRPr="00E63D7C" w:rsidRDefault="00E63D7C" w:rsidP="0040043C">
      <w:pPr>
        <w:pStyle w:val="Heading4"/>
      </w:pPr>
      <w:r w:rsidRPr="00E63D7C">
        <w:t>B1.2.1</w:t>
      </w:r>
      <w:r w:rsidRPr="00E63D7C">
        <w:tab/>
        <w:t>Measures</w:t>
      </w:r>
    </w:p>
    <w:p w14:paraId="3EBDD094" w14:textId="77777777" w:rsidR="00E63D7C" w:rsidRDefault="00E63D7C" w:rsidP="0040043C">
      <w:pPr>
        <w:pStyle w:val="Heading5"/>
        <w:keepNext/>
      </w:pPr>
      <w:r>
        <w:t>New entrant estimate</w:t>
      </w:r>
    </w:p>
    <w:p w14:paraId="12F78B9F" w14:textId="77777777" w:rsidR="00E63D7C" w:rsidRDefault="00E63D7C" w:rsidP="00E63D7C">
      <w:r>
        <w:t>The additional costs of income support for new entrant job seekers within 12 months of registration for JSA 2012 compared with JSA 2009 is determined based on:</w:t>
      </w:r>
    </w:p>
    <w:p w14:paraId="3DB3FBAC" w14:textId="2B06A5C4" w:rsidR="00E63D7C" w:rsidRDefault="00E63D7C" w:rsidP="00961617">
      <w:pPr>
        <w:pStyle w:val="ListParagraph"/>
        <w:numPr>
          <w:ilvl w:val="0"/>
          <w:numId w:val="45"/>
        </w:numPr>
      </w:pPr>
      <w:r>
        <w:t>the proportion of the study population that was on income support at commencement (84 per cent and 78 per cent for JSA 2012</w:t>
      </w:r>
      <w:r w:rsidR="004A1C7A">
        <w:t xml:space="preserve"> and JSA 2009 respectively) (</w:t>
      </w:r>
      <w:r>
        <w:t>Table A1.1)</w:t>
      </w:r>
    </w:p>
    <w:p w14:paraId="3CCAD611" w14:textId="77777777" w:rsidR="00E63D7C" w:rsidRDefault="00E63D7C" w:rsidP="00961617">
      <w:pPr>
        <w:pStyle w:val="ListParagraph"/>
        <w:numPr>
          <w:ilvl w:val="0"/>
          <w:numId w:val="45"/>
        </w:numPr>
      </w:pPr>
      <w:r>
        <w:t xml:space="preserve">the average partial rate of income support that this group was receiving </w:t>
      </w:r>
    </w:p>
    <w:p w14:paraId="4C83292F" w14:textId="77777777" w:rsidR="00E63D7C" w:rsidRDefault="00E63D7C" w:rsidP="00961617">
      <w:pPr>
        <w:pStyle w:val="ListParagraph"/>
        <w:numPr>
          <w:ilvl w:val="0"/>
          <w:numId w:val="45"/>
        </w:numPr>
      </w:pPr>
      <w:r>
        <w:t>the probability that they would still be on income support at 12 months (0.469 and 0.404 respectively, after controlling for differences in the study populations and macroeco</w:t>
      </w:r>
      <w:r w:rsidR="004A1C7A">
        <w:t>nomic conditions (</w:t>
      </w:r>
      <w:r w:rsidR="00AD6782">
        <w:t>Table A2.6</w:t>
      </w:r>
      <w:r>
        <w:t>)</w:t>
      </w:r>
    </w:p>
    <w:p w14:paraId="5ECFD633" w14:textId="77777777" w:rsidR="00E63D7C" w:rsidRDefault="00E63D7C" w:rsidP="00961617">
      <w:pPr>
        <w:pStyle w:val="ListParagraph"/>
        <w:numPr>
          <w:ilvl w:val="0"/>
          <w:numId w:val="45"/>
        </w:numPr>
      </w:pPr>
      <w:r>
        <w:t>the employment outcome rates achieved by this cohort (PPM results see Tables A2.</w:t>
      </w:r>
      <w:r w:rsidR="00AD6782">
        <w:t>3</w:t>
      </w:r>
      <w:r>
        <w:t xml:space="preserve"> and A2.</w:t>
      </w:r>
      <w:r w:rsidR="00AD6782">
        <w:t>4</w:t>
      </w:r>
      <w:r>
        <w:t>)</w:t>
      </w:r>
    </w:p>
    <w:p w14:paraId="66595278" w14:textId="77777777" w:rsidR="00E63D7C" w:rsidRDefault="00E63D7C" w:rsidP="00961617">
      <w:pPr>
        <w:pStyle w:val="ListParagraph"/>
        <w:numPr>
          <w:ilvl w:val="0"/>
          <w:numId w:val="45"/>
        </w:numPr>
      </w:pPr>
      <w:r>
        <w:t>a fortnightly income support rate of $402.70 (being the base rate for partnered YA(O) as at 1 July 2012).</w:t>
      </w:r>
    </w:p>
    <w:p w14:paraId="0BBDADAC" w14:textId="77777777" w:rsidR="00E63D7C" w:rsidRDefault="00E63D7C" w:rsidP="00E63D7C">
      <w:r>
        <w:t>This result is considered conservative in that it uses:</w:t>
      </w:r>
    </w:p>
    <w:p w14:paraId="06BC5E6E" w14:textId="5C0849E2" w:rsidR="00E63D7C" w:rsidRDefault="00E63D7C" w:rsidP="00961617">
      <w:pPr>
        <w:pStyle w:val="ListParagraph"/>
        <w:numPr>
          <w:ilvl w:val="0"/>
          <w:numId w:val="46"/>
        </w:numPr>
      </w:pPr>
      <w:r>
        <w:t>the lower base rate of NSA, YA(O), PPS,</w:t>
      </w:r>
      <w:r w:rsidR="001F21B2">
        <w:t xml:space="preserve"> </w:t>
      </w:r>
      <w:r>
        <w:t>PPP and DSP as at 1 July 2012</w:t>
      </w:r>
    </w:p>
    <w:p w14:paraId="037F4542" w14:textId="77777777" w:rsidR="00E63D7C" w:rsidRDefault="00E63D7C" w:rsidP="00961617">
      <w:pPr>
        <w:pStyle w:val="ListParagraph"/>
        <w:numPr>
          <w:ilvl w:val="0"/>
          <w:numId w:val="46"/>
        </w:numPr>
      </w:pPr>
      <w:r>
        <w:t>the average partial rate of income support that this group was receiving taken as the lower of the average rates at 12 months and at commencement – 86 per cent for JSA 2012 and 84 per cent for JSA 2009</w:t>
      </w:r>
    </w:p>
    <w:p w14:paraId="4490974B" w14:textId="77777777" w:rsidR="00E63D7C" w:rsidRDefault="00E63D7C" w:rsidP="00961617">
      <w:pPr>
        <w:pStyle w:val="ListParagraph"/>
        <w:numPr>
          <w:ilvl w:val="0"/>
          <w:numId w:val="46"/>
        </w:numPr>
      </w:pPr>
      <w:r>
        <w:t>ignores savings for those who were on income support at commencement but left income support at 12 months as it was shown that JSA 2012 took longer to exit such job seekers</w:t>
      </w:r>
    </w:p>
    <w:p w14:paraId="7A08F96D" w14:textId="77777777" w:rsidR="00E63D7C" w:rsidRPr="00C66ECE" w:rsidRDefault="00E63D7C" w:rsidP="00961617">
      <w:pPr>
        <w:pStyle w:val="ListParagraph"/>
        <w:numPr>
          <w:ilvl w:val="0"/>
          <w:numId w:val="46"/>
        </w:numPr>
      </w:pPr>
      <w:r>
        <w:t>ignores savings of those who were off income support at commencement and at 12 months – there were more of these under JSA 2009.</w:t>
      </w:r>
    </w:p>
    <w:p w14:paraId="4555BAFD" w14:textId="77777777" w:rsidR="00E63D7C" w:rsidRDefault="00E63D7C" w:rsidP="00FB6F35">
      <w:pPr>
        <w:pStyle w:val="Heading5"/>
      </w:pPr>
      <w:r>
        <w:t>LTU estimate</w:t>
      </w:r>
    </w:p>
    <w:p w14:paraId="04F36770" w14:textId="77777777" w:rsidR="00E63D7C" w:rsidRDefault="00E63D7C" w:rsidP="00E63D7C">
      <w:r>
        <w:t>The additional costs of income support for LTU job seekers within 12 months of the snapshot date for JSA 2012 compared with JSA 2009 is determined based on:</w:t>
      </w:r>
    </w:p>
    <w:p w14:paraId="08D3D9E8" w14:textId="77777777" w:rsidR="00E63D7C" w:rsidRDefault="00E63D7C" w:rsidP="00961617">
      <w:pPr>
        <w:pStyle w:val="ListParagraph"/>
        <w:numPr>
          <w:ilvl w:val="0"/>
          <w:numId w:val="45"/>
        </w:numPr>
      </w:pPr>
      <w:r>
        <w:t xml:space="preserve">the proportion of the study population that was on income support at the snapshot date (96 per cent and 95 per cent for JSA 2012 </w:t>
      </w:r>
      <w:r w:rsidR="004A1C7A">
        <w:t>and JSA 2009 respectively) (</w:t>
      </w:r>
      <w:r>
        <w:t>Table A1.2)</w:t>
      </w:r>
    </w:p>
    <w:p w14:paraId="425B3ED2" w14:textId="77777777" w:rsidR="00E63D7C" w:rsidRDefault="00E63D7C" w:rsidP="00961617">
      <w:pPr>
        <w:pStyle w:val="ListParagraph"/>
        <w:numPr>
          <w:ilvl w:val="0"/>
          <w:numId w:val="45"/>
        </w:numPr>
      </w:pPr>
      <w:r>
        <w:t xml:space="preserve">the average partial rate of income support that this group was receiving </w:t>
      </w:r>
    </w:p>
    <w:p w14:paraId="4185D834" w14:textId="77777777" w:rsidR="00E63D7C" w:rsidRDefault="00E63D7C" w:rsidP="00961617">
      <w:pPr>
        <w:pStyle w:val="ListParagraph"/>
        <w:numPr>
          <w:ilvl w:val="0"/>
          <w:numId w:val="45"/>
        </w:numPr>
      </w:pPr>
      <w:r>
        <w:t>the probability that they would still be on income support after 12 months (0.808 and 0.776 respectively, after controlling for differences in the study populations and macroeco</w:t>
      </w:r>
      <w:r w:rsidR="004A1C7A">
        <w:t>nomic conditions (</w:t>
      </w:r>
      <w:r w:rsidR="00AD6782">
        <w:t>Table A2.12</w:t>
      </w:r>
      <w:r>
        <w:t>)</w:t>
      </w:r>
    </w:p>
    <w:p w14:paraId="46C41B88" w14:textId="77777777" w:rsidR="00E63D7C" w:rsidRDefault="00E63D7C" w:rsidP="00961617">
      <w:pPr>
        <w:pStyle w:val="ListParagraph"/>
        <w:numPr>
          <w:ilvl w:val="0"/>
          <w:numId w:val="45"/>
        </w:numPr>
      </w:pPr>
      <w:r>
        <w:t>the employment outcome rates achieved by this cohort (PPM results see Tables A2.</w:t>
      </w:r>
      <w:r w:rsidR="00AD6782">
        <w:t>13</w:t>
      </w:r>
      <w:r>
        <w:t xml:space="preserve"> and A2.1</w:t>
      </w:r>
      <w:r w:rsidR="00AD6782">
        <w:t>4</w:t>
      </w:r>
      <w:r>
        <w:t>)</w:t>
      </w:r>
    </w:p>
    <w:p w14:paraId="6C6105AC" w14:textId="77777777" w:rsidR="00E63D7C" w:rsidRDefault="00E63D7C" w:rsidP="00961617">
      <w:pPr>
        <w:pStyle w:val="ListParagraph"/>
        <w:numPr>
          <w:ilvl w:val="0"/>
          <w:numId w:val="45"/>
        </w:numPr>
      </w:pPr>
      <w:r>
        <w:t>a fortnightly income support rate of $402.70 (being the base rate for partnered YA(O) as at 1 July 2012) for the majority of job seekers.</w:t>
      </w:r>
    </w:p>
    <w:p w14:paraId="61238C72" w14:textId="77777777" w:rsidR="00E63D7C" w:rsidRDefault="00E63D7C" w:rsidP="00E63D7C">
      <w:r>
        <w:t>This result is considered conservative in that it uses:</w:t>
      </w:r>
    </w:p>
    <w:p w14:paraId="2BCFE016" w14:textId="4D26546B" w:rsidR="00E63D7C" w:rsidRDefault="00E63D7C" w:rsidP="00961617">
      <w:pPr>
        <w:pStyle w:val="ListParagraph"/>
        <w:numPr>
          <w:ilvl w:val="0"/>
          <w:numId w:val="46"/>
        </w:numPr>
      </w:pPr>
      <w:r>
        <w:t>the lower base rate of NSA, YA(O), PPS,</w:t>
      </w:r>
      <w:r w:rsidR="001F21B2">
        <w:t xml:space="preserve"> </w:t>
      </w:r>
      <w:r>
        <w:t>PPP and DSP as at 1 July 2012</w:t>
      </w:r>
    </w:p>
    <w:p w14:paraId="60D46A55" w14:textId="77777777" w:rsidR="00E63D7C" w:rsidRDefault="00E63D7C" w:rsidP="00961617">
      <w:pPr>
        <w:pStyle w:val="ListParagraph"/>
        <w:numPr>
          <w:ilvl w:val="0"/>
          <w:numId w:val="46"/>
        </w:numPr>
      </w:pPr>
      <w:r>
        <w:t>the average partial rate of income support that this group was receiving taken as the lower of the average rates at 12 months and at the snapshot date – 86 per cent for JSA 2012 and 87 per cent for JSA 2009</w:t>
      </w:r>
    </w:p>
    <w:p w14:paraId="50001D83" w14:textId="77777777" w:rsidR="00E63D7C" w:rsidRDefault="00E63D7C" w:rsidP="00961617">
      <w:pPr>
        <w:pStyle w:val="ListParagraph"/>
        <w:numPr>
          <w:ilvl w:val="0"/>
          <w:numId w:val="46"/>
        </w:numPr>
      </w:pPr>
      <w:r>
        <w:t>ignores savings for those who were on income support at the snapshot date who but left income support after 12 months as it was shown that JSA 2012 took longer to exit such job seekers</w:t>
      </w:r>
    </w:p>
    <w:p w14:paraId="2F79143D" w14:textId="77777777" w:rsidR="00E63D7C" w:rsidRDefault="00E63D7C" w:rsidP="00961617">
      <w:pPr>
        <w:pStyle w:val="ListParagraph"/>
        <w:numPr>
          <w:ilvl w:val="0"/>
          <w:numId w:val="46"/>
        </w:numPr>
      </w:pPr>
      <w:r>
        <w:t>ignores savings of those who were off income support at the snapshot date and after 12 months (very small percentage)</w:t>
      </w:r>
    </w:p>
    <w:p w14:paraId="530A4658" w14:textId="77777777" w:rsidR="00E63D7C" w:rsidRPr="00C66ECE" w:rsidRDefault="00E63D7C" w:rsidP="00961617">
      <w:pPr>
        <w:pStyle w:val="ListParagraph"/>
        <w:numPr>
          <w:ilvl w:val="0"/>
          <w:numId w:val="46"/>
        </w:numPr>
      </w:pPr>
      <w:r>
        <w:t xml:space="preserve">conservatively accounts for the larger rate of exit to DSP under JSA 2009 than JSA 2012 by assuming that these exits all occurred far earlier in JSA 2009 than JSA 2012, and thereby allocates higher costs to the JSA 2009 result (using DSP fortnightly rate of $524 – the partnered base rate at 1 July 2012 rather than the fortnightly rate of $402.70 used for all other income support </w:t>
      </w:r>
      <w:r w:rsidR="00750FA4">
        <w:t>calculations</w:t>
      </w:r>
      <w:r w:rsidR="00AD6782">
        <w:t>)</w:t>
      </w:r>
      <w:r w:rsidR="00585672">
        <w:t xml:space="preserve"> </w:t>
      </w:r>
      <w:r>
        <w:t>(Table A2.</w:t>
      </w:r>
      <w:r w:rsidR="00585672">
        <w:t>9</w:t>
      </w:r>
      <w:r>
        <w:t>)</w:t>
      </w:r>
      <w:r w:rsidR="00AD6782">
        <w:t>.</w:t>
      </w:r>
    </w:p>
    <w:p w14:paraId="4C39842C" w14:textId="77777777" w:rsidR="003205F4" w:rsidRDefault="003205F4">
      <w:pPr>
        <w:rPr>
          <w:rFonts w:ascii="Calibri" w:eastAsiaTheme="majorEastAsia" w:hAnsi="Calibri" w:cstheme="majorBidi"/>
          <w:b/>
          <w:bCs/>
          <w:sz w:val="28"/>
          <w:szCs w:val="26"/>
        </w:rPr>
      </w:pPr>
      <w:r>
        <w:br w:type="page"/>
      </w:r>
    </w:p>
    <w:p w14:paraId="55905C88" w14:textId="77777777" w:rsidR="00BC4DAE" w:rsidRDefault="005E1B5A" w:rsidP="00BC4DAE">
      <w:pPr>
        <w:pStyle w:val="Heading2"/>
      </w:pPr>
      <w:bookmarkStart w:id="751" w:name="_Toc450919360"/>
      <w:bookmarkStart w:id="752" w:name="_Toc22543188"/>
      <w:r>
        <w:t>B2</w:t>
      </w:r>
      <w:r w:rsidR="00BC4DAE">
        <w:tab/>
        <w:t>Measuring the effect of Stream 1 changes</w:t>
      </w:r>
      <w:bookmarkEnd w:id="751"/>
      <w:bookmarkEnd w:id="752"/>
      <w:r w:rsidR="00BC4DAE">
        <w:t xml:space="preserve"> </w:t>
      </w:r>
    </w:p>
    <w:p w14:paraId="1E3AB15D" w14:textId="77777777" w:rsidR="00DC0CF6" w:rsidRDefault="00DC0CF6" w:rsidP="00FB6F35">
      <w:pPr>
        <w:pStyle w:val="Heading3"/>
      </w:pPr>
      <w:bookmarkStart w:id="753" w:name="_Toc22543189"/>
      <w:bookmarkStart w:id="754" w:name="_Toc430765582"/>
      <w:r>
        <w:t>B2.1</w:t>
      </w:r>
      <w:r>
        <w:tab/>
        <w:t>Measures</w:t>
      </w:r>
      <w:bookmarkEnd w:id="753"/>
    </w:p>
    <w:p w14:paraId="4CB2FC19" w14:textId="77777777" w:rsidR="00DC0CF6" w:rsidRPr="00CB3D34" w:rsidRDefault="00DC0CF6" w:rsidP="00DC0CF6">
      <w:pPr>
        <w:rPr>
          <w:rFonts w:eastAsiaTheme="majorEastAsia"/>
        </w:rPr>
      </w:pPr>
      <w:r w:rsidRPr="00CB3D34">
        <w:rPr>
          <w:rFonts w:eastAsiaTheme="majorEastAsia"/>
        </w:rPr>
        <w:t xml:space="preserve">The following indicators are used to assess </w:t>
      </w:r>
      <w:r>
        <w:t>the impact and effectiveness of all the changes that impacted new entrant Stream 1 job seekers</w:t>
      </w:r>
      <w:r w:rsidRPr="00CB3D34">
        <w:rPr>
          <w:rFonts w:eastAsiaTheme="majorEastAsia"/>
        </w:rPr>
        <w:t>:</w:t>
      </w:r>
    </w:p>
    <w:p w14:paraId="6A3D596F" w14:textId="77777777" w:rsidR="00AD3F72" w:rsidRDefault="00DC0CF6" w:rsidP="00AD3F72">
      <w:pPr>
        <w:pStyle w:val="Heading4"/>
        <w:rPr>
          <w:lang w:val="en-GB"/>
        </w:rPr>
      </w:pPr>
      <w:r w:rsidRPr="00CB3D34">
        <w:rPr>
          <w:lang w:val="en-GB"/>
        </w:rPr>
        <w:t>Employment and education outcome rates</w:t>
      </w:r>
    </w:p>
    <w:p w14:paraId="097E3795" w14:textId="1ACC043F" w:rsidR="00DC0CF6" w:rsidRPr="00CB3D34" w:rsidRDefault="00DC0CF6" w:rsidP="00E46F61">
      <w:pPr>
        <w:suppressAutoHyphens/>
        <w:autoSpaceDE w:val="0"/>
        <w:autoSpaceDN w:val="0"/>
        <w:adjustRightInd w:val="0"/>
        <w:spacing w:after="120"/>
        <w:textAlignment w:val="center"/>
        <w:rPr>
          <w:rFonts w:eastAsiaTheme="majorEastAsia" w:cs="Garamond"/>
          <w:color w:val="000000"/>
          <w:lang w:val="en-GB"/>
        </w:rPr>
      </w:pPr>
      <w:r w:rsidRPr="00CB3D34">
        <w:rPr>
          <w:rFonts w:eastAsiaTheme="majorEastAsia" w:cs="Garamond"/>
          <w:color w:val="000000"/>
          <w:lang w:val="en-GB"/>
        </w:rPr>
        <w:t xml:space="preserve">These outcome rates are measured by the Post Programme Monitoring Survey (PPM). They are estimates of employment and education outcome rates for the study populations in their first year of assistance in JSA. The outcomes of job seekers who </w:t>
      </w:r>
      <w:r w:rsidRPr="00CB3D34">
        <w:rPr>
          <w:rFonts w:eastAsiaTheme="majorEastAsia" w:cs="Garamond"/>
          <w:color w:val="000000"/>
          <w:u w:val="single"/>
          <w:lang w:val="en-GB"/>
        </w:rPr>
        <w:t>remained</w:t>
      </w:r>
      <w:r w:rsidRPr="00CB3D34">
        <w:rPr>
          <w:rFonts w:eastAsiaTheme="majorEastAsia" w:cs="Garamond"/>
          <w:color w:val="000000"/>
          <w:lang w:val="en-GB"/>
        </w:rPr>
        <w:t xml:space="preserve"> in assistance for 12 months without exiting are measured three months after they reached the 12</w:t>
      </w:r>
      <w:r w:rsidR="0075543B">
        <w:rPr>
          <w:rFonts w:eastAsiaTheme="majorEastAsia" w:cs="Garamond"/>
          <w:color w:val="000000"/>
          <w:lang w:val="en-GB"/>
        </w:rPr>
        <w:t>-</w:t>
      </w:r>
      <w:r w:rsidRPr="00CB3D34">
        <w:rPr>
          <w:rFonts w:eastAsiaTheme="majorEastAsia" w:cs="Garamond"/>
          <w:color w:val="000000"/>
          <w:lang w:val="en-GB"/>
        </w:rPr>
        <w:t xml:space="preserve">month assistance point, while the outcomes of job seekers who </w:t>
      </w:r>
      <w:r w:rsidRPr="00CB3D34">
        <w:rPr>
          <w:rFonts w:eastAsiaTheme="majorEastAsia" w:cs="Garamond"/>
          <w:color w:val="000000"/>
          <w:u w:val="single"/>
          <w:lang w:val="en-GB"/>
        </w:rPr>
        <w:t>exited</w:t>
      </w:r>
      <w:r w:rsidRPr="00CB3D34">
        <w:rPr>
          <w:rFonts w:eastAsiaTheme="majorEastAsia" w:cs="Garamond"/>
          <w:color w:val="000000"/>
          <w:lang w:val="en-GB"/>
        </w:rPr>
        <w:t xml:space="preserve"> within the first 12 months of assistance are measured three months after they exited.</w:t>
      </w:r>
      <w:r>
        <w:rPr>
          <w:rFonts w:eastAsiaTheme="majorEastAsia" w:cs="Garamond"/>
          <w:color w:val="000000"/>
          <w:sz w:val="18"/>
          <w:vertAlign w:val="superscript"/>
          <w:lang w:val="en-GB"/>
        </w:rPr>
        <w:t xml:space="preserve"> </w:t>
      </w:r>
      <w:r w:rsidRPr="008C0CE9">
        <w:t>Differences in both macroeconomic conditions and the composition of the study populations limit the conclusions which can be drawn from this analysis</w:t>
      </w:r>
      <w:r w:rsidRPr="00562390">
        <w:t>.</w:t>
      </w:r>
    </w:p>
    <w:p w14:paraId="2B6D4E8F" w14:textId="77777777" w:rsidR="00AD3F72" w:rsidRDefault="00DC0CF6" w:rsidP="00AD3F72">
      <w:pPr>
        <w:pStyle w:val="Heading4"/>
        <w:rPr>
          <w:lang w:val="en-GB"/>
        </w:rPr>
      </w:pPr>
      <w:r w:rsidRPr="00CB3D34">
        <w:rPr>
          <w:lang w:val="en-GB"/>
        </w:rPr>
        <w:t>Time in service</w:t>
      </w:r>
    </w:p>
    <w:p w14:paraId="4A270334" w14:textId="25DB12C7" w:rsidR="00DC0CF6" w:rsidRPr="00CB3D34" w:rsidRDefault="00DC0CF6" w:rsidP="00E46F61">
      <w:pPr>
        <w:suppressAutoHyphens/>
        <w:autoSpaceDE w:val="0"/>
        <w:autoSpaceDN w:val="0"/>
        <w:adjustRightInd w:val="0"/>
        <w:spacing w:after="120"/>
        <w:textAlignment w:val="center"/>
        <w:rPr>
          <w:rFonts w:ascii="Arial" w:eastAsiaTheme="majorEastAsia" w:hAnsi="Arial" w:cs="Arial"/>
          <w:color w:val="000000"/>
          <w:sz w:val="18"/>
          <w:szCs w:val="18"/>
          <w:lang w:val="en-GB"/>
        </w:rPr>
      </w:pPr>
      <w:r w:rsidRPr="00CB3D34">
        <w:rPr>
          <w:rFonts w:eastAsiaTheme="majorEastAsia" w:cs="Garamond"/>
          <w:color w:val="000000"/>
          <w:lang w:val="en-GB"/>
        </w:rPr>
        <w:t>Measured in days, this indicator considers how long job seekers were receiving employment services from commencement to exit from service.</w:t>
      </w:r>
      <w:r>
        <w:rPr>
          <w:rFonts w:eastAsiaTheme="majorEastAsia" w:cs="Garamond"/>
          <w:color w:val="000000"/>
          <w:lang w:val="en-GB"/>
        </w:rPr>
        <w:t xml:space="preserve"> </w:t>
      </w:r>
      <w:r w:rsidRPr="008C0CE9">
        <w:t>Days that job seekers were suspended from service are excluded from th</w:t>
      </w:r>
      <w:r>
        <w:t>is</w:t>
      </w:r>
      <w:r w:rsidRPr="008C0CE9">
        <w:t xml:space="preserve"> time in service measure.</w:t>
      </w:r>
      <w:r w:rsidRPr="00CB3D34">
        <w:rPr>
          <w:rFonts w:eastAsiaTheme="majorEastAsia" w:cs="Garamond"/>
          <w:color w:val="000000"/>
          <w:lang w:val="en-GB"/>
        </w:rPr>
        <w:t xml:space="preserve"> </w:t>
      </w:r>
    </w:p>
    <w:p w14:paraId="55B2C4F2" w14:textId="77777777" w:rsidR="00DC0CF6" w:rsidRPr="00257047" w:rsidRDefault="00DC0CF6" w:rsidP="00AD3F72">
      <w:pPr>
        <w:pStyle w:val="Heading4"/>
      </w:pPr>
      <w:r w:rsidRPr="00257047">
        <w:t>Off income support rates</w:t>
      </w:r>
    </w:p>
    <w:p w14:paraId="463A56B3" w14:textId="77777777" w:rsidR="00DC0CF6" w:rsidRDefault="00DC0CF6" w:rsidP="00E46F61">
      <w:pPr>
        <w:suppressAutoHyphens/>
        <w:autoSpaceDE w:val="0"/>
        <w:autoSpaceDN w:val="0"/>
        <w:adjustRightInd w:val="0"/>
        <w:spacing w:after="120"/>
        <w:textAlignment w:val="center"/>
        <w:rPr>
          <w:rFonts w:eastAsiaTheme="majorEastAsia" w:cs="Garamond"/>
          <w:b/>
          <w:i/>
          <w:color w:val="000000"/>
          <w:lang w:val="en-GB"/>
        </w:rPr>
      </w:pPr>
      <w:r w:rsidRPr="00CB3D34">
        <w:rPr>
          <w:rFonts w:eastAsiaTheme="majorEastAsia" w:cs="Garamond"/>
          <w:color w:val="000000"/>
          <w:lang w:val="en-GB"/>
        </w:rPr>
        <w:t>Off income support rates are the proportion of job seekers who were on income support when they commenced in employment services and were not on any type of income support 12 calendar months later</w:t>
      </w:r>
      <w:r>
        <w:rPr>
          <w:rFonts w:eastAsiaTheme="majorEastAsia" w:cs="Garamond"/>
          <w:color w:val="000000"/>
          <w:lang w:val="en-GB"/>
        </w:rPr>
        <w:t>.</w:t>
      </w:r>
    </w:p>
    <w:p w14:paraId="471CE240" w14:textId="77777777" w:rsidR="00DC0CF6" w:rsidRDefault="00DC0CF6" w:rsidP="00AD3F72">
      <w:pPr>
        <w:pStyle w:val="Heading4"/>
        <w:rPr>
          <w:lang w:val="en-GB"/>
        </w:rPr>
      </w:pPr>
      <w:r>
        <w:rPr>
          <w:lang w:val="en-GB"/>
        </w:rPr>
        <w:t>Cost effectiveness</w:t>
      </w:r>
    </w:p>
    <w:p w14:paraId="3A208732" w14:textId="77777777" w:rsidR="00DC0CF6" w:rsidRPr="006D0E3C" w:rsidRDefault="00DC0CF6" w:rsidP="00E46F61">
      <w:pPr>
        <w:suppressAutoHyphens/>
        <w:autoSpaceDE w:val="0"/>
        <w:autoSpaceDN w:val="0"/>
        <w:adjustRightInd w:val="0"/>
        <w:spacing w:after="120"/>
        <w:textAlignment w:val="center"/>
        <w:rPr>
          <w:rFonts w:eastAsiaTheme="majorEastAsia" w:cs="Garamond"/>
          <w:color w:val="000000"/>
          <w:lang w:val="en-GB"/>
        </w:rPr>
      </w:pPr>
      <w:r>
        <w:rPr>
          <w:rFonts w:eastAsiaTheme="majorEastAsia" w:cs="Garamond"/>
          <w:color w:val="000000"/>
          <w:lang w:val="en-GB"/>
        </w:rPr>
        <w:t xml:space="preserve">The </w:t>
      </w:r>
      <w:r w:rsidRPr="006D0E3C">
        <w:rPr>
          <w:rFonts w:eastAsiaTheme="majorEastAsia" w:cs="Garamond"/>
          <w:color w:val="000000"/>
          <w:lang w:val="en-GB"/>
        </w:rPr>
        <w:t>relative cost-effectiveness between the JSA 2009 and JSA 2012 Stream 1 service delivery models</w:t>
      </w:r>
      <w:r>
        <w:rPr>
          <w:rFonts w:eastAsiaTheme="majorEastAsia" w:cs="Garamond"/>
          <w:color w:val="000000"/>
          <w:lang w:val="en-GB"/>
        </w:rPr>
        <w:t xml:space="preserve"> is assessed using a</w:t>
      </w:r>
      <w:r w:rsidRPr="006D0E3C">
        <w:rPr>
          <w:rFonts w:eastAsiaTheme="majorEastAsia" w:cs="Garamond"/>
          <w:color w:val="000000"/>
          <w:lang w:val="en-GB"/>
        </w:rPr>
        <w:t xml:space="preserve"> simple measure of cost-effectiveness:</w:t>
      </w:r>
    </w:p>
    <w:p w14:paraId="0CEF49C1" w14:textId="77777777" w:rsidR="00DC0CF6" w:rsidRPr="00AD3F72" w:rsidRDefault="00DC0CF6" w:rsidP="00DC0CF6">
      <w:pPr>
        <w:suppressAutoHyphens/>
        <w:autoSpaceDE w:val="0"/>
        <w:autoSpaceDN w:val="0"/>
        <w:adjustRightInd w:val="0"/>
        <w:spacing w:after="0"/>
        <w:jc w:val="center"/>
        <w:textAlignment w:val="center"/>
        <w:rPr>
          <w:rFonts w:eastAsiaTheme="majorEastAsia" w:cs="Garamond"/>
          <w:b/>
          <w:color w:val="000000"/>
          <w:u w:val="single"/>
          <w:lang w:val="en-GB"/>
        </w:rPr>
      </w:pPr>
      <w:r w:rsidRPr="00AD3F72">
        <w:rPr>
          <w:rFonts w:eastAsiaTheme="majorEastAsia" w:cs="Garamond"/>
          <w:b/>
          <w:color w:val="000000"/>
          <w:u w:val="single"/>
          <w:lang w:val="en-GB"/>
        </w:rPr>
        <w:t>Average costs per job seeker in 12 calendar months from commencement in service</w:t>
      </w:r>
    </w:p>
    <w:p w14:paraId="52ED3A9E" w14:textId="77777777" w:rsidR="00DC0CF6" w:rsidRPr="00AD3F72" w:rsidRDefault="00DC0CF6" w:rsidP="00DC0CF6">
      <w:pPr>
        <w:suppressAutoHyphens/>
        <w:autoSpaceDE w:val="0"/>
        <w:autoSpaceDN w:val="0"/>
        <w:adjustRightInd w:val="0"/>
        <w:spacing w:after="120"/>
        <w:jc w:val="center"/>
        <w:textAlignment w:val="center"/>
        <w:rPr>
          <w:rFonts w:eastAsiaTheme="majorEastAsia" w:cs="Garamond"/>
          <w:b/>
          <w:color w:val="000000"/>
          <w:lang w:val="en-GB"/>
        </w:rPr>
      </w:pPr>
      <w:r w:rsidRPr="00AD3F72">
        <w:rPr>
          <w:rFonts w:eastAsiaTheme="majorEastAsia" w:cs="Garamond"/>
          <w:b/>
          <w:color w:val="000000"/>
          <w:lang w:val="en-GB"/>
        </w:rPr>
        <w:t>Median days in service</w:t>
      </w:r>
    </w:p>
    <w:p w14:paraId="71EEA081" w14:textId="77777777" w:rsidR="00DC0CF6" w:rsidRDefault="00DC0CF6" w:rsidP="00FB6F35">
      <w:pPr>
        <w:pStyle w:val="Heading3"/>
      </w:pPr>
      <w:bookmarkStart w:id="755" w:name="_Toc22543190"/>
      <w:r>
        <w:t>B2.2</w:t>
      </w:r>
      <w:r>
        <w:tab/>
        <w:t>Study populations</w:t>
      </w:r>
      <w:bookmarkEnd w:id="755"/>
    </w:p>
    <w:p w14:paraId="6A905E49" w14:textId="77777777" w:rsidR="00DC0CF6" w:rsidRDefault="00DC0CF6" w:rsidP="00DC0CF6">
      <w:r>
        <w:t xml:space="preserve">To assess the impact of changes in the service delivery model for the most job ready job seekers two study groups were used described in </w:t>
      </w:r>
      <w:r w:rsidRPr="00257047">
        <w:t xml:space="preserve">Table </w:t>
      </w:r>
      <w:r w:rsidR="008A3E42" w:rsidRPr="00257047">
        <w:t>B1</w:t>
      </w:r>
      <w:r w:rsidRPr="00257047">
        <w:t>.1</w:t>
      </w:r>
      <w:r>
        <w:t xml:space="preserve">. These job seekers are subsets of the new entrant study populations described in </w:t>
      </w:r>
      <w:r w:rsidR="003649E1">
        <w:t>s</w:t>
      </w:r>
      <w:r w:rsidRPr="00585672">
        <w:t xml:space="preserve">ection </w:t>
      </w:r>
      <w:r w:rsidR="00585672" w:rsidRPr="00585672">
        <w:t>B1.1.2</w:t>
      </w:r>
      <w:r w:rsidRPr="00585672">
        <w:t>.</w:t>
      </w:r>
    </w:p>
    <w:p w14:paraId="3F7E063D" w14:textId="77777777" w:rsidR="00D978A8" w:rsidRDefault="00D978A8" w:rsidP="00D978A8">
      <w:pPr>
        <w:spacing w:before="240"/>
        <w:rPr>
          <w:rFonts w:eastAsiaTheme="majorEastAsia"/>
        </w:rPr>
      </w:pPr>
      <w:r>
        <w:rPr>
          <w:rFonts w:eastAsiaTheme="majorEastAsia"/>
        </w:rPr>
        <w:t xml:space="preserve">There are 99,260 job seekers in the JSA 2009 study population and 123,139 in the JSA 2012 study population. </w:t>
      </w:r>
      <w:r>
        <w:t xml:space="preserve">While the proportion of the overall new entrant study </w:t>
      </w:r>
      <w:r w:rsidRPr="00585672">
        <w:t>population (as described in section B1.1.2)</w:t>
      </w:r>
      <w:r>
        <w:t xml:space="preserve"> that commenced in Stream 1 service was lower in JSA 2012 than JSA 2009 (decreasing from 74.2 per cent to 71.6 per cent) as the size of the new entrant study population was greater in JSA 2012 as a consequence of macroeconomic conditions prevalent at the time, the number of job seekers in the JSA 2012 Stream 1 servicing study population is 24 per cent greater than for JSA 2009.</w:t>
      </w:r>
    </w:p>
    <w:p w14:paraId="60C22554" w14:textId="77777777" w:rsidR="00DC0CF6" w:rsidRPr="00DA202C" w:rsidRDefault="00DC0CF6" w:rsidP="00AD3F72">
      <w:pPr>
        <w:pStyle w:val="TableheadingforappendixA1"/>
      </w:pPr>
      <w:bookmarkStart w:id="756" w:name="_Toc513129944"/>
      <w:r w:rsidRPr="00E46F61">
        <w:t xml:space="preserve">Table </w:t>
      </w:r>
      <w:r w:rsidR="000A170D" w:rsidRPr="00E46F61">
        <w:t>B2</w:t>
      </w:r>
      <w:r w:rsidRPr="00E46F61">
        <w:t>.1:</w:t>
      </w:r>
      <w:r w:rsidR="00BA1102">
        <w:t xml:space="preserve"> </w:t>
      </w:r>
      <w:r w:rsidRPr="00DA202C">
        <w:t xml:space="preserve">Time periods used for derivation of the 2009 and 2012 </w:t>
      </w:r>
      <w:r>
        <w:t xml:space="preserve">Stream 1 servicing </w:t>
      </w:r>
      <w:r w:rsidRPr="00DA202C">
        <w:t>study populations</w:t>
      </w:r>
      <w:bookmarkEnd w:id="756"/>
    </w:p>
    <w:tbl>
      <w:tblPr>
        <w:tblStyle w:val="TableGrid"/>
        <w:tblW w:w="8992" w:type="dxa"/>
        <w:tblInd w:w="250" w:type="dxa"/>
        <w:tblLook w:val="04A0" w:firstRow="1" w:lastRow="0" w:firstColumn="1" w:lastColumn="0" w:noHBand="0" w:noVBand="1"/>
      </w:tblPr>
      <w:tblGrid>
        <w:gridCol w:w="2533"/>
        <w:gridCol w:w="3230"/>
        <w:gridCol w:w="3229"/>
      </w:tblGrid>
      <w:tr w:rsidR="00DC0CF6" w14:paraId="70A35ADB" w14:textId="77777777" w:rsidTr="00EE47DD">
        <w:trPr>
          <w:cantSplit/>
          <w:tblHeader/>
        </w:trPr>
        <w:tc>
          <w:tcPr>
            <w:tcW w:w="2533" w:type="dxa"/>
            <w:tcBorders>
              <w:top w:val="single" w:sz="4" w:space="0" w:color="auto"/>
              <w:left w:val="nil"/>
              <w:bottom w:val="single" w:sz="4" w:space="0" w:color="auto"/>
              <w:right w:val="nil"/>
            </w:tcBorders>
            <w:shd w:val="clear" w:color="auto" w:fill="002060"/>
          </w:tcPr>
          <w:p w14:paraId="131EF92F" w14:textId="77777777" w:rsidR="00DC0CF6" w:rsidRDefault="0064166F" w:rsidP="00F61D3B">
            <w:pPr>
              <w:keepNext/>
              <w:keepLines/>
              <w:rPr>
                <w:b/>
              </w:rPr>
            </w:pPr>
            <w:bookmarkStart w:id="757" w:name="ColumnTitle_b21"/>
            <w:bookmarkEnd w:id="757"/>
            <w:r>
              <w:rPr>
                <w:b/>
              </w:rPr>
              <w:t>Period</w:t>
            </w:r>
          </w:p>
        </w:tc>
        <w:tc>
          <w:tcPr>
            <w:tcW w:w="3230" w:type="dxa"/>
            <w:tcBorders>
              <w:top w:val="single" w:sz="4" w:space="0" w:color="auto"/>
              <w:left w:val="nil"/>
              <w:bottom w:val="single" w:sz="4" w:space="0" w:color="auto"/>
              <w:right w:val="nil"/>
            </w:tcBorders>
            <w:shd w:val="clear" w:color="auto" w:fill="002060"/>
            <w:hideMark/>
          </w:tcPr>
          <w:p w14:paraId="264A489B" w14:textId="77777777" w:rsidR="00DC0CF6" w:rsidRPr="004B6131" w:rsidRDefault="001622A0" w:rsidP="001622A0">
            <w:pPr>
              <w:keepNext/>
              <w:jc w:val="center"/>
            </w:pPr>
            <w:r>
              <w:rPr>
                <w:b/>
              </w:rPr>
              <w:t xml:space="preserve">JSA </w:t>
            </w:r>
            <w:r w:rsidR="00DC0CF6" w:rsidRPr="00D06C54">
              <w:rPr>
                <w:b/>
              </w:rPr>
              <w:t xml:space="preserve">2009 </w:t>
            </w:r>
          </w:p>
        </w:tc>
        <w:tc>
          <w:tcPr>
            <w:tcW w:w="3229" w:type="dxa"/>
            <w:tcBorders>
              <w:top w:val="single" w:sz="4" w:space="0" w:color="auto"/>
              <w:left w:val="nil"/>
              <w:bottom w:val="single" w:sz="4" w:space="0" w:color="auto"/>
              <w:right w:val="nil"/>
            </w:tcBorders>
            <w:shd w:val="clear" w:color="auto" w:fill="002060"/>
            <w:hideMark/>
          </w:tcPr>
          <w:p w14:paraId="0AD0358F" w14:textId="77777777" w:rsidR="00DC0CF6" w:rsidRPr="00C051F4" w:rsidRDefault="001622A0" w:rsidP="001622A0">
            <w:pPr>
              <w:keepNext/>
              <w:jc w:val="center"/>
            </w:pPr>
            <w:r>
              <w:rPr>
                <w:b/>
              </w:rPr>
              <w:t>JSA 2012</w:t>
            </w:r>
          </w:p>
        </w:tc>
      </w:tr>
      <w:tr w:rsidR="00DC0CF6" w:rsidRPr="001622A0" w14:paraId="5F42F64E" w14:textId="77777777" w:rsidTr="00EE47DD">
        <w:trPr>
          <w:cantSplit/>
          <w:trHeight w:hRule="exact" w:val="397"/>
        </w:trPr>
        <w:tc>
          <w:tcPr>
            <w:tcW w:w="2533" w:type="dxa"/>
            <w:tcBorders>
              <w:top w:val="nil"/>
              <w:left w:val="nil"/>
              <w:bottom w:val="nil"/>
              <w:right w:val="nil"/>
            </w:tcBorders>
            <w:vAlign w:val="center"/>
            <w:hideMark/>
          </w:tcPr>
          <w:p w14:paraId="45E16E55" w14:textId="77777777" w:rsidR="00DC0CF6" w:rsidRPr="001622A0" w:rsidRDefault="00DC0CF6" w:rsidP="001622A0">
            <w:pPr>
              <w:pStyle w:val="Tablefirstcolumn"/>
              <w:keepNext/>
            </w:pPr>
            <w:r w:rsidRPr="001622A0">
              <w:t xml:space="preserve">Inflow interval </w:t>
            </w:r>
          </w:p>
        </w:tc>
        <w:tc>
          <w:tcPr>
            <w:tcW w:w="3230" w:type="dxa"/>
            <w:tcBorders>
              <w:top w:val="nil"/>
              <w:left w:val="nil"/>
              <w:bottom w:val="nil"/>
              <w:right w:val="nil"/>
            </w:tcBorders>
            <w:vAlign w:val="center"/>
            <w:hideMark/>
          </w:tcPr>
          <w:p w14:paraId="74528692" w14:textId="77777777" w:rsidR="00DC0CF6" w:rsidRPr="001622A0" w:rsidRDefault="00DC0CF6" w:rsidP="001622A0">
            <w:pPr>
              <w:pStyle w:val="Tableheadingleftaligned"/>
              <w:keepNext/>
              <w:rPr>
                <w:b w:val="0"/>
              </w:rPr>
            </w:pPr>
            <w:r w:rsidRPr="001622A0">
              <w:rPr>
                <w:b w:val="0"/>
              </w:rPr>
              <w:t>1 October 2009 to 31 March 2010</w:t>
            </w:r>
          </w:p>
        </w:tc>
        <w:tc>
          <w:tcPr>
            <w:tcW w:w="3229" w:type="dxa"/>
            <w:tcBorders>
              <w:top w:val="nil"/>
              <w:left w:val="nil"/>
              <w:bottom w:val="nil"/>
              <w:right w:val="nil"/>
            </w:tcBorders>
            <w:vAlign w:val="center"/>
            <w:hideMark/>
          </w:tcPr>
          <w:p w14:paraId="1D018B1F" w14:textId="77777777" w:rsidR="00DC0CF6" w:rsidRPr="001622A0" w:rsidRDefault="00DC0CF6" w:rsidP="001622A0">
            <w:pPr>
              <w:pStyle w:val="Tableheadingleftaligned"/>
              <w:keepNext/>
              <w:rPr>
                <w:b w:val="0"/>
              </w:rPr>
            </w:pPr>
            <w:r w:rsidRPr="001622A0">
              <w:rPr>
                <w:b w:val="0"/>
              </w:rPr>
              <w:t>1 October 2012 to 31 March 2013</w:t>
            </w:r>
          </w:p>
        </w:tc>
      </w:tr>
      <w:tr w:rsidR="00DC0CF6" w:rsidRPr="001622A0" w14:paraId="692AB98C" w14:textId="77777777" w:rsidTr="00EE47DD">
        <w:trPr>
          <w:cantSplit/>
          <w:trHeight w:hRule="exact" w:val="397"/>
        </w:trPr>
        <w:tc>
          <w:tcPr>
            <w:tcW w:w="2533" w:type="dxa"/>
            <w:tcBorders>
              <w:top w:val="nil"/>
              <w:left w:val="nil"/>
              <w:bottom w:val="nil"/>
              <w:right w:val="nil"/>
            </w:tcBorders>
            <w:shd w:val="clear" w:color="auto" w:fill="E5E5E5" w:themeFill="background1" w:themeFillTint="33"/>
            <w:vAlign w:val="center"/>
          </w:tcPr>
          <w:p w14:paraId="26F00A92" w14:textId="77777777" w:rsidR="00DC0CF6" w:rsidRPr="001622A0" w:rsidRDefault="00DC0CF6" w:rsidP="001622A0">
            <w:pPr>
              <w:pStyle w:val="Tablefirstcolumn"/>
              <w:keepNext/>
            </w:pPr>
            <w:r w:rsidRPr="001622A0">
              <w:t>Reference period</w:t>
            </w:r>
          </w:p>
        </w:tc>
        <w:tc>
          <w:tcPr>
            <w:tcW w:w="3230" w:type="dxa"/>
            <w:tcBorders>
              <w:top w:val="nil"/>
              <w:left w:val="nil"/>
              <w:bottom w:val="nil"/>
              <w:right w:val="nil"/>
            </w:tcBorders>
            <w:shd w:val="clear" w:color="auto" w:fill="E5E5E5" w:themeFill="background1" w:themeFillTint="33"/>
            <w:vAlign w:val="center"/>
          </w:tcPr>
          <w:p w14:paraId="61D23CA8" w14:textId="77777777" w:rsidR="00DC0CF6" w:rsidRPr="001622A0" w:rsidRDefault="00DC0CF6" w:rsidP="001622A0">
            <w:pPr>
              <w:pStyle w:val="Tableheadingleftaligned"/>
              <w:keepNext/>
              <w:rPr>
                <w:b w:val="0"/>
              </w:rPr>
            </w:pPr>
            <w:r w:rsidRPr="001622A0">
              <w:rPr>
                <w:b w:val="0"/>
              </w:rPr>
              <w:t>1 October 2009 – 31 March 2011</w:t>
            </w:r>
          </w:p>
        </w:tc>
        <w:tc>
          <w:tcPr>
            <w:tcW w:w="3229" w:type="dxa"/>
            <w:tcBorders>
              <w:top w:val="nil"/>
              <w:left w:val="nil"/>
              <w:bottom w:val="nil"/>
              <w:right w:val="nil"/>
            </w:tcBorders>
            <w:shd w:val="clear" w:color="auto" w:fill="E5E5E5" w:themeFill="background1" w:themeFillTint="33"/>
            <w:vAlign w:val="center"/>
          </w:tcPr>
          <w:p w14:paraId="596DED05" w14:textId="77777777" w:rsidR="00DC0CF6" w:rsidRPr="001622A0" w:rsidRDefault="00DC0CF6" w:rsidP="001622A0">
            <w:pPr>
              <w:pStyle w:val="Tableheadingleftaligned"/>
              <w:keepNext/>
              <w:rPr>
                <w:b w:val="0"/>
              </w:rPr>
            </w:pPr>
            <w:r w:rsidRPr="001622A0">
              <w:rPr>
                <w:b w:val="0"/>
              </w:rPr>
              <w:t>1 October 2012 to 31 March 2014</w:t>
            </w:r>
          </w:p>
        </w:tc>
      </w:tr>
      <w:tr w:rsidR="00DC0CF6" w:rsidRPr="001622A0" w14:paraId="74DF27CC" w14:textId="77777777" w:rsidTr="00EE47DD">
        <w:trPr>
          <w:cantSplit/>
          <w:trHeight w:hRule="exact" w:val="397"/>
        </w:trPr>
        <w:tc>
          <w:tcPr>
            <w:tcW w:w="2533" w:type="dxa"/>
            <w:tcBorders>
              <w:top w:val="nil"/>
              <w:left w:val="nil"/>
              <w:bottom w:val="single" w:sz="4" w:space="0" w:color="auto"/>
              <w:right w:val="nil"/>
            </w:tcBorders>
            <w:vAlign w:val="center"/>
            <w:hideMark/>
          </w:tcPr>
          <w:p w14:paraId="271D1CCF" w14:textId="77777777" w:rsidR="00DC0CF6" w:rsidRPr="001622A0" w:rsidRDefault="00DC0CF6" w:rsidP="001622A0">
            <w:pPr>
              <w:pStyle w:val="Tablefirstcolumn"/>
              <w:keepNext/>
            </w:pPr>
            <w:r w:rsidRPr="001622A0">
              <w:t xml:space="preserve">Quarantine period </w:t>
            </w:r>
          </w:p>
        </w:tc>
        <w:tc>
          <w:tcPr>
            <w:tcW w:w="3230" w:type="dxa"/>
            <w:tcBorders>
              <w:top w:val="nil"/>
              <w:left w:val="nil"/>
              <w:bottom w:val="single" w:sz="4" w:space="0" w:color="auto"/>
              <w:right w:val="nil"/>
            </w:tcBorders>
            <w:vAlign w:val="center"/>
            <w:hideMark/>
          </w:tcPr>
          <w:p w14:paraId="22E6E8B9" w14:textId="77777777" w:rsidR="00DC0CF6" w:rsidRPr="001622A0" w:rsidRDefault="00DC0CF6" w:rsidP="001622A0">
            <w:pPr>
              <w:pStyle w:val="Tableheadingleftaligned"/>
              <w:keepNext/>
              <w:rPr>
                <w:b w:val="0"/>
              </w:rPr>
            </w:pPr>
            <w:r w:rsidRPr="001622A0">
              <w:rPr>
                <w:b w:val="0"/>
              </w:rPr>
              <w:t xml:space="preserve">1 July 2009 to 30 September 2009 </w:t>
            </w:r>
          </w:p>
        </w:tc>
        <w:tc>
          <w:tcPr>
            <w:tcW w:w="3229" w:type="dxa"/>
            <w:tcBorders>
              <w:top w:val="nil"/>
              <w:left w:val="nil"/>
              <w:bottom w:val="single" w:sz="4" w:space="0" w:color="auto"/>
              <w:right w:val="nil"/>
            </w:tcBorders>
            <w:vAlign w:val="center"/>
            <w:hideMark/>
          </w:tcPr>
          <w:p w14:paraId="0F7ACB8A" w14:textId="77777777" w:rsidR="00DC0CF6" w:rsidRPr="001622A0" w:rsidRDefault="00DC0CF6" w:rsidP="001622A0">
            <w:pPr>
              <w:pStyle w:val="Tableheadingleftaligned"/>
              <w:keepNext/>
              <w:rPr>
                <w:b w:val="0"/>
              </w:rPr>
            </w:pPr>
            <w:r w:rsidRPr="001622A0">
              <w:rPr>
                <w:b w:val="0"/>
              </w:rPr>
              <w:t xml:space="preserve">1 July 2012 to 30 September 2012 </w:t>
            </w:r>
          </w:p>
        </w:tc>
      </w:tr>
    </w:tbl>
    <w:p w14:paraId="3006C5EE" w14:textId="77777777" w:rsidR="00DC0CF6" w:rsidRPr="002434BF" w:rsidRDefault="00DC0CF6" w:rsidP="00E13B5E">
      <w:pPr>
        <w:pStyle w:val="Notes"/>
        <w:rPr>
          <w:rStyle w:val="SourceandnotetextChar"/>
          <w:bCs/>
          <w:color w:val="000000"/>
          <w:szCs w:val="18"/>
        </w:rPr>
      </w:pPr>
      <w:r w:rsidRPr="00E46F61">
        <w:rPr>
          <w:rStyle w:val="NotesChar"/>
          <w:rFonts w:eastAsiaTheme="minorEastAsia"/>
          <w:b/>
        </w:rPr>
        <w:t>Note</w:t>
      </w:r>
      <w:r w:rsidRPr="00E46F61">
        <w:rPr>
          <w:rStyle w:val="NotesChar"/>
          <w:rFonts w:eastAsiaTheme="minorEastAsia"/>
        </w:rPr>
        <w:t xml:space="preserve">: </w:t>
      </w:r>
      <w:r w:rsidRPr="00E46F61">
        <w:rPr>
          <w:rStyle w:val="NotesChar"/>
          <w:rFonts w:eastAsiaTheme="minorEastAsia"/>
        </w:rPr>
        <w:tab/>
        <w:t>The reference period for this study is shorter than for some other studies discussed in this report. This is because the analysis for this specific study was conducted earlier than most other analyses presented in this report and as a consequence available data at the time placed limitations on the reference period</w:t>
      </w:r>
      <w:r w:rsidRPr="002434BF">
        <w:rPr>
          <w:rStyle w:val="SourceandnotetextChar"/>
          <w:b/>
          <w:szCs w:val="18"/>
        </w:rPr>
        <w:t>.</w:t>
      </w:r>
    </w:p>
    <w:p w14:paraId="0EE40904" w14:textId="77777777" w:rsidR="00EE47DD" w:rsidRPr="001622A0" w:rsidRDefault="00EE47DD" w:rsidP="00F37539">
      <w:pPr>
        <w:pStyle w:val="Tableheadingleftaligned"/>
        <w:keepNext/>
        <w:spacing w:before="240"/>
        <w:rPr>
          <w:b w:val="0"/>
        </w:rPr>
      </w:pPr>
      <w:r w:rsidRPr="001622A0">
        <w:rPr>
          <w:b w:val="0"/>
        </w:rPr>
        <w:t>Job seekers</w:t>
      </w:r>
      <w:r w:rsidR="00F37539">
        <w:rPr>
          <w:b w:val="0"/>
        </w:rPr>
        <w:t xml:space="preserve"> in the study populations were those</w:t>
      </w:r>
      <w:r w:rsidRPr="001622A0">
        <w:rPr>
          <w:b w:val="0"/>
        </w:rPr>
        <w:t xml:space="preserve"> who</w:t>
      </w:r>
      <w:r w:rsidR="00F37539">
        <w:rPr>
          <w:b w:val="0"/>
        </w:rPr>
        <w:t xml:space="preserve"> had</w:t>
      </w:r>
      <w:r w:rsidRPr="001622A0">
        <w:rPr>
          <w:b w:val="0"/>
        </w:rPr>
        <w:t>:</w:t>
      </w:r>
    </w:p>
    <w:p w14:paraId="5D3A91DA" w14:textId="77777777" w:rsidR="00EE47DD" w:rsidRPr="00D978A8" w:rsidRDefault="00EE47DD" w:rsidP="00F37539">
      <w:pPr>
        <w:pStyle w:val="bullet"/>
      </w:pPr>
      <w:r w:rsidRPr="00D978A8">
        <w:t>commenced in employment services during the inflow period</w:t>
      </w:r>
    </w:p>
    <w:p w14:paraId="2AFA4944" w14:textId="77777777" w:rsidR="00EE47DD" w:rsidRPr="00D978A8" w:rsidRDefault="00EE47DD" w:rsidP="00F37539">
      <w:pPr>
        <w:pStyle w:val="bullet"/>
      </w:pPr>
      <w:r w:rsidRPr="00D978A8">
        <w:t>no periods of assistance in the quarantine period</w:t>
      </w:r>
    </w:p>
    <w:p w14:paraId="5ED96CD9" w14:textId="77777777" w:rsidR="00EE47DD" w:rsidRPr="001622A0" w:rsidRDefault="00EE47DD" w:rsidP="00F37539">
      <w:pPr>
        <w:pStyle w:val="bullet"/>
      </w:pPr>
      <w:r w:rsidRPr="00D978A8">
        <w:t xml:space="preserve">commenced service in Stream 1 and did not change streams during their period of service. </w:t>
      </w:r>
      <w:r w:rsidRPr="00D978A8">
        <w:rPr>
          <w:rStyle w:val="FooterChar"/>
          <w:sz w:val="20"/>
          <w:szCs w:val="20"/>
        </w:rPr>
        <w:t>Those who went into Stream 1 (Limited) within this period were also included to allow situations where Stream 1 job seekers were suspended from service (as they c</w:t>
      </w:r>
      <w:r w:rsidR="00F37539">
        <w:rPr>
          <w:rStyle w:val="FooterChar"/>
          <w:sz w:val="20"/>
          <w:szCs w:val="20"/>
        </w:rPr>
        <w:t>ould</w:t>
      </w:r>
      <w:r w:rsidRPr="00D978A8">
        <w:rPr>
          <w:rStyle w:val="FooterChar"/>
          <w:sz w:val="20"/>
          <w:szCs w:val="20"/>
        </w:rPr>
        <w:t xml:space="preserve"> volunteer in Stream 1 (Limited) while on suspension).</w:t>
      </w:r>
    </w:p>
    <w:p w14:paraId="5631B50B" w14:textId="77777777" w:rsidR="00DC0CF6" w:rsidRDefault="00DC0CF6" w:rsidP="00D978A8">
      <w:pPr>
        <w:spacing w:before="240"/>
        <w:rPr>
          <w:rFonts w:eastAsiaTheme="majorEastAsia"/>
        </w:rPr>
      </w:pPr>
      <w:r>
        <w:rPr>
          <w:rFonts w:eastAsiaTheme="majorEastAsia"/>
        </w:rPr>
        <w:t>On average, the JSA 2012</w:t>
      </w:r>
      <w:r w:rsidRPr="00BE4185">
        <w:rPr>
          <w:rFonts w:eastAsiaTheme="majorEastAsia"/>
        </w:rPr>
        <w:t xml:space="preserve"> </w:t>
      </w:r>
      <w:r>
        <w:rPr>
          <w:rFonts w:eastAsiaTheme="majorEastAsia"/>
        </w:rPr>
        <w:t xml:space="preserve">study population is </w:t>
      </w:r>
      <w:r w:rsidRPr="00BE4185">
        <w:rPr>
          <w:rFonts w:eastAsiaTheme="majorEastAsia"/>
        </w:rPr>
        <w:t xml:space="preserve">older </w:t>
      </w:r>
      <w:r>
        <w:rPr>
          <w:rFonts w:eastAsiaTheme="majorEastAsia"/>
        </w:rPr>
        <w:t>than the JSA 2009 group. The proportion</w:t>
      </w:r>
      <w:r w:rsidRPr="00BE4185">
        <w:rPr>
          <w:rFonts w:eastAsiaTheme="majorEastAsia"/>
        </w:rPr>
        <w:t xml:space="preserve"> </w:t>
      </w:r>
      <w:r>
        <w:rPr>
          <w:rFonts w:eastAsiaTheme="majorEastAsia"/>
        </w:rPr>
        <w:t xml:space="preserve">of job seekers aged </w:t>
      </w:r>
      <w:r w:rsidRPr="00BE4185">
        <w:rPr>
          <w:rFonts w:eastAsiaTheme="majorEastAsia"/>
        </w:rPr>
        <w:t>25</w:t>
      </w:r>
      <w:r>
        <w:rPr>
          <w:rFonts w:eastAsiaTheme="majorEastAsia"/>
        </w:rPr>
        <w:t> </w:t>
      </w:r>
      <w:r w:rsidRPr="00BE4185">
        <w:rPr>
          <w:rFonts w:eastAsiaTheme="majorEastAsia"/>
        </w:rPr>
        <w:t xml:space="preserve">years </w:t>
      </w:r>
      <w:r>
        <w:rPr>
          <w:rFonts w:eastAsiaTheme="majorEastAsia"/>
        </w:rPr>
        <w:t>or older in the JSA 2009 group</w:t>
      </w:r>
      <w:r w:rsidRPr="00BE4185">
        <w:rPr>
          <w:rFonts w:eastAsiaTheme="majorEastAsia"/>
        </w:rPr>
        <w:t xml:space="preserve"> </w:t>
      </w:r>
      <w:r>
        <w:rPr>
          <w:rFonts w:eastAsiaTheme="majorEastAsia"/>
        </w:rPr>
        <w:t xml:space="preserve">is </w:t>
      </w:r>
      <w:r w:rsidRPr="00BE4185">
        <w:rPr>
          <w:rFonts w:eastAsiaTheme="majorEastAsia"/>
        </w:rPr>
        <w:t xml:space="preserve">57.8 per </w:t>
      </w:r>
      <w:r>
        <w:rPr>
          <w:rFonts w:eastAsiaTheme="majorEastAsia"/>
        </w:rPr>
        <w:t xml:space="preserve">cent </w:t>
      </w:r>
      <w:r w:rsidRPr="00BE4185">
        <w:rPr>
          <w:rFonts w:eastAsiaTheme="majorEastAsia"/>
        </w:rPr>
        <w:t xml:space="preserve">compared </w:t>
      </w:r>
      <w:r>
        <w:rPr>
          <w:rFonts w:eastAsiaTheme="majorEastAsia"/>
        </w:rPr>
        <w:t>with</w:t>
      </w:r>
      <w:r w:rsidRPr="00BE4185">
        <w:rPr>
          <w:rFonts w:eastAsiaTheme="majorEastAsia"/>
        </w:rPr>
        <w:t xml:space="preserve"> 66.9</w:t>
      </w:r>
      <w:r>
        <w:rPr>
          <w:rFonts w:eastAsiaTheme="majorEastAsia"/>
        </w:rPr>
        <w:t> </w:t>
      </w:r>
      <w:r w:rsidRPr="00BE4185">
        <w:rPr>
          <w:rFonts w:eastAsiaTheme="majorEastAsia"/>
        </w:rPr>
        <w:t xml:space="preserve">per cent for </w:t>
      </w:r>
      <w:r>
        <w:rPr>
          <w:rFonts w:eastAsiaTheme="majorEastAsia"/>
        </w:rPr>
        <w:t>the JSA 2012 group</w:t>
      </w:r>
      <w:r w:rsidRPr="00BE4185">
        <w:rPr>
          <w:rFonts w:eastAsiaTheme="majorEastAsia"/>
        </w:rPr>
        <w:t>.</w:t>
      </w:r>
      <w:r w:rsidRPr="00257948">
        <w:rPr>
          <w:rFonts w:eastAsiaTheme="majorEastAsia"/>
        </w:rPr>
        <w:t xml:space="preserve"> </w:t>
      </w:r>
      <w:r>
        <w:rPr>
          <w:rFonts w:eastAsiaTheme="majorEastAsia"/>
        </w:rPr>
        <w:t>More of the JSA 2012</w:t>
      </w:r>
      <w:r w:rsidRPr="00BE4185">
        <w:rPr>
          <w:rFonts w:eastAsiaTheme="majorEastAsia"/>
        </w:rPr>
        <w:t xml:space="preserve"> population </w:t>
      </w:r>
      <w:r>
        <w:rPr>
          <w:rFonts w:eastAsiaTheme="majorEastAsia"/>
        </w:rPr>
        <w:t>i</w:t>
      </w:r>
      <w:r w:rsidRPr="00BE4185">
        <w:rPr>
          <w:rFonts w:eastAsiaTheme="majorEastAsia"/>
        </w:rPr>
        <w:t>s male (60.6 per cent</w:t>
      </w:r>
      <w:r>
        <w:rPr>
          <w:rFonts w:eastAsiaTheme="majorEastAsia"/>
        </w:rPr>
        <w:t xml:space="preserve">) </w:t>
      </w:r>
      <w:r w:rsidRPr="00BE4185">
        <w:rPr>
          <w:rFonts w:eastAsiaTheme="majorEastAsia"/>
        </w:rPr>
        <w:t xml:space="preserve">compared </w:t>
      </w:r>
      <w:r>
        <w:rPr>
          <w:rFonts w:eastAsiaTheme="majorEastAsia"/>
        </w:rPr>
        <w:t>with the JSA 2009 group (</w:t>
      </w:r>
      <w:r w:rsidRPr="00BE4185">
        <w:rPr>
          <w:rFonts w:eastAsiaTheme="majorEastAsia"/>
        </w:rPr>
        <w:t>56.2 per cent</w:t>
      </w:r>
      <w:r>
        <w:rPr>
          <w:rFonts w:eastAsiaTheme="majorEastAsia"/>
        </w:rPr>
        <w:t>)</w:t>
      </w:r>
      <w:r w:rsidRPr="00BE4185">
        <w:rPr>
          <w:rFonts w:eastAsiaTheme="majorEastAsia"/>
        </w:rPr>
        <w:t xml:space="preserve">. </w:t>
      </w:r>
      <w:r>
        <w:rPr>
          <w:rFonts w:eastAsiaTheme="majorEastAsia"/>
        </w:rPr>
        <w:t>The p</w:t>
      </w:r>
      <w:r w:rsidRPr="00BE4185">
        <w:rPr>
          <w:rFonts w:eastAsiaTheme="majorEastAsia"/>
        </w:rPr>
        <w:t xml:space="preserve">roportion </w:t>
      </w:r>
      <w:r>
        <w:rPr>
          <w:rFonts w:eastAsiaTheme="majorEastAsia"/>
        </w:rPr>
        <w:t>of activity-tested job seekers is also higher for</w:t>
      </w:r>
      <w:r w:rsidRPr="00BE4185">
        <w:rPr>
          <w:rFonts w:eastAsiaTheme="majorEastAsia"/>
        </w:rPr>
        <w:t xml:space="preserve"> </w:t>
      </w:r>
      <w:r>
        <w:rPr>
          <w:rFonts w:eastAsiaTheme="majorEastAsia"/>
        </w:rPr>
        <w:t xml:space="preserve">JSA 2012 </w:t>
      </w:r>
      <w:r w:rsidRPr="00BE4185">
        <w:rPr>
          <w:rFonts w:eastAsiaTheme="majorEastAsia"/>
        </w:rPr>
        <w:t xml:space="preserve">(86.9 per cent compared </w:t>
      </w:r>
      <w:r>
        <w:rPr>
          <w:rFonts w:eastAsiaTheme="majorEastAsia"/>
        </w:rPr>
        <w:t>with</w:t>
      </w:r>
      <w:r w:rsidRPr="00BE4185">
        <w:rPr>
          <w:rFonts w:eastAsiaTheme="majorEastAsia"/>
        </w:rPr>
        <w:t xml:space="preserve"> 85</w:t>
      </w:r>
      <w:r>
        <w:rPr>
          <w:rFonts w:eastAsiaTheme="majorEastAsia"/>
        </w:rPr>
        <w:t> </w:t>
      </w:r>
      <w:r w:rsidRPr="00BE4185">
        <w:rPr>
          <w:rFonts w:eastAsiaTheme="majorEastAsia"/>
        </w:rPr>
        <w:t xml:space="preserve">per cent for </w:t>
      </w:r>
      <w:r>
        <w:rPr>
          <w:rFonts w:eastAsiaTheme="majorEastAsia"/>
        </w:rPr>
        <w:t>JSA 2009). T</w:t>
      </w:r>
      <w:r w:rsidRPr="00BE4185">
        <w:rPr>
          <w:rFonts w:eastAsiaTheme="majorEastAsia"/>
        </w:rPr>
        <w:t xml:space="preserve">his is largely due to </w:t>
      </w:r>
      <w:r>
        <w:rPr>
          <w:rFonts w:eastAsiaTheme="majorEastAsia"/>
        </w:rPr>
        <w:t xml:space="preserve">an </w:t>
      </w:r>
      <w:r w:rsidRPr="00BE4185">
        <w:rPr>
          <w:rFonts w:eastAsiaTheme="majorEastAsia"/>
        </w:rPr>
        <w:t xml:space="preserve">increased proportion of </w:t>
      </w:r>
      <w:r>
        <w:rPr>
          <w:rFonts w:eastAsiaTheme="majorEastAsia"/>
        </w:rPr>
        <w:t xml:space="preserve">job seekers with </w:t>
      </w:r>
      <w:r w:rsidRPr="00BE4185">
        <w:rPr>
          <w:rFonts w:eastAsiaTheme="majorEastAsia"/>
        </w:rPr>
        <w:t>part-time participation requirements</w:t>
      </w:r>
      <w:r>
        <w:rPr>
          <w:rFonts w:eastAsiaTheme="majorEastAsia"/>
        </w:rPr>
        <w:t xml:space="preserve">. This in turn reflects changes to the Parenting Payment Single (PPS) rules. Proportions of </w:t>
      </w:r>
      <w:r w:rsidR="005879B0">
        <w:rPr>
          <w:rFonts w:eastAsiaTheme="majorEastAsia"/>
        </w:rPr>
        <w:t>Indigenous</w:t>
      </w:r>
      <w:r>
        <w:rPr>
          <w:rFonts w:eastAsiaTheme="majorEastAsia"/>
        </w:rPr>
        <w:t>, Early School Leaver (ESL), culturally and linguistically diverse (CALD), homeless, ex-offender and single parent job seekers, as well as their geographical distributions, are similar between the two groups.</w:t>
      </w:r>
    </w:p>
    <w:p w14:paraId="4BFB5CA2" w14:textId="77777777" w:rsidR="00DC0CF6" w:rsidRDefault="00DC0CF6" w:rsidP="00FB6F35">
      <w:pPr>
        <w:pStyle w:val="Heading3"/>
      </w:pPr>
      <w:bookmarkStart w:id="758" w:name="_Toc22543191"/>
      <w:r>
        <w:t>B2.3</w:t>
      </w:r>
      <w:r>
        <w:tab/>
        <w:t>Statistical techniques used</w:t>
      </w:r>
      <w:bookmarkEnd w:id="758"/>
    </w:p>
    <w:p w14:paraId="051D9370" w14:textId="77777777" w:rsidR="00DC0CF6" w:rsidRPr="00367066" w:rsidRDefault="00DC0CF6" w:rsidP="00FB6F35">
      <w:pPr>
        <w:pStyle w:val="Heading4"/>
      </w:pPr>
      <w:r>
        <w:t>Logistic regression</w:t>
      </w:r>
    </w:p>
    <w:p w14:paraId="5AADE855" w14:textId="77777777" w:rsidR="00DC0CF6" w:rsidRPr="00932E6E" w:rsidRDefault="00DC0CF6" w:rsidP="00585672">
      <w:pPr>
        <w:pStyle w:val="Normalhangingindent"/>
        <w:ind w:left="0" w:firstLine="0"/>
      </w:pPr>
      <w:r w:rsidRPr="00932E6E">
        <w:t>Regression was used to determine the probability of job seekers being off income support 12</w:t>
      </w:r>
      <w:r>
        <w:t> </w:t>
      </w:r>
      <w:r w:rsidRPr="00932E6E">
        <w:t>months after commencing in service. This analysis there</w:t>
      </w:r>
      <w:r>
        <w:t>f</w:t>
      </w:r>
      <w:r w:rsidRPr="00932E6E">
        <w:t>ore controlled for differences in the demographic compositions of the two study populations and the macroeconomic conditions of the two time periods.</w:t>
      </w:r>
    </w:p>
    <w:p w14:paraId="5CB6EB01" w14:textId="77777777" w:rsidR="00DC0CF6" w:rsidRPr="00DC0CF6" w:rsidRDefault="00DC0CF6" w:rsidP="00FB6F35">
      <w:pPr>
        <w:pStyle w:val="Heading4"/>
      </w:pPr>
      <w:r w:rsidRPr="00DC0CF6">
        <w:t>Survival Analysis (regressed)</w:t>
      </w:r>
    </w:p>
    <w:p w14:paraId="7062754E" w14:textId="77777777" w:rsidR="00DC0CF6" w:rsidRPr="00B91061" w:rsidRDefault="00DC0CF6" w:rsidP="00FB6F35">
      <w:pPr>
        <w:pStyle w:val="normalbody"/>
      </w:pPr>
      <w:r w:rsidRPr="00B91061">
        <w:t xml:space="preserve">Survival analysis is used in this </w:t>
      </w:r>
      <w:r w:rsidR="009716CF">
        <w:t xml:space="preserve">section of the </w:t>
      </w:r>
      <w:r w:rsidRPr="00B91061">
        <w:t>report, in</w:t>
      </w:r>
      <w:r>
        <w:t>corporating regression analysis</w:t>
      </w:r>
      <w:r w:rsidRPr="00B91061">
        <w:t>. This enables those still in service at the end date for analysis to be included in the calculations</w:t>
      </w:r>
      <w:r>
        <w:t xml:space="preserve"> for estimation of the median days in service,</w:t>
      </w:r>
      <w:r w:rsidRPr="00B91061">
        <w:t xml:space="preserve"> </w:t>
      </w:r>
      <w:r>
        <w:t>and at the same time</w:t>
      </w:r>
      <w:r w:rsidRPr="00B91061">
        <w:t xml:space="preserve"> account</w:t>
      </w:r>
      <w:r>
        <w:t>s</w:t>
      </w:r>
      <w:r w:rsidRPr="00B91061">
        <w:t xml:space="preserve"> for differences in both the demographic compositions of the two study populations and the macroeconomic conditions of the two time periods. </w:t>
      </w:r>
    </w:p>
    <w:p w14:paraId="0C3B196A" w14:textId="77777777" w:rsidR="00D978A8" w:rsidRPr="00E73668" w:rsidRDefault="00D978A8" w:rsidP="00D978A8">
      <w:pPr>
        <w:rPr>
          <w:color w:val="000000" w:themeColor="text1"/>
        </w:rPr>
      </w:pPr>
      <w:bookmarkStart w:id="759" w:name="_Toc450919361"/>
      <w:r>
        <w:rPr>
          <w:color w:val="000000" w:themeColor="text1"/>
        </w:rPr>
        <w:t>Appendix B</w:t>
      </w:r>
      <w:r w:rsidR="003114A5">
        <w:rPr>
          <w:color w:val="000000" w:themeColor="text1"/>
        </w:rPr>
        <w:t>8</w:t>
      </w:r>
      <w:r>
        <w:rPr>
          <w:color w:val="000000" w:themeColor="text1"/>
        </w:rPr>
        <w:t xml:space="preserve"> provides information about these techniques.</w:t>
      </w:r>
    </w:p>
    <w:p w14:paraId="524AB686" w14:textId="77777777" w:rsidR="008A3E42" w:rsidRDefault="008A3E42">
      <w:pPr>
        <w:rPr>
          <w:rFonts w:ascii="Calibri" w:eastAsiaTheme="majorEastAsia" w:hAnsi="Calibri" w:cstheme="majorBidi"/>
          <w:b/>
          <w:bCs/>
          <w:sz w:val="28"/>
          <w:szCs w:val="26"/>
        </w:rPr>
      </w:pPr>
      <w:r>
        <w:br w:type="page"/>
      </w:r>
    </w:p>
    <w:p w14:paraId="1749034E" w14:textId="77777777" w:rsidR="005E1B5A" w:rsidRDefault="005E1B5A" w:rsidP="005E1B5A">
      <w:pPr>
        <w:pStyle w:val="Heading2"/>
      </w:pPr>
      <w:bookmarkStart w:id="760" w:name="_Toc22543192"/>
      <w:r>
        <w:t>B3</w:t>
      </w:r>
      <w:r>
        <w:tab/>
        <w:t xml:space="preserve">Measuring the effect </w:t>
      </w:r>
      <w:r w:rsidR="003205F4">
        <w:t xml:space="preserve">of </w:t>
      </w:r>
      <w:r>
        <w:t>SSR cessation</w:t>
      </w:r>
      <w:bookmarkEnd w:id="759"/>
      <w:bookmarkEnd w:id="760"/>
      <w:r>
        <w:t xml:space="preserve"> </w:t>
      </w:r>
    </w:p>
    <w:p w14:paraId="67108BE5" w14:textId="77777777" w:rsidR="00230418" w:rsidRPr="00E73668" w:rsidRDefault="00230418" w:rsidP="00230418">
      <w:pPr>
        <w:pStyle w:val="Heading3"/>
      </w:pPr>
      <w:bookmarkStart w:id="761" w:name="_Toc22543193"/>
      <w:r>
        <w:t>B3.1</w:t>
      </w:r>
      <w:r>
        <w:tab/>
      </w:r>
      <w:r w:rsidRPr="00E73668">
        <w:t>Measures</w:t>
      </w:r>
      <w:bookmarkEnd w:id="761"/>
    </w:p>
    <w:p w14:paraId="00D3B1C1" w14:textId="740463C0" w:rsidR="00230418" w:rsidRPr="00E73668" w:rsidRDefault="00230418" w:rsidP="00230418">
      <w:pPr>
        <w:spacing w:after="0"/>
        <w:rPr>
          <w:noProof/>
          <w:lang w:eastAsia="en-AU"/>
        </w:rPr>
      </w:pPr>
      <w:r w:rsidRPr="00E73668">
        <w:rPr>
          <w:noProof/>
          <w:lang w:eastAsia="en-AU"/>
        </w:rPr>
        <w:t>The indicators used to assess the effect of the removal of Stream Service</w:t>
      </w:r>
      <w:r w:rsidR="000B2F4D">
        <w:rPr>
          <w:noProof/>
          <w:lang w:eastAsia="en-AU"/>
        </w:rPr>
        <w:t>s</w:t>
      </w:r>
      <w:r w:rsidRPr="00E73668">
        <w:rPr>
          <w:noProof/>
          <w:lang w:eastAsia="en-AU"/>
        </w:rPr>
        <w:t xml:space="preserve"> Reviews (SSRs) are:</w:t>
      </w:r>
    </w:p>
    <w:p w14:paraId="5456D942" w14:textId="77777777" w:rsidR="00230418" w:rsidRPr="00E73668" w:rsidRDefault="00230418" w:rsidP="00230418">
      <w:pPr>
        <w:spacing w:after="0"/>
        <w:rPr>
          <w:noProof/>
          <w:lang w:eastAsia="en-AU"/>
        </w:rPr>
      </w:pPr>
    </w:p>
    <w:p w14:paraId="22D98FE6" w14:textId="77777777" w:rsidR="00230418" w:rsidRPr="008B2DE9" w:rsidRDefault="00230418" w:rsidP="00230418">
      <w:pPr>
        <w:pStyle w:val="bullet"/>
        <w:rPr>
          <w:rFonts w:eastAsia="Univers"/>
          <w:lang w:eastAsia="en-AU"/>
        </w:rPr>
      </w:pPr>
      <w:r>
        <w:rPr>
          <w:rFonts w:eastAsia="Univers"/>
          <w:lang w:eastAsia="en-AU"/>
        </w:rPr>
        <w:t>t</w:t>
      </w:r>
      <w:r w:rsidRPr="008B2DE9">
        <w:rPr>
          <w:rFonts w:eastAsia="Univers"/>
          <w:lang w:eastAsia="en-AU"/>
        </w:rPr>
        <w:t xml:space="preserve">he median number of days from commencement in service until the first assessment that recommended a change in service - to assess how efficiently job seekers requiring higher levels of assistance (including upstreaming (i.e., being moved to a higher </w:t>
      </w:r>
      <w:r w:rsidR="00702C0E">
        <w:rPr>
          <w:rFonts w:eastAsia="Univers"/>
          <w:lang w:eastAsia="en-AU"/>
        </w:rPr>
        <w:t>s</w:t>
      </w:r>
      <w:r w:rsidRPr="008B2DE9">
        <w:rPr>
          <w:rFonts w:eastAsia="Univers"/>
          <w:lang w:eastAsia="en-AU"/>
        </w:rPr>
        <w:t>tream) or referral to Disability Employment Services (DES)) were identified</w:t>
      </w:r>
    </w:p>
    <w:p w14:paraId="0F721E1C" w14:textId="77777777" w:rsidR="00230418" w:rsidRPr="008B2DE9" w:rsidRDefault="00230418" w:rsidP="00230418">
      <w:pPr>
        <w:pStyle w:val="bullet"/>
        <w:rPr>
          <w:rFonts w:eastAsia="Univers"/>
          <w:lang w:eastAsia="en-AU"/>
        </w:rPr>
      </w:pPr>
      <w:r>
        <w:rPr>
          <w:rFonts w:eastAsia="Univers"/>
          <w:lang w:eastAsia="en-AU"/>
        </w:rPr>
        <w:t>t</w:t>
      </w:r>
      <w:r w:rsidRPr="008B2DE9">
        <w:rPr>
          <w:rFonts w:eastAsia="Univers"/>
          <w:lang w:eastAsia="en-AU"/>
        </w:rPr>
        <w:t>he median number of days in service until transition to the Work Experience Phase (</w:t>
      </w:r>
      <w:r>
        <w:rPr>
          <w:rFonts w:eastAsia="Univers"/>
          <w:lang w:eastAsia="en-AU"/>
        </w:rPr>
        <w:t>WEPh</w:t>
      </w:r>
      <w:r w:rsidRPr="008B2DE9">
        <w:rPr>
          <w:rFonts w:eastAsia="Univers"/>
          <w:lang w:eastAsia="en-AU"/>
        </w:rPr>
        <w:t>).</w:t>
      </w:r>
    </w:p>
    <w:p w14:paraId="27F9CA73" w14:textId="77777777" w:rsidR="00230418" w:rsidRPr="00E73668" w:rsidRDefault="00230418" w:rsidP="00230418">
      <w:pPr>
        <w:spacing w:after="0"/>
        <w:rPr>
          <w:noProof/>
          <w:lang w:eastAsia="en-AU"/>
        </w:rPr>
      </w:pPr>
      <w:r w:rsidRPr="00E73668">
        <w:rPr>
          <w:noProof/>
          <w:lang w:eastAsia="en-AU"/>
        </w:rPr>
        <w:t>Qualitative data from the 2015 Service Provider survey was used to complement the findings of the quantitative analysis.</w:t>
      </w:r>
    </w:p>
    <w:p w14:paraId="34D8730C" w14:textId="77777777" w:rsidR="00E73668" w:rsidRPr="00E73668" w:rsidRDefault="00AA5E2E" w:rsidP="00E73668">
      <w:pPr>
        <w:pStyle w:val="Heading3"/>
      </w:pPr>
      <w:bookmarkStart w:id="762" w:name="_Toc22543194"/>
      <w:r>
        <w:t>B3.2</w:t>
      </w:r>
      <w:r w:rsidR="00E73668">
        <w:tab/>
      </w:r>
      <w:r w:rsidR="00E73668" w:rsidRPr="00E73668">
        <w:t>Study populations</w:t>
      </w:r>
      <w:bookmarkEnd w:id="762"/>
    </w:p>
    <w:p w14:paraId="6EC261F5" w14:textId="400F675C" w:rsidR="00E73668" w:rsidRDefault="00E73668" w:rsidP="00E73668">
      <w:r w:rsidRPr="00E73668">
        <w:rPr>
          <w:noProof/>
          <w:lang w:eastAsia="en-AU"/>
        </w:rPr>
        <w:t>To assess the effect of ceasing Stream Service</w:t>
      </w:r>
      <w:r w:rsidR="000B2F4D">
        <w:rPr>
          <w:noProof/>
          <w:lang w:eastAsia="en-AU"/>
        </w:rPr>
        <w:t>s</w:t>
      </w:r>
      <w:r w:rsidRPr="00E73668">
        <w:rPr>
          <w:noProof/>
          <w:lang w:eastAsia="en-AU"/>
        </w:rPr>
        <w:t xml:space="preserve"> Reviews on streaming and assessment outcomes for job seekers two new entrant study populations were used. These were subsets of the new entrant study populations derived to </w:t>
      </w:r>
      <w:r w:rsidRPr="00E73668">
        <w:t xml:space="preserve">compare the effectiveness of the JSA 2012 programme to the JSA 2009 programme (refer </w:t>
      </w:r>
      <w:r w:rsidR="003649E1">
        <w:t>s</w:t>
      </w:r>
      <w:r w:rsidRPr="00E73668">
        <w:t xml:space="preserve">ection </w:t>
      </w:r>
      <w:r>
        <w:t>B1.1</w:t>
      </w:r>
      <w:r w:rsidRPr="00E73668">
        <w:t>).</w:t>
      </w:r>
      <w:r w:rsidR="00A21FFE">
        <w:t xml:space="preserve"> Those who:</w:t>
      </w:r>
    </w:p>
    <w:p w14:paraId="3234E299" w14:textId="77777777" w:rsidR="00A21FFE" w:rsidRPr="00A21FFE" w:rsidRDefault="00A21FFE"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A21FFE">
        <w:rPr>
          <w:rFonts w:ascii="Calibri" w:eastAsia="Univers" w:hAnsi="Calibri" w:cs="Garamond"/>
          <w:color w:val="000000"/>
          <w:lang w:val="en-GB" w:eastAsia="en-AU"/>
        </w:rPr>
        <w:t>had commenced in employment services in either Stream 1, 2, 3 or 4  in the inflow period</w:t>
      </w:r>
    </w:p>
    <w:p w14:paraId="31E5E552" w14:textId="77777777" w:rsidR="00A21FFE" w:rsidRPr="00A21FFE" w:rsidRDefault="00A21FFE" w:rsidP="00961617">
      <w:pPr>
        <w:numPr>
          <w:ilvl w:val="0"/>
          <w:numId w:val="35"/>
        </w:numPr>
        <w:tabs>
          <w:tab w:val="left" w:pos="227"/>
        </w:tabs>
        <w:suppressAutoHyphens/>
        <w:autoSpaceDE w:val="0"/>
        <w:autoSpaceDN w:val="0"/>
        <w:adjustRightInd w:val="0"/>
        <w:spacing w:before="20" w:after="120" w:line="300" w:lineRule="atLeast"/>
        <w:textAlignment w:val="center"/>
        <w:rPr>
          <w:rFonts w:ascii="Calibri" w:eastAsia="Univers" w:hAnsi="Calibri" w:cs="Garamond"/>
          <w:color w:val="000000"/>
          <w:lang w:val="en-GB" w:eastAsia="en-AU"/>
        </w:rPr>
      </w:pPr>
      <w:r w:rsidRPr="00A21FFE">
        <w:rPr>
          <w:rFonts w:ascii="Calibri" w:eastAsia="Univers" w:hAnsi="Calibri" w:cs="Garamond"/>
          <w:color w:val="000000"/>
          <w:lang w:val="en-GB" w:eastAsia="en-AU"/>
        </w:rPr>
        <w:t>had no periods of assistance in the quarantine period</w:t>
      </w:r>
    </w:p>
    <w:p w14:paraId="5B9B372E" w14:textId="77777777" w:rsidR="00A21FFE" w:rsidRPr="00E73668" w:rsidRDefault="00A21FFE" w:rsidP="00961617">
      <w:pPr>
        <w:numPr>
          <w:ilvl w:val="0"/>
          <w:numId w:val="35"/>
        </w:numPr>
        <w:tabs>
          <w:tab w:val="left" w:pos="227"/>
        </w:tabs>
        <w:suppressAutoHyphens/>
        <w:autoSpaceDE w:val="0"/>
        <w:autoSpaceDN w:val="0"/>
        <w:adjustRightInd w:val="0"/>
        <w:spacing w:before="20" w:after="120" w:line="300" w:lineRule="atLeast"/>
        <w:textAlignment w:val="center"/>
        <w:rPr>
          <w:sz w:val="20"/>
          <w:szCs w:val="20"/>
        </w:rPr>
      </w:pPr>
      <w:r w:rsidRPr="00A21FFE">
        <w:rPr>
          <w:rFonts w:ascii="Calibri" w:eastAsia="Univers" w:hAnsi="Calibri" w:cs="Garamond"/>
          <w:color w:val="000000"/>
          <w:lang w:val="en-GB" w:eastAsia="en-AU"/>
        </w:rPr>
        <w:t>had not lived in a community that was subsequently transferred to the RJCP</w:t>
      </w:r>
      <w:r>
        <w:rPr>
          <w:rFonts w:ascii="Calibri" w:eastAsia="Univers" w:hAnsi="Calibri" w:cs="Garamond"/>
          <w:color w:val="000000"/>
          <w:lang w:val="en-GB" w:eastAsia="en-AU"/>
        </w:rPr>
        <w:t>.</w:t>
      </w:r>
      <w:r w:rsidRPr="00E73668">
        <w:rPr>
          <w:sz w:val="20"/>
          <w:szCs w:val="20"/>
          <w:vertAlign w:val="superscript"/>
        </w:rPr>
        <w:footnoteReference w:id="101"/>
      </w:r>
    </w:p>
    <w:p w14:paraId="6CA0C8FC" w14:textId="77777777" w:rsidR="00A21FFE" w:rsidRPr="00A21FFE" w:rsidRDefault="00A21FFE" w:rsidP="00A21FFE">
      <w:pPr>
        <w:rPr>
          <w:noProof/>
          <w:lang w:eastAsia="en-AU"/>
        </w:rPr>
      </w:pPr>
      <w:r w:rsidRPr="00A21FFE">
        <w:rPr>
          <w:noProof/>
          <w:lang w:eastAsia="en-AU"/>
        </w:rPr>
        <w:t>For these job seekers the first periods of assistance that started within the reference period were selected.</w:t>
      </w:r>
    </w:p>
    <w:p w14:paraId="6F4B4D40" w14:textId="77777777" w:rsidR="00E73668" w:rsidRPr="008D1D34" w:rsidRDefault="00E73668" w:rsidP="00AD3F72">
      <w:pPr>
        <w:pStyle w:val="TableheadingforappendixA1"/>
        <w:rPr>
          <w:rFonts w:eastAsiaTheme="majorEastAsia"/>
        </w:rPr>
      </w:pPr>
      <w:r w:rsidRPr="008D1D34">
        <w:rPr>
          <w:rFonts w:eastAsiaTheme="majorEastAsia"/>
        </w:rPr>
        <w:t xml:space="preserve"> </w:t>
      </w:r>
      <w:bookmarkStart w:id="763" w:name="_Toc513129945"/>
      <w:r w:rsidR="003D0397">
        <w:rPr>
          <w:rFonts w:eastAsiaTheme="majorEastAsia"/>
        </w:rPr>
        <w:t>Table B3.1:</w:t>
      </w:r>
      <w:r w:rsidR="003877A2">
        <w:rPr>
          <w:rFonts w:eastAsiaTheme="majorEastAsia"/>
        </w:rPr>
        <w:t xml:space="preserve"> </w:t>
      </w:r>
      <w:r w:rsidRPr="008D1D34">
        <w:rPr>
          <w:rFonts w:eastAsiaTheme="majorEastAsia"/>
        </w:rPr>
        <w:t>Time periods used for derivation of the 2009 and 2012 SSR study populations</w:t>
      </w:r>
      <w:bookmarkEnd w:id="763"/>
    </w:p>
    <w:tbl>
      <w:tblPr>
        <w:tblStyle w:val="TableGrid10"/>
        <w:tblW w:w="8789" w:type="dxa"/>
        <w:tblInd w:w="250" w:type="dxa"/>
        <w:tblLook w:val="04A0" w:firstRow="1" w:lastRow="0" w:firstColumn="1" w:lastColumn="0" w:noHBand="0" w:noVBand="1"/>
      </w:tblPr>
      <w:tblGrid>
        <w:gridCol w:w="1985"/>
        <w:gridCol w:w="3402"/>
        <w:gridCol w:w="3402"/>
      </w:tblGrid>
      <w:tr w:rsidR="00E73668" w:rsidRPr="006A1F08" w14:paraId="11D18929" w14:textId="77777777" w:rsidTr="001A4D7B">
        <w:trPr>
          <w:cantSplit/>
          <w:trHeight w:hRule="exact" w:val="454"/>
          <w:tblHeader/>
        </w:trPr>
        <w:tc>
          <w:tcPr>
            <w:tcW w:w="1985" w:type="dxa"/>
            <w:tcBorders>
              <w:top w:val="nil"/>
              <w:left w:val="nil"/>
              <w:bottom w:val="nil"/>
              <w:right w:val="nil"/>
            </w:tcBorders>
            <w:shd w:val="clear" w:color="auto" w:fill="1E3D6B"/>
            <w:vAlign w:val="center"/>
          </w:tcPr>
          <w:p w14:paraId="36DF8B0F" w14:textId="77777777" w:rsidR="00E73668" w:rsidRPr="006A1F08" w:rsidRDefault="007C7A05" w:rsidP="00E73668">
            <w:pPr>
              <w:keepNext/>
              <w:keepLines/>
              <w:rPr>
                <w:b/>
                <w:sz w:val="20"/>
                <w:szCs w:val="20"/>
              </w:rPr>
            </w:pPr>
            <w:bookmarkStart w:id="764" w:name="ColumnTitle_b31"/>
            <w:bookmarkEnd w:id="764"/>
            <w:r>
              <w:rPr>
                <w:b/>
                <w:sz w:val="20"/>
                <w:szCs w:val="20"/>
              </w:rPr>
              <w:t>Period</w:t>
            </w:r>
          </w:p>
        </w:tc>
        <w:tc>
          <w:tcPr>
            <w:tcW w:w="3402" w:type="dxa"/>
            <w:tcBorders>
              <w:top w:val="nil"/>
              <w:left w:val="nil"/>
              <w:bottom w:val="nil"/>
              <w:right w:val="nil"/>
            </w:tcBorders>
            <w:shd w:val="clear" w:color="auto" w:fill="1E3D6B"/>
            <w:vAlign w:val="center"/>
            <w:hideMark/>
          </w:tcPr>
          <w:p w14:paraId="38E68D33" w14:textId="77777777" w:rsidR="00E73668" w:rsidRPr="006A1F08" w:rsidRDefault="007C7A05" w:rsidP="00E73668">
            <w:pPr>
              <w:keepNext/>
              <w:jc w:val="center"/>
              <w:rPr>
                <w:sz w:val="20"/>
                <w:szCs w:val="20"/>
              </w:rPr>
            </w:pPr>
            <w:r>
              <w:rPr>
                <w:b/>
                <w:sz w:val="20"/>
                <w:szCs w:val="20"/>
              </w:rPr>
              <w:t>JSA 2009</w:t>
            </w:r>
          </w:p>
        </w:tc>
        <w:tc>
          <w:tcPr>
            <w:tcW w:w="3402" w:type="dxa"/>
            <w:tcBorders>
              <w:top w:val="nil"/>
              <w:left w:val="nil"/>
              <w:bottom w:val="nil"/>
              <w:right w:val="nil"/>
            </w:tcBorders>
            <w:shd w:val="clear" w:color="auto" w:fill="1E3D6B"/>
            <w:vAlign w:val="center"/>
            <w:hideMark/>
          </w:tcPr>
          <w:p w14:paraId="7FC3B3B1" w14:textId="77777777" w:rsidR="00E73668" w:rsidRPr="006A1F08" w:rsidRDefault="007C7A05" w:rsidP="00E73668">
            <w:pPr>
              <w:keepNext/>
              <w:jc w:val="center"/>
              <w:rPr>
                <w:sz w:val="20"/>
                <w:szCs w:val="20"/>
              </w:rPr>
            </w:pPr>
            <w:r>
              <w:rPr>
                <w:b/>
                <w:sz w:val="20"/>
                <w:szCs w:val="20"/>
              </w:rPr>
              <w:t>JSA 2012</w:t>
            </w:r>
          </w:p>
        </w:tc>
      </w:tr>
      <w:tr w:rsidR="00E73668" w:rsidRPr="00E73668" w14:paraId="07D340D2" w14:textId="77777777" w:rsidTr="001A4D7B">
        <w:trPr>
          <w:cantSplit/>
          <w:trHeight w:hRule="exact" w:val="510"/>
        </w:trPr>
        <w:tc>
          <w:tcPr>
            <w:tcW w:w="1985" w:type="dxa"/>
            <w:tcBorders>
              <w:top w:val="nil"/>
              <w:left w:val="nil"/>
              <w:bottom w:val="nil"/>
              <w:right w:val="nil"/>
            </w:tcBorders>
            <w:vAlign w:val="center"/>
            <w:hideMark/>
          </w:tcPr>
          <w:p w14:paraId="2E87A71D" w14:textId="77777777" w:rsidR="00E73668" w:rsidRPr="00E73668" w:rsidRDefault="00E73668" w:rsidP="00E73668">
            <w:pPr>
              <w:keepNext/>
              <w:rPr>
                <w:sz w:val="20"/>
                <w:szCs w:val="20"/>
              </w:rPr>
            </w:pPr>
            <w:r w:rsidRPr="00E73668">
              <w:rPr>
                <w:sz w:val="20"/>
                <w:szCs w:val="20"/>
              </w:rPr>
              <w:t xml:space="preserve">Inflow interval </w:t>
            </w:r>
          </w:p>
        </w:tc>
        <w:tc>
          <w:tcPr>
            <w:tcW w:w="3402" w:type="dxa"/>
            <w:tcBorders>
              <w:top w:val="nil"/>
              <w:left w:val="nil"/>
              <w:bottom w:val="nil"/>
              <w:right w:val="nil"/>
            </w:tcBorders>
            <w:vAlign w:val="center"/>
            <w:hideMark/>
          </w:tcPr>
          <w:p w14:paraId="2522C660" w14:textId="77777777" w:rsidR="00E73668" w:rsidRPr="00E73668" w:rsidRDefault="00E73668" w:rsidP="00E73668">
            <w:pPr>
              <w:keepNext/>
              <w:rPr>
                <w:sz w:val="20"/>
              </w:rPr>
            </w:pPr>
            <w:r w:rsidRPr="00E73668">
              <w:rPr>
                <w:sz w:val="20"/>
              </w:rPr>
              <w:t>1 October 2009 to 31 March 2010</w:t>
            </w:r>
          </w:p>
        </w:tc>
        <w:tc>
          <w:tcPr>
            <w:tcW w:w="3402" w:type="dxa"/>
            <w:tcBorders>
              <w:top w:val="nil"/>
              <w:left w:val="nil"/>
              <w:bottom w:val="nil"/>
              <w:right w:val="nil"/>
            </w:tcBorders>
            <w:vAlign w:val="center"/>
            <w:hideMark/>
          </w:tcPr>
          <w:p w14:paraId="42210540" w14:textId="77777777" w:rsidR="00E73668" w:rsidRPr="00E73668" w:rsidRDefault="00E73668" w:rsidP="0064166F">
            <w:pPr>
              <w:keepNext/>
              <w:rPr>
                <w:sz w:val="20"/>
              </w:rPr>
            </w:pPr>
            <w:r w:rsidRPr="00E73668">
              <w:rPr>
                <w:sz w:val="20"/>
              </w:rPr>
              <w:t>1 October 2012 to 31 March 2013</w:t>
            </w:r>
          </w:p>
        </w:tc>
      </w:tr>
      <w:tr w:rsidR="00E73668" w:rsidRPr="00E73668" w14:paraId="09163735" w14:textId="77777777" w:rsidTr="001A4D7B">
        <w:trPr>
          <w:cantSplit/>
          <w:trHeight w:hRule="exact" w:val="510"/>
        </w:trPr>
        <w:tc>
          <w:tcPr>
            <w:tcW w:w="1985" w:type="dxa"/>
            <w:tcBorders>
              <w:top w:val="nil"/>
              <w:left w:val="nil"/>
              <w:bottom w:val="nil"/>
              <w:right w:val="nil"/>
            </w:tcBorders>
            <w:shd w:val="clear" w:color="auto" w:fill="E5E5E5" w:themeFill="background1" w:themeFillTint="33"/>
            <w:vAlign w:val="center"/>
          </w:tcPr>
          <w:p w14:paraId="4E6A603A" w14:textId="77777777" w:rsidR="00E73668" w:rsidRPr="00E73668" w:rsidRDefault="00E73668" w:rsidP="0064166F">
            <w:pPr>
              <w:keepNext/>
              <w:rPr>
                <w:sz w:val="20"/>
                <w:szCs w:val="20"/>
              </w:rPr>
            </w:pPr>
            <w:r w:rsidRPr="00E73668">
              <w:rPr>
                <w:sz w:val="20"/>
                <w:szCs w:val="20"/>
              </w:rPr>
              <w:t>Reference period</w:t>
            </w:r>
          </w:p>
        </w:tc>
        <w:tc>
          <w:tcPr>
            <w:tcW w:w="3402" w:type="dxa"/>
            <w:tcBorders>
              <w:top w:val="nil"/>
              <w:left w:val="nil"/>
              <w:bottom w:val="nil"/>
              <w:right w:val="nil"/>
            </w:tcBorders>
            <w:shd w:val="clear" w:color="auto" w:fill="E5E5E5" w:themeFill="background1" w:themeFillTint="33"/>
            <w:vAlign w:val="center"/>
          </w:tcPr>
          <w:p w14:paraId="61FA63CA" w14:textId="77777777" w:rsidR="00E73668" w:rsidRPr="00E73668" w:rsidRDefault="00E73668" w:rsidP="00E73668">
            <w:pPr>
              <w:keepNext/>
              <w:rPr>
                <w:sz w:val="20"/>
              </w:rPr>
            </w:pPr>
            <w:r w:rsidRPr="00E73668">
              <w:rPr>
                <w:sz w:val="20"/>
              </w:rPr>
              <w:t>1 October 2009 – 30 September 2011</w:t>
            </w:r>
          </w:p>
        </w:tc>
        <w:tc>
          <w:tcPr>
            <w:tcW w:w="3402" w:type="dxa"/>
            <w:tcBorders>
              <w:top w:val="nil"/>
              <w:left w:val="nil"/>
              <w:bottom w:val="nil"/>
              <w:right w:val="nil"/>
            </w:tcBorders>
            <w:shd w:val="clear" w:color="auto" w:fill="E5E5E5" w:themeFill="background1" w:themeFillTint="33"/>
            <w:vAlign w:val="center"/>
          </w:tcPr>
          <w:p w14:paraId="5DD32A9A" w14:textId="77777777" w:rsidR="00E73668" w:rsidRPr="00E73668" w:rsidRDefault="00E73668" w:rsidP="00E73668">
            <w:pPr>
              <w:keepNext/>
              <w:rPr>
                <w:sz w:val="20"/>
              </w:rPr>
            </w:pPr>
            <w:r w:rsidRPr="00E73668">
              <w:rPr>
                <w:sz w:val="20"/>
              </w:rPr>
              <w:t>1 October 2012 to 30 September 2014</w:t>
            </w:r>
          </w:p>
        </w:tc>
      </w:tr>
      <w:tr w:rsidR="00E73668" w:rsidRPr="00E73668" w14:paraId="3E7E7A54" w14:textId="77777777" w:rsidTr="001A4D7B">
        <w:trPr>
          <w:cantSplit/>
          <w:trHeight w:hRule="exact" w:val="510"/>
        </w:trPr>
        <w:tc>
          <w:tcPr>
            <w:tcW w:w="1985" w:type="dxa"/>
            <w:tcBorders>
              <w:top w:val="nil"/>
              <w:left w:val="nil"/>
              <w:bottom w:val="nil"/>
              <w:right w:val="nil"/>
            </w:tcBorders>
            <w:vAlign w:val="center"/>
            <w:hideMark/>
          </w:tcPr>
          <w:p w14:paraId="345096E4" w14:textId="77777777" w:rsidR="00E73668" w:rsidRPr="00E73668" w:rsidRDefault="00E73668" w:rsidP="00E73668">
            <w:pPr>
              <w:keepNext/>
              <w:rPr>
                <w:sz w:val="20"/>
                <w:szCs w:val="20"/>
              </w:rPr>
            </w:pPr>
            <w:r w:rsidRPr="00E73668">
              <w:rPr>
                <w:sz w:val="20"/>
                <w:szCs w:val="20"/>
              </w:rPr>
              <w:t xml:space="preserve">Quarantine period </w:t>
            </w:r>
          </w:p>
        </w:tc>
        <w:tc>
          <w:tcPr>
            <w:tcW w:w="3402" w:type="dxa"/>
            <w:tcBorders>
              <w:top w:val="nil"/>
              <w:left w:val="nil"/>
              <w:bottom w:val="nil"/>
              <w:right w:val="nil"/>
            </w:tcBorders>
            <w:vAlign w:val="center"/>
            <w:hideMark/>
          </w:tcPr>
          <w:p w14:paraId="12B969DE" w14:textId="77777777" w:rsidR="00E73668" w:rsidRPr="00E73668" w:rsidRDefault="00E73668" w:rsidP="00E73668">
            <w:pPr>
              <w:keepNext/>
              <w:rPr>
                <w:sz w:val="20"/>
              </w:rPr>
            </w:pPr>
            <w:r w:rsidRPr="00E73668">
              <w:rPr>
                <w:sz w:val="20"/>
              </w:rPr>
              <w:t xml:space="preserve">1 July 2009 to 30 September 2009 </w:t>
            </w:r>
          </w:p>
        </w:tc>
        <w:tc>
          <w:tcPr>
            <w:tcW w:w="3402" w:type="dxa"/>
            <w:tcBorders>
              <w:top w:val="nil"/>
              <w:left w:val="nil"/>
              <w:bottom w:val="nil"/>
              <w:right w:val="nil"/>
            </w:tcBorders>
            <w:vAlign w:val="center"/>
            <w:hideMark/>
          </w:tcPr>
          <w:p w14:paraId="6E1F3699" w14:textId="77777777" w:rsidR="00E73668" w:rsidRPr="00E73668" w:rsidRDefault="00E73668" w:rsidP="0064166F">
            <w:pPr>
              <w:keepNext/>
              <w:rPr>
                <w:sz w:val="20"/>
              </w:rPr>
            </w:pPr>
            <w:r w:rsidRPr="00E73668">
              <w:rPr>
                <w:sz w:val="20"/>
              </w:rPr>
              <w:t xml:space="preserve">1 July 2012 to 30 September 2012 </w:t>
            </w:r>
          </w:p>
        </w:tc>
      </w:tr>
      <w:tr w:rsidR="00E73668" w:rsidRPr="00E73668" w14:paraId="43B6E83A" w14:textId="77777777" w:rsidTr="001A4D7B">
        <w:trPr>
          <w:cantSplit/>
          <w:trHeight w:hRule="exact" w:val="510"/>
        </w:trPr>
        <w:tc>
          <w:tcPr>
            <w:tcW w:w="1985" w:type="dxa"/>
            <w:tcBorders>
              <w:top w:val="nil"/>
              <w:left w:val="nil"/>
              <w:bottom w:val="single" w:sz="4" w:space="0" w:color="auto"/>
              <w:right w:val="nil"/>
            </w:tcBorders>
            <w:shd w:val="clear" w:color="auto" w:fill="E5E5E5" w:themeFill="background1" w:themeFillTint="33"/>
            <w:vAlign w:val="center"/>
            <w:hideMark/>
          </w:tcPr>
          <w:p w14:paraId="1527ADFA" w14:textId="77777777" w:rsidR="00E73668" w:rsidRPr="00E73668" w:rsidRDefault="00E73668" w:rsidP="00E73668">
            <w:pPr>
              <w:keepNext/>
              <w:rPr>
                <w:sz w:val="20"/>
                <w:szCs w:val="20"/>
              </w:rPr>
            </w:pPr>
            <w:r w:rsidRPr="00E73668">
              <w:rPr>
                <w:sz w:val="20"/>
                <w:szCs w:val="20"/>
              </w:rPr>
              <w:t>End date for analysis</w:t>
            </w:r>
          </w:p>
        </w:tc>
        <w:tc>
          <w:tcPr>
            <w:tcW w:w="3402" w:type="dxa"/>
            <w:tcBorders>
              <w:top w:val="nil"/>
              <w:left w:val="nil"/>
              <w:bottom w:val="single" w:sz="4" w:space="0" w:color="auto"/>
              <w:right w:val="nil"/>
            </w:tcBorders>
            <w:shd w:val="clear" w:color="auto" w:fill="E5E5E5" w:themeFill="background1" w:themeFillTint="33"/>
            <w:vAlign w:val="center"/>
            <w:hideMark/>
          </w:tcPr>
          <w:p w14:paraId="2E4A11E9" w14:textId="77777777" w:rsidR="00E73668" w:rsidRPr="00E73668" w:rsidRDefault="00E73668" w:rsidP="00E73668">
            <w:pPr>
              <w:keepNext/>
              <w:rPr>
                <w:sz w:val="20"/>
              </w:rPr>
            </w:pPr>
            <w:r w:rsidRPr="00E73668">
              <w:rPr>
                <w:sz w:val="20"/>
              </w:rPr>
              <w:t>30 September 2011</w:t>
            </w:r>
          </w:p>
        </w:tc>
        <w:tc>
          <w:tcPr>
            <w:tcW w:w="3402" w:type="dxa"/>
            <w:tcBorders>
              <w:top w:val="nil"/>
              <w:left w:val="nil"/>
              <w:bottom w:val="single" w:sz="4" w:space="0" w:color="auto"/>
              <w:right w:val="nil"/>
            </w:tcBorders>
            <w:shd w:val="clear" w:color="auto" w:fill="E5E5E5" w:themeFill="background1" w:themeFillTint="33"/>
            <w:vAlign w:val="center"/>
            <w:hideMark/>
          </w:tcPr>
          <w:p w14:paraId="6A9DD30F" w14:textId="77777777" w:rsidR="00E73668" w:rsidRPr="00E73668" w:rsidRDefault="00E73668" w:rsidP="0064166F">
            <w:pPr>
              <w:keepNext/>
              <w:rPr>
                <w:sz w:val="20"/>
              </w:rPr>
            </w:pPr>
            <w:r w:rsidRPr="00E73668">
              <w:rPr>
                <w:sz w:val="20"/>
              </w:rPr>
              <w:t>30 September 2014</w:t>
            </w:r>
          </w:p>
        </w:tc>
      </w:tr>
    </w:tbl>
    <w:p w14:paraId="5AF7C39F" w14:textId="77777777" w:rsidR="00E73668" w:rsidRPr="00E73668" w:rsidRDefault="00E73668" w:rsidP="00E73668">
      <w:pPr>
        <w:contextualSpacing/>
        <w:rPr>
          <w:rFonts w:cs="Calibri"/>
        </w:rPr>
      </w:pPr>
    </w:p>
    <w:p w14:paraId="6E18A0B2" w14:textId="77777777" w:rsidR="00E73668" w:rsidRPr="00E73668" w:rsidRDefault="00E73668" w:rsidP="00E73668">
      <w:r w:rsidRPr="00E73668">
        <w:t>Job seekers in regions where the Remote Jobs and Communities Programme (RJCP) was operating were excluded from the JSA 2009 and JSA 2012 study populations to ensure that the populations were comparable in respect to their geographical spread.</w:t>
      </w:r>
    </w:p>
    <w:p w14:paraId="41D9C91F" w14:textId="77777777" w:rsidR="00E73668" w:rsidRPr="00E73668" w:rsidRDefault="00E73668" w:rsidP="00E73668">
      <w:pPr>
        <w:spacing w:after="120"/>
        <w:rPr>
          <w:rFonts w:cstheme="minorHAnsi"/>
        </w:rPr>
      </w:pPr>
      <w:r w:rsidRPr="00E73668">
        <w:rPr>
          <w:rFonts w:cstheme="minorHAnsi"/>
        </w:rPr>
        <w:t>The JSA 2012 SSR study population has around 22 per cent more job seekers than the JSA 2009 SSR study population, with the largest proportional increase seen for those who commenced in Stream 4 (increasing from 2.3 per cent of the JSA 2009 SSR study population to 3.4 per cent of the JSA 2012 SSR study population</w:t>
      </w:r>
      <w:r w:rsidR="008A3E42">
        <w:rPr>
          <w:rFonts w:cstheme="minorHAnsi"/>
        </w:rPr>
        <w:t>)</w:t>
      </w:r>
      <w:r w:rsidRPr="00E73668">
        <w:rPr>
          <w:rFonts w:cstheme="minorHAnsi"/>
        </w:rPr>
        <w:t>. This is largely a result of the weaker labour market conditions prevailing during the selection period for the 2012 study population.</w:t>
      </w:r>
    </w:p>
    <w:p w14:paraId="5B0578DC" w14:textId="77777777" w:rsidR="00E73668" w:rsidRPr="008D1D34" w:rsidRDefault="003D0397" w:rsidP="00AD3F72">
      <w:pPr>
        <w:pStyle w:val="TableheadingforappendixA1"/>
        <w:rPr>
          <w:rFonts w:eastAsiaTheme="majorEastAsia"/>
        </w:rPr>
      </w:pPr>
      <w:bookmarkStart w:id="765" w:name="_Toc430186999"/>
      <w:bookmarkStart w:id="766" w:name="_Toc513129946"/>
      <w:r>
        <w:rPr>
          <w:rFonts w:eastAsiaTheme="majorEastAsia"/>
        </w:rPr>
        <w:t>Table B3.2:</w:t>
      </w:r>
      <w:r w:rsidR="003877A2">
        <w:rPr>
          <w:rFonts w:eastAsiaTheme="majorEastAsia"/>
        </w:rPr>
        <w:t xml:space="preserve"> </w:t>
      </w:r>
      <w:r w:rsidR="00BA1102">
        <w:rPr>
          <w:rFonts w:eastAsiaTheme="majorEastAsia"/>
        </w:rPr>
        <w:t>J</w:t>
      </w:r>
      <w:r w:rsidR="00E73668" w:rsidRPr="008D1D34">
        <w:rPr>
          <w:rFonts w:eastAsiaTheme="majorEastAsia"/>
        </w:rPr>
        <w:t>ob seekers in the 2009 and 2012 SSR study populations by commencement</w:t>
      </w:r>
      <w:r w:rsidR="00BA1102">
        <w:rPr>
          <w:rFonts w:eastAsiaTheme="majorEastAsia"/>
        </w:rPr>
        <w:t xml:space="preserve"> by s</w:t>
      </w:r>
      <w:r w:rsidR="00E73668" w:rsidRPr="008D1D34">
        <w:rPr>
          <w:rFonts w:eastAsiaTheme="majorEastAsia"/>
        </w:rPr>
        <w:t>tream</w:t>
      </w:r>
      <w:bookmarkEnd w:id="765"/>
      <w:r w:rsidR="00BA1102">
        <w:rPr>
          <w:rFonts w:eastAsiaTheme="majorEastAsia"/>
        </w:rPr>
        <w:t xml:space="preserve"> (number and per cent)</w:t>
      </w:r>
      <w:bookmarkEnd w:id="766"/>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953"/>
        <w:gridCol w:w="1716"/>
        <w:gridCol w:w="1950"/>
        <w:gridCol w:w="1688"/>
      </w:tblGrid>
      <w:tr w:rsidR="00E73668" w:rsidRPr="006A1F08" w14:paraId="4957C7D2" w14:textId="77777777" w:rsidTr="001A4D7B">
        <w:trPr>
          <w:tblHeader/>
        </w:trPr>
        <w:tc>
          <w:tcPr>
            <w:tcW w:w="1781" w:type="dxa"/>
            <w:shd w:val="clear" w:color="auto" w:fill="1E3D6B"/>
          </w:tcPr>
          <w:p w14:paraId="7BFA7E83" w14:textId="77777777" w:rsidR="00E73668" w:rsidRPr="006A1F08" w:rsidRDefault="007C7A05" w:rsidP="00E73668">
            <w:pPr>
              <w:keepNext/>
              <w:spacing w:before="83" w:beforeAutospacing="1" w:after="83" w:afterAutospacing="1"/>
              <w:rPr>
                <w:rFonts w:ascii="Calibri" w:hAnsi="Calibri"/>
                <w:b/>
                <w:color w:val="FFFFFF" w:themeColor="background2"/>
                <w:sz w:val="20"/>
                <w:szCs w:val="20"/>
              </w:rPr>
            </w:pPr>
            <w:bookmarkStart w:id="767" w:name="Title_b32"/>
            <w:bookmarkEnd w:id="767"/>
            <w:r>
              <w:rPr>
                <w:rFonts w:ascii="Calibri" w:hAnsi="Calibri"/>
                <w:b/>
                <w:color w:val="FFFFFF" w:themeColor="background2"/>
                <w:sz w:val="20"/>
                <w:szCs w:val="20"/>
              </w:rPr>
              <w:t>Stream</w:t>
            </w:r>
          </w:p>
        </w:tc>
        <w:tc>
          <w:tcPr>
            <w:tcW w:w="1992" w:type="dxa"/>
            <w:shd w:val="clear" w:color="auto" w:fill="1E3D6B"/>
          </w:tcPr>
          <w:p w14:paraId="53D46BB0" w14:textId="77777777" w:rsidR="00E73668" w:rsidRPr="006A1F08" w:rsidRDefault="007C7A05" w:rsidP="007C7A05">
            <w:pPr>
              <w:keepNext/>
              <w:spacing w:before="83" w:beforeAutospacing="1" w:after="83" w:afterAutospacing="1"/>
              <w:jc w:val="center"/>
              <w:rPr>
                <w:rFonts w:ascii="Calibri" w:hAnsi="Calibri"/>
                <w:b/>
                <w:color w:val="FFFFFF" w:themeColor="background2"/>
                <w:sz w:val="20"/>
                <w:szCs w:val="20"/>
              </w:rPr>
            </w:pPr>
            <w:r>
              <w:rPr>
                <w:rFonts w:ascii="Calibri" w:hAnsi="Calibri"/>
                <w:b/>
                <w:color w:val="FFFFFF" w:themeColor="background2"/>
                <w:sz w:val="20"/>
                <w:szCs w:val="20"/>
              </w:rPr>
              <w:t xml:space="preserve">JSA 2009 </w:t>
            </w:r>
            <w:r>
              <w:rPr>
                <w:rFonts w:ascii="Calibri" w:hAnsi="Calibri"/>
                <w:b/>
                <w:color w:val="FFFFFF" w:themeColor="background2"/>
                <w:sz w:val="20"/>
                <w:szCs w:val="20"/>
              </w:rPr>
              <w:br/>
            </w:r>
            <w:r w:rsidR="001A4D7B">
              <w:rPr>
                <w:rFonts w:ascii="Calibri" w:hAnsi="Calibri"/>
                <w:b/>
                <w:color w:val="FFFFFF" w:themeColor="background2"/>
                <w:sz w:val="20"/>
                <w:szCs w:val="20"/>
              </w:rPr>
              <w:t>(</w:t>
            </w:r>
            <w:r w:rsidR="00E73668" w:rsidRPr="006A1F08">
              <w:rPr>
                <w:rFonts w:ascii="Calibri" w:hAnsi="Calibri"/>
                <w:b/>
                <w:color w:val="FFFFFF" w:themeColor="background2"/>
                <w:sz w:val="20"/>
                <w:szCs w:val="20"/>
              </w:rPr>
              <w:t>Number</w:t>
            </w:r>
            <w:r w:rsidR="001A4D7B">
              <w:rPr>
                <w:rFonts w:ascii="Calibri" w:hAnsi="Calibri"/>
                <w:b/>
                <w:color w:val="FFFFFF" w:themeColor="background2"/>
                <w:sz w:val="20"/>
                <w:szCs w:val="20"/>
              </w:rPr>
              <w:t>)</w:t>
            </w:r>
          </w:p>
        </w:tc>
        <w:tc>
          <w:tcPr>
            <w:tcW w:w="1750" w:type="dxa"/>
            <w:shd w:val="clear" w:color="auto" w:fill="1E3D6B"/>
          </w:tcPr>
          <w:p w14:paraId="173421C5" w14:textId="77777777" w:rsidR="00E73668" w:rsidRPr="006A1F08" w:rsidRDefault="007C7A05" w:rsidP="007C7A05">
            <w:pPr>
              <w:keepNext/>
              <w:spacing w:before="83" w:beforeAutospacing="1" w:after="83" w:afterAutospacing="1"/>
              <w:jc w:val="center"/>
              <w:rPr>
                <w:rFonts w:ascii="Calibri" w:hAnsi="Calibri"/>
                <w:b/>
                <w:color w:val="FFFFFF" w:themeColor="background2"/>
                <w:sz w:val="20"/>
                <w:szCs w:val="20"/>
              </w:rPr>
            </w:pPr>
            <w:r>
              <w:rPr>
                <w:rFonts w:ascii="Calibri" w:hAnsi="Calibri"/>
                <w:b/>
                <w:color w:val="FFFFFF" w:themeColor="background2"/>
                <w:sz w:val="20"/>
                <w:szCs w:val="20"/>
              </w:rPr>
              <w:t>JSA 2009</w:t>
            </w:r>
            <w:r>
              <w:rPr>
                <w:rFonts w:ascii="Calibri" w:hAnsi="Calibri"/>
                <w:b/>
                <w:color w:val="FFFFFF" w:themeColor="background2"/>
                <w:sz w:val="20"/>
                <w:szCs w:val="20"/>
              </w:rPr>
              <w:br/>
            </w:r>
            <w:r w:rsidR="001A4D7B">
              <w:rPr>
                <w:rFonts w:ascii="Calibri" w:hAnsi="Calibri"/>
                <w:b/>
                <w:color w:val="FFFFFF" w:themeColor="background2"/>
                <w:sz w:val="20"/>
                <w:szCs w:val="20"/>
              </w:rPr>
              <w:t>(</w:t>
            </w:r>
            <w:r>
              <w:rPr>
                <w:rFonts w:ascii="Calibri" w:hAnsi="Calibri"/>
                <w:b/>
                <w:color w:val="FFFFFF" w:themeColor="background2"/>
                <w:sz w:val="20"/>
                <w:szCs w:val="20"/>
              </w:rPr>
              <w:t>%</w:t>
            </w:r>
            <w:r w:rsidR="001A4D7B">
              <w:rPr>
                <w:rFonts w:ascii="Calibri" w:hAnsi="Calibri"/>
                <w:b/>
                <w:color w:val="FFFFFF" w:themeColor="background2"/>
                <w:sz w:val="20"/>
                <w:szCs w:val="20"/>
              </w:rPr>
              <w:t>)</w:t>
            </w:r>
          </w:p>
        </w:tc>
        <w:tc>
          <w:tcPr>
            <w:tcW w:w="1994" w:type="dxa"/>
            <w:shd w:val="clear" w:color="auto" w:fill="1E3D6B"/>
          </w:tcPr>
          <w:p w14:paraId="46004C72" w14:textId="77777777" w:rsidR="00E73668" w:rsidRPr="006A1F08" w:rsidRDefault="007C7A05" w:rsidP="007C7A05">
            <w:pPr>
              <w:keepNext/>
              <w:spacing w:before="83" w:beforeAutospacing="1" w:after="83" w:afterAutospacing="1"/>
              <w:jc w:val="center"/>
              <w:rPr>
                <w:rFonts w:ascii="Calibri" w:hAnsi="Calibri"/>
                <w:b/>
                <w:color w:val="FFFFFF" w:themeColor="background2"/>
                <w:sz w:val="20"/>
                <w:szCs w:val="20"/>
              </w:rPr>
            </w:pPr>
            <w:r>
              <w:rPr>
                <w:rFonts w:ascii="Calibri" w:hAnsi="Calibri"/>
                <w:b/>
                <w:color w:val="FFFFFF" w:themeColor="background2"/>
                <w:sz w:val="20"/>
                <w:szCs w:val="20"/>
              </w:rPr>
              <w:t>JSA 2012</w:t>
            </w:r>
            <w:r>
              <w:rPr>
                <w:rFonts w:ascii="Calibri" w:hAnsi="Calibri"/>
                <w:b/>
                <w:color w:val="FFFFFF" w:themeColor="background2"/>
                <w:sz w:val="20"/>
                <w:szCs w:val="20"/>
              </w:rPr>
              <w:br/>
            </w:r>
            <w:r w:rsidR="001A4D7B">
              <w:rPr>
                <w:rFonts w:ascii="Calibri" w:hAnsi="Calibri"/>
                <w:b/>
                <w:color w:val="FFFFFF" w:themeColor="background2"/>
                <w:sz w:val="20"/>
                <w:szCs w:val="20"/>
              </w:rPr>
              <w:t>(</w:t>
            </w:r>
            <w:r w:rsidR="00E73668" w:rsidRPr="006A1F08">
              <w:rPr>
                <w:rFonts w:ascii="Calibri" w:hAnsi="Calibri"/>
                <w:b/>
                <w:color w:val="FFFFFF" w:themeColor="background2"/>
                <w:sz w:val="20"/>
                <w:szCs w:val="20"/>
              </w:rPr>
              <w:t>Number</w:t>
            </w:r>
            <w:r w:rsidR="001A4D7B">
              <w:rPr>
                <w:rFonts w:ascii="Calibri" w:hAnsi="Calibri"/>
                <w:b/>
                <w:color w:val="FFFFFF" w:themeColor="background2"/>
                <w:sz w:val="20"/>
                <w:szCs w:val="20"/>
              </w:rPr>
              <w:t>)</w:t>
            </w:r>
          </w:p>
        </w:tc>
        <w:tc>
          <w:tcPr>
            <w:tcW w:w="1726" w:type="dxa"/>
            <w:shd w:val="clear" w:color="auto" w:fill="1E3D6B"/>
          </w:tcPr>
          <w:p w14:paraId="14818F01" w14:textId="77777777" w:rsidR="00E73668" w:rsidRPr="006A1F08" w:rsidRDefault="007C7A05" w:rsidP="007C7A05">
            <w:pPr>
              <w:keepNext/>
              <w:spacing w:before="83" w:beforeAutospacing="1" w:after="83" w:afterAutospacing="1"/>
              <w:jc w:val="center"/>
              <w:rPr>
                <w:rFonts w:ascii="Calibri" w:hAnsi="Calibri"/>
                <w:b/>
                <w:color w:val="FFFFFF" w:themeColor="background2"/>
                <w:sz w:val="20"/>
                <w:szCs w:val="20"/>
              </w:rPr>
            </w:pPr>
            <w:r>
              <w:rPr>
                <w:rFonts w:ascii="Calibri" w:hAnsi="Calibri"/>
                <w:b/>
                <w:color w:val="FFFFFF" w:themeColor="background2"/>
                <w:sz w:val="20"/>
                <w:szCs w:val="20"/>
              </w:rPr>
              <w:t>JSA 2012</w:t>
            </w:r>
            <w:r>
              <w:rPr>
                <w:rFonts w:ascii="Calibri" w:hAnsi="Calibri"/>
                <w:b/>
                <w:color w:val="FFFFFF" w:themeColor="background2"/>
                <w:sz w:val="20"/>
                <w:szCs w:val="20"/>
              </w:rPr>
              <w:br/>
            </w:r>
            <w:r w:rsidR="001A4D7B">
              <w:rPr>
                <w:rFonts w:ascii="Calibri" w:hAnsi="Calibri"/>
                <w:b/>
                <w:color w:val="FFFFFF" w:themeColor="background2"/>
                <w:sz w:val="20"/>
                <w:szCs w:val="20"/>
              </w:rPr>
              <w:t>(</w:t>
            </w:r>
            <w:r>
              <w:rPr>
                <w:rFonts w:ascii="Calibri" w:hAnsi="Calibri"/>
                <w:b/>
                <w:color w:val="FFFFFF" w:themeColor="background2"/>
                <w:sz w:val="20"/>
                <w:szCs w:val="20"/>
              </w:rPr>
              <w:t>%</w:t>
            </w:r>
            <w:r w:rsidR="001A4D7B">
              <w:rPr>
                <w:rFonts w:ascii="Calibri" w:hAnsi="Calibri"/>
                <w:b/>
                <w:color w:val="FFFFFF" w:themeColor="background2"/>
                <w:sz w:val="20"/>
                <w:szCs w:val="20"/>
              </w:rPr>
              <w:t>)</w:t>
            </w:r>
          </w:p>
        </w:tc>
      </w:tr>
      <w:tr w:rsidR="00E73668" w:rsidRPr="001A4D7B" w14:paraId="35196EE5" w14:textId="77777777" w:rsidTr="001A4D7B">
        <w:trPr>
          <w:trHeight w:hRule="exact" w:val="340"/>
        </w:trPr>
        <w:tc>
          <w:tcPr>
            <w:tcW w:w="1781" w:type="dxa"/>
            <w:shd w:val="clear" w:color="auto" w:fill="auto"/>
            <w:vAlign w:val="center"/>
          </w:tcPr>
          <w:p w14:paraId="47998E71" w14:textId="77777777" w:rsidR="00E73668" w:rsidRPr="001A4D7B" w:rsidRDefault="00E73668" w:rsidP="00E73668">
            <w:pPr>
              <w:keepNext/>
              <w:rPr>
                <w:sz w:val="20"/>
                <w:szCs w:val="20"/>
              </w:rPr>
            </w:pPr>
            <w:r w:rsidRPr="001A4D7B">
              <w:rPr>
                <w:sz w:val="20"/>
                <w:szCs w:val="20"/>
              </w:rPr>
              <w:t xml:space="preserve">Stream 1 </w:t>
            </w:r>
          </w:p>
        </w:tc>
        <w:tc>
          <w:tcPr>
            <w:tcW w:w="1992" w:type="dxa"/>
            <w:shd w:val="clear" w:color="auto" w:fill="auto"/>
            <w:vAlign w:val="center"/>
          </w:tcPr>
          <w:p w14:paraId="68FA6601" w14:textId="77777777" w:rsidR="00E73668" w:rsidRPr="001A4D7B" w:rsidRDefault="00E73668" w:rsidP="007C7A05">
            <w:pPr>
              <w:keepNext/>
              <w:ind w:right="481"/>
              <w:jc w:val="right"/>
              <w:rPr>
                <w:bCs/>
                <w:color w:val="000000"/>
                <w:sz w:val="20"/>
                <w:szCs w:val="20"/>
              </w:rPr>
            </w:pPr>
            <w:r w:rsidRPr="001A4D7B">
              <w:rPr>
                <w:bCs/>
                <w:color w:val="000000"/>
                <w:sz w:val="20"/>
                <w:szCs w:val="20"/>
              </w:rPr>
              <w:t xml:space="preserve"> 128,574</w:t>
            </w:r>
          </w:p>
        </w:tc>
        <w:tc>
          <w:tcPr>
            <w:tcW w:w="1750" w:type="dxa"/>
            <w:vAlign w:val="center"/>
          </w:tcPr>
          <w:p w14:paraId="69283636" w14:textId="77777777" w:rsidR="00E73668" w:rsidRPr="001A4D7B" w:rsidRDefault="00E73668" w:rsidP="007C7A05">
            <w:pPr>
              <w:keepNext/>
              <w:ind w:right="522"/>
              <w:jc w:val="right"/>
              <w:rPr>
                <w:bCs/>
                <w:color w:val="000000"/>
                <w:sz w:val="20"/>
                <w:szCs w:val="20"/>
              </w:rPr>
            </w:pPr>
            <w:r w:rsidRPr="001A4D7B">
              <w:rPr>
                <w:bCs/>
                <w:color w:val="000000"/>
                <w:sz w:val="20"/>
                <w:szCs w:val="20"/>
              </w:rPr>
              <w:t>74.2</w:t>
            </w:r>
          </w:p>
        </w:tc>
        <w:tc>
          <w:tcPr>
            <w:tcW w:w="1994" w:type="dxa"/>
            <w:shd w:val="clear" w:color="auto" w:fill="auto"/>
            <w:vAlign w:val="center"/>
          </w:tcPr>
          <w:p w14:paraId="46B4AD81" w14:textId="77777777" w:rsidR="00E73668" w:rsidRPr="001A4D7B" w:rsidRDefault="00E73668" w:rsidP="007C7A05">
            <w:pPr>
              <w:keepNext/>
              <w:ind w:right="412"/>
              <w:jc w:val="right"/>
              <w:rPr>
                <w:bCs/>
                <w:color w:val="000000"/>
                <w:sz w:val="20"/>
                <w:szCs w:val="20"/>
              </w:rPr>
            </w:pPr>
            <w:r w:rsidRPr="001A4D7B">
              <w:rPr>
                <w:bCs/>
                <w:color w:val="000000"/>
                <w:sz w:val="20"/>
                <w:szCs w:val="20"/>
              </w:rPr>
              <w:t xml:space="preserve"> 151,917</w:t>
            </w:r>
          </w:p>
        </w:tc>
        <w:tc>
          <w:tcPr>
            <w:tcW w:w="1726" w:type="dxa"/>
            <w:vAlign w:val="center"/>
          </w:tcPr>
          <w:p w14:paraId="1C70F952" w14:textId="77777777" w:rsidR="00E73668" w:rsidRPr="001A4D7B" w:rsidRDefault="00E73668" w:rsidP="007C7A05">
            <w:pPr>
              <w:keepNext/>
              <w:ind w:right="433"/>
              <w:jc w:val="right"/>
              <w:rPr>
                <w:bCs/>
                <w:color w:val="000000"/>
                <w:sz w:val="20"/>
                <w:szCs w:val="20"/>
              </w:rPr>
            </w:pPr>
            <w:r w:rsidRPr="001A4D7B">
              <w:rPr>
                <w:bCs/>
                <w:color w:val="000000"/>
                <w:sz w:val="20"/>
                <w:szCs w:val="20"/>
              </w:rPr>
              <w:t>71.6</w:t>
            </w:r>
          </w:p>
        </w:tc>
      </w:tr>
      <w:tr w:rsidR="00E73668" w:rsidRPr="001A4D7B" w14:paraId="7646C638" w14:textId="77777777" w:rsidTr="001A4D7B">
        <w:trPr>
          <w:trHeight w:hRule="exact" w:val="340"/>
        </w:trPr>
        <w:tc>
          <w:tcPr>
            <w:tcW w:w="1781" w:type="dxa"/>
            <w:shd w:val="clear" w:color="auto" w:fill="E5E5E5" w:themeFill="background1" w:themeFillTint="33"/>
            <w:vAlign w:val="center"/>
          </w:tcPr>
          <w:p w14:paraId="2BC01232" w14:textId="77777777" w:rsidR="00E73668" w:rsidRPr="001A4D7B" w:rsidRDefault="00E73668" w:rsidP="00E73668">
            <w:pPr>
              <w:keepNext/>
              <w:rPr>
                <w:sz w:val="20"/>
                <w:szCs w:val="20"/>
              </w:rPr>
            </w:pPr>
            <w:r w:rsidRPr="001A4D7B">
              <w:rPr>
                <w:sz w:val="20"/>
                <w:szCs w:val="20"/>
              </w:rPr>
              <w:t>Stream 2</w:t>
            </w:r>
          </w:p>
        </w:tc>
        <w:tc>
          <w:tcPr>
            <w:tcW w:w="1992" w:type="dxa"/>
            <w:shd w:val="clear" w:color="auto" w:fill="E5E5E5" w:themeFill="background1" w:themeFillTint="33"/>
            <w:vAlign w:val="center"/>
          </w:tcPr>
          <w:p w14:paraId="0286DB30" w14:textId="77777777" w:rsidR="00E73668" w:rsidRPr="001A4D7B" w:rsidRDefault="00E73668" w:rsidP="007C7A05">
            <w:pPr>
              <w:keepNext/>
              <w:ind w:right="481"/>
              <w:jc w:val="right"/>
              <w:rPr>
                <w:bCs/>
                <w:color w:val="000000"/>
                <w:sz w:val="20"/>
                <w:szCs w:val="20"/>
              </w:rPr>
            </w:pPr>
            <w:r w:rsidRPr="001A4D7B">
              <w:rPr>
                <w:bCs/>
                <w:color w:val="000000"/>
                <w:sz w:val="20"/>
                <w:szCs w:val="20"/>
              </w:rPr>
              <w:t>33,186</w:t>
            </w:r>
          </w:p>
        </w:tc>
        <w:tc>
          <w:tcPr>
            <w:tcW w:w="1750" w:type="dxa"/>
            <w:shd w:val="clear" w:color="auto" w:fill="E5E5E5" w:themeFill="background1" w:themeFillTint="33"/>
            <w:vAlign w:val="center"/>
          </w:tcPr>
          <w:p w14:paraId="0A937DCF" w14:textId="77777777" w:rsidR="00E73668" w:rsidRPr="001A4D7B" w:rsidRDefault="00E73668" w:rsidP="007C7A05">
            <w:pPr>
              <w:keepNext/>
              <w:ind w:right="522"/>
              <w:jc w:val="right"/>
              <w:rPr>
                <w:bCs/>
                <w:color w:val="000000"/>
                <w:sz w:val="20"/>
                <w:szCs w:val="20"/>
              </w:rPr>
            </w:pPr>
            <w:r w:rsidRPr="001A4D7B">
              <w:rPr>
                <w:bCs/>
                <w:color w:val="000000"/>
                <w:sz w:val="20"/>
                <w:szCs w:val="20"/>
              </w:rPr>
              <w:t>19.2</w:t>
            </w:r>
          </w:p>
        </w:tc>
        <w:tc>
          <w:tcPr>
            <w:tcW w:w="1994" w:type="dxa"/>
            <w:shd w:val="clear" w:color="auto" w:fill="E5E5E5" w:themeFill="background1" w:themeFillTint="33"/>
            <w:vAlign w:val="center"/>
          </w:tcPr>
          <w:p w14:paraId="574E189C" w14:textId="77777777" w:rsidR="00E73668" w:rsidRPr="001A4D7B" w:rsidRDefault="00E73668" w:rsidP="007C7A05">
            <w:pPr>
              <w:keepNext/>
              <w:ind w:right="412"/>
              <w:jc w:val="right"/>
              <w:rPr>
                <w:bCs/>
                <w:color w:val="000000"/>
                <w:sz w:val="20"/>
                <w:szCs w:val="20"/>
              </w:rPr>
            </w:pPr>
            <w:r w:rsidRPr="001A4D7B">
              <w:rPr>
                <w:bCs/>
                <w:color w:val="000000"/>
                <w:sz w:val="20"/>
                <w:szCs w:val="20"/>
              </w:rPr>
              <w:t>43,261</w:t>
            </w:r>
          </w:p>
        </w:tc>
        <w:tc>
          <w:tcPr>
            <w:tcW w:w="1726" w:type="dxa"/>
            <w:shd w:val="clear" w:color="auto" w:fill="E5E5E5" w:themeFill="background1" w:themeFillTint="33"/>
            <w:vAlign w:val="center"/>
          </w:tcPr>
          <w:p w14:paraId="6A130229" w14:textId="77777777" w:rsidR="00E73668" w:rsidRPr="001A4D7B" w:rsidRDefault="00E73668" w:rsidP="007C7A05">
            <w:pPr>
              <w:keepNext/>
              <w:ind w:right="433"/>
              <w:jc w:val="right"/>
              <w:rPr>
                <w:bCs/>
                <w:color w:val="000000"/>
                <w:sz w:val="20"/>
                <w:szCs w:val="20"/>
              </w:rPr>
            </w:pPr>
            <w:r w:rsidRPr="001A4D7B">
              <w:rPr>
                <w:bCs/>
                <w:color w:val="000000"/>
                <w:sz w:val="20"/>
                <w:szCs w:val="20"/>
              </w:rPr>
              <w:t>20.4</w:t>
            </w:r>
          </w:p>
        </w:tc>
      </w:tr>
      <w:tr w:rsidR="00E73668" w:rsidRPr="001A4D7B" w14:paraId="6CE570ED" w14:textId="77777777" w:rsidTr="001A4D7B">
        <w:trPr>
          <w:trHeight w:hRule="exact" w:val="340"/>
        </w:trPr>
        <w:tc>
          <w:tcPr>
            <w:tcW w:w="1781" w:type="dxa"/>
            <w:shd w:val="clear" w:color="auto" w:fill="auto"/>
            <w:vAlign w:val="center"/>
          </w:tcPr>
          <w:p w14:paraId="142F3EB1" w14:textId="77777777" w:rsidR="00E73668" w:rsidRPr="001A4D7B" w:rsidRDefault="00E73668" w:rsidP="00E73668">
            <w:pPr>
              <w:keepNext/>
              <w:rPr>
                <w:sz w:val="20"/>
                <w:szCs w:val="20"/>
              </w:rPr>
            </w:pPr>
            <w:r w:rsidRPr="001A4D7B">
              <w:rPr>
                <w:sz w:val="20"/>
                <w:szCs w:val="20"/>
              </w:rPr>
              <w:t>Stream 3</w:t>
            </w:r>
          </w:p>
        </w:tc>
        <w:tc>
          <w:tcPr>
            <w:tcW w:w="1992" w:type="dxa"/>
            <w:shd w:val="clear" w:color="auto" w:fill="auto"/>
            <w:vAlign w:val="center"/>
          </w:tcPr>
          <w:p w14:paraId="7384D8F3" w14:textId="77777777" w:rsidR="00E73668" w:rsidRPr="001A4D7B" w:rsidRDefault="00E73668" w:rsidP="007C7A05">
            <w:pPr>
              <w:keepNext/>
              <w:ind w:right="481"/>
              <w:jc w:val="right"/>
              <w:rPr>
                <w:bCs/>
                <w:color w:val="000000"/>
                <w:sz w:val="20"/>
                <w:szCs w:val="20"/>
              </w:rPr>
            </w:pPr>
            <w:r w:rsidRPr="001A4D7B">
              <w:rPr>
                <w:bCs/>
                <w:color w:val="000000"/>
                <w:sz w:val="20"/>
                <w:szCs w:val="20"/>
              </w:rPr>
              <w:t>7,551</w:t>
            </w:r>
          </w:p>
        </w:tc>
        <w:tc>
          <w:tcPr>
            <w:tcW w:w="1750" w:type="dxa"/>
            <w:vAlign w:val="center"/>
          </w:tcPr>
          <w:p w14:paraId="4A83DB83" w14:textId="77777777" w:rsidR="00E73668" w:rsidRPr="001A4D7B" w:rsidRDefault="00E73668" w:rsidP="007C7A05">
            <w:pPr>
              <w:keepNext/>
              <w:ind w:right="522"/>
              <w:jc w:val="right"/>
              <w:rPr>
                <w:bCs/>
                <w:color w:val="000000"/>
                <w:sz w:val="20"/>
                <w:szCs w:val="20"/>
              </w:rPr>
            </w:pPr>
            <w:r w:rsidRPr="001A4D7B">
              <w:rPr>
                <w:bCs/>
                <w:color w:val="000000"/>
                <w:sz w:val="20"/>
                <w:szCs w:val="20"/>
              </w:rPr>
              <w:t>4.4</w:t>
            </w:r>
          </w:p>
        </w:tc>
        <w:tc>
          <w:tcPr>
            <w:tcW w:w="1994" w:type="dxa"/>
            <w:shd w:val="clear" w:color="auto" w:fill="auto"/>
            <w:vAlign w:val="center"/>
          </w:tcPr>
          <w:p w14:paraId="3F890688" w14:textId="77777777" w:rsidR="00E73668" w:rsidRPr="001A4D7B" w:rsidRDefault="00E73668" w:rsidP="007C7A05">
            <w:pPr>
              <w:keepNext/>
              <w:ind w:right="412"/>
              <w:jc w:val="right"/>
              <w:rPr>
                <w:bCs/>
                <w:color w:val="000000"/>
                <w:sz w:val="20"/>
                <w:szCs w:val="20"/>
              </w:rPr>
            </w:pPr>
            <w:r w:rsidRPr="001A4D7B">
              <w:rPr>
                <w:bCs/>
                <w:color w:val="000000"/>
                <w:sz w:val="20"/>
                <w:szCs w:val="20"/>
              </w:rPr>
              <w:t>9,767</w:t>
            </w:r>
          </w:p>
        </w:tc>
        <w:tc>
          <w:tcPr>
            <w:tcW w:w="1726" w:type="dxa"/>
            <w:vAlign w:val="center"/>
          </w:tcPr>
          <w:p w14:paraId="06CC765D" w14:textId="77777777" w:rsidR="00E73668" w:rsidRPr="001A4D7B" w:rsidRDefault="00E73668" w:rsidP="007C7A05">
            <w:pPr>
              <w:keepNext/>
              <w:ind w:right="433"/>
              <w:jc w:val="right"/>
              <w:rPr>
                <w:bCs/>
                <w:color w:val="000000"/>
                <w:sz w:val="20"/>
                <w:szCs w:val="20"/>
              </w:rPr>
            </w:pPr>
            <w:r w:rsidRPr="001A4D7B">
              <w:rPr>
                <w:bCs/>
                <w:color w:val="000000"/>
                <w:sz w:val="20"/>
                <w:szCs w:val="20"/>
              </w:rPr>
              <w:t>4.6</w:t>
            </w:r>
          </w:p>
        </w:tc>
      </w:tr>
      <w:tr w:rsidR="00E73668" w:rsidRPr="001A4D7B" w14:paraId="0366761F" w14:textId="77777777" w:rsidTr="001A4D7B">
        <w:trPr>
          <w:trHeight w:hRule="exact" w:val="340"/>
        </w:trPr>
        <w:tc>
          <w:tcPr>
            <w:tcW w:w="1781" w:type="dxa"/>
            <w:shd w:val="clear" w:color="auto" w:fill="E5E5E5" w:themeFill="background1" w:themeFillTint="33"/>
            <w:vAlign w:val="center"/>
          </w:tcPr>
          <w:p w14:paraId="392A1535" w14:textId="77777777" w:rsidR="00E73668" w:rsidRPr="001A4D7B" w:rsidRDefault="00E73668" w:rsidP="00E73668">
            <w:pPr>
              <w:keepNext/>
              <w:rPr>
                <w:sz w:val="20"/>
                <w:szCs w:val="20"/>
              </w:rPr>
            </w:pPr>
            <w:r w:rsidRPr="001A4D7B">
              <w:rPr>
                <w:sz w:val="20"/>
                <w:szCs w:val="20"/>
              </w:rPr>
              <w:t>Stream 4</w:t>
            </w:r>
          </w:p>
        </w:tc>
        <w:tc>
          <w:tcPr>
            <w:tcW w:w="1992" w:type="dxa"/>
            <w:shd w:val="clear" w:color="auto" w:fill="E5E5E5" w:themeFill="background1" w:themeFillTint="33"/>
            <w:vAlign w:val="center"/>
          </w:tcPr>
          <w:p w14:paraId="1E7C5551" w14:textId="77777777" w:rsidR="00E73668" w:rsidRPr="001A4D7B" w:rsidRDefault="00E73668" w:rsidP="007C7A05">
            <w:pPr>
              <w:keepNext/>
              <w:ind w:right="481"/>
              <w:jc w:val="right"/>
              <w:rPr>
                <w:bCs/>
                <w:color w:val="000000"/>
                <w:sz w:val="20"/>
                <w:szCs w:val="20"/>
              </w:rPr>
            </w:pPr>
            <w:r w:rsidRPr="001A4D7B">
              <w:rPr>
                <w:bCs/>
                <w:color w:val="000000"/>
                <w:sz w:val="20"/>
                <w:szCs w:val="20"/>
              </w:rPr>
              <w:t>3,947</w:t>
            </w:r>
          </w:p>
        </w:tc>
        <w:tc>
          <w:tcPr>
            <w:tcW w:w="1750" w:type="dxa"/>
            <w:shd w:val="clear" w:color="auto" w:fill="E5E5E5" w:themeFill="background1" w:themeFillTint="33"/>
            <w:vAlign w:val="center"/>
          </w:tcPr>
          <w:p w14:paraId="22E1CDB5" w14:textId="77777777" w:rsidR="00E73668" w:rsidRPr="001A4D7B" w:rsidRDefault="00E73668" w:rsidP="007C7A05">
            <w:pPr>
              <w:keepNext/>
              <w:ind w:right="522"/>
              <w:jc w:val="right"/>
              <w:rPr>
                <w:bCs/>
                <w:color w:val="000000"/>
                <w:sz w:val="20"/>
                <w:szCs w:val="20"/>
              </w:rPr>
            </w:pPr>
            <w:r w:rsidRPr="001A4D7B">
              <w:rPr>
                <w:bCs/>
                <w:color w:val="000000"/>
                <w:sz w:val="20"/>
                <w:szCs w:val="20"/>
              </w:rPr>
              <w:t>2.3</w:t>
            </w:r>
          </w:p>
        </w:tc>
        <w:tc>
          <w:tcPr>
            <w:tcW w:w="1994" w:type="dxa"/>
            <w:shd w:val="clear" w:color="auto" w:fill="E5E5E5" w:themeFill="background1" w:themeFillTint="33"/>
            <w:vAlign w:val="center"/>
          </w:tcPr>
          <w:p w14:paraId="4B9D64F5" w14:textId="77777777" w:rsidR="00E73668" w:rsidRPr="001A4D7B" w:rsidRDefault="00E73668" w:rsidP="007C7A05">
            <w:pPr>
              <w:keepNext/>
              <w:ind w:right="412"/>
              <w:jc w:val="right"/>
              <w:rPr>
                <w:bCs/>
                <w:color w:val="000000"/>
                <w:sz w:val="20"/>
                <w:szCs w:val="20"/>
              </w:rPr>
            </w:pPr>
            <w:r w:rsidRPr="001A4D7B">
              <w:rPr>
                <w:bCs/>
                <w:color w:val="000000"/>
                <w:sz w:val="20"/>
                <w:szCs w:val="20"/>
              </w:rPr>
              <w:t>7,120</w:t>
            </w:r>
          </w:p>
        </w:tc>
        <w:tc>
          <w:tcPr>
            <w:tcW w:w="1726" w:type="dxa"/>
            <w:shd w:val="clear" w:color="auto" w:fill="E5E5E5" w:themeFill="background1" w:themeFillTint="33"/>
            <w:vAlign w:val="center"/>
          </w:tcPr>
          <w:p w14:paraId="7036DA6D" w14:textId="77777777" w:rsidR="00E73668" w:rsidRPr="001A4D7B" w:rsidRDefault="00E73668" w:rsidP="007C7A05">
            <w:pPr>
              <w:keepNext/>
              <w:ind w:right="433"/>
              <w:jc w:val="right"/>
              <w:rPr>
                <w:bCs/>
                <w:color w:val="000000"/>
                <w:sz w:val="20"/>
                <w:szCs w:val="20"/>
              </w:rPr>
            </w:pPr>
            <w:r w:rsidRPr="001A4D7B">
              <w:rPr>
                <w:bCs/>
                <w:color w:val="000000"/>
                <w:sz w:val="20"/>
                <w:szCs w:val="20"/>
              </w:rPr>
              <w:t>3.4</w:t>
            </w:r>
          </w:p>
        </w:tc>
      </w:tr>
      <w:tr w:rsidR="00E73668" w:rsidRPr="001A4D7B" w14:paraId="09F2F9B9" w14:textId="77777777" w:rsidTr="001A4D7B">
        <w:trPr>
          <w:trHeight w:hRule="exact" w:val="340"/>
        </w:trPr>
        <w:tc>
          <w:tcPr>
            <w:tcW w:w="1781" w:type="dxa"/>
            <w:shd w:val="clear" w:color="auto" w:fill="8EAEDE"/>
            <w:vAlign w:val="center"/>
          </w:tcPr>
          <w:p w14:paraId="0CCE33BE" w14:textId="77777777" w:rsidR="00E73668" w:rsidRPr="001A4D7B" w:rsidRDefault="00E73668" w:rsidP="007C7A05">
            <w:pPr>
              <w:keepNext/>
              <w:rPr>
                <w:sz w:val="20"/>
                <w:szCs w:val="20"/>
              </w:rPr>
            </w:pPr>
            <w:r w:rsidRPr="001A4D7B">
              <w:rPr>
                <w:sz w:val="20"/>
                <w:szCs w:val="20"/>
              </w:rPr>
              <w:t>T</w:t>
            </w:r>
            <w:r w:rsidR="007C7A05" w:rsidRPr="001A4D7B">
              <w:rPr>
                <w:sz w:val="20"/>
                <w:szCs w:val="20"/>
              </w:rPr>
              <w:t>otal</w:t>
            </w:r>
          </w:p>
        </w:tc>
        <w:tc>
          <w:tcPr>
            <w:tcW w:w="1992" w:type="dxa"/>
            <w:shd w:val="clear" w:color="auto" w:fill="8EAEDE"/>
            <w:vAlign w:val="center"/>
          </w:tcPr>
          <w:p w14:paraId="5DA3C781" w14:textId="77777777" w:rsidR="00E73668" w:rsidRPr="001A4D7B" w:rsidRDefault="00E73668" w:rsidP="007C7A05">
            <w:pPr>
              <w:keepNext/>
              <w:ind w:right="481"/>
              <w:jc w:val="right"/>
              <w:rPr>
                <w:bCs/>
                <w:color w:val="000000"/>
                <w:sz w:val="20"/>
                <w:szCs w:val="20"/>
              </w:rPr>
            </w:pPr>
            <w:r w:rsidRPr="001A4D7B">
              <w:rPr>
                <w:bCs/>
                <w:color w:val="000000"/>
                <w:sz w:val="20"/>
                <w:szCs w:val="20"/>
              </w:rPr>
              <w:t>173,258</w:t>
            </w:r>
          </w:p>
        </w:tc>
        <w:tc>
          <w:tcPr>
            <w:tcW w:w="1750" w:type="dxa"/>
            <w:shd w:val="clear" w:color="auto" w:fill="8EAEDE"/>
            <w:vAlign w:val="center"/>
          </w:tcPr>
          <w:p w14:paraId="6F2984A4" w14:textId="77777777" w:rsidR="00E73668" w:rsidRPr="001A4D7B" w:rsidRDefault="00E73668" w:rsidP="007C7A05">
            <w:pPr>
              <w:keepNext/>
              <w:ind w:right="522"/>
              <w:jc w:val="right"/>
              <w:rPr>
                <w:bCs/>
                <w:color w:val="000000"/>
                <w:sz w:val="20"/>
                <w:szCs w:val="20"/>
              </w:rPr>
            </w:pPr>
            <w:r w:rsidRPr="001A4D7B">
              <w:rPr>
                <w:bCs/>
                <w:color w:val="000000"/>
                <w:sz w:val="20"/>
                <w:szCs w:val="20"/>
              </w:rPr>
              <w:t>100.0</w:t>
            </w:r>
          </w:p>
        </w:tc>
        <w:tc>
          <w:tcPr>
            <w:tcW w:w="1994" w:type="dxa"/>
            <w:shd w:val="clear" w:color="auto" w:fill="8EAEDE"/>
            <w:vAlign w:val="center"/>
          </w:tcPr>
          <w:p w14:paraId="26D26D2F" w14:textId="77777777" w:rsidR="00E73668" w:rsidRPr="001A4D7B" w:rsidRDefault="00E73668" w:rsidP="007C7A05">
            <w:pPr>
              <w:keepNext/>
              <w:ind w:right="412"/>
              <w:jc w:val="right"/>
              <w:rPr>
                <w:bCs/>
                <w:color w:val="000000"/>
                <w:sz w:val="20"/>
                <w:szCs w:val="20"/>
              </w:rPr>
            </w:pPr>
            <w:r w:rsidRPr="001A4D7B">
              <w:rPr>
                <w:bCs/>
                <w:color w:val="000000"/>
                <w:sz w:val="20"/>
                <w:szCs w:val="20"/>
              </w:rPr>
              <w:t>212,065</w:t>
            </w:r>
          </w:p>
        </w:tc>
        <w:tc>
          <w:tcPr>
            <w:tcW w:w="1726" w:type="dxa"/>
            <w:shd w:val="clear" w:color="auto" w:fill="8EAEDE"/>
            <w:vAlign w:val="center"/>
          </w:tcPr>
          <w:p w14:paraId="71B3633C" w14:textId="77777777" w:rsidR="00E73668" w:rsidRPr="001A4D7B" w:rsidRDefault="00E73668" w:rsidP="007C7A05">
            <w:pPr>
              <w:keepNext/>
              <w:ind w:right="433"/>
              <w:jc w:val="right"/>
              <w:rPr>
                <w:bCs/>
                <w:color w:val="000000"/>
                <w:sz w:val="20"/>
                <w:szCs w:val="20"/>
              </w:rPr>
            </w:pPr>
            <w:r w:rsidRPr="001A4D7B">
              <w:rPr>
                <w:bCs/>
                <w:color w:val="000000"/>
                <w:sz w:val="20"/>
                <w:szCs w:val="20"/>
              </w:rPr>
              <w:t>100.0</w:t>
            </w:r>
          </w:p>
        </w:tc>
      </w:tr>
    </w:tbl>
    <w:p w14:paraId="4962EAAD" w14:textId="77777777" w:rsidR="00E73668" w:rsidRPr="00E73668" w:rsidRDefault="00E73668" w:rsidP="00E13B5E">
      <w:pPr>
        <w:pStyle w:val="Source"/>
        <w:rPr>
          <w:b/>
          <w:bCs/>
          <w:color w:val="000000"/>
        </w:rPr>
      </w:pPr>
      <w:r w:rsidRPr="00E73668">
        <w:rPr>
          <w:b/>
        </w:rPr>
        <w:t xml:space="preserve">Source: </w:t>
      </w:r>
      <w:r w:rsidRPr="00E73668">
        <w:tab/>
        <w:t>Department of Employment administrative data.</w:t>
      </w:r>
    </w:p>
    <w:p w14:paraId="72D1B8B9" w14:textId="77777777" w:rsidR="00E73668" w:rsidRPr="00E73668" w:rsidRDefault="00E73668" w:rsidP="00FB6F35">
      <w:pPr>
        <w:pStyle w:val="Heading3"/>
      </w:pPr>
      <w:bookmarkStart w:id="768" w:name="_Toc22543195"/>
      <w:r>
        <w:t>B3.3</w:t>
      </w:r>
      <w:r>
        <w:tab/>
      </w:r>
      <w:r w:rsidRPr="00E73668">
        <w:t>Assessments</w:t>
      </w:r>
      <w:bookmarkEnd w:id="768"/>
    </w:p>
    <w:p w14:paraId="72A89527" w14:textId="4CDAD08F" w:rsidR="00E73668" w:rsidRPr="00E73668" w:rsidRDefault="00E73668" w:rsidP="00E73668">
      <w:r w:rsidRPr="00E73668">
        <w:t xml:space="preserve">JSCI </w:t>
      </w:r>
      <w:r w:rsidR="008A3E42">
        <w:t>a</w:t>
      </w:r>
      <w:r w:rsidR="008A3E42" w:rsidRPr="00E73668">
        <w:t xml:space="preserve">ssessments </w:t>
      </w:r>
      <w:r w:rsidRPr="00E73668">
        <w:t xml:space="preserve">were conducted with job seekers at various stages, for example: at registration; when the job seekers disclosed changes in their personal circumstances, and; for a </w:t>
      </w:r>
      <w:r w:rsidR="00FD5861">
        <w:t>S</w:t>
      </w:r>
      <w:r w:rsidRPr="00E73668">
        <w:t xml:space="preserve">tream </w:t>
      </w:r>
      <w:r w:rsidR="00FD5861">
        <w:t>S</w:t>
      </w:r>
      <w:r w:rsidRPr="00E73668">
        <w:t>ervice</w:t>
      </w:r>
      <w:r w:rsidR="007D5BF1">
        <w:t>s</w:t>
      </w:r>
      <w:r w:rsidRPr="00E73668">
        <w:t xml:space="preserve"> Review (under the JSA 2009 model for Stream 1 to 3 job seekers). Each </w:t>
      </w:r>
      <w:r w:rsidR="00586F68">
        <w:t>a</w:t>
      </w:r>
      <w:r w:rsidRPr="00E73668">
        <w:t xml:space="preserve">ssessment created an updated JSCI record in the administrative data. The conduct of a second or any subsequent JSCI </w:t>
      </w:r>
      <w:r w:rsidR="00586F68">
        <w:t>a</w:t>
      </w:r>
      <w:r w:rsidRPr="00E73668">
        <w:t xml:space="preserve">ssessment did not necessarily result in all JSCI factors being updated. For instance when a Change of Circumstance </w:t>
      </w:r>
      <w:r w:rsidR="00586F68">
        <w:t>a</w:t>
      </w:r>
      <w:r w:rsidRPr="00E73668">
        <w:t xml:space="preserve">ssessment was conducted there was no requirement for all JSCI questions to be asked, only those questions that related to the disclosed information or their change in circumstances. </w:t>
      </w:r>
    </w:p>
    <w:p w14:paraId="486EF46D" w14:textId="77777777" w:rsidR="00E73668" w:rsidRPr="00E73668" w:rsidRDefault="00E73668" w:rsidP="00E73668">
      <w:r w:rsidRPr="00E73668">
        <w:t>JSCI records were also automatically updated (creating an updated record) when job seekers changed address (with only geographic JSCI factors updated in this circumstance). If a JCA/ESAt was conducted and new information was provided that was inconsistent with the existing JSCI information, the job seeker’s JSCI record was also automatically updated.</w:t>
      </w:r>
    </w:p>
    <w:p w14:paraId="63A3CBCB" w14:textId="77777777" w:rsidR="00E73668" w:rsidRPr="00E73668" w:rsidRDefault="00E73668" w:rsidP="00E73668">
      <w:r w:rsidRPr="00E73668">
        <w:t>For this analysis details of all assessments conducted for the SSR study population job seekers were taken from administrative data to derive a master data set. This dataset included all JSCI assessments conducted, including records that:</w:t>
      </w:r>
    </w:p>
    <w:p w14:paraId="1DCE0E8E" w14:textId="77777777" w:rsidR="00E73668" w:rsidRPr="00E73668" w:rsidRDefault="00E73668" w:rsidP="008B2DE9">
      <w:pPr>
        <w:pStyle w:val="bullet"/>
      </w:pPr>
      <w:r w:rsidRPr="00E73668">
        <w:t xml:space="preserve">were updated as part of a JCA/ESAt assessment </w:t>
      </w:r>
    </w:p>
    <w:p w14:paraId="05110EF8" w14:textId="77777777" w:rsidR="00E73668" w:rsidRPr="00E73668" w:rsidRDefault="00E73668" w:rsidP="008B2DE9">
      <w:pPr>
        <w:pStyle w:val="bullet"/>
      </w:pPr>
      <w:r w:rsidRPr="00E73668">
        <w:t>were automatically updated (for example through change of address)</w:t>
      </w:r>
    </w:p>
    <w:p w14:paraId="7A77E81A" w14:textId="77777777" w:rsidR="00E73668" w:rsidRPr="00E73668" w:rsidRDefault="00E73668" w:rsidP="008B2DE9">
      <w:pPr>
        <w:pStyle w:val="bullet"/>
      </w:pPr>
      <w:r w:rsidRPr="00E73668">
        <w:t>could not be matched to details of JCA/ESAts ( i.e. assessments that did not result in a change to the JSCI record).</w:t>
      </w:r>
    </w:p>
    <w:p w14:paraId="65102D7F" w14:textId="77777777" w:rsidR="00E73668" w:rsidRPr="00E73668" w:rsidRDefault="00E73668" w:rsidP="00976ACB">
      <w:pPr>
        <w:pStyle w:val="Heading3"/>
      </w:pPr>
      <w:bookmarkStart w:id="769" w:name="_Toc22543196"/>
      <w:r>
        <w:t>B3.4</w:t>
      </w:r>
      <w:r>
        <w:tab/>
      </w:r>
      <w:r w:rsidRPr="00E73668">
        <w:t>Statistical techniques used</w:t>
      </w:r>
      <w:bookmarkEnd w:id="769"/>
    </w:p>
    <w:p w14:paraId="38AE4B50" w14:textId="77777777" w:rsidR="00E73668" w:rsidRPr="00E73668" w:rsidRDefault="00E73668" w:rsidP="00E73668">
      <w:pPr>
        <w:rPr>
          <w:color w:val="000000" w:themeColor="text1"/>
        </w:rPr>
      </w:pPr>
      <w:r w:rsidRPr="00E73668">
        <w:rPr>
          <w:color w:val="000000" w:themeColor="text1"/>
        </w:rPr>
        <w:t xml:space="preserve">The analysis for this specific study did not require regression techniques. Survival analysis </w:t>
      </w:r>
      <w:r>
        <w:rPr>
          <w:color w:val="000000" w:themeColor="text1"/>
        </w:rPr>
        <w:t>wa</w:t>
      </w:r>
      <w:r w:rsidRPr="00E73668">
        <w:rPr>
          <w:color w:val="000000" w:themeColor="text1"/>
        </w:rPr>
        <w:t xml:space="preserve">s used to estimate the median number of </w:t>
      </w:r>
      <w:r w:rsidRPr="00E73668">
        <w:t xml:space="preserve">days in service until transition to the </w:t>
      </w:r>
      <w:r w:rsidR="004535A1">
        <w:t>WEP</w:t>
      </w:r>
      <w:r w:rsidR="0054199A">
        <w:t>h</w:t>
      </w:r>
      <w:r w:rsidRPr="00E73668">
        <w:rPr>
          <w:color w:val="000000" w:themeColor="text1"/>
        </w:rPr>
        <w:t>.</w:t>
      </w:r>
      <w:r w:rsidR="00D978A8">
        <w:rPr>
          <w:color w:val="000000" w:themeColor="text1"/>
        </w:rPr>
        <w:t xml:space="preserve"> Appendix B</w:t>
      </w:r>
      <w:r w:rsidR="003114A5">
        <w:rPr>
          <w:color w:val="000000" w:themeColor="text1"/>
        </w:rPr>
        <w:t>8</w:t>
      </w:r>
      <w:r w:rsidR="00D978A8">
        <w:rPr>
          <w:color w:val="000000" w:themeColor="text1"/>
        </w:rPr>
        <w:t xml:space="preserve"> provides information about these techniques.</w:t>
      </w:r>
    </w:p>
    <w:p w14:paraId="118BFE4D" w14:textId="77777777" w:rsidR="003205F4" w:rsidRDefault="003205F4">
      <w:pPr>
        <w:rPr>
          <w:rFonts w:ascii="Calibri" w:eastAsiaTheme="majorEastAsia" w:hAnsi="Calibri" w:cstheme="majorBidi"/>
          <w:b/>
          <w:bCs/>
          <w:sz w:val="28"/>
          <w:szCs w:val="26"/>
        </w:rPr>
      </w:pPr>
      <w:r>
        <w:br w:type="page"/>
      </w:r>
    </w:p>
    <w:p w14:paraId="42A79954" w14:textId="77777777" w:rsidR="005E1B5A" w:rsidRDefault="005E1B5A" w:rsidP="005E1B5A">
      <w:pPr>
        <w:pStyle w:val="Heading2"/>
      </w:pPr>
      <w:bookmarkStart w:id="770" w:name="_Toc450919362"/>
      <w:bookmarkStart w:id="771" w:name="_Toc22543197"/>
      <w:r>
        <w:t>B4</w:t>
      </w:r>
      <w:r>
        <w:tab/>
        <w:t>Measuring the effect of the CAP</w:t>
      </w:r>
      <w:bookmarkEnd w:id="770"/>
      <w:bookmarkEnd w:id="771"/>
      <w:r>
        <w:t xml:space="preserve"> </w:t>
      </w:r>
    </w:p>
    <w:p w14:paraId="32B1FEB0" w14:textId="77777777" w:rsidR="006A31E6" w:rsidRDefault="006A31E6" w:rsidP="007047BC">
      <w:pPr>
        <w:pStyle w:val="Heading3"/>
      </w:pPr>
      <w:bookmarkStart w:id="772" w:name="_Toc22543198"/>
      <w:r>
        <w:t>B4.1</w:t>
      </w:r>
      <w:r>
        <w:tab/>
        <w:t>Measures</w:t>
      </w:r>
      <w:bookmarkEnd w:id="772"/>
    </w:p>
    <w:p w14:paraId="7184713D" w14:textId="77777777" w:rsidR="006A31E6" w:rsidRDefault="006A31E6" w:rsidP="006A31E6">
      <w:pPr>
        <w:spacing w:before="240"/>
      </w:pPr>
      <w:r>
        <w:t xml:space="preserve">Both </w:t>
      </w:r>
      <w:r w:rsidR="007047BC">
        <w:t xml:space="preserve">the treatment and control </w:t>
      </w:r>
      <w:r>
        <w:t xml:space="preserve">groups were tracked for 18 months from July in the relevant year. </w:t>
      </w:r>
      <w:r w:rsidR="007047BC">
        <w:t xml:space="preserve">Measures used include the time taken from the beginning of the study period to exit from service. </w:t>
      </w:r>
      <w:r>
        <w:t xml:space="preserve">Graphical and regression analysis were used to quantify the impact of the CAP. Table </w:t>
      </w:r>
      <w:r w:rsidR="007047BC">
        <w:t>B4.1</w:t>
      </w:r>
      <w:r>
        <w:t xml:space="preserve"> provides further information on the treatment and comparison groups.</w:t>
      </w:r>
    </w:p>
    <w:p w14:paraId="00F9200F" w14:textId="77777777" w:rsidR="006A31E6" w:rsidRDefault="006A31E6" w:rsidP="007047BC">
      <w:pPr>
        <w:pStyle w:val="Heading3"/>
      </w:pPr>
      <w:bookmarkStart w:id="773" w:name="_Toc22543199"/>
      <w:r>
        <w:t>B4.2</w:t>
      </w:r>
      <w:r>
        <w:tab/>
        <w:t>Study populations</w:t>
      </w:r>
      <w:bookmarkEnd w:id="773"/>
    </w:p>
    <w:p w14:paraId="704F8C54" w14:textId="2F200126" w:rsidR="006A31E6" w:rsidRDefault="006A31E6" w:rsidP="006A31E6">
      <w:r>
        <w:t>For this analysis two groups of job seekers (a treatment</w:t>
      </w:r>
      <w:r w:rsidDel="0053214D">
        <w:t xml:space="preserve"> </w:t>
      </w:r>
      <w:r>
        <w:t>group from</w:t>
      </w:r>
      <w:r w:rsidRPr="00B80328">
        <w:t xml:space="preserve"> </w:t>
      </w:r>
      <w:r>
        <w:t>1 July 2013 and a comparison group</w:t>
      </w:r>
      <w:r w:rsidRPr="00B80328">
        <w:t xml:space="preserve"> </w:t>
      </w:r>
      <w:r>
        <w:t>from 1 July 2010) were identified from JSA caseloads and followed for an 18</w:t>
      </w:r>
      <w:r w:rsidR="0075543B">
        <w:t>-</w:t>
      </w:r>
      <w:r>
        <w:t xml:space="preserve">month period. The treatment group period was chosen to not overlap with the impact of the Work for the Dole 2014-15 programme (introduced on 1 July 2014). The comparison group was </w:t>
      </w:r>
      <w:r w:rsidR="00750FA4">
        <w:t>chosen for</w:t>
      </w:r>
      <w:r>
        <w:t xml:space="preserve"> the same period, three years prior, to ensure similar model maturation conditions as far as possible. Job seekers were part of the treatment or control groups if they had a WEAR and had been in the Work Experience Phase </w:t>
      </w:r>
      <w:r w:rsidR="0054199A">
        <w:t>(</w:t>
      </w:r>
      <w:r>
        <w:t>WEP</w:t>
      </w:r>
      <w:r w:rsidR="0054199A">
        <w:t>h)</w:t>
      </w:r>
      <w:r>
        <w:t xml:space="preserve"> for more than 300 days. In the case of the treatment group, these job seekers would soon become eligible for the CAP (at 365 days).</w:t>
      </w:r>
    </w:p>
    <w:p w14:paraId="36C76B27" w14:textId="77777777" w:rsidR="006A31E6" w:rsidRDefault="006A31E6" w:rsidP="00AD3F72">
      <w:pPr>
        <w:pStyle w:val="TableheadingforappendixA1"/>
      </w:pPr>
      <w:bookmarkStart w:id="774" w:name="_Toc513129947"/>
      <w:r>
        <w:t xml:space="preserve">Table </w:t>
      </w:r>
      <w:r w:rsidR="007047BC">
        <w:t>B4.1</w:t>
      </w:r>
      <w:r w:rsidR="003877A2">
        <w:t>:</w:t>
      </w:r>
      <w:r w:rsidR="00BA1102">
        <w:t xml:space="preserve"> Treatment and c</w:t>
      </w:r>
      <w:r>
        <w:t xml:space="preserve">omparison </w:t>
      </w:r>
      <w:r w:rsidR="00BA1102">
        <w:t>g</w:t>
      </w:r>
      <w:r>
        <w:t xml:space="preserve">roups used in </w:t>
      </w:r>
      <w:r w:rsidR="007047BC">
        <w:t>C</w:t>
      </w:r>
      <w:r w:rsidR="00BA1102">
        <w:t>ompulsory Activity Phase (CAP)</w:t>
      </w:r>
      <w:r w:rsidR="007047BC">
        <w:t xml:space="preserve"> </w:t>
      </w:r>
      <w:r>
        <w:t>study</w:t>
      </w:r>
      <w:bookmarkEnd w:id="774"/>
      <w:r>
        <w:t xml:space="preserve"> </w:t>
      </w:r>
    </w:p>
    <w:tbl>
      <w:tblPr>
        <w:tblStyle w:val="DEEWRTable"/>
        <w:tblW w:w="9889" w:type="dxa"/>
        <w:tblLook w:val="0420" w:firstRow="1" w:lastRow="0" w:firstColumn="0" w:lastColumn="0" w:noHBand="0" w:noVBand="1"/>
      </w:tblPr>
      <w:tblGrid>
        <w:gridCol w:w="2943"/>
        <w:gridCol w:w="3685"/>
        <w:gridCol w:w="3261"/>
      </w:tblGrid>
      <w:tr w:rsidR="006A31E6" w:rsidRPr="001A4D7B" w14:paraId="69C445DF" w14:textId="77777777" w:rsidTr="001A4D7B">
        <w:trPr>
          <w:cnfStyle w:val="100000000000" w:firstRow="1" w:lastRow="0" w:firstColumn="0" w:lastColumn="0" w:oddVBand="0" w:evenVBand="0" w:oddHBand="0" w:evenHBand="0" w:firstRowFirstColumn="0" w:firstRowLastColumn="0" w:lastRowFirstColumn="0" w:lastRowLastColumn="0"/>
        </w:trPr>
        <w:tc>
          <w:tcPr>
            <w:tcW w:w="2943" w:type="dxa"/>
            <w:tcBorders>
              <w:bottom w:val="nil"/>
            </w:tcBorders>
            <w:shd w:val="clear" w:color="auto" w:fill="1E3D6B"/>
          </w:tcPr>
          <w:p w14:paraId="1B66871E" w14:textId="77777777" w:rsidR="006A31E6" w:rsidRPr="001A4D7B" w:rsidRDefault="006A31E6" w:rsidP="001A4D7B">
            <w:pPr>
              <w:keepNext/>
              <w:keepLines/>
            </w:pPr>
            <w:bookmarkStart w:id="775" w:name="ColumnTitle_b41"/>
            <w:bookmarkEnd w:id="775"/>
            <w:r w:rsidRPr="001A4D7B">
              <w:t xml:space="preserve">Job seeker </w:t>
            </w:r>
            <w:r w:rsidR="001A4D7B">
              <w:t>g</w:t>
            </w:r>
            <w:r w:rsidRPr="001A4D7B">
              <w:t>roups</w:t>
            </w:r>
          </w:p>
        </w:tc>
        <w:tc>
          <w:tcPr>
            <w:tcW w:w="3685" w:type="dxa"/>
            <w:tcBorders>
              <w:bottom w:val="nil"/>
            </w:tcBorders>
            <w:shd w:val="clear" w:color="auto" w:fill="1E3D6B"/>
          </w:tcPr>
          <w:p w14:paraId="475A5C78" w14:textId="77777777" w:rsidR="006A31E6" w:rsidRPr="001A4D7B" w:rsidRDefault="006A31E6" w:rsidP="002F0B81">
            <w:pPr>
              <w:keepNext/>
              <w:keepLines/>
              <w:jc w:val="center"/>
            </w:pPr>
            <w:r w:rsidRPr="001A4D7B">
              <w:t>WEP</w:t>
            </w:r>
            <w:r w:rsidR="0054199A" w:rsidRPr="001A4D7B">
              <w:t>h</w:t>
            </w:r>
            <w:r w:rsidRPr="001A4D7B">
              <w:t xml:space="preserve"> Conditions: Job seekers (with a WEAR) were in WEP</w:t>
            </w:r>
            <w:r w:rsidR="0054199A" w:rsidRPr="001A4D7B">
              <w:t>h</w:t>
            </w:r>
            <w:r w:rsidRPr="001A4D7B">
              <w:t xml:space="preserve"> for 300 days or more</w:t>
            </w:r>
          </w:p>
        </w:tc>
        <w:tc>
          <w:tcPr>
            <w:tcW w:w="3261" w:type="dxa"/>
            <w:tcBorders>
              <w:bottom w:val="nil"/>
            </w:tcBorders>
            <w:shd w:val="clear" w:color="auto" w:fill="1E3D6B"/>
          </w:tcPr>
          <w:p w14:paraId="709A47E0" w14:textId="77777777" w:rsidR="006A31E6" w:rsidRPr="001A4D7B" w:rsidRDefault="006A31E6" w:rsidP="002F0B81">
            <w:pPr>
              <w:keepNext/>
              <w:keepLines/>
            </w:pPr>
            <w:r w:rsidRPr="001A4D7B">
              <w:t>CAP Conditions</w:t>
            </w:r>
          </w:p>
        </w:tc>
      </w:tr>
      <w:tr w:rsidR="006A31E6" w14:paraId="5F0486B8" w14:textId="77777777" w:rsidTr="001A4D7B">
        <w:trPr>
          <w:trHeight w:hRule="exact" w:val="510"/>
        </w:trPr>
        <w:tc>
          <w:tcPr>
            <w:tcW w:w="2943" w:type="dxa"/>
            <w:tcBorders>
              <w:top w:val="nil"/>
            </w:tcBorders>
            <w:vAlign w:val="center"/>
          </w:tcPr>
          <w:p w14:paraId="29B972A0" w14:textId="77777777" w:rsidR="006A31E6" w:rsidRPr="00D20428" w:rsidRDefault="006A31E6" w:rsidP="001A4D7B">
            <w:pPr>
              <w:keepNext/>
              <w:keepLines/>
            </w:pPr>
            <w:r>
              <w:t>Treatment Group</w:t>
            </w:r>
            <w:r w:rsidR="001A4D7B">
              <w:t xml:space="preserve">: </w:t>
            </w:r>
            <w:r>
              <w:t>N = 13,794</w:t>
            </w:r>
          </w:p>
        </w:tc>
        <w:tc>
          <w:tcPr>
            <w:tcW w:w="3685" w:type="dxa"/>
            <w:tcBorders>
              <w:top w:val="nil"/>
            </w:tcBorders>
            <w:vAlign w:val="center"/>
          </w:tcPr>
          <w:p w14:paraId="4A6F2C35" w14:textId="77777777" w:rsidR="006A31E6" w:rsidRDefault="006A31E6" w:rsidP="002F0B81">
            <w:pPr>
              <w:keepNext/>
              <w:keepLines/>
            </w:pPr>
            <w:r>
              <w:t>Active caseload as at 1 July 2013</w:t>
            </w:r>
          </w:p>
        </w:tc>
        <w:tc>
          <w:tcPr>
            <w:tcW w:w="3261" w:type="dxa"/>
            <w:tcBorders>
              <w:top w:val="nil"/>
            </w:tcBorders>
            <w:vAlign w:val="center"/>
          </w:tcPr>
          <w:p w14:paraId="25FFBD0E" w14:textId="77777777" w:rsidR="006A31E6" w:rsidRDefault="006A31E6" w:rsidP="002F0B81">
            <w:pPr>
              <w:keepNext/>
              <w:keepLines/>
            </w:pPr>
            <w:r>
              <w:t>Some subject to increased obligations on entering CAP</w:t>
            </w:r>
          </w:p>
        </w:tc>
      </w:tr>
      <w:tr w:rsidR="006A31E6" w14:paraId="6625E0C2" w14:textId="77777777" w:rsidTr="001A4D7B">
        <w:trPr>
          <w:trHeight w:hRule="exact" w:val="510"/>
        </w:trPr>
        <w:tc>
          <w:tcPr>
            <w:tcW w:w="2943" w:type="dxa"/>
            <w:shd w:val="clear" w:color="auto" w:fill="E5E5E5" w:themeFill="background1" w:themeFillTint="33"/>
            <w:vAlign w:val="center"/>
          </w:tcPr>
          <w:p w14:paraId="4BB1295E" w14:textId="77777777" w:rsidR="006A31E6" w:rsidRPr="00D20428" w:rsidRDefault="006A31E6" w:rsidP="001A4D7B">
            <w:pPr>
              <w:keepNext/>
              <w:keepLines/>
            </w:pPr>
            <w:r>
              <w:t>Comparison Group</w:t>
            </w:r>
            <w:r w:rsidR="001A4D7B">
              <w:t xml:space="preserve">: </w:t>
            </w:r>
            <w:r>
              <w:t>N = 14,874</w:t>
            </w:r>
          </w:p>
        </w:tc>
        <w:tc>
          <w:tcPr>
            <w:tcW w:w="3685" w:type="dxa"/>
            <w:shd w:val="clear" w:color="auto" w:fill="E5E5E5" w:themeFill="background1" w:themeFillTint="33"/>
            <w:vAlign w:val="center"/>
          </w:tcPr>
          <w:p w14:paraId="668CE3E5" w14:textId="77777777" w:rsidR="006A31E6" w:rsidRDefault="006A31E6" w:rsidP="002F0B81">
            <w:pPr>
              <w:keepNext/>
              <w:keepLines/>
            </w:pPr>
            <w:r>
              <w:t>Active caseload as at 1 July 2010</w:t>
            </w:r>
          </w:p>
        </w:tc>
        <w:tc>
          <w:tcPr>
            <w:tcW w:w="3261" w:type="dxa"/>
            <w:shd w:val="clear" w:color="auto" w:fill="E5E5E5" w:themeFill="background1" w:themeFillTint="33"/>
            <w:vAlign w:val="center"/>
          </w:tcPr>
          <w:p w14:paraId="460FC5D9" w14:textId="77777777" w:rsidR="006A31E6" w:rsidRDefault="006A31E6" w:rsidP="002F0B81">
            <w:pPr>
              <w:keepNext/>
              <w:keepLines/>
            </w:pPr>
            <w:r>
              <w:t>None subject to CAP</w:t>
            </w:r>
          </w:p>
        </w:tc>
      </w:tr>
    </w:tbl>
    <w:p w14:paraId="562C64E4" w14:textId="77777777" w:rsidR="007047BC" w:rsidRDefault="007047BC" w:rsidP="00257047">
      <w:pPr>
        <w:pStyle w:val="Tableforcontents"/>
        <w:keepNext w:val="0"/>
        <w:rPr>
          <w:b w:val="0"/>
          <w:i/>
          <w:color w:val="000000" w:themeColor="text1"/>
        </w:rPr>
      </w:pPr>
    </w:p>
    <w:p w14:paraId="002766AF" w14:textId="77777777" w:rsidR="006A31E6" w:rsidRDefault="006A31E6" w:rsidP="00AD3F72">
      <w:pPr>
        <w:pStyle w:val="TableheadingforappendixA1"/>
      </w:pPr>
      <w:bookmarkStart w:id="776" w:name="_Toc513129948"/>
      <w:r>
        <w:t xml:space="preserve">Table </w:t>
      </w:r>
      <w:r w:rsidR="007047BC">
        <w:rPr>
          <w:noProof/>
        </w:rPr>
        <w:t>B4.2</w:t>
      </w:r>
      <w:r>
        <w:rPr>
          <w:noProof/>
        </w:rPr>
        <w:t xml:space="preserve">: Caseload detail on treatment and </w:t>
      </w:r>
      <w:r>
        <w:t xml:space="preserve">comparison </w:t>
      </w:r>
      <w:r>
        <w:rPr>
          <w:noProof/>
        </w:rPr>
        <w:t>groups</w:t>
      </w:r>
      <w:bookmarkEnd w:id="776"/>
    </w:p>
    <w:p w14:paraId="029AF19D" w14:textId="77777777" w:rsidR="001F17EE" w:rsidRPr="0040043C" w:rsidRDefault="001F17EE" w:rsidP="00257047">
      <w:pPr>
        <w:keepNext/>
        <w:spacing w:before="120" w:after="0"/>
        <w:rPr>
          <w:b/>
          <w:sz w:val="20"/>
          <w:szCs w:val="20"/>
        </w:rPr>
      </w:pPr>
      <w:r w:rsidRPr="0040043C">
        <w:rPr>
          <w:b/>
          <w:sz w:val="20"/>
          <w:szCs w:val="20"/>
        </w:rPr>
        <w:t>Number</w:t>
      </w:r>
    </w:p>
    <w:tbl>
      <w:tblPr>
        <w:tblStyle w:val="DEEWRTable"/>
        <w:tblW w:w="9039" w:type="dxa"/>
        <w:tblBorders>
          <w:top w:val="single" w:sz="4" w:space="0" w:color="auto"/>
        </w:tblBorders>
        <w:tblLook w:val="0420" w:firstRow="1" w:lastRow="0" w:firstColumn="0" w:lastColumn="0" w:noHBand="0" w:noVBand="1"/>
      </w:tblPr>
      <w:tblGrid>
        <w:gridCol w:w="4786"/>
        <w:gridCol w:w="2126"/>
        <w:gridCol w:w="2127"/>
      </w:tblGrid>
      <w:tr w:rsidR="006A31E6" w:rsidRPr="001F17EE" w14:paraId="5CDF6B93" w14:textId="77777777" w:rsidTr="002F0B81">
        <w:trPr>
          <w:cnfStyle w:val="100000000000" w:firstRow="1" w:lastRow="0" w:firstColumn="0" w:lastColumn="0" w:oddVBand="0" w:evenVBand="0" w:oddHBand="0" w:evenHBand="0" w:firstRowFirstColumn="0" w:firstRowLastColumn="0" w:lastRowFirstColumn="0" w:lastRowLastColumn="0"/>
        </w:trPr>
        <w:tc>
          <w:tcPr>
            <w:tcW w:w="4786" w:type="dxa"/>
            <w:shd w:val="clear" w:color="auto" w:fill="1E3D6B"/>
          </w:tcPr>
          <w:p w14:paraId="0D33C3B2" w14:textId="77777777" w:rsidR="006A31E6" w:rsidRPr="001F17EE" w:rsidRDefault="006A31E6" w:rsidP="002F0B81">
            <w:pPr>
              <w:pStyle w:val="Tableheadingleftaligned"/>
              <w:keepNext/>
              <w:keepLines/>
              <w:rPr>
                <w:b/>
              </w:rPr>
            </w:pPr>
            <w:bookmarkStart w:id="777" w:name="Title_b42a"/>
            <w:bookmarkEnd w:id="777"/>
            <w:r w:rsidRPr="001F17EE">
              <w:rPr>
                <w:b/>
              </w:rPr>
              <w:t>Caseload</w:t>
            </w:r>
          </w:p>
        </w:tc>
        <w:tc>
          <w:tcPr>
            <w:tcW w:w="2126" w:type="dxa"/>
            <w:shd w:val="clear" w:color="auto" w:fill="1E3D6B"/>
          </w:tcPr>
          <w:p w14:paraId="15E7333C" w14:textId="77777777" w:rsidR="006A31E6" w:rsidRDefault="006A31E6" w:rsidP="0040043C">
            <w:pPr>
              <w:pStyle w:val="Tablebody2"/>
              <w:keepNext/>
              <w:keepLines/>
              <w:jc w:val="center"/>
            </w:pPr>
            <w:r w:rsidRPr="001F17EE">
              <w:t>Treatment group</w:t>
            </w:r>
            <w:r w:rsidR="001F17EE">
              <w:br/>
            </w:r>
            <w:r w:rsidRPr="001F17EE">
              <w:t>JSA 2012</w:t>
            </w:r>
          </w:p>
          <w:p w14:paraId="61A5457F" w14:textId="77777777" w:rsidR="006A31E6" w:rsidRPr="001F17EE" w:rsidRDefault="00585672" w:rsidP="0040043C">
            <w:pPr>
              <w:pStyle w:val="Tablebody2"/>
              <w:keepNext/>
              <w:keepLines/>
              <w:jc w:val="center"/>
            </w:pPr>
            <w:r>
              <w:t>(number)</w:t>
            </w:r>
          </w:p>
        </w:tc>
        <w:tc>
          <w:tcPr>
            <w:tcW w:w="2127" w:type="dxa"/>
            <w:shd w:val="clear" w:color="auto" w:fill="1E3D6B"/>
          </w:tcPr>
          <w:p w14:paraId="1C680047" w14:textId="77777777" w:rsidR="006A31E6" w:rsidRPr="001F17EE" w:rsidRDefault="006A31E6" w:rsidP="0040043C">
            <w:pPr>
              <w:pStyle w:val="Tablebody2"/>
              <w:keepNext/>
              <w:keepLines/>
              <w:jc w:val="center"/>
            </w:pPr>
            <w:r w:rsidRPr="001F17EE">
              <w:t>Comparison group</w:t>
            </w:r>
            <w:r w:rsidR="001F17EE">
              <w:br/>
            </w:r>
            <w:r w:rsidRPr="001F17EE">
              <w:t>JSA 2009</w:t>
            </w:r>
            <w:r w:rsidR="00585672">
              <w:br/>
              <w:t>(number)</w:t>
            </w:r>
          </w:p>
        </w:tc>
      </w:tr>
      <w:tr w:rsidR="006A31E6" w14:paraId="562B6508" w14:textId="77777777" w:rsidTr="00257047">
        <w:tc>
          <w:tcPr>
            <w:tcW w:w="4786" w:type="dxa"/>
            <w:tcBorders>
              <w:bottom w:val="nil"/>
            </w:tcBorders>
          </w:tcPr>
          <w:p w14:paraId="022EC0B2" w14:textId="77777777" w:rsidR="006A31E6" w:rsidRDefault="006A31E6" w:rsidP="002F0B81">
            <w:pPr>
              <w:pStyle w:val="TableBody1"/>
              <w:keepNext/>
              <w:keepLines/>
            </w:pPr>
            <w:r>
              <w:t>Number of job seekers in WEP</w:t>
            </w:r>
            <w:r w:rsidR="0054199A">
              <w:t>h</w:t>
            </w:r>
            <w:r>
              <w:t xml:space="preserve"> with a WEAR</w:t>
            </w:r>
          </w:p>
        </w:tc>
        <w:tc>
          <w:tcPr>
            <w:tcW w:w="2126" w:type="dxa"/>
            <w:tcBorders>
              <w:bottom w:val="nil"/>
            </w:tcBorders>
          </w:tcPr>
          <w:p w14:paraId="56A31B6B" w14:textId="77777777" w:rsidR="006A31E6" w:rsidRDefault="006A31E6" w:rsidP="00257047">
            <w:pPr>
              <w:pStyle w:val="Tablebody2"/>
              <w:keepNext/>
              <w:keepLines/>
              <w:ind w:right="615"/>
            </w:pPr>
            <w:r>
              <w:t>77,603</w:t>
            </w:r>
          </w:p>
        </w:tc>
        <w:tc>
          <w:tcPr>
            <w:tcW w:w="2127" w:type="dxa"/>
            <w:tcBorders>
              <w:bottom w:val="nil"/>
            </w:tcBorders>
          </w:tcPr>
          <w:p w14:paraId="4A5FBEE6" w14:textId="77777777" w:rsidR="006A31E6" w:rsidRDefault="006A31E6" w:rsidP="00257047">
            <w:pPr>
              <w:pStyle w:val="Tablebody2"/>
              <w:keepNext/>
              <w:keepLines/>
              <w:ind w:right="616"/>
            </w:pPr>
            <w:r>
              <w:t>28,190</w:t>
            </w:r>
          </w:p>
        </w:tc>
      </w:tr>
      <w:tr w:rsidR="006A31E6" w:rsidRPr="001F17EE" w14:paraId="37596850" w14:textId="77777777" w:rsidTr="00257047">
        <w:tc>
          <w:tcPr>
            <w:tcW w:w="4786" w:type="dxa"/>
            <w:tcBorders>
              <w:top w:val="nil"/>
              <w:bottom w:val="nil"/>
            </w:tcBorders>
            <w:shd w:val="clear" w:color="auto" w:fill="E5E5E5" w:themeFill="background1" w:themeFillTint="33"/>
          </w:tcPr>
          <w:p w14:paraId="59CFB7D3" w14:textId="77777777" w:rsidR="006A31E6" w:rsidRPr="001F17EE" w:rsidRDefault="006A31E6" w:rsidP="002F0B81">
            <w:pPr>
              <w:pStyle w:val="TableBody1"/>
              <w:keepNext/>
              <w:keepLines/>
            </w:pPr>
            <w:r w:rsidRPr="001F17EE">
              <w:t>Those who had been in WEP</w:t>
            </w:r>
            <w:r w:rsidR="0054199A" w:rsidRPr="001F17EE">
              <w:t>h</w:t>
            </w:r>
            <w:r w:rsidRPr="001F17EE">
              <w:t xml:space="preserve"> for 300 days (around 43 weeks) or more</w:t>
            </w:r>
          </w:p>
        </w:tc>
        <w:tc>
          <w:tcPr>
            <w:tcW w:w="2126" w:type="dxa"/>
            <w:tcBorders>
              <w:top w:val="nil"/>
              <w:bottom w:val="nil"/>
            </w:tcBorders>
            <w:shd w:val="clear" w:color="auto" w:fill="E5E5E5" w:themeFill="background1" w:themeFillTint="33"/>
          </w:tcPr>
          <w:p w14:paraId="10CC0447" w14:textId="77777777" w:rsidR="006A31E6" w:rsidRPr="001F17EE" w:rsidRDefault="006A31E6" w:rsidP="00257047">
            <w:pPr>
              <w:pStyle w:val="Tablebody2"/>
              <w:keepNext/>
              <w:keepLines/>
              <w:ind w:right="615"/>
            </w:pPr>
            <w:r w:rsidRPr="001F17EE">
              <w:t xml:space="preserve">13,794 </w:t>
            </w:r>
          </w:p>
        </w:tc>
        <w:tc>
          <w:tcPr>
            <w:tcW w:w="2127" w:type="dxa"/>
            <w:tcBorders>
              <w:top w:val="nil"/>
              <w:bottom w:val="nil"/>
            </w:tcBorders>
            <w:shd w:val="clear" w:color="auto" w:fill="E5E5E5" w:themeFill="background1" w:themeFillTint="33"/>
          </w:tcPr>
          <w:p w14:paraId="7DCCDD79" w14:textId="77777777" w:rsidR="006A31E6" w:rsidRPr="001F17EE" w:rsidRDefault="006A31E6" w:rsidP="00257047">
            <w:pPr>
              <w:pStyle w:val="Tablebody2"/>
              <w:keepNext/>
              <w:keepLines/>
              <w:ind w:right="616"/>
            </w:pPr>
            <w:r w:rsidRPr="001F17EE">
              <w:t>14,874</w:t>
            </w:r>
            <w:r w:rsidRPr="001F17EE">
              <w:rPr>
                <w:vertAlign w:val="superscript"/>
              </w:rPr>
              <w:t>(</w:t>
            </w:r>
            <w:r w:rsidR="00BA1102" w:rsidRPr="001F17EE">
              <w:rPr>
                <w:vertAlign w:val="superscript"/>
              </w:rPr>
              <w:t>1</w:t>
            </w:r>
            <w:r w:rsidRPr="001F17EE">
              <w:rPr>
                <w:vertAlign w:val="superscript"/>
              </w:rPr>
              <w:t>)</w:t>
            </w:r>
          </w:p>
        </w:tc>
      </w:tr>
      <w:tr w:rsidR="006A31E6" w:rsidRPr="001F17EE" w14:paraId="237EA25A" w14:textId="77777777" w:rsidTr="0040043C">
        <w:tc>
          <w:tcPr>
            <w:tcW w:w="4786" w:type="dxa"/>
            <w:tcBorders>
              <w:top w:val="nil"/>
              <w:bottom w:val="nil"/>
            </w:tcBorders>
            <w:shd w:val="clear" w:color="auto" w:fill="8EAEDE"/>
          </w:tcPr>
          <w:p w14:paraId="7C039A8D" w14:textId="77777777" w:rsidR="006A31E6" w:rsidRPr="00257047" w:rsidRDefault="006A31E6" w:rsidP="00257047">
            <w:pPr>
              <w:pStyle w:val="TableBody1"/>
            </w:pPr>
            <w:r w:rsidRPr="00257047">
              <w:t>Number of job seekers included for regression analysis</w:t>
            </w:r>
          </w:p>
        </w:tc>
        <w:tc>
          <w:tcPr>
            <w:tcW w:w="2126" w:type="dxa"/>
            <w:tcBorders>
              <w:top w:val="nil"/>
              <w:bottom w:val="nil"/>
            </w:tcBorders>
            <w:shd w:val="clear" w:color="auto" w:fill="8EAEDE"/>
          </w:tcPr>
          <w:p w14:paraId="314D1D18" w14:textId="77777777" w:rsidR="006A31E6" w:rsidRPr="00257047" w:rsidRDefault="006A31E6" w:rsidP="00257047">
            <w:pPr>
              <w:pStyle w:val="Tablebody2"/>
              <w:ind w:right="615"/>
            </w:pPr>
            <w:r w:rsidRPr="00257047">
              <w:t>10,336</w:t>
            </w:r>
            <w:r w:rsidR="00BA1102" w:rsidRPr="00257047">
              <w:rPr>
                <w:vertAlign w:val="superscript"/>
              </w:rPr>
              <w:t>(3</w:t>
            </w:r>
            <w:r w:rsidRPr="00257047">
              <w:rPr>
                <w:vertAlign w:val="superscript"/>
              </w:rPr>
              <w:t>)</w:t>
            </w:r>
          </w:p>
        </w:tc>
        <w:tc>
          <w:tcPr>
            <w:tcW w:w="2127" w:type="dxa"/>
            <w:tcBorders>
              <w:top w:val="nil"/>
              <w:bottom w:val="nil"/>
            </w:tcBorders>
            <w:shd w:val="clear" w:color="auto" w:fill="8EAEDE"/>
          </w:tcPr>
          <w:p w14:paraId="7661DD95" w14:textId="77777777" w:rsidR="006A31E6" w:rsidRPr="00257047" w:rsidRDefault="006A31E6" w:rsidP="00257047">
            <w:pPr>
              <w:pStyle w:val="Tablebody2"/>
              <w:ind w:right="616"/>
              <w:rPr>
                <w:vertAlign w:val="superscript"/>
              </w:rPr>
            </w:pPr>
            <w:r w:rsidRPr="00257047">
              <w:t>12,032</w:t>
            </w:r>
            <w:r w:rsidRPr="00257047">
              <w:rPr>
                <w:vertAlign w:val="superscript"/>
              </w:rPr>
              <w:t>(</w:t>
            </w:r>
            <w:r w:rsidR="00BA1102" w:rsidRPr="00257047">
              <w:rPr>
                <w:vertAlign w:val="superscript"/>
              </w:rPr>
              <w:t>2</w:t>
            </w:r>
            <w:r w:rsidRPr="00257047">
              <w:rPr>
                <w:vertAlign w:val="superscript"/>
              </w:rPr>
              <w:t>)</w:t>
            </w:r>
          </w:p>
        </w:tc>
      </w:tr>
    </w:tbl>
    <w:p w14:paraId="4C272F09" w14:textId="77777777" w:rsidR="001F17EE" w:rsidRPr="00930E7A" w:rsidRDefault="001F17EE" w:rsidP="001F17EE">
      <w:pPr>
        <w:keepNext/>
        <w:spacing w:before="120" w:after="0"/>
        <w:rPr>
          <w:b/>
          <w:sz w:val="20"/>
          <w:szCs w:val="20"/>
        </w:rPr>
      </w:pPr>
      <w:r>
        <w:rPr>
          <w:b/>
          <w:sz w:val="20"/>
          <w:szCs w:val="20"/>
        </w:rPr>
        <w:t>Proportion</w:t>
      </w:r>
    </w:p>
    <w:tbl>
      <w:tblPr>
        <w:tblStyle w:val="DEEWRTable"/>
        <w:tblW w:w="9039" w:type="dxa"/>
        <w:tblBorders>
          <w:top w:val="single" w:sz="4" w:space="0" w:color="auto"/>
        </w:tblBorders>
        <w:tblLook w:val="0420" w:firstRow="1" w:lastRow="0" w:firstColumn="0" w:lastColumn="0" w:noHBand="0" w:noVBand="1"/>
      </w:tblPr>
      <w:tblGrid>
        <w:gridCol w:w="4786"/>
        <w:gridCol w:w="2126"/>
        <w:gridCol w:w="2127"/>
      </w:tblGrid>
      <w:tr w:rsidR="001F17EE" w:rsidRPr="001F17EE" w14:paraId="39E93A2B" w14:textId="77777777" w:rsidTr="00521130">
        <w:trPr>
          <w:cnfStyle w:val="100000000000" w:firstRow="1" w:lastRow="0" w:firstColumn="0" w:lastColumn="0" w:oddVBand="0" w:evenVBand="0" w:oddHBand="0" w:evenHBand="0" w:firstRowFirstColumn="0" w:firstRowLastColumn="0" w:lastRowFirstColumn="0" w:lastRowLastColumn="0"/>
        </w:trPr>
        <w:tc>
          <w:tcPr>
            <w:tcW w:w="4786" w:type="dxa"/>
            <w:shd w:val="clear" w:color="auto" w:fill="1E3D6B"/>
          </w:tcPr>
          <w:p w14:paraId="16444C08" w14:textId="77777777" w:rsidR="001F17EE" w:rsidRPr="001F17EE" w:rsidRDefault="001F17EE" w:rsidP="00521130">
            <w:pPr>
              <w:pStyle w:val="Tableheadingleftaligned"/>
              <w:keepNext/>
              <w:keepLines/>
              <w:rPr>
                <w:b/>
              </w:rPr>
            </w:pPr>
            <w:bookmarkStart w:id="778" w:name="Title_b42b"/>
            <w:bookmarkEnd w:id="778"/>
            <w:r w:rsidRPr="001F17EE">
              <w:rPr>
                <w:b/>
              </w:rPr>
              <w:t>Caseload</w:t>
            </w:r>
          </w:p>
        </w:tc>
        <w:tc>
          <w:tcPr>
            <w:tcW w:w="2126" w:type="dxa"/>
            <w:shd w:val="clear" w:color="auto" w:fill="1E3D6B"/>
          </w:tcPr>
          <w:p w14:paraId="552587A0" w14:textId="77777777" w:rsidR="001F17EE" w:rsidRPr="001F17EE" w:rsidRDefault="001F17EE" w:rsidP="00521130">
            <w:pPr>
              <w:pStyle w:val="Tablebody2"/>
              <w:keepNext/>
              <w:keepLines/>
              <w:jc w:val="center"/>
            </w:pPr>
            <w:r w:rsidRPr="001F17EE">
              <w:t>Treatment group</w:t>
            </w:r>
            <w:r>
              <w:br/>
            </w:r>
            <w:r w:rsidRPr="001F17EE">
              <w:t>JSA 2012</w:t>
            </w:r>
            <w:r>
              <w:br/>
              <w:t>(%)</w:t>
            </w:r>
          </w:p>
        </w:tc>
        <w:tc>
          <w:tcPr>
            <w:tcW w:w="2127" w:type="dxa"/>
            <w:shd w:val="clear" w:color="auto" w:fill="1E3D6B"/>
          </w:tcPr>
          <w:p w14:paraId="1BD0F239" w14:textId="77777777" w:rsidR="001F17EE" w:rsidRPr="001F17EE" w:rsidRDefault="001F17EE" w:rsidP="00521130">
            <w:pPr>
              <w:pStyle w:val="Tablebody2"/>
              <w:keepNext/>
              <w:keepLines/>
              <w:jc w:val="center"/>
            </w:pPr>
            <w:r w:rsidRPr="001F17EE">
              <w:t>Comparison group</w:t>
            </w:r>
            <w:r>
              <w:br/>
            </w:r>
            <w:r w:rsidRPr="001F17EE">
              <w:t>JSA 2009</w:t>
            </w:r>
            <w:r>
              <w:br/>
              <w:t>(%)</w:t>
            </w:r>
          </w:p>
        </w:tc>
      </w:tr>
      <w:tr w:rsidR="001F17EE" w14:paraId="7302EEA0" w14:textId="77777777" w:rsidTr="00521130">
        <w:tc>
          <w:tcPr>
            <w:tcW w:w="4786" w:type="dxa"/>
          </w:tcPr>
          <w:p w14:paraId="436945B5" w14:textId="77777777" w:rsidR="001F17EE" w:rsidRDefault="001F17EE" w:rsidP="00521130">
            <w:pPr>
              <w:pStyle w:val="TableBody1"/>
              <w:keepNext/>
              <w:keepLines/>
            </w:pPr>
            <w:r>
              <w:t>Those who had been in WEPh for 300 days (around 43 weeks) or more</w:t>
            </w:r>
          </w:p>
        </w:tc>
        <w:tc>
          <w:tcPr>
            <w:tcW w:w="2126" w:type="dxa"/>
          </w:tcPr>
          <w:p w14:paraId="38A41289" w14:textId="77777777" w:rsidR="001F17EE" w:rsidRDefault="001F17EE" w:rsidP="001F17EE">
            <w:pPr>
              <w:pStyle w:val="Tablebody2"/>
              <w:keepNext/>
              <w:keepLines/>
              <w:ind w:right="615"/>
            </w:pPr>
            <w:r>
              <w:t>17.8</w:t>
            </w:r>
          </w:p>
        </w:tc>
        <w:tc>
          <w:tcPr>
            <w:tcW w:w="2127" w:type="dxa"/>
          </w:tcPr>
          <w:p w14:paraId="0967ED30" w14:textId="77777777" w:rsidR="001F17EE" w:rsidRDefault="001F17EE" w:rsidP="00521130">
            <w:pPr>
              <w:pStyle w:val="Tablebody2"/>
              <w:keepNext/>
              <w:keepLines/>
              <w:ind w:right="616"/>
            </w:pPr>
            <w:r>
              <w:t>52.8</w:t>
            </w:r>
          </w:p>
        </w:tc>
      </w:tr>
      <w:tr w:rsidR="001F17EE" w14:paraId="708FF564" w14:textId="77777777" w:rsidTr="00257047">
        <w:tc>
          <w:tcPr>
            <w:tcW w:w="4786" w:type="dxa"/>
            <w:shd w:val="clear" w:color="auto" w:fill="E5E5E5" w:themeFill="background1" w:themeFillTint="33"/>
          </w:tcPr>
          <w:p w14:paraId="52896610" w14:textId="77777777" w:rsidR="001F17EE" w:rsidRDefault="001F17EE" w:rsidP="00521130">
            <w:pPr>
              <w:pStyle w:val="TableBody1"/>
              <w:keepNext/>
              <w:keepLines/>
            </w:pPr>
            <w:r>
              <w:t>Stream 1</w:t>
            </w:r>
          </w:p>
        </w:tc>
        <w:tc>
          <w:tcPr>
            <w:tcW w:w="2126" w:type="dxa"/>
            <w:shd w:val="clear" w:color="auto" w:fill="E5E5E5" w:themeFill="background1" w:themeFillTint="33"/>
          </w:tcPr>
          <w:p w14:paraId="7C1D4A0D" w14:textId="77777777" w:rsidR="001F17EE" w:rsidRDefault="001F17EE" w:rsidP="00521130">
            <w:pPr>
              <w:pStyle w:val="Tablebody2"/>
              <w:keepNext/>
              <w:keepLines/>
              <w:ind w:right="615"/>
            </w:pPr>
            <w:r>
              <w:t>8.8</w:t>
            </w:r>
          </w:p>
        </w:tc>
        <w:tc>
          <w:tcPr>
            <w:tcW w:w="2127" w:type="dxa"/>
            <w:shd w:val="clear" w:color="auto" w:fill="E5E5E5" w:themeFill="background1" w:themeFillTint="33"/>
          </w:tcPr>
          <w:p w14:paraId="0AAED78D" w14:textId="77777777" w:rsidR="001F17EE" w:rsidRDefault="001F17EE" w:rsidP="00521130">
            <w:pPr>
              <w:pStyle w:val="Tablebody2"/>
              <w:keepNext/>
              <w:keepLines/>
              <w:ind w:right="616"/>
            </w:pPr>
            <w:r>
              <w:t>—</w:t>
            </w:r>
          </w:p>
        </w:tc>
      </w:tr>
      <w:tr w:rsidR="001F17EE" w14:paraId="5B74C8A8" w14:textId="77777777" w:rsidTr="00521130">
        <w:tc>
          <w:tcPr>
            <w:tcW w:w="4786" w:type="dxa"/>
            <w:tcBorders>
              <w:bottom w:val="nil"/>
            </w:tcBorders>
          </w:tcPr>
          <w:p w14:paraId="5DC5EDDE" w14:textId="77777777" w:rsidR="001F17EE" w:rsidRDefault="001F17EE" w:rsidP="00521130">
            <w:pPr>
              <w:pStyle w:val="TableBody1"/>
              <w:keepNext/>
              <w:keepLines/>
            </w:pPr>
            <w:r>
              <w:t>Stream 2</w:t>
            </w:r>
          </w:p>
        </w:tc>
        <w:tc>
          <w:tcPr>
            <w:tcW w:w="2126" w:type="dxa"/>
            <w:tcBorders>
              <w:bottom w:val="nil"/>
            </w:tcBorders>
          </w:tcPr>
          <w:p w14:paraId="0D435743" w14:textId="77777777" w:rsidR="001F17EE" w:rsidRDefault="001F17EE" w:rsidP="00521130">
            <w:pPr>
              <w:pStyle w:val="Tablebody2"/>
              <w:keepNext/>
              <w:keepLines/>
              <w:ind w:right="615"/>
            </w:pPr>
            <w:r>
              <w:t>21.0</w:t>
            </w:r>
          </w:p>
        </w:tc>
        <w:tc>
          <w:tcPr>
            <w:tcW w:w="2127" w:type="dxa"/>
            <w:tcBorders>
              <w:bottom w:val="nil"/>
            </w:tcBorders>
          </w:tcPr>
          <w:p w14:paraId="6B77513F" w14:textId="77777777" w:rsidR="001F17EE" w:rsidRDefault="001F17EE" w:rsidP="00521130">
            <w:pPr>
              <w:pStyle w:val="Tablebody2"/>
              <w:keepNext/>
              <w:keepLines/>
              <w:ind w:right="616"/>
            </w:pPr>
            <w:r>
              <w:t>—</w:t>
            </w:r>
          </w:p>
        </w:tc>
      </w:tr>
      <w:tr w:rsidR="001F17EE" w14:paraId="62149525" w14:textId="77777777" w:rsidTr="00257047">
        <w:tc>
          <w:tcPr>
            <w:tcW w:w="4786" w:type="dxa"/>
            <w:tcBorders>
              <w:top w:val="nil"/>
              <w:bottom w:val="nil"/>
            </w:tcBorders>
            <w:shd w:val="clear" w:color="auto" w:fill="E5E5E5" w:themeFill="background1" w:themeFillTint="33"/>
          </w:tcPr>
          <w:p w14:paraId="2A42CF17" w14:textId="77777777" w:rsidR="001F17EE" w:rsidRDefault="001F17EE" w:rsidP="00521130">
            <w:pPr>
              <w:pStyle w:val="TableBody1"/>
              <w:keepNext/>
              <w:keepLines/>
            </w:pPr>
            <w:r>
              <w:t>Stream 3</w:t>
            </w:r>
          </w:p>
        </w:tc>
        <w:tc>
          <w:tcPr>
            <w:tcW w:w="2126" w:type="dxa"/>
            <w:tcBorders>
              <w:top w:val="nil"/>
              <w:bottom w:val="nil"/>
            </w:tcBorders>
            <w:shd w:val="clear" w:color="auto" w:fill="E5E5E5" w:themeFill="background1" w:themeFillTint="33"/>
          </w:tcPr>
          <w:p w14:paraId="600F7B12" w14:textId="77777777" w:rsidR="001F17EE" w:rsidRDefault="001F17EE" w:rsidP="00521130">
            <w:pPr>
              <w:pStyle w:val="Tablebody2"/>
              <w:keepNext/>
              <w:keepLines/>
              <w:ind w:right="615"/>
            </w:pPr>
            <w:r>
              <w:t>28.5</w:t>
            </w:r>
          </w:p>
        </w:tc>
        <w:tc>
          <w:tcPr>
            <w:tcW w:w="2127" w:type="dxa"/>
            <w:tcBorders>
              <w:top w:val="nil"/>
              <w:bottom w:val="nil"/>
            </w:tcBorders>
            <w:shd w:val="clear" w:color="auto" w:fill="E5E5E5" w:themeFill="background1" w:themeFillTint="33"/>
          </w:tcPr>
          <w:p w14:paraId="4CF159F3" w14:textId="77777777" w:rsidR="001F17EE" w:rsidRDefault="001F17EE" w:rsidP="00521130">
            <w:pPr>
              <w:pStyle w:val="Tablebody2"/>
              <w:keepNext/>
              <w:keepLines/>
              <w:ind w:right="616"/>
            </w:pPr>
            <w:r>
              <w:t>96.2</w:t>
            </w:r>
          </w:p>
        </w:tc>
      </w:tr>
      <w:tr w:rsidR="001F17EE" w14:paraId="2033CBA3" w14:textId="77777777" w:rsidTr="00521130">
        <w:tc>
          <w:tcPr>
            <w:tcW w:w="4786" w:type="dxa"/>
            <w:tcBorders>
              <w:top w:val="nil"/>
              <w:bottom w:val="single" w:sz="4" w:space="0" w:color="auto"/>
            </w:tcBorders>
          </w:tcPr>
          <w:p w14:paraId="4AAA8C6D" w14:textId="77777777" w:rsidR="001F17EE" w:rsidRDefault="001F17EE" w:rsidP="00257047">
            <w:pPr>
              <w:pStyle w:val="TableBody1"/>
              <w:keepNext/>
            </w:pPr>
            <w:r>
              <w:t>Stream 4</w:t>
            </w:r>
          </w:p>
        </w:tc>
        <w:tc>
          <w:tcPr>
            <w:tcW w:w="2126" w:type="dxa"/>
            <w:tcBorders>
              <w:top w:val="nil"/>
              <w:bottom w:val="single" w:sz="4" w:space="0" w:color="auto"/>
            </w:tcBorders>
          </w:tcPr>
          <w:p w14:paraId="0BD9FF3A" w14:textId="77777777" w:rsidR="001F17EE" w:rsidRDefault="001F17EE" w:rsidP="00257047">
            <w:pPr>
              <w:pStyle w:val="Tablebody2"/>
              <w:keepNext/>
              <w:ind w:right="615"/>
            </w:pPr>
            <w:r>
              <w:t>41.7</w:t>
            </w:r>
          </w:p>
        </w:tc>
        <w:tc>
          <w:tcPr>
            <w:tcW w:w="2127" w:type="dxa"/>
            <w:tcBorders>
              <w:top w:val="nil"/>
              <w:bottom w:val="single" w:sz="4" w:space="0" w:color="auto"/>
            </w:tcBorders>
          </w:tcPr>
          <w:p w14:paraId="45210E71" w14:textId="77777777" w:rsidR="001F17EE" w:rsidRDefault="001F17EE" w:rsidP="00257047">
            <w:pPr>
              <w:pStyle w:val="Tablebody2"/>
              <w:keepNext/>
              <w:ind w:right="616"/>
            </w:pPr>
            <w:r>
              <w:t>3.9</w:t>
            </w:r>
          </w:p>
        </w:tc>
      </w:tr>
    </w:tbl>
    <w:p w14:paraId="7E17E3BC" w14:textId="77777777" w:rsidR="00E46F61" w:rsidRPr="00E46F61" w:rsidRDefault="00E46F61" w:rsidP="00257047">
      <w:pPr>
        <w:pStyle w:val="Notes"/>
      </w:pPr>
      <w:r w:rsidRPr="00585672">
        <w:rPr>
          <w:b/>
        </w:rPr>
        <w:t>Notes</w:t>
      </w:r>
      <w:r w:rsidRPr="00E46F61">
        <w:t>:</w:t>
      </w:r>
    </w:p>
    <w:p w14:paraId="758893FC" w14:textId="77777777" w:rsidR="006A31E6" w:rsidRPr="00AE501D" w:rsidRDefault="006A31E6" w:rsidP="00257047">
      <w:pPr>
        <w:pStyle w:val="Notesnumbered"/>
        <w:numPr>
          <w:ilvl w:val="0"/>
          <w:numId w:val="277"/>
        </w:numPr>
      </w:pPr>
      <w:r w:rsidRPr="00E46F61">
        <w:t xml:space="preserve">Just over 68 per </w:t>
      </w:r>
      <w:r w:rsidRPr="00AE501D">
        <w:t>cent of participants were transitioned from Job Network</w:t>
      </w:r>
      <w:r w:rsidR="003E2CAD" w:rsidRPr="00AE501D">
        <w:t xml:space="preserve"> (JN)</w:t>
      </w:r>
      <w:r w:rsidRPr="00AE501D">
        <w:t xml:space="preserve"> to JSA 2009.</w:t>
      </w:r>
    </w:p>
    <w:p w14:paraId="13A231F2" w14:textId="77777777" w:rsidR="006A31E6" w:rsidRPr="00AE501D" w:rsidRDefault="006A31E6" w:rsidP="00257047">
      <w:pPr>
        <w:pStyle w:val="Notesnumbered"/>
        <w:numPr>
          <w:ilvl w:val="0"/>
          <w:numId w:val="277"/>
        </w:numPr>
      </w:pPr>
      <w:r w:rsidRPr="00AE501D">
        <w:t>Excluding those who exited JSA 2009 before/at the end of December 2010.</w:t>
      </w:r>
    </w:p>
    <w:p w14:paraId="5062CD15" w14:textId="77777777" w:rsidR="006A31E6" w:rsidRPr="00AE501D" w:rsidRDefault="006A31E6" w:rsidP="00257047">
      <w:pPr>
        <w:pStyle w:val="Notesnumbered"/>
        <w:numPr>
          <w:ilvl w:val="0"/>
          <w:numId w:val="277"/>
        </w:numPr>
      </w:pPr>
      <w:r w:rsidRPr="00AE501D">
        <w:t xml:space="preserve">Including those who had entered their </w:t>
      </w:r>
      <w:r w:rsidR="008A3E42">
        <w:t xml:space="preserve">CAP </w:t>
      </w:r>
      <w:r w:rsidR="008A3E42" w:rsidRPr="00257047">
        <w:t xml:space="preserve">from </w:t>
      </w:r>
      <w:r w:rsidR="00257047" w:rsidRPr="00257047">
        <w:t>1 July</w:t>
      </w:r>
      <w:r w:rsidR="00257047">
        <w:t xml:space="preserve"> 2013</w:t>
      </w:r>
      <w:r w:rsidRPr="00AE501D">
        <w:t xml:space="preserve"> until the end of December 2013.</w:t>
      </w:r>
    </w:p>
    <w:p w14:paraId="796272FF" w14:textId="77777777" w:rsidR="001F17EE" w:rsidRPr="00191CAA" w:rsidRDefault="001F17EE" w:rsidP="00257047">
      <w:pPr>
        <w:pStyle w:val="Notesnumbered"/>
        <w:numPr>
          <w:ilvl w:val="0"/>
          <w:numId w:val="277"/>
        </w:numPr>
      </w:pPr>
      <w:r w:rsidRPr="00AE501D">
        <w:t>Treatment group details at 01 July 2013</w:t>
      </w:r>
      <w:r>
        <w:t>, comparison group at 01 July 2010.</w:t>
      </w:r>
    </w:p>
    <w:p w14:paraId="50E28EB5" w14:textId="77777777" w:rsidR="005767D3" w:rsidRDefault="005767D3" w:rsidP="005767D3">
      <w:pPr>
        <w:pStyle w:val="Source"/>
      </w:pPr>
      <w:r w:rsidRPr="000D610E">
        <w:rPr>
          <w:b/>
        </w:rPr>
        <w:t>Source</w:t>
      </w:r>
      <w:r>
        <w:rPr>
          <w:b/>
        </w:rPr>
        <w:t xml:space="preserve">: </w:t>
      </w:r>
      <w:r>
        <w:rPr>
          <w:b/>
        </w:rPr>
        <w:tab/>
      </w:r>
      <w:r>
        <w:t>Department of Employment administrative data.</w:t>
      </w:r>
    </w:p>
    <w:p w14:paraId="1E898927" w14:textId="77777777" w:rsidR="007047BC" w:rsidRDefault="007047BC" w:rsidP="007047BC">
      <w:pPr>
        <w:pStyle w:val="Heading3"/>
      </w:pPr>
      <w:bookmarkStart w:id="779" w:name="_Toc22543200"/>
      <w:r>
        <w:t>B4.3</w:t>
      </w:r>
      <w:r>
        <w:tab/>
        <w:t>Statistical techniques used</w:t>
      </w:r>
      <w:bookmarkEnd w:id="779"/>
    </w:p>
    <w:p w14:paraId="1D5F5704" w14:textId="77777777" w:rsidR="00D978A8" w:rsidRPr="00E73668" w:rsidRDefault="007047BC" w:rsidP="00D978A8">
      <w:pPr>
        <w:rPr>
          <w:color w:val="000000" w:themeColor="text1"/>
        </w:rPr>
      </w:pPr>
      <w:r>
        <w:t>Two types of analyses were used. Firstly, regression analysis (which enables the use of all records in both control and treatment groups, but account for differences in the two populations) was used to establish the initial findings</w:t>
      </w:r>
      <w:r w:rsidR="008A3E42">
        <w:t>.</w:t>
      </w:r>
      <w:r>
        <w:t xml:space="preserve"> Propensity score matching (which identified a 17 per cent match-rate for the two groups) was used </w:t>
      </w:r>
      <w:r w:rsidR="00D978A8">
        <w:t>to confirm the initial findings</w:t>
      </w:r>
      <w:r>
        <w:t>.</w:t>
      </w:r>
      <w:r w:rsidR="00D978A8">
        <w:t xml:space="preserve"> </w:t>
      </w:r>
      <w:r w:rsidR="00D978A8">
        <w:rPr>
          <w:color w:val="000000" w:themeColor="text1"/>
        </w:rPr>
        <w:t>Appendix B</w:t>
      </w:r>
      <w:r w:rsidR="003114A5">
        <w:rPr>
          <w:color w:val="000000" w:themeColor="text1"/>
        </w:rPr>
        <w:t>8</w:t>
      </w:r>
      <w:r w:rsidR="00D978A8">
        <w:rPr>
          <w:color w:val="000000" w:themeColor="text1"/>
        </w:rPr>
        <w:t xml:space="preserve"> provides information about these techniques.</w:t>
      </w:r>
    </w:p>
    <w:p w14:paraId="6D99F09E" w14:textId="77777777" w:rsidR="007047BC" w:rsidRDefault="007047BC" w:rsidP="007047BC"/>
    <w:p w14:paraId="45B0D822" w14:textId="77777777" w:rsidR="006A31E6" w:rsidRDefault="006A31E6" w:rsidP="006A31E6">
      <w:pPr>
        <w:rPr>
          <w:rFonts w:ascii="Calibri" w:eastAsiaTheme="majorEastAsia" w:hAnsi="Calibri" w:cstheme="majorBidi"/>
          <w:b/>
          <w:bCs/>
          <w:sz w:val="28"/>
          <w:szCs w:val="26"/>
        </w:rPr>
      </w:pPr>
      <w:r>
        <w:br w:type="page"/>
      </w:r>
    </w:p>
    <w:p w14:paraId="2C605836" w14:textId="77777777" w:rsidR="009C69A0" w:rsidRDefault="003114A5" w:rsidP="009C69A0">
      <w:pPr>
        <w:pStyle w:val="Heading2"/>
      </w:pPr>
      <w:bookmarkStart w:id="780" w:name="_Toc450919365"/>
      <w:bookmarkStart w:id="781" w:name="_Toc22543201"/>
      <w:r>
        <w:t>B5</w:t>
      </w:r>
      <w:r w:rsidR="009C69A0">
        <w:tab/>
        <w:t xml:space="preserve">Assessing changes to Indigenous </w:t>
      </w:r>
      <w:r w:rsidR="00585672">
        <w:t>s</w:t>
      </w:r>
      <w:r w:rsidR="009C69A0">
        <w:t>ervicing</w:t>
      </w:r>
      <w:bookmarkEnd w:id="780"/>
      <w:bookmarkEnd w:id="781"/>
    </w:p>
    <w:p w14:paraId="0724CA84" w14:textId="1659315B" w:rsidR="0098651F" w:rsidRDefault="0098651F" w:rsidP="0098651F">
      <w:r>
        <w:t xml:space="preserve">As part of the evaluation of Jobs Services Australia 2012 – 2015, </w:t>
      </w:r>
      <w:r w:rsidR="00EF769E">
        <w:t xml:space="preserve">the </w:t>
      </w:r>
      <w:r>
        <w:t>Department of Employment engaged Hugh Watson Consulting to undertake qualitative research</w:t>
      </w:r>
      <w:r w:rsidR="00257047">
        <w:t>. The research was undertaken</w:t>
      </w:r>
      <w:r>
        <w:t xml:space="preserve"> with a range of </w:t>
      </w:r>
      <w:r w:rsidR="005005CF">
        <w:t>e</w:t>
      </w:r>
      <w:r>
        <w:t xml:space="preserve">mployment </w:t>
      </w:r>
      <w:r w:rsidR="005005CF">
        <w:t>s</w:t>
      </w:r>
      <w:r>
        <w:t>ervice</w:t>
      </w:r>
      <w:r w:rsidR="00375698">
        <w:t>s</w:t>
      </w:r>
      <w:r>
        <w:t xml:space="preserve"> </w:t>
      </w:r>
      <w:r w:rsidR="005005CF">
        <w:t>p</w:t>
      </w:r>
      <w:r>
        <w:t xml:space="preserve">rovider site managers whose sites </w:t>
      </w:r>
      <w:r w:rsidRPr="003767D7">
        <w:t>service</w:t>
      </w:r>
      <w:r w:rsidR="00257047">
        <w:t>d</w:t>
      </w:r>
      <w:r w:rsidRPr="003767D7">
        <w:t xml:space="preserve"> Indigenous job seekers</w:t>
      </w:r>
      <w:r w:rsidR="00257047">
        <w:t>. The research included providers who had i</w:t>
      </w:r>
      <w:r>
        <w:t>mplement</w:t>
      </w:r>
      <w:r w:rsidR="00257047">
        <w:t>ed</w:t>
      </w:r>
      <w:r w:rsidRPr="003767D7">
        <w:t xml:space="preserve"> the Indigenous Mentoring P</w:t>
      </w:r>
      <w:r w:rsidR="00FB1E03">
        <w:t>ilot</w:t>
      </w:r>
      <w:r>
        <w:t>,</w:t>
      </w:r>
      <w:r w:rsidRPr="003767D7">
        <w:t xml:space="preserve"> whose staff ha</w:t>
      </w:r>
      <w:r w:rsidR="00257047">
        <w:t>d</w:t>
      </w:r>
      <w:r w:rsidRPr="003767D7">
        <w:t xml:space="preserve"> participated in the Indigenous Cultural Capability Training</w:t>
      </w:r>
      <w:r>
        <w:t xml:space="preserve"> and whose organisations </w:t>
      </w:r>
      <w:r w:rsidR="00257047">
        <w:t>we</w:t>
      </w:r>
      <w:r>
        <w:t>re subject to the Indigenous Opportunities Policy. The purpose of the research was to better understand the:</w:t>
      </w:r>
    </w:p>
    <w:p w14:paraId="2979D497" w14:textId="77777777" w:rsidR="0098651F" w:rsidRPr="00C14F70" w:rsidRDefault="0098651F" w:rsidP="00B12353">
      <w:pPr>
        <w:pStyle w:val="bullet"/>
      </w:pPr>
      <w:r w:rsidRPr="00C14F70">
        <w:t xml:space="preserve">role and use of the Indigenous Mentoring Pilot </w:t>
      </w:r>
    </w:p>
    <w:p w14:paraId="41DD65E5" w14:textId="77777777" w:rsidR="0098651F" w:rsidRPr="00C14F70" w:rsidRDefault="0098651F" w:rsidP="00B12353">
      <w:pPr>
        <w:pStyle w:val="bullet"/>
      </w:pPr>
      <w:r w:rsidRPr="00C14F70">
        <w:t>impact of the Indigenous Opportunities Policy</w:t>
      </w:r>
    </w:p>
    <w:p w14:paraId="659ACF24" w14:textId="77777777" w:rsidR="0098651F" w:rsidRPr="00C14F70" w:rsidRDefault="0098651F" w:rsidP="00B12353">
      <w:pPr>
        <w:pStyle w:val="bullet"/>
      </w:pPr>
      <w:r w:rsidRPr="00C14F70">
        <w:t xml:space="preserve">influence of the Indigenous Cultural Capability Training </w:t>
      </w:r>
    </w:p>
    <w:p w14:paraId="7F0986D2" w14:textId="77777777" w:rsidR="0098651F" w:rsidRPr="00C14F70" w:rsidRDefault="0098651F" w:rsidP="00B12353">
      <w:pPr>
        <w:pStyle w:val="bullet"/>
      </w:pPr>
      <w:r w:rsidRPr="00C14F70">
        <w:t>impact the combination of policies and programmes have had on the outcomes of Indigenous job seekers</w:t>
      </w:r>
      <w:r>
        <w:t>.</w:t>
      </w:r>
    </w:p>
    <w:p w14:paraId="2B8611F6" w14:textId="77777777" w:rsidR="0098651F" w:rsidRPr="008274AA" w:rsidRDefault="0098651F" w:rsidP="0098651F">
      <w:r>
        <w:t>The research was conducted in four phases:</w:t>
      </w:r>
    </w:p>
    <w:p w14:paraId="516BE4F4" w14:textId="77777777" w:rsidR="0098651F" w:rsidRDefault="0098651F" w:rsidP="0098651F">
      <w:r>
        <w:t>Phase 1:</w:t>
      </w:r>
      <w:r>
        <w:tab/>
        <w:t>Inception and preparation</w:t>
      </w:r>
    </w:p>
    <w:p w14:paraId="333B55A2" w14:textId="77777777" w:rsidR="0098651F" w:rsidRDefault="0098651F" w:rsidP="0098651F">
      <w:r>
        <w:t>Phase 2:</w:t>
      </w:r>
      <w:r>
        <w:tab/>
        <w:t>Site visits</w:t>
      </w:r>
    </w:p>
    <w:p w14:paraId="0650FE66" w14:textId="77777777" w:rsidR="0098651F" w:rsidRDefault="0098651F" w:rsidP="0098651F">
      <w:r>
        <w:t>Phase 3:</w:t>
      </w:r>
      <w:r>
        <w:tab/>
        <w:t>Transcription and analysis</w:t>
      </w:r>
    </w:p>
    <w:p w14:paraId="6C3C3AA9" w14:textId="77777777" w:rsidR="0098651F" w:rsidRDefault="0098651F" w:rsidP="0098651F">
      <w:r>
        <w:t>Phase 4:</w:t>
      </w:r>
      <w:r>
        <w:tab/>
        <w:t>Reporting</w:t>
      </w:r>
      <w:r w:rsidR="00EF769E">
        <w:t>.</w:t>
      </w:r>
    </w:p>
    <w:p w14:paraId="5DA35AA8" w14:textId="77777777" w:rsidR="0098651F" w:rsidRDefault="0098651F" w:rsidP="0098651F">
      <w:r>
        <w:t xml:space="preserve">In the </w:t>
      </w:r>
      <w:r w:rsidRPr="00B34A19">
        <w:rPr>
          <w:b/>
        </w:rPr>
        <w:t>Inception and preparation phase</w:t>
      </w:r>
      <w:r>
        <w:t xml:space="preserve"> several meetings were held with the Department to </w:t>
      </w:r>
      <w:r w:rsidRPr="0034146F">
        <w:t xml:space="preserve">receive further briefing </w:t>
      </w:r>
      <w:r>
        <w:t xml:space="preserve">and </w:t>
      </w:r>
      <w:r w:rsidRPr="0034146F">
        <w:t xml:space="preserve">to confirm methodology, agree the scope of consultation, timeline, </w:t>
      </w:r>
      <w:r w:rsidR="007E443D">
        <w:t>d</w:t>
      </w:r>
      <w:r w:rsidRPr="0034146F">
        <w:t xml:space="preserve">epartmental inputs, reporting requirements, availability of source material and data and format for the final report. </w:t>
      </w:r>
    </w:p>
    <w:p w14:paraId="5ED9C335" w14:textId="77777777" w:rsidR="0098651F" w:rsidRDefault="0098651F" w:rsidP="0098651F">
      <w:r>
        <w:t>Draft questions developed by the Department were reviewed and enhanced by the consultants, an interview guide was developed and a project plan presented. Agreement was reached on the Job Services Australia (JSA) providers to be contacted.</w:t>
      </w:r>
    </w:p>
    <w:p w14:paraId="6322C2D6" w14:textId="77777777" w:rsidR="0098651F" w:rsidRPr="00B34A19" w:rsidRDefault="0098651F" w:rsidP="0098651F">
      <w:r>
        <w:t xml:space="preserve">In the </w:t>
      </w:r>
      <w:r w:rsidRPr="00B34A19">
        <w:rPr>
          <w:b/>
        </w:rPr>
        <w:t>Site visits phase</w:t>
      </w:r>
      <w:r>
        <w:t xml:space="preserve"> </w:t>
      </w:r>
      <w:r w:rsidRPr="00B34A19">
        <w:t xml:space="preserve">contact </w:t>
      </w:r>
      <w:r>
        <w:t>was</w:t>
      </w:r>
      <w:r w:rsidRPr="00B34A19">
        <w:t xml:space="preserve"> made in advance with JSA managers to arrange visits. </w:t>
      </w:r>
      <w:r>
        <w:t>Several changes were made due to an unwillingness to participate or lack of response.</w:t>
      </w:r>
      <w:r w:rsidRPr="00B34A19">
        <w:rPr>
          <w:rFonts w:ascii="Arial" w:hAnsi="Arial" w:cs="Arial"/>
        </w:rPr>
        <w:t xml:space="preserve"> </w:t>
      </w:r>
      <w:r w:rsidRPr="00B34A19">
        <w:t>Fifteen site visits were planned; however, two withdrew with no notice. One other was substituted.</w:t>
      </w:r>
      <w:r>
        <w:t xml:space="preserve"> Site visits were made to JSA providers in Perth, Whyalla, Shoalhaven Hunter and Brisbane. Fourteen interviews were conducted, encompassing a total of eighteen site locations across four states covering major city, regional and excised locations.</w:t>
      </w:r>
    </w:p>
    <w:p w14:paraId="47996BE0" w14:textId="77777777" w:rsidR="0098651F" w:rsidRPr="00B34A19" w:rsidRDefault="0098651F" w:rsidP="0098651F">
      <w:r>
        <w:t xml:space="preserve">At each site up to 90 minutes was spent with the site manager and often the Indigenous mentor or an Indigenous staff member. </w:t>
      </w:r>
      <w:r w:rsidRPr="00B34A19">
        <w:t xml:space="preserve">Interviews </w:t>
      </w:r>
      <w:r>
        <w:t>were</w:t>
      </w:r>
      <w:r w:rsidRPr="00B34A19">
        <w:t xml:space="preserve"> recorded for transcription and interviewer notes </w:t>
      </w:r>
      <w:r>
        <w:t>were also taken</w:t>
      </w:r>
      <w:r w:rsidRPr="00B34A19">
        <w:t xml:space="preserve">. </w:t>
      </w:r>
    </w:p>
    <w:p w14:paraId="63CC4BEF" w14:textId="77777777" w:rsidR="0098651F" w:rsidRDefault="0098651F" w:rsidP="0098651F">
      <w:r>
        <w:t xml:space="preserve">In the </w:t>
      </w:r>
      <w:r w:rsidRPr="00417C33">
        <w:rPr>
          <w:b/>
        </w:rPr>
        <w:t>Transcription and analysis phase</w:t>
      </w:r>
      <w:r>
        <w:t xml:space="preserve"> the interviews were transcribed by an Australian based company. The consultants </w:t>
      </w:r>
      <w:r w:rsidRPr="00417C33">
        <w:t>provide</w:t>
      </w:r>
      <w:r>
        <w:t>d</w:t>
      </w:r>
      <w:r w:rsidRPr="00417C33">
        <w:t xml:space="preserve"> a </w:t>
      </w:r>
      <w:r>
        <w:t>summary report</w:t>
      </w:r>
      <w:r w:rsidRPr="00417C33">
        <w:t xml:space="preserve"> of the maj</w:t>
      </w:r>
      <w:r>
        <w:t>or issues and discussed these with the Department</w:t>
      </w:r>
      <w:r w:rsidRPr="00417C33">
        <w:t>.</w:t>
      </w:r>
      <w:r>
        <w:t xml:space="preserve"> Transcripts were provided to the Department for further analysis.</w:t>
      </w:r>
    </w:p>
    <w:p w14:paraId="2F8A0EAE" w14:textId="77777777" w:rsidR="0098651F" w:rsidRPr="00417C33" w:rsidRDefault="0098651F" w:rsidP="0098651F">
      <w:r>
        <w:t xml:space="preserve">In the </w:t>
      </w:r>
      <w:r w:rsidRPr="00417C33">
        <w:rPr>
          <w:b/>
        </w:rPr>
        <w:t>Reporting phase</w:t>
      </w:r>
      <w:r>
        <w:t xml:space="preserve"> a draft report</w:t>
      </w:r>
      <w:r w:rsidRPr="00417C33">
        <w:rPr>
          <w:rFonts w:eastAsia="Times New Roman"/>
        </w:rPr>
        <w:t xml:space="preserve"> </w:t>
      </w:r>
      <w:r w:rsidRPr="00417C33">
        <w:t>of findings based on common themes and linkages identified within the qualitative sessions was prepared and discussed with the Department. The report include</w:t>
      </w:r>
      <w:r>
        <w:t>d</w:t>
      </w:r>
      <w:r w:rsidRPr="00417C33">
        <w:t xml:space="preserve"> recommendations for practice and policy changes based on the research findings.</w:t>
      </w:r>
      <w:r>
        <w:t xml:space="preserve"> Following feedback from the Department a final report was presented.</w:t>
      </w:r>
    </w:p>
    <w:p w14:paraId="5E61F08B" w14:textId="77777777" w:rsidR="00DF6581" w:rsidRDefault="00DF6581">
      <w:pPr>
        <w:rPr>
          <w:rFonts w:ascii="Calibri" w:eastAsiaTheme="majorEastAsia" w:hAnsi="Calibri" w:cstheme="majorBidi"/>
          <w:b/>
          <w:bCs/>
          <w:sz w:val="28"/>
          <w:szCs w:val="26"/>
        </w:rPr>
      </w:pPr>
      <w:bookmarkStart w:id="782" w:name="_Toc450919366"/>
      <w:r>
        <w:br w:type="page"/>
      </w:r>
    </w:p>
    <w:p w14:paraId="6E55DB56" w14:textId="77777777" w:rsidR="003114A5" w:rsidRPr="00B21B7F" w:rsidRDefault="003114A5" w:rsidP="00536CE7">
      <w:pPr>
        <w:pStyle w:val="Heading2"/>
        <w:rPr>
          <w:rFonts w:cs="Arial"/>
          <w:iCs/>
          <w:sz w:val="26"/>
          <w:szCs w:val="28"/>
        </w:rPr>
      </w:pPr>
      <w:bookmarkStart w:id="783" w:name="_Toc22543202"/>
      <w:r>
        <w:t>B6</w:t>
      </w:r>
      <w:r>
        <w:tab/>
      </w:r>
      <w:r w:rsidRPr="00B21B7F">
        <w:rPr>
          <w:rFonts w:cs="Arial"/>
          <w:iCs/>
          <w:sz w:val="26"/>
          <w:szCs w:val="28"/>
        </w:rPr>
        <w:t>Measuring the changes to the red tape costs</w:t>
      </w:r>
      <w:bookmarkEnd w:id="783"/>
    </w:p>
    <w:p w14:paraId="6ECC6016" w14:textId="77777777" w:rsidR="003114A5" w:rsidRPr="003F08AE" w:rsidRDefault="003114A5" w:rsidP="003114A5">
      <w:pPr>
        <w:rPr>
          <w:rFonts w:eastAsiaTheme="minorHAnsi"/>
        </w:rPr>
      </w:pPr>
      <w:r w:rsidRPr="003F08AE">
        <w:rPr>
          <w:rFonts w:eastAsiaTheme="minorHAnsi"/>
        </w:rPr>
        <w:t xml:space="preserve">The Department has estimated the level of </w:t>
      </w:r>
      <w:r>
        <w:rPr>
          <w:rFonts w:eastAsiaTheme="minorHAnsi"/>
        </w:rPr>
        <w:t>red tape</w:t>
      </w:r>
      <w:r w:rsidRPr="003F08AE">
        <w:rPr>
          <w:rFonts w:eastAsiaTheme="minorHAnsi"/>
        </w:rPr>
        <w:t xml:space="preserve"> imposed on key stakeholders including employment services providers, employers and job seekers</w:t>
      </w:r>
      <w:r>
        <w:rPr>
          <w:rFonts w:eastAsiaTheme="minorHAnsi"/>
        </w:rPr>
        <w:t>,</w:t>
      </w:r>
      <w:r w:rsidRPr="003F08AE">
        <w:rPr>
          <w:rFonts w:eastAsiaTheme="minorHAnsi"/>
        </w:rPr>
        <w:t xml:space="preserve"> using items from the Regulatory Burden Measurement (RBM) Framework guidance provided by</w:t>
      </w:r>
      <w:r>
        <w:rPr>
          <w:rFonts w:eastAsiaTheme="minorHAnsi"/>
        </w:rPr>
        <w:t xml:space="preserve"> the</w:t>
      </w:r>
      <w:r w:rsidRPr="003F08AE">
        <w:rPr>
          <w:rFonts w:eastAsiaTheme="minorHAnsi"/>
        </w:rPr>
        <w:t xml:space="preserve"> Office of Best Practice Regulation</w:t>
      </w:r>
      <w:r>
        <w:rPr>
          <w:rFonts w:eastAsiaTheme="minorHAnsi"/>
        </w:rPr>
        <w:t xml:space="preserve"> (OBPR)</w:t>
      </w:r>
      <w:r w:rsidRPr="003F08AE">
        <w:rPr>
          <w:rFonts w:eastAsiaTheme="minorHAnsi"/>
        </w:rPr>
        <w:t>.</w:t>
      </w:r>
      <w:r>
        <w:rPr>
          <w:rFonts w:eastAsiaTheme="minorHAnsi"/>
        </w:rPr>
        <w:t xml:space="preserve"> This is used to show how red tape costs have changed across contracts and which components of the programme are driving these costs.</w:t>
      </w:r>
    </w:p>
    <w:p w14:paraId="318F10EC" w14:textId="77777777" w:rsidR="003114A5" w:rsidRPr="00FA408D" w:rsidRDefault="003114A5" w:rsidP="003114A5">
      <w:pPr>
        <w:rPr>
          <w:rFonts w:eastAsiaTheme="minorHAnsi" w:cstheme="minorHAnsi"/>
        </w:rPr>
      </w:pPr>
      <w:r w:rsidRPr="00FA408D">
        <w:rPr>
          <w:rFonts w:eastAsiaTheme="minorHAnsi" w:cstheme="minorHAnsi"/>
        </w:rPr>
        <w:t xml:space="preserve">Costs </w:t>
      </w:r>
      <w:r>
        <w:rPr>
          <w:rFonts w:eastAsiaTheme="minorHAnsi" w:cstheme="minorHAnsi"/>
        </w:rPr>
        <w:t>are</w:t>
      </w:r>
      <w:r w:rsidRPr="00FA408D">
        <w:rPr>
          <w:rFonts w:eastAsiaTheme="minorHAnsi" w:cstheme="minorHAnsi"/>
        </w:rPr>
        <w:t xml:space="preserve"> based on the methodology in the OBPR cost calculator tool: </w:t>
      </w:r>
    </w:p>
    <w:p w14:paraId="5888FAFC" w14:textId="77777777" w:rsidR="003114A5" w:rsidRPr="00AD3F72" w:rsidRDefault="003114A5" w:rsidP="003114A5">
      <w:pPr>
        <w:rPr>
          <w:rFonts w:eastAsiaTheme="minorHAnsi" w:cstheme="minorHAnsi"/>
        </w:rPr>
      </w:pPr>
      <w:r w:rsidRPr="00AD3F72">
        <w:rPr>
          <w:rFonts w:eastAsiaTheme="minorHAnsi" w:cstheme="minorHAnsi"/>
        </w:rPr>
        <w:t>Total activity cost = (number of times activity is performed per year – generally based on ESS data) x (avg. time to do each activity (in hours)) x ($ labour cost per hour).</w:t>
      </w:r>
    </w:p>
    <w:p w14:paraId="1A1179CE" w14:textId="77777777" w:rsidR="00DD6812" w:rsidRDefault="003114A5" w:rsidP="003114A5">
      <w:r w:rsidRPr="00995E8D">
        <w:t>An hourly provider rate of $54.80 across each estimate</w:t>
      </w:r>
      <w:r>
        <w:t xml:space="preserve"> was</w:t>
      </w:r>
      <w:r w:rsidRPr="00995E8D">
        <w:t xml:space="preserve"> agreed to with NESA in 2013. </w:t>
      </w:r>
      <w:r>
        <w:t>It covers the</w:t>
      </w:r>
      <w:r w:rsidRPr="00995E8D">
        <w:t xml:space="preserve"> rate for employment consultants with on-costs and overhead multiplier of 1.75, </w:t>
      </w:r>
      <w:r>
        <w:t>(</w:t>
      </w:r>
      <w:r w:rsidRPr="00995E8D">
        <w:t xml:space="preserve">as </w:t>
      </w:r>
      <w:r>
        <w:t>agreed with</w:t>
      </w:r>
      <w:r w:rsidRPr="00995E8D">
        <w:t xml:space="preserve"> OBPR</w:t>
      </w:r>
      <w:r>
        <w:t xml:space="preserve">). This rate </w:t>
      </w:r>
      <w:r w:rsidRPr="00995E8D">
        <w:t>was used for all estimates of red tape costs under JSA.</w:t>
      </w:r>
      <w:r w:rsidR="00DD6812">
        <w:t xml:space="preserve"> </w:t>
      </w:r>
    </w:p>
    <w:p w14:paraId="2B7A88A9" w14:textId="00A453F1" w:rsidR="00DD6812" w:rsidRPr="00DF7C96" w:rsidRDefault="00DD6812" w:rsidP="00DF7C96">
      <w:pPr>
        <w:spacing w:before="240"/>
      </w:pPr>
      <w:r w:rsidRPr="00DD6812">
        <w:t xml:space="preserve">Red tape costs for 2012-15 were provided to OBPR as official RIS costings. Red tape costings for 2009-12 results are not part of the official </w:t>
      </w:r>
      <w:r w:rsidR="001F21B2" w:rsidRPr="00DD6812">
        <w:t>OBPR</w:t>
      </w:r>
      <w:r w:rsidRPr="00DD6812">
        <w:t xml:space="preserve"> estimates, but were derived by programme areas in the Department by applying the same methodology for estimating red tape costs for the purpose of this research. </w:t>
      </w:r>
    </w:p>
    <w:p w14:paraId="16D99769" w14:textId="77777777" w:rsidR="003114A5" w:rsidRPr="00702CB0" w:rsidRDefault="003114A5" w:rsidP="00536CE7">
      <w:pPr>
        <w:pStyle w:val="Heading2"/>
      </w:pPr>
      <w:bookmarkStart w:id="784" w:name="_Toc22543203"/>
      <w:r>
        <w:t>B7</w:t>
      </w:r>
      <w:r>
        <w:tab/>
      </w:r>
      <w:r w:rsidRPr="00702CB0">
        <w:t>Measuring the changes to the job seeker participation and compliance framework</w:t>
      </w:r>
      <w:bookmarkEnd w:id="784"/>
    </w:p>
    <w:p w14:paraId="34924CB8" w14:textId="77777777" w:rsidR="003114A5" w:rsidRPr="003114A5" w:rsidRDefault="003114A5" w:rsidP="00536CE7">
      <w:pPr>
        <w:pStyle w:val="Heading3"/>
        <w:numPr>
          <w:ilvl w:val="2"/>
          <w:numId w:val="0"/>
        </w:numPr>
        <w:tabs>
          <w:tab w:val="num" w:pos="720"/>
        </w:tabs>
        <w:autoSpaceDE w:val="0"/>
        <w:autoSpaceDN w:val="0"/>
        <w:adjustRightInd w:val="0"/>
        <w:spacing w:before="240" w:after="60" w:line="240" w:lineRule="auto"/>
        <w:ind w:left="720" w:hanging="720"/>
      </w:pPr>
      <w:bookmarkStart w:id="785" w:name="_Toc22543204"/>
      <w:r w:rsidRPr="00F34DDE">
        <w:t>B</w:t>
      </w:r>
      <w:r>
        <w:t>7</w:t>
      </w:r>
      <w:r w:rsidRPr="00F34DDE">
        <w:t>.1</w:t>
      </w:r>
      <w:r w:rsidR="00DF7C96">
        <w:tab/>
      </w:r>
      <w:r w:rsidRPr="00F34DDE">
        <w:t>Measures</w:t>
      </w:r>
      <w:bookmarkEnd w:id="785"/>
    </w:p>
    <w:p w14:paraId="6B9603CF" w14:textId="77777777" w:rsidR="003114A5" w:rsidRDefault="003114A5" w:rsidP="003114A5">
      <w:pPr>
        <w:spacing w:before="240"/>
      </w:pPr>
      <w:r>
        <w:t xml:space="preserve">Measures used include the average attendance rate for all appointments and the average attendance rate for re-engagement appointments. Attendance rates for the treatment and control groups were compared. </w:t>
      </w:r>
      <w:r>
        <w:rPr>
          <w:rFonts w:cstheme="minorHAnsi"/>
        </w:rPr>
        <w:t xml:space="preserve">Attendance rates are calculated for all appointments as well as re-engagement appointments, on which the changes to the framework are likely to have a significant impact. Comparisons are undertaken for Streams 1 to 4 and for job seekers with a VI. This is to reflect that the measure slightly impacted compliance arrangements for job seekers with a VI. </w:t>
      </w:r>
    </w:p>
    <w:p w14:paraId="751D1BA6" w14:textId="77777777" w:rsidR="003114A5" w:rsidRDefault="003114A5" w:rsidP="00536CE7">
      <w:pPr>
        <w:pStyle w:val="Heading3"/>
        <w:numPr>
          <w:ilvl w:val="2"/>
          <w:numId w:val="0"/>
        </w:numPr>
        <w:tabs>
          <w:tab w:val="num" w:pos="720"/>
        </w:tabs>
        <w:autoSpaceDE w:val="0"/>
        <w:autoSpaceDN w:val="0"/>
        <w:adjustRightInd w:val="0"/>
        <w:spacing w:before="240" w:after="60" w:line="240" w:lineRule="auto"/>
        <w:ind w:left="720" w:hanging="720"/>
      </w:pPr>
      <w:bookmarkStart w:id="786" w:name="_Toc451162279"/>
      <w:bookmarkStart w:id="787" w:name="_Toc22543205"/>
      <w:r>
        <w:t>B7.2</w:t>
      </w:r>
      <w:r>
        <w:tab/>
        <w:t>Study populations</w:t>
      </w:r>
      <w:bookmarkEnd w:id="786"/>
      <w:bookmarkEnd w:id="787"/>
    </w:p>
    <w:p w14:paraId="78BAAE74" w14:textId="77777777" w:rsidR="003114A5" w:rsidRDefault="003114A5" w:rsidP="003114A5">
      <w:pPr>
        <w:rPr>
          <w:rFonts w:cstheme="minorHAnsi"/>
        </w:rPr>
      </w:pPr>
      <w:r>
        <w:t>For this analysis two groups of job seekers (a treatment</w:t>
      </w:r>
      <w:r w:rsidDel="0053214D">
        <w:t xml:space="preserve"> </w:t>
      </w:r>
      <w:r>
        <w:t>group from</w:t>
      </w:r>
      <w:r w:rsidRPr="00B80328">
        <w:t xml:space="preserve"> </w:t>
      </w:r>
      <w:r>
        <w:rPr>
          <w:rFonts w:cstheme="minorHAnsi"/>
        </w:rPr>
        <w:t xml:space="preserve">1 January 2015 to 31 March 2015 </w:t>
      </w:r>
      <w:r>
        <w:t>and a comparison group</w:t>
      </w:r>
      <w:r w:rsidRPr="00B80328">
        <w:t xml:space="preserve"> </w:t>
      </w:r>
      <w:r>
        <w:t xml:space="preserve">from </w:t>
      </w:r>
      <w:r>
        <w:rPr>
          <w:rFonts w:cstheme="minorHAnsi"/>
        </w:rPr>
        <w:t>1 January 2014 to 31 March 2014</w:t>
      </w:r>
      <w:r>
        <w:t>) were identified</w:t>
      </w:r>
      <w:r>
        <w:rPr>
          <w:rFonts w:cstheme="minorHAnsi"/>
        </w:rPr>
        <w:t xml:space="preserve"> and provider appointment attendance rates compared. The length of this analysis period was selected to ensure that the transition to jobactive from 31 March 2015 onwards did not impact the results of the analysis.</w:t>
      </w:r>
    </w:p>
    <w:p w14:paraId="2CC3A1C9" w14:textId="77777777" w:rsidR="003114A5" w:rsidRPr="00536CE7" w:rsidRDefault="003114A5" w:rsidP="00AD3F72">
      <w:pPr>
        <w:pStyle w:val="TableheadingforappendixA1"/>
      </w:pPr>
      <w:bookmarkStart w:id="788" w:name="_Toc450919601"/>
      <w:bookmarkStart w:id="789" w:name="_Toc513129949"/>
      <w:r w:rsidRPr="00536CE7">
        <w:t>Table B7.1: Definitions of study populations used to assess the effect</w:t>
      </w:r>
      <w:r>
        <w:t xml:space="preserve"> </w:t>
      </w:r>
      <w:r w:rsidRPr="002F2581">
        <w:t xml:space="preserve">of </w:t>
      </w:r>
      <w:bookmarkEnd w:id="788"/>
      <w:r>
        <w:t>the Strengthening the Job Seeker Compliance Framework measure</w:t>
      </w:r>
      <w:bookmarkEnd w:id="789"/>
    </w:p>
    <w:tbl>
      <w:tblPr>
        <w:tblStyle w:val="TableGrid8"/>
        <w:tblW w:w="8647" w:type="dxa"/>
        <w:tblInd w:w="250" w:type="dxa"/>
        <w:tblLook w:val="04A0" w:firstRow="1" w:lastRow="0" w:firstColumn="1" w:lastColumn="0" w:noHBand="0" w:noVBand="1"/>
      </w:tblPr>
      <w:tblGrid>
        <w:gridCol w:w="2126"/>
        <w:gridCol w:w="2977"/>
        <w:gridCol w:w="3544"/>
      </w:tblGrid>
      <w:tr w:rsidR="003114A5" w:rsidRPr="006A1F08" w14:paraId="1BC5673E" w14:textId="77777777" w:rsidTr="00536CE7">
        <w:trPr>
          <w:cantSplit/>
          <w:trHeight w:hRule="exact" w:val="397"/>
          <w:tblHeader/>
        </w:trPr>
        <w:tc>
          <w:tcPr>
            <w:tcW w:w="2126" w:type="dxa"/>
            <w:tcBorders>
              <w:top w:val="nil"/>
              <w:left w:val="nil"/>
              <w:bottom w:val="nil"/>
              <w:right w:val="nil"/>
            </w:tcBorders>
            <w:shd w:val="clear" w:color="auto" w:fill="1E3D6B"/>
            <w:vAlign w:val="center"/>
          </w:tcPr>
          <w:p w14:paraId="6822696B" w14:textId="77777777" w:rsidR="003114A5" w:rsidRPr="006A1F08" w:rsidRDefault="003114A5" w:rsidP="004F3B01">
            <w:pPr>
              <w:keepNext/>
              <w:keepLines/>
              <w:rPr>
                <w:b/>
                <w:sz w:val="20"/>
                <w:szCs w:val="20"/>
              </w:rPr>
            </w:pPr>
            <w:bookmarkStart w:id="790" w:name="ColumnTitle_b71"/>
            <w:bookmarkEnd w:id="790"/>
            <w:r>
              <w:rPr>
                <w:b/>
                <w:sz w:val="20"/>
                <w:szCs w:val="20"/>
              </w:rPr>
              <w:t>Period</w:t>
            </w:r>
          </w:p>
        </w:tc>
        <w:tc>
          <w:tcPr>
            <w:tcW w:w="2977" w:type="dxa"/>
            <w:tcBorders>
              <w:top w:val="nil"/>
              <w:left w:val="nil"/>
              <w:bottom w:val="nil"/>
              <w:right w:val="nil"/>
            </w:tcBorders>
            <w:shd w:val="clear" w:color="auto" w:fill="1E3D6B"/>
            <w:vAlign w:val="center"/>
          </w:tcPr>
          <w:p w14:paraId="0B332011" w14:textId="77777777" w:rsidR="003114A5" w:rsidRPr="006A1F08" w:rsidRDefault="003114A5" w:rsidP="004F3B01">
            <w:pPr>
              <w:jc w:val="center"/>
              <w:rPr>
                <w:b/>
                <w:bCs/>
                <w:sz w:val="20"/>
                <w:szCs w:val="20"/>
              </w:rPr>
            </w:pPr>
            <w:r w:rsidRPr="006A1F08">
              <w:rPr>
                <w:b/>
                <w:bCs/>
                <w:sz w:val="20"/>
                <w:szCs w:val="20"/>
              </w:rPr>
              <w:t>JSA 2009</w:t>
            </w:r>
          </w:p>
        </w:tc>
        <w:tc>
          <w:tcPr>
            <w:tcW w:w="3544" w:type="dxa"/>
            <w:tcBorders>
              <w:top w:val="nil"/>
              <w:left w:val="nil"/>
              <w:bottom w:val="nil"/>
              <w:right w:val="nil"/>
            </w:tcBorders>
            <w:shd w:val="clear" w:color="auto" w:fill="1E3D6B"/>
            <w:vAlign w:val="center"/>
          </w:tcPr>
          <w:p w14:paraId="4361D8C2" w14:textId="77777777" w:rsidR="003114A5" w:rsidRPr="006A1F08" w:rsidRDefault="003114A5" w:rsidP="004F3B01">
            <w:pPr>
              <w:ind w:left="145"/>
              <w:jc w:val="center"/>
              <w:rPr>
                <w:b/>
                <w:bCs/>
                <w:sz w:val="20"/>
                <w:szCs w:val="20"/>
              </w:rPr>
            </w:pPr>
            <w:r w:rsidRPr="006A1F08">
              <w:rPr>
                <w:b/>
                <w:bCs/>
                <w:sz w:val="20"/>
                <w:szCs w:val="20"/>
              </w:rPr>
              <w:t>JSA 2012</w:t>
            </w:r>
          </w:p>
        </w:tc>
      </w:tr>
      <w:tr w:rsidR="003114A5" w:rsidRPr="00F34DDE" w14:paraId="04F89B39" w14:textId="77777777" w:rsidTr="0064166F">
        <w:trPr>
          <w:cantSplit/>
          <w:trHeight w:hRule="exact" w:val="397"/>
        </w:trPr>
        <w:tc>
          <w:tcPr>
            <w:tcW w:w="2126" w:type="dxa"/>
            <w:tcBorders>
              <w:top w:val="nil"/>
              <w:left w:val="nil"/>
              <w:bottom w:val="single" w:sz="4" w:space="0" w:color="auto"/>
              <w:right w:val="nil"/>
            </w:tcBorders>
            <w:shd w:val="clear" w:color="auto" w:fill="auto"/>
            <w:vAlign w:val="center"/>
          </w:tcPr>
          <w:p w14:paraId="7F16640D" w14:textId="77777777" w:rsidR="003114A5" w:rsidRPr="00E73668" w:rsidRDefault="003114A5" w:rsidP="004F3B01">
            <w:pPr>
              <w:keepNext/>
              <w:keepLines/>
              <w:rPr>
                <w:sz w:val="20"/>
                <w:szCs w:val="20"/>
              </w:rPr>
            </w:pPr>
            <w:r w:rsidRPr="00E73668">
              <w:rPr>
                <w:sz w:val="20"/>
                <w:szCs w:val="20"/>
              </w:rPr>
              <w:t xml:space="preserve">Reference period </w:t>
            </w:r>
          </w:p>
        </w:tc>
        <w:tc>
          <w:tcPr>
            <w:tcW w:w="2977" w:type="dxa"/>
            <w:tcBorders>
              <w:top w:val="nil"/>
              <w:left w:val="nil"/>
              <w:bottom w:val="single" w:sz="4" w:space="0" w:color="auto"/>
              <w:right w:val="nil"/>
            </w:tcBorders>
            <w:shd w:val="clear" w:color="auto" w:fill="auto"/>
            <w:vAlign w:val="center"/>
          </w:tcPr>
          <w:p w14:paraId="19093F36" w14:textId="77777777" w:rsidR="003114A5" w:rsidRPr="00E73668" w:rsidRDefault="003114A5" w:rsidP="004F3B01">
            <w:pPr>
              <w:keepNext/>
              <w:keepLines/>
              <w:rPr>
                <w:sz w:val="20"/>
                <w:szCs w:val="20"/>
              </w:rPr>
            </w:pPr>
            <w:r w:rsidRPr="00F34DDE">
              <w:rPr>
                <w:sz w:val="20"/>
                <w:szCs w:val="20"/>
              </w:rPr>
              <w:t>1 January 2014 to 31 March 2014</w:t>
            </w:r>
          </w:p>
        </w:tc>
        <w:tc>
          <w:tcPr>
            <w:tcW w:w="3544" w:type="dxa"/>
            <w:tcBorders>
              <w:top w:val="nil"/>
              <w:left w:val="nil"/>
              <w:bottom w:val="single" w:sz="4" w:space="0" w:color="auto"/>
              <w:right w:val="nil"/>
            </w:tcBorders>
            <w:shd w:val="clear" w:color="auto" w:fill="auto"/>
            <w:vAlign w:val="center"/>
          </w:tcPr>
          <w:p w14:paraId="12CAB118" w14:textId="77777777" w:rsidR="003114A5" w:rsidRPr="00E73668" w:rsidRDefault="003114A5" w:rsidP="004F3B01">
            <w:pPr>
              <w:keepNext/>
              <w:keepLines/>
              <w:rPr>
                <w:sz w:val="20"/>
                <w:szCs w:val="20"/>
              </w:rPr>
            </w:pPr>
            <w:r w:rsidRPr="00F34DDE">
              <w:rPr>
                <w:sz w:val="20"/>
                <w:szCs w:val="20"/>
              </w:rPr>
              <w:t>1 January 2015 to 31 March 2015</w:t>
            </w:r>
          </w:p>
        </w:tc>
      </w:tr>
    </w:tbl>
    <w:p w14:paraId="50678158" w14:textId="77777777" w:rsidR="003114A5" w:rsidRPr="003114A5" w:rsidRDefault="003114A5" w:rsidP="00536CE7">
      <w:pPr>
        <w:pStyle w:val="Heading3"/>
        <w:numPr>
          <w:ilvl w:val="2"/>
          <w:numId w:val="0"/>
        </w:numPr>
        <w:tabs>
          <w:tab w:val="num" w:pos="720"/>
        </w:tabs>
        <w:autoSpaceDE w:val="0"/>
        <w:autoSpaceDN w:val="0"/>
        <w:adjustRightInd w:val="0"/>
        <w:spacing w:before="240" w:after="60" w:line="240" w:lineRule="auto"/>
        <w:ind w:left="720" w:hanging="720"/>
      </w:pPr>
      <w:bookmarkStart w:id="791" w:name="_Toc22543206"/>
      <w:r w:rsidRPr="00F34DDE">
        <w:t>B</w:t>
      </w:r>
      <w:r w:rsidRPr="003114A5">
        <w:t>7</w:t>
      </w:r>
      <w:r w:rsidRPr="00F34DDE">
        <w:t>.3</w:t>
      </w:r>
      <w:r w:rsidR="00DF7C96">
        <w:tab/>
      </w:r>
      <w:r w:rsidRPr="00F34DDE">
        <w:t>Statistical Techniques</w:t>
      </w:r>
      <w:bookmarkEnd w:id="791"/>
    </w:p>
    <w:p w14:paraId="2DD9EA2E" w14:textId="77777777" w:rsidR="003114A5" w:rsidRDefault="003114A5" w:rsidP="003114A5">
      <w:r>
        <w:t>Propensity score matching is used in the compliance analysis to</w:t>
      </w:r>
      <w:r w:rsidRPr="009765E7">
        <w:t xml:space="preserve"> </w:t>
      </w:r>
      <w:r>
        <w:t>select</w:t>
      </w:r>
      <w:r w:rsidRPr="009765E7">
        <w:t xml:space="preserve"> job seekers </w:t>
      </w:r>
      <w:r>
        <w:t xml:space="preserve">from both of the Compliance Framework study populations </w:t>
      </w:r>
      <w:r w:rsidRPr="009765E7">
        <w:t>with similar characteristics</w:t>
      </w:r>
      <w:r>
        <w:t xml:space="preserve">. </w:t>
      </w:r>
      <w:r w:rsidRPr="009765E7">
        <w:t xml:space="preserve">It does this by matching each job seeker affected by the Strengthening the Job Seeker Compliance Framework Measure to a job seeker in the prior time period. There are multiple factors other than the compliance framework that could determine whether a job seeker attends an </w:t>
      </w:r>
      <w:r>
        <w:t>appointment, for e</w:t>
      </w:r>
      <w:r w:rsidRPr="009765E7">
        <w:t>xample</w:t>
      </w:r>
      <w:r>
        <w:t xml:space="preserve"> age of the job seeker. </w:t>
      </w:r>
      <w:r w:rsidRPr="009765E7">
        <w:t>If both groups</w:t>
      </w:r>
      <w:r>
        <w:t xml:space="preserve"> selected</w:t>
      </w:r>
      <w:r w:rsidRPr="009765E7">
        <w:t xml:space="preserve"> are similar in terms of everything that affects attendance except for the difference in the compliance framework, then differences in attendance rates can be attributed to impact of the Strengthening the Job Seeker Compliance Framework Measure.  </w:t>
      </w:r>
    </w:p>
    <w:p w14:paraId="1BF9BF0E" w14:textId="77777777" w:rsidR="003114A5" w:rsidRPr="00536CE7" w:rsidRDefault="003114A5" w:rsidP="003114A5">
      <w:pPr>
        <w:rPr>
          <w:color w:val="000000" w:themeColor="text1"/>
        </w:rPr>
      </w:pPr>
      <w:r w:rsidRPr="009765E7">
        <w:t>Caution needs to be taken when examining differences in attendance rates between the two time periods using propensity score matching</w:t>
      </w:r>
      <w:r>
        <w:t xml:space="preserve"> (</w:t>
      </w:r>
      <w:r>
        <w:rPr>
          <w:color w:val="000000" w:themeColor="text1"/>
        </w:rPr>
        <w:t>Appendix B8 provides information about this technique)</w:t>
      </w:r>
      <w:r w:rsidRPr="009765E7">
        <w:t xml:space="preserve">  </w:t>
      </w:r>
      <w:r>
        <w:t xml:space="preserve"> as this</w:t>
      </w:r>
      <w:r w:rsidRPr="009765E7">
        <w:t xml:space="preserve"> method doesn’t control for all factors affecting attendance</w:t>
      </w:r>
      <w:r>
        <w:t>:</w:t>
      </w:r>
    </w:p>
    <w:p w14:paraId="5723357B" w14:textId="77777777" w:rsidR="003114A5" w:rsidRPr="00F459F2" w:rsidRDefault="003114A5" w:rsidP="00536CE7">
      <w:pPr>
        <w:pStyle w:val="bullet"/>
      </w:pPr>
      <w:r w:rsidRPr="00F459F2">
        <w:t xml:space="preserve">The matching technique only controls for differences in characteristics that can be observed, i.e. that there is information available on. Differences in age, gender and so on between the two groups can be taken into account, but not unobserved factors like the motivation of a job seeker to attend an </w:t>
      </w:r>
      <w:r>
        <w:t>appointment</w:t>
      </w:r>
      <w:r w:rsidRPr="00F459F2">
        <w:t xml:space="preserve">. </w:t>
      </w:r>
    </w:p>
    <w:p w14:paraId="7CC78EC4" w14:textId="77777777" w:rsidR="003114A5" w:rsidRPr="007C5FD3" w:rsidRDefault="003114A5" w:rsidP="00536CE7">
      <w:pPr>
        <w:pStyle w:val="bullet"/>
      </w:pPr>
      <w:r w:rsidRPr="00F459F2">
        <w:t xml:space="preserve">The observed factors are not necessarily the most important predictors of </w:t>
      </w:r>
      <w:r>
        <w:t xml:space="preserve">appointment </w:t>
      </w:r>
      <w:r w:rsidRPr="00F459F2">
        <w:t xml:space="preserve">attendance. Unobserved factors are </w:t>
      </w:r>
      <w:r>
        <w:t xml:space="preserve">also </w:t>
      </w:r>
      <w:r w:rsidRPr="00F459F2">
        <w:t xml:space="preserve">highly important, such as job seeker motivation, personal factors, how they feel on the day of the interview, the ability of the provider to encourage attendance etc. There is no way of knowing whether unobserved factors </w:t>
      </w:r>
      <w:r w:rsidRPr="007C5FD3">
        <w:t xml:space="preserve">are balanced across both groups, as the propensity score matching only achieves balance across observable factors. </w:t>
      </w:r>
    </w:p>
    <w:p w14:paraId="0EBCE24D" w14:textId="77777777" w:rsidR="003114A5" w:rsidRPr="007C5FD3" w:rsidRDefault="003114A5" w:rsidP="00536CE7">
      <w:pPr>
        <w:pStyle w:val="bullet"/>
      </w:pPr>
      <w:r w:rsidRPr="007C5FD3">
        <w:t>This means that differences in attendance rates between the two groups might not just be due to the impact of the nudge, but as a result of other factors that cannot be accounted for.</w:t>
      </w:r>
    </w:p>
    <w:p w14:paraId="7F42696D" w14:textId="77777777" w:rsidR="003114A5" w:rsidRDefault="003114A5">
      <w:pPr>
        <w:rPr>
          <w:rFonts w:ascii="Calibri" w:eastAsiaTheme="majorEastAsia" w:hAnsi="Calibri" w:cstheme="majorBidi"/>
          <w:b/>
          <w:bCs/>
          <w:sz w:val="28"/>
          <w:szCs w:val="26"/>
        </w:rPr>
      </w:pPr>
      <w:r>
        <w:br w:type="page"/>
      </w:r>
    </w:p>
    <w:p w14:paraId="31D3896A" w14:textId="77777777" w:rsidR="005E1B5A" w:rsidRDefault="003114A5" w:rsidP="005E1B5A">
      <w:pPr>
        <w:pStyle w:val="Heading2"/>
      </w:pPr>
      <w:bookmarkStart w:id="792" w:name="_Toc22543207"/>
      <w:r>
        <w:t>B8</w:t>
      </w:r>
      <w:r w:rsidR="005E1B5A">
        <w:tab/>
        <w:t>Statistical techniques used in the report</w:t>
      </w:r>
      <w:bookmarkEnd w:id="782"/>
      <w:bookmarkEnd w:id="792"/>
    </w:p>
    <w:p w14:paraId="1B4B6314" w14:textId="77777777" w:rsidR="005E1B5A" w:rsidRPr="00F459F2" w:rsidRDefault="003114A5" w:rsidP="005E1B5A">
      <w:pPr>
        <w:pStyle w:val="Heading3"/>
      </w:pPr>
      <w:bookmarkStart w:id="793" w:name="_Toc22543208"/>
      <w:r>
        <w:t>B8</w:t>
      </w:r>
      <w:r w:rsidR="0040043C">
        <w:t>.1</w:t>
      </w:r>
      <w:r w:rsidR="0040043C">
        <w:tab/>
      </w:r>
      <w:r w:rsidR="005E1B5A">
        <w:t>Logistic regression</w:t>
      </w:r>
      <w:bookmarkEnd w:id="793"/>
    </w:p>
    <w:p w14:paraId="3624B941" w14:textId="77777777" w:rsidR="00DA2936" w:rsidRDefault="003C03F9" w:rsidP="00DA2936">
      <w:r>
        <w:t>Logistic r</w:t>
      </w:r>
      <w:r w:rsidR="005E1B5A" w:rsidRPr="00182B61">
        <w:t xml:space="preserve">egression analyses are conducted to account for differences in both the demographic compositions </w:t>
      </w:r>
      <w:r w:rsidR="00E73668">
        <w:t>between</w:t>
      </w:r>
      <w:r w:rsidR="005E1B5A" w:rsidRPr="00182B61">
        <w:t xml:space="preserve"> study populations and the macroeconomic conditions of the </w:t>
      </w:r>
      <w:r w:rsidR="00E73668">
        <w:t>analysis</w:t>
      </w:r>
      <w:r w:rsidR="005E1B5A" w:rsidRPr="00182B61">
        <w:t xml:space="preserve"> periods.</w:t>
      </w:r>
      <w:r w:rsidR="00E73668">
        <w:t xml:space="preserve"> </w:t>
      </w:r>
      <w:r w:rsidRPr="003C03F9">
        <w:t>As for all regression analys</w:t>
      </w:r>
      <w:r>
        <w:t>e</w:t>
      </w:r>
      <w:r w:rsidRPr="003C03F9">
        <w:t>s the models only control for factors that can be observed and are specified in the model. Therefore unobserved factors such as differences in job seeker motivation</w:t>
      </w:r>
      <w:r>
        <w:t xml:space="preserve"> cannot be accounted for</w:t>
      </w:r>
      <w:r w:rsidRPr="00F459F2">
        <w:t>.</w:t>
      </w:r>
    </w:p>
    <w:p w14:paraId="39E3B4ED" w14:textId="31EDE2A2" w:rsidR="0040043C" w:rsidRDefault="0040043C" w:rsidP="0040043C">
      <w:bookmarkStart w:id="794" w:name="_Toc347409126"/>
      <w:r>
        <w:rPr>
          <w:lang w:val="en"/>
        </w:rPr>
        <w:t>Logistic regression measures the relationship between a categorical dependent variable (for example achieving or not achieving a sustained employment outcome) and one or more independent variables</w:t>
      </w:r>
      <w:r w:rsidRPr="0054646A">
        <w:t xml:space="preserve"> </w:t>
      </w:r>
      <w:r>
        <w:t>(for example age, gender, country of birth)</w:t>
      </w:r>
      <w:bookmarkEnd w:id="794"/>
      <w:r>
        <w:t>. Logistic regressions produce odds ratios for each of the independent variables (or their interactions with each other if this type of complexity is included in the model specification), controlling for the effect of all other independent variables included in the model</w:t>
      </w:r>
      <w:r w:rsidRPr="0054646A">
        <w:t>.</w:t>
      </w:r>
      <w:r w:rsidRPr="00FC5F1C">
        <w:t xml:space="preserve"> </w:t>
      </w:r>
      <w:r>
        <w:t>For example logistic r</w:t>
      </w:r>
      <w:r w:rsidRPr="007F32A4">
        <w:t xml:space="preserve">egression analyses </w:t>
      </w:r>
      <w:r>
        <w:t>presented in this report that compare outcomes for the JSA 2009 and JSA 2012 new entrant</w:t>
      </w:r>
      <w:r w:rsidRPr="007F32A4">
        <w:t xml:space="preserve"> populations</w:t>
      </w:r>
      <w:r>
        <w:t xml:space="preserve"> </w:t>
      </w:r>
      <w:r w:rsidRPr="007F32A4">
        <w:t xml:space="preserve">account for differences in both the demographic compositions of the </w:t>
      </w:r>
      <w:r>
        <w:t xml:space="preserve">study populations </w:t>
      </w:r>
      <w:r w:rsidRPr="007F32A4">
        <w:t>and the macro-economic conditions of the two time periods</w:t>
      </w:r>
      <w:r>
        <w:t>.</w:t>
      </w:r>
    </w:p>
    <w:p w14:paraId="6FA0B86B" w14:textId="77777777" w:rsidR="00C5729F" w:rsidRPr="00F459F2" w:rsidRDefault="003114A5" w:rsidP="00C5729F">
      <w:pPr>
        <w:pStyle w:val="Heading3"/>
      </w:pPr>
      <w:bookmarkStart w:id="795" w:name="_Toc22543209"/>
      <w:r>
        <w:t>B8</w:t>
      </w:r>
      <w:r w:rsidR="00C5729F">
        <w:t>.2</w:t>
      </w:r>
      <w:r w:rsidR="00C5729F">
        <w:tab/>
      </w:r>
      <w:r>
        <w:t xml:space="preserve">Multinomial </w:t>
      </w:r>
      <w:r w:rsidR="00C5729F">
        <w:t>logistic regression</w:t>
      </w:r>
      <w:bookmarkEnd w:id="795"/>
    </w:p>
    <w:p w14:paraId="03CFD64A" w14:textId="77777777" w:rsidR="00C5729F" w:rsidRDefault="00C5729F" w:rsidP="00C5729F">
      <w:r>
        <w:t xml:space="preserve">The multinomial logistic regression statistical technique </w:t>
      </w:r>
      <w:r w:rsidRPr="00F02282">
        <w:t xml:space="preserve">is also used </w:t>
      </w:r>
      <w:r>
        <w:t xml:space="preserve">as this allows for analysis of </w:t>
      </w:r>
      <w:r w:rsidRPr="00F02282">
        <w:t>dependent variable</w:t>
      </w:r>
      <w:r>
        <w:t>s that are</w:t>
      </w:r>
      <w:r w:rsidRPr="00F02282">
        <w:t xml:space="preserve"> nominal with more than two levels</w:t>
      </w:r>
      <w:r>
        <w:t>, such as</w:t>
      </w:r>
      <w:r w:rsidRPr="00F02282">
        <w:t xml:space="preserve"> </w:t>
      </w:r>
      <w:r>
        <w:t xml:space="preserve">job seeker </w:t>
      </w:r>
      <w:r w:rsidRPr="00F02282">
        <w:t xml:space="preserve">income support status </w:t>
      </w:r>
      <w:r>
        <w:t xml:space="preserve">which is categorised in to </w:t>
      </w:r>
      <w:r w:rsidRPr="00F02282">
        <w:t xml:space="preserve">three levels: </w:t>
      </w:r>
      <w:r>
        <w:t>o</w:t>
      </w:r>
      <w:r w:rsidRPr="00F02282">
        <w:t xml:space="preserve">ff income support; </w:t>
      </w:r>
      <w:r>
        <w:t>o</w:t>
      </w:r>
      <w:r w:rsidRPr="00F02282">
        <w:t>n partial income support; or on full income support.</w:t>
      </w:r>
      <w:r>
        <w:t xml:space="preserve"> Differences in outcomes between the employment services models are expressed as average</w:t>
      </w:r>
      <w:r w:rsidRPr="00317C07">
        <w:t xml:space="preserve"> marginal effects</w:t>
      </w:r>
      <w:r w:rsidRPr="00333404">
        <w:rPr>
          <w:i/>
        </w:rPr>
        <w:t xml:space="preserve"> </w:t>
      </w:r>
      <w:r w:rsidRPr="000D6D0C">
        <w:t>(</w:t>
      </w:r>
      <w:r>
        <w:t>A</w:t>
      </w:r>
      <w:r w:rsidRPr="000D6D0C">
        <w:t>MEs)</w:t>
      </w:r>
      <w:r>
        <w:t xml:space="preserve">. AMEs represent </w:t>
      </w:r>
      <w:r w:rsidRPr="000D6D0C">
        <w:t>the average</w:t>
      </w:r>
      <w:r>
        <w:t>, marginal effect of the employment services model on the predicted probability that a job seeker will have a particular outcome, holding other explanatory variables constant.</w:t>
      </w:r>
    </w:p>
    <w:p w14:paraId="575C7A45" w14:textId="77777777" w:rsidR="003C03F9" w:rsidRPr="00367066" w:rsidRDefault="003114A5" w:rsidP="003C03F9">
      <w:pPr>
        <w:pStyle w:val="Heading3"/>
      </w:pPr>
      <w:bookmarkStart w:id="796" w:name="_Toc22543210"/>
      <w:r>
        <w:t>B8</w:t>
      </w:r>
      <w:r w:rsidR="00C5729F">
        <w:t>.3</w:t>
      </w:r>
      <w:r w:rsidR="0040043C">
        <w:tab/>
      </w:r>
      <w:r w:rsidR="003C03F9">
        <w:t xml:space="preserve">Survival </w:t>
      </w:r>
      <w:r w:rsidR="001A7D23">
        <w:t>a</w:t>
      </w:r>
      <w:r w:rsidR="003C03F9">
        <w:t>nalysis</w:t>
      </w:r>
      <w:bookmarkEnd w:id="796"/>
    </w:p>
    <w:p w14:paraId="11CB9B69" w14:textId="77777777" w:rsidR="003C03F9" w:rsidRDefault="003C03F9" w:rsidP="003C03F9">
      <w:r w:rsidRPr="003C03F9">
        <w:t>Survival analysis techniques are used for some analyses</w:t>
      </w:r>
      <w:r>
        <w:t>, some of these based</w:t>
      </w:r>
      <w:r w:rsidR="00BE5D78">
        <w:t xml:space="preserve"> </w:t>
      </w:r>
      <w:r>
        <w:t>on observed results while some also use regression to control for differences between study populations and macroeco</w:t>
      </w:r>
      <w:r w:rsidR="00C23E82">
        <w:t>n</w:t>
      </w:r>
      <w:r>
        <w:t>omic conditions</w:t>
      </w:r>
      <w:r w:rsidRPr="003C03F9">
        <w:t xml:space="preserve">. </w:t>
      </w:r>
    </w:p>
    <w:p w14:paraId="4B15C5AA" w14:textId="77777777" w:rsidR="003C03F9" w:rsidRDefault="003C03F9" w:rsidP="003C03F9">
      <w:r w:rsidRPr="003C03F9">
        <w:t xml:space="preserve">Survival analysis enables the inclusion of those who have not yet reached the </w:t>
      </w:r>
      <w:r>
        <w:t>outcome being considered by the end of the analysis period, but might had if the analysis period had been longer.</w:t>
      </w:r>
    </w:p>
    <w:p w14:paraId="1D4CDF48" w14:textId="77777777" w:rsidR="005E1B5A" w:rsidRPr="00F459F2" w:rsidRDefault="003114A5" w:rsidP="005E1B5A">
      <w:pPr>
        <w:pStyle w:val="Heading3"/>
      </w:pPr>
      <w:bookmarkStart w:id="797" w:name="_Toc22543211"/>
      <w:r>
        <w:t>B8</w:t>
      </w:r>
      <w:r w:rsidR="0040043C">
        <w:t>.</w:t>
      </w:r>
      <w:r w:rsidR="00C5729F">
        <w:t>4</w:t>
      </w:r>
      <w:r w:rsidR="0040043C">
        <w:tab/>
      </w:r>
      <w:r w:rsidR="005E1B5A" w:rsidRPr="00F459F2">
        <w:t xml:space="preserve">Propensity </w:t>
      </w:r>
      <w:r w:rsidR="005E1B5A">
        <w:t>s</w:t>
      </w:r>
      <w:r w:rsidR="005E1B5A" w:rsidRPr="00F459F2">
        <w:t xml:space="preserve">core </w:t>
      </w:r>
      <w:r w:rsidR="005E1B5A">
        <w:t>m</w:t>
      </w:r>
      <w:r w:rsidR="005E1B5A" w:rsidRPr="00F459F2">
        <w:t>atching</w:t>
      </w:r>
      <w:r w:rsidR="005E1B5A">
        <w:t xml:space="preserve"> technique</w:t>
      </w:r>
      <w:bookmarkEnd w:id="754"/>
      <w:bookmarkEnd w:id="797"/>
    </w:p>
    <w:p w14:paraId="291E7C70" w14:textId="77777777" w:rsidR="005E1B5A" w:rsidRDefault="005E1B5A" w:rsidP="005E1B5A">
      <w:r>
        <w:t>Propensity score matching is used in the compliance analysis to</w:t>
      </w:r>
      <w:r w:rsidRPr="009765E7">
        <w:t xml:space="preserve"> </w:t>
      </w:r>
      <w:r>
        <w:t>select</w:t>
      </w:r>
      <w:r w:rsidRPr="009765E7">
        <w:t xml:space="preserve"> job seekers </w:t>
      </w:r>
      <w:r>
        <w:t xml:space="preserve">from both of the </w:t>
      </w:r>
      <w:r w:rsidR="00261D3D">
        <w:t xml:space="preserve">Job Seeker </w:t>
      </w:r>
      <w:r>
        <w:t xml:space="preserve">Compliance Framework study populations </w:t>
      </w:r>
      <w:r w:rsidRPr="009765E7">
        <w:t>with similar characteristics</w:t>
      </w:r>
      <w:r>
        <w:t xml:space="preserve">. </w:t>
      </w:r>
      <w:r w:rsidRPr="009765E7">
        <w:t xml:space="preserve">It does this by matching each job seeker affected by the Strengthening the Job Seeker Compliance Framework Measure to a job seeker in the prior time period. There are multiple factors other than the compliance framework that could determine whether a job seeker attends </w:t>
      </w:r>
      <w:r w:rsidR="00702362">
        <w:t>an appointment</w:t>
      </w:r>
      <w:r>
        <w:t>, for e</w:t>
      </w:r>
      <w:r w:rsidRPr="009765E7">
        <w:t>xample</w:t>
      </w:r>
      <w:r>
        <w:t xml:space="preserve"> age of the job seeker. </w:t>
      </w:r>
      <w:r w:rsidRPr="009765E7">
        <w:t>If both groups</w:t>
      </w:r>
      <w:r>
        <w:t xml:space="preserve"> selected</w:t>
      </w:r>
      <w:r w:rsidRPr="009765E7">
        <w:t xml:space="preserve"> are similar in terms of everything that affects attendance except for the difference in the compliance framework, then differences in attendance rates can be attributed to impact of the Strengthening the Job Seeker Compliance Framework Measure.  </w:t>
      </w:r>
    </w:p>
    <w:p w14:paraId="11989FC5" w14:textId="77777777" w:rsidR="005E1B5A" w:rsidRPr="007C5FD3" w:rsidRDefault="005E1B5A" w:rsidP="003C03F9">
      <w:r w:rsidRPr="009765E7">
        <w:t>Caution needs to be taken when examining differences in attendance rates between the two time periods using propensity score matching</w:t>
      </w:r>
      <w:r>
        <w:t xml:space="preserve"> as this</w:t>
      </w:r>
      <w:r w:rsidRPr="009765E7">
        <w:t xml:space="preserve"> method does</w:t>
      </w:r>
      <w:r w:rsidR="003C03F9">
        <w:t xml:space="preserve"> no</w:t>
      </w:r>
      <w:r w:rsidRPr="009765E7">
        <w:t xml:space="preserve">t control for all factors affecting attendance.  </w:t>
      </w:r>
      <w:r w:rsidRPr="00F459F2">
        <w:t xml:space="preserve">The matching technique only controls for differences in characteristics that can be observed, i.e. that there is information available on. Differences in age, gender and so on between the two groups can be taken into account, but not unobserved factors like the motivation of a job seeker to attend an </w:t>
      </w:r>
      <w:r w:rsidR="00702362">
        <w:t>appointment</w:t>
      </w:r>
      <w:r w:rsidRPr="00F459F2">
        <w:t xml:space="preserve">. The observed factors are not necessarily the most important predictors of </w:t>
      </w:r>
      <w:r w:rsidR="00702362">
        <w:t xml:space="preserve">appointment </w:t>
      </w:r>
      <w:r w:rsidRPr="00F459F2">
        <w:t xml:space="preserve">attendance. Unobserved factors are </w:t>
      </w:r>
      <w:r w:rsidR="00702362">
        <w:t xml:space="preserve">also </w:t>
      </w:r>
      <w:r w:rsidRPr="00F459F2">
        <w:t xml:space="preserve">highly important, such as job seeker motivation, personal factors, how they feel on the day of the interview, the ability of the provider to encourage attendance etc. There is no way of knowing whether unobserved factors </w:t>
      </w:r>
      <w:r w:rsidRPr="007C5FD3">
        <w:t xml:space="preserve">are balanced across both groups, as the propensity score matching only achieves balance across observable factors. </w:t>
      </w:r>
    </w:p>
    <w:p w14:paraId="2735FC32" w14:textId="77777777" w:rsidR="003114A5" w:rsidRDefault="005E1B5A" w:rsidP="003C03F9">
      <w:r w:rsidRPr="007C5FD3">
        <w:t xml:space="preserve">This means that differences in attendance rates between the two groups might not just be due to the impact of the </w:t>
      </w:r>
      <w:r w:rsidR="003278E5">
        <w:t>Strengthening the Job Seeker Compliance Framework Measure</w:t>
      </w:r>
      <w:r w:rsidRPr="007C5FD3">
        <w:t>, but as a result of other factors that cannot be accounted for.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5D18C368" w14:textId="77777777" w:rsidR="003114A5" w:rsidRDefault="003114A5">
      <w:r>
        <w:br w:type="page"/>
      </w:r>
    </w:p>
    <w:p w14:paraId="1A0D644B" w14:textId="77777777" w:rsidR="003114A5" w:rsidRDefault="003114A5" w:rsidP="00536CE7">
      <w:pPr>
        <w:pStyle w:val="Heading1"/>
      </w:pPr>
      <w:bookmarkStart w:id="798" w:name="_Toc22543212"/>
      <w:r>
        <w:t>Appendix C</w:t>
      </w:r>
      <w:r>
        <w:tab/>
      </w:r>
      <w:r w:rsidR="004F3B01">
        <w:t>C</w:t>
      </w:r>
      <w:r>
        <w:t xml:space="preserve">hanges to the job seeker participation and </w:t>
      </w:r>
      <w:r w:rsidRPr="001B7264">
        <w:t>compliance framework</w:t>
      </w:r>
      <w:bookmarkEnd w:id="798"/>
      <w:r w:rsidRPr="001B7264">
        <w:t xml:space="preserve"> </w:t>
      </w:r>
    </w:p>
    <w:p w14:paraId="0ECD6039" w14:textId="77777777" w:rsidR="003114A5" w:rsidRPr="001B7264" w:rsidRDefault="003114A5" w:rsidP="003114A5">
      <w:pPr>
        <w:rPr>
          <w:rFonts w:cstheme="minorHAnsi"/>
        </w:rPr>
      </w:pPr>
      <w:r w:rsidRPr="001B7264">
        <w:rPr>
          <w:rFonts w:cstheme="minorHAnsi"/>
        </w:rPr>
        <w:t xml:space="preserve">The most notable change to the </w:t>
      </w:r>
      <w:r>
        <w:rPr>
          <w:rFonts w:cstheme="minorHAnsi"/>
        </w:rPr>
        <w:t xml:space="preserve">job seeker participation and </w:t>
      </w:r>
      <w:r w:rsidRPr="001B7264">
        <w:rPr>
          <w:rFonts w:cstheme="minorHAnsi"/>
        </w:rPr>
        <w:t xml:space="preserve">compliance framework under JSA 2012, the </w:t>
      </w:r>
      <w:r w:rsidRPr="00C23E82">
        <w:rPr>
          <w:rFonts w:cstheme="minorHAnsi"/>
        </w:rPr>
        <w:t>Strengthening the Job Seeker Compliance Framework measure</w:t>
      </w:r>
      <w:r w:rsidRPr="00D42784">
        <w:rPr>
          <w:rFonts w:cstheme="minorHAnsi"/>
        </w:rPr>
        <w:t>,</w:t>
      </w:r>
      <w:r w:rsidRPr="001B7264">
        <w:rPr>
          <w:rFonts w:cstheme="minorHAnsi"/>
        </w:rPr>
        <w:t xml:space="preserve"> was introduced in </w:t>
      </w:r>
      <w:r>
        <w:rPr>
          <w:rFonts w:cstheme="minorHAnsi"/>
        </w:rPr>
        <w:t xml:space="preserve">two </w:t>
      </w:r>
      <w:r w:rsidRPr="001B7264">
        <w:rPr>
          <w:rFonts w:cstheme="minorHAnsi"/>
        </w:rPr>
        <w:t xml:space="preserve">stages </w:t>
      </w:r>
      <w:r>
        <w:rPr>
          <w:rFonts w:cstheme="minorHAnsi"/>
        </w:rPr>
        <w:t xml:space="preserve">(Stage 1 included two phases) </w:t>
      </w:r>
      <w:r w:rsidRPr="001B7264">
        <w:rPr>
          <w:rFonts w:cstheme="minorHAnsi"/>
        </w:rPr>
        <w:t>between 1 July 2014 and 1 January 2015 and included the following changes:</w:t>
      </w:r>
    </w:p>
    <w:p w14:paraId="77F12F6A" w14:textId="77777777" w:rsidR="003114A5" w:rsidRPr="001B7264" w:rsidRDefault="003114A5" w:rsidP="003114A5">
      <w:pPr>
        <w:pStyle w:val="bullet"/>
      </w:pPr>
      <w:r w:rsidRPr="001B7264">
        <w:t xml:space="preserve">From 1 July 2014, introduction of the Non-Attendance Report (NAR) to replace the Connection Failure Participation Report (CFPR) and Contact Request (for non-attendance at a provider interview). The NAR streamlined </w:t>
      </w:r>
      <w:r>
        <w:t>reporting processes</w:t>
      </w:r>
      <w:r w:rsidRPr="001B7264">
        <w:t xml:space="preserve"> and reduced red</w:t>
      </w:r>
      <w:r>
        <w:t xml:space="preserve"> </w:t>
      </w:r>
      <w:r w:rsidRPr="001B7264">
        <w:t xml:space="preserve">tape, because: </w:t>
      </w:r>
    </w:p>
    <w:p w14:paraId="7AB4E4FF" w14:textId="77777777" w:rsidR="003114A5" w:rsidRPr="001B7264" w:rsidRDefault="003114A5" w:rsidP="003114A5">
      <w:pPr>
        <w:pStyle w:val="bullet"/>
        <w:numPr>
          <w:ilvl w:val="1"/>
          <w:numId w:val="4"/>
        </w:numPr>
      </w:pPr>
      <w:r w:rsidRPr="001B7264">
        <w:t>it did not require a DHS investigation</w:t>
      </w:r>
    </w:p>
    <w:p w14:paraId="08C215A2" w14:textId="77777777" w:rsidR="003114A5" w:rsidRPr="001B7264" w:rsidRDefault="003114A5" w:rsidP="003114A5">
      <w:pPr>
        <w:pStyle w:val="bullet"/>
        <w:numPr>
          <w:ilvl w:val="1"/>
          <w:numId w:val="4"/>
        </w:numPr>
      </w:pPr>
      <w:r w:rsidRPr="001B7264">
        <w:t>it required less information from the provider</w:t>
      </w:r>
    </w:p>
    <w:p w14:paraId="18C4993B" w14:textId="77777777" w:rsidR="003114A5" w:rsidRPr="001B7264" w:rsidRDefault="003114A5" w:rsidP="003114A5">
      <w:pPr>
        <w:pStyle w:val="bullet"/>
        <w:numPr>
          <w:ilvl w:val="1"/>
          <w:numId w:val="4"/>
        </w:numPr>
      </w:pPr>
      <w:r w:rsidRPr="001B7264">
        <w:t>most of the information was automatically populated.</w:t>
      </w:r>
    </w:p>
    <w:p w14:paraId="49373ACF" w14:textId="77777777" w:rsidR="003114A5" w:rsidRPr="008108B5" w:rsidRDefault="003114A5" w:rsidP="003114A5">
      <w:pPr>
        <w:pStyle w:val="bullet"/>
      </w:pPr>
      <w:r w:rsidRPr="008108B5">
        <w:t>From 15 September 2014, provider</w:t>
      </w:r>
      <w:r>
        <w:t>s took over the role from DHS of booking re-engagement appointments following non-attendance at a provider appointment</w:t>
      </w:r>
    </w:p>
    <w:p w14:paraId="66D7F0E3" w14:textId="77777777" w:rsidR="003114A5" w:rsidRPr="001B7264" w:rsidRDefault="003114A5" w:rsidP="003114A5">
      <w:pPr>
        <w:pStyle w:val="bullet"/>
      </w:pPr>
      <w:r w:rsidRPr="001B7264">
        <w:t>From 1 January 2015, a NAR submission triggered automatic suspension of income support payments which remained suspended until:</w:t>
      </w:r>
    </w:p>
    <w:p w14:paraId="05411E91" w14:textId="77777777" w:rsidR="003114A5" w:rsidRDefault="003114A5" w:rsidP="003114A5">
      <w:pPr>
        <w:pStyle w:val="ListParagraph"/>
        <w:numPr>
          <w:ilvl w:val="1"/>
          <w:numId w:val="4"/>
        </w:numPr>
      </w:pPr>
      <w:r w:rsidRPr="008108B5">
        <w:t>the provider determine</w:t>
      </w:r>
      <w:r>
        <w:t>d</w:t>
      </w:r>
      <w:r w:rsidRPr="008108B5">
        <w:t xml:space="preserve"> the job seeker </w:t>
      </w:r>
      <w:r>
        <w:t>cannot reasonably attend a re-engagement appointment within the next two business days from the contact occurring with the job seeker, or</w:t>
      </w:r>
    </w:p>
    <w:p w14:paraId="2E3E5BF2" w14:textId="77777777" w:rsidR="003114A5" w:rsidRPr="008108B5" w:rsidRDefault="003114A5" w:rsidP="003114A5">
      <w:pPr>
        <w:pStyle w:val="ListParagraph"/>
        <w:numPr>
          <w:ilvl w:val="1"/>
          <w:numId w:val="4"/>
        </w:numPr>
      </w:pPr>
      <w:r w:rsidRPr="008108B5">
        <w:t>the job seeker</w:t>
      </w:r>
      <w:r>
        <w:t xml:space="preserve"> </w:t>
      </w:r>
      <w:r w:rsidRPr="004E7307">
        <w:rPr>
          <w:u w:val="single"/>
        </w:rPr>
        <w:t>attend</w:t>
      </w:r>
      <w:r>
        <w:rPr>
          <w:u w:val="single"/>
        </w:rPr>
        <w:t>ed</w:t>
      </w:r>
      <w:r w:rsidRPr="008108B5">
        <w:t xml:space="preserve"> </w:t>
      </w:r>
      <w:r>
        <w:t>a</w:t>
      </w:r>
      <w:r w:rsidRPr="008108B5">
        <w:t xml:space="preserve"> </w:t>
      </w:r>
      <w:r>
        <w:t>Re-Engagement</w:t>
      </w:r>
      <w:r w:rsidRPr="008108B5">
        <w:t xml:space="preserve"> </w:t>
      </w:r>
      <w:r>
        <w:t xml:space="preserve">Appointment (previously they only had to </w:t>
      </w:r>
      <w:r w:rsidRPr="004E7307">
        <w:rPr>
          <w:u w:val="single"/>
        </w:rPr>
        <w:t>agree</w:t>
      </w:r>
      <w:r>
        <w:t xml:space="preserve"> to attend). </w:t>
      </w:r>
    </w:p>
    <w:p w14:paraId="295A2064" w14:textId="77777777" w:rsidR="003114A5" w:rsidRPr="008108B5" w:rsidRDefault="003114A5" w:rsidP="002F2581">
      <w:r>
        <w:rPr>
          <w:rFonts w:cstheme="minorHAnsi"/>
        </w:rPr>
        <w:t xml:space="preserve">An additional policy change in the JSA 2012 contract period (which has carried over to the current jobactive contract) is </w:t>
      </w:r>
      <w:r w:rsidRPr="008108B5">
        <w:t xml:space="preserve">the </w:t>
      </w:r>
      <w:r>
        <w:t>way in which</w:t>
      </w:r>
      <w:r w:rsidRPr="008108B5">
        <w:t xml:space="preserve"> </w:t>
      </w:r>
      <w:r>
        <w:t>payment suspensions are applied</w:t>
      </w:r>
      <w:r w:rsidRPr="008108B5">
        <w:t xml:space="preserve"> to job seekers with a Vulnerability Indicator (VI). </w:t>
      </w:r>
      <w:r>
        <w:t xml:space="preserve">Job seekers with a VI are subject to the same treatment with a Non-Attendance Report resulting in an automatic suspension of payment. </w:t>
      </w:r>
    </w:p>
    <w:p w14:paraId="01996F21" w14:textId="7D138148" w:rsidR="005E1B5A" w:rsidRPr="007C5FD3" w:rsidRDefault="005E1B5A">
      <w:pPr>
        <w:pStyle w:val="Heading1"/>
      </w:pPr>
    </w:p>
    <w:sectPr w:rsidR="005E1B5A" w:rsidRPr="007C5FD3" w:rsidSect="00861BD8">
      <w:headerReference w:type="even" r:id="rId76"/>
      <w:footerReference w:type="even" r:id="rId77"/>
      <w:headerReference w:type="first" r:id="rId78"/>
      <w:footerReference w:type="first" r:id="rId79"/>
      <w:pgSz w:w="11907" w:h="16839" w:code="9"/>
      <w:pgMar w:top="1440" w:right="1440"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D419C" w14:textId="77777777" w:rsidR="00F93877" w:rsidRDefault="00F93877" w:rsidP="00130923">
      <w:pPr>
        <w:spacing w:after="0" w:line="240" w:lineRule="auto"/>
      </w:pPr>
      <w:r>
        <w:separator/>
      </w:r>
    </w:p>
  </w:endnote>
  <w:endnote w:type="continuationSeparator" w:id="0">
    <w:p w14:paraId="1E276E14" w14:textId="77777777" w:rsidR="00F93877" w:rsidRDefault="00F93877" w:rsidP="00130923">
      <w:pPr>
        <w:spacing w:after="0" w:line="240" w:lineRule="auto"/>
      </w:pPr>
      <w:r>
        <w:continuationSeparator/>
      </w:r>
    </w:p>
  </w:endnote>
  <w:endnote w:type="continuationNotice" w:id="1">
    <w:p w14:paraId="21D5B748" w14:textId="77777777" w:rsidR="00F93877" w:rsidRDefault="00F93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690929"/>
      <w:docPartObj>
        <w:docPartGallery w:val="Page Numbers (Bottom of Page)"/>
        <w:docPartUnique/>
      </w:docPartObj>
    </w:sdtPr>
    <w:sdtEndPr>
      <w:rPr>
        <w:color w:val="3F3F3F" w:themeColor="background1" w:themeShade="80"/>
        <w:spacing w:val="60"/>
      </w:rPr>
    </w:sdtEndPr>
    <w:sdtContent>
      <w:p w14:paraId="161EAE5C" w14:textId="02137B39" w:rsidR="00F93877" w:rsidRDefault="00F93877">
        <w:pPr>
          <w:pStyle w:val="Footer"/>
          <w:pBdr>
            <w:top w:val="single" w:sz="4" w:space="1" w:color="6C6C6C" w:themeColor="background1" w:themeShade="D9"/>
          </w:pBdr>
          <w:rPr>
            <w:color w:val="3F3F3F" w:themeColor="background1" w:themeShade="80"/>
            <w:spacing w:val="60"/>
          </w:rPr>
        </w:pPr>
        <w:r>
          <w:fldChar w:fldCharType="begin"/>
        </w:r>
        <w:r>
          <w:instrText xml:space="preserve"> PAGE   \* MERGEFORMAT </w:instrText>
        </w:r>
        <w:r>
          <w:fldChar w:fldCharType="separate"/>
        </w:r>
        <w:r w:rsidR="00D87DBB">
          <w:rPr>
            <w:noProof/>
          </w:rPr>
          <w:t>xiv</w:t>
        </w:r>
        <w:r>
          <w:fldChar w:fldCharType="end"/>
        </w:r>
        <w:r>
          <w:rPr>
            <w:b/>
            <w:bCs/>
          </w:rPr>
          <w:t xml:space="preserve"> | </w:t>
        </w:r>
        <w:r>
          <w:rPr>
            <w:color w:val="3F3F3F" w:themeColor="background1" w:themeShade="80"/>
            <w:spacing w:val="60"/>
          </w:rPr>
          <w:t>Page</w:t>
        </w:r>
      </w:p>
    </w:sdtContent>
  </w:sdt>
  <w:p w14:paraId="3213C7CE" w14:textId="77777777" w:rsidR="00F93877" w:rsidRDefault="00F93877" w:rsidP="009A41B9">
    <w:pPr>
      <w:pStyle w:val="Footer"/>
      <w:rPr>
        <w:b/>
        <w:bC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BD083" w14:textId="77777777" w:rsidR="00F93877" w:rsidRDefault="00F93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666904"/>
      <w:docPartObj>
        <w:docPartGallery w:val="Page Numbers (Bottom of Page)"/>
        <w:docPartUnique/>
      </w:docPartObj>
    </w:sdtPr>
    <w:sdtEndPr>
      <w:rPr>
        <w:color w:val="3F3F3F" w:themeColor="background1" w:themeShade="80"/>
        <w:spacing w:val="60"/>
      </w:rPr>
    </w:sdtEndPr>
    <w:sdtContent>
      <w:p w14:paraId="58B738F4" w14:textId="1EF8BE07" w:rsidR="00F93877" w:rsidRDefault="00F93877" w:rsidP="00683FED">
        <w:pPr>
          <w:pStyle w:val="Footer"/>
          <w:pBdr>
            <w:top w:val="single" w:sz="4" w:space="1" w:color="6C6C6C" w:themeColor="background1" w:themeShade="D9"/>
          </w:pBdr>
        </w:pPr>
        <w:r>
          <w:fldChar w:fldCharType="begin"/>
        </w:r>
        <w:r>
          <w:instrText xml:space="preserve"> PAGE   \* MERGEFORMAT </w:instrText>
        </w:r>
        <w:r>
          <w:fldChar w:fldCharType="separate"/>
        </w:r>
        <w:r w:rsidR="00D87DBB">
          <w:rPr>
            <w:noProof/>
          </w:rPr>
          <w:t>154</w:t>
        </w:r>
        <w:r>
          <w:rPr>
            <w:noProof/>
          </w:rPr>
          <w:fldChar w:fldCharType="end"/>
        </w:r>
        <w:r>
          <w:t xml:space="preserve"> | </w:t>
        </w:r>
        <w:r>
          <w:rPr>
            <w:color w:val="3F3F3F" w:themeColor="background1" w:themeShade="80"/>
            <w:spacing w:val="60"/>
          </w:rPr>
          <w:t>Page</w:t>
        </w:r>
      </w:p>
    </w:sdtContent>
  </w:sdt>
  <w:p w14:paraId="0810D2AB" w14:textId="77777777" w:rsidR="00F93877" w:rsidRDefault="00F93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849D2" w14:textId="77777777" w:rsidR="00F93877" w:rsidRDefault="00F938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E1064" w14:textId="77777777" w:rsidR="00F93877" w:rsidRDefault="00F938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081E" w14:textId="77777777" w:rsidR="00F93877" w:rsidRDefault="00F938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41A65" w14:textId="77777777" w:rsidR="00F93877" w:rsidRDefault="00F938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46C59" w14:textId="77777777" w:rsidR="00F93877" w:rsidRDefault="00F938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9A5E5" w14:textId="77777777" w:rsidR="00F93877" w:rsidRDefault="00F938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59CEB" w14:textId="77777777" w:rsidR="00F93877" w:rsidRDefault="00F93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B2DFD" w14:textId="77777777" w:rsidR="00F93877" w:rsidRDefault="00F93877" w:rsidP="00130923">
      <w:pPr>
        <w:spacing w:after="0" w:line="240" w:lineRule="auto"/>
      </w:pPr>
      <w:r>
        <w:separator/>
      </w:r>
    </w:p>
  </w:footnote>
  <w:footnote w:type="continuationSeparator" w:id="0">
    <w:p w14:paraId="3DFE526D" w14:textId="77777777" w:rsidR="00F93877" w:rsidRDefault="00F93877" w:rsidP="00130923">
      <w:pPr>
        <w:spacing w:after="0" w:line="240" w:lineRule="auto"/>
      </w:pPr>
      <w:r>
        <w:continuationSeparator/>
      </w:r>
    </w:p>
  </w:footnote>
  <w:footnote w:type="continuationNotice" w:id="1">
    <w:p w14:paraId="63BF73D4" w14:textId="77777777" w:rsidR="00F93877" w:rsidRDefault="00F93877">
      <w:pPr>
        <w:spacing w:after="0" w:line="240" w:lineRule="auto"/>
      </w:pPr>
    </w:p>
  </w:footnote>
  <w:footnote w:id="2">
    <w:p w14:paraId="01B184E2" w14:textId="56BE6CD1" w:rsidR="00F93877" w:rsidRDefault="00F93877">
      <w:pPr>
        <w:pStyle w:val="FootnoteText"/>
      </w:pPr>
      <w:r w:rsidRPr="004740BE">
        <w:rPr>
          <w:rStyle w:val="FootnoteReference"/>
          <w:vertAlign w:val="baseline"/>
        </w:rPr>
        <w:footnoteRef/>
      </w:r>
      <w:r>
        <w:t xml:space="preserve"> </w:t>
      </w:r>
      <w:r>
        <w:tab/>
      </w:r>
      <w:r w:rsidRPr="00A93ACD">
        <w:t>Formerly known as Learn or Earn</w:t>
      </w:r>
      <w:r>
        <w:t>, Early School Leavers was introduced on 1 July 2009.</w:t>
      </w:r>
      <w:r w:rsidRPr="00A93ACD">
        <w:t xml:space="preserve"> </w:t>
      </w:r>
      <w:r>
        <w:t>Under this policy people aged less than 21 who are receiving Youth Allowance (Other) (YA(O)) and who have not yet completed Year 12 or a Certificate II qualification are required to participate in either full-time study or training or in part-time study or training in combination with other activities</w:t>
      </w:r>
    </w:p>
  </w:footnote>
  <w:footnote w:id="3">
    <w:p w14:paraId="7415C2B6" w14:textId="77777777" w:rsidR="00F93877" w:rsidRPr="00CD7613" w:rsidRDefault="00F93877" w:rsidP="00834E3A">
      <w:pPr>
        <w:pStyle w:val="FootnoteText"/>
      </w:pPr>
      <w:r w:rsidRPr="00DF7C96">
        <w:rPr>
          <w:rStyle w:val="FootnoteReference"/>
          <w:vertAlign w:val="baseline"/>
        </w:rPr>
        <w:footnoteRef/>
      </w:r>
      <w:r w:rsidRPr="00CD7613">
        <w:t xml:space="preserve"> </w:t>
      </w:r>
      <w:r w:rsidRPr="00CD7613">
        <w:tab/>
        <w:t>Throughout this report, JSA 2009 refers to the 2009-2012 contract period and JSA 2012 refers to the JSA 2012-2015 contract period.</w:t>
      </w:r>
    </w:p>
  </w:footnote>
  <w:footnote w:id="4">
    <w:p w14:paraId="54559194" w14:textId="516C5BB4" w:rsidR="00F93877" w:rsidRDefault="00F93877">
      <w:pPr>
        <w:pStyle w:val="FootnoteText"/>
      </w:pPr>
      <w:r w:rsidRPr="00AE75A0">
        <w:rPr>
          <w:rStyle w:val="FootnoteReference"/>
          <w:vertAlign w:val="baseline"/>
        </w:rPr>
        <w:footnoteRef/>
      </w:r>
      <w:r>
        <w:t xml:space="preserve"> </w:t>
      </w:r>
      <w:r>
        <w:tab/>
      </w:r>
      <w:r>
        <w:rPr>
          <w:rStyle w:val="FootnoteReference"/>
          <w:vertAlign w:val="baseline"/>
        </w:rPr>
        <w:t xml:space="preserve">Unless otherwise specified, </w:t>
      </w:r>
      <w:r w:rsidRPr="00A629E9">
        <w:rPr>
          <w:rStyle w:val="FootnoteReference"/>
          <w:vertAlign w:val="baseline"/>
        </w:rPr>
        <w:t>references</w:t>
      </w:r>
      <w:r>
        <w:rPr>
          <w:rStyle w:val="FootnoteReference"/>
          <w:vertAlign w:val="baseline"/>
        </w:rPr>
        <w:t xml:space="preserve"> in this report to</w:t>
      </w:r>
      <w:r w:rsidRPr="00A629E9">
        <w:rPr>
          <w:rStyle w:val="FootnoteReference"/>
          <w:vertAlign w:val="baseline"/>
        </w:rPr>
        <w:t xml:space="preserve"> ‘departmental analysis’ or ‘the department’ are</w:t>
      </w:r>
      <w:r>
        <w:t xml:space="preserve"> (</w:t>
      </w:r>
      <w:r>
        <w:rPr>
          <w:rStyle w:val="FootnoteReference"/>
          <w:vertAlign w:val="baseline"/>
        </w:rPr>
        <w:t>depending on the timeframe)</w:t>
      </w:r>
      <w:r w:rsidRPr="00A629E9">
        <w:rPr>
          <w:rStyle w:val="FootnoteReference"/>
          <w:vertAlign w:val="baseline"/>
        </w:rPr>
        <w:t xml:space="preserve"> references to the Department of Education, Employment and Workplace Relations (from December 2007-October 2013), the Department of Employment (f</w:t>
      </w:r>
      <w:r>
        <w:rPr>
          <w:rStyle w:val="FootnoteReference"/>
          <w:vertAlign w:val="baseline"/>
        </w:rPr>
        <w:t xml:space="preserve">rom October 2013-December 2017), </w:t>
      </w:r>
      <w:r w:rsidRPr="00A629E9">
        <w:rPr>
          <w:rStyle w:val="FootnoteReference"/>
          <w:vertAlign w:val="baseline"/>
        </w:rPr>
        <w:t>the Department of Jobs and Smal</w:t>
      </w:r>
      <w:r>
        <w:rPr>
          <w:rStyle w:val="FootnoteReference"/>
          <w:vertAlign w:val="baseline"/>
        </w:rPr>
        <w:t>l Business (from December 2017</w:t>
      </w:r>
      <w:r>
        <w:t>-May 2019</w:t>
      </w:r>
      <w:r>
        <w:rPr>
          <w:rStyle w:val="FootnoteReference"/>
          <w:vertAlign w:val="baseline"/>
        </w:rPr>
        <w:t>) or the Department of Employment, Skills, Small and Family Business (from May 2019).</w:t>
      </w:r>
    </w:p>
  </w:footnote>
  <w:footnote w:id="5">
    <w:p w14:paraId="4178767A" w14:textId="77777777" w:rsidR="00F93877" w:rsidRPr="00CD7613" w:rsidRDefault="00F93877" w:rsidP="00CD7613">
      <w:pPr>
        <w:pStyle w:val="FootnoteText"/>
      </w:pPr>
      <w:r w:rsidRPr="00CD7613">
        <w:rPr>
          <w:rStyle w:val="FootnoteReference"/>
          <w:vertAlign w:val="baseline"/>
        </w:rPr>
        <w:footnoteRef/>
      </w:r>
      <w:r w:rsidRPr="00CD7613">
        <w:t xml:space="preserve"> </w:t>
      </w:r>
      <w:r w:rsidRPr="00CD7613">
        <w:tab/>
        <w:t xml:space="preserve">DEEWR </w:t>
      </w:r>
      <w:r w:rsidRPr="0011060A">
        <w:rPr>
          <w:i/>
        </w:rPr>
        <w:t>2008, Request for Tender for Employment Services 2009–2012</w:t>
      </w:r>
      <w:r>
        <w:rPr>
          <w:i/>
        </w:rPr>
        <w:t xml:space="preserve">, </w:t>
      </w:r>
      <w:r w:rsidRPr="0011060A">
        <w:t>Canberra</w:t>
      </w:r>
      <w:r w:rsidRPr="00CD7613">
        <w:t>.</w:t>
      </w:r>
    </w:p>
  </w:footnote>
  <w:footnote w:id="6">
    <w:p w14:paraId="4565F8BE" w14:textId="77777777" w:rsidR="00F93877" w:rsidRDefault="00F93877">
      <w:pPr>
        <w:pStyle w:val="FootnoteText"/>
      </w:pPr>
      <w:r w:rsidRPr="007A5E08">
        <w:rPr>
          <w:rStyle w:val="FootnoteReference"/>
          <w:vertAlign w:val="baseline"/>
        </w:rPr>
        <w:footnoteRef/>
      </w:r>
      <w:r>
        <w:t xml:space="preserve"> </w:t>
      </w:r>
      <w:r>
        <w:tab/>
      </w:r>
      <w:r w:rsidRPr="00CD7613">
        <w:t>Throughout this report, JSA 2009 refers to the 2009</w:t>
      </w:r>
      <w:r>
        <w:t xml:space="preserve"> – </w:t>
      </w:r>
      <w:r w:rsidRPr="00CD7613">
        <w:t>2012 contract period and JSA 2012 refers to the JSA 2012-2015 contract period.</w:t>
      </w:r>
    </w:p>
  </w:footnote>
  <w:footnote w:id="7">
    <w:p w14:paraId="7404635E" w14:textId="77777777" w:rsidR="00F93877" w:rsidRPr="00CD7613" w:rsidRDefault="00F93877" w:rsidP="00CD7613">
      <w:pPr>
        <w:pStyle w:val="FootnoteText"/>
      </w:pPr>
      <w:r w:rsidRPr="00CD7613">
        <w:rPr>
          <w:rStyle w:val="FootnoteReference"/>
          <w:vertAlign w:val="baseline"/>
        </w:rPr>
        <w:footnoteRef/>
      </w:r>
      <w:r w:rsidRPr="00CD7613">
        <w:t xml:space="preserve"> </w:t>
      </w:r>
      <w:r w:rsidRPr="00CD7613">
        <w:tab/>
      </w:r>
      <w:r w:rsidRPr="00CD7613">
        <w:rPr>
          <w:rStyle w:val="FootnoteReference"/>
          <w:vertAlign w:val="baseline"/>
        </w:rPr>
        <w:t xml:space="preserve">For policy changes </w:t>
      </w:r>
      <w:r>
        <w:t xml:space="preserve">that were made </w:t>
      </w:r>
      <w:r w:rsidRPr="00CD7613">
        <w:rPr>
          <w:rStyle w:val="FootnoteReference"/>
          <w:vertAlign w:val="baseline"/>
        </w:rPr>
        <w:t xml:space="preserve">to the ESAt and JCA in the 2009 to 2012 contract </w:t>
      </w:r>
      <w:r>
        <w:t xml:space="preserve">period </w:t>
      </w:r>
      <w:r w:rsidRPr="00CD7613">
        <w:rPr>
          <w:rStyle w:val="FootnoteReference"/>
          <w:vertAlign w:val="baseline"/>
        </w:rPr>
        <w:t xml:space="preserve">see </w:t>
      </w:r>
      <w:r>
        <w:rPr>
          <w:rStyle w:val="FootnoteReference"/>
          <w:vertAlign w:val="baseline"/>
        </w:rPr>
        <w:t>Table</w:t>
      </w:r>
      <w:r w:rsidRPr="00CD7613">
        <w:rPr>
          <w:rStyle w:val="FootnoteReference"/>
          <w:vertAlign w:val="baseline"/>
        </w:rPr>
        <w:t xml:space="preserve"> 1.</w:t>
      </w:r>
      <w:r>
        <w:t>2</w:t>
      </w:r>
      <w:r w:rsidRPr="00CD7613">
        <w:t>.</w:t>
      </w:r>
    </w:p>
  </w:footnote>
  <w:footnote w:id="8">
    <w:p w14:paraId="6764FEE3" w14:textId="77777777" w:rsidR="00F93877" w:rsidRDefault="00F93877">
      <w:pPr>
        <w:pStyle w:val="FootnoteText"/>
      </w:pPr>
      <w:r w:rsidRPr="007D6A35">
        <w:rPr>
          <w:rStyle w:val="FootnoteReference"/>
          <w:vertAlign w:val="baseline"/>
        </w:rPr>
        <w:footnoteRef/>
      </w:r>
      <w:r>
        <w:t xml:space="preserve"> </w:t>
      </w:r>
      <w:r>
        <w:tab/>
        <w:t>The CDEP was phased out largely during the JSA 2009 – 2012 period. It still operated in remote areas until the commencement of the Remote Jobs and Communities Programme (RJCP). The RJCP has since been replaced by the Community Development Programme (CDP).</w:t>
      </w:r>
    </w:p>
  </w:footnote>
  <w:footnote w:id="9">
    <w:p w14:paraId="2893407B" w14:textId="77777777" w:rsidR="00F93877" w:rsidRPr="00CD7613" w:rsidRDefault="00F93877" w:rsidP="00CD7613">
      <w:pPr>
        <w:pStyle w:val="FootnoteText"/>
      </w:pPr>
      <w:r w:rsidRPr="00CD7613">
        <w:footnoteRef/>
      </w:r>
      <w:r w:rsidRPr="00CD7613">
        <w:t xml:space="preserve"> </w:t>
      </w:r>
      <w:r w:rsidRPr="00CD7613">
        <w:tab/>
        <w:t>DEEWR</w:t>
      </w:r>
      <w:r>
        <w:t xml:space="preserve">, </w:t>
      </w:r>
      <w:r w:rsidRPr="00CD7613">
        <w:t>2008</w:t>
      </w:r>
      <w:r>
        <w:t>.</w:t>
      </w:r>
      <w:r w:rsidRPr="0011060A">
        <w:rPr>
          <w:i/>
        </w:rPr>
        <w:t xml:space="preserve"> Request for Tender for Employment Services 2009-2012</w:t>
      </w:r>
      <w:r w:rsidRPr="00CD7613">
        <w:t>, Canberra.</w:t>
      </w:r>
    </w:p>
  </w:footnote>
  <w:footnote w:id="10">
    <w:p w14:paraId="341D6562" w14:textId="77777777" w:rsidR="00F93877" w:rsidRPr="00CD7613" w:rsidRDefault="00F93877" w:rsidP="00CD7613">
      <w:pPr>
        <w:pStyle w:val="FootnoteText"/>
      </w:pPr>
      <w:r w:rsidRPr="00CD7613">
        <w:footnoteRef/>
      </w:r>
      <w:r w:rsidRPr="00CD7613">
        <w:t xml:space="preserve"> </w:t>
      </w:r>
      <w:r w:rsidRPr="00CD7613">
        <w:tab/>
        <w:t xml:space="preserve">For policy changes to the ESAt and JCA in the 2009 to 2012 contract see </w:t>
      </w:r>
      <w:r>
        <w:t>Table</w:t>
      </w:r>
      <w:r w:rsidRPr="00CD7613">
        <w:t xml:space="preserve"> 1.</w:t>
      </w:r>
      <w:r>
        <w:t>2.</w:t>
      </w:r>
    </w:p>
  </w:footnote>
  <w:footnote w:id="11">
    <w:p w14:paraId="01C9AD5E" w14:textId="77777777" w:rsidR="00F93877" w:rsidRPr="00CD7613" w:rsidRDefault="00F93877" w:rsidP="00CD7613">
      <w:pPr>
        <w:pStyle w:val="FootnoteText"/>
      </w:pPr>
      <w:r w:rsidRPr="00CD7613">
        <w:footnoteRef/>
      </w:r>
      <w:r w:rsidRPr="00CD7613">
        <w:t xml:space="preserve"> </w:t>
      </w:r>
      <w:r w:rsidRPr="00CD7613">
        <w:tab/>
        <w:t>The ‘discouraged’ and ‘encouraged’ worker effects are commonly accepted as being the major economic driv</w:t>
      </w:r>
      <w:r>
        <w:t>er</w:t>
      </w:r>
      <w:r w:rsidRPr="00CD7613">
        <w:t xml:space="preserve"> for changes in the participation rate. The discouraged worker effect arises when potential workers leave the labour force during recessions rather than continuing their search for work while job conditions are poor. In good economic times, potential workers join the labour force, giving rise to an encouraged worker effect</w:t>
      </w:r>
      <w:r>
        <w:t>.</w:t>
      </w:r>
      <w:r w:rsidRPr="00CD7613">
        <w:t xml:space="preserve"> (Connolly and Trott, 2014)</w:t>
      </w:r>
      <w:r>
        <w:t>.</w:t>
      </w:r>
    </w:p>
  </w:footnote>
  <w:footnote w:id="12">
    <w:p w14:paraId="4D741E0A" w14:textId="06C4F9D2" w:rsidR="00F93877" w:rsidRDefault="00F93877">
      <w:pPr>
        <w:pStyle w:val="FootnoteText"/>
      </w:pPr>
      <w:r w:rsidRPr="00014556">
        <w:rPr>
          <w:rStyle w:val="FootnotetextChar0"/>
          <w:rFonts w:eastAsiaTheme="minorEastAsia"/>
        </w:rPr>
        <w:footnoteRef/>
      </w:r>
      <w:r>
        <w:t xml:space="preserve"> </w:t>
      </w:r>
      <w:r>
        <w:tab/>
        <w:t xml:space="preserve">Social Research Centre, 2015, </w:t>
      </w:r>
      <w:r w:rsidRPr="00651830">
        <w:rPr>
          <w:i/>
        </w:rPr>
        <w:t>Work for the Dole Evaluation</w:t>
      </w:r>
      <w:r>
        <w:t xml:space="preserve"> 2014-15, Canberra.</w:t>
      </w:r>
    </w:p>
  </w:footnote>
  <w:footnote w:id="13">
    <w:p w14:paraId="7AB144F0" w14:textId="77777777" w:rsidR="00F93877" w:rsidRPr="00CD7613" w:rsidRDefault="00F93877" w:rsidP="00CD7613">
      <w:pPr>
        <w:pStyle w:val="FootnoteText"/>
      </w:pPr>
      <w:r w:rsidRPr="00CD7613">
        <w:rPr>
          <w:rStyle w:val="FootnoteReference"/>
          <w:vertAlign w:val="baseline"/>
        </w:rPr>
        <w:footnoteRef/>
      </w:r>
      <w:r w:rsidRPr="00CD7613">
        <w:t xml:space="preserve"> </w:t>
      </w:r>
      <w:r w:rsidRPr="00CD7613">
        <w:tab/>
        <w:t>These percentages exclude those for which these characteristics were not known.</w:t>
      </w:r>
    </w:p>
  </w:footnote>
  <w:footnote w:id="14">
    <w:p w14:paraId="7DAEAD2F" w14:textId="77777777" w:rsidR="00F93877" w:rsidRDefault="00F93877">
      <w:pPr>
        <w:pStyle w:val="FootnoteText"/>
      </w:pPr>
      <w:r w:rsidRPr="00E850D4">
        <w:rPr>
          <w:rStyle w:val="FootnoteReference"/>
          <w:vertAlign w:val="baseline"/>
        </w:rPr>
        <w:footnoteRef/>
      </w:r>
      <w:r>
        <w:t xml:space="preserve"> </w:t>
      </w:r>
      <w:r>
        <w:tab/>
      </w:r>
      <w:r w:rsidRPr="00063705">
        <w:t>A mean considerably greater than the median indicates that the distribution curve of the population is left</w:t>
      </w:r>
      <w:r>
        <w:t>-</w:t>
      </w:r>
      <w:r w:rsidRPr="00063705">
        <w:t xml:space="preserve">skewed, and is consistent with the hysteresis hypothesis that the longer a job seeker is unemployed the </w:t>
      </w:r>
      <w:r>
        <w:t>lower</w:t>
      </w:r>
      <w:r w:rsidRPr="00063705">
        <w:t xml:space="preserve"> their likel</w:t>
      </w:r>
      <w:r>
        <w:t>ihood of re-entering employment.</w:t>
      </w:r>
    </w:p>
  </w:footnote>
  <w:footnote w:id="15">
    <w:p w14:paraId="3136E9F9" w14:textId="77777777" w:rsidR="00F93877" w:rsidRDefault="00F93877">
      <w:pPr>
        <w:pStyle w:val="FootnoteText"/>
      </w:pPr>
      <w:r w:rsidRPr="00EF652C">
        <w:rPr>
          <w:rStyle w:val="FootnoteReference"/>
          <w:vertAlign w:val="baseline"/>
        </w:rPr>
        <w:footnoteRef/>
      </w:r>
      <w:r w:rsidRPr="00EF652C">
        <w:t xml:space="preserve"> </w:t>
      </w:r>
      <w:r>
        <w:tab/>
        <w:t xml:space="preserve">See </w:t>
      </w:r>
      <w:r w:rsidRPr="001B7264">
        <w:t xml:space="preserve">Appendix </w:t>
      </w:r>
      <w:r>
        <w:t xml:space="preserve">B1 for more detail on the </w:t>
      </w:r>
      <w:r w:rsidRPr="001B7264">
        <w:t>methodolog</w:t>
      </w:r>
      <w:r>
        <w:t>ies</w:t>
      </w:r>
      <w:r w:rsidRPr="001B7264">
        <w:t xml:space="preserve"> used for th</w:t>
      </w:r>
      <w:r>
        <w:t>ese comparisons.</w:t>
      </w:r>
    </w:p>
  </w:footnote>
  <w:footnote w:id="16">
    <w:p w14:paraId="22BABFB7" w14:textId="77777777" w:rsidR="00F93877" w:rsidRPr="00CD7613" w:rsidRDefault="00F93877" w:rsidP="001402B3">
      <w:pPr>
        <w:pStyle w:val="FootnoteText"/>
      </w:pPr>
      <w:r w:rsidRPr="00CD7613">
        <w:rPr>
          <w:rStyle w:val="FootnoteReference"/>
          <w:vertAlign w:val="baseline"/>
        </w:rPr>
        <w:footnoteRef/>
      </w:r>
      <w:r w:rsidRPr="00CD7613">
        <w:t xml:space="preserve"> </w:t>
      </w:r>
      <w:r w:rsidRPr="00CD7613">
        <w:tab/>
        <w:t>Registrations for job seekers living in areas later covered by RJCP were excluded from this calculation.</w:t>
      </w:r>
    </w:p>
  </w:footnote>
  <w:footnote w:id="17">
    <w:p w14:paraId="7159832E" w14:textId="77777777" w:rsidR="00F93877" w:rsidRPr="00CD7613" w:rsidRDefault="00F93877" w:rsidP="00CD7613">
      <w:pPr>
        <w:pStyle w:val="FootnoteText"/>
      </w:pPr>
      <w:r w:rsidRPr="00942C61">
        <w:rPr>
          <w:rStyle w:val="FootnoteReference"/>
          <w:vertAlign w:val="baseline"/>
        </w:rPr>
        <w:footnoteRef/>
      </w:r>
      <w:r w:rsidRPr="00942C61">
        <w:t xml:space="preserve"> </w:t>
      </w:r>
      <w:r w:rsidRPr="00942C61">
        <w:tab/>
      </w:r>
      <w:r>
        <w:rPr>
          <w:lang w:eastAsia="en-AU"/>
        </w:rPr>
        <w:t>A key objective of the JCA/ESAt reforms was to ensure that only the most disadvantaged job seekers were referred for an ESAt. ESAts approximately halved after the reforms and proportionally fewer job seekers had multiple assessments. According to internal research, the</w:t>
      </w:r>
      <w:r>
        <w:t xml:space="preserve"> factor contributing most to the reduced number of assessments was the considerable drop in the number of ‘change of circumstance’ assessments for (generally less disadvantaged) JSA Streams 1 to 3 job seekers</w:t>
      </w:r>
      <w:r w:rsidRPr="00942C61">
        <w:t>.</w:t>
      </w:r>
    </w:p>
  </w:footnote>
  <w:footnote w:id="18">
    <w:p w14:paraId="120A624A" w14:textId="77777777" w:rsidR="00F93877" w:rsidRPr="00E7744B" w:rsidRDefault="00F93877" w:rsidP="00BD7794">
      <w:pPr>
        <w:pStyle w:val="FootnoteText"/>
        <w:tabs>
          <w:tab w:val="clear" w:pos="454"/>
          <w:tab w:val="left" w:pos="426"/>
        </w:tabs>
        <w:rPr>
          <w:szCs w:val="16"/>
        </w:rPr>
      </w:pPr>
      <w:r w:rsidRPr="00FC491C">
        <w:footnoteRef/>
      </w:r>
      <w:r w:rsidRPr="00FC491C">
        <w:t xml:space="preserve"> </w:t>
      </w:r>
      <w:r w:rsidRPr="00FC491C">
        <w:tab/>
        <w:t>Activity test exemptions would have applied, for example, to job seekers in remote areas or, under JSA, to job seekers under 21 years of age already undertaking an approved activity</w:t>
      </w:r>
      <w:r w:rsidRPr="00EC5D87">
        <w:t xml:space="preserve"> such as an apprenticeship</w:t>
      </w:r>
      <w:r w:rsidRPr="00E7744B">
        <w:rPr>
          <w:szCs w:val="16"/>
        </w:rPr>
        <w:t>.</w:t>
      </w:r>
    </w:p>
  </w:footnote>
  <w:footnote w:id="19">
    <w:p w14:paraId="33697DFC" w14:textId="77777777" w:rsidR="00F93877" w:rsidRDefault="00F93877" w:rsidP="00E80C53">
      <w:pPr>
        <w:pStyle w:val="FootnoteText"/>
      </w:pPr>
      <w:r w:rsidRPr="001B606A">
        <w:rPr>
          <w:rStyle w:val="FootnoteReference"/>
          <w:vertAlign w:val="baseline"/>
        </w:rPr>
        <w:footnoteRef/>
      </w:r>
      <w:r w:rsidRPr="001B606A">
        <w:t xml:space="preserve"> </w:t>
      </w:r>
      <w:r>
        <w:tab/>
        <w:t>National Commission of Audit Towards Responsible Government., Volume 2, section 10.7, February 2014.</w:t>
      </w:r>
    </w:p>
  </w:footnote>
  <w:footnote w:id="20">
    <w:p w14:paraId="711302DD" w14:textId="77777777" w:rsidR="00F93877" w:rsidRDefault="00F93877">
      <w:pPr>
        <w:pStyle w:val="FootnoteText"/>
      </w:pPr>
      <w:r w:rsidRPr="00C65138">
        <w:rPr>
          <w:rStyle w:val="FootnoteReference"/>
          <w:vertAlign w:val="baseline"/>
        </w:rPr>
        <w:footnoteRef/>
      </w:r>
      <w:r>
        <w:t xml:space="preserve"> </w:t>
      </w:r>
      <w:r>
        <w:tab/>
        <w:t>See Appendix B8 for a fuller description of average marginal effects regression analysis methodology.</w:t>
      </w:r>
    </w:p>
  </w:footnote>
  <w:footnote w:id="21">
    <w:p w14:paraId="0161BBB8" w14:textId="77777777" w:rsidR="00F93877" w:rsidRDefault="00F93877">
      <w:pPr>
        <w:pStyle w:val="FootnoteText"/>
      </w:pPr>
      <w:r w:rsidRPr="00670EF3">
        <w:rPr>
          <w:rStyle w:val="FootnoteReference"/>
          <w:vertAlign w:val="baseline"/>
        </w:rPr>
        <w:footnoteRef/>
      </w:r>
      <w:r w:rsidRPr="00670EF3">
        <w:t xml:space="preserve"> </w:t>
      </w:r>
      <w:r>
        <w:tab/>
        <w:t>In this section these exits are called</w:t>
      </w:r>
      <w:r w:rsidRPr="00940174">
        <w:t xml:space="preserve"> </w:t>
      </w:r>
      <w:r w:rsidRPr="00940174">
        <w:rPr>
          <w:i/>
        </w:rPr>
        <w:t>disability exits</w:t>
      </w:r>
      <w:r>
        <w:rPr>
          <w:i/>
        </w:rPr>
        <w:t>.</w:t>
      </w:r>
    </w:p>
  </w:footnote>
  <w:footnote w:id="22">
    <w:p w14:paraId="1D6B36D2" w14:textId="77777777" w:rsidR="00F93877" w:rsidRDefault="00F93877">
      <w:pPr>
        <w:pStyle w:val="FootnoteText"/>
      </w:pPr>
      <w:r w:rsidRPr="00B07CB9">
        <w:rPr>
          <w:rStyle w:val="FootnoteReference"/>
          <w:vertAlign w:val="baseline"/>
        </w:rPr>
        <w:footnoteRef/>
      </w:r>
      <w:r>
        <w:t xml:space="preserve"> </w:t>
      </w:r>
      <w:r>
        <w:tab/>
        <w:t>See Appendix B1.1.2 for definition of snapshot date.</w:t>
      </w:r>
    </w:p>
  </w:footnote>
  <w:footnote w:id="23">
    <w:p w14:paraId="3522D9E0" w14:textId="77777777" w:rsidR="00F93877" w:rsidRDefault="00F93877">
      <w:pPr>
        <w:pStyle w:val="FootnoteText"/>
      </w:pPr>
      <w:r w:rsidRPr="00B07CB9">
        <w:rPr>
          <w:rStyle w:val="FootnoteReference"/>
          <w:vertAlign w:val="baseline"/>
        </w:rPr>
        <w:footnoteRef/>
      </w:r>
      <w:r>
        <w:t xml:space="preserve"> </w:t>
      </w:r>
      <w:r>
        <w:tab/>
        <w:t>See Appendix B8 for a fuller description of average marginal effects regression analysis methodology.</w:t>
      </w:r>
    </w:p>
  </w:footnote>
  <w:footnote w:id="24">
    <w:p w14:paraId="6A366488" w14:textId="505CD386" w:rsidR="00F93877" w:rsidRDefault="00F93877" w:rsidP="00B27013">
      <w:pPr>
        <w:pStyle w:val="Default"/>
        <w:tabs>
          <w:tab w:val="left" w:pos="426"/>
        </w:tabs>
        <w:spacing w:after="200" w:line="276" w:lineRule="auto"/>
        <w:ind w:left="284" w:hanging="284"/>
        <w:rPr>
          <w:rFonts w:asciiTheme="minorHAnsi" w:eastAsiaTheme="minorEastAsia" w:hAnsiTheme="minorHAnsi" w:cstheme="minorBidi"/>
          <w:color w:val="auto"/>
          <w:sz w:val="22"/>
          <w:szCs w:val="22"/>
          <w:lang w:eastAsia="en-US"/>
        </w:rPr>
      </w:pPr>
      <w:r w:rsidRPr="00B27013">
        <w:rPr>
          <w:rStyle w:val="FootnoteReference"/>
          <w:sz w:val="18"/>
          <w:szCs w:val="18"/>
          <w:vertAlign w:val="baseline"/>
        </w:rPr>
        <w:footnoteRef/>
      </w:r>
      <w:r>
        <w:rPr>
          <w:rStyle w:val="FootnoteTextChar"/>
        </w:rPr>
        <w:t xml:space="preserve"> </w:t>
      </w:r>
      <w:r>
        <w:rPr>
          <w:rStyle w:val="FootnoteTextChar"/>
        </w:rPr>
        <w:tab/>
      </w:r>
      <w:r>
        <w:rPr>
          <w:rStyle w:val="FootnoteTextChar"/>
        </w:rPr>
        <w:tab/>
      </w:r>
      <w:r w:rsidRPr="00B27013">
        <w:rPr>
          <w:rStyle w:val="FootnoteTextChar"/>
        </w:rPr>
        <w:t>Butterworth, R, April 2012. Provider brokered outcomes audit: First stage report, Canberra.</w:t>
      </w:r>
    </w:p>
    <w:p w14:paraId="1514AA10" w14:textId="54BD1842" w:rsidR="00F93877" w:rsidRDefault="00F93877">
      <w:pPr>
        <w:pStyle w:val="FootnoteText"/>
      </w:pPr>
    </w:p>
  </w:footnote>
  <w:footnote w:id="25">
    <w:p w14:paraId="150D4593" w14:textId="77777777" w:rsidR="00F93877" w:rsidRDefault="00F93877" w:rsidP="00493002">
      <w:pPr>
        <w:pStyle w:val="FootnoteText"/>
      </w:pPr>
      <w:r w:rsidRPr="00891C3E">
        <w:rPr>
          <w:rStyle w:val="FootnoteReference"/>
          <w:vertAlign w:val="baseline"/>
        </w:rPr>
        <w:footnoteRef/>
      </w:r>
      <w:r w:rsidRPr="00891C3E">
        <w:t xml:space="preserve"> </w:t>
      </w:r>
      <w:r w:rsidRPr="00891C3E">
        <w:tab/>
      </w:r>
      <w:r>
        <w:t>Department of Employment administrative data.</w:t>
      </w:r>
    </w:p>
  </w:footnote>
  <w:footnote w:id="26">
    <w:p w14:paraId="3932D668" w14:textId="77777777" w:rsidR="00F93877" w:rsidRDefault="00F93877" w:rsidP="008357B8">
      <w:pPr>
        <w:pStyle w:val="FootnoteText"/>
      </w:pPr>
      <w:r w:rsidRPr="007D6A35">
        <w:rPr>
          <w:rStyle w:val="FootnoteReference"/>
          <w:vertAlign w:val="baseline"/>
        </w:rPr>
        <w:footnoteRef/>
      </w:r>
      <w:r w:rsidRPr="007D6A35">
        <w:t xml:space="preserve"> </w:t>
      </w:r>
      <w:r>
        <w:tab/>
        <w:t>The cost effectiveness of the combined effect of all changes made to the model that affected Stream 1 job seekers are discussed in s</w:t>
      </w:r>
      <w:r w:rsidRPr="00891C3E">
        <w:t>ection 4.2.</w:t>
      </w:r>
      <w:r w:rsidRPr="00EC160C">
        <w:t>5.</w:t>
      </w:r>
    </w:p>
  </w:footnote>
  <w:footnote w:id="27">
    <w:p w14:paraId="6E58263D" w14:textId="77777777" w:rsidR="00F93877" w:rsidRDefault="00F93877">
      <w:pPr>
        <w:pStyle w:val="FootnoteText"/>
      </w:pPr>
      <w:r w:rsidRPr="000D4797">
        <w:rPr>
          <w:rStyle w:val="FootnoteReference"/>
          <w:vertAlign w:val="baseline"/>
        </w:rPr>
        <w:footnoteRef/>
      </w:r>
      <w:r w:rsidRPr="000D4797">
        <w:t xml:space="preserve"> </w:t>
      </w:r>
      <w:r>
        <w:tab/>
        <w:t xml:space="preserve">These estimates cannot be combined with the results shown in </w:t>
      </w:r>
      <w:r w:rsidRPr="008D1D34">
        <w:rPr>
          <w:rFonts w:eastAsiaTheme="majorEastAsia"/>
        </w:rPr>
        <w:t xml:space="preserve">Table </w:t>
      </w:r>
      <w:r>
        <w:rPr>
          <w:rFonts w:eastAsiaTheme="majorEastAsia"/>
        </w:rPr>
        <w:t>3.10</w:t>
      </w:r>
      <w:r w:rsidRPr="008D1D34">
        <w:rPr>
          <w:rFonts w:eastAsiaTheme="majorEastAsia"/>
        </w:rPr>
        <w:t>:</w:t>
      </w:r>
      <w:r>
        <w:rPr>
          <w:rFonts w:eastAsiaTheme="majorEastAsia"/>
        </w:rPr>
        <w:t xml:space="preserve"> </w:t>
      </w:r>
      <w:r w:rsidRPr="00D83C44">
        <w:rPr>
          <w:rFonts w:eastAsiaTheme="majorEastAsia"/>
          <w:i/>
        </w:rPr>
        <w:t>Fees and reimbursements, JSA 2009 and JSA 2012, selected items only ($)</w:t>
      </w:r>
      <w:r>
        <w:rPr>
          <w:rFonts w:eastAsiaTheme="majorEastAsia"/>
        </w:rPr>
        <w:t xml:space="preserve"> </w:t>
      </w:r>
      <w:r>
        <w:t xml:space="preserve">to arrive at a total figure. The costs per employment outcome figures provided in Table 3.8 </w:t>
      </w:r>
      <w:r w:rsidRPr="00D83C44">
        <w:rPr>
          <w:rFonts w:eastAsiaTheme="majorEastAsia"/>
          <w:i/>
        </w:rPr>
        <w:t>Cost per employment outcome JSA 2009 and JSA 2012</w:t>
      </w:r>
      <w:r>
        <w:rPr>
          <w:rFonts w:eastAsiaTheme="majorEastAsia"/>
        </w:rPr>
        <w:t xml:space="preserve"> </w:t>
      </w:r>
      <w:r>
        <w:t>relate to the total costs of the JSA programmes and employment outcomes achieved by the entire caseloads (that is new entrants (inflow) and stock).</w:t>
      </w:r>
    </w:p>
  </w:footnote>
  <w:footnote w:id="28">
    <w:p w14:paraId="46BFDB36" w14:textId="77777777" w:rsidR="00F93877" w:rsidRDefault="00F93877" w:rsidP="00537679">
      <w:pPr>
        <w:pStyle w:val="FootnoteText"/>
      </w:pPr>
      <w:r w:rsidRPr="007D6A35">
        <w:rPr>
          <w:rStyle w:val="FootnoteReference"/>
          <w:vertAlign w:val="baseline"/>
        </w:rPr>
        <w:footnoteRef/>
      </w:r>
      <w:r w:rsidRPr="007D6A35">
        <w:t xml:space="preserve"> </w:t>
      </w:r>
      <w:r>
        <w:tab/>
        <w:t>See section B1.3 for the details of the methodology used to determine these estimates.</w:t>
      </w:r>
    </w:p>
    <w:p w14:paraId="49497391" w14:textId="77777777" w:rsidR="00F93877" w:rsidRDefault="00F93877" w:rsidP="008357B8">
      <w:pPr>
        <w:pStyle w:val="FootnoteText"/>
      </w:pPr>
    </w:p>
  </w:footnote>
  <w:footnote w:id="29">
    <w:p w14:paraId="21E3706C" w14:textId="77777777" w:rsidR="00F93877" w:rsidRDefault="00F93877">
      <w:pPr>
        <w:pStyle w:val="FootnoteText"/>
      </w:pPr>
      <w:r w:rsidRPr="00455698">
        <w:rPr>
          <w:rStyle w:val="FootnoteReference"/>
          <w:vertAlign w:val="baseline"/>
        </w:rPr>
        <w:footnoteRef/>
      </w:r>
      <w:r>
        <w:t xml:space="preserve"> </w:t>
      </w:r>
      <w:r>
        <w:tab/>
        <w:t>The Stream 1 study population is a sub-set of the new entrant study population. See Table B2.1 for further information on how this population is defined.</w:t>
      </w:r>
    </w:p>
  </w:footnote>
  <w:footnote w:id="30">
    <w:p w14:paraId="2D5CA48B" w14:textId="77777777" w:rsidR="00F93877" w:rsidRPr="005402B5" w:rsidRDefault="00F93877" w:rsidP="00636D4C">
      <w:pPr>
        <w:pStyle w:val="FootnoteText"/>
      </w:pPr>
      <w:r w:rsidRPr="00FE3487">
        <w:rPr>
          <w:rStyle w:val="FootnoteReference"/>
          <w:vertAlign w:val="baseline"/>
        </w:rPr>
        <w:footnoteRef/>
      </w:r>
      <w:r w:rsidRPr="005402B5">
        <w:t xml:space="preserve">  </w:t>
      </w:r>
      <w:r w:rsidRPr="005402B5">
        <w:tab/>
        <w:t xml:space="preserve">Additionally a small proportion of those who left before the deadline had a Skills Assessment conducted: 4 per cent of those who left under </w:t>
      </w:r>
      <w:r>
        <w:t>JSA 2009</w:t>
      </w:r>
      <w:r w:rsidRPr="005402B5">
        <w:t xml:space="preserve"> and 3 per cent of those who left under </w:t>
      </w:r>
      <w:r>
        <w:t>JSA 2012</w:t>
      </w:r>
      <w:r w:rsidRPr="005402B5">
        <w:t>.</w:t>
      </w:r>
    </w:p>
  </w:footnote>
  <w:footnote w:id="31">
    <w:p w14:paraId="56214302" w14:textId="5FDB06FA" w:rsidR="00F93877" w:rsidRDefault="00F93877">
      <w:pPr>
        <w:pStyle w:val="FootnoteText"/>
      </w:pPr>
      <w:r w:rsidRPr="00D568C4">
        <w:rPr>
          <w:rStyle w:val="FootnoteReference"/>
          <w:vertAlign w:val="baseline"/>
        </w:rPr>
        <w:footnoteRef/>
      </w:r>
      <w:r>
        <w:t xml:space="preserve">  </w:t>
      </w:r>
      <w:r>
        <w:tab/>
        <w:t>These changes i</w:t>
      </w:r>
      <w:r>
        <w:rPr>
          <w:rFonts w:eastAsiaTheme="majorEastAsia"/>
        </w:rPr>
        <w:t>ncluding the</w:t>
      </w:r>
      <w:r w:rsidRPr="009C3C01">
        <w:rPr>
          <w:rFonts w:eastAsiaTheme="majorEastAsia"/>
        </w:rPr>
        <w:t xml:space="preserve"> removal of Stream Service</w:t>
      </w:r>
      <w:r>
        <w:rPr>
          <w:rFonts w:eastAsiaTheme="majorEastAsia"/>
        </w:rPr>
        <w:t>s</w:t>
      </w:r>
      <w:r w:rsidRPr="009C3C01">
        <w:rPr>
          <w:rFonts w:eastAsiaTheme="majorEastAsia"/>
        </w:rPr>
        <w:t xml:space="preserve"> Reviews after 12 months in service and the</w:t>
      </w:r>
      <w:r>
        <w:rPr>
          <w:rFonts w:eastAsiaTheme="majorEastAsia"/>
        </w:rPr>
        <w:t xml:space="preserve"> change from a two-tiered to a</w:t>
      </w:r>
      <w:r w:rsidRPr="009C3C01">
        <w:rPr>
          <w:rFonts w:eastAsiaTheme="majorEastAsia"/>
        </w:rPr>
        <w:t xml:space="preserve"> single-tiered outcome payment model</w:t>
      </w:r>
      <w:r>
        <w:rPr>
          <w:rFonts w:eastAsiaTheme="majorEastAsia"/>
        </w:rPr>
        <w:t>.</w:t>
      </w:r>
    </w:p>
  </w:footnote>
  <w:footnote w:id="32">
    <w:p w14:paraId="55148DC0" w14:textId="77777777" w:rsidR="00F93877" w:rsidRPr="007B7524" w:rsidRDefault="00F93877" w:rsidP="006828AA">
      <w:pPr>
        <w:pStyle w:val="Sourceandnotetextmultiplelines"/>
        <w:tabs>
          <w:tab w:val="clear" w:pos="567"/>
          <w:tab w:val="left" w:pos="426"/>
        </w:tabs>
        <w:ind w:left="426" w:hanging="426"/>
      </w:pPr>
      <w:r w:rsidRPr="00FA506F">
        <w:rPr>
          <w:rStyle w:val="FootnoteReference"/>
          <w:vertAlign w:val="baseline"/>
        </w:rPr>
        <w:footnoteRef/>
      </w:r>
      <w:r w:rsidRPr="007B7524">
        <w:t xml:space="preserve"> </w:t>
      </w:r>
      <w:r w:rsidRPr="007B7524">
        <w:tab/>
        <w:t>New Zealand Ministry of Education,</w:t>
      </w:r>
      <w:r w:rsidRPr="00D83C44">
        <w:t xml:space="preserve"> 2009</w:t>
      </w:r>
      <w:r w:rsidRPr="007B5673">
        <w:rPr>
          <w:i/>
        </w:rPr>
        <w:t>. Ebbs and flows: participation in post-compulsory education over the economic cycle</w:t>
      </w:r>
      <w:r w:rsidRPr="00D83C44">
        <w:t>.</w:t>
      </w:r>
    </w:p>
  </w:footnote>
  <w:footnote w:id="33">
    <w:p w14:paraId="108ED96B" w14:textId="77777777" w:rsidR="00F93877" w:rsidRPr="007B7524" w:rsidRDefault="00F93877" w:rsidP="007B7524">
      <w:pPr>
        <w:pStyle w:val="FootnoteText"/>
      </w:pPr>
      <w:r w:rsidRPr="00FA506F">
        <w:rPr>
          <w:rStyle w:val="FootnoteReference"/>
          <w:vertAlign w:val="baseline"/>
        </w:rPr>
        <w:footnoteRef/>
      </w:r>
      <w:r w:rsidRPr="007B7524">
        <w:t xml:space="preserve"> </w:t>
      </w:r>
      <w:r w:rsidRPr="007B7524">
        <w:tab/>
      </w:r>
      <w:r w:rsidRPr="00D83C44">
        <w:t>DEWR, 2002</w:t>
      </w:r>
      <w:r>
        <w:t>.</w:t>
      </w:r>
      <w:r w:rsidRPr="00D83C44">
        <w:t xml:space="preserve"> </w:t>
      </w:r>
      <w:r w:rsidRPr="007B7524">
        <w:rPr>
          <w:i/>
        </w:rPr>
        <w:t>Job Network Evaluation Stage Three: Effectiveness Report</w:t>
      </w:r>
      <w:r>
        <w:rPr>
          <w:i/>
        </w:rPr>
        <w:t xml:space="preserve">, </w:t>
      </w:r>
      <w:r w:rsidRPr="00D83C44">
        <w:t>and DEWR</w:t>
      </w:r>
      <w:r>
        <w:t>,</w:t>
      </w:r>
      <w:r w:rsidRPr="00D83C44">
        <w:t xml:space="preserve"> 2003</w:t>
      </w:r>
      <w:r>
        <w:t>.</w:t>
      </w:r>
      <w:r w:rsidRPr="007B7524">
        <w:rPr>
          <w:i/>
        </w:rPr>
        <w:t xml:space="preserve"> </w:t>
      </w:r>
      <w:r w:rsidRPr="00063D8A">
        <w:rPr>
          <w:i/>
        </w:rPr>
        <w:t>Intensive Activity and Job Search Training – A Net Impact Study</w:t>
      </w:r>
      <w:r>
        <w:rPr>
          <w:i/>
        </w:rPr>
        <w:t>.</w:t>
      </w:r>
    </w:p>
  </w:footnote>
  <w:footnote w:id="34">
    <w:p w14:paraId="5337891B" w14:textId="6A410797" w:rsidR="00F93877" w:rsidRDefault="00F93877" w:rsidP="00A12E8A">
      <w:pPr>
        <w:pStyle w:val="FootnoteText"/>
        <w:tabs>
          <w:tab w:val="clear" w:pos="454"/>
          <w:tab w:val="left" w:pos="426"/>
        </w:tabs>
        <w:ind w:left="426" w:hanging="426"/>
      </w:pPr>
      <w:r w:rsidRPr="00D83C44">
        <w:rPr>
          <w:rStyle w:val="FootnotetextChar0"/>
          <w:rFonts w:eastAsiaTheme="minorEastAsia"/>
          <w:szCs w:val="18"/>
        </w:rPr>
        <w:footnoteRef/>
      </w:r>
      <w:r w:rsidRPr="00D83C44">
        <w:rPr>
          <w:rStyle w:val="FootnotetextChar0"/>
          <w:rFonts w:eastAsiaTheme="minorEastAsia"/>
          <w:szCs w:val="18"/>
        </w:rPr>
        <w:t xml:space="preserve"> </w:t>
      </w:r>
      <w:r>
        <w:tab/>
      </w:r>
      <w:r w:rsidRPr="007B7524">
        <w:t>The reference job seeker is:</w:t>
      </w:r>
      <w:r>
        <w:t xml:space="preserve"> being serviced under JSA 2009; m</w:t>
      </w:r>
      <w:r w:rsidRPr="009B2284">
        <w:t>ale</w:t>
      </w:r>
      <w:r>
        <w:t xml:space="preserve">; </w:t>
      </w:r>
      <w:r w:rsidRPr="009B2284">
        <w:t>aged 25 to 34 years of age</w:t>
      </w:r>
      <w:r>
        <w:t>; lives in  a major city; not</w:t>
      </w:r>
      <w:r w:rsidRPr="009B2284">
        <w:t xml:space="preserve"> Indigenous</w:t>
      </w:r>
      <w:r>
        <w:t>; without</w:t>
      </w:r>
      <w:r w:rsidRPr="009B2284">
        <w:t xml:space="preserve"> disability</w:t>
      </w:r>
      <w:r>
        <w:t xml:space="preserve">; born in a country of very low/low disadvantage; highest level of education is TAFE/Diploma; has useful vocational qualifications; has access to private transport; contactable by telephone; not a single parent; previous work experience was full-time or part-time work ( for 8 to 30 hours); less than 12 months on income support in the previous ten years; no personal impact issues identified. These categories were selected as when considered individually they are the most common characteristics that job seekers in both </w:t>
      </w:r>
      <w:r>
        <w:rPr>
          <w:rFonts w:eastAsia="Times New Roman" w:cs="Garamond"/>
          <w:color w:val="000000"/>
          <w:lang w:val="en-GB"/>
        </w:rPr>
        <w:t xml:space="preserve">Stream 1 </w:t>
      </w:r>
      <w:r>
        <w:t>study populations possessed.</w:t>
      </w:r>
    </w:p>
    <w:p w14:paraId="1493A33C" w14:textId="77777777" w:rsidR="00F93877" w:rsidRDefault="00F93877" w:rsidP="009C3C01">
      <w:pPr>
        <w:pStyle w:val="FootnoteText"/>
      </w:pPr>
    </w:p>
  </w:footnote>
  <w:footnote w:id="35">
    <w:p w14:paraId="7EE9E0C7" w14:textId="77777777" w:rsidR="00F93877" w:rsidRDefault="00F93877">
      <w:pPr>
        <w:pStyle w:val="FootnoteText"/>
      </w:pPr>
      <w:r w:rsidRPr="007B1020">
        <w:rPr>
          <w:rStyle w:val="FootnoteReference"/>
          <w:vertAlign w:val="baseline"/>
        </w:rPr>
        <w:footnoteRef/>
      </w:r>
      <w:r w:rsidRPr="007B1020">
        <w:t xml:space="preserve"> </w:t>
      </w:r>
      <w:r>
        <w:tab/>
        <w:t>See Appendix B2.3 for further information of survival analysis.</w:t>
      </w:r>
    </w:p>
  </w:footnote>
  <w:footnote w:id="36">
    <w:p w14:paraId="6D612408" w14:textId="77777777" w:rsidR="00F93877" w:rsidRDefault="00F93877">
      <w:pPr>
        <w:pStyle w:val="FootnoteText"/>
      </w:pPr>
      <w:r w:rsidRPr="006453ED">
        <w:rPr>
          <w:rStyle w:val="FootnoteReference"/>
          <w:vertAlign w:val="baseline"/>
        </w:rPr>
        <w:footnoteRef/>
      </w:r>
      <w:r w:rsidRPr="006453ED">
        <w:t xml:space="preserve"> </w:t>
      </w:r>
      <w:r>
        <w:tab/>
      </w:r>
      <w:r w:rsidRPr="0093433C">
        <w:t xml:space="preserve">Better Evaluation, 2014, </w:t>
      </w:r>
      <w:r w:rsidRPr="00037F10">
        <w:rPr>
          <w:rFonts w:cstheme="minorHAnsi"/>
          <w:color w:val="000000" w:themeColor="text1"/>
        </w:rPr>
        <w:t>Cost Effectiveness Evaluation</w:t>
      </w:r>
      <w:r>
        <w:rPr>
          <w:rFonts w:cstheme="minorHAnsi"/>
          <w:color w:val="000000" w:themeColor="text1"/>
        </w:rPr>
        <w:t>.</w:t>
      </w:r>
    </w:p>
  </w:footnote>
  <w:footnote w:id="37">
    <w:p w14:paraId="42B03CEB" w14:textId="77777777" w:rsidR="00F93877" w:rsidRPr="00A276D2" w:rsidRDefault="00F93877" w:rsidP="00F347F8">
      <w:pPr>
        <w:pStyle w:val="FootnoteText"/>
      </w:pPr>
      <w:r w:rsidRPr="006A4BFA">
        <w:rPr>
          <w:rStyle w:val="FootnoteReference"/>
          <w:vertAlign w:val="baseline"/>
        </w:rPr>
        <w:footnoteRef/>
      </w:r>
      <w:r w:rsidRPr="00A276D2">
        <w:t xml:space="preserve"> </w:t>
      </w:r>
      <w:r w:rsidRPr="00A276D2">
        <w:tab/>
        <w:t xml:space="preserve">Elapsed time not time in service </w:t>
      </w:r>
      <w:r>
        <w:t xml:space="preserve">was </w:t>
      </w:r>
      <w:r w:rsidRPr="00A276D2">
        <w:t>used for this calculation.</w:t>
      </w:r>
    </w:p>
  </w:footnote>
  <w:footnote w:id="38">
    <w:p w14:paraId="7E1DE081" w14:textId="77777777" w:rsidR="00F93877" w:rsidRPr="00F347F8" w:rsidRDefault="00F93877">
      <w:pPr>
        <w:pStyle w:val="FootnoteText"/>
        <w:rPr>
          <w:rStyle w:val="FootnoteReference"/>
          <w:vertAlign w:val="baseline"/>
        </w:rPr>
      </w:pPr>
      <w:r w:rsidRPr="00F347F8">
        <w:rPr>
          <w:rStyle w:val="FootnoteReference"/>
          <w:vertAlign w:val="baseline"/>
        </w:rPr>
        <w:footnoteRef/>
      </w:r>
      <w:r w:rsidRPr="00F347F8">
        <w:rPr>
          <w:rStyle w:val="FootnoteReference"/>
          <w:vertAlign w:val="baseline"/>
        </w:rPr>
        <w:t xml:space="preserve"> </w:t>
      </w:r>
      <w:r w:rsidRPr="00F347F8">
        <w:rPr>
          <w:rStyle w:val="FootnoteReference"/>
          <w:vertAlign w:val="baseline"/>
        </w:rPr>
        <w:tab/>
        <w:t xml:space="preserve">See </w:t>
      </w:r>
      <w:r>
        <w:rPr>
          <w:rStyle w:val="FootnoteReference"/>
          <w:vertAlign w:val="baseline"/>
        </w:rPr>
        <w:t>Appendix</w:t>
      </w:r>
      <w:r w:rsidRPr="00F347F8">
        <w:rPr>
          <w:rStyle w:val="FootnoteReference"/>
          <w:vertAlign w:val="baseline"/>
        </w:rPr>
        <w:t xml:space="preserve"> B2.</w:t>
      </w:r>
    </w:p>
  </w:footnote>
  <w:footnote w:id="39">
    <w:p w14:paraId="5B3AAC99" w14:textId="77777777" w:rsidR="00F93877" w:rsidRPr="00A276D2" w:rsidRDefault="00F93877" w:rsidP="00F347F8">
      <w:pPr>
        <w:pStyle w:val="FootnoteText"/>
      </w:pPr>
      <w:r w:rsidRPr="006A4BFA">
        <w:rPr>
          <w:rStyle w:val="FootnoteReference"/>
          <w:vertAlign w:val="baseline"/>
        </w:rPr>
        <w:footnoteRef/>
      </w:r>
      <w:r w:rsidRPr="00A276D2">
        <w:t xml:space="preserve"> </w:t>
      </w:r>
      <w:r w:rsidRPr="00A276D2">
        <w:tab/>
        <w:t xml:space="preserve">Job placement fees </w:t>
      </w:r>
      <w:r>
        <w:t>we</w:t>
      </w:r>
      <w:r w:rsidRPr="00A276D2">
        <w:t>re only payable where the JSA provider place</w:t>
      </w:r>
      <w:r>
        <w:t>d</w:t>
      </w:r>
      <w:r w:rsidRPr="00A276D2">
        <w:t xml:space="preserve"> the job seeker in</w:t>
      </w:r>
      <w:r>
        <w:t xml:space="preserve"> a job, not where job seekers fou</w:t>
      </w:r>
      <w:r w:rsidRPr="00A276D2">
        <w:t xml:space="preserve">nd </w:t>
      </w:r>
      <w:r>
        <w:t xml:space="preserve">their </w:t>
      </w:r>
      <w:r w:rsidRPr="00A276D2">
        <w:t>own employment</w:t>
      </w:r>
      <w:r>
        <w:t>.</w:t>
      </w:r>
    </w:p>
  </w:footnote>
  <w:footnote w:id="40">
    <w:p w14:paraId="74FC4D9C" w14:textId="77777777" w:rsidR="00F93877" w:rsidRDefault="00F93877" w:rsidP="00F347F8">
      <w:pPr>
        <w:pStyle w:val="FootnoteText"/>
        <w:tabs>
          <w:tab w:val="clear" w:pos="454"/>
          <w:tab w:val="left" w:pos="284"/>
        </w:tabs>
        <w:ind w:left="426" w:hanging="426"/>
      </w:pPr>
      <w:r w:rsidRPr="00C05691">
        <w:rPr>
          <w:rStyle w:val="FootnoteReference"/>
          <w:vertAlign w:val="baseline"/>
        </w:rPr>
        <w:footnoteRef/>
      </w:r>
      <w:r>
        <w:t xml:space="preserve"> </w:t>
      </w:r>
      <w:r>
        <w:tab/>
      </w:r>
      <w:r>
        <w:tab/>
        <w:t>This figure is higher than for the JSA 2009 study population, where only 64.6 per cent of job seekers were on income support and full time activity tested at commencement.</w:t>
      </w:r>
    </w:p>
  </w:footnote>
  <w:footnote w:id="41">
    <w:p w14:paraId="0E3A4652" w14:textId="77777777" w:rsidR="00F93877" w:rsidRDefault="00F93877" w:rsidP="00F347F8">
      <w:pPr>
        <w:pStyle w:val="FootnoteText"/>
      </w:pPr>
      <w:r w:rsidRPr="0051364C">
        <w:rPr>
          <w:rStyle w:val="FootnoteReference"/>
          <w:vertAlign w:val="baseline"/>
        </w:rPr>
        <w:footnoteRef/>
      </w:r>
      <w:r>
        <w:t xml:space="preserve"> </w:t>
      </w:r>
      <w:r>
        <w:tab/>
        <w:t>The estimated probability a reference job seeker was full-time activity tested at commencement in JSA 2012 is 0.919.</w:t>
      </w:r>
    </w:p>
  </w:footnote>
  <w:footnote w:id="42">
    <w:p w14:paraId="6CA879F3" w14:textId="77777777" w:rsidR="00F93877" w:rsidRDefault="00F93877" w:rsidP="00F347F8">
      <w:pPr>
        <w:pStyle w:val="FootnoteText"/>
        <w:tabs>
          <w:tab w:val="clear" w:pos="454"/>
          <w:tab w:val="left" w:pos="284"/>
        </w:tabs>
        <w:ind w:left="426" w:hanging="426"/>
      </w:pPr>
      <w:r w:rsidRPr="00C05691">
        <w:rPr>
          <w:rStyle w:val="FootnoteReference"/>
          <w:vertAlign w:val="baseline"/>
        </w:rPr>
        <w:footnoteRef/>
      </w:r>
      <w:r w:rsidRPr="00C05691">
        <w:rPr>
          <w:rStyle w:val="FootnoteReference"/>
          <w:vertAlign w:val="baseline"/>
        </w:rPr>
        <w:t xml:space="preserve"> </w:t>
      </w:r>
      <w:r>
        <w:tab/>
      </w:r>
      <w:r>
        <w:tab/>
        <w:t>This rate is estimated using the daily entitlements at commencement in service for the JSA 2012 study population.</w:t>
      </w:r>
    </w:p>
  </w:footnote>
  <w:footnote w:id="43">
    <w:p w14:paraId="165B4808" w14:textId="77777777" w:rsidR="00F93877" w:rsidRDefault="00F93877" w:rsidP="00F347F8">
      <w:pPr>
        <w:pStyle w:val="FootnoteText"/>
      </w:pPr>
      <w:r w:rsidRPr="00F95499">
        <w:rPr>
          <w:rStyle w:val="FootnoteReference"/>
          <w:vertAlign w:val="baseline"/>
        </w:rPr>
        <w:footnoteRef/>
      </w:r>
      <w:r w:rsidRPr="00F95499">
        <w:t xml:space="preserve"> </w:t>
      </w:r>
      <w:r>
        <w:tab/>
      </w:r>
      <w:r>
        <w:rPr>
          <w:rFonts w:eastAsia="Times New Roman"/>
          <w:lang w:eastAsia="en-AU"/>
        </w:rPr>
        <w:t xml:space="preserve">In this case the reference job seeker is male, aged 25-34 years, lives in a major city, with TAFE education, is not </w:t>
      </w:r>
      <w:r w:rsidRPr="009B2284">
        <w:t>Indigenous</w:t>
      </w:r>
      <w:r>
        <w:t xml:space="preserve"> and is without disability.</w:t>
      </w:r>
    </w:p>
  </w:footnote>
  <w:footnote w:id="44">
    <w:p w14:paraId="53A86F27" w14:textId="3C162F8D" w:rsidR="00F93877" w:rsidRDefault="00F93877" w:rsidP="00EF47FB">
      <w:pPr>
        <w:pStyle w:val="FootnoteText"/>
        <w:jc w:val="both"/>
      </w:pPr>
      <w:r w:rsidRPr="00EF47FB">
        <w:rPr>
          <w:rStyle w:val="FootnoteReference"/>
          <w:vertAlign w:val="baseline"/>
        </w:rPr>
        <w:footnoteRef/>
      </w:r>
      <w:r w:rsidRPr="00C40D6E">
        <w:t xml:space="preserve"> </w:t>
      </w:r>
      <w:r>
        <w:tab/>
        <w:t>This is based on Newstart Allowance full rate.</w:t>
      </w:r>
    </w:p>
  </w:footnote>
  <w:footnote w:id="45">
    <w:p w14:paraId="46E70BFC" w14:textId="77777777" w:rsidR="00F93877" w:rsidRDefault="00F93877" w:rsidP="00E94C6E">
      <w:pPr>
        <w:pStyle w:val="FootnoteText"/>
      </w:pPr>
      <w:r w:rsidRPr="00A22E7E">
        <w:rPr>
          <w:rStyle w:val="FootnoteReference"/>
          <w:vertAlign w:val="baseline"/>
        </w:rPr>
        <w:footnoteRef/>
      </w:r>
      <w:r>
        <w:t xml:space="preserve"> </w:t>
      </w:r>
      <w:r>
        <w:tab/>
        <w:t>See Table 1.2 for further detail on these reforms.</w:t>
      </w:r>
    </w:p>
  </w:footnote>
  <w:footnote w:id="46">
    <w:p w14:paraId="28C39B6A" w14:textId="73A57B9B" w:rsidR="00F93877" w:rsidRDefault="00F93877" w:rsidP="00E94C6E">
      <w:pPr>
        <w:pStyle w:val="FootnoteText"/>
      </w:pPr>
      <w:r w:rsidRPr="00A22E7E">
        <w:rPr>
          <w:rStyle w:val="FootnoteReference"/>
          <w:vertAlign w:val="baseline"/>
        </w:rPr>
        <w:footnoteRef/>
      </w:r>
      <w:r>
        <w:t xml:space="preserve"> </w:t>
      </w:r>
      <w:r>
        <w:tab/>
        <w:t xml:space="preserve">DEEWR, August 2012. </w:t>
      </w:r>
      <w:r w:rsidRPr="00D83C44">
        <w:rPr>
          <w:i/>
        </w:rPr>
        <w:t>Removal of Stream Service</w:t>
      </w:r>
      <w:r>
        <w:rPr>
          <w:i/>
        </w:rPr>
        <w:t>s</w:t>
      </w:r>
      <w:r w:rsidRPr="00D83C44">
        <w:rPr>
          <w:i/>
        </w:rPr>
        <w:t xml:space="preserve"> Reviews, Project Closure Report</w:t>
      </w:r>
      <w:r>
        <w:t>, (unpublished).</w:t>
      </w:r>
    </w:p>
  </w:footnote>
  <w:footnote w:id="47">
    <w:p w14:paraId="732DF551" w14:textId="77777777" w:rsidR="00F93877" w:rsidRPr="00F14A12" w:rsidRDefault="00F93877">
      <w:pPr>
        <w:pStyle w:val="FootnoteText"/>
      </w:pPr>
      <w:r w:rsidRPr="00D87FA5">
        <w:rPr>
          <w:rStyle w:val="FootnoteReference"/>
          <w:vertAlign w:val="baseline"/>
        </w:rPr>
        <w:footnoteRef/>
      </w:r>
      <w:r w:rsidRPr="00F14A12">
        <w:t xml:space="preserve"> </w:t>
      </w:r>
      <w:r w:rsidRPr="00F14A12">
        <w:tab/>
      </w:r>
      <w:r w:rsidRPr="00861E00">
        <w:t>Butterworth, R</w:t>
      </w:r>
      <w:r>
        <w:t>,</w:t>
      </w:r>
      <w:r w:rsidRPr="00861E00">
        <w:t xml:space="preserve"> April 2012</w:t>
      </w:r>
      <w:r>
        <w:t>.</w:t>
      </w:r>
      <w:r w:rsidRPr="00861E00">
        <w:t xml:space="preserve"> </w:t>
      </w:r>
      <w:r w:rsidRPr="00D83C44">
        <w:rPr>
          <w:i/>
        </w:rPr>
        <w:t>Provider brokered outcomes audit: First stage report</w:t>
      </w:r>
      <w:r w:rsidRPr="00861E00">
        <w:t>, Canberra.</w:t>
      </w:r>
    </w:p>
  </w:footnote>
  <w:footnote w:id="48">
    <w:p w14:paraId="45290D07" w14:textId="77777777" w:rsidR="00F93877" w:rsidRPr="00F14A12" w:rsidRDefault="00F93877">
      <w:pPr>
        <w:pStyle w:val="FootnoteText"/>
      </w:pPr>
      <w:r w:rsidRPr="00EA7DBA">
        <w:rPr>
          <w:rStyle w:val="FootnoteReference"/>
          <w:vertAlign w:val="baseline"/>
        </w:rPr>
        <w:footnoteRef/>
      </w:r>
      <w:r w:rsidRPr="00EA7DBA">
        <w:t xml:space="preserve"> </w:t>
      </w:r>
      <w:r>
        <w:tab/>
        <w:t xml:space="preserve">Department of Finance, 2011. </w:t>
      </w:r>
      <w:r w:rsidRPr="00A12E8A">
        <w:rPr>
          <w:i/>
        </w:rPr>
        <w:t>Strategic Review of Job Capacity Assessment</w:t>
      </w:r>
      <w:r>
        <w:t>, Canberra.</w:t>
      </w:r>
    </w:p>
  </w:footnote>
  <w:footnote w:id="49">
    <w:p w14:paraId="52E58EE6" w14:textId="77777777" w:rsidR="00F93877" w:rsidRPr="00CD7613" w:rsidRDefault="00F93877" w:rsidP="00CD7613">
      <w:pPr>
        <w:pStyle w:val="FootnoteText"/>
      </w:pPr>
      <w:r w:rsidRPr="00CD7613">
        <w:rPr>
          <w:rStyle w:val="FootnoteReference"/>
          <w:vertAlign w:val="baseline"/>
        </w:rPr>
        <w:footnoteRef/>
      </w:r>
      <w:r w:rsidRPr="00A12E8A">
        <w:rPr>
          <w:rStyle w:val="FootnoteReference"/>
          <w:vertAlign w:val="baseline"/>
        </w:rPr>
        <w:t xml:space="preserve"> </w:t>
      </w:r>
      <w:r w:rsidRPr="00CD7613">
        <w:tab/>
        <w:t>50th percentile.</w:t>
      </w:r>
    </w:p>
  </w:footnote>
  <w:footnote w:id="50">
    <w:p w14:paraId="4BA7E0BA" w14:textId="58031A63" w:rsidR="00F93877" w:rsidRPr="00CD7613" w:rsidRDefault="00F93877" w:rsidP="00CD7613">
      <w:pPr>
        <w:pStyle w:val="FootnoteText"/>
      </w:pPr>
      <w:r w:rsidRPr="00CD7613">
        <w:rPr>
          <w:rStyle w:val="FootnoteReference"/>
          <w:vertAlign w:val="baseline"/>
        </w:rPr>
        <w:footnoteRef/>
      </w:r>
      <w:r w:rsidRPr="00CD7613">
        <w:t xml:space="preserve"> </w:t>
      </w:r>
      <w:r w:rsidRPr="00CD7613">
        <w:tab/>
      </w:r>
      <w:r>
        <w:t xml:space="preserve">Department of Employment, </w:t>
      </w:r>
      <w:r w:rsidRPr="00CD7613">
        <w:t>2015</w:t>
      </w:r>
      <w:r>
        <w:t>. Survey of Employment Services Providers</w:t>
      </w:r>
      <w:r w:rsidRPr="00CD7613">
        <w:t>.</w:t>
      </w:r>
    </w:p>
  </w:footnote>
  <w:footnote w:id="51">
    <w:p w14:paraId="02650AE1" w14:textId="77777777" w:rsidR="00F93877" w:rsidRPr="00CD7613" w:rsidRDefault="00F93877" w:rsidP="00CD7613">
      <w:pPr>
        <w:pStyle w:val="FootnoteText"/>
      </w:pPr>
      <w:r w:rsidRPr="00CD7613">
        <w:rPr>
          <w:rStyle w:val="FootnoteReference"/>
          <w:vertAlign w:val="baseline"/>
        </w:rPr>
        <w:footnoteRef/>
      </w:r>
      <w:r w:rsidRPr="00CD7613">
        <w:t xml:space="preserve"> </w:t>
      </w:r>
      <w:r w:rsidRPr="00CD7613">
        <w:tab/>
        <w:t>It was not possible to determine the median measure for those commencing in either Stream 1 or Stream 4 as the median time was longer than the analysis period. This means they were greater than the JSA 2012 figures.</w:t>
      </w:r>
    </w:p>
  </w:footnote>
  <w:footnote w:id="52">
    <w:p w14:paraId="795EFBE7" w14:textId="77777777" w:rsidR="00F93877" w:rsidRPr="00CD7613" w:rsidRDefault="00F93877" w:rsidP="00CD7613">
      <w:pPr>
        <w:pStyle w:val="FootnoteText"/>
      </w:pPr>
      <w:r w:rsidRPr="00CD7613">
        <w:rPr>
          <w:rStyle w:val="FootnoteReference"/>
          <w:vertAlign w:val="baseline"/>
        </w:rPr>
        <w:footnoteRef/>
      </w:r>
      <w:r w:rsidRPr="00CD7613">
        <w:t xml:space="preserve"> </w:t>
      </w:r>
      <w:r w:rsidRPr="00CD7613">
        <w:tab/>
        <w:t>2015 Service Provider survey.</w:t>
      </w:r>
    </w:p>
  </w:footnote>
  <w:footnote w:id="53">
    <w:p w14:paraId="4BF2C687" w14:textId="38DAD058" w:rsidR="00F93877" w:rsidRPr="00CD7613" w:rsidRDefault="00F93877" w:rsidP="00CD7613">
      <w:pPr>
        <w:pStyle w:val="FootnoteText"/>
      </w:pPr>
      <w:r w:rsidRPr="00CD7613">
        <w:rPr>
          <w:rStyle w:val="FootnoteReference"/>
          <w:vertAlign w:val="baseline"/>
        </w:rPr>
        <w:footnoteRef/>
      </w:r>
      <w:r w:rsidRPr="00CD7613">
        <w:t xml:space="preserve"> </w:t>
      </w:r>
      <w:r w:rsidRPr="00CD7613">
        <w:tab/>
        <w:t xml:space="preserve">Department of </w:t>
      </w:r>
      <w:r w:rsidR="0067757E">
        <w:t>Employment, Skills, Small and Family</w:t>
      </w:r>
      <w:r>
        <w:t xml:space="preserve"> Business, 201</w:t>
      </w:r>
      <w:r w:rsidR="0067757E">
        <w:t>9</w:t>
      </w:r>
      <w:r>
        <w:t xml:space="preserve">, </w:t>
      </w:r>
      <w:r w:rsidRPr="00A12E8A">
        <w:rPr>
          <w:i/>
        </w:rPr>
        <w:t xml:space="preserve">The </w:t>
      </w:r>
      <w:r w:rsidRPr="00D83C44">
        <w:rPr>
          <w:i/>
        </w:rPr>
        <w:t>Evaluation of Job Services Australia, 2009 – 2012</w:t>
      </w:r>
      <w:r>
        <w:rPr>
          <w:i/>
        </w:rPr>
        <w:t>, Canberra</w:t>
      </w:r>
      <w:r w:rsidRPr="00CD7613">
        <w:t>.</w:t>
      </w:r>
    </w:p>
  </w:footnote>
  <w:footnote w:id="54">
    <w:p w14:paraId="3BB71251" w14:textId="77777777" w:rsidR="00F93877" w:rsidRDefault="00F93877">
      <w:pPr>
        <w:pStyle w:val="FootnoteText"/>
      </w:pPr>
      <w:r w:rsidRPr="00295B42">
        <w:rPr>
          <w:rStyle w:val="FootnoteReference"/>
          <w:vertAlign w:val="baseline"/>
        </w:rPr>
        <w:footnoteRef/>
      </w:r>
      <w:r>
        <w:t xml:space="preserve"> </w:t>
      </w:r>
      <w:r>
        <w:tab/>
        <w:t>See Appendix B4.3 for further information on this methodology.</w:t>
      </w:r>
    </w:p>
  </w:footnote>
  <w:footnote w:id="55">
    <w:p w14:paraId="79468F21" w14:textId="77777777" w:rsidR="00F93877" w:rsidRPr="00EA7DBA" w:rsidRDefault="00F93877" w:rsidP="00EA7DBA">
      <w:pPr>
        <w:tabs>
          <w:tab w:val="left" w:pos="426"/>
        </w:tabs>
        <w:spacing w:after="0"/>
        <w:rPr>
          <w:sz w:val="18"/>
          <w:szCs w:val="18"/>
        </w:rPr>
      </w:pPr>
      <w:r w:rsidRPr="00EA7DBA">
        <w:rPr>
          <w:rStyle w:val="FootnoteReference"/>
          <w:sz w:val="18"/>
          <w:szCs w:val="18"/>
          <w:vertAlign w:val="baseline"/>
        </w:rPr>
        <w:footnoteRef/>
      </w:r>
      <w:r w:rsidRPr="00EA7DBA">
        <w:rPr>
          <w:sz w:val="18"/>
          <w:szCs w:val="18"/>
        </w:rPr>
        <w:t xml:space="preserve"> </w:t>
      </w:r>
      <w:r>
        <w:rPr>
          <w:sz w:val="18"/>
          <w:szCs w:val="18"/>
        </w:rPr>
        <w:tab/>
        <w:t>DEEWR,</w:t>
      </w:r>
      <w:r w:rsidRPr="00CB557F">
        <w:rPr>
          <w:sz w:val="18"/>
          <w:szCs w:val="18"/>
        </w:rPr>
        <w:t xml:space="preserve"> </w:t>
      </w:r>
      <w:r w:rsidRPr="00EA7DBA">
        <w:rPr>
          <w:sz w:val="18"/>
          <w:szCs w:val="18"/>
        </w:rPr>
        <w:t>March 201</w:t>
      </w:r>
      <w:r>
        <w:rPr>
          <w:sz w:val="18"/>
          <w:szCs w:val="18"/>
        </w:rPr>
        <w:t xml:space="preserve">1. </w:t>
      </w:r>
      <w:r w:rsidRPr="00D83C44">
        <w:rPr>
          <w:i/>
          <w:sz w:val="18"/>
          <w:szCs w:val="18"/>
        </w:rPr>
        <w:t>Access to Mentoring Support for Indigenous Job Seekers Pilot Grant Program Guideline</w:t>
      </w:r>
      <w:r>
        <w:rPr>
          <w:i/>
          <w:sz w:val="18"/>
          <w:szCs w:val="18"/>
        </w:rPr>
        <w:t>s.</w:t>
      </w:r>
    </w:p>
  </w:footnote>
  <w:footnote w:id="56">
    <w:p w14:paraId="22EDDFCC" w14:textId="77777777" w:rsidR="00F93877" w:rsidRDefault="00F93877">
      <w:pPr>
        <w:pStyle w:val="FootnoteText"/>
      </w:pPr>
      <w:r w:rsidRPr="00A46197">
        <w:rPr>
          <w:rStyle w:val="FootnoteReference"/>
          <w:vertAlign w:val="baseline"/>
        </w:rPr>
        <w:footnoteRef/>
      </w:r>
      <w:r>
        <w:t xml:space="preserve"> </w:t>
      </w:r>
      <w:r>
        <w:tab/>
        <w:t>VTECs are based on the Generation One employment model.</w:t>
      </w:r>
    </w:p>
  </w:footnote>
  <w:footnote w:id="57">
    <w:p w14:paraId="1AAF63DD" w14:textId="77777777" w:rsidR="00F93877" w:rsidRDefault="00F93877">
      <w:pPr>
        <w:pStyle w:val="FootnoteText"/>
      </w:pPr>
      <w:r w:rsidRPr="00596DB4">
        <w:rPr>
          <w:rStyle w:val="FootnoteReference"/>
          <w:vertAlign w:val="baseline"/>
        </w:rPr>
        <w:footnoteRef/>
      </w:r>
      <w:r>
        <w:t xml:space="preserve"> </w:t>
      </w:r>
      <w:r>
        <w:tab/>
        <w:t>The IOP was replaced by the Indigenous Procurement Policy (IPP) in July 2015.</w:t>
      </w:r>
    </w:p>
  </w:footnote>
  <w:footnote w:id="58">
    <w:p w14:paraId="5596C517" w14:textId="005AD966" w:rsidR="00F93877" w:rsidRDefault="00F93877" w:rsidP="003B63F0">
      <w:pPr>
        <w:pStyle w:val="FootnoteText"/>
      </w:pPr>
      <w:r w:rsidRPr="00596DB4">
        <w:rPr>
          <w:rStyle w:val="FootnoteReference"/>
          <w:vertAlign w:val="baseline"/>
        </w:rPr>
        <w:footnoteRef/>
      </w:r>
      <w:r>
        <w:t xml:space="preserve"> </w:t>
      </w:r>
      <w:r>
        <w:tab/>
        <w:t xml:space="preserve">Department of Employment, </w:t>
      </w:r>
      <w:r w:rsidRPr="00D83C44">
        <w:t>2011</w:t>
      </w:r>
      <w:r>
        <w:rPr>
          <w:i/>
        </w:rPr>
        <w:t xml:space="preserve">. </w:t>
      </w:r>
      <w:r w:rsidRPr="00D83C44">
        <w:rPr>
          <w:i/>
        </w:rPr>
        <w:t>Indigenous Opportunities Policy Guidelines, updated March 2014</w:t>
      </w:r>
      <w:r>
        <w:rPr>
          <w:i/>
        </w:rPr>
        <w:t>.</w:t>
      </w:r>
    </w:p>
  </w:footnote>
  <w:footnote w:id="59">
    <w:p w14:paraId="1413D8DA" w14:textId="77777777" w:rsidR="00F93877" w:rsidRPr="00972AE4" w:rsidRDefault="00F93877" w:rsidP="00611EB6">
      <w:pPr>
        <w:pStyle w:val="FootnoteText"/>
      </w:pPr>
      <w:r w:rsidRPr="008338FF">
        <w:footnoteRef/>
      </w:r>
      <w:r w:rsidRPr="008338FF">
        <w:t xml:space="preserve"> </w:t>
      </w:r>
      <w:r w:rsidRPr="008338FF">
        <w:tab/>
        <w:t>Red tape costs associated with DES and the RJCP are not considered as these programmes are run by the Department of Social Services (DSS) and the Department of Prime Minister and Cabinet (PM&amp;C), respectively</w:t>
      </w:r>
      <w:r w:rsidRPr="00972AE4">
        <w:t>.</w:t>
      </w:r>
    </w:p>
  </w:footnote>
  <w:footnote w:id="60">
    <w:p w14:paraId="5872E056" w14:textId="77777777" w:rsidR="00F93877" w:rsidRDefault="00F93877" w:rsidP="00F64E6A">
      <w:pPr>
        <w:pStyle w:val="FootnoteText"/>
      </w:pPr>
      <w:r w:rsidRPr="00F64E6A">
        <w:footnoteRef/>
      </w:r>
      <w:r w:rsidRPr="00F64E6A">
        <w:t xml:space="preserve"> </w:t>
      </w:r>
      <w:r>
        <w:rPr>
          <w:rFonts w:eastAsia="Times New Roman"/>
          <w:lang w:eastAsia="en-AU"/>
        </w:rPr>
        <w:tab/>
        <w:t xml:space="preserve">Department of Prime Minister and Cabinet (PM&amp;C), July 2014. </w:t>
      </w:r>
      <w:r w:rsidRPr="00F64E6A">
        <w:rPr>
          <w:rFonts w:eastAsia="Times New Roman"/>
          <w:lang w:eastAsia="en-AU"/>
        </w:rPr>
        <w:t>Regulatory Burden Measurement Framework,</w:t>
      </w:r>
      <w:r>
        <w:rPr>
          <w:rFonts w:eastAsia="Times New Roman"/>
          <w:lang w:eastAsia="en-AU"/>
        </w:rPr>
        <w:t xml:space="preserve"> (website).</w:t>
      </w:r>
    </w:p>
  </w:footnote>
  <w:footnote w:id="61">
    <w:p w14:paraId="284B71D1" w14:textId="77777777" w:rsidR="00F93877" w:rsidRPr="00FA506F" w:rsidRDefault="00F93877" w:rsidP="00CB557F">
      <w:pPr>
        <w:pStyle w:val="FootnoteText"/>
      </w:pPr>
      <w:r w:rsidRPr="00D83C44">
        <w:rPr>
          <w:rStyle w:val="FootnoteReference"/>
          <w:vertAlign w:val="baseline"/>
        </w:rPr>
        <w:footnoteRef/>
      </w:r>
      <w:r w:rsidRPr="00CB557F">
        <w:t xml:space="preserve"> </w:t>
      </w:r>
      <w:r w:rsidRPr="00CB557F">
        <w:tab/>
        <w:t xml:space="preserve">These estimates are subject to change but do give a reasonable indication of the differences in red tape costs </w:t>
      </w:r>
      <w:r w:rsidRPr="00FA506F">
        <w:t xml:space="preserve">between the contracts. </w:t>
      </w:r>
    </w:p>
  </w:footnote>
  <w:footnote w:id="62">
    <w:p w14:paraId="715A371D" w14:textId="77777777" w:rsidR="00F93877" w:rsidRPr="00D11E63" w:rsidRDefault="00F93877" w:rsidP="000D5D9B">
      <w:pPr>
        <w:pStyle w:val="FootnoteText"/>
        <w:rPr>
          <w:rFonts w:cstheme="minorHAnsi"/>
          <w:sz w:val="16"/>
          <w:szCs w:val="16"/>
        </w:rPr>
      </w:pPr>
      <w:r w:rsidRPr="00D83C44">
        <w:rPr>
          <w:rStyle w:val="FootnoteReference"/>
          <w:vertAlign w:val="baseline"/>
        </w:rPr>
        <w:footnoteRef/>
      </w:r>
      <w:r w:rsidRPr="00CB557F">
        <w:t xml:space="preserve"> </w:t>
      </w:r>
      <w:r w:rsidRPr="00CB557F">
        <w:tab/>
        <w:t>Some reductions in</w:t>
      </w:r>
      <w:r w:rsidRPr="00FA506F">
        <w:t xml:space="preserve"> </w:t>
      </w:r>
      <w:r w:rsidRPr="00D548A8">
        <w:t>red tape</w:t>
      </w:r>
      <w:r w:rsidRPr="0011060A">
        <w:t xml:space="preserve"> that occurred under JSA may not have been applied as reductions occurred in the f</w:t>
      </w:r>
      <w:r w:rsidRPr="00D83C44">
        <w:t>inancial year 2014-15 only</w:t>
      </w:r>
      <w:r w:rsidRPr="0086330E">
        <w:t>.</w:t>
      </w:r>
      <w:r>
        <w:rPr>
          <w:rFonts w:cstheme="minorHAnsi"/>
          <w:sz w:val="16"/>
          <w:szCs w:val="16"/>
        </w:rPr>
        <w:t xml:space="preserve"> </w:t>
      </w:r>
    </w:p>
  </w:footnote>
  <w:footnote w:id="63">
    <w:p w14:paraId="2D014BB9" w14:textId="77777777" w:rsidR="00F93877" w:rsidRPr="00666B9E" w:rsidRDefault="00F93877" w:rsidP="000D5D9B">
      <w:pPr>
        <w:pStyle w:val="FootnoteText"/>
        <w:rPr>
          <w:rStyle w:val="FootnoteReference"/>
          <w:vertAlign w:val="baseline"/>
        </w:rPr>
      </w:pPr>
      <w:r w:rsidRPr="00666B9E">
        <w:rPr>
          <w:rStyle w:val="FootnoteReference"/>
          <w:vertAlign w:val="baseline"/>
        </w:rPr>
        <w:footnoteRef/>
      </w:r>
      <w:r w:rsidRPr="00666B9E">
        <w:rPr>
          <w:rStyle w:val="FootnoteReference"/>
          <w:vertAlign w:val="baseline"/>
        </w:rPr>
        <w:t xml:space="preserve"> </w:t>
      </w:r>
      <w:r>
        <w:tab/>
        <w:t>This is based on total expenditure on JSA in the 2012-13 financial year, as published in the annual report.</w:t>
      </w:r>
    </w:p>
  </w:footnote>
  <w:footnote w:id="64">
    <w:p w14:paraId="25C2B92C" w14:textId="21CFD4B7" w:rsidR="00F93877" w:rsidRPr="00CB557F" w:rsidRDefault="00F93877" w:rsidP="00CB557F">
      <w:pPr>
        <w:pStyle w:val="FootnoteText"/>
      </w:pPr>
      <w:r w:rsidRPr="00FA506F">
        <w:rPr>
          <w:rStyle w:val="FootnoteReference"/>
          <w:vertAlign w:val="baseline"/>
        </w:rPr>
        <w:footnoteRef/>
      </w:r>
      <w:r w:rsidRPr="00CB557F">
        <w:t xml:space="preserve"> </w:t>
      </w:r>
      <w:r w:rsidRPr="00CB557F">
        <w:tab/>
        <w:t>Department of Employment</w:t>
      </w:r>
      <w:r>
        <w:t>,</w:t>
      </w:r>
      <w:r w:rsidRPr="005C6D4A">
        <w:t xml:space="preserve"> </w:t>
      </w:r>
      <w:r w:rsidRPr="00063D8A">
        <w:t>2015</w:t>
      </w:r>
      <w:r>
        <w:t xml:space="preserve">. </w:t>
      </w:r>
      <w:r w:rsidRPr="00CB557F">
        <w:t>Survey of Employment Service</w:t>
      </w:r>
      <w:r>
        <w:t>s</w:t>
      </w:r>
      <w:r w:rsidRPr="00CB557F">
        <w:t xml:space="preserve"> Providers</w:t>
      </w:r>
      <w:r>
        <w:t>.</w:t>
      </w:r>
    </w:p>
  </w:footnote>
  <w:footnote w:id="65">
    <w:p w14:paraId="3A4692F8" w14:textId="753400D8" w:rsidR="00F93877" w:rsidRPr="00CB557F" w:rsidRDefault="00F93877" w:rsidP="00CB557F">
      <w:pPr>
        <w:pStyle w:val="FootnoteText"/>
      </w:pPr>
      <w:r w:rsidRPr="00FA506F">
        <w:rPr>
          <w:rStyle w:val="FootnoteReference"/>
          <w:vertAlign w:val="baseline"/>
        </w:rPr>
        <w:footnoteRef/>
      </w:r>
      <w:r w:rsidRPr="00CB557F">
        <w:t xml:space="preserve"> </w:t>
      </w:r>
      <w:r w:rsidRPr="00CB557F">
        <w:tab/>
        <w:t>Department of Employment</w:t>
      </w:r>
      <w:r>
        <w:t>,</w:t>
      </w:r>
      <w:r w:rsidRPr="005C6D4A">
        <w:t xml:space="preserve"> </w:t>
      </w:r>
      <w:r w:rsidRPr="00063D8A">
        <w:t>2015</w:t>
      </w:r>
      <w:r>
        <w:t xml:space="preserve">. </w:t>
      </w:r>
      <w:r w:rsidRPr="00CB557F">
        <w:t>Survey of Employment Service</w:t>
      </w:r>
      <w:r>
        <w:t>s</w:t>
      </w:r>
      <w:r w:rsidRPr="00CB557F">
        <w:t xml:space="preserve"> Providers</w:t>
      </w:r>
      <w:r>
        <w:t>.</w:t>
      </w:r>
    </w:p>
  </w:footnote>
  <w:footnote w:id="66">
    <w:p w14:paraId="40810099" w14:textId="77777777" w:rsidR="00F93877" w:rsidRPr="00CB557F" w:rsidRDefault="00F93877" w:rsidP="00CB557F">
      <w:pPr>
        <w:pStyle w:val="FootnoteText"/>
      </w:pPr>
      <w:r w:rsidRPr="00FA506F">
        <w:rPr>
          <w:rStyle w:val="FootnoteReference"/>
          <w:vertAlign w:val="baseline"/>
        </w:rPr>
        <w:footnoteRef/>
      </w:r>
      <w:r w:rsidRPr="00CB557F">
        <w:t xml:space="preserve"> </w:t>
      </w:r>
      <w:r w:rsidRPr="00CB557F">
        <w:tab/>
        <w:t>Providers were asked to identify the three most time consuming tasks.</w:t>
      </w:r>
    </w:p>
  </w:footnote>
  <w:footnote w:id="67">
    <w:p w14:paraId="3000B284" w14:textId="77777777" w:rsidR="00F93877" w:rsidRDefault="00F93877" w:rsidP="008F1B8A">
      <w:pPr>
        <w:pStyle w:val="FootnoteText"/>
        <w:tabs>
          <w:tab w:val="clear" w:pos="454"/>
          <w:tab w:val="left" w:pos="284"/>
        </w:tabs>
      </w:pPr>
      <w:r w:rsidRPr="00D83C44">
        <w:footnoteRef/>
      </w:r>
      <w:r w:rsidRPr="00FA506F">
        <w:t xml:space="preserve"> </w:t>
      </w:r>
      <w:r w:rsidRPr="00972B80">
        <w:tab/>
      </w:r>
      <w:r w:rsidRPr="00972B80">
        <w:tab/>
      </w:r>
      <w:r w:rsidRPr="00FA506F">
        <w:t>Preliminary estimates of red tape costs and feedback from providers shows that under jobactive red tape has been reduced further</w:t>
      </w:r>
      <w:r>
        <w:rPr>
          <w:rStyle w:val="FootnoteTextChar1"/>
        </w:rPr>
        <w:t>.</w:t>
      </w:r>
    </w:p>
  </w:footnote>
  <w:footnote w:id="68">
    <w:p w14:paraId="25CD4FFD" w14:textId="77777777" w:rsidR="00F93877" w:rsidRDefault="00F93877" w:rsidP="00403511">
      <w:pPr>
        <w:pStyle w:val="FootnoteText"/>
      </w:pPr>
      <w:r w:rsidRPr="00CD7613">
        <w:footnoteRef/>
      </w:r>
      <w:r w:rsidRPr="00CD7613">
        <w:t xml:space="preserve"> </w:t>
      </w:r>
      <w:r>
        <w:tab/>
        <w:t xml:space="preserve">Department of Employment, 2014. </w:t>
      </w:r>
      <w:r w:rsidRPr="00063D8A">
        <w:rPr>
          <w:i/>
        </w:rPr>
        <w:t>JSA Quality Standards Pilot Evaluation Report</w:t>
      </w:r>
      <w:r>
        <w:t>, Canberra.</w:t>
      </w:r>
    </w:p>
  </w:footnote>
  <w:footnote w:id="69">
    <w:p w14:paraId="5082752D" w14:textId="77777777" w:rsidR="00F93877" w:rsidRDefault="00F93877" w:rsidP="00403511">
      <w:pPr>
        <w:pStyle w:val="FootnoteText"/>
      </w:pPr>
      <w:r w:rsidRPr="00CD7613">
        <w:footnoteRef/>
      </w:r>
      <w:r w:rsidRPr="00CD7613">
        <w:t xml:space="preserve"> </w:t>
      </w:r>
      <w:r>
        <w:tab/>
        <w:t>Quality Managers were provider nominated staff within the organisation tasked with the responsibility of managing the pilot process.</w:t>
      </w:r>
    </w:p>
  </w:footnote>
  <w:footnote w:id="70">
    <w:p w14:paraId="37D61823" w14:textId="77777777" w:rsidR="00F93877" w:rsidRDefault="00F93877" w:rsidP="00B72AD4">
      <w:pPr>
        <w:pStyle w:val="FootnoteText"/>
      </w:pPr>
      <w:r w:rsidRPr="00D83C44">
        <w:footnoteRef/>
      </w:r>
      <w:r w:rsidRPr="00FA506F">
        <w:t xml:space="preserve"> </w:t>
      </w:r>
      <w:r>
        <w:tab/>
      </w:r>
      <w:r w:rsidRPr="00FA506F">
        <w:t xml:space="preserve">See </w:t>
      </w:r>
      <w:r w:rsidRPr="001F180A">
        <w:t xml:space="preserve">Appendix </w:t>
      </w:r>
      <w:r>
        <w:t xml:space="preserve">C </w:t>
      </w:r>
      <w:r w:rsidRPr="0011060A">
        <w:t>for detail</w:t>
      </w:r>
      <w:r w:rsidRPr="00D83C44">
        <w:t>s of these changes</w:t>
      </w:r>
      <w:r>
        <w:t>.</w:t>
      </w:r>
    </w:p>
  </w:footnote>
  <w:footnote w:id="71">
    <w:p w14:paraId="2B68D9EC" w14:textId="77777777" w:rsidR="00F93877" w:rsidRPr="001F180A" w:rsidRDefault="00F93877" w:rsidP="001F180A">
      <w:pPr>
        <w:pStyle w:val="FootnoteText"/>
      </w:pPr>
      <w:r w:rsidRPr="00D83C44">
        <w:rPr>
          <w:rStyle w:val="FootnoteReference"/>
          <w:vertAlign w:val="baseline"/>
        </w:rPr>
        <w:footnoteRef/>
      </w:r>
      <w:r w:rsidRPr="001F180A">
        <w:t xml:space="preserve"> </w:t>
      </w:r>
      <w:r w:rsidRPr="001F180A">
        <w:tab/>
        <w:t xml:space="preserve">Department of Employment, 2016. </w:t>
      </w:r>
      <w:r w:rsidRPr="00063D8A">
        <w:rPr>
          <w:i/>
        </w:rPr>
        <w:t xml:space="preserve">The Effectiveness of Wage Subsidies in </w:t>
      </w:r>
      <w:r>
        <w:rPr>
          <w:i/>
        </w:rPr>
        <w:t xml:space="preserve">Australian Government Services, </w:t>
      </w:r>
      <w:r w:rsidRPr="00A12E8A">
        <w:t>Canberra</w:t>
      </w:r>
      <w:r>
        <w:rPr>
          <w:i/>
        </w:rPr>
        <w:t>.</w:t>
      </w:r>
    </w:p>
  </w:footnote>
  <w:footnote w:id="72">
    <w:p w14:paraId="707CF917" w14:textId="77777777" w:rsidR="00F93877" w:rsidRDefault="00F93877" w:rsidP="001F180A">
      <w:pPr>
        <w:pStyle w:val="FootnoteText"/>
      </w:pPr>
      <w:r w:rsidRPr="00D83C44">
        <w:rPr>
          <w:rStyle w:val="FootnoteReference"/>
          <w:vertAlign w:val="baseline"/>
        </w:rPr>
        <w:footnoteRef/>
      </w:r>
      <w:r w:rsidRPr="001F180A">
        <w:t xml:space="preserve"> </w:t>
      </w:r>
      <w:r w:rsidRPr="001F180A">
        <w:tab/>
        <w:t xml:space="preserve">Department of Employment, 2016. </w:t>
      </w:r>
      <w:r w:rsidRPr="00063D8A">
        <w:rPr>
          <w:i/>
        </w:rPr>
        <w:t xml:space="preserve">The Effectiveness of Wage Subsidies in </w:t>
      </w:r>
      <w:r>
        <w:rPr>
          <w:i/>
        </w:rPr>
        <w:t xml:space="preserve">Australian Government Services, </w:t>
      </w:r>
      <w:r w:rsidRPr="00A12E8A">
        <w:t>Canberra</w:t>
      </w:r>
      <w:r>
        <w:rPr>
          <w:i/>
        </w:rPr>
        <w:t>.</w:t>
      </w:r>
    </w:p>
  </w:footnote>
  <w:footnote w:id="73">
    <w:p w14:paraId="056CD6B4" w14:textId="77777777" w:rsidR="00F93877" w:rsidRPr="00D83C44" w:rsidRDefault="00F93877" w:rsidP="001F180A">
      <w:pPr>
        <w:pStyle w:val="FootnoteText"/>
      </w:pPr>
      <w:r w:rsidRPr="00D83C44">
        <w:rPr>
          <w:rStyle w:val="FootnoteReference"/>
          <w:vertAlign w:val="baseline"/>
        </w:rPr>
        <w:footnoteRef/>
      </w:r>
      <w:r w:rsidRPr="001F180A">
        <w:t xml:space="preserve"> </w:t>
      </w:r>
      <w:r>
        <w:tab/>
      </w:r>
      <w:r w:rsidRPr="001F180A">
        <w:t xml:space="preserve">Department of Employment, 2016. </w:t>
      </w:r>
      <w:r w:rsidRPr="00D83C44">
        <w:rPr>
          <w:i/>
        </w:rPr>
        <w:t xml:space="preserve">The Effectiveness of Wage Subsidies in </w:t>
      </w:r>
      <w:r>
        <w:rPr>
          <w:i/>
        </w:rPr>
        <w:t xml:space="preserve">Australian Government Services, </w:t>
      </w:r>
      <w:r w:rsidRPr="00A12E8A">
        <w:t>Canberra</w:t>
      </w:r>
      <w:r w:rsidRPr="0002446C">
        <w:t>.</w:t>
      </w:r>
    </w:p>
  </w:footnote>
  <w:footnote w:id="74">
    <w:p w14:paraId="3B7567DF" w14:textId="77777777" w:rsidR="00F93877" w:rsidRDefault="00F93877">
      <w:pPr>
        <w:pStyle w:val="FootnoteText"/>
      </w:pPr>
      <w:r w:rsidRPr="007D3475">
        <w:rPr>
          <w:rStyle w:val="FootnoteReference"/>
          <w:vertAlign w:val="baseline"/>
        </w:rPr>
        <w:footnoteRef/>
      </w:r>
      <w:r>
        <w:t xml:space="preserve">  </w:t>
      </w:r>
      <w:r>
        <w:tab/>
        <w:t>These changes are the Welfare Reform changes described in Table 1.2, where by many PP recipients were moved to NSA.</w:t>
      </w:r>
    </w:p>
  </w:footnote>
  <w:footnote w:id="75">
    <w:p w14:paraId="221E9D7F" w14:textId="77777777" w:rsidR="00F93877" w:rsidRDefault="00F93877">
      <w:pPr>
        <w:pStyle w:val="FootnoteText"/>
      </w:pPr>
      <w:r w:rsidRPr="00E7665D">
        <w:rPr>
          <w:rStyle w:val="FootnoteReference"/>
          <w:vertAlign w:val="baseline"/>
        </w:rPr>
        <w:footnoteRef/>
      </w:r>
      <w:r w:rsidRPr="00E7665D">
        <w:t xml:space="preserve"> </w:t>
      </w:r>
      <w:r>
        <w:tab/>
        <w:t>Department of Employment, 2013 Survey of Employers.</w:t>
      </w:r>
    </w:p>
  </w:footnote>
  <w:footnote w:id="76">
    <w:p w14:paraId="0B8CCF8E" w14:textId="77777777" w:rsidR="00F93877" w:rsidRDefault="00F93877">
      <w:pPr>
        <w:pStyle w:val="FootnoteText"/>
      </w:pPr>
      <w:r w:rsidRPr="00A12E8A">
        <w:rPr>
          <w:rStyle w:val="FootnoteReference"/>
          <w:vertAlign w:val="baseline"/>
        </w:rPr>
        <w:footnoteRef/>
      </w:r>
      <w:r w:rsidRPr="00A12E8A">
        <w:rPr>
          <w:rStyle w:val="FootnoteReference"/>
          <w:vertAlign w:val="baseline"/>
        </w:rPr>
        <w:t xml:space="preserve"> </w:t>
      </w:r>
      <w:r w:rsidRPr="00A12E8A">
        <w:rPr>
          <w:rStyle w:val="FootnoteReference"/>
          <w:vertAlign w:val="baseline"/>
        </w:rPr>
        <w:tab/>
      </w:r>
      <w:r w:rsidRPr="008065A4">
        <w:t>The high percentage of employers who have used wages subsidies in this period may be due to the popularity of Wage Connect (Internal departmental research).</w:t>
      </w:r>
    </w:p>
  </w:footnote>
  <w:footnote w:id="77">
    <w:p w14:paraId="340339D4" w14:textId="77777777" w:rsidR="00F93877" w:rsidRPr="00E7665D" w:rsidRDefault="00F93877">
      <w:pPr>
        <w:pStyle w:val="FootnoteText"/>
      </w:pPr>
      <w:r w:rsidRPr="00E7665D">
        <w:rPr>
          <w:rStyle w:val="FootnoteReference"/>
          <w:vertAlign w:val="baseline"/>
        </w:rPr>
        <w:footnoteRef/>
      </w:r>
      <w:r w:rsidRPr="00E7665D">
        <w:t xml:space="preserve"> </w:t>
      </w:r>
      <w:r>
        <w:tab/>
        <w:t>Department of Employment, 2013 Survey of Employers.</w:t>
      </w:r>
    </w:p>
  </w:footnote>
  <w:footnote w:id="78">
    <w:p w14:paraId="7ACE392D" w14:textId="77777777" w:rsidR="00F93877" w:rsidRPr="00E7665D" w:rsidRDefault="00F93877">
      <w:pPr>
        <w:pStyle w:val="FootnoteText"/>
      </w:pPr>
      <w:r w:rsidRPr="00E7665D">
        <w:rPr>
          <w:rStyle w:val="FootnoteReference"/>
          <w:vertAlign w:val="baseline"/>
        </w:rPr>
        <w:footnoteRef/>
      </w:r>
      <w:r w:rsidRPr="00E7665D">
        <w:t xml:space="preserve"> </w:t>
      </w:r>
      <w:r>
        <w:tab/>
        <w:t>Department of Education, Employment and Workplace Relations, 2011 Employer Incentives Survey.</w:t>
      </w:r>
    </w:p>
  </w:footnote>
  <w:footnote w:id="79">
    <w:p w14:paraId="54747845" w14:textId="77777777" w:rsidR="00F93877" w:rsidRDefault="00F93877" w:rsidP="00E307E8">
      <w:pPr>
        <w:pStyle w:val="FootnoteText"/>
      </w:pPr>
      <w:r w:rsidRPr="00C23E82">
        <w:footnoteRef/>
      </w:r>
      <w:r>
        <w:t xml:space="preserve"> </w:t>
      </w:r>
      <w:r>
        <w:tab/>
      </w:r>
      <w:r>
        <w:rPr>
          <w:rFonts w:ascii="Calibri" w:hAnsi="Calibri" w:cs="Calibri"/>
        </w:rPr>
        <w:t>Reverse marketing encourages providers to actively market job seekers to potential employers where vacancies have not been advertised, and to refer and place job seekers into those jobs. Reverse marketing provides a mechanism to stimulate demand for labour by pre-empting employers’ labour needs before they create a vacancy.</w:t>
      </w:r>
    </w:p>
  </w:footnote>
  <w:footnote w:id="80">
    <w:p w14:paraId="1336D1E6" w14:textId="588DEA82" w:rsidR="00F93877" w:rsidRDefault="00F93877">
      <w:pPr>
        <w:pStyle w:val="FootnoteText"/>
      </w:pPr>
      <w:r w:rsidRPr="00C23E82">
        <w:footnoteRef/>
      </w:r>
      <w:r>
        <w:t xml:space="preserve"> </w:t>
      </w:r>
      <w:r>
        <w:tab/>
      </w:r>
      <w:r w:rsidRPr="000D3FD6">
        <w:t>Post</w:t>
      </w:r>
      <w:r>
        <w:t>-</w:t>
      </w:r>
      <w:r w:rsidRPr="000D3FD6">
        <w:t xml:space="preserve">placement support </w:t>
      </w:r>
      <w:r>
        <w:t xml:space="preserve">is designed to </w:t>
      </w:r>
      <w:r w:rsidRPr="000D3FD6">
        <w:t xml:space="preserve">support job seekers </w:t>
      </w:r>
      <w:r>
        <w:t xml:space="preserve">by </w:t>
      </w:r>
      <w:r w:rsidRPr="000D3FD6">
        <w:t>address</w:t>
      </w:r>
      <w:r>
        <w:t>ing</w:t>
      </w:r>
      <w:r w:rsidRPr="000D3FD6">
        <w:t xml:space="preserve"> issues likely to impact the </w:t>
      </w:r>
      <w:r>
        <w:t>sustainability of an</w:t>
      </w:r>
      <w:r w:rsidRPr="000D3FD6">
        <w:t xml:space="preserve"> employment or education/training placement</w:t>
      </w:r>
      <w:r>
        <w:t>.</w:t>
      </w:r>
    </w:p>
  </w:footnote>
  <w:footnote w:id="81">
    <w:p w14:paraId="391F2E6F" w14:textId="77777777" w:rsidR="00F93877" w:rsidRDefault="00F93877" w:rsidP="001C5622">
      <w:pPr>
        <w:pStyle w:val="FootnoteText"/>
      </w:pPr>
      <w:r w:rsidRPr="0030062B">
        <w:rPr>
          <w:rStyle w:val="FootnoteReference"/>
          <w:vertAlign w:val="baseline"/>
        </w:rPr>
        <w:footnoteRef/>
      </w:r>
      <w:r>
        <w:t xml:space="preserve"> </w:t>
      </w:r>
      <w:r>
        <w:tab/>
      </w:r>
      <w:r>
        <w:rPr>
          <w:szCs w:val="18"/>
        </w:rPr>
        <w:t xml:space="preserve">Australian Chamber of Commerce and Industry, </w:t>
      </w:r>
      <w:r w:rsidRPr="00FC3546">
        <w:rPr>
          <w:szCs w:val="18"/>
        </w:rPr>
        <w:t>2013</w:t>
      </w:r>
      <w:r>
        <w:rPr>
          <w:szCs w:val="18"/>
        </w:rPr>
        <w:t>.</w:t>
      </w:r>
      <w:r w:rsidRPr="00FC3546">
        <w:rPr>
          <w:szCs w:val="18"/>
        </w:rPr>
        <w:t xml:space="preserve"> </w:t>
      </w:r>
      <w:r w:rsidRPr="00D83C44">
        <w:rPr>
          <w:i/>
          <w:szCs w:val="18"/>
        </w:rPr>
        <w:t>Submission to the Department of Education, Employment and Workplace Relations regarding the ‘Employment services: building on success’ issues paper</w:t>
      </w:r>
      <w:r w:rsidRPr="00FC3546">
        <w:rPr>
          <w:szCs w:val="18"/>
        </w:rPr>
        <w:t xml:space="preserve">, March, </w:t>
      </w:r>
      <w:r>
        <w:rPr>
          <w:szCs w:val="18"/>
        </w:rPr>
        <w:t>2013</w:t>
      </w:r>
      <w:r w:rsidRPr="00FC3546">
        <w:rPr>
          <w:szCs w:val="18"/>
        </w:rPr>
        <w:t>.</w:t>
      </w:r>
    </w:p>
  </w:footnote>
  <w:footnote w:id="82">
    <w:p w14:paraId="7C4535E8" w14:textId="4AC45674" w:rsidR="00F93877" w:rsidRDefault="00F93877" w:rsidP="001B7EF3">
      <w:pPr>
        <w:pStyle w:val="FootnoteText"/>
      </w:pPr>
      <w:r w:rsidRPr="005C0A80">
        <w:rPr>
          <w:rStyle w:val="FootnoteReference"/>
          <w:vertAlign w:val="baseline"/>
        </w:rPr>
        <w:footnoteRef/>
      </w:r>
      <w:r>
        <w:t xml:space="preserve"> </w:t>
      </w:r>
      <w:r>
        <w:tab/>
        <w:t>Department of Employment,</w:t>
      </w:r>
      <w:r w:rsidRPr="005C0A80">
        <w:t xml:space="preserve"> 201</w:t>
      </w:r>
      <w:r>
        <w:t xml:space="preserve">4-15 </w:t>
      </w:r>
      <w:r w:rsidRPr="005C0A80">
        <w:t>Survey of Employers</w:t>
      </w:r>
      <w:r>
        <w:t>.</w:t>
      </w:r>
    </w:p>
  </w:footnote>
  <w:footnote w:id="83">
    <w:p w14:paraId="51375DF8" w14:textId="5A056980" w:rsidR="00F93877" w:rsidRDefault="00F93877">
      <w:pPr>
        <w:pStyle w:val="FootnoteText"/>
      </w:pPr>
      <w:r w:rsidRPr="00FD5414">
        <w:rPr>
          <w:rStyle w:val="FootnoteReference"/>
          <w:vertAlign w:val="baseline"/>
        </w:rPr>
        <w:footnoteRef/>
      </w:r>
      <w:r>
        <w:t xml:space="preserve"> </w:t>
      </w:r>
      <w:r>
        <w:tab/>
        <w:t>Question is – ‘</w:t>
      </w:r>
      <w:r w:rsidRPr="00EA3E09">
        <w:rPr>
          <w:rFonts w:cs="Calibri"/>
          <w:bCs/>
        </w:rPr>
        <w:t>Before today, were you aware that there are government</w:t>
      </w:r>
      <w:r>
        <w:rPr>
          <w:rFonts w:cs="Calibri"/>
          <w:bCs/>
        </w:rPr>
        <w:t>-</w:t>
      </w:r>
      <w:r w:rsidRPr="00EA3E09">
        <w:rPr>
          <w:rFonts w:cs="Calibri"/>
          <w:bCs/>
        </w:rPr>
        <w:t xml:space="preserve">funded employment </w:t>
      </w:r>
      <w:r>
        <w:rPr>
          <w:rFonts w:cs="Calibri"/>
          <w:bCs/>
        </w:rPr>
        <w:t>services</w:t>
      </w:r>
      <w:r w:rsidRPr="00EA3E09">
        <w:rPr>
          <w:rFonts w:cs="Calibri"/>
          <w:bCs/>
        </w:rPr>
        <w:t xml:space="preserve"> that support unemployed job seekers and provide </w:t>
      </w:r>
      <w:r w:rsidRPr="00081378">
        <w:rPr>
          <w:rFonts w:cs="Calibri"/>
          <w:b/>
          <w:bCs/>
        </w:rPr>
        <w:t>FREE</w:t>
      </w:r>
      <w:r w:rsidRPr="00EA3E09">
        <w:rPr>
          <w:rFonts w:cs="Calibri"/>
          <w:bCs/>
        </w:rPr>
        <w:t xml:space="preserve"> recruitment services to employers?</w:t>
      </w:r>
      <w:r>
        <w:rPr>
          <w:rFonts w:cs="Calibri"/>
          <w:bCs/>
        </w:rPr>
        <w:t>’</w:t>
      </w:r>
    </w:p>
  </w:footnote>
  <w:footnote w:id="84">
    <w:p w14:paraId="06320078" w14:textId="77777777" w:rsidR="00F93877" w:rsidRDefault="00F93877" w:rsidP="001C5622">
      <w:pPr>
        <w:pStyle w:val="FootnoteText"/>
      </w:pPr>
      <w:r w:rsidRPr="00DB3C33">
        <w:rPr>
          <w:rStyle w:val="FootnoteReference"/>
          <w:vertAlign w:val="baseline"/>
        </w:rPr>
        <w:footnoteRef/>
      </w:r>
      <w:r>
        <w:t xml:space="preserve"> </w:t>
      </w:r>
      <w:r>
        <w:tab/>
        <w:t xml:space="preserve">Department of Employment, 2014-15. Survey of Employers. </w:t>
      </w:r>
    </w:p>
  </w:footnote>
  <w:footnote w:id="85">
    <w:p w14:paraId="4748A062" w14:textId="77777777" w:rsidR="00F93877" w:rsidRDefault="00F93877" w:rsidP="00092C8A">
      <w:pPr>
        <w:pStyle w:val="FootnoteText"/>
      </w:pPr>
      <w:r w:rsidRPr="00C23E82">
        <w:rPr>
          <w:rStyle w:val="FootnotetextChar0"/>
          <w:rFonts w:eastAsiaTheme="minorEastAsia"/>
          <w:szCs w:val="18"/>
        </w:rPr>
        <w:footnoteRef/>
      </w:r>
      <w:r w:rsidRPr="00C23E82">
        <w:rPr>
          <w:rStyle w:val="FootnotetextChar0"/>
          <w:rFonts w:eastAsiaTheme="minorEastAsia"/>
          <w:szCs w:val="18"/>
        </w:rPr>
        <w:t xml:space="preserve"> </w:t>
      </w:r>
      <w:r>
        <w:tab/>
        <w:t xml:space="preserve">The type, intensity and effectiveness of services provided may have declined under JSA 2012, though this cannot be determined from the data items in the Survey of Employers. </w:t>
      </w:r>
    </w:p>
  </w:footnote>
  <w:footnote w:id="86">
    <w:p w14:paraId="483DB08F" w14:textId="77777777" w:rsidR="00F93877" w:rsidRPr="00B4512A" w:rsidRDefault="00F93877" w:rsidP="00B4512A">
      <w:pPr>
        <w:pStyle w:val="FootnoteText"/>
      </w:pPr>
      <w:r w:rsidRPr="00B4512A">
        <w:rPr>
          <w:rStyle w:val="FootnoteReference"/>
          <w:vertAlign w:val="baseline"/>
        </w:rPr>
        <w:footnoteRef/>
      </w:r>
      <w:r w:rsidRPr="00B4512A">
        <w:t xml:space="preserve"> </w:t>
      </w:r>
      <w:r w:rsidRPr="00B4512A">
        <w:tab/>
        <w:t>Specialist services were for the homeless, youth, people with disability, Indigenous job seekers, people from Culturally and Linguistically Diverse (CALD) backgrounds, and ex-offenders, among others</w:t>
      </w:r>
      <w:r>
        <w:t>.</w:t>
      </w:r>
    </w:p>
  </w:footnote>
  <w:footnote w:id="87">
    <w:p w14:paraId="01AB3971" w14:textId="77777777" w:rsidR="00F93877" w:rsidRPr="004251C8" w:rsidRDefault="00F93877" w:rsidP="004351A7">
      <w:pPr>
        <w:pStyle w:val="FootnoteText"/>
      </w:pPr>
      <w:r w:rsidRPr="005D2337">
        <w:rPr>
          <w:rStyle w:val="FootnoteReference"/>
          <w:vertAlign w:val="baseline"/>
        </w:rPr>
        <w:footnoteRef/>
      </w:r>
      <w:r w:rsidRPr="004251C8">
        <w:t xml:space="preserve"> </w:t>
      </w:r>
      <w:r w:rsidRPr="004251C8">
        <w:tab/>
      </w:r>
      <w:r>
        <w:t xml:space="preserve">The payment structure allowed for </w:t>
      </w:r>
      <w:r w:rsidRPr="004251C8">
        <w:t xml:space="preserve">both high service fees and </w:t>
      </w:r>
      <w:r>
        <w:t xml:space="preserve">high </w:t>
      </w:r>
      <w:r w:rsidRPr="004251C8">
        <w:t xml:space="preserve">outcome fees during the first 12 months of </w:t>
      </w:r>
      <w:r>
        <w:t>service.</w:t>
      </w:r>
    </w:p>
  </w:footnote>
  <w:footnote w:id="88">
    <w:p w14:paraId="20C74F36" w14:textId="77777777" w:rsidR="00F93877" w:rsidRPr="004351A7" w:rsidRDefault="00F93877" w:rsidP="00A91CD1">
      <w:pPr>
        <w:pStyle w:val="FootnoteText"/>
      </w:pPr>
      <w:r w:rsidRPr="004D74CE">
        <w:rPr>
          <w:rStyle w:val="FootnoteReference"/>
          <w:vertAlign w:val="baseline"/>
        </w:rPr>
        <w:footnoteRef/>
      </w:r>
      <w:r w:rsidRPr="00A12E8A">
        <w:rPr>
          <w:rStyle w:val="FootnoteReference"/>
          <w:vertAlign w:val="baseline"/>
        </w:rPr>
        <w:t xml:space="preserve"> </w:t>
      </w:r>
      <w:r w:rsidRPr="004351A7">
        <w:tab/>
      </w:r>
      <w:r>
        <w:t xml:space="preserve">Placement fees were paid </w:t>
      </w:r>
      <w:r w:rsidRPr="004351A7">
        <w:t>for placing job seekers in education or employment</w:t>
      </w:r>
      <w:r>
        <w:t>.</w:t>
      </w:r>
    </w:p>
  </w:footnote>
  <w:footnote w:id="89">
    <w:p w14:paraId="19369613" w14:textId="77777777" w:rsidR="00F93877" w:rsidRPr="005311B5" w:rsidRDefault="00F93877" w:rsidP="005311B5">
      <w:pPr>
        <w:pStyle w:val="FootnoteText"/>
      </w:pPr>
      <w:r w:rsidRPr="00D83C44">
        <w:rPr>
          <w:rStyle w:val="FootnoteReference"/>
          <w:vertAlign w:val="baseline"/>
        </w:rPr>
        <w:footnoteRef/>
      </w:r>
      <w:r w:rsidRPr="005311B5">
        <w:t xml:space="preserve"> </w:t>
      </w:r>
      <w:r>
        <w:tab/>
      </w:r>
      <w:r w:rsidRPr="0002446C">
        <w:t>Job seekers in remote regions attracted service fees with a loading of 1.7</w:t>
      </w:r>
      <w:r w:rsidRPr="00A8479A">
        <w:t xml:space="preserve"> times (JSA 2009-12 Request for Tender).</w:t>
      </w:r>
    </w:p>
  </w:footnote>
  <w:footnote w:id="90">
    <w:p w14:paraId="5E281E02" w14:textId="77777777" w:rsidR="00F93877" w:rsidRDefault="00F93877" w:rsidP="006828AA">
      <w:pPr>
        <w:pStyle w:val="CommentText"/>
        <w:tabs>
          <w:tab w:val="left" w:pos="426"/>
        </w:tabs>
      </w:pPr>
      <w:r w:rsidRPr="006828AA">
        <w:rPr>
          <w:rStyle w:val="FootnoteTextChar"/>
        </w:rPr>
        <w:footnoteRef/>
      </w:r>
      <w:r w:rsidRPr="006828AA">
        <w:rPr>
          <w:rStyle w:val="FootnoteTextChar"/>
        </w:rPr>
        <w:t xml:space="preserve"> </w:t>
      </w:r>
      <w:r>
        <w:tab/>
      </w:r>
      <w:r w:rsidRPr="00C02EE9">
        <w:rPr>
          <w:sz w:val="18"/>
        </w:rPr>
        <w:t>This is compounded by inflation further eroding provider payments, not accounted for in the analysis.</w:t>
      </w:r>
    </w:p>
    <w:p w14:paraId="44141B07" w14:textId="77777777" w:rsidR="00F93877" w:rsidRDefault="00F93877">
      <w:pPr>
        <w:pStyle w:val="FootnoteText"/>
      </w:pPr>
    </w:p>
  </w:footnote>
  <w:footnote w:id="91">
    <w:p w14:paraId="525DAF63" w14:textId="77777777" w:rsidR="00F93877" w:rsidRPr="001000D1" w:rsidRDefault="00F93877" w:rsidP="001000D1">
      <w:pPr>
        <w:pStyle w:val="FootnoteText"/>
      </w:pPr>
      <w:r w:rsidRPr="005D2337">
        <w:rPr>
          <w:rStyle w:val="FootnoteReference"/>
          <w:vertAlign w:val="baseline"/>
        </w:rPr>
        <w:footnoteRef/>
      </w:r>
      <w:r w:rsidRPr="001000D1">
        <w:t xml:space="preserve"> </w:t>
      </w:r>
      <w:r w:rsidRPr="001000D1">
        <w:tab/>
        <w:t xml:space="preserve">Percentages </w:t>
      </w:r>
      <w:r>
        <w:t xml:space="preserve">used </w:t>
      </w:r>
      <w:r w:rsidRPr="001000D1">
        <w:t xml:space="preserve">in this section are percentages of the </w:t>
      </w:r>
      <w:r w:rsidRPr="00B140F2">
        <w:rPr>
          <w:u w:val="single"/>
        </w:rPr>
        <w:t>total EPF expenditure</w:t>
      </w:r>
      <w:r w:rsidRPr="001000D1">
        <w:t xml:space="preserve"> for the </w:t>
      </w:r>
      <w:r>
        <w:t>two JSA contracts</w:t>
      </w:r>
      <w:r w:rsidRPr="001000D1">
        <w:t>.</w:t>
      </w:r>
    </w:p>
  </w:footnote>
  <w:footnote w:id="92">
    <w:p w14:paraId="6F1E4C9E" w14:textId="77777777" w:rsidR="00F93877" w:rsidRDefault="00F93877" w:rsidP="00AC0044">
      <w:pPr>
        <w:pStyle w:val="FootnoteText"/>
      </w:pPr>
      <w:r w:rsidRPr="00317C07">
        <w:rPr>
          <w:rStyle w:val="FootnotetextChar0"/>
          <w:rFonts w:eastAsiaTheme="minorEastAsia"/>
        </w:rPr>
        <w:footnoteRef/>
      </w:r>
      <w:r>
        <w:t xml:space="preserve"> </w:t>
      </w:r>
      <w:r>
        <w:tab/>
        <w:t xml:space="preserve">See section 9.2.1 for more information regarding these changes. </w:t>
      </w:r>
    </w:p>
  </w:footnote>
  <w:footnote w:id="93">
    <w:p w14:paraId="786E3990" w14:textId="77777777" w:rsidR="00F93877" w:rsidRPr="008159BB" w:rsidRDefault="00F93877" w:rsidP="008159BB">
      <w:pPr>
        <w:pStyle w:val="FootnoteText"/>
      </w:pPr>
      <w:r w:rsidRPr="005D2337">
        <w:rPr>
          <w:rStyle w:val="FootnoteReference"/>
          <w:vertAlign w:val="baseline"/>
        </w:rPr>
        <w:footnoteRef/>
      </w:r>
      <w:r w:rsidRPr="008159BB">
        <w:t xml:space="preserve"> </w:t>
      </w:r>
      <w:r w:rsidRPr="008159BB">
        <w:tab/>
        <w:t>As measured at two snapshot dates: 31 March 2010 for JSA 2009 and 31 March 2013 for JSA 2012.</w:t>
      </w:r>
    </w:p>
  </w:footnote>
  <w:footnote w:id="94">
    <w:p w14:paraId="37A3465E" w14:textId="77777777" w:rsidR="00F93877" w:rsidRDefault="00F93877" w:rsidP="007051A7">
      <w:pPr>
        <w:pStyle w:val="FootnoteText"/>
      </w:pPr>
      <w:r w:rsidRPr="00B140F2">
        <w:footnoteRef/>
      </w:r>
      <w:r w:rsidRPr="00D17E66">
        <w:t xml:space="preserve"> </w:t>
      </w:r>
      <w:r>
        <w:tab/>
      </w:r>
      <w:r w:rsidRPr="00D17E66">
        <w:t xml:space="preserve">Sites </w:t>
      </w:r>
      <w:r>
        <w:t xml:space="preserve">with a </w:t>
      </w:r>
      <w:r w:rsidRPr="00D17E66">
        <w:t xml:space="preserve">3 or </w:t>
      </w:r>
      <w:r>
        <w:t>higher</w:t>
      </w:r>
      <w:r w:rsidRPr="00D17E66">
        <w:t xml:space="preserve"> Star Rating were exempt from </w:t>
      </w:r>
      <w:r>
        <w:t>automatic</w:t>
      </w:r>
      <w:r w:rsidRPr="00D82082">
        <w:t xml:space="preserve"> </w:t>
      </w:r>
      <w:r w:rsidRPr="00D17E66">
        <w:t>performance management</w:t>
      </w:r>
      <w:r>
        <w:t xml:space="preserve"> and </w:t>
      </w:r>
      <w:r w:rsidRPr="00D17E66">
        <w:t>business reallocation (precluding any other performance or compliance issues</w:t>
      </w:r>
      <w:r>
        <w:t>).</w:t>
      </w:r>
    </w:p>
  </w:footnote>
  <w:footnote w:id="95">
    <w:p w14:paraId="0DCF6423" w14:textId="77777777" w:rsidR="00F93877" w:rsidRPr="0003041D" w:rsidRDefault="00F93877" w:rsidP="006828AA">
      <w:pPr>
        <w:pStyle w:val="bullet"/>
        <w:numPr>
          <w:ilvl w:val="0"/>
          <w:numId w:val="0"/>
        </w:numPr>
        <w:tabs>
          <w:tab w:val="left" w:pos="426"/>
          <w:tab w:val="left" w:pos="709"/>
        </w:tabs>
        <w:ind w:left="426" w:hanging="426"/>
        <w:rPr>
          <w:rFonts w:cstheme="minorBidi"/>
          <w:color w:val="auto"/>
          <w:sz w:val="18"/>
          <w:szCs w:val="20"/>
          <w:lang w:val="en-AU"/>
        </w:rPr>
      </w:pPr>
      <w:r w:rsidRPr="00D83C44">
        <w:rPr>
          <w:rStyle w:val="FootnoteTextChar"/>
        </w:rPr>
        <w:footnoteRef/>
      </w:r>
      <w:r w:rsidRPr="00D83C44">
        <w:rPr>
          <w:rStyle w:val="FootnoteTextChar"/>
        </w:rPr>
        <w:t xml:space="preserve"> </w:t>
      </w:r>
      <w:r>
        <w:rPr>
          <w:rStyle w:val="FootnoteTextChar"/>
        </w:rPr>
        <w:tab/>
      </w:r>
      <w:r w:rsidRPr="00D83C44">
        <w:rPr>
          <w:rStyle w:val="FootnoteTextChar"/>
        </w:rPr>
        <w:t>Preliminary estimates of red tape costs and feedback from providers shows that under jobactive red tape has been reduced further</w:t>
      </w:r>
      <w:r>
        <w:rPr>
          <w:rFonts w:cstheme="minorBidi"/>
          <w:color w:val="auto"/>
          <w:sz w:val="18"/>
          <w:szCs w:val="20"/>
          <w:lang w:val="en-AU"/>
        </w:rPr>
        <w:t>.</w:t>
      </w:r>
      <w:r w:rsidRPr="0003041D">
        <w:rPr>
          <w:rFonts w:cstheme="minorBidi"/>
          <w:color w:val="auto"/>
          <w:sz w:val="18"/>
          <w:szCs w:val="20"/>
          <w:lang w:val="en-AU"/>
        </w:rPr>
        <w:t xml:space="preserve"> </w:t>
      </w:r>
    </w:p>
    <w:p w14:paraId="684139FA" w14:textId="77777777" w:rsidR="00F93877" w:rsidRDefault="00F93877" w:rsidP="0061122B">
      <w:pPr>
        <w:pStyle w:val="FootnoteText"/>
      </w:pPr>
    </w:p>
  </w:footnote>
  <w:footnote w:id="96">
    <w:p w14:paraId="295A0C8E" w14:textId="77777777" w:rsidR="00F93877" w:rsidRPr="005311B5" w:rsidRDefault="00F93877" w:rsidP="00B12353">
      <w:pPr>
        <w:pStyle w:val="FootnoteText"/>
      </w:pPr>
      <w:r w:rsidRPr="00D83C44">
        <w:rPr>
          <w:rStyle w:val="FootnoteReference"/>
          <w:vertAlign w:val="baseline"/>
        </w:rPr>
        <w:footnoteRef/>
      </w:r>
      <w:r w:rsidRPr="005311B5">
        <w:t xml:space="preserve"> </w:t>
      </w:r>
      <w:r>
        <w:tab/>
        <w:t>Job seekers in remote regions attracted service fees with a loading of 1.7 times (</w:t>
      </w:r>
      <w:r w:rsidRPr="005311B5">
        <w:t xml:space="preserve">JSA 2009-12 </w:t>
      </w:r>
      <w:r>
        <w:t xml:space="preserve">Request for Tender).  </w:t>
      </w:r>
    </w:p>
  </w:footnote>
  <w:footnote w:id="97">
    <w:p w14:paraId="7EA06A2A" w14:textId="77777777" w:rsidR="00F93877" w:rsidRPr="005402F0" w:rsidRDefault="00F93877" w:rsidP="008C4FD8">
      <w:pPr>
        <w:pStyle w:val="FootnoteText"/>
        <w:rPr>
          <w:rStyle w:val="FootnoteReference"/>
          <w:szCs w:val="18"/>
          <w:vertAlign w:val="baseline"/>
        </w:rPr>
      </w:pPr>
      <w:r w:rsidRPr="005402F0">
        <w:rPr>
          <w:rStyle w:val="FootnoteReference"/>
          <w:vertAlign w:val="baseline"/>
        </w:rPr>
        <w:footnoteRef/>
      </w:r>
      <w:r w:rsidRPr="005402F0">
        <w:t xml:space="preserve"> </w:t>
      </w:r>
      <w:r>
        <w:tab/>
      </w:r>
      <w:r w:rsidRPr="005402F0">
        <w:rPr>
          <w:rStyle w:val="FootnoteReference"/>
          <w:szCs w:val="18"/>
          <w:vertAlign w:val="baseline"/>
        </w:rPr>
        <w:t xml:space="preserve">A </w:t>
      </w:r>
      <w:r>
        <w:rPr>
          <w:szCs w:val="18"/>
        </w:rPr>
        <w:t>n</w:t>
      </w:r>
      <w:r w:rsidRPr="005402F0">
        <w:rPr>
          <w:rStyle w:val="FootnoteReference"/>
          <w:szCs w:val="18"/>
          <w:vertAlign w:val="baseline"/>
        </w:rPr>
        <w:t>et impact study involves comparing a group of participants in a programme (treatment group) with a group which is similar, but did not participate in the programme (control group) in order to quantify the overall benefit of the programme.</w:t>
      </w:r>
    </w:p>
  </w:footnote>
  <w:footnote w:id="98">
    <w:p w14:paraId="6B15D181" w14:textId="77777777" w:rsidR="00F93877" w:rsidRPr="005402F0" w:rsidRDefault="00F93877" w:rsidP="008C4FD8">
      <w:pPr>
        <w:pStyle w:val="FootnoteText"/>
        <w:rPr>
          <w:rStyle w:val="FootnoteReference"/>
          <w:szCs w:val="18"/>
          <w:vertAlign w:val="baseline"/>
        </w:rPr>
      </w:pPr>
      <w:r w:rsidRPr="005402F0">
        <w:rPr>
          <w:rStyle w:val="FootnoteReference"/>
          <w:szCs w:val="18"/>
          <w:vertAlign w:val="baseline"/>
        </w:rPr>
        <w:footnoteRef/>
      </w:r>
      <w:r w:rsidRPr="005402F0">
        <w:rPr>
          <w:rStyle w:val="FootnoteReference"/>
          <w:szCs w:val="18"/>
          <w:vertAlign w:val="baseline"/>
        </w:rPr>
        <w:t xml:space="preserve"> </w:t>
      </w:r>
      <w:r w:rsidRPr="005402F0">
        <w:rPr>
          <w:szCs w:val="18"/>
        </w:rPr>
        <w:tab/>
      </w:r>
      <w:r w:rsidRPr="005402F0">
        <w:rPr>
          <w:rStyle w:val="FootnoteReference"/>
          <w:szCs w:val="18"/>
          <w:vertAlign w:val="baseline"/>
        </w:rPr>
        <w:t>A ‘control group’ is a group of participants in a similar circumstance not impacted by the programme being evaluated.</w:t>
      </w:r>
    </w:p>
  </w:footnote>
  <w:footnote w:id="99">
    <w:p w14:paraId="3F1332A1" w14:textId="77777777" w:rsidR="00F93877" w:rsidRDefault="00F93877" w:rsidP="008C4FD8">
      <w:pPr>
        <w:pStyle w:val="FootnoteText"/>
      </w:pPr>
      <w:r w:rsidRPr="005402F0">
        <w:rPr>
          <w:rStyle w:val="FootnoteReference"/>
          <w:vertAlign w:val="baseline"/>
        </w:rPr>
        <w:footnoteRef/>
      </w:r>
      <w:r w:rsidRPr="005402F0">
        <w:t xml:space="preserve"> </w:t>
      </w:r>
      <w:r>
        <w:tab/>
      </w:r>
      <w:r w:rsidRPr="00CD7613">
        <w:t xml:space="preserve">Department of Employment, </w:t>
      </w:r>
      <w:r>
        <w:t xml:space="preserve">2016. </w:t>
      </w:r>
      <w:r w:rsidRPr="00CD7613">
        <w:t xml:space="preserve">Evaluation </w:t>
      </w:r>
      <w:r>
        <w:t>of Job Servi</w:t>
      </w:r>
      <w:r w:rsidRPr="00CD7613">
        <w:t xml:space="preserve">ces Australia </w:t>
      </w:r>
      <w:r>
        <w:t xml:space="preserve">2009 – </w:t>
      </w:r>
      <w:r w:rsidRPr="00CD7613">
        <w:t>2012, Canberra</w:t>
      </w:r>
      <w:r w:rsidRPr="00EC302D">
        <w:t>.</w:t>
      </w:r>
    </w:p>
  </w:footnote>
  <w:footnote w:id="100">
    <w:p w14:paraId="5E8A3290" w14:textId="72854F78" w:rsidR="00F93877" w:rsidRDefault="00F93877" w:rsidP="00651B53">
      <w:pPr>
        <w:pStyle w:val="FootnoteText"/>
        <w:tabs>
          <w:tab w:val="clear" w:pos="454"/>
          <w:tab w:val="left" w:pos="142"/>
        </w:tabs>
        <w:ind w:left="284" w:hanging="284"/>
      </w:pPr>
      <w:r w:rsidRPr="008A3E42">
        <w:rPr>
          <w:rStyle w:val="FootnoteReference"/>
          <w:vertAlign w:val="baseline"/>
        </w:rPr>
        <w:footnoteRef/>
      </w:r>
      <w:r w:rsidRPr="0040043C">
        <w:rPr>
          <w:rStyle w:val="FootnoteReference"/>
          <w:vertAlign w:val="baseline"/>
        </w:rPr>
        <w:t xml:space="preserve"> </w:t>
      </w:r>
      <w:r>
        <w:tab/>
        <w:t xml:space="preserve">The Remote Jobs and Communities Programme (RJCP) replaced by the Community Development Programme (CDP). </w:t>
      </w:r>
    </w:p>
  </w:footnote>
  <w:footnote w:id="101">
    <w:p w14:paraId="76C2A39D" w14:textId="2142CE96" w:rsidR="00F93877" w:rsidRDefault="00F93877" w:rsidP="00A21FFE">
      <w:pPr>
        <w:pStyle w:val="FootnoteText"/>
        <w:tabs>
          <w:tab w:val="clear" w:pos="454"/>
          <w:tab w:val="left" w:pos="142"/>
        </w:tabs>
        <w:ind w:left="284" w:hanging="284"/>
      </w:pPr>
      <w:r w:rsidRPr="00D715CA">
        <w:rPr>
          <w:rStyle w:val="FootnoteReference"/>
          <w:vertAlign w:val="baseline"/>
        </w:rPr>
        <w:footnoteRef/>
      </w:r>
      <w:r w:rsidRPr="00D715CA">
        <w:rPr>
          <w:rStyle w:val="FootnoteReference"/>
          <w:vertAlign w:val="baseline"/>
        </w:rPr>
        <w:t xml:space="preserve"> </w:t>
      </w:r>
      <w:r>
        <w:tab/>
        <w:t xml:space="preserve">The Remote Jobs and Communities Programme (RJCP) replaced by the Community Development Programme (CDP).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66D6" w14:textId="77777777" w:rsidR="00F93877" w:rsidRDefault="00F93877" w:rsidP="00E34477">
    <w:pPr>
      <w:pStyle w:val="Header"/>
    </w:pPr>
    <w:r>
      <w:rPr>
        <w:noProof/>
        <w:lang w:eastAsia="en-AU"/>
      </w:rPr>
      <mc:AlternateContent>
        <mc:Choice Requires="wps">
          <w:drawing>
            <wp:anchor distT="0" distB="0" distL="114300" distR="114300" simplePos="0" relativeHeight="251658242" behindDoc="1" locked="0" layoutInCell="0" allowOverlap="1" wp14:anchorId="174A457A" wp14:editId="1758053B">
              <wp:simplePos x="0" y="0"/>
              <wp:positionH relativeFrom="margin">
                <wp:align>center</wp:align>
              </wp:positionH>
              <wp:positionV relativeFrom="margin">
                <wp:align>center</wp:align>
              </wp:positionV>
              <wp:extent cx="5050155" cy="3030220"/>
              <wp:effectExtent l="0" t="1104900" r="0" b="636905"/>
              <wp:wrapNone/>
              <wp:docPr id="1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117D7"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4A457A" id="_x0000_t202" coordsize="21600,21600" o:spt="202" path="m,l,21600r21600,l21600,xe">
              <v:stroke joinstyle="miter"/>
              <v:path gradientshapeok="t" o:connecttype="rect"/>
            </v:shapetype>
            <v:shape id="WordArt 4" o:spid="_x0000_s1026" type="#_x0000_t202" style="position:absolute;margin-left:0;margin-top:0;width:397.65pt;height:238.6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" o:allowincell="f" filled="f" stroked="f">
              <v:stroke joinstyle="round"/>
              <o:lock v:ext="edit" shapetype="t"/>
              <v:textbox style="mso-fit-shape-to-text:t">
                <w:txbxContent>
                  <w:p w14:paraId="6F2117D7"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5F77D" w14:textId="77777777" w:rsidR="00F93877" w:rsidRDefault="00F93877" w:rsidP="00E34477">
    <w:pPr>
      <w:pStyle w:val="Header"/>
    </w:pPr>
    <w:r>
      <w:rPr>
        <w:noProof/>
        <w:lang w:eastAsia="en-AU"/>
      </w:rPr>
      <mc:AlternateContent>
        <mc:Choice Requires="wps">
          <w:drawing>
            <wp:anchor distT="0" distB="0" distL="114300" distR="114300" simplePos="0" relativeHeight="251658243" behindDoc="1" locked="0" layoutInCell="0" allowOverlap="1" wp14:anchorId="26CD6CD8" wp14:editId="31D56E17">
              <wp:simplePos x="0" y="0"/>
              <wp:positionH relativeFrom="margin">
                <wp:align>center</wp:align>
              </wp:positionH>
              <wp:positionV relativeFrom="margin">
                <wp:align>center</wp:align>
              </wp:positionV>
              <wp:extent cx="5050155" cy="3030220"/>
              <wp:effectExtent l="0" t="1104900" r="0" b="636905"/>
              <wp:wrapNone/>
              <wp:docPr id="1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1590A"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CD6CD8" id="_x0000_t202" coordsize="21600,21600" o:spt="202" path="m,l,21600r21600,l21600,xe">
              <v:stroke joinstyle="miter"/>
              <v:path gradientshapeok="t" o:connecttype="rect"/>
            </v:shapetype>
            <v:shape id="WordArt 6" o:spid="_x0000_s1027" type="#_x0000_t202" style="position:absolute;margin-left:0;margin-top:0;width:397.65pt;height:238.6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" o:allowincell="f" filled="f" stroked="f">
              <v:stroke joinstyle="round"/>
              <o:lock v:ext="edit" shapetype="t"/>
              <v:textbox style="mso-fit-shape-to-text:t">
                <w:txbxContent>
                  <w:p w14:paraId="0531590A"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59669" w14:textId="77777777" w:rsidR="00F93877" w:rsidRDefault="00F93877" w:rsidP="00E34477">
    <w:pPr>
      <w:pStyle w:val="Header"/>
    </w:pPr>
    <w:r>
      <w:rPr>
        <w:noProof/>
        <w:lang w:eastAsia="en-AU"/>
      </w:rPr>
      <mc:AlternateContent>
        <mc:Choice Requires="wps">
          <w:drawing>
            <wp:anchor distT="0" distB="0" distL="114300" distR="114300" simplePos="0" relativeHeight="251658244" behindDoc="1" locked="0" layoutInCell="0" allowOverlap="1" wp14:anchorId="63ED371A" wp14:editId="1E67DCFA">
              <wp:simplePos x="0" y="0"/>
              <wp:positionH relativeFrom="margin">
                <wp:align>center</wp:align>
              </wp:positionH>
              <wp:positionV relativeFrom="margin">
                <wp:align>center</wp:align>
              </wp:positionV>
              <wp:extent cx="5050155" cy="3030220"/>
              <wp:effectExtent l="0" t="1104900" r="0" b="636905"/>
              <wp:wrapNone/>
              <wp:docPr id="17"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4B16D5"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ED371A" id="_x0000_t202" coordsize="21600,21600" o:spt="202" path="m,l,21600r21600,l21600,xe">
              <v:stroke joinstyle="miter"/>
              <v:path gradientshapeok="t" o:connecttype="rect"/>
            </v:shapetype>
            <v:shape id="WordArt 7" o:spid="_x0000_s1028" type="#_x0000_t202" style="position:absolute;margin-left:0;margin-top:0;width:397.65pt;height:238.6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psgTUYsCAAAE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734B16D5"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6C9B" w14:textId="77777777" w:rsidR="00F93877" w:rsidRDefault="00F93877" w:rsidP="00E34477">
    <w:pPr>
      <w:pStyle w:val="Header"/>
    </w:pPr>
    <w:r>
      <w:rPr>
        <w:noProof/>
        <w:lang w:eastAsia="en-AU"/>
      </w:rPr>
      <mc:AlternateContent>
        <mc:Choice Requires="wps">
          <w:drawing>
            <wp:anchor distT="0" distB="0" distL="114300" distR="114300" simplePos="0" relativeHeight="251658245" behindDoc="1" locked="0" layoutInCell="0" allowOverlap="1" wp14:anchorId="11953851" wp14:editId="249E3892">
              <wp:simplePos x="0" y="0"/>
              <wp:positionH relativeFrom="margin">
                <wp:align>center</wp:align>
              </wp:positionH>
              <wp:positionV relativeFrom="margin">
                <wp:align>center</wp:align>
              </wp:positionV>
              <wp:extent cx="5050155" cy="3030220"/>
              <wp:effectExtent l="0" t="1104900" r="0" b="636905"/>
              <wp:wrapNone/>
              <wp:docPr id="16"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822EA"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953851" id="_x0000_t202" coordsize="21600,21600" o:spt="202" path="m,l,21600r21600,l21600,xe">
              <v:stroke joinstyle="miter"/>
              <v:path gradientshapeok="t" o:connecttype="rect"/>
            </v:shapetype>
            <v:shape id="WordArt 9" o:spid="_x0000_s1029" type="#_x0000_t202" style="position:absolute;margin-left:0;margin-top:0;width:397.65pt;height:238.6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6qeU9IsCAAAE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053822EA"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55FDA" w14:textId="77777777" w:rsidR="00F93877" w:rsidRDefault="00F93877" w:rsidP="00E34477">
    <w:pPr>
      <w:pStyle w:val="Header"/>
    </w:pPr>
    <w:r>
      <w:rPr>
        <w:noProof/>
        <w:lang w:eastAsia="en-AU"/>
      </w:rPr>
      <mc:AlternateContent>
        <mc:Choice Requires="wps">
          <w:drawing>
            <wp:anchor distT="0" distB="0" distL="114300" distR="114300" simplePos="0" relativeHeight="251658246" behindDoc="1" locked="0" layoutInCell="0" allowOverlap="1" wp14:anchorId="64ECF4E8" wp14:editId="717C4723">
              <wp:simplePos x="0" y="0"/>
              <wp:positionH relativeFrom="margin">
                <wp:align>center</wp:align>
              </wp:positionH>
              <wp:positionV relativeFrom="margin">
                <wp:align>center</wp:align>
              </wp:positionV>
              <wp:extent cx="5050155" cy="3030220"/>
              <wp:effectExtent l="0" t="1104900" r="0" b="636905"/>
              <wp:wrapNone/>
              <wp:docPr id="1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3F4FE0"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ECF4E8" id="_x0000_t202" coordsize="21600,21600" o:spt="202" path="m,l,21600r21600,l21600,xe">
              <v:stroke joinstyle="miter"/>
              <v:path gradientshapeok="t" o:connecttype="rect"/>
            </v:shapetype>
            <v:shape id="WordArt 10" o:spid="_x0000_s1030" type="#_x0000_t202" style="position:absolute;margin-left:0;margin-top:0;width:397.65pt;height:238.6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mGu7r4sCAAAF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7D3F4FE0"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29E78" w14:textId="77777777" w:rsidR="00F93877" w:rsidRDefault="00F93877" w:rsidP="00E34477">
    <w:pPr>
      <w:pStyle w:val="Header"/>
    </w:pPr>
    <w:r>
      <w:rPr>
        <w:noProof/>
        <w:lang w:eastAsia="en-AU"/>
      </w:rPr>
      <mc:AlternateContent>
        <mc:Choice Requires="wps">
          <w:drawing>
            <wp:anchor distT="0" distB="0" distL="114300" distR="114300" simplePos="0" relativeHeight="251658247" behindDoc="1" locked="0" layoutInCell="0" allowOverlap="1" wp14:anchorId="47C20845" wp14:editId="79C410F6">
              <wp:simplePos x="0" y="0"/>
              <wp:positionH relativeFrom="margin">
                <wp:align>center</wp:align>
              </wp:positionH>
              <wp:positionV relativeFrom="margin">
                <wp:align>center</wp:align>
              </wp:positionV>
              <wp:extent cx="5050155" cy="3030220"/>
              <wp:effectExtent l="0" t="1104900" r="0" b="636905"/>
              <wp:wrapNone/>
              <wp:docPr id="12"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CC913D"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C20845" id="_x0000_t202" coordsize="21600,21600" o:spt="202" path="m,l,21600r21600,l21600,xe">
              <v:stroke joinstyle="miter"/>
              <v:path gradientshapeok="t" o:connecttype="rect"/>
            </v:shapetype>
            <v:shape id="WordArt 12" o:spid="_x0000_s1031" type="#_x0000_t202" style="position:absolute;margin-left:0;margin-top:0;width:397.65pt;height:238.6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xHltlIsCAAAF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69CC913D" w14:textId="77777777" w:rsidR="00F93877" w:rsidRDefault="00F93877" w:rsidP="005D6A20">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D7A43" w14:textId="77777777" w:rsidR="00F93877" w:rsidRDefault="00864C5E" w:rsidP="00E34477">
    <w:pPr>
      <w:pStyle w:val="Header"/>
    </w:pPr>
    <w:r>
      <w:rPr>
        <w:noProof/>
      </w:rPr>
      <w:pict w14:anchorId="71CB9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7924" o:spid="_x0000_s2050" type="#_x0000_t136" style="position:absolute;margin-left:0;margin-top:0;width:397.65pt;height:238.6pt;rotation:315;z-index:-251658240;mso-position-horizontal:center;mso-position-horizontal-relative:margin;mso-position-vertical:center;mso-position-vertical-relative:margin" o:allowincell="f" fillcolor="#c2c593 [1943]"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79B81" w14:textId="77777777" w:rsidR="00F93877" w:rsidRDefault="00864C5E" w:rsidP="00E34477">
    <w:pPr>
      <w:pStyle w:val="Header"/>
    </w:pPr>
    <w:r>
      <w:rPr>
        <w:noProof/>
      </w:rPr>
      <w:pict w14:anchorId="2B1F8A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7923" o:spid="_x0000_s2049" type="#_x0000_t136" style="position:absolute;margin-left:0;margin-top:0;width:397.65pt;height:238.6pt;rotation:315;z-index:-251658239;mso-position-horizontal:center;mso-position-horizontal-relative:margin;mso-position-vertical:center;mso-position-vertical-relative:margin" o:allowincell="f" fillcolor="#c2c593 [1943]"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6pt;visibility:visible" o:bullet="t">
        <v:imagedata r:id="rId1" o:title=""/>
      </v:shape>
    </w:pict>
  </w:numPicBullet>
  <w:abstractNum w:abstractNumId="0" w15:restartNumberingAfterBreak="0">
    <w:nsid w:val="FFFFFF83"/>
    <w:multiLevelType w:val="singleLevel"/>
    <w:tmpl w:val="03786D8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5ECC1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4910EC"/>
    <w:multiLevelType w:val="hybridMultilevel"/>
    <w:tmpl w:val="B6543A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CD4395"/>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242B25"/>
    <w:multiLevelType w:val="hybridMultilevel"/>
    <w:tmpl w:val="715A1D62"/>
    <w:lvl w:ilvl="0" w:tplc="9BBCFBB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3E108AA"/>
    <w:multiLevelType w:val="hybridMultilevel"/>
    <w:tmpl w:val="20F83092"/>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03F57F5E"/>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4915BFD"/>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49D19CC"/>
    <w:multiLevelType w:val="multilevel"/>
    <w:tmpl w:val="94421FC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4D16A56"/>
    <w:multiLevelType w:val="hybridMultilevel"/>
    <w:tmpl w:val="65C00B02"/>
    <w:lvl w:ilvl="0" w:tplc="28A834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4DC19D4"/>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4ED2613"/>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53F789F"/>
    <w:multiLevelType w:val="hybridMultilevel"/>
    <w:tmpl w:val="74E0316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4" w15:restartNumberingAfterBreak="0">
    <w:nsid w:val="054606E4"/>
    <w:multiLevelType w:val="hybridMultilevel"/>
    <w:tmpl w:val="8CE0EE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58A274A"/>
    <w:multiLevelType w:val="hybridMultilevel"/>
    <w:tmpl w:val="E7F2F3DA"/>
    <w:lvl w:ilvl="0" w:tplc="BCEAFF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5A11DF3"/>
    <w:multiLevelType w:val="hybridMultilevel"/>
    <w:tmpl w:val="62329DD8"/>
    <w:lvl w:ilvl="0" w:tplc="BCEAFF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67B5664"/>
    <w:multiLevelType w:val="multilevel"/>
    <w:tmpl w:val="F9E80698"/>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6E76B53"/>
    <w:multiLevelType w:val="hybridMultilevel"/>
    <w:tmpl w:val="46047C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07947678"/>
    <w:multiLevelType w:val="hybridMultilevel"/>
    <w:tmpl w:val="34AC0F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07AC78C0"/>
    <w:multiLevelType w:val="hybridMultilevel"/>
    <w:tmpl w:val="7ED6474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087D6705"/>
    <w:multiLevelType w:val="hybridMultilevel"/>
    <w:tmpl w:val="0F9AF780"/>
    <w:lvl w:ilvl="0" w:tplc="BC3A9EDE">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08A6001D"/>
    <w:multiLevelType w:val="multilevel"/>
    <w:tmpl w:val="F79E2218"/>
    <w:lvl w:ilvl="0">
      <w:start w:val="1"/>
      <w:numFmt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4F4A74"/>
    <w:multiLevelType w:val="multilevel"/>
    <w:tmpl w:val="FA6E1158"/>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A673BC7"/>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0B4B5BC5"/>
    <w:multiLevelType w:val="hybridMultilevel"/>
    <w:tmpl w:val="B2AE4D28"/>
    <w:lvl w:ilvl="0" w:tplc="1ECC02C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0BCB2191"/>
    <w:multiLevelType w:val="multilevel"/>
    <w:tmpl w:val="C290BFB6"/>
    <w:lvl w:ilvl="0">
      <w:start w:val="1"/>
      <w:numFmt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1D4FA3"/>
    <w:multiLevelType w:val="hybridMultilevel"/>
    <w:tmpl w:val="737493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D6479D8"/>
    <w:multiLevelType w:val="hybridMultilevel"/>
    <w:tmpl w:val="B49AF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DF5345A"/>
    <w:multiLevelType w:val="hybridMultilevel"/>
    <w:tmpl w:val="7DA20DC4"/>
    <w:lvl w:ilvl="0" w:tplc="8A88F2F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0E6C6D23"/>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0EE34FB5"/>
    <w:multiLevelType w:val="hybridMultilevel"/>
    <w:tmpl w:val="14460D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0F207ED4"/>
    <w:multiLevelType w:val="hybridMultilevel"/>
    <w:tmpl w:val="16FE8E4C"/>
    <w:lvl w:ilvl="0" w:tplc="01F0C7F2">
      <w:start w:val="1"/>
      <w:numFmt w:val="decimal"/>
      <w:lvlText w:val="%1."/>
      <w:lvlJc w:val="left"/>
      <w:pPr>
        <w:ind w:left="720" w:hanging="360"/>
      </w:pPr>
      <w:rPr>
        <w:rFonts w:eastAsia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0F8220DC"/>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0FEF6E4D"/>
    <w:multiLevelType w:val="hybridMultilevel"/>
    <w:tmpl w:val="BE30F1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0FF42454"/>
    <w:multiLevelType w:val="hybridMultilevel"/>
    <w:tmpl w:val="C81A2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03567AF"/>
    <w:multiLevelType w:val="hybridMultilevel"/>
    <w:tmpl w:val="F8A80F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108A384F"/>
    <w:multiLevelType w:val="hybridMultilevel"/>
    <w:tmpl w:val="F3907C58"/>
    <w:lvl w:ilvl="0" w:tplc="A92437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28D6132"/>
    <w:multiLevelType w:val="multilevel"/>
    <w:tmpl w:val="2766F01A"/>
    <w:lvl w:ilvl="0">
      <w:start w:val="4"/>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12EC200D"/>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5337086"/>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1535479C"/>
    <w:multiLevelType w:val="multilevel"/>
    <w:tmpl w:val="29E0BF82"/>
    <w:lvl w:ilvl="0">
      <w:start w:val="1"/>
      <w:numFmt w:val="decimal"/>
      <w:lvlText w:val="%1"/>
      <w:lvlJc w:val="left"/>
      <w:pPr>
        <w:ind w:left="862"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15F519C9"/>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165919E0"/>
    <w:multiLevelType w:val="hybridMultilevel"/>
    <w:tmpl w:val="ABAC6D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6" w15:restartNumberingAfterBreak="0">
    <w:nsid w:val="185D6D57"/>
    <w:multiLevelType w:val="hybridMultilevel"/>
    <w:tmpl w:val="FCC6D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D126DC3"/>
    <w:multiLevelType w:val="multilevel"/>
    <w:tmpl w:val="5E7C194C"/>
    <w:lvl w:ilvl="0">
      <w:start w:val="1"/>
      <w:numFmt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DDC35AD"/>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1E624363"/>
    <w:multiLevelType w:val="hybridMultilevel"/>
    <w:tmpl w:val="EFECC3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E8F1613"/>
    <w:multiLevelType w:val="hybridMultilevel"/>
    <w:tmpl w:val="6B2E66A6"/>
    <w:lvl w:ilvl="0" w:tplc="7454581A">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1" w15:restartNumberingAfterBreak="0">
    <w:nsid w:val="1F843689"/>
    <w:multiLevelType w:val="hybridMultilevel"/>
    <w:tmpl w:val="57641F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F8D144F"/>
    <w:multiLevelType w:val="hybridMultilevel"/>
    <w:tmpl w:val="9154BE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FF65891"/>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20436435"/>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20C562A5"/>
    <w:multiLevelType w:val="hybridMultilevel"/>
    <w:tmpl w:val="2DD6D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10C1344"/>
    <w:multiLevelType w:val="hybridMultilevel"/>
    <w:tmpl w:val="AAD655BE"/>
    <w:lvl w:ilvl="0" w:tplc="CE90F57C">
      <w:start w:val="1"/>
      <w:numFmt w:val="decimal"/>
      <w:lvlText w:val="%1."/>
      <w:lvlJc w:val="left"/>
      <w:pPr>
        <w:ind w:left="720" w:hanging="360"/>
      </w:pPr>
      <w:rPr>
        <w:rFonts w:hint="default"/>
        <w:color w:val="000000" w:themeColor="text1"/>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3703E13"/>
    <w:multiLevelType w:val="hybridMultilevel"/>
    <w:tmpl w:val="D5688644"/>
    <w:lvl w:ilvl="0" w:tplc="13A27A6E">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8" w15:restartNumberingAfterBreak="0">
    <w:nsid w:val="24627F30"/>
    <w:multiLevelType w:val="hybridMultilevel"/>
    <w:tmpl w:val="2438C10A"/>
    <w:lvl w:ilvl="0" w:tplc="12D49F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24A910DF"/>
    <w:multiLevelType w:val="hybridMultilevel"/>
    <w:tmpl w:val="C090F728"/>
    <w:lvl w:ilvl="0" w:tplc="9AB461A0">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251133EB"/>
    <w:multiLevelType w:val="hybridMultilevel"/>
    <w:tmpl w:val="18F846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27994A0C"/>
    <w:multiLevelType w:val="hybridMultilevel"/>
    <w:tmpl w:val="F1480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8D07979"/>
    <w:multiLevelType w:val="hybridMultilevel"/>
    <w:tmpl w:val="C12C4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29FB4890"/>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2D08547A"/>
    <w:multiLevelType w:val="hybridMultilevel"/>
    <w:tmpl w:val="C9983FF6"/>
    <w:lvl w:ilvl="0" w:tplc="44F4C7B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D4156D3"/>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2D694F3C"/>
    <w:multiLevelType w:val="hybridMultilevel"/>
    <w:tmpl w:val="FB8855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2D91623A"/>
    <w:multiLevelType w:val="hybridMultilevel"/>
    <w:tmpl w:val="21EA7C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DAB3D2C"/>
    <w:multiLevelType w:val="hybridMultilevel"/>
    <w:tmpl w:val="0296A542"/>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69" w15:restartNumberingAfterBreak="0">
    <w:nsid w:val="2E0B0950"/>
    <w:multiLevelType w:val="hybridMultilevel"/>
    <w:tmpl w:val="EEFA90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EFE7E61"/>
    <w:multiLevelType w:val="hybridMultilevel"/>
    <w:tmpl w:val="33887786"/>
    <w:lvl w:ilvl="0" w:tplc="DA9E98F8">
      <w:start w:val="1"/>
      <w:numFmt w:val="decimal"/>
      <w:lvlText w:val="%1."/>
      <w:lvlJc w:val="left"/>
      <w:pPr>
        <w:ind w:left="720" w:hanging="360"/>
      </w:pPr>
      <w:rPr>
        <w:rFonts w:eastAsiaTheme="minorEastAsia"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2F51781D"/>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2FEE0AE4"/>
    <w:multiLevelType w:val="multilevel"/>
    <w:tmpl w:val="67F6D5D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3" w15:restartNumberingAfterBreak="0">
    <w:nsid w:val="301D09A1"/>
    <w:multiLevelType w:val="hybridMultilevel"/>
    <w:tmpl w:val="260E651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74" w15:restartNumberingAfterBreak="0">
    <w:nsid w:val="3028360F"/>
    <w:multiLevelType w:val="hybridMultilevel"/>
    <w:tmpl w:val="B65C871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0795CCD"/>
    <w:multiLevelType w:val="hybridMultilevel"/>
    <w:tmpl w:val="2890A0CE"/>
    <w:lvl w:ilvl="0" w:tplc="2B34E182">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6" w15:restartNumberingAfterBreak="0">
    <w:nsid w:val="30EC182E"/>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312524B4"/>
    <w:multiLevelType w:val="multilevel"/>
    <w:tmpl w:val="B8205D14"/>
    <w:lvl w:ilvl="0">
      <w:start w:val="1"/>
      <w:numFmt w:val="bullet"/>
      <w:lvlText w:val=""/>
      <w:lvlJc w:val="left"/>
      <w:pPr>
        <w:ind w:left="862" w:hanging="720"/>
      </w:pPr>
      <w:rPr>
        <w:rFonts w:ascii="Symbol" w:hAnsi="Symbol" w:hint="default"/>
        <w:color w:val="000000" w:themeColor="text1"/>
        <w:sz w:val="16"/>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31D4537F"/>
    <w:multiLevelType w:val="hybridMultilevel"/>
    <w:tmpl w:val="962C8E80"/>
    <w:lvl w:ilvl="0" w:tplc="3A66D01C">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9" w15:restartNumberingAfterBreak="0">
    <w:nsid w:val="32617FFB"/>
    <w:multiLevelType w:val="hybridMultilevel"/>
    <w:tmpl w:val="17C4FCC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80" w15:restartNumberingAfterBreak="0">
    <w:nsid w:val="32C26E11"/>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33354793"/>
    <w:multiLevelType w:val="hybridMultilevel"/>
    <w:tmpl w:val="400ED5B0"/>
    <w:lvl w:ilvl="0" w:tplc="69683B0A">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33B13ED1"/>
    <w:multiLevelType w:val="hybridMultilevel"/>
    <w:tmpl w:val="18C45892"/>
    <w:lvl w:ilvl="0" w:tplc="D408E168">
      <w:start w:val="1"/>
      <w:numFmt w:val="bullet"/>
      <w:lvlText w:val=""/>
      <w:lvlJc w:val="left"/>
      <w:pPr>
        <w:ind w:left="720" w:hanging="360"/>
      </w:pPr>
      <w:rPr>
        <w:rFonts w:ascii="Symbol" w:hAnsi="Symbol" w:hint="default"/>
        <w:sz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3BC5DE9"/>
    <w:multiLevelType w:val="hybridMultilevel"/>
    <w:tmpl w:val="FCEEE7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4" w15:restartNumberingAfterBreak="0">
    <w:nsid w:val="36B56B2B"/>
    <w:multiLevelType w:val="hybridMultilevel"/>
    <w:tmpl w:val="866EC3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36C854F8"/>
    <w:multiLevelType w:val="hybridMultilevel"/>
    <w:tmpl w:val="F28A1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8583659"/>
    <w:multiLevelType w:val="hybridMultilevel"/>
    <w:tmpl w:val="5D82B2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386F3790"/>
    <w:multiLevelType w:val="hybridMultilevel"/>
    <w:tmpl w:val="BC2A23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39227DD5"/>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9" w15:restartNumberingAfterBreak="0">
    <w:nsid w:val="3A1862C1"/>
    <w:multiLevelType w:val="hybridMultilevel"/>
    <w:tmpl w:val="BCE40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A307AEF"/>
    <w:multiLevelType w:val="hybridMultilevel"/>
    <w:tmpl w:val="10E2FB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3A5F080B"/>
    <w:multiLevelType w:val="multilevel"/>
    <w:tmpl w:val="29E0BF82"/>
    <w:lvl w:ilvl="0">
      <w:start w:val="1"/>
      <w:numFmt w:val="decimal"/>
      <w:lvlText w:val="%1"/>
      <w:lvlJc w:val="left"/>
      <w:pPr>
        <w:ind w:left="862"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3B600FD0"/>
    <w:multiLevelType w:val="hybridMultilevel"/>
    <w:tmpl w:val="2A7EAD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3BCF3D5B"/>
    <w:multiLevelType w:val="hybridMultilevel"/>
    <w:tmpl w:val="3EA6E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C44468B"/>
    <w:multiLevelType w:val="hybridMultilevel"/>
    <w:tmpl w:val="B92EA48E"/>
    <w:lvl w:ilvl="0" w:tplc="4B00CF4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3CBF2BFF"/>
    <w:multiLevelType w:val="multilevel"/>
    <w:tmpl w:val="8FBE0AEE"/>
    <w:numStyleLink w:val="BulletList"/>
  </w:abstractNum>
  <w:abstractNum w:abstractNumId="96" w15:restartNumberingAfterBreak="0">
    <w:nsid w:val="3E0B7072"/>
    <w:multiLevelType w:val="hybridMultilevel"/>
    <w:tmpl w:val="430696CA"/>
    <w:lvl w:ilvl="0" w:tplc="0C090001">
      <w:start w:val="1"/>
      <w:numFmt w:val="bullet"/>
      <w:lvlText w:val=""/>
      <w:lvlJc w:val="left"/>
      <w:pPr>
        <w:ind w:left="4845" w:hanging="360"/>
      </w:pPr>
      <w:rPr>
        <w:rFonts w:ascii="Symbol" w:hAnsi="Symbol" w:hint="default"/>
      </w:rPr>
    </w:lvl>
    <w:lvl w:ilvl="1" w:tplc="0C090003" w:tentative="1">
      <w:start w:val="1"/>
      <w:numFmt w:val="bullet"/>
      <w:lvlText w:val="o"/>
      <w:lvlJc w:val="left"/>
      <w:pPr>
        <w:ind w:left="5565" w:hanging="360"/>
      </w:pPr>
      <w:rPr>
        <w:rFonts w:ascii="Courier New" w:hAnsi="Courier New" w:cs="Courier New" w:hint="default"/>
      </w:rPr>
    </w:lvl>
    <w:lvl w:ilvl="2" w:tplc="0C090005" w:tentative="1">
      <w:start w:val="1"/>
      <w:numFmt w:val="bullet"/>
      <w:lvlText w:val=""/>
      <w:lvlJc w:val="left"/>
      <w:pPr>
        <w:ind w:left="6285" w:hanging="360"/>
      </w:pPr>
      <w:rPr>
        <w:rFonts w:ascii="Wingdings" w:hAnsi="Wingdings" w:hint="default"/>
      </w:rPr>
    </w:lvl>
    <w:lvl w:ilvl="3" w:tplc="0C090001" w:tentative="1">
      <w:start w:val="1"/>
      <w:numFmt w:val="bullet"/>
      <w:lvlText w:val=""/>
      <w:lvlJc w:val="left"/>
      <w:pPr>
        <w:ind w:left="7005" w:hanging="360"/>
      </w:pPr>
      <w:rPr>
        <w:rFonts w:ascii="Symbol" w:hAnsi="Symbol" w:hint="default"/>
      </w:rPr>
    </w:lvl>
    <w:lvl w:ilvl="4" w:tplc="0C090003" w:tentative="1">
      <w:start w:val="1"/>
      <w:numFmt w:val="bullet"/>
      <w:lvlText w:val="o"/>
      <w:lvlJc w:val="left"/>
      <w:pPr>
        <w:ind w:left="7725" w:hanging="360"/>
      </w:pPr>
      <w:rPr>
        <w:rFonts w:ascii="Courier New" w:hAnsi="Courier New" w:cs="Courier New" w:hint="default"/>
      </w:rPr>
    </w:lvl>
    <w:lvl w:ilvl="5" w:tplc="0C090005" w:tentative="1">
      <w:start w:val="1"/>
      <w:numFmt w:val="bullet"/>
      <w:lvlText w:val=""/>
      <w:lvlJc w:val="left"/>
      <w:pPr>
        <w:ind w:left="8445" w:hanging="360"/>
      </w:pPr>
      <w:rPr>
        <w:rFonts w:ascii="Wingdings" w:hAnsi="Wingdings" w:hint="default"/>
      </w:rPr>
    </w:lvl>
    <w:lvl w:ilvl="6" w:tplc="0C090001" w:tentative="1">
      <w:start w:val="1"/>
      <w:numFmt w:val="bullet"/>
      <w:lvlText w:val=""/>
      <w:lvlJc w:val="left"/>
      <w:pPr>
        <w:ind w:left="9165" w:hanging="360"/>
      </w:pPr>
      <w:rPr>
        <w:rFonts w:ascii="Symbol" w:hAnsi="Symbol" w:hint="default"/>
      </w:rPr>
    </w:lvl>
    <w:lvl w:ilvl="7" w:tplc="0C090003" w:tentative="1">
      <w:start w:val="1"/>
      <w:numFmt w:val="bullet"/>
      <w:lvlText w:val="o"/>
      <w:lvlJc w:val="left"/>
      <w:pPr>
        <w:ind w:left="9885" w:hanging="360"/>
      </w:pPr>
      <w:rPr>
        <w:rFonts w:ascii="Courier New" w:hAnsi="Courier New" w:cs="Courier New" w:hint="default"/>
      </w:rPr>
    </w:lvl>
    <w:lvl w:ilvl="8" w:tplc="0C090005" w:tentative="1">
      <w:start w:val="1"/>
      <w:numFmt w:val="bullet"/>
      <w:lvlText w:val=""/>
      <w:lvlJc w:val="left"/>
      <w:pPr>
        <w:ind w:left="10605" w:hanging="360"/>
      </w:pPr>
      <w:rPr>
        <w:rFonts w:ascii="Wingdings" w:hAnsi="Wingdings" w:hint="default"/>
      </w:rPr>
    </w:lvl>
  </w:abstractNum>
  <w:abstractNum w:abstractNumId="97" w15:restartNumberingAfterBreak="0">
    <w:nsid w:val="3E2425BA"/>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15:restartNumberingAfterBreak="0">
    <w:nsid w:val="3E8F3D29"/>
    <w:multiLevelType w:val="hybridMultilevel"/>
    <w:tmpl w:val="08EA5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F0F5BD7"/>
    <w:multiLevelType w:val="hybridMultilevel"/>
    <w:tmpl w:val="368E3E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F3E72C7"/>
    <w:multiLevelType w:val="hybridMultilevel"/>
    <w:tmpl w:val="28D03D8E"/>
    <w:lvl w:ilvl="0" w:tplc="EF3C9634">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3F8762FE"/>
    <w:multiLevelType w:val="hybridMultilevel"/>
    <w:tmpl w:val="C73E295C"/>
    <w:lvl w:ilvl="0" w:tplc="FA0099E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40234AFE"/>
    <w:multiLevelType w:val="hybridMultilevel"/>
    <w:tmpl w:val="50A2B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408D10AA"/>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15:restartNumberingAfterBreak="0">
    <w:nsid w:val="40E54F77"/>
    <w:multiLevelType w:val="hybridMultilevel"/>
    <w:tmpl w:val="1EDC28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40FF4AF7"/>
    <w:multiLevelType w:val="multilevel"/>
    <w:tmpl w:val="29E0BF82"/>
    <w:lvl w:ilvl="0">
      <w:start w:val="1"/>
      <w:numFmt w:val="decimal"/>
      <w:lvlText w:val="%1"/>
      <w:lvlJc w:val="left"/>
      <w:pPr>
        <w:ind w:left="862"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6" w15:restartNumberingAfterBreak="0">
    <w:nsid w:val="4140001D"/>
    <w:multiLevelType w:val="hybridMultilevel"/>
    <w:tmpl w:val="7304E7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42C70CB7"/>
    <w:multiLevelType w:val="hybridMultilevel"/>
    <w:tmpl w:val="D52EEA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2EF14D7"/>
    <w:multiLevelType w:val="hybridMultilevel"/>
    <w:tmpl w:val="52DC3366"/>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9" w15:restartNumberingAfterBreak="0">
    <w:nsid w:val="44886B2D"/>
    <w:multiLevelType w:val="multilevel"/>
    <w:tmpl w:val="C7B4C6EA"/>
    <w:lvl w:ilvl="0">
      <w:start w:val="1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44CB57D8"/>
    <w:multiLevelType w:val="hybridMultilevel"/>
    <w:tmpl w:val="9ED4B4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1" w15:restartNumberingAfterBreak="0">
    <w:nsid w:val="44CB5C36"/>
    <w:multiLevelType w:val="hybridMultilevel"/>
    <w:tmpl w:val="B8B6BE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46B00A0B"/>
    <w:multiLevelType w:val="hybridMultilevel"/>
    <w:tmpl w:val="AD064448"/>
    <w:lvl w:ilvl="0" w:tplc="9B98C48A">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4" w15:restartNumberingAfterBreak="0">
    <w:nsid w:val="46C25499"/>
    <w:multiLevelType w:val="hybridMultilevel"/>
    <w:tmpl w:val="51768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8BD400E"/>
    <w:multiLevelType w:val="hybridMultilevel"/>
    <w:tmpl w:val="226860A2"/>
    <w:lvl w:ilvl="0" w:tplc="76762B82">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6" w15:restartNumberingAfterBreak="0">
    <w:nsid w:val="498A0913"/>
    <w:multiLevelType w:val="hybridMultilevel"/>
    <w:tmpl w:val="FAB23B20"/>
    <w:lvl w:ilvl="0" w:tplc="7F1A839C">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9DA7E5C"/>
    <w:multiLevelType w:val="multilevel"/>
    <w:tmpl w:val="EC5E5966"/>
    <w:lvl w:ilvl="0">
      <w:start w:val="1"/>
      <w:numFmt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9E2384E"/>
    <w:multiLevelType w:val="hybridMultilevel"/>
    <w:tmpl w:val="AE80F1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4B4A2363"/>
    <w:multiLevelType w:val="hybridMultilevel"/>
    <w:tmpl w:val="F502CF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4B4C700A"/>
    <w:multiLevelType w:val="hybridMultilevel"/>
    <w:tmpl w:val="FC9EC7C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4B747641"/>
    <w:multiLevelType w:val="hybridMultilevel"/>
    <w:tmpl w:val="F6BC263A"/>
    <w:lvl w:ilvl="0" w:tplc="9E326AF2">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4BEE3714"/>
    <w:multiLevelType w:val="hybridMultilevel"/>
    <w:tmpl w:val="8E0CD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4C355974"/>
    <w:multiLevelType w:val="hybridMultilevel"/>
    <w:tmpl w:val="2CC4D808"/>
    <w:lvl w:ilvl="0" w:tplc="466E353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4CE06CE7"/>
    <w:multiLevelType w:val="hybridMultilevel"/>
    <w:tmpl w:val="2D4C0F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4E090369"/>
    <w:multiLevelType w:val="hybridMultilevel"/>
    <w:tmpl w:val="204C5A1E"/>
    <w:lvl w:ilvl="0" w:tplc="EDD8F59A">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6" w15:restartNumberingAfterBreak="0">
    <w:nsid w:val="4E2E0AEA"/>
    <w:multiLevelType w:val="hybridMultilevel"/>
    <w:tmpl w:val="D5469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4E52705B"/>
    <w:multiLevelType w:val="hybridMultilevel"/>
    <w:tmpl w:val="B066D266"/>
    <w:lvl w:ilvl="0" w:tplc="12602E46">
      <w:start w:val="1"/>
      <w:numFmt w:val="decimal"/>
      <w:lvlText w:val="%1."/>
      <w:lvlJc w:val="left"/>
      <w:pPr>
        <w:ind w:left="360" w:hanging="360"/>
      </w:pPr>
      <w:rPr>
        <w:rFonts w:asciiTheme="minorHAnsi" w:eastAsiaTheme="minorEastAsia" w:hAnsiTheme="minorHAnsi" w:cstheme="minorBid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8" w15:restartNumberingAfterBreak="0">
    <w:nsid w:val="4FD44AAC"/>
    <w:multiLevelType w:val="hybridMultilevel"/>
    <w:tmpl w:val="C6C4DA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50C01721"/>
    <w:multiLevelType w:val="multilevel"/>
    <w:tmpl w:val="B0C2737C"/>
    <w:lvl w:ilvl="0">
      <w:start w:val="1"/>
      <w:numFmt w:val="decimal"/>
      <w:lvlText w:val="%1."/>
      <w:lvlJc w:val="left"/>
      <w:pPr>
        <w:ind w:left="861" w:hanging="720"/>
      </w:pPr>
      <w:rPr>
        <w:rFonts w:hint="default"/>
        <w:color w:val="000000" w:themeColor="text1"/>
        <w:sz w:val="18"/>
      </w:rPr>
    </w:lvl>
    <w:lvl w:ilvl="1">
      <w:start w:val="2"/>
      <w:numFmt w:val="decimal"/>
      <w:isLgl/>
      <w:lvlText w:val="%1.%2"/>
      <w:lvlJc w:val="left"/>
      <w:pPr>
        <w:ind w:left="1079" w:hanging="720"/>
      </w:pPr>
      <w:rPr>
        <w:rFonts w:hint="default"/>
      </w:rPr>
    </w:lvl>
    <w:lvl w:ilvl="2">
      <w:start w:val="1"/>
      <w:numFmt w:val="decimal"/>
      <w:isLgl/>
      <w:lvlText w:val="%1.%2.%3"/>
      <w:lvlJc w:val="left"/>
      <w:pPr>
        <w:ind w:left="1079" w:hanging="720"/>
      </w:pPr>
      <w:rPr>
        <w:rFonts w:hint="default"/>
      </w:rPr>
    </w:lvl>
    <w:lvl w:ilvl="3">
      <w:start w:val="1"/>
      <w:numFmt w:val="decimal"/>
      <w:isLgl/>
      <w:lvlText w:val="%1.%2.%3.%4"/>
      <w:lvlJc w:val="left"/>
      <w:pPr>
        <w:ind w:left="1439" w:hanging="1080"/>
      </w:pPr>
      <w:rPr>
        <w:rFonts w:hint="default"/>
      </w:rPr>
    </w:lvl>
    <w:lvl w:ilvl="4">
      <w:start w:val="1"/>
      <w:numFmt w:val="decimal"/>
      <w:isLgl/>
      <w:lvlText w:val="%1.%2.%3.%4.%5"/>
      <w:lvlJc w:val="left"/>
      <w:pPr>
        <w:ind w:left="1439" w:hanging="1080"/>
      </w:pPr>
      <w:rPr>
        <w:rFonts w:hint="default"/>
      </w:rPr>
    </w:lvl>
    <w:lvl w:ilvl="5">
      <w:start w:val="1"/>
      <w:numFmt w:val="decimal"/>
      <w:isLgl/>
      <w:lvlText w:val="%1.%2.%3.%4.%5.%6"/>
      <w:lvlJc w:val="left"/>
      <w:pPr>
        <w:ind w:left="1799" w:hanging="1440"/>
      </w:pPr>
      <w:rPr>
        <w:rFonts w:hint="default"/>
      </w:rPr>
    </w:lvl>
    <w:lvl w:ilvl="6">
      <w:start w:val="1"/>
      <w:numFmt w:val="decimal"/>
      <w:isLgl/>
      <w:lvlText w:val="%1.%2.%3.%4.%5.%6.%7"/>
      <w:lvlJc w:val="left"/>
      <w:pPr>
        <w:ind w:left="1799" w:hanging="1440"/>
      </w:pPr>
      <w:rPr>
        <w:rFonts w:hint="default"/>
      </w:rPr>
    </w:lvl>
    <w:lvl w:ilvl="7">
      <w:start w:val="1"/>
      <w:numFmt w:val="decimal"/>
      <w:isLgl/>
      <w:lvlText w:val="%1.%2.%3.%4.%5.%6.%7.%8"/>
      <w:lvlJc w:val="left"/>
      <w:pPr>
        <w:ind w:left="2159" w:hanging="1800"/>
      </w:pPr>
      <w:rPr>
        <w:rFonts w:hint="default"/>
      </w:rPr>
    </w:lvl>
    <w:lvl w:ilvl="8">
      <w:start w:val="1"/>
      <w:numFmt w:val="decimal"/>
      <w:isLgl/>
      <w:lvlText w:val="%1.%2.%3.%4.%5.%6.%7.%8.%9"/>
      <w:lvlJc w:val="left"/>
      <w:pPr>
        <w:ind w:left="2519" w:hanging="2160"/>
      </w:pPr>
      <w:rPr>
        <w:rFonts w:hint="default"/>
      </w:rPr>
    </w:lvl>
  </w:abstractNum>
  <w:abstractNum w:abstractNumId="130" w15:restartNumberingAfterBreak="0">
    <w:nsid w:val="51B73210"/>
    <w:multiLevelType w:val="multilevel"/>
    <w:tmpl w:val="298AE12E"/>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1" w15:restartNumberingAfterBreak="0">
    <w:nsid w:val="527C1C35"/>
    <w:multiLevelType w:val="hybridMultilevel"/>
    <w:tmpl w:val="D020091E"/>
    <w:lvl w:ilvl="0" w:tplc="92C411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52972BDB"/>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3" w15:restartNumberingAfterBreak="0">
    <w:nsid w:val="5322033B"/>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4" w15:restartNumberingAfterBreak="0">
    <w:nsid w:val="53CD1A83"/>
    <w:multiLevelType w:val="hybridMultilevel"/>
    <w:tmpl w:val="908823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53E83516"/>
    <w:multiLevelType w:val="hybridMultilevel"/>
    <w:tmpl w:val="9B5A7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419792F"/>
    <w:multiLevelType w:val="hybridMultilevel"/>
    <w:tmpl w:val="7D3CF7A4"/>
    <w:lvl w:ilvl="0" w:tplc="B900BB3E">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54423376"/>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8" w15:restartNumberingAfterBreak="0">
    <w:nsid w:val="545A4DEF"/>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9" w15:restartNumberingAfterBreak="0">
    <w:nsid w:val="548A01A1"/>
    <w:multiLevelType w:val="hybridMultilevel"/>
    <w:tmpl w:val="717C3446"/>
    <w:lvl w:ilvl="0" w:tplc="0C090001">
      <w:start w:val="1"/>
      <w:numFmt w:val="bullet"/>
      <w:lvlText w:val=""/>
      <w:lvlJc w:val="left"/>
      <w:pPr>
        <w:ind w:left="1080" w:hanging="360"/>
      </w:pPr>
      <w:rPr>
        <w:rFonts w:ascii="Symbol" w:hAnsi="Symbol" w:hint="default"/>
        <w:sz w:val="18"/>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0" w15:restartNumberingAfterBreak="0">
    <w:nsid w:val="548D6732"/>
    <w:multiLevelType w:val="hybridMultilevel"/>
    <w:tmpl w:val="824AEB0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55513CB1"/>
    <w:multiLevelType w:val="hybridMultilevel"/>
    <w:tmpl w:val="72FA6912"/>
    <w:lvl w:ilvl="0" w:tplc="B44AE81A">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2" w15:restartNumberingAfterBreak="0">
    <w:nsid w:val="55E91FB6"/>
    <w:multiLevelType w:val="hybridMultilevel"/>
    <w:tmpl w:val="B2642690"/>
    <w:lvl w:ilvl="0" w:tplc="79FC5F04">
      <w:start w:val="1"/>
      <w:numFmt w:val="decimal"/>
      <w:pStyle w:val="Sourceandnotetextmultiplenotes"/>
      <w:lvlText w:val="%1."/>
      <w:lvlJc w:val="left"/>
      <w:pPr>
        <w:ind w:left="360" w:hanging="360"/>
      </w:pPr>
      <w:rPr>
        <w:rFonts w:hint="default"/>
      </w:rPr>
    </w:lvl>
    <w:lvl w:ilvl="1" w:tplc="0C090003" w:tentative="1">
      <w:start w:val="1"/>
      <w:numFmt w:val="lowerLetter"/>
      <w:lvlText w:val="%2."/>
      <w:lvlJc w:val="left"/>
      <w:pPr>
        <w:ind w:left="1080" w:hanging="360"/>
      </w:pPr>
    </w:lvl>
    <w:lvl w:ilvl="2" w:tplc="0C090005">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3" w15:restartNumberingAfterBreak="0">
    <w:nsid w:val="565B2EDE"/>
    <w:multiLevelType w:val="hybridMultilevel"/>
    <w:tmpl w:val="1AB849F0"/>
    <w:lvl w:ilvl="0" w:tplc="005AE5C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567632B1"/>
    <w:multiLevelType w:val="multilevel"/>
    <w:tmpl w:val="B8205D14"/>
    <w:lvl w:ilvl="0">
      <w:start w:val="1"/>
      <w:numFmt w:val="bullet"/>
      <w:lvlText w:val=""/>
      <w:lvlJc w:val="left"/>
      <w:pPr>
        <w:ind w:left="862" w:hanging="720"/>
      </w:pPr>
      <w:rPr>
        <w:rFonts w:ascii="Symbol" w:hAnsi="Symbol" w:hint="default"/>
        <w:color w:val="000000" w:themeColor="text1"/>
        <w:sz w:val="16"/>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5" w15:restartNumberingAfterBreak="0">
    <w:nsid w:val="575B100A"/>
    <w:multiLevelType w:val="multilevel"/>
    <w:tmpl w:val="E6DE8D88"/>
    <w:lvl w:ilvl="0">
      <w:start w:val="1"/>
      <w:numFmt w:val="decimal"/>
      <w:lvlText w:val="%1"/>
      <w:lvlJc w:val="left"/>
      <w:pPr>
        <w:ind w:left="862"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6" w15:restartNumberingAfterBreak="0">
    <w:nsid w:val="57620510"/>
    <w:multiLevelType w:val="hybridMultilevel"/>
    <w:tmpl w:val="BF4C7A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15:restartNumberingAfterBreak="0">
    <w:nsid w:val="577E547E"/>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8" w15:restartNumberingAfterBreak="0">
    <w:nsid w:val="579C34FB"/>
    <w:multiLevelType w:val="hybridMultilevel"/>
    <w:tmpl w:val="5992BD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590C6374"/>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0" w15:restartNumberingAfterBreak="0">
    <w:nsid w:val="598C1A54"/>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1" w15:restartNumberingAfterBreak="0">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152" w15:restartNumberingAfterBreak="0">
    <w:nsid w:val="5D0563F9"/>
    <w:multiLevelType w:val="hybridMultilevel"/>
    <w:tmpl w:val="29E6A8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5D6F284B"/>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15:restartNumberingAfterBreak="0">
    <w:nsid w:val="5DC10EE8"/>
    <w:multiLevelType w:val="hybridMultilevel"/>
    <w:tmpl w:val="1D9688A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5F62713E"/>
    <w:multiLevelType w:val="hybridMultilevel"/>
    <w:tmpl w:val="50EA75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6010159E"/>
    <w:multiLevelType w:val="hybridMultilevel"/>
    <w:tmpl w:val="402C38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7" w15:restartNumberingAfterBreak="0">
    <w:nsid w:val="60A3145E"/>
    <w:multiLevelType w:val="hybridMultilevel"/>
    <w:tmpl w:val="180E3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8" w15:restartNumberingAfterBreak="0">
    <w:nsid w:val="60BD7F80"/>
    <w:multiLevelType w:val="hybridMultilevel"/>
    <w:tmpl w:val="91E46D9A"/>
    <w:lvl w:ilvl="0" w:tplc="E5C8F0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9" w15:restartNumberingAfterBreak="0">
    <w:nsid w:val="61AF510B"/>
    <w:multiLevelType w:val="hybridMultilevel"/>
    <w:tmpl w:val="0CD49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2256E28"/>
    <w:multiLevelType w:val="hybridMultilevel"/>
    <w:tmpl w:val="9FF04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6366050F"/>
    <w:multiLevelType w:val="hybridMultilevel"/>
    <w:tmpl w:val="63F8B792"/>
    <w:lvl w:ilvl="0" w:tplc="69683B0A">
      <w:start w:val="1"/>
      <w:numFmt w:val="decimal"/>
      <w:lvlText w:val="%1."/>
      <w:lvlJc w:val="left"/>
      <w:pPr>
        <w:ind w:left="1145" w:hanging="360"/>
      </w:pPr>
      <w:rPr>
        <w:rFonts w:hint="default"/>
        <w:sz w:val="18"/>
      </w:r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62" w15:restartNumberingAfterBreak="0">
    <w:nsid w:val="63AD2366"/>
    <w:multiLevelType w:val="hybridMultilevel"/>
    <w:tmpl w:val="56E273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3" w15:restartNumberingAfterBreak="0">
    <w:nsid w:val="65762D31"/>
    <w:multiLevelType w:val="hybridMultilevel"/>
    <w:tmpl w:val="B45A8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15:restartNumberingAfterBreak="0">
    <w:nsid w:val="67FD2277"/>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5" w15:restartNumberingAfterBreak="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66" w15:restartNumberingAfterBreak="0">
    <w:nsid w:val="68FF5EE4"/>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9ED7029"/>
    <w:multiLevelType w:val="hybridMultilevel"/>
    <w:tmpl w:val="3A6CC300"/>
    <w:lvl w:ilvl="0" w:tplc="9AD2F6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69FF3618"/>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9" w15:restartNumberingAfterBreak="0">
    <w:nsid w:val="6A0052EA"/>
    <w:multiLevelType w:val="hybridMultilevel"/>
    <w:tmpl w:val="6DA24D1E"/>
    <w:lvl w:ilvl="0" w:tplc="65667E20">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0" w15:restartNumberingAfterBreak="0">
    <w:nsid w:val="6ADE0708"/>
    <w:multiLevelType w:val="hybridMultilevel"/>
    <w:tmpl w:val="CFEE8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6B9873C7"/>
    <w:multiLevelType w:val="hybridMultilevel"/>
    <w:tmpl w:val="C4BCE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6BBA0F42"/>
    <w:multiLevelType w:val="hybridMultilevel"/>
    <w:tmpl w:val="0220F8B4"/>
    <w:lvl w:ilvl="0" w:tplc="0C09000F">
      <w:start w:val="1"/>
      <w:numFmt w:val="decimal"/>
      <w:lvlText w:val="%1."/>
      <w:lvlJc w:val="left"/>
      <w:pPr>
        <w:ind w:left="768" w:hanging="360"/>
      </w:pPr>
      <w:rPr>
        <w:rFonts w:hint="default"/>
      </w:rPr>
    </w:lvl>
    <w:lvl w:ilvl="1" w:tplc="037ABE6A">
      <w:start w:val="1"/>
      <w:numFmt w:val="decimal"/>
      <w:lvlText w:val="%2"/>
      <w:lvlJc w:val="left"/>
      <w:pPr>
        <w:ind w:left="1488" w:hanging="360"/>
      </w:pPr>
      <w:rPr>
        <w:rFonts w:asciiTheme="minorHAnsi" w:eastAsiaTheme="minorEastAsia" w:hAnsiTheme="minorHAnsi" w:cstheme="minorBidi"/>
      </w:rPr>
    </w:lvl>
    <w:lvl w:ilvl="2" w:tplc="0C090003">
      <w:start w:val="1"/>
      <w:numFmt w:val="bullet"/>
      <w:lvlText w:val="o"/>
      <w:lvlJc w:val="left"/>
      <w:pPr>
        <w:ind w:left="2208" w:hanging="360"/>
      </w:pPr>
      <w:rPr>
        <w:rFonts w:ascii="Courier New" w:hAnsi="Courier New" w:cs="Courier New" w:hint="default"/>
      </w:rPr>
    </w:lvl>
    <w:lvl w:ilvl="3" w:tplc="D1CC16A4">
      <w:start w:val="1"/>
      <w:numFmt w:val="decimal"/>
      <w:lvlText w:val="%4)"/>
      <w:lvlJc w:val="left"/>
      <w:pPr>
        <w:ind w:left="2928" w:hanging="360"/>
      </w:pPr>
      <w:rPr>
        <w:rFonts w:eastAsiaTheme="majorEastAsia"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3" w15:restartNumberingAfterBreak="0">
    <w:nsid w:val="6BE757DC"/>
    <w:multiLevelType w:val="hybridMultilevel"/>
    <w:tmpl w:val="95485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C15222D"/>
    <w:multiLevelType w:val="multilevel"/>
    <w:tmpl w:val="A0F41E6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5" w15:restartNumberingAfterBreak="0">
    <w:nsid w:val="6D34272C"/>
    <w:multiLevelType w:val="hybridMultilevel"/>
    <w:tmpl w:val="897487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6" w15:restartNumberingAfterBreak="0">
    <w:nsid w:val="6E4A4BC5"/>
    <w:multiLevelType w:val="hybridMultilevel"/>
    <w:tmpl w:val="0F50D8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7" w15:restartNumberingAfterBreak="0">
    <w:nsid w:val="6EB276C9"/>
    <w:multiLevelType w:val="multilevel"/>
    <w:tmpl w:val="B8BEC792"/>
    <w:lvl w:ilvl="0">
      <w:start w:val="1"/>
      <w:numFmt w:val="decimal"/>
      <w:lvlText w:val="%1."/>
      <w:lvlJc w:val="left"/>
      <w:pPr>
        <w:ind w:left="862" w:hanging="720"/>
      </w:pPr>
      <w:rPr>
        <w:rFonts w:hint="default"/>
        <w:color w:val="000000" w:themeColor="text1"/>
        <w:sz w:val="18"/>
      </w:rPr>
    </w:lvl>
    <w:lvl w:ilvl="1">
      <w:start w:val="1"/>
      <w:numFmt w:val="lowerLetter"/>
      <w:lvlText w:val="%2."/>
      <w:lvlJc w:val="right"/>
      <w:pPr>
        <w:ind w:left="1080" w:hanging="720"/>
      </w:pPr>
      <w:rPr>
        <w:rFonts w:hint="default"/>
      </w:rPr>
    </w:lvl>
    <w:lvl w:ilvl="2">
      <w:start w:val="1"/>
      <w:numFmt w:val="lowerRoman"/>
      <w:lvlText w:val="%3."/>
      <w:lvlJc w:val="right"/>
      <w:pPr>
        <w:ind w:left="28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8" w15:restartNumberingAfterBreak="0">
    <w:nsid w:val="6F6E210E"/>
    <w:multiLevelType w:val="hybridMultilevel"/>
    <w:tmpl w:val="8952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6FEF617A"/>
    <w:multiLevelType w:val="hybridMultilevel"/>
    <w:tmpl w:val="63FE62F0"/>
    <w:lvl w:ilvl="0" w:tplc="BBBA88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0" w15:restartNumberingAfterBreak="0">
    <w:nsid w:val="70787EC1"/>
    <w:multiLevelType w:val="multilevel"/>
    <w:tmpl w:val="94F89D14"/>
    <w:lvl w:ilvl="0">
      <w:start w:val="1"/>
      <w:numFmt w:val="bullet"/>
      <w:pStyle w:val="bullet"/>
      <w:lvlText w:val=""/>
      <w:lvlJc w:val="left"/>
      <w:pPr>
        <w:tabs>
          <w:tab w:val="num" w:pos="568"/>
        </w:tabs>
        <w:ind w:left="511"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0E01BF6"/>
    <w:multiLevelType w:val="hybridMultilevel"/>
    <w:tmpl w:val="71D0B0CC"/>
    <w:lvl w:ilvl="0" w:tplc="6C5A37A4">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2"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3" w15:restartNumberingAfterBreak="0">
    <w:nsid w:val="718E26E3"/>
    <w:multiLevelType w:val="hybridMultilevel"/>
    <w:tmpl w:val="F974A2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4" w15:restartNumberingAfterBreak="0">
    <w:nsid w:val="72697C33"/>
    <w:multiLevelType w:val="hybridMultilevel"/>
    <w:tmpl w:val="EC1ED1F2"/>
    <w:lvl w:ilvl="0" w:tplc="0922B764">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5" w15:restartNumberingAfterBreak="0">
    <w:nsid w:val="72836C81"/>
    <w:multiLevelType w:val="multilevel"/>
    <w:tmpl w:val="D04A3182"/>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6" w15:restartNumberingAfterBreak="0">
    <w:nsid w:val="72A56C30"/>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7" w15:restartNumberingAfterBreak="0">
    <w:nsid w:val="73CE7D54"/>
    <w:multiLevelType w:val="hybridMultilevel"/>
    <w:tmpl w:val="BD504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743E3DB5"/>
    <w:multiLevelType w:val="hybridMultilevel"/>
    <w:tmpl w:val="238E543C"/>
    <w:lvl w:ilvl="0" w:tplc="A05EA164">
      <w:start w:val="1"/>
      <w:numFmt w:val="bullet"/>
      <w:lvlText w:val=""/>
      <w:lvlJc w:val="left"/>
      <w:pPr>
        <w:ind w:left="828" w:hanging="360"/>
      </w:pPr>
      <w:rPr>
        <w:rFonts w:ascii="Symbol" w:hAnsi="Symbol" w:hint="default"/>
        <w:color w:val="FFFFFF" w:themeColor="background2"/>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89" w15:restartNumberingAfterBreak="0">
    <w:nsid w:val="74761365"/>
    <w:multiLevelType w:val="multilevel"/>
    <w:tmpl w:val="E6EED20A"/>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0" w15:restartNumberingAfterBreak="0">
    <w:nsid w:val="74843A98"/>
    <w:multiLevelType w:val="multilevel"/>
    <w:tmpl w:val="B0C2737C"/>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1" w15:restartNumberingAfterBreak="0">
    <w:nsid w:val="761F4201"/>
    <w:multiLevelType w:val="multilevel"/>
    <w:tmpl w:val="615A4600"/>
    <w:lvl w:ilvl="0">
      <w:start w:val="1"/>
      <w:numFmt w:val="decimal"/>
      <w:lvlText w:val="%1."/>
      <w:lvlJc w:val="left"/>
      <w:pPr>
        <w:ind w:left="862" w:hanging="720"/>
      </w:pPr>
      <w:rPr>
        <w:rFonts w:hint="default"/>
        <w:color w:val="000000" w:themeColor="text1"/>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2" w15:restartNumberingAfterBreak="0">
    <w:nsid w:val="770F46C1"/>
    <w:multiLevelType w:val="hybridMultilevel"/>
    <w:tmpl w:val="3A6CC300"/>
    <w:lvl w:ilvl="0" w:tplc="9AD2F6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3" w15:restartNumberingAfterBreak="0">
    <w:nsid w:val="77D14CED"/>
    <w:multiLevelType w:val="hybridMultilevel"/>
    <w:tmpl w:val="F61639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4"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8CA2C80"/>
    <w:multiLevelType w:val="hybridMultilevel"/>
    <w:tmpl w:val="430EEC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6" w15:restartNumberingAfterBreak="0">
    <w:nsid w:val="78D8540B"/>
    <w:multiLevelType w:val="hybridMultilevel"/>
    <w:tmpl w:val="217CD5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7" w15:restartNumberingAfterBreak="0">
    <w:nsid w:val="7905062B"/>
    <w:multiLevelType w:val="hybridMultilevel"/>
    <w:tmpl w:val="C5B0A348"/>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8" w15:restartNumberingAfterBreak="0">
    <w:nsid w:val="79173D7B"/>
    <w:multiLevelType w:val="hybridMultilevel"/>
    <w:tmpl w:val="C9DA6CBC"/>
    <w:lvl w:ilvl="0" w:tplc="A05EA164">
      <w:start w:val="1"/>
      <w:numFmt w:val="bullet"/>
      <w:lvlText w:val=""/>
      <w:lvlJc w:val="left"/>
      <w:pPr>
        <w:ind w:left="720" w:hanging="360"/>
      </w:pPr>
      <w:rPr>
        <w:rFonts w:ascii="Symbol" w:hAnsi="Symbol" w:hint="default"/>
        <w:color w:val="FFFFFF"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799F0AAC"/>
    <w:multiLevelType w:val="hybridMultilevel"/>
    <w:tmpl w:val="3A08B3AE"/>
    <w:lvl w:ilvl="0" w:tplc="0C090001">
      <w:start w:val="1"/>
      <w:numFmt w:val="bullet"/>
      <w:pStyle w:val="ListbulletItalicinden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7B6A6754"/>
    <w:multiLevelType w:val="hybridMultilevel"/>
    <w:tmpl w:val="BEF43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7BCF154D"/>
    <w:multiLevelType w:val="hybridMultilevel"/>
    <w:tmpl w:val="56EAB3AA"/>
    <w:lvl w:ilvl="0" w:tplc="E1E229E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7BD57793"/>
    <w:multiLevelType w:val="hybridMultilevel"/>
    <w:tmpl w:val="1676F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3" w15:restartNumberingAfterBreak="0">
    <w:nsid w:val="7BE01534"/>
    <w:multiLevelType w:val="hybridMultilevel"/>
    <w:tmpl w:val="E5848E10"/>
    <w:lvl w:ilvl="0" w:tplc="6024C916">
      <w:start w:val="1"/>
      <w:numFmt w:val="decimal"/>
      <w:lvlText w:val="%1."/>
      <w:lvlJc w:val="left"/>
      <w:pPr>
        <w:ind w:left="720" w:hanging="360"/>
      </w:pPr>
      <w:rPr>
        <w:rFonts w:eastAsia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15:restartNumberingAfterBreak="0">
    <w:nsid w:val="7C3421B4"/>
    <w:multiLevelType w:val="hybridMultilevel"/>
    <w:tmpl w:val="38F0A1D8"/>
    <w:lvl w:ilvl="0" w:tplc="0DEC8C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5" w15:restartNumberingAfterBreak="0">
    <w:nsid w:val="7CC601ED"/>
    <w:multiLevelType w:val="hybridMultilevel"/>
    <w:tmpl w:val="A5C86F40"/>
    <w:lvl w:ilvl="0" w:tplc="0C090001">
      <w:start w:val="1"/>
      <w:numFmt w:val="lowerLetter"/>
      <w:pStyle w:val="Sourceandnotetextsubnote"/>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06" w15:restartNumberingAfterBreak="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7" w15:restartNumberingAfterBreak="0">
    <w:nsid w:val="7DDE7959"/>
    <w:multiLevelType w:val="hybridMultilevel"/>
    <w:tmpl w:val="3B4055D2"/>
    <w:lvl w:ilvl="0" w:tplc="A8FA2530">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8" w15:restartNumberingAfterBreak="0">
    <w:nsid w:val="7E4C6D4D"/>
    <w:multiLevelType w:val="hybridMultilevel"/>
    <w:tmpl w:val="010C8E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15:restartNumberingAfterBreak="0">
    <w:nsid w:val="7F4974A2"/>
    <w:multiLevelType w:val="hybridMultilevel"/>
    <w:tmpl w:val="F08A9770"/>
    <w:lvl w:ilvl="0" w:tplc="1C8C9776">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0" w15:restartNumberingAfterBreak="0">
    <w:nsid w:val="7F87204D"/>
    <w:multiLevelType w:val="hybridMultilevel"/>
    <w:tmpl w:val="2BE8CB5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7FCA2F76"/>
    <w:multiLevelType w:val="hybridMultilevel"/>
    <w:tmpl w:val="17428D80"/>
    <w:lvl w:ilvl="0" w:tplc="7436D5D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2"/>
    <w:lvlOverride w:ilvl="0">
      <w:lvl w:ilvl="0">
        <w:start w:val="1"/>
        <w:numFmt w:val="decimal"/>
        <w:pStyle w:val="ListNumber"/>
        <w:lvlText w:val="%1"/>
        <w:lvlJc w:val="left"/>
        <w:pPr>
          <w:ind w:left="360" w:hanging="360"/>
        </w:pPr>
        <w:rPr>
          <w:rFonts w:hint="default"/>
        </w:rPr>
      </w:lvl>
    </w:lvlOverride>
    <w:lvlOverride w:ilvl="1">
      <w:lvl w:ilvl="1">
        <w:start w:val="1"/>
        <w:numFmt w:val="decimal"/>
        <w:pStyle w:val="ListNumber2"/>
        <w:lvlText w:val="%1.%2"/>
        <w:lvlJc w:val="left"/>
        <w:pPr>
          <w:ind w:left="851" w:hanging="491"/>
        </w:pPr>
        <w:rPr>
          <w:rFonts w:hint="default"/>
        </w:rPr>
      </w:lvl>
    </w:lvlOverride>
    <w:lvlOverride w:ilvl="2">
      <w:lvl w:ilvl="2">
        <w:start w:val="1"/>
        <w:numFmt w:val="decimal"/>
        <w:pStyle w:val="ListNumber3"/>
        <w:lvlText w:val="%1.%2.%3"/>
        <w:lvlJc w:val="left"/>
        <w:pPr>
          <w:ind w:left="1474" w:hanging="623"/>
        </w:pPr>
        <w:rPr>
          <w:rFonts w:hint="default"/>
        </w:rPr>
      </w:lvl>
    </w:lvlOverride>
    <w:lvlOverride w:ilvl="3">
      <w:lvl w:ilvl="3">
        <w:start w:val="1"/>
        <w:numFmt w:val="decimal"/>
        <w:pStyle w:val="ListNumber4"/>
        <w:lvlText w:val="%1.%2.%3.%4"/>
        <w:lvlJc w:val="left"/>
        <w:pPr>
          <w:ind w:left="2268" w:hanging="737"/>
        </w:pPr>
        <w:rPr>
          <w:rFonts w:hint="default"/>
        </w:rPr>
      </w:lvl>
    </w:lvlOverride>
    <w:lvlOverride w:ilvl="4">
      <w:lvl w:ilvl="4">
        <w:start w:val="1"/>
        <w:numFmt w:val="none"/>
        <w:pStyle w:val="ListNumber5"/>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
    <w:abstractNumId w:val="182"/>
  </w:num>
  <w:num w:numId="4">
    <w:abstractNumId w:val="180"/>
  </w:num>
  <w:num w:numId="5">
    <w:abstractNumId w:val="112"/>
  </w:num>
  <w:num w:numId="6">
    <w:abstractNumId w:val="205"/>
  </w:num>
  <w:num w:numId="7">
    <w:abstractNumId w:val="194"/>
  </w:num>
  <w:num w:numId="8">
    <w:abstractNumId w:val="100"/>
  </w:num>
  <w:num w:numId="9">
    <w:abstractNumId w:val="40"/>
  </w:num>
  <w:num w:numId="10">
    <w:abstractNumId w:val="4"/>
  </w:num>
  <w:num w:numId="11">
    <w:abstractNumId w:val="206"/>
  </w:num>
  <w:num w:numId="12">
    <w:abstractNumId w:val="151"/>
  </w:num>
  <w:num w:numId="13">
    <w:abstractNumId w:val="165"/>
  </w:num>
  <w:num w:numId="14">
    <w:abstractNumId w:val="169"/>
  </w:num>
  <w:num w:numId="15">
    <w:abstractNumId w:val="42"/>
  </w:num>
  <w:num w:numId="16">
    <w:abstractNumId w:val="116"/>
  </w:num>
  <w:num w:numId="17">
    <w:abstractNumId w:val="199"/>
  </w:num>
  <w:num w:numId="18">
    <w:abstractNumId w:val="126"/>
  </w:num>
  <w:num w:numId="19">
    <w:abstractNumId w:val="193"/>
  </w:num>
  <w:num w:numId="2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160"/>
  </w:num>
  <w:num w:numId="23">
    <w:abstractNumId w:val="136"/>
  </w:num>
  <w:num w:numId="24">
    <w:abstractNumId w:val="89"/>
  </w:num>
  <w:num w:numId="25">
    <w:abstractNumId w:val="85"/>
  </w:num>
  <w:num w:numId="26">
    <w:abstractNumId w:val="109"/>
  </w:num>
  <w:num w:numId="27">
    <w:abstractNumId w:val="75"/>
  </w:num>
  <w:num w:numId="28">
    <w:abstractNumId w:val="81"/>
  </w:num>
  <w:num w:numId="29">
    <w:abstractNumId w:val="161"/>
  </w:num>
  <w:num w:numId="30">
    <w:abstractNumId w:val="207"/>
  </w:num>
  <w:num w:numId="31">
    <w:abstractNumId w:val="2"/>
  </w:num>
  <w:num w:numId="32">
    <w:abstractNumId w:val="130"/>
  </w:num>
  <w:num w:numId="33">
    <w:abstractNumId w:val="170"/>
  </w:num>
  <w:num w:numId="34">
    <w:abstractNumId w:val="114"/>
  </w:num>
  <w:num w:numId="35">
    <w:abstractNumId w:val="201"/>
  </w:num>
  <w:num w:numId="36">
    <w:abstractNumId w:val="98"/>
  </w:num>
  <w:num w:numId="37">
    <w:abstractNumId w:val="61"/>
  </w:num>
  <w:num w:numId="38">
    <w:abstractNumId w:val="140"/>
  </w:num>
  <w:num w:numId="39">
    <w:abstractNumId w:val="127"/>
  </w:num>
  <w:num w:numId="40">
    <w:abstractNumId w:val="38"/>
  </w:num>
  <w:num w:numId="41">
    <w:abstractNumId w:val="185"/>
  </w:num>
  <w:num w:numId="42">
    <w:abstractNumId w:val="17"/>
  </w:num>
  <w:num w:numId="43">
    <w:abstractNumId w:val="120"/>
  </w:num>
  <w:num w:numId="44">
    <w:abstractNumId w:val="23"/>
  </w:num>
  <w:num w:numId="45">
    <w:abstractNumId w:val="55"/>
  </w:num>
  <w:num w:numId="46">
    <w:abstractNumId w:val="13"/>
  </w:num>
  <w:num w:numId="47">
    <w:abstractNumId w:val="180"/>
  </w:num>
  <w:num w:numId="48">
    <w:abstractNumId w:val="37"/>
  </w:num>
  <w:num w:numId="49">
    <w:abstractNumId w:val="128"/>
  </w:num>
  <w:num w:numId="50">
    <w:abstractNumId w:val="210"/>
  </w:num>
  <w:num w:numId="51">
    <w:abstractNumId w:val="52"/>
  </w:num>
  <w:num w:numId="52">
    <w:abstractNumId w:val="159"/>
  </w:num>
  <w:num w:numId="53">
    <w:abstractNumId w:val="122"/>
  </w:num>
  <w:num w:numId="54">
    <w:abstractNumId w:val="28"/>
  </w:num>
  <w:num w:numId="55">
    <w:abstractNumId w:val="79"/>
  </w:num>
  <w:num w:numId="56">
    <w:abstractNumId w:val="73"/>
  </w:num>
  <w:num w:numId="57">
    <w:abstractNumId w:val="106"/>
  </w:num>
  <w:num w:numId="58">
    <w:abstractNumId w:val="139"/>
  </w:num>
  <w:num w:numId="59">
    <w:abstractNumId w:val="58"/>
  </w:num>
  <w:num w:numId="60">
    <w:abstractNumId w:val="72"/>
  </w:num>
  <w:num w:numId="61">
    <w:abstractNumId w:val="101"/>
  </w:num>
  <w:num w:numId="62">
    <w:abstractNumId w:val="29"/>
  </w:num>
  <w:num w:numId="63">
    <w:abstractNumId w:val="158"/>
  </w:num>
  <w:num w:numId="64">
    <w:abstractNumId w:val="59"/>
  </w:num>
  <w:num w:numId="65">
    <w:abstractNumId w:val="14"/>
  </w:num>
  <w:num w:numId="66">
    <w:abstractNumId w:val="179"/>
  </w:num>
  <w:num w:numId="67">
    <w:abstractNumId w:val="104"/>
  </w:num>
  <w:num w:numId="68">
    <w:abstractNumId w:val="92"/>
  </w:num>
  <w:num w:numId="69">
    <w:abstractNumId w:val="196"/>
  </w:num>
  <w:num w:numId="70">
    <w:abstractNumId w:val="203"/>
  </w:num>
  <w:num w:numId="71">
    <w:abstractNumId w:val="32"/>
  </w:num>
  <w:num w:numId="72">
    <w:abstractNumId w:val="70"/>
  </w:num>
  <w:num w:numId="73">
    <w:abstractNumId w:val="131"/>
  </w:num>
  <w:num w:numId="74">
    <w:abstractNumId w:val="64"/>
  </w:num>
  <w:num w:numId="75">
    <w:abstractNumId w:val="123"/>
  </w:num>
  <w:num w:numId="76">
    <w:abstractNumId w:val="25"/>
  </w:num>
  <w:num w:numId="77">
    <w:abstractNumId w:val="143"/>
  </w:num>
  <w:num w:numId="78">
    <w:abstractNumId w:val="169"/>
    <w:lvlOverride w:ilvl="0">
      <w:startOverride w:val="1"/>
    </w:lvlOverride>
  </w:num>
  <w:num w:numId="79">
    <w:abstractNumId w:val="169"/>
    <w:lvlOverride w:ilvl="0">
      <w:startOverride w:val="1"/>
    </w:lvlOverride>
  </w:num>
  <w:num w:numId="80">
    <w:abstractNumId w:val="156"/>
  </w:num>
  <w:num w:numId="81">
    <w:abstractNumId w:val="119"/>
  </w:num>
  <w:num w:numId="82">
    <w:abstractNumId w:val="99"/>
  </w:num>
  <w:num w:numId="83">
    <w:abstractNumId w:val="93"/>
  </w:num>
  <w:num w:numId="84">
    <w:abstractNumId w:val="35"/>
  </w:num>
  <w:num w:numId="85">
    <w:abstractNumId w:val="117"/>
  </w:num>
  <w:num w:numId="86">
    <w:abstractNumId w:val="67"/>
  </w:num>
  <w:num w:numId="87">
    <w:abstractNumId w:val="26"/>
  </w:num>
  <w:num w:numId="88">
    <w:abstractNumId w:val="47"/>
  </w:num>
  <w:num w:numId="89">
    <w:abstractNumId w:val="22"/>
  </w:num>
  <w:num w:numId="90">
    <w:abstractNumId w:val="172"/>
  </w:num>
  <w:num w:numId="91">
    <w:abstractNumId w:val="204"/>
  </w:num>
  <w:num w:numId="92">
    <w:abstractNumId w:val="94"/>
  </w:num>
  <w:num w:numId="93">
    <w:abstractNumId w:val="178"/>
  </w:num>
  <w:num w:numId="94">
    <w:abstractNumId w:val="171"/>
  </w:num>
  <w:num w:numId="95">
    <w:abstractNumId w:val="200"/>
  </w:num>
  <w:num w:numId="96">
    <w:abstractNumId w:val="74"/>
  </w:num>
  <w:num w:numId="97">
    <w:abstractNumId w:val="135"/>
  </w:num>
  <w:num w:numId="98">
    <w:abstractNumId w:val="195"/>
  </w:num>
  <w:num w:numId="99">
    <w:abstractNumId w:val="192"/>
  </w:num>
  <w:num w:numId="100">
    <w:abstractNumId w:val="167"/>
  </w:num>
  <w:num w:numId="101">
    <w:abstractNumId w:val="5"/>
  </w:num>
  <w:num w:numId="102">
    <w:abstractNumId w:val="121"/>
  </w:num>
  <w:num w:numId="103">
    <w:abstractNumId w:val="175"/>
  </w:num>
  <w:num w:numId="104">
    <w:abstractNumId w:val="155"/>
  </w:num>
  <w:num w:numId="105">
    <w:abstractNumId w:val="16"/>
  </w:num>
  <w:num w:numId="106">
    <w:abstractNumId w:val="15"/>
  </w:num>
  <w:num w:numId="107">
    <w:abstractNumId w:val="211"/>
  </w:num>
  <w:num w:numId="108">
    <w:abstractNumId w:val="10"/>
  </w:num>
  <w:num w:numId="109">
    <w:abstractNumId w:val="34"/>
  </w:num>
  <w:num w:numId="110">
    <w:abstractNumId w:val="108"/>
  </w:num>
  <w:num w:numId="111">
    <w:abstractNumId w:val="86"/>
  </w:num>
  <w:num w:numId="112">
    <w:abstractNumId w:val="162"/>
  </w:num>
  <w:num w:numId="113">
    <w:abstractNumId w:val="6"/>
  </w:num>
  <w:num w:numId="114">
    <w:abstractNumId w:val="197"/>
  </w:num>
  <w:num w:numId="115">
    <w:abstractNumId w:val="169"/>
  </w:num>
  <w:num w:numId="116">
    <w:abstractNumId w:val="157"/>
  </w:num>
  <w:num w:numId="117">
    <w:abstractNumId w:val="78"/>
  </w:num>
  <w:num w:numId="118">
    <w:abstractNumId w:val="209"/>
  </w:num>
  <w:num w:numId="119">
    <w:abstractNumId w:val="181"/>
  </w:num>
  <w:num w:numId="120">
    <w:abstractNumId w:val="181"/>
    <w:lvlOverride w:ilvl="0">
      <w:startOverride w:val="1"/>
    </w:lvlOverride>
  </w:num>
  <w:num w:numId="121">
    <w:abstractNumId w:val="57"/>
  </w:num>
  <w:num w:numId="122">
    <w:abstractNumId w:val="141"/>
  </w:num>
  <w:num w:numId="123">
    <w:abstractNumId w:val="141"/>
    <w:lvlOverride w:ilvl="0">
      <w:startOverride w:val="1"/>
    </w:lvlOverride>
  </w:num>
  <w:num w:numId="124">
    <w:abstractNumId w:val="50"/>
  </w:num>
  <w:num w:numId="125">
    <w:abstractNumId w:val="184"/>
  </w:num>
  <w:num w:numId="126">
    <w:abstractNumId w:val="125"/>
  </w:num>
  <w:num w:numId="127">
    <w:abstractNumId w:val="113"/>
  </w:num>
  <w:num w:numId="128">
    <w:abstractNumId w:val="142"/>
  </w:num>
  <w:num w:numId="129">
    <w:abstractNumId w:val="142"/>
    <w:lvlOverride w:ilvl="0">
      <w:startOverride w:val="1"/>
    </w:lvlOverride>
  </w:num>
  <w:num w:numId="130">
    <w:abstractNumId w:val="91"/>
  </w:num>
  <w:num w:numId="131">
    <w:abstractNumId w:val="145"/>
  </w:num>
  <w:num w:numId="132">
    <w:abstractNumId w:val="142"/>
    <w:lvlOverride w:ilvl="0">
      <w:startOverride w:val="1"/>
    </w:lvlOverride>
  </w:num>
  <w:num w:numId="133">
    <w:abstractNumId w:val="9"/>
  </w:num>
  <w:num w:numId="134">
    <w:abstractNumId w:val="189"/>
  </w:num>
  <w:num w:numId="135">
    <w:abstractNumId w:val="191"/>
  </w:num>
  <w:num w:numId="136">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9"/>
  </w:num>
  <w:num w:numId="143">
    <w:abstractNumId w:val="56"/>
  </w:num>
  <w:num w:numId="14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5"/>
  </w:num>
  <w:num w:numId="185">
    <w:abstractNumId w:val="144"/>
  </w:num>
  <w:num w:numId="186">
    <w:abstractNumId w:val="77"/>
  </w:num>
  <w:num w:numId="18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29"/>
  </w:num>
  <w:num w:numId="197">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29"/>
  </w:num>
  <w:num w:numId="200">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29"/>
  </w:num>
  <w:num w:numId="20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29"/>
  </w:num>
  <w:num w:numId="208">
    <w:abstractNumId w:val="129"/>
  </w:num>
  <w:num w:numId="209">
    <w:abstractNumId w:val="129"/>
  </w:num>
  <w:num w:numId="210">
    <w:abstractNumId w:val="129"/>
  </w:num>
  <w:num w:numId="211">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29"/>
  </w:num>
  <w:num w:numId="217">
    <w:abstractNumId w:val="129"/>
  </w:num>
  <w:num w:numId="218">
    <w:abstractNumId w:val="1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05"/>
  </w:num>
  <w:num w:numId="220">
    <w:abstractNumId w:val="174"/>
  </w:num>
  <w:num w:numId="221">
    <w:abstractNumId w:val="39"/>
  </w:num>
  <w:num w:numId="222">
    <w:abstractNumId w:val="138"/>
  </w:num>
  <w:num w:numId="223">
    <w:abstractNumId w:val="132"/>
  </w:num>
  <w:num w:numId="224">
    <w:abstractNumId w:val="133"/>
  </w:num>
  <w:num w:numId="225">
    <w:abstractNumId w:val="149"/>
  </w:num>
  <w:num w:numId="226">
    <w:abstractNumId w:val="65"/>
  </w:num>
  <w:num w:numId="227">
    <w:abstractNumId w:val="88"/>
  </w:num>
  <w:num w:numId="228">
    <w:abstractNumId w:val="186"/>
  </w:num>
  <w:num w:numId="229">
    <w:abstractNumId w:val="11"/>
  </w:num>
  <w:num w:numId="230">
    <w:abstractNumId w:val="71"/>
  </w:num>
  <w:num w:numId="231">
    <w:abstractNumId w:val="43"/>
  </w:num>
  <w:num w:numId="232">
    <w:abstractNumId w:val="30"/>
  </w:num>
  <w:num w:numId="233">
    <w:abstractNumId w:val="137"/>
  </w:num>
  <w:num w:numId="234">
    <w:abstractNumId w:val="190"/>
  </w:num>
  <w:num w:numId="235">
    <w:abstractNumId w:val="7"/>
  </w:num>
  <w:num w:numId="236">
    <w:abstractNumId w:val="177"/>
  </w:num>
  <w:num w:numId="237">
    <w:abstractNumId w:val="63"/>
  </w:num>
  <w:num w:numId="238">
    <w:abstractNumId w:val="53"/>
  </w:num>
  <w:num w:numId="239">
    <w:abstractNumId w:val="164"/>
  </w:num>
  <w:num w:numId="240">
    <w:abstractNumId w:val="76"/>
  </w:num>
  <w:num w:numId="241">
    <w:abstractNumId w:val="48"/>
  </w:num>
  <w:num w:numId="242">
    <w:abstractNumId w:val="80"/>
  </w:num>
  <w:num w:numId="243">
    <w:abstractNumId w:val="33"/>
  </w:num>
  <w:num w:numId="244">
    <w:abstractNumId w:val="3"/>
  </w:num>
  <w:num w:numId="245">
    <w:abstractNumId w:val="147"/>
  </w:num>
  <w:num w:numId="246">
    <w:abstractNumId w:val="153"/>
  </w:num>
  <w:num w:numId="247">
    <w:abstractNumId w:val="103"/>
  </w:num>
  <w:num w:numId="248">
    <w:abstractNumId w:val="24"/>
  </w:num>
  <w:num w:numId="249">
    <w:abstractNumId w:val="150"/>
  </w:num>
  <w:num w:numId="250">
    <w:abstractNumId w:val="168"/>
  </w:num>
  <w:num w:numId="251">
    <w:abstractNumId w:val="97"/>
  </w:num>
  <w:num w:numId="252">
    <w:abstractNumId w:val="166"/>
  </w:num>
  <w:num w:numId="253">
    <w:abstractNumId w:val="41"/>
  </w:num>
  <w:num w:numId="254">
    <w:abstractNumId w:val="12"/>
  </w:num>
  <w:num w:numId="255">
    <w:abstractNumId w:val="8"/>
  </w:num>
  <w:num w:numId="256">
    <w:abstractNumId w:val="54"/>
  </w:num>
  <w:num w:numId="257">
    <w:abstractNumId w:val="154"/>
  </w:num>
  <w:num w:numId="258">
    <w:abstractNumId w:val="31"/>
  </w:num>
  <w:num w:numId="259">
    <w:abstractNumId w:val="134"/>
  </w:num>
  <w:num w:numId="260">
    <w:abstractNumId w:val="84"/>
  </w:num>
  <w:num w:numId="261">
    <w:abstractNumId w:val="20"/>
  </w:num>
  <w:num w:numId="262">
    <w:abstractNumId w:val="66"/>
  </w:num>
  <w:num w:numId="263">
    <w:abstractNumId w:val="19"/>
  </w:num>
  <w:num w:numId="264">
    <w:abstractNumId w:val="36"/>
  </w:num>
  <w:num w:numId="265">
    <w:abstractNumId w:val="176"/>
  </w:num>
  <w:num w:numId="266">
    <w:abstractNumId w:val="152"/>
  </w:num>
  <w:num w:numId="267">
    <w:abstractNumId w:val="60"/>
  </w:num>
  <w:num w:numId="268">
    <w:abstractNumId w:val="62"/>
  </w:num>
  <w:num w:numId="269">
    <w:abstractNumId w:val="163"/>
  </w:num>
  <w:num w:numId="270">
    <w:abstractNumId w:val="173"/>
  </w:num>
  <w:num w:numId="271">
    <w:abstractNumId w:val="208"/>
  </w:num>
  <w:num w:numId="272">
    <w:abstractNumId w:val="69"/>
  </w:num>
  <w:num w:numId="273">
    <w:abstractNumId w:val="146"/>
  </w:num>
  <w:num w:numId="274">
    <w:abstractNumId w:val="49"/>
  </w:num>
  <w:num w:numId="275">
    <w:abstractNumId w:val="90"/>
  </w:num>
  <w:num w:numId="276">
    <w:abstractNumId w:val="118"/>
  </w:num>
  <w:num w:numId="277">
    <w:abstractNumId w:val="87"/>
  </w:num>
  <w:num w:numId="278">
    <w:abstractNumId w:val="44"/>
  </w:num>
  <w:num w:numId="279">
    <w:abstractNumId w:val="183"/>
  </w:num>
  <w:num w:numId="280">
    <w:abstractNumId w:val="124"/>
  </w:num>
  <w:num w:numId="281">
    <w:abstractNumId w:val="202"/>
  </w:num>
  <w:num w:numId="282">
    <w:abstractNumId w:val="111"/>
  </w:num>
  <w:num w:numId="283">
    <w:abstractNumId w:val="180"/>
  </w:num>
  <w:num w:numId="284">
    <w:abstractNumId w:val="72"/>
    <w:lvlOverride w:ilvl="0">
      <w:startOverride w:val="1"/>
      <w:lvl w:ilvl="0">
        <w:start w:val="1"/>
        <w:numFmt w:val="decimal"/>
        <w:pStyle w:val="ListNumber"/>
        <w:lvlText w:val="%1"/>
        <w:lvlJc w:val="left"/>
        <w:pPr>
          <w:ind w:left="360" w:hanging="360"/>
        </w:pPr>
        <w:rPr>
          <w:rFonts w:hint="default"/>
        </w:rPr>
      </w:lvl>
    </w:lvlOverride>
    <w:lvlOverride w:ilvl="1">
      <w:startOverride w:val="1"/>
      <w:lvl w:ilvl="1">
        <w:start w:val="1"/>
        <w:numFmt w:val="decimal"/>
        <w:pStyle w:val="ListNumber2"/>
        <w:lvlText w:val="%1.%2"/>
        <w:lvlJc w:val="left"/>
        <w:pPr>
          <w:ind w:left="851" w:hanging="491"/>
        </w:pPr>
        <w:rPr>
          <w:rFonts w:hint="default"/>
        </w:rPr>
      </w:lvl>
    </w:lvlOverride>
    <w:lvlOverride w:ilvl="2">
      <w:startOverride w:val="1"/>
      <w:lvl w:ilvl="2">
        <w:start w:val="1"/>
        <w:numFmt w:val="decimal"/>
        <w:pStyle w:val="ListNumber3"/>
        <w:lvlText w:val="%1.%2.%3"/>
        <w:lvlJc w:val="left"/>
        <w:pPr>
          <w:ind w:left="1474" w:hanging="623"/>
        </w:pPr>
        <w:rPr>
          <w:rFonts w:hint="default"/>
        </w:rPr>
      </w:lvl>
    </w:lvlOverride>
    <w:lvlOverride w:ilvl="3">
      <w:startOverride w:val="1"/>
      <w:lvl w:ilvl="3">
        <w:start w:val="1"/>
        <w:numFmt w:val="decimal"/>
        <w:pStyle w:val="ListNumber4"/>
        <w:lvlText w:val="%1.%2.%3.%4"/>
        <w:lvlJc w:val="left"/>
        <w:pPr>
          <w:ind w:left="2268" w:hanging="737"/>
        </w:pPr>
        <w:rPr>
          <w:rFonts w:hint="default"/>
        </w:rPr>
      </w:lvl>
    </w:lvlOverride>
    <w:lvlOverride w:ilvl="4">
      <w:startOverride w:val="1"/>
      <w:lvl w:ilvl="4">
        <w:start w:val="1"/>
        <w:numFmt w:val="none"/>
        <w:pStyle w:val="ListNumber5"/>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85">
    <w:abstractNumId w:val="107"/>
  </w:num>
  <w:num w:numId="286">
    <w:abstractNumId w:val="180"/>
  </w:num>
  <w:num w:numId="287">
    <w:abstractNumId w:val="68"/>
  </w:num>
  <w:num w:numId="288">
    <w:abstractNumId w:val="188"/>
  </w:num>
  <w:num w:numId="289">
    <w:abstractNumId w:val="198"/>
  </w:num>
  <w:num w:numId="290">
    <w:abstractNumId w:val="187"/>
  </w:num>
  <w:num w:numId="291">
    <w:abstractNumId w:val="46"/>
  </w:num>
  <w:num w:numId="292">
    <w:abstractNumId w:val="115"/>
  </w:num>
  <w:num w:numId="293">
    <w:abstractNumId w:val="148"/>
  </w:num>
  <w:num w:numId="294">
    <w:abstractNumId w:val="180"/>
  </w:num>
  <w:num w:numId="295">
    <w:abstractNumId w:val="180"/>
  </w:num>
  <w:num w:numId="296">
    <w:abstractNumId w:val="180"/>
  </w:num>
  <w:num w:numId="297">
    <w:abstractNumId w:val="180"/>
  </w:num>
  <w:num w:numId="298">
    <w:abstractNumId w:val="180"/>
  </w:num>
  <w:num w:numId="299">
    <w:abstractNumId w:val="180"/>
  </w:num>
  <w:num w:numId="300">
    <w:abstractNumId w:val="83"/>
  </w:num>
  <w:num w:numId="301">
    <w:abstractNumId w:val="21"/>
  </w:num>
  <w:num w:numId="302">
    <w:abstractNumId w:val="1"/>
  </w:num>
  <w:num w:numId="303">
    <w:abstractNumId w:val="0"/>
  </w:num>
  <w:num w:numId="304">
    <w:abstractNumId w:val="95"/>
  </w:num>
  <w:num w:numId="305">
    <w:abstractNumId w:val="27"/>
  </w:num>
  <w:num w:numId="306">
    <w:abstractNumId w:val="102"/>
  </w:num>
  <w:num w:numId="307">
    <w:abstractNumId w:val="96"/>
  </w:num>
  <w:num w:numId="308">
    <w:abstractNumId w:val="18"/>
  </w:num>
  <w:num w:numId="309">
    <w:abstractNumId w:val="95"/>
  </w:num>
  <w:num w:numId="310">
    <w:abstractNumId w:val="95"/>
  </w:num>
  <w:num w:numId="311">
    <w:abstractNumId w:val="51"/>
  </w:num>
  <w:numIdMacAtCleanup w:val="3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XmlVersion" w:val="Empty"/>
  </w:docVars>
  <w:rsids>
    <w:rsidRoot w:val="00C10C19"/>
    <w:rsid w:val="00001492"/>
    <w:rsid w:val="00001632"/>
    <w:rsid w:val="00002721"/>
    <w:rsid w:val="0000284E"/>
    <w:rsid w:val="000053FD"/>
    <w:rsid w:val="000123D3"/>
    <w:rsid w:val="00012687"/>
    <w:rsid w:val="00012AE8"/>
    <w:rsid w:val="000130CD"/>
    <w:rsid w:val="0001343A"/>
    <w:rsid w:val="0001375F"/>
    <w:rsid w:val="00013F41"/>
    <w:rsid w:val="00014556"/>
    <w:rsid w:val="000146B4"/>
    <w:rsid w:val="00016799"/>
    <w:rsid w:val="00017C1A"/>
    <w:rsid w:val="0002208B"/>
    <w:rsid w:val="00024076"/>
    <w:rsid w:val="0002446C"/>
    <w:rsid w:val="00024C64"/>
    <w:rsid w:val="00024E24"/>
    <w:rsid w:val="00025D92"/>
    <w:rsid w:val="0002631A"/>
    <w:rsid w:val="00026A22"/>
    <w:rsid w:val="00026CF0"/>
    <w:rsid w:val="00027AC6"/>
    <w:rsid w:val="000335E0"/>
    <w:rsid w:val="00034EAA"/>
    <w:rsid w:val="0003579C"/>
    <w:rsid w:val="00036D96"/>
    <w:rsid w:val="000372AB"/>
    <w:rsid w:val="00040B63"/>
    <w:rsid w:val="000412B7"/>
    <w:rsid w:val="00042762"/>
    <w:rsid w:val="0004451E"/>
    <w:rsid w:val="00046D10"/>
    <w:rsid w:val="00050F44"/>
    <w:rsid w:val="00051584"/>
    <w:rsid w:val="0005396F"/>
    <w:rsid w:val="00054230"/>
    <w:rsid w:val="000542DB"/>
    <w:rsid w:val="0005586D"/>
    <w:rsid w:val="00056533"/>
    <w:rsid w:val="000579FC"/>
    <w:rsid w:val="000615E1"/>
    <w:rsid w:val="00065102"/>
    <w:rsid w:val="00066F82"/>
    <w:rsid w:val="00067C93"/>
    <w:rsid w:val="000700C9"/>
    <w:rsid w:val="000709A5"/>
    <w:rsid w:val="00071819"/>
    <w:rsid w:val="000748CA"/>
    <w:rsid w:val="00074985"/>
    <w:rsid w:val="000752E9"/>
    <w:rsid w:val="00075A0C"/>
    <w:rsid w:val="00076EB4"/>
    <w:rsid w:val="000774FB"/>
    <w:rsid w:val="0007794F"/>
    <w:rsid w:val="000804DF"/>
    <w:rsid w:val="000814B2"/>
    <w:rsid w:val="00084E28"/>
    <w:rsid w:val="00085A34"/>
    <w:rsid w:val="000861A6"/>
    <w:rsid w:val="0008723A"/>
    <w:rsid w:val="00091DA1"/>
    <w:rsid w:val="00092C5D"/>
    <w:rsid w:val="00092C8A"/>
    <w:rsid w:val="00093440"/>
    <w:rsid w:val="000971AE"/>
    <w:rsid w:val="000A170D"/>
    <w:rsid w:val="000A2258"/>
    <w:rsid w:val="000A2362"/>
    <w:rsid w:val="000A248D"/>
    <w:rsid w:val="000A29EA"/>
    <w:rsid w:val="000A2B66"/>
    <w:rsid w:val="000A318B"/>
    <w:rsid w:val="000A3829"/>
    <w:rsid w:val="000A3A27"/>
    <w:rsid w:val="000A3A57"/>
    <w:rsid w:val="000A6817"/>
    <w:rsid w:val="000A712C"/>
    <w:rsid w:val="000A7391"/>
    <w:rsid w:val="000A7969"/>
    <w:rsid w:val="000A7A84"/>
    <w:rsid w:val="000B1408"/>
    <w:rsid w:val="000B1C73"/>
    <w:rsid w:val="000B228E"/>
    <w:rsid w:val="000B2C99"/>
    <w:rsid w:val="000B2F4D"/>
    <w:rsid w:val="000B40E8"/>
    <w:rsid w:val="000B7AD8"/>
    <w:rsid w:val="000B7C36"/>
    <w:rsid w:val="000B7C54"/>
    <w:rsid w:val="000C18BE"/>
    <w:rsid w:val="000C1CC6"/>
    <w:rsid w:val="000C1F65"/>
    <w:rsid w:val="000C2AC1"/>
    <w:rsid w:val="000C2C01"/>
    <w:rsid w:val="000C5AE1"/>
    <w:rsid w:val="000C5EBC"/>
    <w:rsid w:val="000C7418"/>
    <w:rsid w:val="000D26A6"/>
    <w:rsid w:val="000D3F80"/>
    <w:rsid w:val="000D3FD6"/>
    <w:rsid w:val="000D4797"/>
    <w:rsid w:val="000D58B3"/>
    <w:rsid w:val="000D5D9B"/>
    <w:rsid w:val="000D6D12"/>
    <w:rsid w:val="000D762B"/>
    <w:rsid w:val="000E0305"/>
    <w:rsid w:val="000E03A2"/>
    <w:rsid w:val="000E1345"/>
    <w:rsid w:val="000E2C43"/>
    <w:rsid w:val="000E3D4F"/>
    <w:rsid w:val="000E647A"/>
    <w:rsid w:val="000E7530"/>
    <w:rsid w:val="000E776D"/>
    <w:rsid w:val="000E7E7B"/>
    <w:rsid w:val="000F0C7E"/>
    <w:rsid w:val="000F1064"/>
    <w:rsid w:val="000F13F5"/>
    <w:rsid w:val="000F1544"/>
    <w:rsid w:val="000F17EB"/>
    <w:rsid w:val="000F1FE0"/>
    <w:rsid w:val="000F3BA2"/>
    <w:rsid w:val="000F4368"/>
    <w:rsid w:val="000F73A7"/>
    <w:rsid w:val="000F7ED9"/>
    <w:rsid w:val="001000D1"/>
    <w:rsid w:val="00100633"/>
    <w:rsid w:val="001012F0"/>
    <w:rsid w:val="00101801"/>
    <w:rsid w:val="00102687"/>
    <w:rsid w:val="00102C7A"/>
    <w:rsid w:val="00103067"/>
    <w:rsid w:val="001038AA"/>
    <w:rsid w:val="00103BC3"/>
    <w:rsid w:val="00104111"/>
    <w:rsid w:val="00105442"/>
    <w:rsid w:val="0010619B"/>
    <w:rsid w:val="001068E3"/>
    <w:rsid w:val="0011060A"/>
    <w:rsid w:val="0011132B"/>
    <w:rsid w:val="0011171D"/>
    <w:rsid w:val="00113FD5"/>
    <w:rsid w:val="001141E4"/>
    <w:rsid w:val="001145EE"/>
    <w:rsid w:val="00117055"/>
    <w:rsid w:val="0011747A"/>
    <w:rsid w:val="001175BF"/>
    <w:rsid w:val="00121E4B"/>
    <w:rsid w:val="0012210A"/>
    <w:rsid w:val="001227B8"/>
    <w:rsid w:val="001234B7"/>
    <w:rsid w:val="00123F79"/>
    <w:rsid w:val="001243C8"/>
    <w:rsid w:val="001253C6"/>
    <w:rsid w:val="00127E34"/>
    <w:rsid w:val="00130725"/>
    <w:rsid w:val="00130923"/>
    <w:rsid w:val="00130B88"/>
    <w:rsid w:val="00130E90"/>
    <w:rsid w:val="0013397B"/>
    <w:rsid w:val="00133C28"/>
    <w:rsid w:val="001369FF"/>
    <w:rsid w:val="00136E6B"/>
    <w:rsid w:val="001402B3"/>
    <w:rsid w:val="001412EF"/>
    <w:rsid w:val="001414F3"/>
    <w:rsid w:val="001416AD"/>
    <w:rsid w:val="00143FCD"/>
    <w:rsid w:val="001440A0"/>
    <w:rsid w:val="00144C6F"/>
    <w:rsid w:val="0014596F"/>
    <w:rsid w:val="0014644A"/>
    <w:rsid w:val="00146997"/>
    <w:rsid w:val="00146BD8"/>
    <w:rsid w:val="0015148C"/>
    <w:rsid w:val="0015186F"/>
    <w:rsid w:val="00151FC4"/>
    <w:rsid w:val="00153F4C"/>
    <w:rsid w:val="00157638"/>
    <w:rsid w:val="0016118F"/>
    <w:rsid w:val="001622A0"/>
    <w:rsid w:val="00162AE1"/>
    <w:rsid w:val="00162BF6"/>
    <w:rsid w:val="00166EEE"/>
    <w:rsid w:val="00167784"/>
    <w:rsid w:val="00170537"/>
    <w:rsid w:val="00170B27"/>
    <w:rsid w:val="00170C12"/>
    <w:rsid w:val="00170EE9"/>
    <w:rsid w:val="00174464"/>
    <w:rsid w:val="00174A71"/>
    <w:rsid w:val="00175916"/>
    <w:rsid w:val="00175E1D"/>
    <w:rsid w:val="00176D4F"/>
    <w:rsid w:val="001770E5"/>
    <w:rsid w:val="001802E6"/>
    <w:rsid w:val="0018032E"/>
    <w:rsid w:val="001830FD"/>
    <w:rsid w:val="00184228"/>
    <w:rsid w:val="00184AD3"/>
    <w:rsid w:val="001853E1"/>
    <w:rsid w:val="001861BA"/>
    <w:rsid w:val="00186408"/>
    <w:rsid w:val="00186645"/>
    <w:rsid w:val="00186978"/>
    <w:rsid w:val="00186C56"/>
    <w:rsid w:val="00187911"/>
    <w:rsid w:val="0018796B"/>
    <w:rsid w:val="00187E44"/>
    <w:rsid w:val="0019053B"/>
    <w:rsid w:val="001914F2"/>
    <w:rsid w:val="0019298C"/>
    <w:rsid w:val="0019349B"/>
    <w:rsid w:val="00193992"/>
    <w:rsid w:val="0019417F"/>
    <w:rsid w:val="0019430D"/>
    <w:rsid w:val="00194C9A"/>
    <w:rsid w:val="00194D21"/>
    <w:rsid w:val="001966AE"/>
    <w:rsid w:val="00197251"/>
    <w:rsid w:val="001A1E59"/>
    <w:rsid w:val="001A1EA1"/>
    <w:rsid w:val="001A400D"/>
    <w:rsid w:val="001A415A"/>
    <w:rsid w:val="001A4C35"/>
    <w:rsid w:val="001A4D7B"/>
    <w:rsid w:val="001A4FCE"/>
    <w:rsid w:val="001A6173"/>
    <w:rsid w:val="001A6186"/>
    <w:rsid w:val="001A61A3"/>
    <w:rsid w:val="001A7D23"/>
    <w:rsid w:val="001B18DF"/>
    <w:rsid w:val="001B2883"/>
    <w:rsid w:val="001B6467"/>
    <w:rsid w:val="001B7264"/>
    <w:rsid w:val="001B7EF3"/>
    <w:rsid w:val="001C2116"/>
    <w:rsid w:val="001C403E"/>
    <w:rsid w:val="001C4274"/>
    <w:rsid w:val="001C4630"/>
    <w:rsid w:val="001C512F"/>
    <w:rsid w:val="001C5622"/>
    <w:rsid w:val="001C639A"/>
    <w:rsid w:val="001C63E3"/>
    <w:rsid w:val="001D03AB"/>
    <w:rsid w:val="001D0EEC"/>
    <w:rsid w:val="001D127A"/>
    <w:rsid w:val="001D1448"/>
    <w:rsid w:val="001D24F6"/>
    <w:rsid w:val="001D277A"/>
    <w:rsid w:val="001D2838"/>
    <w:rsid w:val="001D3AC4"/>
    <w:rsid w:val="001D53EB"/>
    <w:rsid w:val="001D74A6"/>
    <w:rsid w:val="001D7748"/>
    <w:rsid w:val="001E05AD"/>
    <w:rsid w:val="001E0803"/>
    <w:rsid w:val="001E1CBD"/>
    <w:rsid w:val="001E693A"/>
    <w:rsid w:val="001F0081"/>
    <w:rsid w:val="001F0A6B"/>
    <w:rsid w:val="001F17EE"/>
    <w:rsid w:val="001F180A"/>
    <w:rsid w:val="001F1B4B"/>
    <w:rsid w:val="001F1C07"/>
    <w:rsid w:val="001F21B2"/>
    <w:rsid w:val="001F28F1"/>
    <w:rsid w:val="001F3009"/>
    <w:rsid w:val="001F3DCD"/>
    <w:rsid w:val="001F3E3A"/>
    <w:rsid w:val="001F4FEA"/>
    <w:rsid w:val="001F52DC"/>
    <w:rsid w:val="001F5AEC"/>
    <w:rsid w:val="00200410"/>
    <w:rsid w:val="00200E80"/>
    <w:rsid w:val="00202BF8"/>
    <w:rsid w:val="002038E2"/>
    <w:rsid w:val="002041E7"/>
    <w:rsid w:val="002052DB"/>
    <w:rsid w:val="00206237"/>
    <w:rsid w:val="0020771F"/>
    <w:rsid w:val="0021122F"/>
    <w:rsid w:val="0021517C"/>
    <w:rsid w:val="00216E1B"/>
    <w:rsid w:val="00216E41"/>
    <w:rsid w:val="0022123E"/>
    <w:rsid w:val="0022164A"/>
    <w:rsid w:val="002224D8"/>
    <w:rsid w:val="002231A4"/>
    <w:rsid w:val="00223EB1"/>
    <w:rsid w:val="00224627"/>
    <w:rsid w:val="00224E34"/>
    <w:rsid w:val="0022525F"/>
    <w:rsid w:val="0022762D"/>
    <w:rsid w:val="00227C3C"/>
    <w:rsid w:val="002303D5"/>
    <w:rsid w:val="00230418"/>
    <w:rsid w:val="00232CF7"/>
    <w:rsid w:val="00233A5F"/>
    <w:rsid w:val="00235E23"/>
    <w:rsid w:val="00235F95"/>
    <w:rsid w:val="00236917"/>
    <w:rsid w:val="00236B4A"/>
    <w:rsid w:val="002414D1"/>
    <w:rsid w:val="00243D6B"/>
    <w:rsid w:val="00244D87"/>
    <w:rsid w:val="00246C8A"/>
    <w:rsid w:val="00247BDA"/>
    <w:rsid w:val="0025006B"/>
    <w:rsid w:val="00250992"/>
    <w:rsid w:val="002509E1"/>
    <w:rsid w:val="00251E66"/>
    <w:rsid w:val="00254FE3"/>
    <w:rsid w:val="00255581"/>
    <w:rsid w:val="00257047"/>
    <w:rsid w:val="00257BFE"/>
    <w:rsid w:val="00260CAF"/>
    <w:rsid w:val="002617BB"/>
    <w:rsid w:val="0026197D"/>
    <w:rsid w:val="00261D3D"/>
    <w:rsid w:val="00263AEB"/>
    <w:rsid w:val="00264682"/>
    <w:rsid w:val="00265029"/>
    <w:rsid w:val="00265C71"/>
    <w:rsid w:val="00265E82"/>
    <w:rsid w:val="0026602C"/>
    <w:rsid w:val="0026626A"/>
    <w:rsid w:val="002665A6"/>
    <w:rsid w:val="002666BF"/>
    <w:rsid w:val="002671DD"/>
    <w:rsid w:val="00267BF1"/>
    <w:rsid w:val="00270CB8"/>
    <w:rsid w:val="00272A67"/>
    <w:rsid w:val="00272E61"/>
    <w:rsid w:val="00273104"/>
    <w:rsid w:val="002740F6"/>
    <w:rsid w:val="00274863"/>
    <w:rsid w:val="00277BFA"/>
    <w:rsid w:val="00282936"/>
    <w:rsid w:val="002841AB"/>
    <w:rsid w:val="00284D35"/>
    <w:rsid w:val="00284FE6"/>
    <w:rsid w:val="00286FCC"/>
    <w:rsid w:val="00290EF7"/>
    <w:rsid w:val="00292394"/>
    <w:rsid w:val="00292568"/>
    <w:rsid w:val="002930E2"/>
    <w:rsid w:val="00294C5C"/>
    <w:rsid w:val="00294CB5"/>
    <w:rsid w:val="002952A7"/>
    <w:rsid w:val="0029557C"/>
    <w:rsid w:val="00295B42"/>
    <w:rsid w:val="002A028E"/>
    <w:rsid w:val="002A07BD"/>
    <w:rsid w:val="002A0F08"/>
    <w:rsid w:val="002A14C1"/>
    <w:rsid w:val="002A2846"/>
    <w:rsid w:val="002A4E5C"/>
    <w:rsid w:val="002A6305"/>
    <w:rsid w:val="002A6DE7"/>
    <w:rsid w:val="002B0485"/>
    <w:rsid w:val="002B06E6"/>
    <w:rsid w:val="002B0B7C"/>
    <w:rsid w:val="002B3246"/>
    <w:rsid w:val="002B39BD"/>
    <w:rsid w:val="002B43F0"/>
    <w:rsid w:val="002B46B5"/>
    <w:rsid w:val="002B529B"/>
    <w:rsid w:val="002B7442"/>
    <w:rsid w:val="002B7588"/>
    <w:rsid w:val="002B75B3"/>
    <w:rsid w:val="002B7D83"/>
    <w:rsid w:val="002C05BD"/>
    <w:rsid w:val="002C0E78"/>
    <w:rsid w:val="002C1F24"/>
    <w:rsid w:val="002C2BB5"/>
    <w:rsid w:val="002C399A"/>
    <w:rsid w:val="002C427C"/>
    <w:rsid w:val="002C5033"/>
    <w:rsid w:val="002D271F"/>
    <w:rsid w:val="002D333E"/>
    <w:rsid w:val="002D41E2"/>
    <w:rsid w:val="002D4F3C"/>
    <w:rsid w:val="002D559A"/>
    <w:rsid w:val="002D6386"/>
    <w:rsid w:val="002D64ED"/>
    <w:rsid w:val="002D6B2C"/>
    <w:rsid w:val="002D71E7"/>
    <w:rsid w:val="002E1E1B"/>
    <w:rsid w:val="002E627F"/>
    <w:rsid w:val="002E6AF1"/>
    <w:rsid w:val="002F0892"/>
    <w:rsid w:val="002F0B81"/>
    <w:rsid w:val="002F242D"/>
    <w:rsid w:val="002F2581"/>
    <w:rsid w:val="002F3405"/>
    <w:rsid w:val="002F3B99"/>
    <w:rsid w:val="002F496A"/>
    <w:rsid w:val="002F4FD1"/>
    <w:rsid w:val="002F51E0"/>
    <w:rsid w:val="002F6CC4"/>
    <w:rsid w:val="002F7562"/>
    <w:rsid w:val="002F7E24"/>
    <w:rsid w:val="002F7EB7"/>
    <w:rsid w:val="0030062B"/>
    <w:rsid w:val="003013B7"/>
    <w:rsid w:val="00302086"/>
    <w:rsid w:val="00302FD1"/>
    <w:rsid w:val="00303505"/>
    <w:rsid w:val="003042A5"/>
    <w:rsid w:val="00305B35"/>
    <w:rsid w:val="00306270"/>
    <w:rsid w:val="00307E05"/>
    <w:rsid w:val="003100C0"/>
    <w:rsid w:val="00310919"/>
    <w:rsid w:val="00310B46"/>
    <w:rsid w:val="003114A5"/>
    <w:rsid w:val="0031184D"/>
    <w:rsid w:val="00311FBD"/>
    <w:rsid w:val="0031228A"/>
    <w:rsid w:val="00312816"/>
    <w:rsid w:val="00312C66"/>
    <w:rsid w:val="00312DCB"/>
    <w:rsid w:val="00315448"/>
    <w:rsid w:val="003166C5"/>
    <w:rsid w:val="00317C07"/>
    <w:rsid w:val="00317C6E"/>
    <w:rsid w:val="003205F4"/>
    <w:rsid w:val="00322A1C"/>
    <w:rsid w:val="0032401B"/>
    <w:rsid w:val="003242B9"/>
    <w:rsid w:val="003245A2"/>
    <w:rsid w:val="00324F50"/>
    <w:rsid w:val="00325BBF"/>
    <w:rsid w:val="00327578"/>
    <w:rsid w:val="0032778C"/>
    <w:rsid w:val="003278E5"/>
    <w:rsid w:val="00330784"/>
    <w:rsid w:val="00331592"/>
    <w:rsid w:val="003319F8"/>
    <w:rsid w:val="0033478B"/>
    <w:rsid w:val="00334F93"/>
    <w:rsid w:val="003367BF"/>
    <w:rsid w:val="00336D76"/>
    <w:rsid w:val="003410BA"/>
    <w:rsid w:val="003439E8"/>
    <w:rsid w:val="00343D10"/>
    <w:rsid w:val="00345DBC"/>
    <w:rsid w:val="00346298"/>
    <w:rsid w:val="003467A8"/>
    <w:rsid w:val="00347ED6"/>
    <w:rsid w:val="00351023"/>
    <w:rsid w:val="00351A0B"/>
    <w:rsid w:val="003523D7"/>
    <w:rsid w:val="00352D48"/>
    <w:rsid w:val="003550E7"/>
    <w:rsid w:val="00355B5B"/>
    <w:rsid w:val="00357FCE"/>
    <w:rsid w:val="0036051B"/>
    <w:rsid w:val="0036069E"/>
    <w:rsid w:val="0036108D"/>
    <w:rsid w:val="00361E7D"/>
    <w:rsid w:val="00364746"/>
    <w:rsid w:val="003649E1"/>
    <w:rsid w:val="00365024"/>
    <w:rsid w:val="00365867"/>
    <w:rsid w:val="003658F2"/>
    <w:rsid w:val="00365B09"/>
    <w:rsid w:val="00370213"/>
    <w:rsid w:val="0037046F"/>
    <w:rsid w:val="003719BA"/>
    <w:rsid w:val="00373C2A"/>
    <w:rsid w:val="00373F75"/>
    <w:rsid w:val="00374A04"/>
    <w:rsid w:val="00375698"/>
    <w:rsid w:val="00377B8E"/>
    <w:rsid w:val="0038112F"/>
    <w:rsid w:val="003825CB"/>
    <w:rsid w:val="00383C25"/>
    <w:rsid w:val="00384298"/>
    <w:rsid w:val="00386891"/>
    <w:rsid w:val="00386A40"/>
    <w:rsid w:val="003877A2"/>
    <w:rsid w:val="0038784A"/>
    <w:rsid w:val="00390B57"/>
    <w:rsid w:val="00391A6D"/>
    <w:rsid w:val="00393AFA"/>
    <w:rsid w:val="003944D9"/>
    <w:rsid w:val="003A14EB"/>
    <w:rsid w:val="003A1633"/>
    <w:rsid w:val="003A18DA"/>
    <w:rsid w:val="003A1A9C"/>
    <w:rsid w:val="003A21A0"/>
    <w:rsid w:val="003A2801"/>
    <w:rsid w:val="003A4D0C"/>
    <w:rsid w:val="003A5E8C"/>
    <w:rsid w:val="003A717B"/>
    <w:rsid w:val="003B1528"/>
    <w:rsid w:val="003B2420"/>
    <w:rsid w:val="003B26DB"/>
    <w:rsid w:val="003B308A"/>
    <w:rsid w:val="003B393F"/>
    <w:rsid w:val="003B3C72"/>
    <w:rsid w:val="003B3FBA"/>
    <w:rsid w:val="003B5C56"/>
    <w:rsid w:val="003B63F0"/>
    <w:rsid w:val="003C03F9"/>
    <w:rsid w:val="003C1317"/>
    <w:rsid w:val="003C1A65"/>
    <w:rsid w:val="003C2705"/>
    <w:rsid w:val="003C29A5"/>
    <w:rsid w:val="003C38C1"/>
    <w:rsid w:val="003C4CF2"/>
    <w:rsid w:val="003C50A7"/>
    <w:rsid w:val="003C53C3"/>
    <w:rsid w:val="003C7EBE"/>
    <w:rsid w:val="003D0397"/>
    <w:rsid w:val="003D04E3"/>
    <w:rsid w:val="003D4FA2"/>
    <w:rsid w:val="003D67FC"/>
    <w:rsid w:val="003E06F1"/>
    <w:rsid w:val="003E188F"/>
    <w:rsid w:val="003E2CAD"/>
    <w:rsid w:val="003E50CB"/>
    <w:rsid w:val="003E5784"/>
    <w:rsid w:val="003E612C"/>
    <w:rsid w:val="003E77ED"/>
    <w:rsid w:val="003F2CE9"/>
    <w:rsid w:val="003F2E9C"/>
    <w:rsid w:val="003F47A6"/>
    <w:rsid w:val="003F5085"/>
    <w:rsid w:val="003F5641"/>
    <w:rsid w:val="003F6BE4"/>
    <w:rsid w:val="003F6EBC"/>
    <w:rsid w:val="003F752C"/>
    <w:rsid w:val="003F7A9E"/>
    <w:rsid w:val="00400430"/>
    <w:rsid w:val="0040043C"/>
    <w:rsid w:val="00401218"/>
    <w:rsid w:val="00401247"/>
    <w:rsid w:val="004019DF"/>
    <w:rsid w:val="004021B4"/>
    <w:rsid w:val="004026FB"/>
    <w:rsid w:val="004028A4"/>
    <w:rsid w:val="0040299F"/>
    <w:rsid w:val="00402B83"/>
    <w:rsid w:val="00403511"/>
    <w:rsid w:val="00403941"/>
    <w:rsid w:val="00404111"/>
    <w:rsid w:val="0040414C"/>
    <w:rsid w:val="00404CD8"/>
    <w:rsid w:val="00405606"/>
    <w:rsid w:val="00405BC5"/>
    <w:rsid w:val="00406A43"/>
    <w:rsid w:val="00406E5A"/>
    <w:rsid w:val="0041014B"/>
    <w:rsid w:val="004108C4"/>
    <w:rsid w:val="00410D7A"/>
    <w:rsid w:val="00412553"/>
    <w:rsid w:val="00412E9D"/>
    <w:rsid w:val="0041306D"/>
    <w:rsid w:val="00413ACE"/>
    <w:rsid w:val="00417F51"/>
    <w:rsid w:val="00420DA2"/>
    <w:rsid w:val="00420E6F"/>
    <w:rsid w:val="00421D3C"/>
    <w:rsid w:val="00423440"/>
    <w:rsid w:val="00424239"/>
    <w:rsid w:val="004251C8"/>
    <w:rsid w:val="004268A6"/>
    <w:rsid w:val="0042738A"/>
    <w:rsid w:val="00427E0D"/>
    <w:rsid w:val="004314A0"/>
    <w:rsid w:val="00432A9C"/>
    <w:rsid w:val="00432D23"/>
    <w:rsid w:val="004334CB"/>
    <w:rsid w:val="004340F7"/>
    <w:rsid w:val="0043519B"/>
    <w:rsid w:val="004351A7"/>
    <w:rsid w:val="00435463"/>
    <w:rsid w:val="00435B7B"/>
    <w:rsid w:val="00436824"/>
    <w:rsid w:val="0043788A"/>
    <w:rsid w:val="00444178"/>
    <w:rsid w:val="0044573C"/>
    <w:rsid w:val="00445A28"/>
    <w:rsid w:val="00446924"/>
    <w:rsid w:val="00446B14"/>
    <w:rsid w:val="00447AAD"/>
    <w:rsid w:val="004535A1"/>
    <w:rsid w:val="00453FD1"/>
    <w:rsid w:val="004541A6"/>
    <w:rsid w:val="00454911"/>
    <w:rsid w:val="00455035"/>
    <w:rsid w:val="0045509F"/>
    <w:rsid w:val="0045515C"/>
    <w:rsid w:val="004555C5"/>
    <w:rsid w:val="00455698"/>
    <w:rsid w:val="0045597F"/>
    <w:rsid w:val="00455B34"/>
    <w:rsid w:val="00456334"/>
    <w:rsid w:val="00456C13"/>
    <w:rsid w:val="00456F75"/>
    <w:rsid w:val="004602EE"/>
    <w:rsid w:val="00461AB0"/>
    <w:rsid w:val="004623D5"/>
    <w:rsid w:val="00462AB2"/>
    <w:rsid w:val="004644B2"/>
    <w:rsid w:val="004648AF"/>
    <w:rsid w:val="00464D74"/>
    <w:rsid w:val="00465362"/>
    <w:rsid w:val="00466894"/>
    <w:rsid w:val="004673A3"/>
    <w:rsid w:val="00467C94"/>
    <w:rsid w:val="00467DB4"/>
    <w:rsid w:val="00470946"/>
    <w:rsid w:val="00471DBF"/>
    <w:rsid w:val="004740BE"/>
    <w:rsid w:val="004757D1"/>
    <w:rsid w:val="00475BA6"/>
    <w:rsid w:val="004772B3"/>
    <w:rsid w:val="004817A9"/>
    <w:rsid w:val="00482D67"/>
    <w:rsid w:val="004833B2"/>
    <w:rsid w:val="00484286"/>
    <w:rsid w:val="00484748"/>
    <w:rsid w:val="004875EC"/>
    <w:rsid w:val="0048762C"/>
    <w:rsid w:val="00487E2F"/>
    <w:rsid w:val="00487ED8"/>
    <w:rsid w:val="004905DB"/>
    <w:rsid w:val="00490E0D"/>
    <w:rsid w:val="00492EF3"/>
    <w:rsid w:val="00493002"/>
    <w:rsid w:val="0049368F"/>
    <w:rsid w:val="00494AF7"/>
    <w:rsid w:val="00496459"/>
    <w:rsid w:val="00497065"/>
    <w:rsid w:val="004A0135"/>
    <w:rsid w:val="004A1C7A"/>
    <w:rsid w:val="004A2E79"/>
    <w:rsid w:val="004A4219"/>
    <w:rsid w:val="004A54DE"/>
    <w:rsid w:val="004A6250"/>
    <w:rsid w:val="004A67FA"/>
    <w:rsid w:val="004A70EE"/>
    <w:rsid w:val="004A74AA"/>
    <w:rsid w:val="004B0448"/>
    <w:rsid w:val="004B1F81"/>
    <w:rsid w:val="004B256F"/>
    <w:rsid w:val="004B3428"/>
    <w:rsid w:val="004B38F9"/>
    <w:rsid w:val="004B507B"/>
    <w:rsid w:val="004B579D"/>
    <w:rsid w:val="004B60E8"/>
    <w:rsid w:val="004B6A80"/>
    <w:rsid w:val="004B6D6C"/>
    <w:rsid w:val="004C0589"/>
    <w:rsid w:val="004C0986"/>
    <w:rsid w:val="004C21FF"/>
    <w:rsid w:val="004C2959"/>
    <w:rsid w:val="004C3310"/>
    <w:rsid w:val="004C40AD"/>
    <w:rsid w:val="004C4C5B"/>
    <w:rsid w:val="004C4EAF"/>
    <w:rsid w:val="004C5472"/>
    <w:rsid w:val="004C6D9A"/>
    <w:rsid w:val="004D1287"/>
    <w:rsid w:val="004D241C"/>
    <w:rsid w:val="004D258B"/>
    <w:rsid w:val="004D4671"/>
    <w:rsid w:val="004D6525"/>
    <w:rsid w:val="004D74CE"/>
    <w:rsid w:val="004E0198"/>
    <w:rsid w:val="004E0743"/>
    <w:rsid w:val="004E0F3F"/>
    <w:rsid w:val="004E1F3F"/>
    <w:rsid w:val="004E3480"/>
    <w:rsid w:val="004E3F2F"/>
    <w:rsid w:val="004E6541"/>
    <w:rsid w:val="004F1ED7"/>
    <w:rsid w:val="004F25CA"/>
    <w:rsid w:val="004F27DD"/>
    <w:rsid w:val="004F2858"/>
    <w:rsid w:val="004F2C8A"/>
    <w:rsid w:val="004F3B01"/>
    <w:rsid w:val="004F3E1F"/>
    <w:rsid w:val="004F6AA1"/>
    <w:rsid w:val="005005CF"/>
    <w:rsid w:val="00500A89"/>
    <w:rsid w:val="00501B5A"/>
    <w:rsid w:val="00504847"/>
    <w:rsid w:val="005048B9"/>
    <w:rsid w:val="00504D4C"/>
    <w:rsid w:val="005068D7"/>
    <w:rsid w:val="00506F69"/>
    <w:rsid w:val="0051078B"/>
    <w:rsid w:val="00510D8D"/>
    <w:rsid w:val="005113B6"/>
    <w:rsid w:val="005119E1"/>
    <w:rsid w:val="005141F8"/>
    <w:rsid w:val="00514BB0"/>
    <w:rsid w:val="00516503"/>
    <w:rsid w:val="0051658B"/>
    <w:rsid w:val="005170A0"/>
    <w:rsid w:val="005172B5"/>
    <w:rsid w:val="00521130"/>
    <w:rsid w:val="00521853"/>
    <w:rsid w:val="00522703"/>
    <w:rsid w:val="00523323"/>
    <w:rsid w:val="005243AB"/>
    <w:rsid w:val="00525814"/>
    <w:rsid w:val="00525ED2"/>
    <w:rsid w:val="00526520"/>
    <w:rsid w:val="00527BC9"/>
    <w:rsid w:val="005311B5"/>
    <w:rsid w:val="005315D0"/>
    <w:rsid w:val="00531817"/>
    <w:rsid w:val="00533BC9"/>
    <w:rsid w:val="00535D39"/>
    <w:rsid w:val="00536CE7"/>
    <w:rsid w:val="00537679"/>
    <w:rsid w:val="00537F9B"/>
    <w:rsid w:val="005402F0"/>
    <w:rsid w:val="00540922"/>
    <w:rsid w:val="0054199A"/>
    <w:rsid w:val="00545383"/>
    <w:rsid w:val="0054577F"/>
    <w:rsid w:val="00545C7F"/>
    <w:rsid w:val="00550D51"/>
    <w:rsid w:val="00550DEF"/>
    <w:rsid w:val="00553086"/>
    <w:rsid w:val="005536D5"/>
    <w:rsid w:val="00554C50"/>
    <w:rsid w:val="00555CE6"/>
    <w:rsid w:val="00560CA0"/>
    <w:rsid w:val="005624F3"/>
    <w:rsid w:val="005634CD"/>
    <w:rsid w:val="005657A7"/>
    <w:rsid w:val="0056582B"/>
    <w:rsid w:val="00567287"/>
    <w:rsid w:val="00567DCF"/>
    <w:rsid w:val="00570100"/>
    <w:rsid w:val="00570AF2"/>
    <w:rsid w:val="00572CCD"/>
    <w:rsid w:val="00572FB8"/>
    <w:rsid w:val="005740AB"/>
    <w:rsid w:val="005767D3"/>
    <w:rsid w:val="00576C34"/>
    <w:rsid w:val="00580FA5"/>
    <w:rsid w:val="005811EF"/>
    <w:rsid w:val="005817A6"/>
    <w:rsid w:val="00581F05"/>
    <w:rsid w:val="005830EF"/>
    <w:rsid w:val="0058362D"/>
    <w:rsid w:val="0058547F"/>
    <w:rsid w:val="00585672"/>
    <w:rsid w:val="00585ECF"/>
    <w:rsid w:val="00586BFB"/>
    <w:rsid w:val="00586F68"/>
    <w:rsid w:val="00587658"/>
    <w:rsid w:val="005879B0"/>
    <w:rsid w:val="005921FD"/>
    <w:rsid w:val="00593D09"/>
    <w:rsid w:val="00593D3A"/>
    <w:rsid w:val="00595637"/>
    <w:rsid w:val="005958B2"/>
    <w:rsid w:val="005966D6"/>
    <w:rsid w:val="00596DB4"/>
    <w:rsid w:val="00597D07"/>
    <w:rsid w:val="005A01C3"/>
    <w:rsid w:val="005A0FC1"/>
    <w:rsid w:val="005B0857"/>
    <w:rsid w:val="005B0878"/>
    <w:rsid w:val="005B0EF8"/>
    <w:rsid w:val="005B435A"/>
    <w:rsid w:val="005B603C"/>
    <w:rsid w:val="005B651F"/>
    <w:rsid w:val="005B6559"/>
    <w:rsid w:val="005B7636"/>
    <w:rsid w:val="005C0A80"/>
    <w:rsid w:val="005C0E51"/>
    <w:rsid w:val="005C0FEC"/>
    <w:rsid w:val="005C13C7"/>
    <w:rsid w:val="005C15C0"/>
    <w:rsid w:val="005C27AC"/>
    <w:rsid w:val="005C5A44"/>
    <w:rsid w:val="005C5E60"/>
    <w:rsid w:val="005C6D4A"/>
    <w:rsid w:val="005D018B"/>
    <w:rsid w:val="005D03B0"/>
    <w:rsid w:val="005D1931"/>
    <w:rsid w:val="005D1B2A"/>
    <w:rsid w:val="005D1C21"/>
    <w:rsid w:val="005D1D37"/>
    <w:rsid w:val="005D2337"/>
    <w:rsid w:val="005D3B9A"/>
    <w:rsid w:val="005D6A20"/>
    <w:rsid w:val="005D72D9"/>
    <w:rsid w:val="005D7B0F"/>
    <w:rsid w:val="005E1673"/>
    <w:rsid w:val="005E18CF"/>
    <w:rsid w:val="005E1B5A"/>
    <w:rsid w:val="005E24EF"/>
    <w:rsid w:val="005E27F8"/>
    <w:rsid w:val="005E79D9"/>
    <w:rsid w:val="005F10B8"/>
    <w:rsid w:val="005F1335"/>
    <w:rsid w:val="005F3010"/>
    <w:rsid w:val="005F34FE"/>
    <w:rsid w:val="005F3F94"/>
    <w:rsid w:val="005F5BAA"/>
    <w:rsid w:val="005F73E1"/>
    <w:rsid w:val="005F7891"/>
    <w:rsid w:val="00602C1E"/>
    <w:rsid w:val="00603348"/>
    <w:rsid w:val="00603828"/>
    <w:rsid w:val="00603A71"/>
    <w:rsid w:val="00604AF3"/>
    <w:rsid w:val="00606A9A"/>
    <w:rsid w:val="006100CE"/>
    <w:rsid w:val="00610594"/>
    <w:rsid w:val="00610654"/>
    <w:rsid w:val="0061077B"/>
    <w:rsid w:val="006107F3"/>
    <w:rsid w:val="00610C60"/>
    <w:rsid w:val="00610C79"/>
    <w:rsid w:val="0061122B"/>
    <w:rsid w:val="00611EB6"/>
    <w:rsid w:val="006120DD"/>
    <w:rsid w:val="00612F65"/>
    <w:rsid w:val="00613C53"/>
    <w:rsid w:val="006149DB"/>
    <w:rsid w:val="006158BA"/>
    <w:rsid w:val="00615E25"/>
    <w:rsid w:val="006172EB"/>
    <w:rsid w:val="00617B70"/>
    <w:rsid w:val="00617C1C"/>
    <w:rsid w:val="00617FB4"/>
    <w:rsid w:val="0062144E"/>
    <w:rsid w:val="0062186E"/>
    <w:rsid w:val="00622375"/>
    <w:rsid w:val="006223B0"/>
    <w:rsid w:val="006246EC"/>
    <w:rsid w:val="0062471D"/>
    <w:rsid w:val="00624796"/>
    <w:rsid w:val="0062546C"/>
    <w:rsid w:val="00626B79"/>
    <w:rsid w:val="00627763"/>
    <w:rsid w:val="00630296"/>
    <w:rsid w:val="006318B9"/>
    <w:rsid w:val="00633B21"/>
    <w:rsid w:val="0063429A"/>
    <w:rsid w:val="00634447"/>
    <w:rsid w:val="0063524D"/>
    <w:rsid w:val="00636435"/>
    <w:rsid w:val="00636D4C"/>
    <w:rsid w:val="00640731"/>
    <w:rsid w:val="0064166F"/>
    <w:rsid w:val="00641827"/>
    <w:rsid w:val="00644B6A"/>
    <w:rsid w:val="006453ED"/>
    <w:rsid w:val="00645724"/>
    <w:rsid w:val="00645E80"/>
    <w:rsid w:val="006467F8"/>
    <w:rsid w:val="006472B2"/>
    <w:rsid w:val="00647F5E"/>
    <w:rsid w:val="006510E3"/>
    <w:rsid w:val="00651830"/>
    <w:rsid w:val="0065189E"/>
    <w:rsid w:val="00651B53"/>
    <w:rsid w:val="0065266F"/>
    <w:rsid w:val="00652712"/>
    <w:rsid w:val="00652F5B"/>
    <w:rsid w:val="00653475"/>
    <w:rsid w:val="00655382"/>
    <w:rsid w:val="00655921"/>
    <w:rsid w:val="00655E7B"/>
    <w:rsid w:val="00657284"/>
    <w:rsid w:val="00660C09"/>
    <w:rsid w:val="006612D9"/>
    <w:rsid w:val="006637C5"/>
    <w:rsid w:val="00663F4D"/>
    <w:rsid w:val="00664588"/>
    <w:rsid w:val="006669CD"/>
    <w:rsid w:val="006675A3"/>
    <w:rsid w:val="0067009E"/>
    <w:rsid w:val="0067026C"/>
    <w:rsid w:val="006706B3"/>
    <w:rsid w:val="00670EF3"/>
    <w:rsid w:val="00672733"/>
    <w:rsid w:val="006734ED"/>
    <w:rsid w:val="00674C1A"/>
    <w:rsid w:val="00674D84"/>
    <w:rsid w:val="0067512D"/>
    <w:rsid w:val="006772FF"/>
    <w:rsid w:val="0067757E"/>
    <w:rsid w:val="00677F35"/>
    <w:rsid w:val="0068110C"/>
    <w:rsid w:val="00682059"/>
    <w:rsid w:val="0068259C"/>
    <w:rsid w:val="006828AA"/>
    <w:rsid w:val="00682D84"/>
    <w:rsid w:val="00683FED"/>
    <w:rsid w:val="006845FC"/>
    <w:rsid w:val="00685ED6"/>
    <w:rsid w:val="00686C0B"/>
    <w:rsid w:val="006873B3"/>
    <w:rsid w:val="00692776"/>
    <w:rsid w:val="0069386D"/>
    <w:rsid w:val="00694177"/>
    <w:rsid w:val="0069539A"/>
    <w:rsid w:val="00695E19"/>
    <w:rsid w:val="006969DD"/>
    <w:rsid w:val="00696B06"/>
    <w:rsid w:val="006A12D5"/>
    <w:rsid w:val="006A1F08"/>
    <w:rsid w:val="006A25F0"/>
    <w:rsid w:val="006A31E6"/>
    <w:rsid w:val="006A5994"/>
    <w:rsid w:val="006A644B"/>
    <w:rsid w:val="006A75E5"/>
    <w:rsid w:val="006B0016"/>
    <w:rsid w:val="006B0039"/>
    <w:rsid w:val="006B29A2"/>
    <w:rsid w:val="006B2BD1"/>
    <w:rsid w:val="006B38EA"/>
    <w:rsid w:val="006B3FFD"/>
    <w:rsid w:val="006B512A"/>
    <w:rsid w:val="006B6AD7"/>
    <w:rsid w:val="006B7A57"/>
    <w:rsid w:val="006C0340"/>
    <w:rsid w:val="006C1102"/>
    <w:rsid w:val="006C1C05"/>
    <w:rsid w:val="006C1CF0"/>
    <w:rsid w:val="006C2079"/>
    <w:rsid w:val="006C3A8F"/>
    <w:rsid w:val="006C43FD"/>
    <w:rsid w:val="006C45B2"/>
    <w:rsid w:val="006C4FAE"/>
    <w:rsid w:val="006C6EEF"/>
    <w:rsid w:val="006C7496"/>
    <w:rsid w:val="006C7871"/>
    <w:rsid w:val="006C7C90"/>
    <w:rsid w:val="006D1398"/>
    <w:rsid w:val="006D3884"/>
    <w:rsid w:val="006D3E54"/>
    <w:rsid w:val="006D42E4"/>
    <w:rsid w:val="006D4912"/>
    <w:rsid w:val="006D5151"/>
    <w:rsid w:val="006D565F"/>
    <w:rsid w:val="006D5737"/>
    <w:rsid w:val="006D5A09"/>
    <w:rsid w:val="006D641F"/>
    <w:rsid w:val="006E0476"/>
    <w:rsid w:val="006E06C7"/>
    <w:rsid w:val="006E1FD1"/>
    <w:rsid w:val="006E205D"/>
    <w:rsid w:val="006E2D49"/>
    <w:rsid w:val="006E42D7"/>
    <w:rsid w:val="006E4AA0"/>
    <w:rsid w:val="006E6C71"/>
    <w:rsid w:val="006F0937"/>
    <w:rsid w:val="006F1796"/>
    <w:rsid w:val="006F2A3F"/>
    <w:rsid w:val="006F2D74"/>
    <w:rsid w:val="006F455A"/>
    <w:rsid w:val="006F5678"/>
    <w:rsid w:val="007000B5"/>
    <w:rsid w:val="00701E65"/>
    <w:rsid w:val="00702362"/>
    <w:rsid w:val="00702C0E"/>
    <w:rsid w:val="00704053"/>
    <w:rsid w:val="007047BC"/>
    <w:rsid w:val="007051A7"/>
    <w:rsid w:val="007057C5"/>
    <w:rsid w:val="00706112"/>
    <w:rsid w:val="00706A60"/>
    <w:rsid w:val="007107FC"/>
    <w:rsid w:val="00710848"/>
    <w:rsid w:val="007116A5"/>
    <w:rsid w:val="00712A8A"/>
    <w:rsid w:val="00712E49"/>
    <w:rsid w:val="00713C89"/>
    <w:rsid w:val="0071480B"/>
    <w:rsid w:val="00714B69"/>
    <w:rsid w:val="00717347"/>
    <w:rsid w:val="007177C0"/>
    <w:rsid w:val="007208AE"/>
    <w:rsid w:val="00721805"/>
    <w:rsid w:val="0072364B"/>
    <w:rsid w:val="00723DD7"/>
    <w:rsid w:val="0072519C"/>
    <w:rsid w:val="00727643"/>
    <w:rsid w:val="0072794D"/>
    <w:rsid w:val="00731195"/>
    <w:rsid w:val="00731F4D"/>
    <w:rsid w:val="00732012"/>
    <w:rsid w:val="00735186"/>
    <w:rsid w:val="00735B66"/>
    <w:rsid w:val="00735C5B"/>
    <w:rsid w:val="00736219"/>
    <w:rsid w:val="00736251"/>
    <w:rsid w:val="007368F7"/>
    <w:rsid w:val="007369D6"/>
    <w:rsid w:val="00737DF7"/>
    <w:rsid w:val="007401AE"/>
    <w:rsid w:val="007418ED"/>
    <w:rsid w:val="00742950"/>
    <w:rsid w:val="00742A91"/>
    <w:rsid w:val="007433E6"/>
    <w:rsid w:val="00744B12"/>
    <w:rsid w:val="007460CF"/>
    <w:rsid w:val="00746613"/>
    <w:rsid w:val="007468FC"/>
    <w:rsid w:val="00746C30"/>
    <w:rsid w:val="00747224"/>
    <w:rsid w:val="00750FA4"/>
    <w:rsid w:val="0075128E"/>
    <w:rsid w:val="00751C7B"/>
    <w:rsid w:val="00752179"/>
    <w:rsid w:val="007524D1"/>
    <w:rsid w:val="007542C5"/>
    <w:rsid w:val="0075543B"/>
    <w:rsid w:val="0075576F"/>
    <w:rsid w:val="007565F8"/>
    <w:rsid w:val="00756759"/>
    <w:rsid w:val="00757F23"/>
    <w:rsid w:val="00757FE1"/>
    <w:rsid w:val="00760772"/>
    <w:rsid w:val="00761005"/>
    <w:rsid w:val="00761594"/>
    <w:rsid w:val="007619CE"/>
    <w:rsid w:val="0076418A"/>
    <w:rsid w:val="00765EAC"/>
    <w:rsid w:val="00766672"/>
    <w:rsid w:val="00766F05"/>
    <w:rsid w:val="00767555"/>
    <w:rsid w:val="00770BA1"/>
    <w:rsid w:val="00771C4D"/>
    <w:rsid w:val="007728F1"/>
    <w:rsid w:val="00775184"/>
    <w:rsid w:val="007752F6"/>
    <w:rsid w:val="00776731"/>
    <w:rsid w:val="00777625"/>
    <w:rsid w:val="00780976"/>
    <w:rsid w:val="0078146E"/>
    <w:rsid w:val="007824E5"/>
    <w:rsid w:val="007833D7"/>
    <w:rsid w:val="007840D5"/>
    <w:rsid w:val="00784425"/>
    <w:rsid w:val="007847DA"/>
    <w:rsid w:val="00785D33"/>
    <w:rsid w:val="00787397"/>
    <w:rsid w:val="00791794"/>
    <w:rsid w:val="00792CA3"/>
    <w:rsid w:val="00793982"/>
    <w:rsid w:val="00793C77"/>
    <w:rsid w:val="00794EA4"/>
    <w:rsid w:val="007959C7"/>
    <w:rsid w:val="007969CC"/>
    <w:rsid w:val="007978CD"/>
    <w:rsid w:val="00797FB1"/>
    <w:rsid w:val="007A330B"/>
    <w:rsid w:val="007A56BD"/>
    <w:rsid w:val="007A5E08"/>
    <w:rsid w:val="007B04B1"/>
    <w:rsid w:val="007B1020"/>
    <w:rsid w:val="007B1375"/>
    <w:rsid w:val="007B1981"/>
    <w:rsid w:val="007B23E6"/>
    <w:rsid w:val="007B2FDD"/>
    <w:rsid w:val="007B3157"/>
    <w:rsid w:val="007B40EA"/>
    <w:rsid w:val="007B55E7"/>
    <w:rsid w:val="007B5673"/>
    <w:rsid w:val="007B68A3"/>
    <w:rsid w:val="007B6F19"/>
    <w:rsid w:val="007B719A"/>
    <w:rsid w:val="007B73EE"/>
    <w:rsid w:val="007B743F"/>
    <w:rsid w:val="007B7524"/>
    <w:rsid w:val="007B7B10"/>
    <w:rsid w:val="007B7DCB"/>
    <w:rsid w:val="007C03AE"/>
    <w:rsid w:val="007C112F"/>
    <w:rsid w:val="007C1455"/>
    <w:rsid w:val="007C1C29"/>
    <w:rsid w:val="007C268B"/>
    <w:rsid w:val="007C2C37"/>
    <w:rsid w:val="007C51E3"/>
    <w:rsid w:val="007C5E8A"/>
    <w:rsid w:val="007C75E1"/>
    <w:rsid w:val="007C7A05"/>
    <w:rsid w:val="007D04B3"/>
    <w:rsid w:val="007D0A36"/>
    <w:rsid w:val="007D123B"/>
    <w:rsid w:val="007D1AA8"/>
    <w:rsid w:val="007D3475"/>
    <w:rsid w:val="007D4482"/>
    <w:rsid w:val="007D45DC"/>
    <w:rsid w:val="007D58FB"/>
    <w:rsid w:val="007D59AF"/>
    <w:rsid w:val="007D5BC3"/>
    <w:rsid w:val="007D5BF1"/>
    <w:rsid w:val="007D5C11"/>
    <w:rsid w:val="007D6A35"/>
    <w:rsid w:val="007D6A93"/>
    <w:rsid w:val="007E1F15"/>
    <w:rsid w:val="007E22FC"/>
    <w:rsid w:val="007E2992"/>
    <w:rsid w:val="007E2D6A"/>
    <w:rsid w:val="007E443D"/>
    <w:rsid w:val="007E56EF"/>
    <w:rsid w:val="007E57CD"/>
    <w:rsid w:val="007F1538"/>
    <w:rsid w:val="007F212B"/>
    <w:rsid w:val="007F22E4"/>
    <w:rsid w:val="007F296F"/>
    <w:rsid w:val="007F2E7A"/>
    <w:rsid w:val="007F3869"/>
    <w:rsid w:val="007F4232"/>
    <w:rsid w:val="007F54BE"/>
    <w:rsid w:val="007F58AE"/>
    <w:rsid w:val="00800958"/>
    <w:rsid w:val="00804032"/>
    <w:rsid w:val="00805328"/>
    <w:rsid w:val="008063BA"/>
    <w:rsid w:val="008065A4"/>
    <w:rsid w:val="0080667F"/>
    <w:rsid w:val="00806ED3"/>
    <w:rsid w:val="0080713B"/>
    <w:rsid w:val="00807B6B"/>
    <w:rsid w:val="0081003D"/>
    <w:rsid w:val="008101B9"/>
    <w:rsid w:val="00810252"/>
    <w:rsid w:val="00810C71"/>
    <w:rsid w:val="0081240B"/>
    <w:rsid w:val="008139D1"/>
    <w:rsid w:val="00814408"/>
    <w:rsid w:val="00814ECA"/>
    <w:rsid w:val="00815590"/>
    <w:rsid w:val="008159BB"/>
    <w:rsid w:val="00815EA5"/>
    <w:rsid w:val="0081632B"/>
    <w:rsid w:val="008163DE"/>
    <w:rsid w:val="00816FC5"/>
    <w:rsid w:val="008173A1"/>
    <w:rsid w:val="00817E29"/>
    <w:rsid w:val="008200AA"/>
    <w:rsid w:val="008202C8"/>
    <w:rsid w:val="00820A19"/>
    <w:rsid w:val="008213DD"/>
    <w:rsid w:val="0082146F"/>
    <w:rsid w:val="00822A77"/>
    <w:rsid w:val="008246EA"/>
    <w:rsid w:val="00824C3D"/>
    <w:rsid w:val="00825C04"/>
    <w:rsid w:val="00825D46"/>
    <w:rsid w:val="008268A7"/>
    <w:rsid w:val="00826B48"/>
    <w:rsid w:val="008272D7"/>
    <w:rsid w:val="00827FF5"/>
    <w:rsid w:val="008338FF"/>
    <w:rsid w:val="0083399C"/>
    <w:rsid w:val="00834103"/>
    <w:rsid w:val="0083468A"/>
    <w:rsid w:val="00834E3A"/>
    <w:rsid w:val="008357B8"/>
    <w:rsid w:val="008364E8"/>
    <w:rsid w:val="00836923"/>
    <w:rsid w:val="00836EE5"/>
    <w:rsid w:val="00840D6C"/>
    <w:rsid w:val="008420D4"/>
    <w:rsid w:val="00842D43"/>
    <w:rsid w:val="00842DB6"/>
    <w:rsid w:val="0084399E"/>
    <w:rsid w:val="00845147"/>
    <w:rsid w:val="008476AA"/>
    <w:rsid w:val="00847EF7"/>
    <w:rsid w:val="008500E2"/>
    <w:rsid w:val="0085051A"/>
    <w:rsid w:val="00850AFC"/>
    <w:rsid w:val="00852BD7"/>
    <w:rsid w:val="0085430B"/>
    <w:rsid w:val="00854D76"/>
    <w:rsid w:val="00856211"/>
    <w:rsid w:val="008566A5"/>
    <w:rsid w:val="00856D1C"/>
    <w:rsid w:val="008576B4"/>
    <w:rsid w:val="00857BB6"/>
    <w:rsid w:val="00861BD8"/>
    <w:rsid w:val="00861E00"/>
    <w:rsid w:val="00861F6F"/>
    <w:rsid w:val="0086308F"/>
    <w:rsid w:val="008632E9"/>
    <w:rsid w:val="00863C31"/>
    <w:rsid w:val="00863C94"/>
    <w:rsid w:val="00864C5E"/>
    <w:rsid w:val="00866348"/>
    <w:rsid w:val="008669D9"/>
    <w:rsid w:val="00870AAF"/>
    <w:rsid w:val="008714FE"/>
    <w:rsid w:val="00871A3C"/>
    <w:rsid w:val="008727A8"/>
    <w:rsid w:val="008762F1"/>
    <w:rsid w:val="00876AC0"/>
    <w:rsid w:val="0087741A"/>
    <w:rsid w:val="00877E83"/>
    <w:rsid w:val="008800CB"/>
    <w:rsid w:val="00880DEF"/>
    <w:rsid w:val="00881B95"/>
    <w:rsid w:val="00882931"/>
    <w:rsid w:val="00882A95"/>
    <w:rsid w:val="00882BE1"/>
    <w:rsid w:val="008841C1"/>
    <w:rsid w:val="0088460C"/>
    <w:rsid w:val="00886013"/>
    <w:rsid w:val="00886DC3"/>
    <w:rsid w:val="00890C0D"/>
    <w:rsid w:val="00891C3E"/>
    <w:rsid w:val="00891FBD"/>
    <w:rsid w:val="00894D2A"/>
    <w:rsid w:val="0089699C"/>
    <w:rsid w:val="00897308"/>
    <w:rsid w:val="00897FBF"/>
    <w:rsid w:val="008A0963"/>
    <w:rsid w:val="008A151F"/>
    <w:rsid w:val="008A1C4E"/>
    <w:rsid w:val="008A283F"/>
    <w:rsid w:val="008A2DE5"/>
    <w:rsid w:val="008A3E42"/>
    <w:rsid w:val="008A7925"/>
    <w:rsid w:val="008A7CAD"/>
    <w:rsid w:val="008B2DE9"/>
    <w:rsid w:val="008B4661"/>
    <w:rsid w:val="008B694A"/>
    <w:rsid w:val="008B74F1"/>
    <w:rsid w:val="008C11CB"/>
    <w:rsid w:val="008C1594"/>
    <w:rsid w:val="008C164A"/>
    <w:rsid w:val="008C285E"/>
    <w:rsid w:val="008C40A4"/>
    <w:rsid w:val="008C4FD8"/>
    <w:rsid w:val="008C50A7"/>
    <w:rsid w:val="008C6E44"/>
    <w:rsid w:val="008C6E82"/>
    <w:rsid w:val="008C71D2"/>
    <w:rsid w:val="008D178A"/>
    <w:rsid w:val="008D1D34"/>
    <w:rsid w:val="008D35CB"/>
    <w:rsid w:val="008D3BC4"/>
    <w:rsid w:val="008D506F"/>
    <w:rsid w:val="008D62DD"/>
    <w:rsid w:val="008D7387"/>
    <w:rsid w:val="008E0468"/>
    <w:rsid w:val="008E13E5"/>
    <w:rsid w:val="008E22AB"/>
    <w:rsid w:val="008E2CFD"/>
    <w:rsid w:val="008E2DB5"/>
    <w:rsid w:val="008E387A"/>
    <w:rsid w:val="008E3943"/>
    <w:rsid w:val="008E59C0"/>
    <w:rsid w:val="008E6DA7"/>
    <w:rsid w:val="008F1B8A"/>
    <w:rsid w:val="008F24FF"/>
    <w:rsid w:val="008F388B"/>
    <w:rsid w:val="008F59DD"/>
    <w:rsid w:val="008F7468"/>
    <w:rsid w:val="008F7BB6"/>
    <w:rsid w:val="009016ED"/>
    <w:rsid w:val="00902C68"/>
    <w:rsid w:val="00903408"/>
    <w:rsid w:val="00903C41"/>
    <w:rsid w:val="00904C78"/>
    <w:rsid w:val="00904F45"/>
    <w:rsid w:val="009051F5"/>
    <w:rsid w:val="00907D0E"/>
    <w:rsid w:val="009116EA"/>
    <w:rsid w:val="00913A43"/>
    <w:rsid w:val="00913CC8"/>
    <w:rsid w:val="00913D5E"/>
    <w:rsid w:val="00916231"/>
    <w:rsid w:val="0092096F"/>
    <w:rsid w:val="00920CBC"/>
    <w:rsid w:val="00922305"/>
    <w:rsid w:val="0092440B"/>
    <w:rsid w:val="009245F1"/>
    <w:rsid w:val="00926FF6"/>
    <w:rsid w:val="009273D5"/>
    <w:rsid w:val="00927C45"/>
    <w:rsid w:val="009311B0"/>
    <w:rsid w:val="00931C83"/>
    <w:rsid w:val="0093240A"/>
    <w:rsid w:val="00933671"/>
    <w:rsid w:val="0093497A"/>
    <w:rsid w:val="009353B0"/>
    <w:rsid w:val="009355D9"/>
    <w:rsid w:val="0093567E"/>
    <w:rsid w:val="00940174"/>
    <w:rsid w:val="00940332"/>
    <w:rsid w:val="0094165C"/>
    <w:rsid w:val="009420D1"/>
    <w:rsid w:val="00942C61"/>
    <w:rsid w:val="00942EB7"/>
    <w:rsid w:val="00943912"/>
    <w:rsid w:val="00944425"/>
    <w:rsid w:val="0094537B"/>
    <w:rsid w:val="00945586"/>
    <w:rsid w:val="0094566C"/>
    <w:rsid w:val="00946ACE"/>
    <w:rsid w:val="009505DC"/>
    <w:rsid w:val="00954761"/>
    <w:rsid w:val="009555E8"/>
    <w:rsid w:val="00956148"/>
    <w:rsid w:val="00956AF9"/>
    <w:rsid w:val="00956B9F"/>
    <w:rsid w:val="00957F39"/>
    <w:rsid w:val="00957FBA"/>
    <w:rsid w:val="00961617"/>
    <w:rsid w:val="00961A6E"/>
    <w:rsid w:val="0096244A"/>
    <w:rsid w:val="00962A13"/>
    <w:rsid w:val="00963CC1"/>
    <w:rsid w:val="0096483F"/>
    <w:rsid w:val="00965537"/>
    <w:rsid w:val="00966545"/>
    <w:rsid w:val="009716CF"/>
    <w:rsid w:val="00971BA2"/>
    <w:rsid w:val="00972B80"/>
    <w:rsid w:val="00972BF7"/>
    <w:rsid w:val="00972DD5"/>
    <w:rsid w:val="00976ACB"/>
    <w:rsid w:val="00976D9A"/>
    <w:rsid w:val="00977577"/>
    <w:rsid w:val="0098103E"/>
    <w:rsid w:val="0098440E"/>
    <w:rsid w:val="00984879"/>
    <w:rsid w:val="00985632"/>
    <w:rsid w:val="0098651F"/>
    <w:rsid w:val="0098668D"/>
    <w:rsid w:val="009866F9"/>
    <w:rsid w:val="00986CA1"/>
    <w:rsid w:val="0098738D"/>
    <w:rsid w:val="009877F1"/>
    <w:rsid w:val="009878C4"/>
    <w:rsid w:val="00990848"/>
    <w:rsid w:val="00991B63"/>
    <w:rsid w:val="00992CE9"/>
    <w:rsid w:val="00994B7D"/>
    <w:rsid w:val="0099598E"/>
    <w:rsid w:val="00996E11"/>
    <w:rsid w:val="009A1371"/>
    <w:rsid w:val="009A1684"/>
    <w:rsid w:val="009A39BB"/>
    <w:rsid w:val="009A3A76"/>
    <w:rsid w:val="009A41B9"/>
    <w:rsid w:val="009A687F"/>
    <w:rsid w:val="009A6EA8"/>
    <w:rsid w:val="009B0D8C"/>
    <w:rsid w:val="009B1CD0"/>
    <w:rsid w:val="009B21A9"/>
    <w:rsid w:val="009B2428"/>
    <w:rsid w:val="009B33A2"/>
    <w:rsid w:val="009B3737"/>
    <w:rsid w:val="009B55FF"/>
    <w:rsid w:val="009B5CB7"/>
    <w:rsid w:val="009B706E"/>
    <w:rsid w:val="009B7A7D"/>
    <w:rsid w:val="009C0D4B"/>
    <w:rsid w:val="009C3C01"/>
    <w:rsid w:val="009C400A"/>
    <w:rsid w:val="009C45FD"/>
    <w:rsid w:val="009C56D5"/>
    <w:rsid w:val="009C5738"/>
    <w:rsid w:val="009C5986"/>
    <w:rsid w:val="009C69A0"/>
    <w:rsid w:val="009C6F64"/>
    <w:rsid w:val="009C72C5"/>
    <w:rsid w:val="009D496C"/>
    <w:rsid w:val="009D5DE2"/>
    <w:rsid w:val="009D7E30"/>
    <w:rsid w:val="009E219B"/>
    <w:rsid w:val="009E2768"/>
    <w:rsid w:val="009E2811"/>
    <w:rsid w:val="009E3EA9"/>
    <w:rsid w:val="009E67A9"/>
    <w:rsid w:val="009E6EC6"/>
    <w:rsid w:val="009E79BB"/>
    <w:rsid w:val="009F0D61"/>
    <w:rsid w:val="009F15CD"/>
    <w:rsid w:val="009F333F"/>
    <w:rsid w:val="009F47EF"/>
    <w:rsid w:val="009F5A75"/>
    <w:rsid w:val="009F6570"/>
    <w:rsid w:val="009F7F48"/>
    <w:rsid w:val="00A001FA"/>
    <w:rsid w:val="00A003CE"/>
    <w:rsid w:val="00A00B00"/>
    <w:rsid w:val="00A00C00"/>
    <w:rsid w:val="00A012F9"/>
    <w:rsid w:val="00A01C07"/>
    <w:rsid w:val="00A01DAB"/>
    <w:rsid w:val="00A043B4"/>
    <w:rsid w:val="00A049AB"/>
    <w:rsid w:val="00A04E98"/>
    <w:rsid w:val="00A0596B"/>
    <w:rsid w:val="00A05B74"/>
    <w:rsid w:val="00A103F1"/>
    <w:rsid w:val="00A1052F"/>
    <w:rsid w:val="00A11686"/>
    <w:rsid w:val="00A118EC"/>
    <w:rsid w:val="00A1201C"/>
    <w:rsid w:val="00A12938"/>
    <w:rsid w:val="00A12E8A"/>
    <w:rsid w:val="00A15CFA"/>
    <w:rsid w:val="00A173A3"/>
    <w:rsid w:val="00A2129B"/>
    <w:rsid w:val="00A21FB0"/>
    <w:rsid w:val="00A21FFE"/>
    <w:rsid w:val="00A22E7E"/>
    <w:rsid w:val="00A25431"/>
    <w:rsid w:val="00A254DF"/>
    <w:rsid w:val="00A2568E"/>
    <w:rsid w:val="00A265AC"/>
    <w:rsid w:val="00A27F51"/>
    <w:rsid w:val="00A31242"/>
    <w:rsid w:val="00A31CE8"/>
    <w:rsid w:val="00A33792"/>
    <w:rsid w:val="00A33CC8"/>
    <w:rsid w:val="00A33EF3"/>
    <w:rsid w:val="00A3560B"/>
    <w:rsid w:val="00A369D9"/>
    <w:rsid w:val="00A36D17"/>
    <w:rsid w:val="00A36DFE"/>
    <w:rsid w:val="00A404A0"/>
    <w:rsid w:val="00A42F7A"/>
    <w:rsid w:val="00A45DEF"/>
    <w:rsid w:val="00A46197"/>
    <w:rsid w:val="00A46E02"/>
    <w:rsid w:val="00A470B8"/>
    <w:rsid w:val="00A47A06"/>
    <w:rsid w:val="00A47E70"/>
    <w:rsid w:val="00A504DB"/>
    <w:rsid w:val="00A52530"/>
    <w:rsid w:val="00A52ADC"/>
    <w:rsid w:val="00A536D9"/>
    <w:rsid w:val="00A537AF"/>
    <w:rsid w:val="00A53AAB"/>
    <w:rsid w:val="00A53F4C"/>
    <w:rsid w:val="00A54315"/>
    <w:rsid w:val="00A551BF"/>
    <w:rsid w:val="00A559C6"/>
    <w:rsid w:val="00A567F2"/>
    <w:rsid w:val="00A579FE"/>
    <w:rsid w:val="00A57DC0"/>
    <w:rsid w:val="00A57DE0"/>
    <w:rsid w:val="00A57E9F"/>
    <w:rsid w:val="00A6000A"/>
    <w:rsid w:val="00A61631"/>
    <w:rsid w:val="00A62584"/>
    <w:rsid w:val="00A62F06"/>
    <w:rsid w:val="00A63870"/>
    <w:rsid w:val="00A644BF"/>
    <w:rsid w:val="00A6571E"/>
    <w:rsid w:val="00A669E6"/>
    <w:rsid w:val="00A675B4"/>
    <w:rsid w:val="00A67921"/>
    <w:rsid w:val="00A67DE4"/>
    <w:rsid w:val="00A70524"/>
    <w:rsid w:val="00A71255"/>
    <w:rsid w:val="00A71C96"/>
    <w:rsid w:val="00A71F69"/>
    <w:rsid w:val="00A73406"/>
    <w:rsid w:val="00A739A4"/>
    <w:rsid w:val="00A75480"/>
    <w:rsid w:val="00A760AF"/>
    <w:rsid w:val="00A76C54"/>
    <w:rsid w:val="00A76FB2"/>
    <w:rsid w:val="00A8132E"/>
    <w:rsid w:val="00A81C03"/>
    <w:rsid w:val="00A81E40"/>
    <w:rsid w:val="00A82A36"/>
    <w:rsid w:val="00A82E59"/>
    <w:rsid w:val="00A82F06"/>
    <w:rsid w:val="00A8479A"/>
    <w:rsid w:val="00A854E0"/>
    <w:rsid w:val="00A85C10"/>
    <w:rsid w:val="00A86586"/>
    <w:rsid w:val="00A875FC"/>
    <w:rsid w:val="00A91CD1"/>
    <w:rsid w:val="00A94B35"/>
    <w:rsid w:val="00A9591C"/>
    <w:rsid w:val="00A9672C"/>
    <w:rsid w:val="00A96EDD"/>
    <w:rsid w:val="00A97C51"/>
    <w:rsid w:val="00AA0692"/>
    <w:rsid w:val="00AA3A7A"/>
    <w:rsid w:val="00AA57FC"/>
    <w:rsid w:val="00AA5E2E"/>
    <w:rsid w:val="00AA794B"/>
    <w:rsid w:val="00AB1A07"/>
    <w:rsid w:val="00AB3A3F"/>
    <w:rsid w:val="00AB5939"/>
    <w:rsid w:val="00AB61D8"/>
    <w:rsid w:val="00AB6AF9"/>
    <w:rsid w:val="00AB7156"/>
    <w:rsid w:val="00AB74CD"/>
    <w:rsid w:val="00AC0044"/>
    <w:rsid w:val="00AC11DD"/>
    <w:rsid w:val="00AC1C25"/>
    <w:rsid w:val="00AC21E7"/>
    <w:rsid w:val="00AC259E"/>
    <w:rsid w:val="00AC26E6"/>
    <w:rsid w:val="00AC3F79"/>
    <w:rsid w:val="00AC65DA"/>
    <w:rsid w:val="00AC6BB3"/>
    <w:rsid w:val="00AD249E"/>
    <w:rsid w:val="00AD3507"/>
    <w:rsid w:val="00AD3F72"/>
    <w:rsid w:val="00AD50ED"/>
    <w:rsid w:val="00AD5214"/>
    <w:rsid w:val="00AD6782"/>
    <w:rsid w:val="00AD6837"/>
    <w:rsid w:val="00AD6D88"/>
    <w:rsid w:val="00AD6EF8"/>
    <w:rsid w:val="00AD6EFA"/>
    <w:rsid w:val="00AD71BE"/>
    <w:rsid w:val="00AD7E3F"/>
    <w:rsid w:val="00AE0718"/>
    <w:rsid w:val="00AE0D53"/>
    <w:rsid w:val="00AE43DD"/>
    <w:rsid w:val="00AE4704"/>
    <w:rsid w:val="00AE501D"/>
    <w:rsid w:val="00AE75A0"/>
    <w:rsid w:val="00AE7D0B"/>
    <w:rsid w:val="00AE7D55"/>
    <w:rsid w:val="00AF104F"/>
    <w:rsid w:val="00AF1890"/>
    <w:rsid w:val="00AF410D"/>
    <w:rsid w:val="00AF5618"/>
    <w:rsid w:val="00AF6AC7"/>
    <w:rsid w:val="00AF7FEB"/>
    <w:rsid w:val="00B008BF"/>
    <w:rsid w:val="00B00E7D"/>
    <w:rsid w:val="00B01606"/>
    <w:rsid w:val="00B0223F"/>
    <w:rsid w:val="00B02C8F"/>
    <w:rsid w:val="00B0306B"/>
    <w:rsid w:val="00B039A8"/>
    <w:rsid w:val="00B04197"/>
    <w:rsid w:val="00B0547A"/>
    <w:rsid w:val="00B078D7"/>
    <w:rsid w:val="00B07CB9"/>
    <w:rsid w:val="00B07EB8"/>
    <w:rsid w:val="00B10CFF"/>
    <w:rsid w:val="00B113EB"/>
    <w:rsid w:val="00B1186A"/>
    <w:rsid w:val="00B12353"/>
    <w:rsid w:val="00B140F2"/>
    <w:rsid w:val="00B1425C"/>
    <w:rsid w:val="00B15D38"/>
    <w:rsid w:val="00B171AB"/>
    <w:rsid w:val="00B17748"/>
    <w:rsid w:val="00B2212F"/>
    <w:rsid w:val="00B22267"/>
    <w:rsid w:val="00B232B5"/>
    <w:rsid w:val="00B2377E"/>
    <w:rsid w:val="00B23B83"/>
    <w:rsid w:val="00B23B8D"/>
    <w:rsid w:val="00B2456E"/>
    <w:rsid w:val="00B27013"/>
    <w:rsid w:val="00B2722A"/>
    <w:rsid w:val="00B31EED"/>
    <w:rsid w:val="00B32B5B"/>
    <w:rsid w:val="00B332E1"/>
    <w:rsid w:val="00B33BCC"/>
    <w:rsid w:val="00B344C0"/>
    <w:rsid w:val="00B34DB1"/>
    <w:rsid w:val="00B37618"/>
    <w:rsid w:val="00B405F4"/>
    <w:rsid w:val="00B412F4"/>
    <w:rsid w:val="00B41852"/>
    <w:rsid w:val="00B42E47"/>
    <w:rsid w:val="00B43A48"/>
    <w:rsid w:val="00B43A68"/>
    <w:rsid w:val="00B448A6"/>
    <w:rsid w:val="00B4512A"/>
    <w:rsid w:val="00B45E85"/>
    <w:rsid w:val="00B52FEF"/>
    <w:rsid w:val="00B53009"/>
    <w:rsid w:val="00B535F8"/>
    <w:rsid w:val="00B53786"/>
    <w:rsid w:val="00B57A20"/>
    <w:rsid w:val="00B60926"/>
    <w:rsid w:val="00B60DE9"/>
    <w:rsid w:val="00B618BA"/>
    <w:rsid w:val="00B637BA"/>
    <w:rsid w:val="00B6385C"/>
    <w:rsid w:val="00B64A6C"/>
    <w:rsid w:val="00B67C16"/>
    <w:rsid w:val="00B70376"/>
    <w:rsid w:val="00B72AD4"/>
    <w:rsid w:val="00B73571"/>
    <w:rsid w:val="00B74EDC"/>
    <w:rsid w:val="00B75621"/>
    <w:rsid w:val="00B75FBC"/>
    <w:rsid w:val="00B771D9"/>
    <w:rsid w:val="00B804FE"/>
    <w:rsid w:val="00B80BC9"/>
    <w:rsid w:val="00B82E1F"/>
    <w:rsid w:val="00B86241"/>
    <w:rsid w:val="00B9160A"/>
    <w:rsid w:val="00B9563B"/>
    <w:rsid w:val="00B95A64"/>
    <w:rsid w:val="00B97A51"/>
    <w:rsid w:val="00B97AB7"/>
    <w:rsid w:val="00B97FC9"/>
    <w:rsid w:val="00BA09AA"/>
    <w:rsid w:val="00BA1102"/>
    <w:rsid w:val="00BA265F"/>
    <w:rsid w:val="00BA26E0"/>
    <w:rsid w:val="00BA282D"/>
    <w:rsid w:val="00BA3063"/>
    <w:rsid w:val="00BA4249"/>
    <w:rsid w:val="00BA5FB5"/>
    <w:rsid w:val="00BA7A68"/>
    <w:rsid w:val="00BB3285"/>
    <w:rsid w:val="00BB3C08"/>
    <w:rsid w:val="00BB3FAD"/>
    <w:rsid w:val="00BB4EA3"/>
    <w:rsid w:val="00BB6260"/>
    <w:rsid w:val="00BB7BEA"/>
    <w:rsid w:val="00BC2802"/>
    <w:rsid w:val="00BC326C"/>
    <w:rsid w:val="00BC46B8"/>
    <w:rsid w:val="00BC46CC"/>
    <w:rsid w:val="00BC4DAE"/>
    <w:rsid w:val="00BC4E74"/>
    <w:rsid w:val="00BC72D3"/>
    <w:rsid w:val="00BC7B26"/>
    <w:rsid w:val="00BD500D"/>
    <w:rsid w:val="00BD7794"/>
    <w:rsid w:val="00BD7C2B"/>
    <w:rsid w:val="00BE19A6"/>
    <w:rsid w:val="00BE29F9"/>
    <w:rsid w:val="00BE2E98"/>
    <w:rsid w:val="00BE4344"/>
    <w:rsid w:val="00BE4AA3"/>
    <w:rsid w:val="00BE5D78"/>
    <w:rsid w:val="00BE7268"/>
    <w:rsid w:val="00BE7647"/>
    <w:rsid w:val="00BE7E40"/>
    <w:rsid w:val="00BF007B"/>
    <w:rsid w:val="00BF0183"/>
    <w:rsid w:val="00BF0BD6"/>
    <w:rsid w:val="00BF0F4E"/>
    <w:rsid w:val="00BF10F4"/>
    <w:rsid w:val="00BF2F5E"/>
    <w:rsid w:val="00BF36BA"/>
    <w:rsid w:val="00BF5FE5"/>
    <w:rsid w:val="00BF60DD"/>
    <w:rsid w:val="00BF6DE1"/>
    <w:rsid w:val="00C00A04"/>
    <w:rsid w:val="00C027EA"/>
    <w:rsid w:val="00C02BD2"/>
    <w:rsid w:val="00C02C2E"/>
    <w:rsid w:val="00C02EE9"/>
    <w:rsid w:val="00C038EC"/>
    <w:rsid w:val="00C04475"/>
    <w:rsid w:val="00C04D6F"/>
    <w:rsid w:val="00C05E74"/>
    <w:rsid w:val="00C06458"/>
    <w:rsid w:val="00C0685D"/>
    <w:rsid w:val="00C06A55"/>
    <w:rsid w:val="00C07153"/>
    <w:rsid w:val="00C10C19"/>
    <w:rsid w:val="00C11AFC"/>
    <w:rsid w:val="00C143B8"/>
    <w:rsid w:val="00C15029"/>
    <w:rsid w:val="00C15385"/>
    <w:rsid w:val="00C169F7"/>
    <w:rsid w:val="00C17D02"/>
    <w:rsid w:val="00C203C0"/>
    <w:rsid w:val="00C2090C"/>
    <w:rsid w:val="00C21332"/>
    <w:rsid w:val="00C22AC5"/>
    <w:rsid w:val="00C23E82"/>
    <w:rsid w:val="00C24454"/>
    <w:rsid w:val="00C2452E"/>
    <w:rsid w:val="00C24D7A"/>
    <w:rsid w:val="00C2521F"/>
    <w:rsid w:val="00C2535B"/>
    <w:rsid w:val="00C2547E"/>
    <w:rsid w:val="00C25EE3"/>
    <w:rsid w:val="00C26F94"/>
    <w:rsid w:val="00C309B7"/>
    <w:rsid w:val="00C335BC"/>
    <w:rsid w:val="00C349FA"/>
    <w:rsid w:val="00C40D6E"/>
    <w:rsid w:val="00C41250"/>
    <w:rsid w:val="00C41AB0"/>
    <w:rsid w:val="00C42AD1"/>
    <w:rsid w:val="00C458DE"/>
    <w:rsid w:val="00C464CA"/>
    <w:rsid w:val="00C4673C"/>
    <w:rsid w:val="00C50EC5"/>
    <w:rsid w:val="00C5154D"/>
    <w:rsid w:val="00C51E60"/>
    <w:rsid w:val="00C52785"/>
    <w:rsid w:val="00C531EF"/>
    <w:rsid w:val="00C5435B"/>
    <w:rsid w:val="00C54FFA"/>
    <w:rsid w:val="00C553B1"/>
    <w:rsid w:val="00C55AF7"/>
    <w:rsid w:val="00C55C40"/>
    <w:rsid w:val="00C5649C"/>
    <w:rsid w:val="00C56DF5"/>
    <w:rsid w:val="00C5729F"/>
    <w:rsid w:val="00C57C6B"/>
    <w:rsid w:val="00C6068A"/>
    <w:rsid w:val="00C60BD7"/>
    <w:rsid w:val="00C61EF7"/>
    <w:rsid w:val="00C622F1"/>
    <w:rsid w:val="00C62400"/>
    <w:rsid w:val="00C627ED"/>
    <w:rsid w:val="00C62CC0"/>
    <w:rsid w:val="00C63160"/>
    <w:rsid w:val="00C63FA9"/>
    <w:rsid w:val="00C65138"/>
    <w:rsid w:val="00C65681"/>
    <w:rsid w:val="00C661D4"/>
    <w:rsid w:val="00C66786"/>
    <w:rsid w:val="00C67A39"/>
    <w:rsid w:val="00C70E25"/>
    <w:rsid w:val="00C71F46"/>
    <w:rsid w:val="00C72057"/>
    <w:rsid w:val="00C72904"/>
    <w:rsid w:val="00C74AD8"/>
    <w:rsid w:val="00C75415"/>
    <w:rsid w:val="00C75486"/>
    <w:rsid w:val="00C76185"/>
    <w:rsid w:val="00C76ADF"/>
    <w:rsid w:val="00C76E85"/>
    <w:rsid w:val="00C8202C"/>
    <w:rsid w:val="00C82A60"/>
    <w:rsid w:val="00C83FDF"/>
    <w:rsid w:val="00C84926"/>
    <w:rsid w:val="00C86A27"/>
    <w:rsid w:val="00C91408"/>
    <w:rsid w:val="00C92636"/>
    <w:rsid w:val="00C92A5B"/>
    <w:rsid w:val="00C92E26"/>
    <w:rsid w:val="00C92F36"/>
    <w:rsid w:val="00C96310"/>
    <w:rsid w:val="00C96943"/>
    <w:rsid w:val="00C9713E"/>
    <w:rsid w:val="00C97F90"/>
    <w:rsid w:val="00CA1DA7"/>
    <w:rsid w:val="00CA1DF5"/>
    <w:rsid w:val="00CA229E"/>
    <w:rsid w:val="00CA37D4"/>
    <w:rsid w:val="00CA3FE9"/>
    <w:rsid w:val="00CA462C"/>
    <w:rsid w:val="00CA46EC"/>
    <w:rsid w:val="00CA4BA5"/>
    <w:rsid w:val="00CA61F7"/>
    <w:rsid w:val="00CA6EAB"/>
    <w:rsid w:val="00CA7F69"/>
    <w:rsid w:val="00CB0462"/>
    <w:rsid w:val="00CB07C3"/>
    <w:rsid w:val="00CB17DB"/>
    <w:rsid w:val="00CB557F"/>
    <w:rsid w:val="00CC0846"/>
    <w:rsid w:val="00CC1D3C"/>
    <w:rsid w:val="00CC1EFF"/>
    <w:rsid w:val="00CC2714"/>
    <w:rsid w:val="00CC3369"/>
    <w:rsid w:val="00CC3EDC"/>
    <w:rsid w:val="00CC6250"/>
    <w:rsid w:val="00CC6876"/>
    <w:rsid w:val="00CC7C13"/>
    <w:rsid w:val="00CD0803"/>
    <w:rsid w:val="00CD13F5"/>
    <w:rsid w:val="00CD2C33"/>
    <w:rsid w:val="00CD3816"/>
    <w:rsid w:val="00CD45C4"/>
    <w:rsid w:val="00CD4720"/>
    <w:rsid w:val="00CD4E6D"/>
    <w:rsid w:val="00CD5044"/>
    <w:rsid w:val="00CD5986"/>
    <w:rsid w:val="00CD6766"/>
    <w:rsid w:val="00CD7613"/>
    <w:rsid w:val="00CE07CF"/>
    <w:rsid w:val="00CE19C1"/>
    <w:rsid w:val="00CE473F"/>
    <w:rsid w:val="00CE4D95"/>
    <w:rsid w:val="00CE510D"/>
    <w:rsid w:val="00CE5F13"/>
    <w:rsid w:val="00CE70B2"/>
    <w:rsid w:val="00CE7729"/>
    <w:rsid w:val="00CE7FE0"/>
    <w:rsid w:val="00CF00FC"/>
    <w:rsid w:val="00CF06E4"/>
    <w:rsid w:val="00CF3D23"/>
    <w:rsid w:val="00CF4879"/>
    <w:rsid w:val="00CF5732"/>
    <w:rsid w:val="00CF63AA"/>
    <w:rsid w:val="00D014A2"/>
    <w:rsid w:val="00D01788"/>
    <w:rsid w:val="00D01916"/>
    <w:rsid w:val="00D01DC7"/>
    <w:rsid w:val="00D02989"/>
    <w:rsid w:val="00D03335"/>
    <w:rsid w:val="00D042E7"/>
    <w:rsid w:val="00D0566D"/>
    <w:rsid w:val="00D05B29"/>
    <w:rsid w:val="00D06E1A"/>
    <w:rsid w:val="00D1394D"/>
    <w:rsid w:val="00D13F99"/>
    <w:rsid w:val="00D14344"/>
    <w:rsid w:val="00D151DC"/>
    <w:rsid w:val="00D167E8"/>
    <w:rsid w:val="00D16C63"/>
    <w:rsid w:val="00D17970"/>
    <w:rsid w:val="00D17E66"/>
    <w:rsid w:val="00D20CB6"/>
    <w:rsid w:val="00D20EB4"/>
    <w:rsid w:val="00D217E6"/>
    <w:rsid w:val="00D22402"/>
    <w:rsid w:val="00D22405"/>
    <w:rsid w:val="00D22747"/>
    <w:rsid w:val="00D2420B"/>
    <w:rsid w:val="00D247F6"/>
    <w:rsid w:val="00D24CD8"/>
    <w:rsid w:val="00D25FB0"/>
    <w:rsid w:val="00D26BE8"/>
    <w:rsid w:val="00D319E7"/>
    <w:rsid w:val="00D34BAF"/>
    <w:rsid w:val="00D37B87"/>
    <w:rsid w:val="00D41BAF"/>
    <w:rsid w:val="00D42784"/>
    <w:rsid w:val="00D4354D"/>
    <w:rsid w:val="00D435CF"/>
    <w:rsid w:val="00D44AAA"/>
    <w:rsid w:val="00D47081"/>
    <w:rsid w:val="00D47740"/>
    <w:rsid w:val="00D52B1F"/>
    <w:rsid w:val="00D537AE"/>
    <w:rsid w:val="00D54254"/>
    <w:rsid w:val="00D548A8"/>
    <w:rsid w:val="00D568C4"/>
    <w:rsid w:val="00D60D51"/>
    <w:rsid w:val="00D62287"/>
    <w:rsid w:val="00D62B65"/>
    <w:rsid w:val="00D62FE6"/>
    <w:rsid w:val="00D63806"/>
    <w:rsid w:val="00D6383E"/>
    <w:rsid w:val="00D64C6B"/>
    <w:rsid w:val="00D64E3F"/>
    <w:rsid w:val="00D65567"/>
    <w:rsid w:val="00D66DCF"/>
    <w:rsid w:val="00D674C4"/>
    <w:rsid w:val="00D70D28"/>
    <w:rsid w:val="00D712A1"/>
    <w:rsid w:val="00D715CA"/>
    <w:rsid w:val="00D73C91"/>
    <w:rsid w:val="00D74AA4"/>
    <w:rsid w:val="00D7566F"/>
    <w:rsid w:val="00D75965"/>
    <w:rsid w:val="00D7689C"/>
    <w:rsid w:val="00D7695C"/>
    <w:rsid w:val="00D803FA"/>
    <w:rsid w:val="00D80AB4"/>
    <w:rsid w:val="00D812B9"/>
    <w:rsid w:val="00D82082"/>
    <w:rsid w:val="00D8350F"/>
    <w:rsid w:val="00D83C44"/>
    <w:rsid w:val="00D8640F"/>
    <w:rsid w:val="00D8662A"/>
    <w:rsid w:val="00D875CB"/>
    <w:rsid w:val="00D87DBB"/>
    <w:rsid w:val="00D87FA5"/>
    <w:rsid w:val="00D903FD"/>
    <w:rsid w:val="00D92495"/>
    <w:rsid w:val="00D94BC5"/>
    <w:rsid w:val="00D96A94"/>
    <w:rsid w:val="00D96ADF"/>
    <w:rsid w:val="00D96C08"/>
    <w:rsid w:val="00D978A8"/>
    <w:rsid w:val="00D97B7B"/>
    <w:rsid w:val="00DA0CBF"/>
    <w:rsid w:val="00DA1B5D"/>
    <w:rsid w:val="00DA1BD1"/>
    <w:rsid w:val="00DA27E9"/>
    <w:rsid w:val="00DA2936"/>
    <w:rsid w:val="00DA3BBF"/>
    <w:rsid w:val="00DA52F3"/>
    <w:rsid w:val="00DA5871"/>
    <w:rsid w:val="00DA5E14"/>
    <w:rsid w:val="00DA6890"/>
    <w:rsid w:val="00DA796E"/>
    <w:rsid w:val="00DB3C33"/>
    <w:rsid w:val="00DB48FA"/>
    <w:rsid w:val="00DB577F"/>
    <w:rsid w:val="00DB6E3C"/>
    <w:rsid w:val="00DB777F"/>
    <w:rsid w:val="00DB7AA1"/>
    <w:rsid w:val="00DC0CF6"/>
    <w:rsid w:val="00DC1334"/>
    <w:rsid w:val="00DC3052"/>
    <w:rsid w:val="00DC3452"/>
    <w:rsid w:val="00DC5AA4"/>
    <w:rsid w:val="00DD13F9"/>
    <w:rsid w:val="00DD369B"/>
    <w:rsid w:val="00DD4BF4"/>
    <w:rsid w:val="00DD4F51"/>
    <w:rsid w:val="00DD5080"/>
    <w:rsid w:val="00DD5F80"/>
    <w:rsid w:val="00DD6812"/>
    <w:rsid w:val="00DD77B4"/>
    <w:rsid w:val="00DE03D8"/>
    <w:rsid w:val="00DE0A62"/>
    <w:rsid w:val="00DE208B"/>
    <w:rsid w:val="00DE2AD9"/>
    <w:rsid w:val="00DE47F2"/>
    <w:rsid w:val="00DE5B04"/>
    <w:rsid w:val="00DE6124"/>
    <w:rsid w:val="00DE6E91"/>
    <w:rsid w:val="00DE7FB3"/>
    <w:rsid w:val="00DF235C"/>
    <w:rsid w:val="00DF27B0"/>
    <w:rsid w:val="00DF46C4"/>
    <w:rsid w:val="00DF4856"/>
    <w:rsid w:val="00DF57FB"/>
    <w:rsid w:val="00DF6581"/>
    <w:rsid w:val="00DF7C96"/>
    <w:rsid w:val="00E0007F"/>
    <w:rsid w:val="00E00E9E"/>
    <w:rsid w:val="00E020A3"/>
    <w:rsid w:val="00E02EBD"/>
    <w:rsid w:val="00E06DF7"/>
    <w:rsid w:val="00E11153"/>
    <w:rsid w:val="00E113E9"/>
    <w:rsid w:val="00E12553"/>
    <w:rsid w:val="00E1378D"/>
    <w:rsid w:val="00E139BE"/>
    <w:rsid w:val="00E13B5E"/>
    <w:rsid w:val="00E1465C"/>
    <w:rsid w:val="00E14918"/>
    <w:rsid w:val="00E20B62"/>
    <w:rsid w:val="00E23082"/>
    <w:rsid w:val="00E23CB8"/>
    <w:rsid w:val="00E24BF9"/>
    <w:rsid w:val="00E2651A"/>
    <w:rsid w:val="00E27EF7"/>
    <w:rsid w:val="00E27FAC"/>
    <w:rsid w:val="00E307E8"/>
    <w:rsid w:val="00E30A1E"/>
    <w:rsid w:val="00E31D5C"/>
    <w:rsid w:val="00E32FE1"/>
    <w:rsid w:val="00E33E71"/>
    <w:rsid w:val="00E34095"/>
    <w:rsid w:val="00E34477"/>
    <w:rsid w:val="00E34BCD"/>
    <w:rsid w:val="00E35587"/>
    <w:rsid w:val="00E356ED"/>
    <w:rsid w:val="00E35A13"/>
    <w:rsid w:val="00E36BBA"/>
    <w:rsid w:val="00E374C6"/>
    <w:rsid w:val="00E421AC"/>
    <w:rsid w:val="00E448F5"/>
    <w:rsid w:val="00E46F61"/>
    <w:rsid w:val="00E475B5"/>
    <w:rsid w:val="00E52EFF"/>
    <w:rsid w:val="00E535FB"/>
    <w:rsid w:val="00E53BB7"/>
    <w:rsid w:val="00E5413A"/>
    <w:rsid w:val="00E54A52"/>
    <w:rsid w:val="00E55D73"/>
    <w:rsid w:val="00E5746D"/>
    <w:rsid w:val="00E60DA2"/>
    <w:rsid w:val="00E61200"/>
    <w:rsid w:val="00E61A78"/>
    <w:rsid w:val="00E62F74"/>
    <w:rsid w:val="00E63080"/>
    <w:rsid w:val="00E63D7C"/>
    <w:rsid w:val="00E64182"/>
    <w:rsid w:val="00E64CDD"/>
    <w:rsid w:val="00E65BC1"/>
    <w:rsid w:val="00E673A8"/>
    <w:rsid w:val="00E67D0D"/>
    <w:rsid w:val="00E706F0"/>
    <w:rsid w:val="00E719B9"/>
    <w:rsid w:val="00E725CD"/>
    <w:rsid w:val="00E73668"/>
    <w:rsid w:val="00E74A80"/>
    <w:rsid w:val="00E74DEF"/>
    <w:rsid w:val="00E75D3C"/>
    <w:rsid w:val="00E7638D"/>
    <w:rsid w:val="00E7665D"/>
    <w:rsid w:val="00E7744B"/>
    <w:rsid w:val="00E774A7"/>
    <w:rsid w:val="00E775E6"/>
    <w:rsid w:val="00E8056E"/>
    <w:rsid w:val="00E80C53"/>
    <w:rsid w:val="00E81581"/>
    <w:rsid w:val="00E81C95"/>
    <w:rsid w:val="00E81FCC"/>
    <w:rsid w:val="00E82FDF"/>
    <w:rsid w:val="00E8311E"/>
    <w:rsid w:val="00E83A48"/>
    <w:rsid w:val="00E83C68"/>
    <w:rsid w:val="00E847E7"/>
    <w:rsid w:val="00E850D4"/>
    <w:rsid w:val="00E85564"/>
    <w:rsid w:val="00E85A70"/>
    <w:rsid w:val="00E9018F"/>
    <w:rsid w:val="00E90586"/>
    <w:rsid w:val="00E90ECC"/>
    <w:rsid w:val="00E9263E"/>
    <w:rsid w:val="00E92693"/>
    <w:rsid w:val="00E92E2C"/>
    <w:rsid w:val="00E94C6E"/>
    <w:rsid w:val="00E95B8A"/>
    <w:rsid w:val="00E9606A"/>
    <w:rsid w:val="00EA214E"/>
    <w:rsid w:val="00EA2DFC"/>
    <w:rsid w:val="00EA3AEE"/>
    <w:rsid w:val="00EA48CB"/>
    <w:rsid w:val="00EA77F6"/>
    <w:rsid w:val="00EA7DBA"/>
    <w:rsid w:val="00EB036C"/>
    <w:rsid w:val="00EB07B6"/>
    <w:rsid w:val="00EB0948"/>
    <w:rsid w:val="00EB09F1"/>
    <w:rsid w:val="00EB13C6"/>
    <w:rsid w:val="00EB2BB5"/>
    <w:rsid w:val="00EB435B"/>
    <w:rsid w:val="00EB7ACC"/>
    <w:rsid w:val="00EB7E61"/>
    <w:rsid w:val="00EC160C"/>
    <w:rsid w:val="00EC212B"/>
    <w:rsid w:val="00EC23A6"/>
    <w:rsid w:val="00EC5DCC"/>
    <w:rsid w:val="00EC5FDC"/>
    <w:rsid w:val="00EC6C8B"/>
    <w:rsid w:val="00EC714E"/>
    <w:rsid w:val="00EC78E7"/>
    <w:rsid w:val="00EC79E6"/>
    <w:rsid w:val="00ED1A83"/>
    <w:rsid w:val="00ED2A92"/>
    <w:rsid w:val="00ED39DF"/>
    <w:rsid w:val="00ED43D2"/>
    <w:rsid w:val="00ED6E1B"/>
    <w:rsid w:val="00EE021B"/>
    <w:rsid w:val="00EE2338"/>
    <w:rsid w:val="00EE2745"/>
    <w:rsid w:val="00EE2E63"/>
    <w:rsid w:val="00EE3126"/>
    <w:rsid w:val="00EE3B8C"/>
    <w:rsid w:val="00EE3EE1"/>
    <w:rsid w:val="00EE47DD"/>
    <w:rsid w:val="00EE4D5D"/>
    <w:rsid w:val="00EF0748"/>
    <w:rsid w:val="00EF0876"/>
    <w:rsid w:val="00EF10EF"/>
    <w:rsid w:val="00EF15CB"/>
    <w:rsid w:val="00EF1B2D"/>
    <w:rsid w:val="00EF2DEA"/>
    <w:rsid w:val="00EF362A"/>
    <w:rsid w:val="00EF47FB"/>
    <w:rsid w:val="00EF4A38"/>
    <w:rsid w:val="00EF50E6"/>
    <w:rsid w:val="00EF5763"/>
    <w:rsid w:val="00EF652C"/>
    <w:rsid w:val="00EF7478"/>
    <w:rsid w:val="00EF769E"/>
    <w:rsid w:val="00EF7CFF"/>
    <w:rsid w:val="00F01230"/>
    <w:rsid w:val="00F01F18"/>
    <w:rsid w:val="00F02675"/>
    <w:rsid w:val="00F026BC"/>
    <w:rsid w:val="00F03643"/>
    <w:rsid w:val="00F0401D"/>
    <w:rsid w:val="00F053E9"/>
    <w:rsid w:val="00F05B1A"/>
    <w:rsid w:val="00F06D70"/>
    <w:rsid w:val="00F0711E"/>
    <w:rsid w:val="00F11B8F"/>
    <w:rsid w:val="00F11C90"/>
    <w:rsid w:val="00F11ED9"/>
    <w:rsid w:val="00F134B0"/>
    <w:rsid w:val="00F14A12"/>
    <w:rsid w:val="00F155BE"/>
    <w:rsid w:val="00F15E0C"/>
    <w:rsid w:val="00F17312"/>
    <w:rsid w:val="00F17691"/>
    <w:rsid w:val="00F20D2A"/>
    <w:rsid w:val="00F20FD6"/>
    <w:rsid w:val="00F22EB5"/>
    <w:rsid w:val="00F24632"/>
    <w:rsid w:val="00F24C80"/>
    <w:rsid w:val="00F2538E"/>
    <w:rsid w:val="00F25462"/>
    <w:rsid w:val="00F25982"/>
    <w:rsid w:val="00F27331"/>
    <w:rsid w:val="00F276EC"/>
    <w:rsid w:val="00F31C03"/>
    <w:rsid w:val="00F32576"/>
    <w:rsid w:val="00F32E77"/>
    <w:rsid w:val="00F332FA"/>
    <w:rsid w:val="00F3380F"/>
    <w:rsid w:val="00F339DE"/>
    <w:rsid w:val="00F347F8"/>
    <w:rsid w:val="00F361DE"/>
    <w:rsid w:val="00F362E7"/>
    <w:rsid w:val="00F36BBE"/>
    <w:rsid w:val="00F37539"/>
    <w:rsid w:val="00F37E97"/>
    <w:rsid w:val="00F41955"/>
    <w:rsid w:val="00F4347D"/>
    <w:rsid w:val="00F43AD8"/>
    <w:rsid w:val="00F51821"/>
    <w:rsid w:val="00F518EA"/>
    <w:rsid w:val="00F548F1"/>
    <w:rsid w:val="00F56761"/>
    <w:rsid w:val="00F56A2A"/>
    <w:rsid w:val="00F61C56"/>
    <w:rsid w:val="00F61D3B"/>
    <w:rsid w:val="00F62E2F"/>
    <w:rsid w:val="00F632B5"/>
    <w:rsid w:val="00F64260"/>
    <w:rsid w:val="00F64597"/>
    <w:rsid w:val="00F64E6A"/>
    <w:rsid w:val="00F6652A"/>
    <w:rsid w:val="00F714B3"/>
    <w:rsid w:val="00F721AF"/>
    <w:rsid w:val="00F73642"/>
    <w:rsid w:val="00F74011"/>
    <w:rsid w:val="00F747E7"/>
    <w:rsid w:val="00F74820"/>
    <w:rsid w:val="00F75064"/>
    <w:rsid w:val="00F7516A"/>
    <w:rsid w:val="00F75BBA"/>
    <w:rsid w:val="00F77464"/>
    <w:rsid w:val="00F774E4"/>
    <w:rsid w:val="00F80E25"/>
    <w:rsid w:val="00F81101"/>
    <w:rsid w:val="00F8259C"/>
    <w:rsid w:val="00F82C6A"/>
    <w:rsid w:val="00F840D2"/>
    <w:rsid w:val="00F90D24"/>
    <w:rsid w:val="00F912BF"/>
    <w:rsid w:val="00F9208E"/>
    <w:rsid w:val="00F9240D"/>
    <w:rsid w:val="00F9381C"/>
    <w:rsid w:val="00F93877"/>
    <w:rsid w:val="00F9502A"/>
    <w:rsid w:val="00F9576C"/>
    <w:rsid w:val="00F95956"/>
    <w:rsid w:val="00F96D4B"/>
    <w:rsid w:val="00F975AB"/>
    <w:rsid w:val="00F978E4"/>
    <w:rsid w:val="00F97C00"/>
    <w:rsid w:val="00FA01C5"/>
    <w:rsid w:val="00FA0D83"/>
    <w:rsid w:val="00FA1263"/>
    <w:rsid w:val="00FA506F"/>
    <w:rsid w:val="00FA5536"/>
    <w:rsid w:val="00FA59A7"/>
    <w:rsid w:val="00FA7E47"/>
    <w:rsid w:val="00FB0CDA"/>
    <w:rsid w:val="00FB0EDF"/>
    <w:rsid w:val="00FB10CB"/>
    <w:rsid w:val="00FB1E03"/>
    <w:rsid w:val="00FB21C5"/>
    <w:rsid w:val="00FB2894"/>
    <w:rsid w:val="00FB31B0"/>
    <w:rsid w:val="00FB4DFE"/>
    <w:rsid w:val="00FB5402"/>
    <w:rsid w:val="00FB6A27"/>
    <w:rsid w:val="00FB6C7E"/>
    <w:rsid w:val="00FB6F35"/>
    <w:rsid w:val="00FB777C"/>
    <w:rsid w:val="00FB7882"/>
    <w:rsid w:val="00FB7DA2"/>
    <w:rsid w:val="00FC0FBB"/>
    <w:rsid w:val="00FC1A85"/>
    <w:rsid w:val="00FC3015"/>
    <w:rsid w:val="00FC3E4E"/>
    <w:rsid w:val="00FC6033"/>
    <w:rsid w:val="00FC7A84"/>
    <w:rsid w:val="00FD20D2"/>
    <w:rsid w:val="00FD21E8"/>
    <w:rsid w:val="00FD3356"/>
    <w:rsid w:val="00FD3F55"/>
    <w:rsid w:val="00FD5414"/>
    <w:rsid w:val="00FD5861"/>
    <w:rsid w:val="00FD690D"/>
    <w:rsid w:val="00FD6917"/>
    <w:rsid w:val="00FE0089"/>
    <w:rsid w:val="00FE054C"/>
    <w:rsid w:val="00FE1522"/>
    <w:rsid w:val="00FE2455"/>
    <w:rsid w:val="00FE24F0"/>
    <w:rsid w:val="00FE3900"/>
    <w:rsid w:val="00FE395C"/>
    <w:rsid w:val="00FE3ECD"/>
    <w:rsid w:val="00FE4270"/>
    <w:rsid w:val="00FE56CC"/>
    <w:rsid w:val="00FE5A4A"/>
    <w:rsid w:val="00FE77C9"/>
    <w:rsid w:val="00FE79BF"/>
    <w:rsid w:val="00FF0D99"/>
    <w:rsid w:val="00FF1065"/>
    <w:rsid w:val="00FF18B3"/>
    <w:rsid w:val="00FF22DE"/>
    <w:rsid w:val="00FF4B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CA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541"/>
  </w:style>
  <w:style w:type="paragraph" w:styleId="Heading1">
    <w:name w:val="heading 1"/>
    <w:basedOn w:val="Normal"/>
    <w:next w:val="Normal"/>
    <w:link w:val="Heading1Char"/>
    <w:uiPriority w:val="9"/>
    <w:qFormat/>
    <w:rsid w:val="0093240A"/>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A049AB"/>
    <w:pPr>
      <w:spacing w:before="200" w:after="12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99598E"/>
    <w:pPr>
      <w:keepNext/>
      <w:spacing w:before="200" w:after="120"/>
      <w:outlineLvl w:val="2"/>
    </w:pPr>
    <w:rPr>
      <w:rFonts w:ascii="Calibri" w:eastAsiaTheme="majorEastAsia" w:hAnsi="Calibri" w:cstheme="majorBidi"/>
      <w:b/>
      <w:bCs/>
      <w:sz w:val="24"/>
    </w:rPr>
  </w:style>
  <w:style w:type="paragraph" w:styleId="Heading4">
    <w:name w:val="heading 4"/>
    <w:basedOn w:val="Normal"/>
    <w:next w:val="Normal"/>
    <w:link w:val="Heading4Char"/>
    <w:unhideWhenUsed/>
    <w:qFormat/>
    <w:rsid w:val="0099598E"/>
    <w:pPr>
      <w:keepNext/>
      <w:spacing w:before="200" w:after="120"/>
      <w:outlineLvl w:val="3"/>
    </w:pPr>
    <w:rPr>
      <w:rFonts w:ascii="Calibri" w:eastAsiaTheme="majorEastAsia" w:hAnsi="Calibri" w:cstheme="majorBidi"/>
      <w:b/>
      <w:bCs/>
      <w:iCs/>
    </w:rPr>
  </w:style>
  <w:style w:type="paragraph" w:styleId="Heading5">
    <w:name w:val="heading 5"/>
    <w:basedOn w:val="Normal"/>
    <w:next w:val="Normal"/>
    <w:link w:val="Heading5Char"/>
    <w:unhideWhenUsed/>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rsid w:val="0012210A"/>
    <w:pPr>
      <w:spacing w:before="200" w:after="0"/>
      <w:outlineLvl w:val="5"/>
    </w:pPr>
    <w:rPr>
      <w:rFonts w:ascii="Calibri" w:eastAsiaTheme="majorEastAsia" w:hAnsi="Calibri" w:cstheme="majorBidi"/>
      <w:bCs/>
      <w:i/>
      <w:iCs/>
      <w:color w:val="757575"/>
    </w:rPr>
  </w:style>
  <w:style w:type="paragraph" w:styleId="Heading7">
    <w:name w:val="heading 7"/>
    <w:basedOn w:val="Normal"/>
    <w:next w:val="Normal"/>
    <w:link w:val="Heading7Char"/>
    <w:uiPriority w:val="9"/>
    <w:unhideWhenUsed/>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AC65DA"/>
    <w:rPr>
      <w:b/>
      <w:bCs/>
    </w:rPr>
  </w:style>
  <w:style w:type="character" w:styleId="Emphasis">
    <w:name w:val="Emphasis"/>
    <w:uiPriority w:val="20"/>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rsid w:val="007B3157"/>
    <w:pPr>
      <w:spacing w:after="120"/>
      <w:ind w:left="369" w:right="369"/>
    </w:pPr>
    <w:rPr>
      <w:iCs/>
      <w:sz w:val="20"/>
    </w:rPr>
  </w:style>
  <w:style w:type="character" w:customStyle="1" w:styleId="QuoteChar">
    <w:name w:val="Quote Char"/>
    <w:basedOn w:val="DefaultParagraphFont"/>
    <w:link w:val="Quote"/>
    <w:uiPriority w:val="29"/>
    <w:rsid w:val="007B3157"/>
    <w:rPr>
      <w:iCs/>
      <w:sz w:val="20"/>
    </w:rPr>
  </w:style>
  <w:style w:type="character" w:customStyle="1" w:styleId="Heading1Char">
    <w:name w:val="Heading 1 Char"/>
    <w:basedOn w:val="DefaultParagraphFont"/>
    <w:link w:val="Heading1"/>
    <w:uiPriority w:val="9"/>
    <w:rsid w:val="0093240A"/>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A049A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99598E"/>
    <w:rPr>
      <w:rFonts w:ascii="Calibri" w:eastAsiaTheme="majorEastAsia" w:hAnsi="Calibri" w:cstheme="majorBidi"/>
      <w:b/>
      <w:bCs/>
      <w:sz w:val="24"/>
    </w:rPr>
  </w:style>
  <w:style w:type="character" w:customStyle="1" w:styleId="Heading4Char">
    <w:name w:val="Heading 4 Char"/>
    <w:basedOn w:val="DefaultParagraphFont"/>
    <w:link w:val="Heading4"/>
    <w:rsid w:val="0099598E"/>
    <w:rPr>
      <w:rFonts w:ascii="Calibri" w:eastAsiaTheme="majorEastAsia" w:hAnsi="Calibri" w:cstheme="majorBidi"/>
      <w:b/>
      <w:bCs/>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12210A"/>
    <w:rPr>
      <w:rFonts w:ascii="Calibri" w:eastAsiaTheme="majorEastAsia" w:hAnsi="Calibri" w:cstheme="majorBidi"/>
      <w:bCs/>
      <w:i/>
      <w:iCs/>
      <w:color w:val="757575"/>
    </w:rPr>
  </w:style>
  <w:style w:type="character" w:customStyle="1" w:styleId="Heading7Char">
    <w:name w:val="Heading 7 Char"/>
    <w:basedOn w:val="DefaultParagraphFont"/>
    <w:link w:val="Heading7"/>
    <w:uiPriority w:val="9"/>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B80BC9"/>
    <w:pPr>
      <w:tabs>
        <w:tab w:val="left" w:pos="9214"/>
      </w:tabs>
      <w:spacing w:before="100" w:beforeAutospacing="1" w:after="1560"/>
      <w:ind w:left="2977" w:right="-22"/>
    </w:pPr>
    <w:rPr>
      <w:b/>
      <w:color w:val="FFFFFF" w:themeColor="background2"/>
      <w:sz w:val="60"/>
      <w:szCs w:val="60"/>
    </w:rPr>
  </w:style>
  <w:style w:type="character" w:customStyle="1" w:styleId="TitleChar">
    <w:name w:val="Title Char"/>
    <w:basedOn w:val="DefaultParagraphFont"/>
    <w:link w:val="Title"/>
    <w:uiPriority w:val="10"/>
    <w:rsid w:val="00B80BC9"/>
    <w:rPr>
      <w:b/>
      <w:color w:val="FFFFFF" w:themeColor="background2"/>
      <w:sz w:val="60"/>
      <w:szCs w:val="60"/>
    </w:rPr>
  </w:style>
  <w:style w:type="paragraph" w:styleId="Subtitle">
    <w:name w:val="Subtitle"/>
    <w:basedOn w:val="Normal"/>
    <w:next w:val="Normal"/>
    <w:link w:val="SubtitleChar"/>
    <w:uiPriority w:val="11"/>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aliases w:val="List Paragraph1,List Paragraph11,Bullet Point,L,Bullet points,Content descriptions,Recommendation,Bullet point,CV text,F5 List Paragraph,Dot pt,List Paragraph111,Medium Grid 1 - Accent 21,Numbered Paragraph,NFP GP Bulleted List,Table"/>
    <w:basedOn w:val="Normal"/>
    <w:link w:val="ListParagraphChar"/>
    <w:uiPriority w:val="34"/>
    <w:qFormat/>
    <w:rsid w:val="00420E6F"/>
    <w:pPr>
      <w:numPr>
        <w:numId w:val="301"/>
      </w:numPr>
      <w:spacing w:before="120" w:after="120"/>
      <w:ind w:left="697" w:hanging="357"/>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rsid w:val="00B64A6C"/>
    <w:pPr>
      <w:numPr>
        <w:numId w:val="2"/>
      </w:numPr>
      <w:spacing w:after="120"/>
      <w:ind w:left="357" w:hanging="357"/>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aliases w:val="List_Bullet"/>
    <w:basedOn w:val="Normal"/>
    <w:uiPriority w:val="99"/>
    <w:unhideWhenUsed/>
    <w:rsid w:val="006B0016"/>
    <w:pPr>
      <w:numPr>
        <w:numId w:val="184"/>
      </w:numPr>
      <w:spacing w:after="120"/>
      <w:contextualSpacing/>
    </w:pPr>
  </w:style>
  <w:style w:type="paragraph" w:styleId="ListBullet2">
    <w:name w:val="List Bullet 2"/>
    <w:basedOn w:val="Normal"/>
    <w:unhideWhenUsed/>
    <w:rsid w:val="006B0016"/>
    <w:pPr>
      <w:numPr>
        <w:ilvl w:val="1"/>
        <w:numId w:val="184"/>
      </w:numPr>
      <w:spacing w:after="120"/>
      <w:contextualSpacing/>
    </w:pPr>
  </w:style>
  <w:style w:type="paragraph" w:styleId="ListBullet3">
    <w:name w:val="List Bullet 3"/>
    <w:basedOn w:val="Normal"/>
    <w:uiPriority w:val="99"/>
    <w:unhideWhenUsed/>
    <w:rsid w:val="006B0016"/>
    <w:pPr>
      <w:numPr>
        <w:ilvl w:val="2"/>
        <w:numId w:val="184"/>
      </w:numPr>
      <w:spacing w:after="120"/>
      <w:contextualSpacing/>
    </w:pPr>
  </w:style>
  <w:style w:type="paragraph" w:styleId="ListBullet4">
    <w:name w:val="List Bullet 4"/>
    <w:basedOn w:val="Normal"/>
    <w:uiPriority w:val="99"/>
    <w:unhideWhenUsed/>
    <w:rsid w:val="006B0016"/>
    <w:pPr>
      <w:numPr>
        <w:ilvl w:val="3"/>
        <w:numId w:val="184"/>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2C05BD"/>
    <w:pPr>
      <w:spacing w:after="120" w:line="240" w:lineRule="auto"/>
    </w:pPr>
    <w:rPr>
      <w:rFonts w:eastAsia="Times New Roman" w:cs="Times New Roman"/>
      <w:sz w:val="20"/>
      <w:szCs w:val="24"/>
      <w:lang w:eastAsia="en-AU"/>
    </w:rPr>
  </w:style>
  <w:style w:type="character" w:customStyle="1" w:styleId="BodyTextChar">
    <w:name w:val="Body Text Char"/>
    <w:basedOn w:val="DefaultParagraphFont"/>
    <w:link w:val="BodyText"/>
    <w:rsid w:val="002C05BD"/>
    <w:rPr>
      <w:rFonts w:eastAsia="Times New Roman" w:cs="Times New Roman"/>
      <w:sz w:val="20"/>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D47081"/>
    <w:pPr>
      <w:tabs>
        <w:tab w:val="left" w:pos="440"/>
        <w:tab w:val="right" w:leader="dot" w:pos="9130"/>
      </w:tabs>
      <w:spacing w:after="100"/>
    </w:pPr>
    <w:rPr>
      <w:b/>
      <w:bCs/>
    </w:r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nhideWhenUsed/>
    <w:rsid w:val="00B2722A"/>
    <w:rPr>
      <w:i/>
    </w:rPr>
  </w:style>
  <w:style w:type="paragraph" w:customStyle="1" w:styleId="Source">
    <w:name w:val="Source"/>
    <w:basedOn w:val="Normal"/>
    <w:qFormat/>
    <w:rsid w:val="0033478B"/>
    <w:pPr>
      <w:spacing w:after="120"/>
    </w:pPr>
    <w:rPr>
      <w:rFonts w:cstheme="minorHAnsi"/>
      <w:noProof/>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975AB"/>
    <w:rPr>
      <w:color w:val="1E3D6B"/>
    </w:rPr>
  </w:style>
  <w:style w:type="numbering" w:customStyle="1" w:styleId="NumberedList">
    <w:name w:val="Numbered List"/>
    <w:uiPriority w:val="99"/>
    <w:rsid w:val="006B0016"/>
    <w:pPr>
      <w:numPr>
        <w:numId w:val="60"/>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unhideWhenUsed/>
    <w:rsid w:val="006B0016"/>
    <w:pPr>
      <w:numPr>
        <w:ilvl w:val="4"/>
        <w:numId w:val="2"/>
      </w:numPr>
      <w:contextualSpacing/>
    </w:pPr>
  </w:style>
  <w:style w:type="paragraph" w:styleId="ListBullet5">
    <w:name w:val="List Bullet 5"/>
    <w:basedOn w:val="Normal"/>
    <w:uiPriority w:val="99"/>
    <w:unhideWhenUsed/>
    <w:rsid w:val="006B0016"/>
    <w:pPr>
      <w:numPr>
        <w:ilvl w:val="4"/>
        <w:numId w:val="184"/>
      </w:numPr>
      <w:contextualSpacing/>
    </w:pPr>
  </w:style>
  <w:style w:type="paragraph" w:customStyle="1" w:styleId="H3">
    <w:name w:val="H3"/>
    <w:basedOn w:val="Normal"/>
    <w:link w:val="H3Char"/>
    <w:rsid w:val="003F2CE9"/>
    <w:rPr>
      <w:b/>
      <w:color w:val="000000"/>
      <w:sz w:val="24"/>
      <w:szCs w:val="28"/>
    </w:rPr>
  </w:style>
  <w:style w:type="numbering" w:customStyle="1" w:styleId="Bullets0">
    <w:name w:val="Bullets"/>
    <w:basedOn w:val="NoList"/>
    <w:rsid w:val="003F2CE9"/>
    <w:pPr>
      <w:numPr>
        <w:numId w:val="5"/>
      </w:numPr>
    </w:pPr>
  </w:style>
  <w:style w:type="character" w:styleId="PageNumber">
    <w:name w:val="page number"/>
    <w:basedOn w:val="DefaultParagraphFont"/>
    <w:rsid w:val="003F2CE9"/>
    <w:rPr>
      <w:rFonts w:ascii="Calibri" w:hAnsi="Calibri"/>
    </w:rPr>
  </w:style>
  <w:style w:type="paragraph" w:customStyle="1" w:styleId="BodyText1">
    <w:name w:val="Body Text1"/>
    <w:basedOn w:val="Normal"/>
    <w:link w:val="bodytextChar0"/>
    <w:rsid w:val="003F2CE9"/>
    <w:pPr>
      <w:suppressAutoHyphens/>
      <w:autoSpaceDE w:val="0"/>
      <w:autoSpaceDN w:val="0"/>
      <w:adjustRightInd w:val="0"/>
      <w:spacing w:before="20" w:after="140" w:line="300" w:lineRule="atLeast"/>
      <w:textAlignment w:val="center"/>
    </w:pPr>
    <w:rPr>
      <w:rFonts w:cs="Garamond"/>
      <w:color w:val="000000"/>
      <w:lang w:val="en-GB"/>
    </w:rPr>
  </w:style>
  <w:style w:type="paragraph" w:customStyle="1" w:styleId="bullet">
    <w:name w:val="bullet"/>
    <w:basedOn w:val="Normal"/>
    <w:link w:val="bulletChar"/>
    <w:rsid w:val="00D22402"/>
    <w:pPr>
      <w:numPr>
        <w:numId w:val="47"/>
      </w:numPr>
      <w:tabs>
        <w:tab w:val="clear" w:pos="568"/>
        <w:tab w:val="num" w:pos="710"/>
      </w:tabs>
      <w:suppressAutoHyphens/>
      <w:autoSpaceDE w:val="0"/>
      <w:autoSpaceDN w:val="0"/>
      <w:adjustRightInd w:val="0"/>
      <w:spacing w:after="120"/>
      <w:ind w:left="653"/>
      <w:textAlignment w:val="center"/>
    </w:pPr>
    <w:rPr>
      <w:rFonts w:cs="Garamond"/>
      <w:color w:val="000000"/>
      <w:lang w:val="en-GB"/>
    </w:rPr>
  </w:style>
  <w:style w:type="paragraph" w:customStyle="1" w:styleId="bulletlast">
    <w:name w:val="bullet last"/>
    <w:basedOn w:val="bullet"/>
    <w:rsid w:val="003F2CE9"/>
    <w:pPr>
      <w:numPr>
        <w:numId w:val="0"/>
      </w:numPr>
      <w:spacing w:after="198"/>
    </w:pPr>
  </w:style>
  <w:style w:type="numbering" w:customStyle="1" w:styleId="StyleBulletedLime">
    <w:name w:val="Style Bulleted Lime"/>
    <w:basedOn w:val="NoList"/>
    <w:rsid w:val="003F2CE9"/>
    <w:pPr>
      <w:numPr>
        <w:numId w:val="7"/>
      </w:numPr>
    </w:pPr>
  </w:style>
  <w:style w:type="character" w:customStyle="1" w:styleId="bodytextChar0">
    <w:name w:val="body text Char"/>
    <w:basedOn w:val="DefaultParagraphFont"/>
    <w:link w:val="BodyText1"/>
    <w:rsid w:val="003F2CE9"/>
    <w:rPr>
      <w:rFonts w:cs="Garamond"/>
      <w:color w:val="000000"/>
      <w:lang w:val="en-GB"/>
    </w:rPr>
  </w:style>
  <w:style w:type="paragraph" w:customStyle="1" w:styleId="Numberbullet">
    <w:name w:val="Number bullet"/>
    <w:basedOn w:val="bullet"/>
    <w:rsid w:val="003F2CE9"/>
    <w:pPr>
      <w:numPr>
        <w:numId w:val="9"/>
      </w:numPr>
      <w:tabs>
        <w:tab w:val="num" w:pos="360"/>
        <w:tab w:val="left" w:pos="567"/>
      </w:tabs>
      <w:ind w:left="360"/>
    </w:pPr>
  </w:style>
  <w:style w:type="character" w:customStyle="1" w:styleId="bulletChar">
    <w:name w:val="bullet Char"/>
    <w:basedOn w:val="bodytextChar0"/>
    <w:link w:val="bullet"/>
    <w:rsid w:val="00D22402"/>
    <w:rPr>
      <w:rFonts w:cs="Garamond"/>
      <w:color w:val="000000"/>
      <w:lang w:val="en-GB"/>
    </w:rPr>
  </w:style>
  <w:style w:type="character" w:customStyle="1" w:styleId="tableheading">
    <w:name w:val="table heading"/>
    <w:basedOn w:val="bodytextChar0"/>
    <w:rsid w:val="003F2CE9"/>
    <w:rPr>
      <w:rFonts w:cs="Garamond"/>
      <w:b/>
      <w:bCs/>
      <w:color w:val="FFFFFF"/>
      <w:lang w:val="en-GB"/>
    </w:rPr>
  </w:style>
  <w:style w:type="paragraph" w:customStyle="1" w:styleId="tabletext">
    <w:name w:val="table text"/>
    <w:basedOn w:val="Normal"/>
    <w:link w:val="tabletextChar"/>
    <w:rsid w:val="003F2CE9"/>
    <w:pPr>
      <w:suppressAutoHyphens/>
      <w:autoSpaceDE w:val="0"/>
      <w:autoSpaceDN w:val="0"/>
      <w:adjustRightInd w:val="0"/>
      <w:spacing w:line="300" w:lineRule="atLeast"/>
      <w:ind w:right="310"/>
      <w:jc w:val="right"/>
      <w:textAlignment w:val="center"/>
    </w:pPr>
    <w:rPr>
      <w:rFonts w:cs="Garamond"/>
      <w:color w:val="000000"/>
      <w:sz w:val="20"/>
      <w:lang w:val="en-GB"/>
    </w:rPr>
  </w:style>
  <w:style w:type="paragraph" w:customStyle="1" w:styleId="TableandFigureheading">
    <w:name w:val="Table and Figure heading"/>
    <w:basedOn w:val="Normal"/>
    <w:link w:val="TableandFigureheadingChar"/>
    <w:rsid w:val="003F2CE9"/>
    <w:pPr>
      <w:keepNext/>
    </w:pPr>
    <w:rPr>
      <w:b/>
    </w:rPr>
  </w:style>
  <w:style w:type="paragraph" w:customStyle="1" w:styleId="Tablebodytext">
    <w:name w:val="Table body text"/>
    <w:basedOn w:val="tabletext"/>
    <w:link w:val="TablebodytextChar"/>
    <w:rsid w:val="003F2CE9"/>
  </w:style>
  <w:style w:type="character" w:customStyle="1" w:styleId="TableandFigureheadingChar">
    <w:name w:val="Table and Figure heading Char"/>
    <w:basedOn w:val="DefaultParagraphFont"/>
    <w:link w:val="TableandFigureheading"/>
    <w:rsid w:val="003F2CE9"/>
    <w:rPr>
      <w:b/>
    </w:rPr>
  </w:style>
  <w:style w:type="paragraph" w:customStyle="1" w:styleId="TableHeadingtext">
    <w:name w:val="Table Heading text"/>
    <w:basedOn w:val="Normal"/>
    <w:link w:val="TableHeadingtextChar"/>
    <w:rsid w:val="00744B12"/>
    <w:pPr>
      <w:keepNext/>
      <w:tabs>
        <w:tab w:val="left" w:pos="1134"/>
      </w:tabs>
      <w:spacing w:after="0"/>
    </w:pPr>
    <w:rPr>
      <w:b/>
      <w:i/>
      <w:sz w:val="20"/>
    </w:rPr>
  </w:style>
  <w:style w:type="character" w:customStyle="1" w:styleId="tabletextChar">
    <w:name w:val="table text Char"/>
    <w:basedOn w:val="bodytextChar0"/>
    <w:link w:val="tabletext"/>
    <w:rsid w:val="003F2CE9"/>
    <w:rPr>
      <w:rFonts w:cs="Garamond"/>
      <w:color w:val="000000"/>
      <w:sz w:val="20"/>
      <w:lang w:val="en-GB"/>
    </w:rPr>
  </w:style>
  <w:style w:type="character" w:customStyle="1" w:styleId="TablebodytextChar">
    <w:name w:val="Table body text Char"/>
    <w:basedOn w:val="tabletextChar"/>
    <w:link w:val="Tablebodytext"/>
    <w:rsid w:val="003F2CE9"/>
    <w:rPr>
      <w:rFonts w:cs="Garamond"/>
      <w:color w:val="000000"/>
      <w:sz w:val="20"/>
      <w:lang w:val="en-GB"/>
    </w:rPr>
  </w:style>
  <w:style w:type="paragraph" w:customStyle="1" w:styleId="Sourceandnotetext">
    <w:name w:val="Source and note text"/>
    <w:basedOn w:val="Normal"/>
    <w:link w:val="SourceandnotetextChar"/>
    <w:qFormat/>
    <w:rsid w:val="003439E8"/>
    <w:pPr>
      <w:spacing w:before="120" w:after="120"/>
    </w:pPr>
    <w:rPr>
      <w:sz w:val="18"/>
      <w:szCs w:val="20"/>
    </w:rPr>
  </w:style>
  <w:style w:type="character" w:customStyle="1" w:styleId="TableHeadingtextChar">
    <w:name w:val="Table Heading text Char"/>
    <w:basedOn w:val="DefaultParagraphFont"/>
    <w:link w:val="TableHeadingtext"/>
    <w:rsid w:val="00744B12"/>
    <w:rPr>
      <w:b/>
      <w:i/>
      <w:sz w:val="20"/>
    </w:rPr>
  </w:style>
  <w:style w:type="paragraph" w:customStyle="1" w:styleId="Heading30">
    <w:name w:val="Heading3"/>
    <w:basedOn w:val="Normal"/>
    <w:link w:val="Heading3Char0"/>
    <w:rsid w:val="003F2CE9"/>
    <w:pPr>
      <w:spacing w:before="160"/>
    </w:pPr>
    <w:rPr>
      <w:b/>
      <w:color w:val="000000"/>
      <w:sz w:val="24"/>
      <w:szCs w:val="28"/>
    </w:rPr>
  </w:style>
  <w:style w:type="character" w:customStyle="1" w:styleId="SourceandnotetextChar">
    <w:name w:val="Source and note text Char"/>
    <w:basedOn w:val="DefaultParagraphFont"/>
    <w:link w:val="Sourceandnotetext"/>
    <w:rsid w:val="003439E8"/>
    <w:rPr>
      <w:sz w:val="18"/>
      <w:szCs w:val="20"/>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
    <w:basedOn w:val="Normal"/>
    <w:link w:val="FootnoteTextChar"/>
    <w:uiPriority w:val="99"/>
    <w:rsid w:val="00092C8A"/>
    <w:pPr>
      <w:tabs>
        <w:tab w:val="left" w:pos="454"/>
      </w:tabs>
      <w:spacing w:after="0"/>
      <w:ind w:left="454" w:hanging="454"/>
    </w:pPr>
    <w:rPr>
      <w:sz w:val="18"/>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092C8A"/>
    <w:rPr>
      <w:sz w:val="18"/>
      <w:szCs w:val="20"/>
    </w:rPr>
  </w:style>
  <w:style w:type="character" w:customStyle="1" w:styleId="H3Char">
    <w:name w:val="H3 Char"/>
    <w:basedOn w:val="DefaultParagraphFont"/>
    <w:link w:val="H3"/>
    <w:rsid w:val="003F2CE9"/>
    <w:rPr>
      <w:b/>
      <w:color w:val="000000"/>
      <w:sz w:val="24"/>
      <w:szCs w:val="28"/>
    </w:rPr>
  </w:style>
  <w:style w:type="character" w:customStyle="1" w:styleId="Heading3Char0">
    <w:name w:val="Heading3 Char"/>
    <w:basedOn w:val="DefaultParagraphFont"/>
    <w:link w:val="Heading30"/>
    <w:rsid w:val="003F2CE9"/>
    <w:rPr>
      <w:b/>
      <w:color w:val="000000"/>
      <w:sz w:val="24"/>
      <w:szCs w:val="28"/>
    </w:rPr>
  </w:style>
  <w:style w:type="character" w:styleId="FootnoteReference">
    <w:name w:val="footnote reference"/>
    <w:basedOn w:val="DefaultParagraphFont"/>
    <w:uiPriority w:val="99"/>
    <w:rsid w:val="003F2CE9"/>
    <w:rPr>
      <w:vertAlign w:val="superscript"/>
    </w:rPr>
  </w:style>
  <w:style w:type="paragraph" w:styleId="NormalWeb">
    <w:name w:val="Normal (Web)"/>
    <w:basedOn w:val="Normal"/>
    <w:link w:val="NormalWebChar"/>
    <w:uiPriority w:val="99"/>
    <w:unhideWhenUsed/>
    <w:rsid w:val="003F2CE9"/>
    <w:pPr>
      <w:spacing w:after="0"/>
    </w:pPr>
    <w:rPr>
      <w:rFonts w:ascii="Times New Roman" w:hAnsi="Times New Roman"/>
      <w:sz w:val="24"/>
    </w:rPr>
  </w:style>
  <w:style w:type="table" w:styleId="TableColumns3">
    <w:name w:val="Table Columns 3"/>
    <w:basedOn w:val="TableNormal"/>
    <w:rsid w:val="003F2CE9"/>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F2CE9"/>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3F2CE9"/>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uiPriority w:val="99"/>
    <w:rsid w:val="003F2CE9"/>
    <w:pPr>
      <w:spacing w:after="0"/>
    </w:pPr>
    <w:rPr>
      <w:sz w:val="20"/>
      <w:szCs w:val="20"/>
    </w:rPr>
  </w:style>
  <w:style w:type="character" w:customStyle="1" w:styleId="EndnoteTextChar">
    <w:name w:val="Endnote Text Char"/>
    <w:basedOn w:val="DefaultParagraphFont"/>
    <w:link w:val="EndnoteText"/>
    <w:uiPriority w:val="99"/>
    <w:rsid w:val="003F2CE9"/>
    <w:rPr>
      <w:sz w:val="20"/>
      <w:szCs w:val="20"/>
    </w:rPr>
  </w:style>
  <w:style w:type="character" w:styleId="EndnoteReference">
    <w:name w:val="endnote reference"/>
    <w:basedOn w:val="DefaultParagraphFont"/>
    <w:uiPriority w:val="99"/>
    <w:rsid w:val="003F2CE9"/>
    <w:rPr>
      <w:vertAlign w:val="superscript"/>
    </w:rPr>
  </w:style>
  <w:style w:type="character" w:styleId="CommentReference">
    <w:name w:val="annotation reference"/>
    <w:basedOn w:val="DefaultParagraphFont"/>
    <w:rsid w:val="003F2CE9"/>
    <w:rPr>
      <w:sz w:val="16"/>
      <w:szCs w:val="16"/>
    </w:rPr>
  </w:style>
  <w:style w:type="paragraph" w:styleId="CommentText">
    <w:name w:val="annotation text"/>
    <w:basedOn w:val="Normal"/>
    <w:link w:val="CommentTextChar"/>
    <w:rsid w:val="003F2CE9"/>
    <w:rPr>
      <w:sz w:val="20"/>
      <w:szCs w:val="20"/>
    </w:rPr>
  </w:style>
  <w:style w:type="character" w:customStyle="1" w:styleId="CommentTextChar">
    <w:name w:val="Comment Text Char"/>
    <w:basedOn w:val="DefaultParagraphFont"/>
    <w:link w:val="CommentText"/>
    <w:rsid w:val="003F2CE9"/>
    <w:rPr>
      <w:sz w:val="20"/>
      <w:szCs w:val="20"/>
    </w:rPr>
  </w:style>
  <w:style w:type="paragraph" w:styleId="CommentSubject">
    <w:name w:val="annotation subject"/>
    <w:basedOn w:val="CommentText"/>
    <w:next w:val="CommentText"/>
    <w:link w:val="CommentSubjectChar"/>
    <w:uiPriority w:val="99"/>
    <w:rsid w:val="003F2CE9"/>
    <w:rPr>
      <w:b/>
      <w:bCs/>
    </w:rPr>
  </w:style>
  <w:style w:type="character" w:customStyle="1" w:styleId="CommentSubjectChar">
    <w:name w:val="Comment Subject Char"/>
    <w:basedOn w:val="CommentTextChar"/>
    <w:link w:val="CommentSubject"/>
    <w:uiPriority w:val="99"/>
    <w:rsid w:val="003F2CE9"/>
    <w:rPr>
      <w:b/>
      <w:bCs/>
      <w:sz w:val="20"/>
      <w:szCs w:val="20"/>
    </w:rPr>
  </w:style>
  <w:style w:type="paragraph" w:customStyle="1" w:styleId="Tableforcontents">
    <w:name w:val="Table for contents"/>
    <w:basedOn w:val="TableHeadingtext"/>
    <w:qFormat/>
    <w:rsid w:val="0099598E"/>
    <w:pPr>
      <w:spacing w:line="240" w:lineRule="auto"/>
    </w:pPr>
    <w:rPr>
      <w:i w:val="0"/>
    </w:rPr>
  </w:style>
  <w:style w:type="paragraph" w:styleId="TableofFigures">
    <w:name w:val="table of figures"/>
    <w:aliases w:val="List of tables"/>
    <w:basedOn w:val="FigureHeading"/>
    <w:next w:val="Normal"/>
    <w:uiPriority w:val="99"/>
    <w:rsid w:val="00787397"/>
    <w:pPr>
      <w:keepNext w:val="0"/>
      <w:spacing w:before="0" w:after="80" w:line="276" w:lineRule="auto"/>
      <w:ind w:left="1134" w:right="567" w:hanging="1134"/>
    </w:pPr>
    <w:rPr>
      <w:rFonts w:asciiTheme="minorHAnsi" w:eastAsiaTheme="minorEastAsia" w:hAnsiTheme="minorHAnsi" w:cstheme="minorHAnsi"/>
      <w:b w:val="0"/>
      <w:i w:val="0"/>
      <w:sz w:val="20"/>
      <w:szCs w:val="20"/>
      <w:lang w:eastAsia="en-US"/>
    </w:rPr>
  </w:style>
  <w:style w:type="paragraph" w:customStyle="1" w:styleId="Figureheadingforcontents">
    <w:name w:val="Figure heading for contents"/>
    <w:basedOn w:val="TableandFigureheading"/>
    <w:qFormat/>
    <w:rsid w:val="0099598E"/>
    <w:pPr>
      <w:keepLines/>
      <w:tabs>
        <w:tab w:val="left" w:pos="1134"/>
      </w:tabs>
      <w:spacing w:after="0" w:line="240" w:lineRule="auto"/>
    </w:pPr>
    <w:rPr>
      <w:sz w:val="20"/>
    </w:rPr>
  </w:style>
  <w:style w:type="paragraph" w:customStyle="1" w:styleId="TableCaption">
    <w:name w:val="Table Caption"/>
    <w:basedOn w:val="Normal"/>
    <w:link w:val="TableCaptionChar"/>
    <w:rsid w:val="003F2CE9"/>
    <w:pPr>
      <w:keepNext/>
    </w:pPr>
    <w:rPr>
      <w:b/>
    </w:rPr>
  </w:style>
  <w:style w:type="paragraph" w:customStyle="1" w:styleId="FigureCaption">
    <w:name w:val="Figure Caption"/>
    <w:basedOn w:val="Normal"/>
    <w:link w:val="FigureCaptionChar"/>
    <w:uiPriority w:val="99"/>
    <w:rsid w:val="003F2CE9"/>
    <w:pPr>
      <w:keepNext/>
      <w:tabs>
        <w:tab w:val="left" w:pos="1134"/>
      </w:tabs>
    </w:pPr>
    <w:rPr>
      <w:b/>
    </w:rPr>
  </w:style>
  <w:style w:type="character" w:styleId="FollowedHyperlink">
    <w:name w:val="FollowedHyperlink"/>
    <w:basedOn w:val="DefaultParagraphFont"/>
    <w:uiPriority w:val="99"/>
    <w:rsid w:val="003F2CE9"/>
    <w:rPr>
      <w:color w:val="800080"/>
      <w:u w:val="single"/>
    </w:rPr>
  </w:style>
  <w:style w:type="table" w:customStyle="1" w:styleId="JSAReportTables">
    <w:name w:val="JSA Report Tables"/>
    <w:basedOn w:val="TableNormal"/>
    <w:rsid w:val="003F2CE9"/>
    <w:pPr>
      <w:spacing w:after="0" w:line="240" w:lineRule="auto"/>
    </w:pPr>
    <w:rPr>
      <w:rFonts w:ascii="Times New Roman" w:eastAsia="Times New Roman" w:hAnsi="Times New Roman" w:cs="Times New Roman"/>
      <w:sz w:val="20"/>
      <w:szCs w:val="20"/>
      <w:lang w:eastAsia="en-AU"/>
    </w:rPr>
    <w:tblPr/>
  </w:style>
  <w:style w:type="paragraph" w:customStyle="1" w:styleId="Listoftablesandfigures">
    <w:name w:val="List of tables and figures"/>
    <w:basedOn w:val="TableofFigures"/>
    <w:rsid w:val="00B64A6C"/>
    <w:pPr>
      <w:tabs>
        <w:tab w:val="left" w:pos="964"/>
        <w:tab w:val="right" w:leader="dot" w:pos="8494"/>
      </w:tabs>
      <w:spacing w:after="120"/>
      <w:ind w:left="964" w:hanging="964"/>
    </w:pPr>
  </w:style>
  <w:style w:type="paragraph" w:customStyle="1" w:styleId="Reportheadingstyle">
    <w:name w:val="Report heading style"/>
    <w:basedOn w:val="Normal"/>
    <w:rsid w:val="003F2CE9"/>
    <w:rPr>
      <w:color w:val="FFFFFF"/>
      <w:sz w:val="72"/>
      <w:szCs w:val="72"/>
    </w:rPr>
  </w:style>
  <w:style w:type="paragraph" w:customStyle="1" w:styleId="Sourceandnotetextmultiplenotes">
    <w:name w:val="Source and note text multiple notes"/>
    <w:basedOn w:val="Sourceandnotetext"/>
    <w:link w:val="SourceandnotetextmultiplenotesChar"/>
    <w:qFormat/>
    <w:rsid w:val="00186408"/>
    <w:pPr>
      <w:numPr>
        <w:numId w:val="128"/>
      </w:numPr>
      <w:tabs>
        <w:tab w:val="left" w:pos="454"/>
      </w:tabs>
      <w:spacing w:before="0" w:after="0"/>
      <w:contextualSpacing/>
    </w:pPr>
  </w:style>
  <w:style w:type="paragraph" w:customStyle="1" w:styleId="Sourceandnotetextsubnote">
    <w:name w:val="Source and note text sub note"/>
    <w:basedOn w:val="Sourceandnotetextmultiplenotes"/>
    <w:link w:val="SourceandnotetextsubnoteChar"/>
    <w:rsid w:val="003F2CE9"/>
    <w:pPr>
      <w:numPr>
        <w:numId w:val="6"/>
      </w:numPr>
    </w:pPr>
  </w:style>
  <w:style w:type="paragraph" w:customStyle="1" w:styleId="sub-bullet">
    <w:name w:val="sub-bullet"/>
    <w:basedOn w:val="bullet"/>
    <w:link w:val="sub-bulletChar"/>
    <w:rsid w:val="003F2CE9"/>
    <w:pPr>
      <w:numPr>
        <w:ilvl w:val="1"/>
        <w:numId w:val="10"/>
      </w:numPr>
    </w:pPr>
  </w:style>
  <w:style w:type="paragraph" w:customStyle="1" w:styleId="TOCamended">
    <w:name w:val="TOC amended"/>
    <w:basedOn w:val="TOC1"/>
    <w:rsid w:val="003F2CE9"/>
    <w:pPr>
      <w:tabs>
        <w:tab w:val="right" w:pos="1021"/>
        <w:tab w:val="right" w:leader="dot" w:pos="8494"/>
      </w:tabs>
      <w:ind w:left="1021" w:hanging="1021"/>
    </w:pPr>
    <w:rPr>
      <w:noProof/>
    </w:rPr>
  </w:style>
  <w:style w:type="paragraph" w:customStyle="1" w:styleId="bullets">
    <w:name w:val="bullets"/>
    <w:basedOn w:val="ListParagraph"/>
    <w:link w:val="bulletsChar"/>
    <w:rsid w:val="003F2CE9"/>
    <w:pPr>
      <w:numPr>
        <w:numId w:val="8"/>
      </w:numPr>
    </w:pPr>
    <w:rPr>
      <w:rFonts w:eastAsia="Times New Roman" w:cs="Calibri"/>
    </w:rPr>
  </w:style>
  <w:style w:type="character" w:customStyle="1" w:styleId="bulletsChar">
    <w:name w:val="bullets Char"/>
    <w:basedOn w:val="DefaultParagraphFont"/>
    <w:link w:val="bullets"/>
    <w:rsid w:val="003F2CE9"/>
    <w:rPr>
      <w:rFonts w:eastAsia="Times New Roman" w:cs="Calibri"/>
    </w:rPr>
  </w:style>
  <w:style w:type="paragraph" w:customStyle="1" w:styleId="Sourceandnotetextmultiplelines">
    <w:name w:val="Source and note text multiple lines"/>
    <w:basedOn w:val="Sourceandnotetext"/>
    <w:link w:val="SourceandnotetextmultiplelinesChar"/>
    <w:rsid w:val="003F2CE9"/>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3F2CE9"/>
    <w:rPr>
      <w:sz w:val="20"/>
      <w:szCs w:val="20"/>
    </w:rPr>
  </w:style>
  <w:style w:type="paragraph" w:customStyle="1" w:styleId="Subtitleitalic">
    <w:name w:val="Subtitle + italic"/>
    <w:basedOn w:val="Normal"/>
    <w:rsid w:val="003F2CE9"/>
    <w:pPr>
      <w:spacing w:before="2760"/>
      <w:ind w:left="1418" w:right="-567"/>
    </w:pPr>
    <w:rPr>
      <w:b/>
      <w:i/>
      <w:color w:val="FFFFFF"/>
      <w:sz w:val="36"/>
      <w:szCs w:val="36"/>
    </w:rPr>
  </w:style>
  <w:style w:type="paragraph" w:customStyle="1" w:styleId="Subtitledate">
    <w:name w:val="Subtitle + date"/>
    <w:basedOn w:val="Normal"/>
    <w:rsid w:val="003F2CE9"/>
    <w:pPr>
      <w:spacing w:before="600"/>
      <w:ind w:left="1418" w:right="-567"/>
      <w:jc w:val="right"/>
    </w:pPr>
    <w:rPr>
      <w:b/>
      <w:color w:val="7D4062"/>
      <w:sz w:val="32"/>
      <w:szCs w:val="32"/>
    </w:rPr>
  </w:style>
  <w:style w:type="paragraph" w:customStyle="1" w:styleId="ListBulletbold">
    <w:name w:val="List Bullet + bold"/>
    <w:basedOn w:val="ListBullet"/>
    <w:rsid w:val="003F2CE9"/>
    <w:pPr>
      <w:numPr>
        <w:numId w:val="0"/>
      </w:numPr>
    </w:pPr>
    <w:rPr>
      <w:b/>
    </w:rPr>
  </w:style>
  <w:style w:type="paragraph" w:customStyle="1" w:styleId="Heading2bold">
    <w:name w:val="Heading 2 + bold"/>
    <w:basedOn w:val="Heading30"/>
    <w:rsid w:val="003F2CE9"/>
  </w:style>
  <w:style w:type="paragraph" w:customStyle="1" w:styleId="TitleRight-225cmLeft0cmRight0cm">
    <w:name w:val="Title + Right:  -2.25 cm + Left:  0 cm Right:  0 cm"/>
    <w:basedOn w:val="Normal"/>
    <w:rsid w:val="003F2CE9"/>
    <w:pPr>
      <w:keepNext/>
      <w:spacing w:before="4600" w:after="480"/>
      <w:ind w:left="851"/>
      <w:outlineLvl w:val="1"/>
    </w:pPr>
    <w:rPr>
      <w:b/>
      <w:bCs/>
      <w:caps/>
      <w:color w:val="FFFFFF"/>
      <w:sz w:val="72"/>
      <w:szCs w:val="20"/>
    </w:rPr>
  </w:style>
  <w:style w:type="paragraph" w:customStyle="1" w:styleId="SubtitleitalicLeft0cm">
    <w:name w:val="Subtitle + italic + Left:  0 cm"/>
    <w:basedOn w:val="Subtitleitalic"/>
    <w:rsid w:val="003F2CE9"/>
    <w:pPr>
      <w:spacing w:before="3600"/>
      <w:ind w:left="851"/>
    </w:pPr>
    <w:rPr>
      <w:bCs/>
      <w:iCs/>
      <w:szCs w:val="20"/>
    </w:rPr>
  </w:style>
  <w:style w:type="paragraph" w:customStyle="1" w:styleId="SubtitleLeft0cm33pt36pt">
    <w:name w:val="Subtitle + Left:  0 cm + 33 pt + 36 pt"/>
    <w:basedOn w:val="Normal"/>
    <w:rsid w:val="003F2CE9"/>
    <w:pPr>
      <w:ind w:left="851"/>
    </w:pPr>
    <w:rPr>
      <w:b/>
      <w:bCs/>
      <w:color w:val="FFFFFF"/>
      <w:sz w:val="72"/>
      <w:szCs w:val="20"/>
    </w:rPr>
  </w:style>
  <w:style w:type="paragraph" w:customStyle="1" w:styleId="StyleSubtitledateRight05cm">
    <w:name w:val="Style Subtitle + date + Right:  0.5 cm"/>
    <w:basedOn w:val="Subtitledate"/>
    <w:rsid w:val="003F2CE9"/>
    <w:pPr>
      <w:ind w:right="284"/>
    </w:pPr>
    <w:rPr>
      <w:bCs/>
      <w:szCs w:val="20"/>
    </w:rPr>
  </w:style>
  <w:style w:type="paragraph" w:customStyle="1" w:styleId="StyleTableandFigureheading10ptBlackCentered">
    <w:name w:val="Style Table and Figure heading + 10 pt Black Centered"/>
    <w:basedOn w:val="TableandFigureheading"/>
    <w:rsid w:val="003F2CE9"/>
    <w:pPr>
      <w:spacing w:after="0"/>
      <w:jc w:val="center"/>
    </w:pPr>
    <w:rPr>
      <w:bCs/>
      <w:color w:val="000000"/>
      <w:sz w:val="20"/>
      <w:szCs w:val="20"/>
    </w:rPr>
  </w:style>
  <w:style w:type="paragraph" w:customStyle="1" w:styleId="TableandFigureheading10pt">
    <w:name w:val="Table and Figure heading + 10 pt"/>
    <w:basedOn w:val="TableandFigureheading"/>
    <w:rsid w:val="003F2CE9"/>
    <w:pPr>
      <w:jc w:val="center"/>
    </w:pPr>
    <w:rPr>
      <w:bCs/>
      <w:sz w:val="20"/>
    </w:rPr>
  </w:style>
  <w:style w:type="paragraph" w:customStyle="1" w:styleId="Normalbefore200ptleading">
    <w:name w:val="Normal before 200pt leading"/>
    <w:basedOn w:val="Normal"/>
    <w:rsid w:val="003F2CE9"/>
    <w:pPr>
      <w:spacing w:before="4000"/>
    </w:pPr>
  </w:style>
  <w:style w:type="paragraph" w:customStyle="1" w:styleId="Normalafter12pt">
    <w:name w:val="Normal + after 12pt"/>
    <w:basedOn w:val="Normal"/>
    <w:rsid w:val="003F2CE9"/>
    <w:pPr>
      <w:spacing w:after="240"/>
    </w:pPr>
  </w:style>
  <w:style w:type="paragraph" w:customStyle="1" w:styleId="Normalbold">
    <w:name w:val="Normal + bold"/>
    <w:basedOn w:val="Normal"/>
    <w:link w:val="NormalboldChar"/>
    <w:rsid w:val="003F2CE9"/>
    <w:rPr>
      <w:b/>
    </w:rPr>
  </w:style>
  <w:style w:type="character" w:customStyle="1" w:styleId="NormalboldChar">
    <w:name w:val="Normal + bold Char"/>
    <w:basedOn w:val="DefaultParagraphFont"/>
    <w:link w:val="Normalbold"/>
    <w:rsid w:val="003F2CE9"/>
    <w:rPr>
      <w:b/>
    </w:rPr>
  </w:style>
  <w:style w:type="paragraph" w:customStyle="1" w:styleId="Normal10ptCenteredBefore0ptAfter0pt">
    <w:name w:val="Normal + 10 pt Centered Before:  0 pt After:  0 pt"/>
    <w:basedOn w:val="Normal"/>
    <w:rsid w:val="003F2CE9"/>
    <w:pPr>
      <w:spacing w:after="0"/>
      <w:jc w:val="center"/>
    </w:pPr>
    <w:rPr>
      <w:sz w:val="20"/>
      <w:szCs w:val="20"/>
    </w:rPr>
  </w:style>
  <w:style w:type="paragraph" w:customStyle="1" w:styleId="Normal10ptRightRight137cmBefore0ptAfter0pt">
    <w:name w:val="Normal + 10 pt Right Right:  1.37 cm Before:  0 pt After:  0 pt"/>
    <w:basedOn w:val="Normal"/>
    <w:rsid w:val="003F2CE9"/>
    <w:pPr>
      <w:spacing w:after="0"/>
      <w:ind w:right="777"/>
      <w:jc w:val="right"/>
    </w:pPr>
    <w:rPr>
      <w:sz w:val="20"/>
      <w:szCs w:val="20"/>
    </w:rPr>
  </w:style>
  <w:style w:type="paragraph" w:customStyle="1" w:styleId="StyleTablebodytextBefore0ptAfter0pt">
    <w:name w:val="Style Table body text + Before:  0 pt After:  0 pt"/>
    <w:basedOn w:val="Tablebodytext"/>
    <w:rsid w:val="003F2CE9"/>
    <w:pPr>
      <w:spacing w:after="0" w:line="240" w:lineRule="auto"/>
    </w:pPr>
    <w:rPr>
      <w:rFonts w:cs="Times New Roman"/>
      <w:szCs w:val="20"/>
    </w:rPr>
  </w:style>
  <w:style w:type="paragraph" w:customStyle="1" w:styleId="Tablefirstcolumn">
    <w:name w:val="Table first column"/>
    <w:basedOn w:val="Normal"/>
    <w:uiPriority w:val="99"/>
    <w:rsid w:val="003F2CE9"/>
    <w:pPr>
      <w:spacing w:after="0"/>
    </w:pPr>
    <w:rPr>
      <w:sz w:val="20"/>
      <w:szCs w:val="20"/>
    </w:rPr>
  </w:style>
  <w:style w:type="paragraph" w:customStyle="1" w:styleId="Tableoffigures10pt">
    <w:name w:val="Table of figures 10pt"/>
    <w:basedOn w:val="Normal"/>
    <w:rsid w:val="003F2CE9"/>
    <w:pPr>
      <w:jc w:val="center"/>
    </w:pPr>
    <w:rPr>
      <w:bCs/>
      <w:color w:val="000000"/>
      <w:sz w:val="20"/>
      <w:szCs w:val="20"/>
    </w:rPr>
  </w:style>
  <w:style w:type="paragraph" w:customStyle="1" w:styleId="StyleTableHeadingtextBefore0ptAfter0pt">
    <w:name w:val="Style Table Heading text + Before:  0 pt After:  0 pt"/>
    <w:basedOn w:val="TableHeadingtext"/>
    <w:rsid w:val="003F2CE9"/>
    <w:rPr>
      <w:bCs/>
      <w:szCs w:val="20"/>
    </w:rPr>
  </w:style>
  <w:style w:type="paragraph" w:customStyle="1" w:styleId="Tableoffigurescentred">
    <w:name w:val="Table of figures centred"/>
    <w:basedOn w:val="Normal"/>
    <w:rsid w:val="003F2CE9"/>
    <w:pPr>
      <w:spacing w:after="0"/>
      <w:ind w:left="-77" w:right="-155"/>
      <w:jc w:val="center"/>
    </w:pPr>
    <w:rPr>
      <w:sz w:val="20"/>
      <w:szCs w:val="20"/>
    </w:rPr>
  </w:style>
  <w:style w:type="paragraph" w:customStyle="1" w:styleId="Tablewhitedash">
    <w:name w:val="Table + white dash"/>
    <w:basedOn w:val="Normal"/>
    <w:rsid w:val="003F2CE9"/>
    <w:pPr>
      <w:spacing w:after="0"/>
      <w:jc w:val="right"/>
    </w:pPr>
    <w:rPr>
      <w:color w:val="FFFFFF"/>
      <w:sz w:val="20"/>
      <w:szCs w:val="20"/>
    </w:rPr>
  </w:style>
  <w:style w:type="paragraph" w:customStyle="1" w:styleId="Normal6pt">
    <w:name w:val="Normal + 6pt"/>
    <w:basedOn w:val="Normal"/>
    <w:rsid w:val="003F2CE9"/>
    <w:rPr>
      <w:sz w:val="12"/>
      <w:szCs w:val="12"/>
    </w:rPr>
  </w:style>
  <w:style w:type="paragraph" w:customStyle="1" w:styleId="Normalhangingindent">
    <w:name w:val="Normal + hanging indent"/>
    <w:basedOn w:val="Normal"/>
    <w:rsid w:val="003F2CE9"/>
    <w:pPr>
      <w:ind w:left="1276" w:hanging="1276"/>
    </w:pPr>
  </w:style>
  <w:style w:type="paragraph" w:customStyle="1" w:styleId="Normal300before">
    <w:name w:val="Normal + 300before"/>
    <w:basedOn w:val="Normalbefore200ptleading"/>
    <w:rsid w:val="003F2CE9"/>
  </w:style>
  <w:style w:type="paragraph" w:customStyle="1" w:styleId="Normal18ptbefore">
    <w:name w:val="Normal + 18pt before"/>
    <w:basedOn w:val="Normal"/>
    <w:uiPriority w:val="99"/>
    <w:rsid w:val="003F2CE9"/>
    <w:pPr>
      <w:spacing w:before="360"/>
    </w:pPr>
  </w:style>
  <w:style w:type="character" w:customStyle="1" w:styleId="FootnoteTextChar1">
    <w:name w:val="Footnote Text Char1"/>
    <w:basedOn w:val="DefaultParagraphFont"/>
    <w:uiPriority w:val="99"/>
    <w:semiHidden/>
    <w:locked/>
    <w:rsid w:val="003F2CE9"/>
    <w:rPr>
      <w:sz w:val="20"/>
      <w:szCs w:val="20"/>
    </w:rPr>
  </w:style>
  <w:style w:type="paragraph" w:customStyle="1" w:styleId="Bulletlevel2">
    <w:name w:val="Bullet level 2"/>
    <w:basedOn w:val="bullet"/>
    <w:autoRedefine/>
    <w:rsid w:val="003F2CE9"/>
    <w:pPr>
      <w:numPr>
        <w:numId w:val="0"/>
      </w:numPr>
      <w:ind w:left="284"/>
    </w:pPr>
  </w:style>
  <w:style w:type="paragraph" w:customStyle="1" w:styleId="Body">
    <w:name w:val="Body"/>
    <w:basedOn w:val="Normal"/>
    <w:link w:val="BodyChar"/>
    <w:rsid w:val="003F2CE9"/>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3F2CE9"/>
    <w:rPr>
      <w:rFonts w:ascii="Arial" w:hAnsi="Arial" w:cs="Arial"/>
      <w:sz w:val="20"/>
      <w:szCs w:val="20"/>
    </w:rPr>
  </w:style>
  <w:style w:type="paragraph" w:customStyle="1" w:styleId="Quotation">
    <w:name w:val="Quotation"/>
    <w:basedOn w:val="Normal"/>
    <w:uiPriority w:val="99"/>
    <w:rsid w:val="003F2CE9"/>
    <w:pPr>
      <w:ind w:left="709" w:right="996"/>
    </w:pPr>
  </w:style>
  <w:style w:type="paragraph" w:customStyle="1" w:styleId="Bulletedtext">
    <w:name w:val="Bulleted text"/>
    <w:basedOn w:val="Default"/>
    <w:next w:val="Default"/>
    <w:uiPriority w:val="99"/>
    <w:rsid w:val="003F2CE9"/>
    <w:pPr>
      <w:widowControl w:val="0"/>
      <w:spacing w:before="120"/>
    </w:pPr>
    <w:rPr>
      <w:rFonts w:ascii="Trebuchet MS" w:hAnsi="Trebuchet MS" w:cs="Times New Roman"/>
      <w:color w:val="auto"/>
    </w:rPr>
  </w:style>
  <w:style w:type="paragraph" w:customStyle="1" w:styleId="Style1">
    <w:name w:val="Style1"/>
    <w:basedOn w:val="bullet"/>
    <w:rsid w:val="003F2CE9"/>
    <w:pPr>
      <w:tabs>
        <w:tab w:val="num" w:pos="426"/>
      </w:tabs>
    </w:pPr>
  </w:style>
  <w:style w:type="paragraph" w:customStyle="1" w:styleId="bulletlevel3">
    <w:name w:val="bullet level 3"/>
    <w:basedOn w:val="ListBullet2"/>
    <w:rsid w:val="003F2CE9"/>
    <w:pPr>
      <w:numPr>
        <w:ilvl w:val="0"/>
        <w:numId w:val="0"/>
      </w:numPr>
      <w:tabs>
        <w:tab w:val="left" w:pos="284"/>
      </w:tabs>
      <w:ind w:left="851" w:hanging="284"/>
    </w:pPr>
  </w:style>
  <w:style w:type="paragraph" w:customStyle="1" w:styleId="bulletlevel4">
    <w:name w:val="bullet level 4"/>
    <w:basedOn w:val="Bulletlevel2"/>
    <w:rsid w:val="003F2CE9"/>
    <w:pPr>
      <w:tabs>
        <w:tab w:val="left" w:pos="1134"/>
      </w:tabs>
      <w:ind w:left="1135"/>
    </w:pPr>
  </w:style>
  <w:style w:type="paragraph" w:customStyle="1" w:styleId="Heading1withoutnumbering">
    <w:name w:val="Heading 1 without numbering"/>
    <w:basedOn w:val="Heading1"/>
    <w:rsid w:val="003F2CE9"/>
    <w:pPr>
      <w:keepNext/>
      <w:spacing w:before="360"/>
    </w:pPr>
    <w:rPr>
      <w:color w:val="478A57" w:themeColor="accent3"/>
    </w:rPr>
  </w:style>
  <w:style w:type="paragraph" w:customStyle="1" w:styleId="Heading4new">
    <w:name w:val="Heading 4 new"/>
    <w:basedOn w:val="Heading3"/>
    <w:link w:val="Heading4newChar"/>
    <w:rsid w:val="003F2CE9"/>
    <w:rPr>
      <w:rFonts w:cs="Calibri"/>
    </w:rPr>
  </w:style>
  <w:style w:type="character" w:customStyle="1" w:styleId="Heading4newChar">
    <w:name w:val="Heading 4 new Char"/>
    <w:basedOn w:val="Heading3Char"/>
    <w:link w:val="Heading4new"/>
    <w:rsid w:val="003F2CE9"/>
    <w:rPr>
      <w:rFonts w:ascii="Calibri" w:eastAsiaTheme="majorEastAsia" w:hAnsi="Calibri" w:cs="Calibri"/>
      <w:b/>
      <w:bCs/>
      <w:sz w:val="24"/>
    </w:rPr>
  </w:style>
  <w:style w:type="paragraph" w:styleId="TOC4">
    <w:name w:val="toc 4"/>
    <w:basedOn w:val="Normal"/>
    <w:next w:val="Normal"/>
    <w:autoRedefine/>
    <w:uiPriority w:val="39"/>
    <w:rsid w:val="003F2CE9"/>
    <w:pPr>
      <w:spacing w:after="100"/>
      <w:ind w:left="510"/>
    </w:pPr>
    <w:rPr>
      <w:sz w:val="16"/>
    </w:rPr>
  </w:style>
  <w:style w:type="paragraph" w:customStyle="1" w:styleId="Style2">
    <w:name w:val="Style2"/>
    <w:basedOn w:val="Heading3"/>
    <w:link w:val="Style2Char"/>
    <w:rsid w:val="003F2CE9"/>
  </w:style>
  <w:style w:type="character" w:customStyle="1" w:styleId="Style2Char">
    <w:name w:val="Style2 Char"/>
    <w:basedOn w:val="Heading3Char"/>
    <w:link w:val="Style2"/>
    <w:rsid w:val="003F2CE9"/>
    <w:rPr>
      <w:rFonts w:ascii="Calibri" w:eastAsiaTheme="majorEastAsia" w:hAnsi="Calibri" w:cstheme="majorBidi"/>
      <w:b/>
      <w:bCs/>
      <w:sz w:val="24"/>
    </w:rPr>
  </w:style>
  <w:style w:type="paragraph" w:customStyle="1" w:styleId="Heading5new">
    <w:name w:val="Heading 5 new"/>
    <w:basedOn w:val="Heading3"/>
    <w:link w:val="Heading5newChar"/>
    <w:rsid w:val="003F2CE9"/>
  </w:style>
  <w:style w:type="character" w:customStyle="1" w:styleId="Heading5newChar">
    <w:name w:val="Heading 5 new Char"/>
    <w:basedOn w:val="Heading3Char"/>
    <w:link w:val="Heading5new"/>
    <w:rsid w:val="003F2CE9"/>
    <w:rPr>
      <w:rFonts w:ascii="Calibri" w:eastAsiaTheme="majorEastAsia" w:hAnsi="Calibri" w:cstheme="majorBidi"/>
      <w:b/>
      <w:bCs/>
      <w:sz w:val="24"/>
    </w:rPr>
  </w:style>
  <w:style w:type="paragraph" w:customStyle="1" w:styleId="normalbody">
    <w:name w:val="normal body"/>
    <w:basedOn w:val="Normal"/>
    <w:rsid w:val="003F2CE9"/>
  </w:style>
  <w:style w:type="table" w:customStyle="1" w:styleId="Tableforreports">
    <w:name w:val="Table for reports"/>
    <w:basedOn w:val="TableNormal"/>
    <w:uiPriority w:val="99"/>
    <w:rsid w:val="003F2CE9"/>
    <w:pPr>
      <w:spacing w:after="0" w:line="240" w:lineRule="auto"/>
    </w:pPr>
    <w:rPr>
      <w:rFonts w:ascii="Times New Roman" w:eastAsia="Times New Roman" w:hAnsi="Times New Roman" w:cs="Times New Roman"/>
      <w:sz w:val="20"/>
      <w:szCs w:val="20"/>
      <w:lang w:eastAsia="en-AU"/>
    </w:rPr>
    <w:tblPr/>
  </w:style>
  <w:style w:type="paragraph" w:styleId="TOC7">
    <w:name w:val="toc 7"/>
    <w:basedOn w:val="Normal"/>
    <w:next w:val="Normal"/>
    <w:autoRedefine/>
    <w:uiPriority w:val="39"/>
    <w:rsid w:val="003F2CE9"/>
    <w:pPr>
      <w:spacing w:after="100"/>
      <w:ind w:left="1320"/>
    </w:pPr>
  </w:style>
  <w:style w:type="paragraph" w:customStyle="1" w:styleId="Heading3withoutnumbering">
    <w:name w:val="Heading3 without numbering"/>
    <w:basedOn w:val="Heading30"/>
    <w:rsid w:val="003F2CE9"/>
    <w:pPr>
      <w:spacing w:after="120"/>
    </w:pPr>
  </w:style>
  <w:style w:type="character" w:customStyle="1" w:styleId="TableCaptionChar">
    <w:name w:val="Table Caption Char"/>
    <w:basedOn w:val="DefaultParagraphFont"/>
    <w:link w:val="TableCaption"/>
    <w:rsid w:val="003F2CE9"/>
    <w:rPr>
      <w:b/>
    </w:rPr>
  </w:style>
  <w:style w:type="paragraph" w:customStyle="1" w:styleId="tabletextright">
    <w:name w:val="table text right"/>
    <w:basedOn w:val="tabletext"/>
    <w:uiPriority w:val="99"/>
    <w:rsid w:val="003F2CE9"/>
    <w:pPr>
      <w:ind w:right="312"/>
    </w:pPr>
    <w:rPr>
      <w:sz w:val="22"/>
    </w:rPr>
  </w:style>
  <w:style w:type="paragraph" w:customStyle="1" w:styleId="TableHeadingtext-centred">
    <w:name w:val="Table Heading text - centred"/>
    <w:basedOn w:val="TableHeadingtext"/>
    <w:uiPriority w:val="99"/>
    <w:rsid w:val="003F2CE9"/>
    <w:pPr>
      <w:jc w:val="center"/>
    </w:pPr>
  </w:style>
  <w:style w:type="paragraph" w:styleId="Revision">
    <w:name w:val="Revision"/>
    <w:hidden/>
    <w:uiPriority w:val="99"/>
    <w:semiHidden/>
    <w:rsid w:val="003F2CE9"/>
    <w:pPr>
      <w:spacing w:after="0" w:line="240" w:lineRule="auto"/>
    </w:pPr>
  </w:style>
  <w:style w:type="paragraph" w:customStyle="1" w:styleId="tabletextslim">
    <w:name w:val="table text slim"/>
    <w:basedOn w:val="Normal"/>
    <w:link w:val="tabletextslimChar"/>
    <w:rsid w:val="003F2CE9"/>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3F2CE9"/>
    <w:rPr>
      <w:rFonts w:cs="Garamond"/>
      <w:color w:val="000000"/>
      <w:lang w:val="en-GB"/>
    </w:rPr>
  </w:style>
  <w:style w:type="character" w:customStyle="1" w:styleId="SourceandnotetextmultiplenotesChar">
    <w:name w:val="Source and note text multiple notes Char"/>
    <w:basedOn w:val="SourceandnotetextChar"/>
    <w:link w:val="Sourceandnotetextmultiplenotes"/>
    <w:rsid w:val="00186408"/>
    <w:rPr>
      <w:sz w:val="18"/>
      <w:szCs w:val="20"/>
    </w:rPr>
  </w:style>
  <w:style w:type="paragraph" w:customStyle="1" w:styleId="FigureHeading">
    <w:name w:val="Figure Heading"/>
    <w:basedOn w:val="TableandFigureheading"/>
    <w:link w:val="FigureHeadingChar"/>
    <w:rsid w:val="00A01DAB"/>
    <w:pPr>
      <w:spacing w:before="40" w:after="40" w:line="240" w:lineRule="auto"/>
    </w:pPr>
    <w:rPr>
      <w:rFonts w:ascii="Calibri" w:eastAsia="Times New Roman" w:hAnsi="Calibri" w:cs="Times New Roman"/>
      <w:i/>
      <w:szCs w:val="24"/>
      <w:lang w:eastAsia="en-AU"/>
    </w:rPr>
  </w:style>
  <w:style w:type="character" w:customStyle="1" w:styleId="FigureHeadingChar">
    <w:name w:val="Figure Heading Char"/>
    <w:basedOn w:val="TableandFigureheadingChar"/>
    <w:link w:val="FigureHeading"/>
    <w:rsid w:val="00A01DAB"/>
    <w:rPr>
      <w:rFonts w:ascii="Calibri" w:eastAsia="Times New Roman" w:hAnsi="Calibri" w:cs="Times New Roman"/>
      <w:b/>
      <w:i/>
      <w:szCs w:val="24"/>
      <w:lang w:eastAsia="en-AU"/>
    </w:rPr>
  </w:style>
  <w:style w:type="character" w:customStyle="1" w:styleId="NormalWebChar">
    <w:name w:val="Normal (Web) Char"/>
    <w:basedOn w:val="DefaultParagraphFont"/>
    <w:link w:val="NormalWeb"/>
    <w:uiPriority w:val="99"/>
    <w:locked/>
    <w:rsid w:val="003F2CE9"/>
    <w:rPr>
      <w:rFonts w:ascii="Times New Roman" w:hAnsi="Times New Roman"/>
      <w:sz w:val="24"/>
    </w:rPr>
  </w:style>
  <w:style w:type="character" w:customStyle="1" w:styleId="TableHeadingChar">
    <w:name w:val="Table Heading Char"/>
    <w:basedOn w:val="NormalWebChar"/>
    <w:link w:val="TableHeading0"/>
    <w:locked/>
    <w:rsid w:val="003F2CE9"/>
    <w:rPr>
      <w:rFonts w:ascii="Calibri" w:hAnsi="Calibri"/>
      <w:sz w:val="24"/>
    </w:rPr>
  </w:style>
  <w:style w:type="paragraph" w:customStyle="1" w:styleId="TableHeading0">
    <w:name w:val="Table Heading"/>
    <w:basedOn w:val="NormalWeb"/>
    <w:link w:val="TableHeadingChar"/>
    <w:rsid w:val="003F2CE9"/>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3F2CE9"/>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3F2CE9"/>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3F2CE9"/>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AC0044"/>
    <w:pPr>
      <w:keepNext/>
      <w:tabs>
        <w:tab w:val="left" w:pos="454"/>
      </w:tabs>
      <w:spacing w:after="0" w:line="240" w:lineRule="auto"/>
      <w:ind w:left="454" w:hanging="454"/>
    </w:pPr>
    <w:rPr>
      <w:rFonts w:ascii="Calibri" w:eastAsia="Times New Roman" w:hAnsi="Calibri" w:cs="Times New Roman"/>
      <w:sz w:val="18"/>
      <w:szCs w:val="24"/>
      <w:lang w:eastAsia="en-AU"/>
    </w:rPr>
  </w:style>
  <w:style w:type="character" w:customStyle="1" w:styleId="FootnotetextChar0">
    <w:name w:val="Footnote text Char"/>
    <w:basedOn w:val="DefaultParagraphFont"/>
    <w:link w:val="FootnoteText1"/>
    <w:rsid w:val="00AC0044"/>
    <w:rPr>
      <w:rFonts w:ascii="Calibri" w:eastAsia="Times New Roman" w:hAnsi="Calibri" w:cs="Times New Roman"/>
      <w:sz w:val="18"/>
      <w:szCs w:val="24"/>
      <w:lang w:eastAsia="en-AU"/>
    </w:rPr>
  </w:style>
  <w:style w:type="character" w:customStyle="1" w:styleId="PersonalComposeStyle">
    <w:name w:val="Personal Compose Style"/>
    <w:basedOn w:val="DefaultParagraphFont"/>
    <w:rsid w:val="003F2CE9"/>
    <w:rPr>
      <w:rFonts w:ascii="Arial" w:hAnsi="Arial" w:cs="Arial"/>
      <w:color w:val="auto"/>
      <w:sz w:val="20"/>
    </w:rPr>
  </w:style>
  <w:style w:type="character" w:customStyle="1" w:styleId="PersonalReplyStyle">
    <w:name w:val="Personal Reply Style"/>
    <w:basedOn w:val="DefaultParagraphFont"/>
    <w:rsid w:val="003F2CE9"/>
    <w:rPr>
      <w:rFonts w:ascii="Arial" w:hAnsi="Arial" w:cs="Arial"/>
      <w:color w:val="auto"/>
      <w:sz w:val="20"/>
    </w:rPr>
  </w:style>
  <w:style w:type="paragraph" w:customStyle="1" w:styleId="StyletabletextLeft">
    <w:name w:val="Style table text + Left"/>
    <w:basedOn w:val="tabletextslim"/>
    <w:rsid w:val="003F2CE9"/>
    <w:pPr>
      <w:jc w:val="left"/>
    </w:pPr>
    <w:rPr>
      <w:rFonts w:cs="Times New Roman"/>
      <w:szCs w:val="20"/>
    </w:rPr>
  </w:style>
  <w:style w:type="character" w:customStyle="1" w:styleId="sub-bulletChar">
    <w:name w:val="sub-bullet Char"/>
    <w:basedOn w:val="bulletChar"/>
    <w:link w:val="sub-bullet"/>
    <w:rsid w:val="003F2CE9"/>
    <w:rPr>
      <w:rFonts w:cs="Garamond"/>
      <w:color w:val="000000"/>
      <w:lang w:val="en-GB"/>
    </w:rPr>
  </w:style>
  <w:style w:type="paragraph" w:styleId="Bibliography">
    <w:name w:val="Bibliography"/>
    <w:basedOn w:val="Normal"/>
    <w:uiPriority w:val="37"/>
    <w:rsid w:val="003F2CE9"/>
    <w:pPr>
      <w:numPr>
        <w:numId w:val="11"/>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3F2CE9"/>
    <w:pPr>
      <w:keepLines/>
      <w:numPr>
        <w:ilvl w:val="3"/>
        <w:numId w:val="12"/>
      </w:numPr>
    </w:pPr>
    <w:rPr>
      <w:rFonts w:asciiTheme="majorHAnsi" w:hAnsiTheme="majorHAnsi"/>
      <w:color w:val="165788" w:themeColor="accent1"/>
      <w:szCs w:val="24"/>
      <w:lang w:eastAsia="en-AU"/>
    </w:rPr>
  </w:style>
  <w:style w:type="paragraph" w:customStyle="1" w:styleId="NormalStyleBoxSinglesolidlineAuto05ptLinewidth">
    <w:name w:val="Normal + Style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rsid w:val="003F2CE9"/>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3F2CE9"/>
    <w:rPr>
      <w:rFonts w:ascii="Calibri" w:eastAsia="Times New Roman" w:hAnsi="Calibri" w:cs="Times New Roman"/>
      <w:szCs w:val="24"/>
      <w:lang w:eastAsia="en-AU"/>
    </w:rPr>
  </w:style>
  <w:style w:type="paragraph" w:customStyle="1" w:styleId="StyleQuoteBlBoxSinglesolidlineAuto05ptLinewidth">
    <w:name w:val="Style QuoteBl +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3F2CE9"/>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3F2CE9"/>
    <w:rPr>
      <w:rFonts w:ascii="Calibri" w:eastAsia="Times New Roman" w:hAnsi="Calibri" w:cs="Times New Roman"/>
      <w:sz w:val="16"/>
      <w:szCs w:val="16"/>
      <w:lang w:eastAsia="en-AU"/>
    </w:rPr>
  </w:style>
  <w:style w:type="paragraph" w:customStyle="1" w:styleId="Captionbefore12">
    <w:name w:val="Caption + before 12"/>
    <w:basedOn w:val="Caption"/>
    <w:rsid w:val="003F2CE9"/>
    <w:pPr>
      <w:spacing w:before="24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rsid w:val="003F2CE9"/>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3F2CE9"/>
    <w:rPr>
      <w:rFonts w:ascii="Calibri" w:hAnsi="Calibri"/>
      <w:b w:val="0"/>
      <w:bCs/>
      <w:i/>
      <w:iCs/>
      <w:color w:val="000000" w:themeColor="text1"/>
      <w:szCs w:val="24"/>
      <w:lang w:val="en-GB"/>
    </w:rPr>
  </w:style>
  <w:style w:type="paragraph" w:customStyle="1" w:styleId="FootnoteReference1">
    <w:name w:val="Footnote Reference1"/>
    <w:basedOn w:val="Sourceandnotetext"/>
    <w:link w:val="FootnotereferenceChar"/>
    <w:rsid w:val="003F2CE9"/>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3F2CE9"/>
    <w:rPr>
      <w:rFonts w:ascii="Calibri" w:eastAsia="Times New Roman" w:hAnsi="Calibri" w:cs="Calibri"/>
      <w:sz w:val="20"/>
      <w:szCs w:val="20"/>
      <w:lang w:eastAsia="en-AU"/>
    </w:rPr>
  </w:style>
  <w:style w:type="paragraph" w:customStyle="1" w:styleId="Heading2withoutnumbering">
    <w:name w:val="Heading 2 without numbering"/>
    <w:basedOn w:val="Heading2"/>
    <w:rsid w:val="003F2CE9"/>
    <w:pPr>
      <w:keepNext/>
      <w:tabs>
        <w:tab w:val="left" w:pos="851"/>
      </w:tabs>
      <w:spacing w:after="60"/>
    </w:pPr>
    <w:rPr>
      <w:rFonts w:eastAsia="Times New Roman"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3F2CE9"/>
    <w:rPr>
      <w:sz w:val="18"/>
      <w:szCs w:val="20"/>
    </w:rPr>
  </w:style>
  <w:style w:type="character" w:customStyle="1" w:styleId="definition">
    <w:name w:val="definition"/>
    <w:basedOn w:val="DefaultParagraphFont"/>
    <w:rsid w:val="003F2CE9"/>
  </w:style>
  <w:style w:type="paragraph" w:customStyle="1" w:styleId="Question">
    <w:name w:val="Question"/>
    <w:basedOn w:val="Heading1"/>
    <w:next w:val="Normal"/>
    <w:uiPriority w:val="99"/>
    <w:rsid w:val="003F2CE9"/>
    <w:pPr>
      <w:keepNext/>
      <w:numPr>
        <w:numId w:val="13"/>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3F2CE9"/>
    <w:pPr>
      <w:numPr>
        <w:ilvl w:val="1"/>
      </w:numPr>
    </w:pPr>
  </w:style>
  <w:style w:type="paragraph" w:customStyle="1" w:styleId="StylebulletText1">
    <w:name w:val="Style bullet + Text 1"/>
    <w:basedOn w:val="bullet"/>
    <w:rsid w:val="003F2CE9"/>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3F2CE9"/>
    <w:pPr>
      <w:spacing w:after="0"/>
      <w:ind w:left="880"/>
    </w:pPr>
    <w:rPr>
      <w:rFonts w:eastAsia="Times New Roman" w:cstheme="minorHAnsi"/>
      <w:sz w:val="20"/>
      <w:szCs w:val="20"/>
      <w:lang w:eastAsia="en-AU"/>
    </w:rPr>
  </w:style>
  <w:style w:type="paragraph" w:styleId="TOC6">
    <w:name w:val="toc 6"/>
    <w:basedOn w:val="Normal"/>
    <w:next w:val="Normal"/>
    <w:autoRedefine/>
    <w:uiPriority w:val="39"/>
    <w:rsid w:val="003F2CE9"/>
    <w:pPr>
      <w:spacing w:after="0"/>
      <w:ind w:left="1100"/>
    </w:pPr>
    <w:rPr>
      <w:rFonts w:eastAsia="Times New Roman" w:cstheme="minorHAnsi"/>
      <w:sz w:val="20"/>
      <w:szCs w:val="20"/>
      <w:lang w:eastAsia="en-AU"/>
    </w:rPr>
  </w:style>
  <w:style w:type="paragraph" w:styleId="TOC8">
    <w:name w:val="toc 8"/>
    <w:basedOn w:val="Normal"/>
    <w:next w:val="Normal"/>
    <w:autoRedefine/>
    <w:uiPriority w:val="39"/>
    <w:rsid w:val="003F2CE9"/>
    <w:pPr>
      <w:spacing w:after="0"/>
      <w:ind w:left="1540"/>
    </w:pPr>
    <w:rPr>
      <w:rFonts w:eastAsia="Times New Roman" w:cstheme="minorHAnsi"/>
      <w:sz w:val="20"/>
      <w:szCs w:val="20"/>
      <w:lang w:eastAsia="en-AU"/>
    </w:rPr>
  </w:style>
  <w:style w:type="paragraph" w:styleId="TOC9">
    <w:name w:val="toc 9"/>
    <w:basedOn w:val="Normal"/>
    <w:next w:val="Normal"/>
    <w:autoRedefine/>
    <w:uiPriority w:val="39"/>
    <w:rsid w:val="003F2CE9"/>
    <w:pPr>
      <w:spacing w:after="0"/>
      <w:ind w:left="1760"/>
    </w:pPr>
    <w:rPr>
      <w:rFonts w:eastAsia="Times New Roman" w:cstheme="minorHAnsi"/>
      <w:sz w:val="20"/>
      <w:szCs w:val="20"/>
      <w:lang w:eastAsia="en-AU"/>
    </w:rPr>
  </w:style>
  <w:style w:type="paragraph" w:customStyle="1" w:styleId="Notes">
    <w:name w:val="Notes"/>
    <w:basedOn w:val="Normal"/>
    <w:link w:val="NotesChar"/>
    <w:qFormat/>
    <w:rsid w:val="00956148"/>
    <w:pPr>
      <w:spacing w:after="0" w:line="240" w:lineRule="auto"/>
    </w:pPr>
    <w:rPr>
      <w:rFonts w:eastAsia="Times New Roman" w:cs="Times New Roman"/>
      <w:sz w:val="18"/>
      <w:szCs w:val="20"/>
      <w:lang w:val="en-US"/>
    </w:rPr>
  </w:style>
  <w:style w:type="character" w:customStyle="1" w:styleId="NotesChar">
    <w:name w:val="Notes Char"/>
    <w:basedOn w:val="DefaultParagraphFont"/>
    <w:link w:val="Notes"/>
    <w:rsid w:val="00956148"/>
    <w:rPr>
      <w:rFonts w:eastAsia="Times New Roman" w:cs="Times New Roman"/>
      <w:sz w:val="18"/>
      <w:szCs w:val="20"/>
      <w:lang w:val="en-US"/>
    </w:rPr>
  </w:style>
  <w:style w:type="paragraph" w:customStyle="1" w:styleId="Authorsnote">
    <w:name w:val="Author's note"/>
    <w:basedOn w:val="Normal"/>
    <w:link w:val="AuthorsnoteChar"/>
    <w:rsid w:val="003F2CE9"/>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3F2CE9"/>
    <w:rPr>
      <w:rFonts w:ascii="Calibri" w:eastAsia="Times New Roman" w:hAnsi="Calibri" w:cs="Times New Roman"/>
      <w:color w:val="FF0000"/>
      <w:szCs w:val="24"/>
      <w:lang w:eastAsia="en-AU"/>
    </w:rPr>
  </w:style>
  <w:style w:type="paragraph" w:customStyle="1" w:styleId="FigureCaptionMultipleColumn">
    <w:name w:val="Figure Caption Multiple Column"/>
    <w:basedOn w:val="FigureCaption"/>
    <w:next w:val="Normal"/>
    <w:link w:val="FigureCaptionMultipleColumnChar"/>
    <w:rsid w:val="003F2CE9"/>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rsid w:val="003F2CE9"/>
    <w:pPr>
      <w:autoSpaceDE w:val="0"/>
      <w:autoSpaceDN w:val="0"/>
      <w:adjustRightInd w:val="0"/>
      <w:spacing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3F2CE9"/>
    <w:rPr>
      <w:sz w:val="24"/>
      <w:szCs w:val="20"/>
      <w:vertAlign w:val="superscript"/>
    </w:rPr>
  </w:style>
  <w:style w:type="character" w:customStyle="1" w:styleId="StyleStyleFootnoteReferenceSuperscript12pt">
    <w:name w:val="Style Style Footnote Reference + Superscript + 12 pt"/>
    <w:basedOn w:val="StyleFootnoteReferenceSuperscript"/>
    <w:rsid w:val="003F2CE9"/>
    <w:rPr>
      <w:sz w:val="24"/>
      <w:szCs w:val="20"/>
      <w:vertAlign w:val="superscript"/>
    </w:rPr>
  </w:style>
  <w:style w:type="paragraph" w:customStyle="1" w:styleId="bulletlist0">
    <w:name w:val="bullet list"/>
    <w:basedOn w:val="bullet"/>
    <w:rsid w:val="00E64182"/>
    <w:pPr>
      <w:numPr>
        <w:numId w:val="0"/>
      </w:numPr>
      <w:tabs>
        <w:tab w:val="left" w:pos="227"/>
        <w:tab w:val="num" w:pos="284"/>
      </w:tabs>
      <w:spacing w:line="120" w:lineRule="atLeast"/>
      <w:ind w:left="170" w:hanging="170"/>
    </w:pPr>
    <w:rPr>
      <w:rFonts w:ascii="Calibri" w:eastAsia="Univers" w:hAnsi="Calibri"/>
      <w:lang w:eastAsia="en-AU"/>
    </w:rPr>
  </w:style>
  <w:style w:type="paragraph" w:customStyle="1" w:styleId="QuoteBl">
    <w:name w:val="QuoteBl"/>
    <w:basedOn w:val="Normal"/>
    <w:rsid w:val="003F2CE9"/>
    <w:pPr>
      <w:ind w:left="720"/>
    </w:pPr>
    <w:rPr>
      <w:rFonts w:ascii="Calibri" w:eastAsia="Univers" w:hAnsi="Calibri" w:cs="Times New Roman"/>
      <w:sz w:val="20"/>
      <w:szCs w:val="24"/>
      <w:lang w:eastAsia="en-AU"/>
    </w:rPr>
  </w:style>
  <w:style w:type="numbering" w:customStyle="1" w:styleId="Bullets1">
    <w:name w:val="Bullets1"/>
    <w:basedOn w:val="NoList"/>
    <w:rsid w:val="003F2CE9"/>
  </w:style>
  <w:style w:type="numbering" w:customStyle="1" w:styleId="Bullets2">
    <w:name w:val="Bullets2"/>
    <w:basedOn w:val="NoList"/>
    <w:rsid w:val="003F2CE9"/>
  </w:style>
  <w:style w:type="paragraph" w:customStyle="1" w:styleId="StyleBulletlevel2NotItalic">
    <w:name w:val="Style Bullet level 2 + Not Italic"/>
    <w:basedOn w:val="Bulletlevel2"/>
    <w:rsid w:val="003F2CE9"/>
    <w:pPr>
      <w:tabs>
        <w:tab w:val="num" w:pos="360"/>
        <w:tab w:val="left" w:pos="709"/>
      </w:tabs>
      <w:ind w:left="227" w:hanging="227"/>
    </w:pPr>
    <w:rPr>
      <w:rFonts w:ascii="Calibri" w:eastAsia="Univers" w:hAnsi="Calibri"/>
      <w:i/>
      <w:lang w:eastAsia="en-AU"/>
    </w:rPr>
  </w:style>
  <w:style w:type="character" w:customStyle="1" w:styleId="ListParagraphChar">
    <w:name w:val="List Paragraph Char"/>
    <w:aliases w:val="List Paragraph1 Char,List Paragraph11 Char,Bullet Point Char,L Char,Bullet points Char,Content descriptions Char,Recommendation Char,Bullet point Char,CV text Char,F5 List Paragraph Char,Dot pt Char,List Paragraph111 Char,Table Char"/>
    <w:basedOn w:val="DefaultParagraphFont"/>
    <w:link w:val="ListParagraph"/>
    <w:uiPriority w:val="34"/>
    <w:locked/>
    <w:rsid w:val="00420E6F"/>
  </w:style>
  <w:style w:type="paragraph" w:customStyle="1" w:styleId="Tableheadingleftaligned">
    <w:name w:val="Table heading left aligned"/>
    <w:basedOn w:val="Normal"/>
    <w:rsid w:val="00EF10EF"/>
    <w:pPr>
      <w:spacing w:after="0" w:line="240" w:lineRule="auto"/>
    </w:pPr>
    <w:rPr>
      <w:b/>
      <w:sz w:val="20"/>
    </w:rPr>
  </w:style>
  <w:style w:type="table" w:customStyle="1" w:styleId="TableGrid6">
    <w:name w:val="Table Grid6"/>
    <w:basedOn w:val="TableNormal"/>
    <w:next w:val="TableGrid"/>
    <w:uiPriority w:val="59"/>
    <w:rsid w:val="004964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text">
    <w:name w:val="quote text"/>
    <w:basedOn w:val="Normal"/>
    <w:rsid w:val="00496459"/>
    <w:pPr>
      <w:spacing w:before="120" w:after="40" w:line="240" w:lineRule="auto"/>
      <w:ind w:left="720"/>
    </w:pPr>
    <w:rPr>
      <w:rFonts w:ascii="Calibri" w:eastAsia="Times New Roman" w:hAnsi="Calibri"/>
      <w:i/>
      <w:sz w:val="18"/>
      <w:szCs w:val="24"/>
      <w:lang w:eastAsia="en-AU"/>
    </w:rPr>
  </w:style>
  <w:style w:type="paragraph" w:customStyle="1" w:styleId="quotesource">
    <w:name w:val="quote source"/>
    <w:basedOn w:val="quotetext"/>
    <w:rsid w:val="00496459"/>
    <w:pPr>
      <w:jc w:val="right"/>
    </w:pPr>
  </w:style>
  <w:style w:type="paragraph" w:customStyle="1" w:styleId="bullet1">
    <w:name w:val="bullet 1"/>
    <w:basedOn w:val="Normal"/>
    <w:rsid w:val="00496459"/>
    <w:pPr>
      <w:numPr>
        <w:numId w:val="16"/>
      </w:numPr>
      <w:tabs>
        <w:tab w:val="left" w:pos="227"/>
      </w:tabs>
      <w:suppressAutoHyphens/>
      <w:autoSpaceDE w:val="0"/>
      <w:autoSpaceDN w:val="0"/>
      <w:adjustRightInd w:val="0"/>
      <w:spacing w:before="120" w:after="40" w:line="240" w:lineRule="auto"/>
      <w:textAlignment w:val="center"/>
    </w:pPr>
    <w:rPr>
      <w:rFonts w:ascii="Calibri" w:eastAsia="Times New Roman" w:hAnsi="Calibri" w:cs="Times New Roman"/>
      <w:bCs/>
      <w:iCs/>
      <w:color w:val="000000"/>
      <w:lang w:val="en-GB" w:eastAsia="en-AU"/>
    </w:rPr>
  </w:style>
  <w:style w:type="table" w:customStyle="1" w:styleId="EvalTable">
    <w:name w:val="EvalTable"/>
    <w:basedOn w:val="TableSimple1"/>
    <w:rsid w:val="00496459"/>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table" w:styleId="TableSimple1">
    <w:name w:val="Table Simple 1"/>
    <w:basedOn w:val="TableNormal"/>
    <w:rsid w:val="00496459"/>
    <w:pPr>
      <w:spacing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heading1">
    <w:name w:val="Table heading"/>
    <w:basedOn w:val="Normal"/>
    <w:link w:val="TableheadingChar0"/>
    <w:rsid w:val="00496459"/>
    <w:pPr>
      <w:keepNext/>
      <w:spacing w:after="120" w:line="240" w:lineRule="auto"/>
    </w:pPr>
    <w:rPr>
      <w:rFonts w:ascii="Tahoma" w:eastAsia="Times New Roman" w:hAnsi="Tahoma" w:cs="Tahoma"/>
      <w:iCs/>
      <w:szCs w:val="20"/>
    </w:rPr>
  </w:style>
  <w:style w:type="paragraph" w:customStyle="1" w:styleId="Tabletext0">
    <w:name w:val="Table text"/>
    <w:basedOn w:val="Normal"/>
    <w:rsid w:val="00496459"/>
    <w:pPr>
      <w:keepNext/>
      <w:keepLines/>
      <w:spacing w:after="0" w:line="240" w:lineRule="auto"/>
    </w:pPr>
    <w:rPr>
      <w:rFonts w:ascii="Times New Roman" w:eastAsia="Times New Roman" w:hAnsi="Times New Roman" w:cs="Times New Roman"/>
      <w:sz w:val="24"/>
      <w:szCs w:val="20"/>
    </w:rPr>
  </w:style>
  <w:style w:type="paragraph" w:customStyle="1" w:styleId="Heading">
    <w:name w:val="Heading#"/>
    <w:basedOn w:val="Normal"/>
    <w:next w:val="Normal"/>
    <w:rsid w:val="005D72D9"/>
    <w:pPr>
      <w:spacing w:before="100" w:beforeAutospacing="1" w:after="0" w:line="240" w:lineRule="auto"/>
    </w:pPr>
    <w:rPr>
      <w:rFonts w:eastAsia="Times New Roman" w:cs="Times New Roman"/>
      <w:b/>
      <w:szCs w:val="24"/>
      <w:lang w:eastAsia="en-AU"/>
    </w:rPr>
  </w:style>
  <w:style w:type="character" w:customStyle="1" w:styleId="TableheadingChar0">
    <w:name w:val="Table heading Char"/>
    <w:basedOn w:val="DefaultParagraphFont"/>
    <w:link w:val="Tableheading1"/>
    <w:rsid w:val="005D72D9"/>
    <w:rPr>
      <w:rFonts w:ascii="Tahoma" w:eastAsia="Times New Roman" w:hAnsi="Tahoma" w:cs="Tahoma"/>
      <w:iCs/>
      <w:szCs w:val="20"/>
    </w:rPr>
  </w:style>
  <w:style w:type="paragraph" w:styleId="PlainText">
    <w:name w:val="Plain Text"/>
    <w:basedOn w:val="Normal"/>
    <w:link w:val="PlainTextChar"/>
    <w:uiPriority w:val="99"/>
    <w:unhideWhenUsed/>
    <w:rsid w:val="005D72D9"/>
    <w:pPr>
      <w:spacing w:before="100" w:beforeAutospacing="1" w:after="0" w:line="240" w:lineRule="auto"/>
    </w:pPr>
    <w:rPr>
      <w:rFonts w:ascii="Calibri" w:eastAsiaTheme="minorHAnsi" w:hAnsi="Calibri" w:cs="Times New Roman"/>
    </w:rPr>
  </w:style>
  <w:style w:type="character" w:customStyle="1" w:styleId="PlainTextChar">
    <w:name w:val="Plain Text Char"/>
    <w:basedOn w:val="DefaultParagraphFont"/>
    <w:link w:val="PlainText"/>
    <w:uiPriority w:val="99"/>
    <w:rsid w:val="005D72D9"/>
    <w:rPr>
      <w:rFonts w:ascii="Calibri" w:eastAsiaTheme="minorHAnsi" w:hAnsi="Calibri" w:cs="Times New Roman"/>
    </w:rPr>
  </w:style>
  <w:style w:type="paragraph" w:styleId="List">
    <w:name w:val="List"/>
    <w:basedOn w:val="Normal"/>
    <w:uiPriority w:val="99"/>
    <w:unhideWhenUsed/>
    <w:rsid w:val="005D72D9"/>
    <w:pPr>
      <w:spacing w:before="100" w:beforeAutospacing="1" w:after="0" w:line="240" w:lineRule="auto"/>
      <w:ind w:left="283" w:hanging="283"/>
      <w:contextualSpacing/>
    </w:pPr>
  </w:style>
  <w:style w:type="paragraph" w:customStyle="1" w:styleId="TableheadingB">
    <w:name w:val="Table heading B"/>
    <w:basedOn w:val="TableofFigures"/>
    <w:rsid w:val="005D72D9"/>
    <w:pPr>
      <w:spacing w:before="100" w:beforeAutospacing="1"/>
      <w:ind w:left="0" w:firstLine="0"/>
    </w:pPr>
    <w:rPr>
      <w:rFonts w:cstheme="minorBidi"/>
      <w:i/>
      <w:szCs w:val="22"/>
    </w:rPr>
  </w:style>
  <w:style w:type="paragraph" w:customStyle="1" w:styleId="Tablebodytextrightaligned">
    <w:name w:val="Table body text right aligned"/>
    <w:basedOn w:val="Normal"/>
    <w:rsid w:val="005D72D9"/>
    <w:pPr>
      <w:spacing w:before="120" w:beforeAutospacing="1" w:after="40" w:line="240" w:lineRule="auto"/>
      <w:jc w:val="right"/>
    </w:pPr>
    <w:rPr>
      <w:rFonts w:eastAsia="Times New Roman" w:cstheme="minorHAnsi"/>
      <w:color w:val="000000"/>
      <w:sz w:val="20"/>
      <w:lang w:val="en-US"/>
    </w:rPr>
  </w:style>
  <w:style w:type="paragraph" w:customStyle="1" w:styleId="Tableheadingleft">
    <w:name w:val="Table heading left"/>
    <w:basedOn w:val="Normal"/>
    <w:uiPriority w:val="99"/>
    <w:rsid w:val="00DB777F"/>
    <w:pPr>
      <w:spacing w:before="120" w:beforeAutospacing="1" w:after="40" w:line="240" w:lineRule="auto"/>
    </w:pPr>
    <w:rPr>
      <w:rFonts w:ascii="Calibri" w:eastAsia="Times New Roman" w:hAnsi="Calibri"/>
      <w:b/>
      <w:bCs/>
      <w:color w:val="FFFFFF" w:themeColor="background2"/>
      <w:sz w:val="20"/>
      <w:szCs w:val="24"/>
      <w:lang w:val="en-US"/>
    </w:rPr>
  </w:style>
  <w:style w:type="table" w:styleId="LightShading">
    <w:name w:val="Light Shading"/>
    <w:basedOn w:val="TableNormal"/>
    <w:uiPriority w:val="60"/>
    <w:rsid w:val="005D72D9"/>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TableHeadingbold9point">
    <w:name w:val="Style Table Heading bold 9 point +"/>
    <w:basedOn w:val="Normal"/>
    <w:rsid w:val="005D72D9"/>
    <w:pPr>
      <w:spacing w:before="120" w:beforeAutospacing="1" w:after="40" w:line="240" w:lineRule="auto"/>
      <w:jc w:val="right"/>
    </w:pPr>
    <w:rPr>
      <w:rFonts w:ascii="Calibri" w:eastAsia="Times New Roman" w:hAnsi="Calibri"/>
      <w:b/>
      <w:bCs/>
      <w:color w:val="000000" w:themeColor="text1" w:themeShade="BF"/>
      <w:sz w:val="18"/>
      <w:szCs w:val="24"/>
      <w:lang w:eastAsia="en-AU"/>
    </w:rPr>
  </w:style>
  <w:style w:type="paragraph" w:customStyle="1" w:styleId="Tablebodytextleftaligned">
    <w:name w:val="Table body text left aligned"/>
    <w:basedOn w:val="Normal"/>
    <w:uiPriority w:val="99"/>
    <w:rsid w:val="007E1F15"/>
    <w:pPr>
      <w:suppressAutoHyphens/>
      <w:autoSpaceDE w:val="0"/>
      <w:autoSpaceDN w:val="0"/>
      <w:adjustRightInd w:val="0"/>
      <w:spacing w:before="100" w:beforeAutospacing="1" w:after="0" w:line="240" w:lineRule="auto"/>
      <w:ind w:right="310"/>
      <w:textAlignment w:val="center"/>
    </w:pPr>
    <w:rPr>
      <w:rFonts w:ascii="Calibri" w:eastAsia="Times New Roman" w:hAnsi="Calibri" w:cs="Garamond"/>
      <w:color w:val="000000"/>
      <w:sz w:val="20"/>
      <w:lang w:val="en-GB"/>
    </w:rPr>
  </w:style>
  <w:style w:type="paragraph" w:customStyle="1" w:styleId="Tableheadingright">
    <w:name w:val="Table heading right"/>
    <w:basedOn w:val="Normal"/>
    <w:rsid w:val="005D72D9"/>
    <w:pPr>
      <w:spacing w:before="120" w:beforeAutospacing="1" w:after="40" w:line="240" w:lineRule="auto"/>
      <w:jc w:val="right"/>
    </w:pPr>
    <w:rPr>
      <w:rFonts w:ascii="Calibri" w:eastAsia="Times New Roman" w:hAnsi="Calibri"/>
      <w:b/>
      <w:sz w:val="20"/>
      <w:szCs w:val="24"/>
      <w:lang w:val="en-US"/>
    </w:rPr>
  </w:style>
  <w:style w:type="paragraph" w:customStyle="1" w:styleId="tablebodytextright">
    <w:name w:val="table body text right"/>
    <w:basedOn w:val="Normal"/>
    <w:rsid w:val="005D72D9"/>
    <w:pPr>
      <w:suppressAutoHyphens/>
      <w:autoSpaceDE w:val="0"/>
      <w:autoSpaceDN w:val="0"/>
      <w:adjustRightInd w:val="0"/>
      <w:spacing w:before="100" w:beforeAutospacing="1" w:after="40" w:line="300" w:lineRule="atLeast"/>
      <w:ind w:right="310"/>
      <w:jc w:val="right"/>
      <w:textAlignment w:val="center"/>
    </w:pPr>
    <w:rPr>
      <w:rFonts w:ascii="Calibri" w:eastAsia="Times New Roman" w:hAnsi="Calibri" w:cs="Garamond"/>
      <w:color w:val="000000"/>
      <w:sz w:val="18"/>
      <w:lang w:val="en-GB"/>
    </w:rPr>
  </w:style>
  <w:style w:type="paragraph" w:customStyle="1" w:styleId="ListbulletItalicindented">
    <w:name w:val="List bullet + Italic indented"/>
    <w:basedOn w:val="ListBullet"/>
    <w:rsid w:val="005D72D9"/>
    <w:pPr>
      <w:numPr>
        <w:numId w:val="17"/>
      </w:numPr>
      <w:tabs>
        <w:tab w:val="num" w:pos="720"/>
      </w:tabs>
      <w:spacing w:before="120" w:beforeAutospacing="1" w:after="40" w:line="240" w:lineRule="auto"/>
      <w:contextualSpacing w:val="0"/>
    </w:pPr>
    <w:rPr>
      <w:rFonts w:ascii="Calibri" w:eastAsia="Times New Roman" w:hAnsi="Calibri"/>
      <w:i/>
      <w:iCs/>
      <w:szCs w:val="24"/>
      <w:lang w:eastAsia="en-AU"/>
    </w:rPr>
  </w:style>
  <w:style w:type="table" w:customStyle="1" w:styleId="DEEWRTable1">
    <w:name w:val="DEEWR Table1"/>
    <w:basedOn w:val="TableNormal"/>
    <w:uiPriority w:val="99"/>
    <w:rsid w:val="005D72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Tabletitle">
    <w:name w:val="Table title"/>
    <w:basedOn w:val="Normal"/>
    <w:next w:val="Tableheading1"/>
    <w:link w:val="TabletitleChar"/>
    <w:rsid w:val="005D72D9"/>
    <w:rPr>
      <w:rFonts w:eastAsia="Times New Roman" w:cstheme="minorHAnsi"/>
      <w:color w:val="FFFFFF" w:themeColor="background2"/>
      <w:sz w:val="20"/>
      <w:lang w:eastAsia="en-AU"/>
    </w:rPr>
  </w:style>
  <w:style w:type="character" w:customStyle="1" w:styleId="TabletitleChar">
    <w:name w:val="Table title Char"/>
    <w:basedOn w:val="DefaultParagraphFont"/>
    <w:link w:val="Tabletitle"/>
    <w:rsid w:val="005D72D9"/>
    <w:rPr>
      <w:rFonts w:eastAsia="Times New Roman" w:cstheme="minorHAnsi"/>
      <w:color w:val="FFFFFF" w:themeColor="background2"/>
      <w:sz w:val="20"/>
      <w:lang w:eastAsia="en-AU"/>
    </w:rPr>
  </w:style>
  <w:style w:type="paragraph" w:customStyle="1" w:styleId="tablebodytext0">
    <w:name w:val="table body text"/>
    <w:basedOn w:val="Normal"/>
    <w:rsid w:val="005D72D9"/>
    <w:pPr>
      <w:suppressAutoHyphens/>
      <w:autoSpaceDE w:val="0"/>
      <w:autoSpaceDN w:val="0"/>
      <w:adjustRightInd w:val="0"/>
      <w:spacing w:after="40"/>
      <w:ind w:right="312"/>
      <w:textAlignment w:val="center"/>
    </w:pPr>
    <w:rPr>
      <w:rFonts w:ascii="Calibri" w:eastAsia="Times New Roman" w:hAnsi="Calibri" w:cs="Garamond"/>
      <w:color w:val="000000"/>
      <w:sz w:val="20"/>
      <w:lang w:val="en-GB"/>
    </w:rPr>
  </w:style>
  <w:style w:type="paragraph" w:customStyle="1" w:styleId="Note">
    <w:name w:val="Note"/>
    <w:basedOn w:val="Normal"/>
    <w:rsid w:val="00AF104F"/>
    <w:pPr>
      <w:spacing w:after="0" w:line="240" w:lineRule="auto"/>
      <w:ind w:left="284" w:hanging="284"/>
      <w:jc w:val="both"/>
    </w:pPr>
    <w:rPr>
      <w:sz w:val="18"/>
    </w:rPr>
  </w:style>
  <w:style w:type="paragraph" w:customStyle="1" w:styleId="Notestitle">
    <w:name w:val="Notes title"/>
    <w:basedOn w:val="Source"/>
    <w:rsid w:val="003B26DB"/>
    <w:pPr>
      <w:spacing w:after="0"/>
    </w:pPr>
    <w:rPr>
      <w:rFonts w:eastAsia="Times New Roman" w:cs="Times New Roman"/>
      <w:bCs/>
    </w:rPr>
  </w:style>
  <w:style w:type="paragraph" w:customStyle="1" w:styleId="Figurelayout">
    <w:name w:val="Figure layout"/>
    <w:basedOn w:val="Normal"/>
    <w:rsid w:val="003B26DB"/>
    <w:pPr>
      <w:spacing w:after="0"/>
    </w:pPr>
    <w:rPr>
      <w:rFonts w:eastAsia="Times New Roman" w:cs="Times New Roman"/>
      <w:szCs w:val="20"/>
    </w:rPr>
  </w:style>
  <w:style w:type="paragraph" w:customStyle="1" w:styleId="byline">
    <w:name w:val="byline"/>
    <w:basedOn w:val="Normal"/>
    <w:rsid w:val="0086308F"/>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systemtitle">
    <w:name w:val="systemtitle"/>
    <w:basedOn w:val="Normal"/>
    <w:rsid w:val="0086308F"/>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86308F"/>
    <w:rPr>
      <w:rFonts w:ascii="Arial" w:hAnsi="Arial" w:cs="Arial" w:hint="default"/>
      <w:b/>
      <w:bCs/>
      <w:i w:val="0"/>
      <w:iCs w:val="0"/>
      <w:color w:val="4F493B"/>
      <w:sz w:val="24"/>
      <w:szCs w:val="24"/>
      <w:shd w:val="clear" w:color="auto" w:fill="FDFBF3"/>
    </w:rPr>
  </w:style>
  <w:style w:type="character" w:customStyle="1" w:styleId="byline1">
    <w:name w:val="byline1"/>
    <w:basedOn w:val="DefaultParagraphFont"/>
    <w:rsid w:val="0086308F"/>
    <w:rPr>
      <w:rFonts w:ascii="Arial" w:hAnsi="Arial" w:cs="Arial" w:hint="default"/>
      <w:b/>
      <w:bCs/>
      <w:i w:val="0"/>
      <w:iCs w:val="0"/>
      <w:color w:val="000000"/>
      <w:sz w:val="20"/>
      <w:szCs w:val="20"/>
      <w:shd w:val="clear" w:color="auto" w:fill="FDFBF3"/>
    </w:rPr>
  </w:style>
  <w:style w:type="character" w:customStyle="1" w:styleId="FigureCaptionChar">
    <w:name w:val="Figure Caption Char"/>
    <w:basedOn w:val="DefaultParagraphFont"/>
    <w:link w:val="FigureCaption"/>
    <w:uiPriority w:val="99"/>
    <w:rsid w:val="0086308F"/>
    <w:rPr>
      <w:b/>
    </w:rPr>
  </w:style>
  <w:style w:type="character" w:customStyle="1" w:styleId="FigureCaptionMultipleColumnChar">
    <w:name w:val="Figure Caption Multiple Column Char"/>
    <w:basedOn w:val="FigureCaptionChar"/>
    <w:link w:val="FigureCaptionMultipleColumn"/>
    <w:rsid w:val="0086308F"/>
    <w:rPr>
      <w:rFonts w:ascii="Calibri" w:eastAsia="Times New Roman" w:hAnsi="Calibri" w:cs="Times New Roman"/>
      <w:b/>
      <w:szCs w:val="24"/>
      <w:lang w:eastAsia="en-AU"/>
    </w:rPr>
  </w:style>
  <w:style w:type="character" w:customStyle="1" w:styleId="highlight1">
    <w:name w:val="highlight1"/>
    <w:basedOn w:val="DefaultParagraphFont"/>
    <w:rsid w:val="0086308F"/>
    <w:rPr>
      <w:shd w:val="clear" w:color="auto" w:fill="DBDDBA"/>
    </w:rPr>
  </w:style>
  <w:style w:type="table" w:customStyle="1" w:styleId="TableGrid2">
    <w:name w:val="Table Grid2"/>
    <w:basedOn w:val="TableNormal"/>
    <w:next w:val="TableGrid"/>
    <w:uiPriority w:val="59"/>
    <w:rsid w:val="005E1B5A"/>
    <w:pPr>
      <w:spacing w:after="0" w:line="240" w:lineRule="auto"/>
    </w:pPr>
    <w:rPr>
      <w:rFonts w:eastAsia="Calibri"/>
    </w:rPr>
    <w:tblPr>
      <w:tblBorders>
        <w:top w:val="single" w:sz="4" w:space="0" w:color="auto"/>
      </w:tblBorders>
    </w:tblPr>
  </w:style>
  <w:style w:type="paragraph" w:customStyle="1" w:styleId="CRCQuote">
    <w:name w:val="CRC Quote"/>
    <w:basedOn w:val="Normal"/>
    <w:next w:val="Normal"/>
    <w:rsid w:val="00806ED3"/>
    <w:pPr>
      <w:spacing w:before="240" w:after="0" w:line="300" w:lineRule="auto"/>
      <w:ind w:left="851" w:right="851"/>
    </w:pPr>
    <w:rPr>
      <w:rFonts w:ascii="Arial" w:eastAsia="Times New Roman" w:hAnsi="Arial" w:cs="Garamond"/>
      <w:iCs/>
      <w:spacing w:val="2"/>
      <w:sz w:val="18"/>
      <w:szCs w:val="18"/>
    </w:rPr>
  </w:style>
  <w:style w:type="paragraph" w:customStyle="1" w:styleId="CRCQuoteAuthor">
    <w:name w:val="CRC Quote Author"/>
    <w:basedOn w:val="CRCQuote"/>
    <w:rsid w:val="00806ED3"/>
    <w:pPr>
      <w:spacing w:before="0"/>
      <w:jc w:val="right"/>
    </w:pPr>
  </w:style>
  <w:style w:type="paragraph" w:customStyle="1" w:styleId="Bullet10">
    <w:name w:val="Bullet 1"/>
    <w:rsid w:val="00806ED3"/>
    <w:pPr>
      <w:tabs>
        <w:tab w:val="num" w:pos="720"/>
      </w:tabs>
      <w:spacing w:line="240" w:lineRule="auto"/>
      <w:ind w:left="284" w:hanging="284"/>
    </w:pPr>
    <w:rPr>
      <w:rFonts w:ascii="Times New Roman" w:eastAsia="TimesNewRomanPSMT" w:hAnsi="Times New Roman" w:cs="TimesNewRomanPSMT"/>
      <w:color w:val="000000"/>
      <w:sz w:val="24"/>
      <w:szCs w:val="19"/>
    </w:rPr>
  </w:style>
  <w:style w:type="table" w:customStyle="1" w:styleId="TableGrid1">
    <w:name w:val="Table Grid1"/>
    <w:basedOn w:val="TableNormal"/>
    <w:next w:val="TableGrid"/>
    <w:uiPriority w:val="59"/>
    <w:rsid w:val="001B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B7264"/>
    <w:pPr>
      <w:spacing w:after="0" w:line="240" w:lineRule="auto"/>
    </w:pPr>
    <w:rPr>
      <w:rFonts w:eastAsia="Calibri"/>
    </w:rPr>
    <w:tblPr>
      <w:tblBorders>
        <w:top w:val="single" w:sz="4" w:space="0" w:color="auto"/>
      </w:tblBorders>
    </w:tblPr>
  </w:style>
  <w:style w:type="table" w:customStyle="1" w:styleId="TableGrid3">
    <w:name w:val="Table Grid3"/>
    <w:basedOn w:val="TableNormal"/>
    <w:next w:val="TableGrid"/>
    <w:uiPriority w:val="59"/>
    <w:rsid w:val="00940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0174"/>
    <w:pPr>
      <w:spacing w:after="0" w:line="240" w:lineRule="auto"/>
    </w:pPr>
    <w:rPr>
      <w:rFonts w:eastAsia="Calibri"/>
    </w:rPr>
    <w:tblPr>
      <w:tblBorders>
        <w:top w:val="single" w:sz="4" w:space="0" w:color="auto"/>
      </w:tblBorders>
    </w:tblPr>
  </w:style>
  <w:style w:type="table" w:customStyle="1" w:styleId="TableGrid4">
    <w:name w:val="Table Grid4"/>
    <w:basedOn w:val="TableNormal"/>
    <w:next w:val="TableGrid"/>
    <w:rsid w:val="009C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9C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C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9C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94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NoSpacing"/>
    <w:rsid w:val="00E30A1E"/>
    <w:pPr>
      <w:pBdr>
        <w:bottom w:val="single" w:sz="4" w:space="1" w:color="auto"/>
      </w:pBdr>
    </w:pPr>
    <w:rPr>
      <w:rFonts w:eastAsiaTheme="minorHAnsi" w:cs="Times New Roman"/>
      <w:sz w:val="20"/>
      <w:szCs w:val="20"/>
      <w:lang w:val="en-US" w:eastAsia="ja-JP"/>
    </w:rPr>
  </w:style>
  <w:style w:type="paragraph" w:customStyle="1" w:styleId="FooterOdd">
    <w:name w:val="Footer Odd"/>
    <w:basedOn w:val="Normal"/>
    <w:next w:val="Footer"/>
    <w:rsid w:val="00E30A1E"/>
    <w:pPr>
      <w:framePr w:wrap="around" w:vAnchor="text" w:hAnchor="text" w:y="1"/>
      <w:pBdr>
        <w:top w:val="single" w:sz="4" w:space="0" w:color="auto"/>
      </w:pBdr>
      <w:tabs>
        <w:tab w:val="left" w:pos="363"/>
        <w:tab w:val="right" w:pos="10466"/>
      </w:tabs>
      <w:spacing w:after="180" w:line="264" w:lineRule="auto"/>
    </w:pPr>
    <w:rPr>
      <w:rFonts w:eastAsiaTheme="minorHAnsi"/>
      <w:sz w:val="18"/>
      <w:szCs w:val="16"/>
      <w:lang w:val="en-US" w:eastAsia="ja-JP"/>
    </w:rPr>
  </w:style>
  <w:style w:type="paragraph" w:customStyle="1" w:styleId="TableText1">
    <w:name w:val="Table Text"/>
    <w:rsid w:val="00E30A1E"/>
    <w:pPr>
      <w:suppressAutoHyphens/>
      <w:spacing w:after="60" w:line="240" w:lineRule="auto"/>
    </w:pPr>
    <w:rPr>
      <w:rFonts w:ascii="Times New Roman" w:eastAsia="Times New Roman" w:hAnsi="Times New Roman" w:cs="Times New Roman"/>
      <w:sz w:val="24"/>
      <w:szCs w:val="24"/>
      <w:lang w:eastAsia="en-AU"/>
    </w:rPr>
  </w:style>
  <w:style w:type="paragraph" w:customStyle="1" w:styleId="SecBody">
    <w:name w:val="Sec Body"/>
    <w:basedOn w:val="Normal"/>
    <w:link w:val="SecBodyChar"/>
    <w:rsid w:val="00E30A1E"/>
    <w:pPr>
      <w:spacing w:before="120" w:after="120"/>
      <w:jc w:val="both"/>
    </w:pPr>
    <w:rPr>
      <w:rFonts w:ascii="Arial" w:eastAsiaTheme="minorHAnsi" w:hAnsi="Arial"/>
      <w:sz w:val="20"/>
      <w:lang w:val="en-US"/>
    </w:rPr>
  </w:style>
  <w:style w:type="character" w:customStyle="1" w:styleId="SecBodyChar">
    <w:name w:val="Sec Body Char"/>
    <w:basedOn w:val="DefaultParagraphFont"/>
    <w:link w:val="SecBody"/>
    <w:rsid w:val="00E30A1E"/>
    <w:rPr>
      <w:rFonts w:ascii="Arial" w:eastAsiaTheme="minorHAnsi" w:hAnsi="Arial"/>
      <w:sz w:val="20"/>
      <w:lang w:val="en-US"/>
    </w:rPr>
  </w:style>
  <w:style w:type="character" w:styleId="HTMLCite">
    <w:name w:val="HTML Cite"/>
    <w:basedOn w:val="DefaultParagraphFont"/>
    <w:uiPriority w:val="99"/>
    <w:unhideWhenUsed/>
    <w:rsid w:val="00E30A1E"/>
    <w:rPr>
      <w:i w:val="0"/>
      <w:iCs w:val="0"/>
      <w:color w:val="009030"/>
    </w:rPr>
  </w:style>
  <w:style w:type="table" w:customStyle="1" w:styleId="TableGrid7">
    <w:name w:val="Table Grid7"/>
    <w:basedOn w:val="TableNormal"/>
    <w:next w:val="TableGrid"/>
    <w:uiPriority w:val="59"/>
    <w:rsid w:val="00E7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7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7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7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rightaligned">
    <w:name w:val="Table heading text - right aligned"/>
    <w:basedOn w:val="TableHeadingtext-centred"/>
    <w:rsid w:val="00130725"/>
    <w:pPr>
      <w:keepNext w:val="0"/>
      <w:tabs>
        <w:tab w:val="clear" w:pos="1134"/>
      </w:tabs>
      <w:spacing w:line="240" w:lineRule="auto"/>
      <w:jc w:val="right"/>
    </w:pPr>
    <w:rPr>
      <w:b w:val="0"/>
    </w:rPr>
  </w:style>
  <w:style w:type="paragraph" w:customStyle="1" w:styleId="StyleNormal18ptbeforeBefore0ptAfter0pt">
    <w:name w:val="Style Normal + 18pt before + Before:  0 pt After:  0 pt"/>
    <w:basedOn w:val="Normal18ptbefore"/>
    <w:rsid w:val="00130725"/>
    <w:pPr>
      <w:spacing w:after="0"/>
    </w:pPr>
    <w:rPr>
      <w:rFonts w:eastAsia="Times New Roman" w:cs="Times New Roman"/>
      <w:szCs w:val="20"/>
    </w:rPr>
  </w:style>
  <w:style w:type="table" w:customStyle="1" w:styleId="Style3">
    <w:name w:val="Style3"/>
    <w:basedOn w:val="TableNormal"/>
    <w:uiPriority w:val="99"/>
    <w:rsid w:val="00130725"/>
    <w:pPr>
      <w:spacing w:after="0" w:line="240" w:lineRule="auto"/>
    </w:pPr>
    <w:tblPr/>
  </w:style>
  <w:style w:type="paragraph" w:styleId="Index4">
    <w:name w:val="index 4"/>
    <w:basedOn w:val="Normal"/>
    <w:next w:val="Normal"/>
    <w:autoRedefine/>
    <w:uiPriority w:val="99"/>
    <w:unhideWhenUsed/>
    <w:rsid w:val="00130725"/>
    <w:pPr>
      <w:spacing w:after="0" w:line="240" w:lineRule="auto"/>
      <w:ind w:left="880" w:hanging="220"/>
    </w:pPr>
  </w:style>
  <w:style w:type="paragraph" w:styleId="BodyTextIndent2">
    <w:name w:val="Body Text Indent 2"/>
    <w:basedOn w:val="Normal"/>
    <w:link w:val="BodyTextIndent2Char"/>
    <w:uiPriority w:val="99"/>
    <w:unhideWhenUsed/>
    <w:rsid w:val="00130725"/>
    <w:pPr>
      <w:spacing w:after="120" w:line="480" w:lineRule="auto"/>
      <w:ind w:left="283"/>
    </w:pPr>
  </w:style>
  <w:style w:type="character" w:customStyle="1" w:styleId="BodyTextIndent2Char">
    <w:name w:val="Body Text Indent 2 Char"/>
    <w:basedOn w:val="DefaultParagraphFont"/>
    <w:link w:val="BodyTextIndent2"/>
    <w:uiPriority w:val="99"/>
    <w:rsid w:val="00130725"/>
  </w:style>
  <w:style w:type="table" w:styleId="LightList-Accent1">
    <w:name w:val="Light List Accent 1"/>
    <w:basedOn w:val="TableNormal"/>
    <w:uiPriority w:val="61"/>
    <w:rsid w:val="00130725"/>
    <w:pPr>
      <w:spacing w:after="0" w:line="240" w:lineRule="auto"/>
    </w:p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pPr>
        <w:spacing w:before="0" w:after="0" w:line="240" w:lineRule="auto"/>
      </w:pPr>
      <w:rPr>
        <w:b/>
        <w:bCs/>
        <w:color w:val="7F7F7F" w:themeColor="background1"/>
      </w:rPr>
      <w:tblPr/>
      <w:tcPr>
        <w:shd w:val="clear" w:color="auto" w:fill="165788" w:themeFill="accent1"/>
      </w:tcPr>
    </w:tblStylePr>
    <w:tblStylePr w:type="lastRow">
      <w:pPr>
        <w:spacing w:before="0" w:after="0" w:line="240" w:lineRule="auto"/>
      </w:pPr>
      <w:rPr>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tcBorders>
      </w:tcPr>
    </w:tblStylePr>
    <w:tblStylePr w:type="firstCol">
      <w:rPr>
        <w:b/>
        <w:bCs/>
      </w:rPr>
    </w:tblStylePr>
    <w:tblStylePr w:type="lastCol">
      <w:rPr>
        <w:b/>
        <w:bCs/>
      </w:r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style>
  <w:style w:type="paragraph" w:customStyle="1" w:styleId="TableBody1">
    <w:name w:val="Table Body 1"/>
    <w:basedOn w:val="Normal"/>
    <w:rsid w:val="00130725"/>
    <w:pPr>
      <w:spacing w:after="0" w:line="240" w:lineRule="auto"/>
    </w:pPr>
    <w:rPr>
      <w:color w:val="000000" w:themeColor="text1"/>
      <w:sz w:val="20"/>
    </w:rPr>
  </w:style>
  <w:style w:type="paragraph" w:customStyle="1" w:styleId="TableBoby3">
    <w:name w:val="Table Boby 3"/>
    <w:basedOn w:val="Normal"/>
    <w:rsid w:val="00130725"/>
    <w:pPr>
      <w:spacing w:after="0" w:line="240" w:lineRule="auto"/>
      <w:jc w:val="center"/>
    </w:pPr>
    <w:rPr>
      <w:bCs/>
      <w:color w:val="FFFFFF" w:themeColor="background2"/>
      <w:sz w:val="20"/>
    </w:rPr>
  </w:style>
  <w:style w:type="paragraph" w:customStyle="1" w:styleId="Tablebody2">
    <w:name w:val="Table body 2"/>
    <w:basedOn w:val="Normal"/>
    <w:rsid w:val="00130725"/>
    <w:pPr>
      <w:spacing w:after="0" w:line="240" w:lineRule="auto"/>
      <w:jc w:val="right"/>
    </w:pPr>
    <w:rPr>
      <w:sz w:val="20"/>
    </w:rPr>
  </w:style>
  <w:style w:type="table" w:customStyle="1" w:styleId="EducationTable">
    <w:name w:val="Education Table"/>
    <w:basedOn w:val="TableNormal"/>
    <w:uiPriority w:val="99"/>
    <w:rsid w:val="00130725"/>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1E3D6B"/>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styleId="NoteHeading">
    <w:name w:val="Note Heading"/>
    <w:basedOn w:val="Normal"/>
    <w:next w:val="Normal"/>
    <w:link w:val="NoteHeadingChar"/>
    <w:uiPriority w:val="99"/>
    <w:unhideWhenUsed/>
    <w:rsid w:val="004021B4"/>
    <w:pPr>
      <w:spacing w:after="0" w:line="240" w:lineRule="auto"/>
    </w:pPr>
  </w:style>
  <w:style w:type="character" w:customStyle="1" w:styleId="NoteHeadingChar">
    <w:name w:val="Note Heading Char"/>
    <w:basedOn w:val="DefaultParagraphFont"/>
    <w:link w:val="NoteHeading"/>
    <w:uiPriority w:val="99"/>
    <w:rsid w:val="004021B4"/>
  </w:style>
  <w:style w:type="character" w:styleId="LineNumber">
    <w:name w:val="line number"/>
    <w:basedOn w:val="DefaultParagraphFont"/>
    <w:uiPriority w:val="99"/>
    <w:semiHidden/>
    <w:unhideWhenUsed/>
    <w:rsid w:val="00AD6837"/>
  </w:style>
  <w:style w:type="paragraph" w:styleId="Index1">
    <w:name w:val="index 1"/>
    <w:basedOn w:val="Normal"/>
    <w:next w:val="Normal"/>
    <w:autoRedefine/>
    <w:uiPriority w:val="99"/>
    <w:unhideWhenUsed/>
    <w:rsid w:val="00C61EF7"/>
    <w:pPr>
      <w:spacing w:after="0" w:line="240" w:lineRule="auto"/>
    </w:pPr>
  </w:style>
  <w:style w:type="paragraph" w:customStyle="1" w:styleId="Tableappendixa2">
    <w:name w:val="Table appendix a2"/>
    <w:basedOn w:val="TableHeadingtext"/>
    <w:rsid w:val="00961617"/>
    <w:rPr>
      <w:rFonts w:eastAsiaTheme="majorEastAsia"/>
    </w:rPr>
  </w:style>
  <w:style w:type="paragraph" w:customStyle="1" w:styleId="xl63">
    <w:name w:val="xl63"/>
    <w:basedOn w:val="Normal"/>
    <w:rsid w:val="0096161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96161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96161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96161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96161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69">
    <w:name w:val="xl69"/>
    <w:basedOn w:val="Normal"/>
    <w:rsid w:val="0096161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96161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71">
    <w:name w:val="xl71"/>
    <w:basedOn w:val="Normal"/>
    <w:rsid w:val="0096161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96161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96161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961617"/>
    <w:pPr>
      <w:shd w:val="clear" w:color="000000" w:fill="C5D9F1"/>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ingforappendixA1">
    <w:name w:val="Table heading for appendix A1"/>
    <w:basedOn w:val="TableHeadingtext"/>
    <w:qFormat/>
    <w:rsid w:val="0099598E"/>
    <w:rPr>
      <w:i w:val="0"/>
    </w:rPr>
  </w:style>
  <w:style w:type="paragraph" w:customStyle="1" w:styleId="Notesnumbered">
    <w:name w:val="Notes numbered"/>
    <w:basedOn w:val="ListParagraph"/>
    <w:qFormat/>
    <w:rsid w:val="00A61631"/>
    <w:pPr>
      <w:spacing w:before="0" w:after="0"/>
      <w:ind w:left="0"/>
    </w:pPr>
    <w:rPr>
      <w:sz w:val="18"/>
      <w:szCs w:val="18"/>
    </w:rPr>
  </w:style>
  <w:style w:type="paragraph" w:customStyle="1" w:styleId="Notesnumberedfirstentry">
    <w:name w:val="Notes numbered first entry"/>
    <w:basedOn w:val="Notesnumbered"/>
    <w:autoRedefine/>
    <w:rsid w:val="00BC2802"/>
  </w:style>
  <w:style w:type="table" w:customStyle="1" w:styleId="TableGrid32">
    <w:name w:val="Table Grid32"/>
    <w:basedOn w:val="TableNormal"/>
    <w:next w:val="TableGrid"/>
    <w:uiPriority w:val="59"/>
    <w:rsid w:val="00467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50880">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543560462">
      <w:bodyDiv w:val="1"/>
      <w:marLeft w:val="0"/>
      <w:marRight w:val="0"/>
      <w:marTop w:val="0"/>
      <w:marBottom w:val="0"/>
      <w:divBdr>
        <w:top w:val="none" w:sz="0" w:space="0" w:color="auto"/>
        <w:left w:val="none" w:sz="0" w:space="0" w:color="auto"/>
        <w:bottom w:val="none" w:sz="0" w:space="0" w:color="auto"/>
        <w:right w:val="none" w:sz="0" w:space="0" w:color="auto"/>
      </w:divBdr>
    </w:div>
    <w:div w:id="662126284">
      <w:bodyDiv w:val="1"/>
      <w:marLeft w:val="0"/>
      <w:marRight w:val="0"/>
      <w:marTop w:val="300"/>
      <w:marBottom w:val="0"/>
      <w:divBdr>
        <w:top w:val="none" w:sz="0" w:space="0" w:color="auto"/>
        <w:left w:val="none" w:sz="0" w:space="0" w:color="auto"/>
        <w:bottom w:val="none" w:sz="0" w:space="0" w:color="auto"/>
        <w:right w:val="none" w:sz="0" w:space="0" w:color="auto"/>
      </w:divBdr>
      <w:divsChild>
        <w:div w:id="1898126522">
          <w:marLeft w:val="0"/>
          <w:marRight w:val="0"/>
          <w:marTop w:val="0"/>
          <w:marBottom w:val="0"/>
          <w:divBdr>
            <w:top w:val="none" w:sz="0" w:space="0" w:color="auto"/>
            <w:left w:val="none" w:sz="0" w:space="0" w:color="auto"/>
            <w:bottom w:val="none" w:sz="0" w:space="0" w:color="auto"/>
            <w:right w:val="none" w:sz="0" w:space="0" w:color="auto"/>
          </w:divBdr>
          <w:divsChild>
            <w:div w:id="1413501867">
              <w:marLeft w:val="0"/>
              <w:marRight w:val="0"/>
              <w:marTop w:val="0"/>
              <w:marBottom w:val="0"/>
              <w:divBdr>
                <w:top w:val="none" w:sz="0" w:space="0" w:color="auto"/>
                <w:left w:val="none" w:sz="0" w:space="0" w:color="auto"/>
                <w:bottom w:val="none" w:sz="0" w:space="0" w:color="auto"/>
                <w:right w:val="none" w:sz="0" w:space="0" w:color="auto"/>
              </w:divBdr>
              <w:divsChild>
                <w:div w:id="797186599">
                  <w:marLeft w:val="0"/>
                  <w:marRight w:val="0"/>
                  <w:marTop w:val="0"/>
                  <w:marBottom w:val="0"/>
                  <w:divBdr>
                    <w:top w:val="none" w:sz="0" w:space="0" w:color="auto"/>
                    <w:left w:val="none" w:sz="0" w:space="0" w:color="auto"/>
                    <w:bottom w:val="none" w:sz="0" w:space="0" w:color="auto"/>
                    <w:right w:val="none" w:sz="0" w:space="0" w:color="auto"/>
                  </w:divBdr>
                  <w:divsChild>
                    <w:div w:id="346490158">
                      <w:marLeft w:val="3000"/>
                      <w:marRight w:val="3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881310">
      <w:bodyDiv w:val="1"/>
      <w:marLeft w:val="0"/>
      <w:marRight w:val="0"/>
      <w:marTop w:val="0"/>
      <w:marBottom w:val="0"/>
      <w:divBdr>
        <w:top w:val="none" w:sz="0" w:space="0" w:color="auto"/>
        <w:left w:val="none" w:sz="0" w:space="0" w:color="auto"/>
        <w:bottom w:val="none" w:sz="0" w:space="0" w:color="auto"/>
        <w:right w:val="none" w:sz="0" w:space="0" w:color="auto"/>
      </w:divBdr>
    </w:div>
    <w:div w:id="765148946">
      <w:bodyDiv w:val="1"/>
      <w:marLeft w:val="0"/>
      <w:marRight w:val="0"/>
      <w:marTop w:val="0"/>
      <w:marBottom w:val="0"/>
      <w:divBdr>
        <w:top w:val="none" w:sz="0" w:space="0" w:color="auto"/>
        <w:left w:val="none" w:sz="0" w:space="0" w:color="auto"/>
        <w:bottom w:val="none" w:sz="0" w:space="0" w:color="auto"/>
        <w:right w:val="none" w:sz="0" w:space="0" w:color="auto"/>
      </w:divBdr>
    </w:div>
    <w:div w:id="851840068">
      <w:bodyDiv w:val="1"/>
      <w:marLeft w:val="0"/>
      <w:marRight w:val="0"/>
      <w:marTop w:val="0"/>
      <w:marBottom w:val="0"/>
      <w:divBdr>
        <w:top w:val="none" w:sz="0" w:space="0" w:color="auto"/>
        <w:left w:val="none" w:sz="0" w:space="0" w:color="auto"/>
        <w:bottom w:val="none" w:sz="0" w:space="0" w:color="auto"/>
        <w:right w:val="none" w:sz="0" w:space="0" w:color="auto"/>
      </w:divBdr>
    </w:div>
    <w:div w:id="1099376015">
      <w:bodyDiv w:val="1"/>
      <w:marLeft w:val="0"/>
      <w:marRight w:val="0"/>
      <w:marTop w:val="0"/>
      <w:marBottom w:val="0"/>
      <w:divBdr>
        <w:top w:val="none" w:sz="0" w:space="0" w:color="auto"/>
        <w:left w:val="none" w:sz="0" w:space="0" w:color="auto"/>
        <w:bottom w:val="none" w:sz="0" w:space="0" w:color="auto"/>
        <w:right w:val="none" w:sz="0" w:space="0" w:color="auto"/>
      </w:divBdr>
    </w:div>
    <w:div w:id="1260481323">
      <w:bodyDiv w:val="1"/>
      <w:marLeft w:val="0"/>
      <w:marRight w:val="0"/>
      <w:marTop w:val="0"/>
      <w:marBottom w:val="0"/>
      <w:divBdr>
        <w:top w:val="none" w:sz="0" w:space="0" w:color="auto"/>
        <w:left w:val="none" w:sz="0" w:space="0" w:color="auto"/>
        <w:bottom w:val="none" w:sz="0" w:space="0" w:color="auto"/>
        <w:right w:val="none" w:sz="0" w:space="0" w:color="auto"/>
      </w:divBdr>
    </w:div>
    <w:div w:id="1443453682">
      <w:bodyDiv w:val="1"/>
      <w:marLeft w:val="0"/>
      <w:marRight w:val="0"/>
      <w:marTop w:val="0"/>
      <w:marBottom w:val="0"/>
      <w:divBdr>
        <w:top w:val="none" w:sz="0" w:space="0" w:color="auto"/>
        <w:left w:val="none" w:sz="0" w:space="0" w:color="auto"/>
        <w:bottom w:val="none" w:sz="0" w:space="0" w:color="auto"/>
        <w:right w:val="none" w:sz="0" w:space="0" w:color="auto"/>
      </w:divBdr>
      <w:divsChild>
        <w:div w:id="1591084128">
          <w:marLeft w:val="0"/>
          <w:marRight w:val="0"/>
          <w:marTop w:val="0"/>
          <w:marBottom w:val="0"/>
          <w:divBdr>
            <w:top w:val="none" w:sz="0" w:space="0" w:color="auto"/>
            <w:left w:val="none" w:sz="0" w:space="0" w:color="auto"/>
            <w:bottom w:val="none" w:sz="0" w:space="0" w:color="auto"/>
            <w:right w:val="none" w:sz="0" w:space="0" w:color="auto"/>
          </w:divBdr>
          <w:divsChild>
            <w:div w:id="322319202">
              <w:marLeft w:val="0"/>
              <w:marRight w:val="0"/>
              <w:marTop w:val="0"/>
              <w:marBottom w:val="0"/>
              <w:divBdr>
                <w:top w:val="none" w:sz="0" w:space="0" w:color="auto"/>
                <w:left w:val="none" w:sz="0" w:space="0" w:color="auto"/>
                <w:bottom w:val="none" w:sz="0" w:space="0" w:color="auto"/>
                <w:right w:val="none" w:sz="0" w:space="0" w:color="auto"/>
              </w:divBdr>
              <w:divsChild>
                <w:div w:id="2129161644">
                  <w:marLeft w:val="0"/>
                  <w:marRight w:val="0"/>
                  <w:marTop w:val="0"/>
                  <w:marBottom w:val="0"/>
                  <w:divBdr>
                    <w:top w:val="none" w:sz="0" w:space="0" w:color="auto"/>
                    <w:left w:val="none" w:sz="0" w:space="0" w:color="auto"/>
                    <w:bottom w:val="none" w:sz="0" w:space="0" w:color="auto"/>
                    <w:right w:val="none" w:sz="0" w:space="0" w:color="auto"/>
                  </w:divBdr>
                  <w:divsChild>
                    <w:div w:id="516385065">
                      <w:marLeft w:val="0"/>
                      <w:marRight w:val="0"/>
                      <w:marTop w:val="0"/>
                      <w:marBottom w:val="0"/>
                      <w:divBdr>
                        <w:top w:val="none" w:sz="0" w:space="0" w:color="auto"/>
                        <w:left w:val="none" w:sz="0" w:space="0" w:color="auto"/>
                        <w:bottom w:val="none" w:sz="0" w:space="0" w:color="auto"/>
                        <w:right w:val="none" w:sz="0" w:space="0" w:color="auto"/>
                      </w:divBdr>
                      <w:divsChild>
                        <w:div w:id="1742945244">
                          <w:marLeft w:val="0"/>
                          <w:marRight w:val="0"/>
                          <w:marTop w:val="0"/>
                          <w:marBottom w:val="0"/>
                          <w:divBdr>
                            <w:top w:val="none" w:sz="0" w:space="0" w:color="auto"/>
                            <w:left w:val="none" w:sz="0" w:space="0" w:color="auto"/>
                            <w:bottom w:val="none" w:sz="0" w:space="0" w:color="auto"/>
                            <w:right w:val="none" w:sz="0" w:space="0" w:color="auto"/>
                          </w:divBdr>
                        </w:div>
                      </w:divsChild>
                    </w:div>
                    <w:div w:id="1507863729">
                      <w:marLeft w:val="0"/>
                      <w:marRight w:val="0"/>
                      <w:marTop w:val="0"/>
                      <w:marBottom w:val="0"/>
                      <w:divBdr>
                        <w:top w:val="none" w:sz="0" w:space="0" w:color="auto"/>
                        <w:left w:val="none" w:sz="0" w:space="0" w:color="auto"/>
                        <w:bottom w:val="none" w:sz="0" w:space="0" w:color="auto"/>
                        <w:right w:val="none" w:sz="0" w:space="0" w:color="auto"/>
                      </w:divBdr>
                      <w:divsChild>
                        <w:div w:id="14196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19676412">
      <w:bodyDiv w:val="1"/>
      <w:marLeft w:val="0"/>
      <w:marRight w:val="0"/>
      <w:marTop w:val="0"/>
      <w:marBottom w:val="0"/>
      <w:divBdr>
        <w:top w:val="none" w:sz="0" w:space="0" w:color="auto"/>
        <w:left w:val="none" w:sz="0" w:space="0" w:color="auto"/>
        <w:bottom w:val="none" w:sz="0" w:space="0" w:color="auto"/>
        <w:right w:val="none" w:sz="0" w:space="0" w:color="auto"/>
      </w:divBdr>
    </w:div>
    <w:div w:id="1883395288">
      <w:bodyDiv w:val="1"/>
      <w:marLeft w:val="0"/>
      <w:marRight w:val="0"/>
      <w:marTop w:val="0"/>
      <w:marBottom w:val="0"/>
      <w:divBdr>
        <w:top w:val="none" w:sz="0" w:space="0" w:color="auto"/>
        <w:left w:val="none" w:sz="0" w:space="0" w:color="auto"/>
        <w:bottom w:val="none" w:sz="0" w:space="0" w:color="auto"/>
        <w:right w:val="none" w:sz="0" w:space="0" w:color="auto"/>
      </w:divBdr>
      <w:divsChild>
        <w:div w:id="980843468">
          <w:marLeft w:val="0"/>
          <w:marRight w:val="0"/>
          <w:marTop w:val="0"/>
          <w:marBottom w:val="0"/>
          <w:divBdr>
            <w:top w:val="none" w:sz="0" w:space="0" w:color="auto"/>
            <w:left w:val="none" w:sz="0" w:space="0" w:color="auto"/>
            <w:bottom w:val="none" w:sz="0" w:space="0" w:color="auto"/>
            <w:right w:val="none" w:sz="0" w:space="0" w:color="auto"/>
          </w:divBdr>
          <w:divsChild>
            <w:div w:id="1797791050">
              <w:marLeft w:val="0"/>
              <w:marRight w:val="0"/>
              <w:marTop w:val="0"/>
              <w:marBottom w:val="0"/>
              <w:divBdr>
                <w:top w:val="none" w:sz="0" w:space="0" w:color="auto"/>
                <w:left w:val="none" w:sz="0" w:space="0" w:color="auto"/>
                <w:bottom w:val="none" w:sz="0" w:space="0" w:color="auto"/>
                <w:right w:val="none" w:sz="0" w:space="0" w:color="auto"/>
              </w:divBdr>
              <w:divsChild>
                <w:div w:id="1673681702">
                  <w:marLeft w:val="0"/>
                  <w:marRight w:val="0"/>
                  <w:marTop w:val="0"/>
                  <w:marBottom w:val="0"/>
                  <w:divBdr>
                    <w:top w:val="none" w:sz="0" w:space="0" w:color="auto"/>
                    <w:left w:val="none" w:sz="0" w:space="0" w:color="auto"/>
                    <w:bottom w:val="none" w:sz="0" w:space="0" w:color="auto"/>
                    <w:right w:val="none" w:sz="0" w:space="0" w:color="auto"/>
                  </w:divBdr>
                  <w:divsChild>
                    <w:div w:id="206027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65847">
      <w:bodyDiv w:val="1"/>
      <w:marLeft w:val="0"/>
      <w:marRight w:val="0"/>
      <w:marTop w:val="0"/>
      <w:marBottom w:val="0"/>
      <w:divBdr>
        <w:top w:val="none" w:sz="0" w:space="0" w:color="auto"/>
        <w:left w:val="none" w:sz="0" w:space="0" w:color="auto"/>
        <w:bottom w:val="none" w:sz="0" w:space="0" w:color="auto"/>
        <w:right w:val="none" w:sz="0" w:space="0" w:color="auto"/>
      </w:divBdr>
    </w:div>
    <w:div w:id="1982692246">
      <w:bodyDiv w:val="1"/>
      <w:marLeft w:val="0"/>
      <w:marRight w:val="0"/>
      <w:marTop w:val="0"/>
      <w:marBottom w:val="0"/>
      <w:divBdr>
        <w:top w:val="none" w:sz="0" w:space="0" w:color="auto"/>
        <w:left w:val="none" w:sz="0" w:space="0" w:color="auto"/>
        <w:bottom w:val="none" w:sz="0" w:space="0" w:color="auto"/>
        <w:right w:val="none" w:sz="0" w:space="0" w:color="auto"/>
      </w:divBdr>
    </w:div>
    <w:div w:id="2022316999">
      <w:bodyDiv w:val="1"/>
      <w:marLeft w:val="0"/>
      <w:marRight w:val="0"/>
      <w:marTop w:val="0"/>
      <w:marBottom w:val="0"/>
      <w:divBdr>
        <w:top w:val="none" w:sz="0" w:space="0" w:color="auto"/>
        <w:left w:val="none" w:sz="0" w:space="0" w:color="auto"/>
        <w:bottom w:val="none" w:sz="0" w:space="0" w:color="auto"/>
        <w:right w:val="none" w:sz="0" w:space="0" w:color="auto"/>
      </w:divBdr>
    </w:div>
    <w:div w:id="20840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image" Target="media/image29.png"/><Relationship Id="rId47" Type="http://schemas.openxmlformats.org/officeDocument/2006/relationships/image" Target="media/image34.emf"/><Relationship Id="rId63" Type="http://schemas.openxmlformats.org/officeDocument/2006/relationships/footer" Target="footer2.xml"/><Relationship Id="rId68" Type="http://schemas.openxmlformats.org/officeDocument/2006/relationships/header" Target="header3.xml"/><Relationship Id="rId16" Type="http://schemas.openxmlformats.org/officeDocument/2006/relationships/hyperlink" Target="http://creativecommons.org/licenses/by/3.0/au/legalcode" TargetMode="External"/><Relationship Id="rId11" Type="http://schemas.openxmlformats.org/officeDocument/2006/relationships/image" Target="media/image2.png"/><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40.emf"/><Relationship Id="rId58" Type="http://schemas.openxmlformats.org/officeDocument/2006/relationships/hyperlink" Target="http://www.finance.gov.au/sites/default/files/foi_10-27_strategic_review_job_capacity_assessments.pdf" TargetMode="External"/><Relationship Id="rId74" Type="http://schemas.openxmlformats.org/officeDocument/2006/relationships/header" Target="header6.xml"/><Relationship Id="rId79" Type="http://schemas.openxmlformats.org/officeDocument/2006/relationships/footer" Target="footer10.xml"/><Relationship Id="rId5" Type="http://schemas.openxmlformats.org/officeDocument/2006/relationships/numbering" Target="numbering.xml"/><Relationship Id="rId61" Type="http://schemas.openxmlformats.org/officeDocument/2006/relationships/hyperlink" Target="http://www.msd.govt.nz/about-msd-and-our-work/newsroom/media-releases/2012/valuation-report.html" TargetMode="External"/><Relationship Id="rId19" Type="http://schemas.openxmlformats.org/officeDocument/2006/relationships/image" Target="media/image6.emf"/><Relationship Id="rId14" Type="http://schemas.openxmlformats.org/officeDocument/2006/relationships/image" Target="cid:image001.png@01CC5B5E.C6C84990"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hyperlink" Target="http://betterevaluation.org/evaluation-options/CostEffectivenessAnalysis" TargetMode="External"/><Relationship Id="rId64" Type="http://schemas.openxmlformats.org/officeDocument/2006/relationships/header" Target="header1.xml"/><Relationship Id="rId69" Type="http://schemas.openxmlformats.org/officeDocument/2006/relationships/footer" Target="footer5.xml"/><Relationship Id="rId77"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38.emf"/><Relationship Id="rId72" Type="http://schemas.openxmlformats.org/officeDocument/2006/relationships/header" Target="header5.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hyperlink" Target="https://www.dpmc.gov.au/sites/default/files/publications/005_Regulatory_Burden_Measurement_Framework.pdf" TargetMode="External"/><Relationship Id="rId67" Type="http://schemas.openxmlformats.org/officeDocument/2006/relationships/footer" Target="footer4.xml"/><Relationship Id="rId20" Type="http://schemas.openxmlformats.org/officeDocument/2006/relationships/image" Target="media/image7.emf"/><Relationship Id="rId41" Type="http://schemas.openxmlformats.org/officeDocument/2006/relationships/image" Target="media/image28.png"/><Relationship Id="rId54" Type="http://schemas.openxmlformats.org/officeDocument/2006/relationships/image" Target="media/image41.emf"/><Relationship Id="rId62" Type="http://schemas.openxmlformats.org/officeDocument/2006/relationships/hyperlink" Target="http://www.aph.gov.au/About_Parliament/Parliamentary_Departments/Parliamentary_Library/pubs/rp/BudgetReview201213/ParentingPayment" TargetMode="External"/><Relationship Id="rId70" Type="http://schemas.openxmlformats.org/officeDocument/2006/relationships/header" Target="header4.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reativecommons.org/licenses/by/3.0/au/" TargetMode="External"/><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hyperlink" Target="http://employment.gov.au/remote-jobs-and-communities-program-providers" TargetMode="External"/><Relationship Id="rId10" Type="http://schemas.openxmlformats.org/officeDocument/2006/relationships/endnotes" Target="endnotes.xm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hyperlink" Target="http://www.izajolp.com/content/1/1/9" TargetMode="External"/><Relationship Id="rId65" Type="http://schemas.openxmlformats.org/officeDocument/2006/relationships/footer" Target="footer3.xml"/><Relationship Id="rId73" Type="http://schemas.openxmlformats.org/officeDocument/2006/relationships/footer" Target="footer7.xml"/><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5.jpg"/><Relationship Id="rId39" Type="http://schemas.openxmlformats.org/officeDocument/2006/relationships/image" Target="media/image26.emf"/><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hyperlink" Target="http://www.abs.gov.au/AUSSTATS/abs@.nsf/DetailsPage/6202.0Oct%202015?OpenDocument" TargetMode="External"/><Relationship Id="rId76" Type="http://schemas.openxmlformats.org/officeDocument/2006/relationships/header" Target="header7.xml"/><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Ric98</b:Tag>
    <b:SourceType>Report</b:SourceType>
    <b:Guid>{27ACB5BA-A9F0-4038-967C-490E70641013}</b:Guid>
    <b:Title>Do Wage Subsidies Enhance Employability? Evidence from Australian Youth</b:Title>
    <b:Year>1998</b:Year>
    <b:Publisher>London School of Economics</b:Publisher>
    <b:City>London</b:City>
    <b:Author>
      <b:Author>
        <b:NameList>
          <b:Person>
            <b:Last>Richardson</b:Last>
            <b:First>J</b:First>
          </b:Person>
        </b:NameList>
      </b:Author>
    </b:Author>
    <b:Department>Centre for Economic Performance Research Paper No. 387</b:Department>
    <b:RefOrder>1</b:RefOrder>
  </b:Source>
  <b:Source>
    <b:Tag>DEW06</b:Tag>
    <b:SourceType>Report</b:SourceType>
    <b:Guid>{BF6F936C-177E-44D3-A73E-57FBABAE19E3}</b:Guid>
    <b:Author>
      <b:Author>
        <b:Corporate>DEWR</b:Corporate>
      </b:Author>
    </b:Author>
    <b:Title>Job Network Job Seeker Account Evaluation</b:Title>
    <b:Year>2006a</b:Year>
    <b:Publisher>Department of Employment and Workplace Relations (DEWR)</b:Publisher>
    <b:City>Canberra</b:City>
    <b:Department>Research and Evaluation Group</b:Department>
    <b:RefOrder>2</b:RefOrder>
  </b:Source>
  <b:Source>
    <b:Tag>DEW6b</b:Tag>
    <b:SourceType>Report</b:SourceType>
    <b:Guid>{DB228BF0-060E-4BF2-A7CC-4DA921071D32}</b:Guid>
    <b:Author>
      <b:Author>
        <b:Corporate>DEWR</b:Corporate>
      </b:Author>
    </b:Author>
    <b:Title>Customised Assistance, Job Search Training, Work for the Dole and Mutual Obligation — a Net Impact Study</b:Title>
    <b:Year>2006b</b:Year>
    <b:Publisher>Department of Employment and Workplace Relations (DEWR)</b:Publisher>
    <b:City>Canberra</b:City>
    <b:Department>Employment Programme Performance Branch Report 1/2006</b:Department>
    <b:RefOrder>3</b:RefOrder>
  </b:Source>
  <b:Source>
    <b:Tag>Ven12</b:Tag>
    <b:SourceType>Report</b:SourceType>
    <b:Guid>{EF1EC73B-2D76-4491-B784-D4E67F329CA3}</b:Guid>
    <b:Title>Eligibility Criteria for Unemployment Benefits: Quantitative Indicators for OECD and EU countries</b:Title>
    <b:Year>2012</b:Year>
    <b:Publisher>OECD Publishing</b:Publisher>
    <b:Department>OECD Social, Employment and Migration Working Papers, No. 131</b:Department>
    <b:Author>
      <b:Author>
        <b:NameList>
          <b:Person>
            <b:Last>Venn</b:Last>
            <b:First>D</b:First>
          </b:Person>
        </b:NameList>
      </b:Author>
    </b:Author>
    <b:RefOrder>4</b:RefOrder>
  </b:Source>
  <b:Source>
    <b:Tag>Bud08</b:Tag>
    <b:SourceType>Report</b:SourceType>
    <b:Guid>{DBDABDC6-F006-43A0-A0C0-0A451E4E4184}</b:Guid>
    <b:Title>Transitions from Casual Employment in Australia</b:Title>
    <b:Year>2008</b:Year>
    <b:Publisher>University of Melbourne</b:Publisher>
    <b:City>Melbourne</b:City>
    <b:Department>Melbourne Institute of Applied Economic and Social Research Working Papaer No. 7/08</b:Department>
    <b:Author>
      <b:Author>
        <b:NameList>
          <b:Person>
            <b:Last>Buddelmeyer</b:Last>
            <b:First>H</b:First>
          </b:Person>
          <b:Person>
            <b:Last>Wooden</b:Last>
            <b:First>M</b:First>
          </b:Person>
        </b:NameList>
      </b:Author>
    </b:Author>
    <b:RefOrder>5</b:RefOrder>
  </b:Source>
</b:Sources>
</file>

<file path=customXml/itemProps1.xml><?xml version="1.0" encoding="utf-8"?>
<ds:datastoreItem xmlns:ds="http://schemas.openxmlformats.org/officeDocument/2006/customXml" ds:itemID="{EC0F3141-F034-4D28-AEC4-E20694EEF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51BA76-346D-44D2-A13D-5A3CAE1D91E1}">
  <ds:schemaRefs>
    <ds:schemaRef ds:uri="http://schemas.microsoft.com/sharepoint/v3/contenttype/forms"/>
  </ds:schemaRefs>
</ds:datastoreItem>
</file>

<file path=customXml/itemProps3.xml><?xml version="1.0" encoding="utf-8"?>
<ds:datastoreItem xmlns:ds="http://schemas.openxmlformats.org/officeDocument/2006/customXml" ds:itemID="{C1B1F6E7-101E-4C0B-9427-761016004B30}">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20095F52-50C6-4883-B7C4-7A8AE2DA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73545</Words>
  <Characters>419211</Characters>
  <Application>Microsoft Office Word</Application>
  <DocSecurity>0</DocSecurity>
  <Lines>3493</Lines>
  <Paragraphs>983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Evaluation of JSA 2012-2015</dc:title>
  <dc:subject/>
  <dc:creator/>
  <cp:keywords/>
  <dc:description/>
  <cp:lastModifiedBy/>
  <cp:revision>1</cp:revision>
  <dcterms:created xsi:type="dcterms:W3CDTF">2019-10-20T22:30:00Z</dcterms:created>
  <dcterms:modified xsi:type="dcterms:W3CDTF">2020-01-07T03:34:00Z</dcterms:modified>
  <cp:contentStatus/>
</cp:coreProperties>
</file>